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F57F75" w:rsidRPr="002A7A24">
        <w:trPr>
          <w:cantSplit/>
        </w:trPr>
        <w:tc>
          <w:tcPr>
            <w:tcW w:w="6912" w:type="dxa"/>
          </w:tcPr>
          <w:p w:rsidR="00F57F75" w:rsidRPr="002A7A24" w:rsidRDefault="00F57F75" w:rsidP="00A26BFC">
            <w:pPr>
              <w:spacing w:before="360"/>
              <w:jc w:val="both"/>
            </w:pPr>
            <w:bookmarkStart w:id="0" w:name="dc06"/>
            <w:bookmarkEnd w:id="0"/>
            <w:r w:rsidRPr="002A7A24">
              <w:rPr>
                <w:b/>
                <w:bCs/>
                <w:sz w:val="30"/>
                <w:szCs w:val="30"/>
              </w:rPr>
              <w:t>Conseil 2017</w:t>
            </w:r>
            <w:r w:rsidRPr="002A7A24">
              <w:rPr>
                <w:rFonts w:ascii="Verdana" w:hAnsi="Verdana"/>
                <w:b/>
                <w:bCs/>
                <w:sz w:val="26"/>
                <w:szCs w:val="26"/>
              </w:rPr>
              <w:br/>
            </w:r>
            <w:r w:rsidRPr="002A7A24">
              <w:rPr>
                <w:b/>
                <w:bCs/>
                <w:szCs w:val="24"/>
              </w:rPr>
              <w:t>Genève, 15-25 mai 2017</w:t>
            </w:r>
          </w:p>
        </w:tc>
        <w:tc>
          <w:tcPr>
            <w:tcW w:w="3261" w:type="dxa"/>
          </w:tcPr>
          <w:p w:rsidR="00F57F75" w:rsidRPr="002A7A24" w:rsidRDefault="00F57F75" w:rsidP="00A26BFC">
            <w:pPr>
              <w:spacing w:before="0"/>
              <w:jc w:val="both"/>
            </w:pPr>
            <w:bookmarkStart w:id="1" w:name="ditulogo"/>
            <w:bookmarkEnd w:id="1"/>
            <w:r w:rsidRPr="002A7A24">
              <w:rPr>
                <w:rFonts w:cstheme="minorHAnsi"/>
                <w:b/>
                <w:bCs/>
                <w:noProof/>
                <w:lang w:val="en-US" w:eastAsia="zh-CN"/>
              </w:rPr>
              <w:drawing>
                <wp:inline distT="0" distB="0" distL="0" distR="0" wp14:anchorId="483F5B98" wp14:editId="41A9B44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F57F75" w:rsidRPr="002A7A24" w:rsidTr="00164958">
        <w:trPr>
          <w:cantSplit/>
          <w:trHeight w:val="20"/>
        </w:trPr>
        <w:tc>
          <w:tcPr>
            <w:tcW w:w="6912" w:type="dxa"/>
            <w:tcBorders>
              <w:bottom w:val="single" w:sz="12" w:space="0" w:color="auto"/>
            </w:tcBorders>
            <w:vAlign w:val="center"/>
          </w:tcPr>
          <w:p w:rsidR="00F57F75" w:rsidRPr="002A7A24" w:rsidRDefault="00F57F75" w:rsidP="00A26BFC">
            <w:pPr>
              <w:spacing w:before="0"/>
              <w:jc w:val="both"/>
              <w:rPr>
                <w:b/>
                <w:bCs/>
                <w:sz w:val="26"/>
                <w:szCs w:val="26"/>
              </w:rPr>
            </w:pPr>
          </w:p>
        </w:tc>
        <w:tc>
          <w:tcPr>
            <w:tcW w:w="3261" w:type="dxa"/>
            <w:tcBorders>
              <w:bottom w:val="single" w:sz="12" w:space="0" w:color="auto"/>
            </w:tcBorders>
          </w:tcPr>
          <w:p w:rsidR="00F57F75" w:rsidRPr="002A7A24" w:rsidRDefault="00F57F75" w:rsidP="00A26BFC">
            <w:pPr>
              <w:spacing w:before="0"/>
              <w:jc w:val="both"/>
              <w:rPr>
                <w:b/>
                <w:bCs/>
              </w:rPr>
            </w:pPr>
          </w:p>
        </w:tc>
      </w:tr>
      <w:tr w:rsidR="00F57F75" w:rsidRPr="002A7A24">
        <w:trPr>
          <w:cantSplit/>
          <w:trHeight w:val="20"/>
        </w:trPr>
        <w:tc>
          <w:tcPr>
            <w:tcW w:w="6912" w:type="dxa"/>
            <w:tcBorders>
              <w:top w:val="single" w:sz="12" w:space="0" w:color="auto"/>
            </w:tcBorders>
          </w:tcPr>
          <w:p w:rsidR="00F57F75" w:rsidRPr="002A7A24" w:rsidRDefault="00F57F75" w:rsidP="00A26BFC">
            <w:pPr>
              <w:spacing w:before="0"/>
              <w:jc w:val="both"/>
              <w:rPr>
                <w:smallCaps/>
                <w:sz w:val="22"/>
              </w:rPr>
            </w:pPr>
          </w:p>
        </w:tc>
        <w:tc>
          <w:tcPr>
            <w:tcW w:w="3261" w:type="dxa"/>
            <w:tcBorders>
              <w:top w:val="single" w:sz="12" w:space="0" w:color="auto"/>
            </w:tcBorders>
          </w:tcPr>
          <w:p w:rsidR="00F57F75" w:rsidRPr="002A7A24" w:rsidRDefault="00F57F75" w:rsidP="00A26BFC">
            <w:pPr>
              <w:spacing w:before="0"/>
              <w:jc w:val="both"/>
              <w:rPr>
                <w:b/>
                <w:bCs/>
              </w:rPr>
            </w:pPr>
          </w:p>
        </w:tc>
      </w:tr>
      <w:tr w:rsidR="00F57F75" w:rsidRPr="002A7A24">
        <w:trPr>
          <w:cantSplit/>
          <w:trHeight w:val="20"/>
        </w:trPr>
        <w:tc>
          <w:tcPr>
            <w:tcW w:w="6912" w:type="dxa"/>
            <w:vMerge w:val="restart"/>
          </w:tcPr>
          <w:p w:rsidR="00F57F75" w:rsidRPr="002A7A24" w:rsidRDefault="00F57F75" w:rsidP="00A26BFC">
            <w:pPr>
              <w:spacing w:before="0"/>
              <w:jc w:val="both"/>
              <w:rPr>
                <w:rFonts w:cs="Times"/>
                <w:b/>
                <w:bCs/>
                <w:szCs w:val="24"/>
              </w:rPr>
            </w:pPr>
            <w:bookmarkStart w:id="2" w:name="dnum" w:colFirst="1" w:colLast="1"/>
            <w:bookmarkStart w:id="3" w:name="dmeeting" w:colFirst="0" w:colLast="0"/>
            <w:r w:rsidRPr="002A7A24">
              <w:rPr>
                <w:rFonts w:cs="Times"/>
                <w:b/>
                <w:bCs/>
                <w:szCs w:val="24"/>
              </w:rPr>
              <w:t xml:space="preserve">Point de l'ordre du </w:t>
            </w:r>
            <w:proofErr w:type="gramStart"/>
            <w:r w:rsidRPr="002A7A24">
              <w:rPr>
                <w:rFonts w:cs="Times"/>
                <w:b/>
                <w:bCs/>
                <w:szCs w:val="24"/>
              </w:rPr>
              <w:t>jour:</w:t>
            </w:r>
            <w:proofErr w:type="gramEnd"/>
            <w:r w:rsidRPr="002A7A24">
              <w:rPr>
                <w:rFonts w:cs="Times"/>
                <w:b/>
                <w:bCs/>
                <w:szCs w:val="24"/>
              </w:rPr>
              <w:t xml:space="preserve"> ADM 9</w:t>
            </w:r>
          </w:p>
        </w:tc>
        <w:tc>
          <w:tcPr>
            <w:tcW w:w="3261" w:type="dxa"/>
          </w:tcPr>
          <w:p w:rsidR="00F57F75" w:rsidRPr="002A7A24" w:rsidRDefault="00F57F75" w:rsidP="00A26BFC">
            <w:pPr>
              <w:spacing w:before="0"/>
              <w:jc w:val="both"/>
              <w:rPr>
                <w:b/>
                <w:bCs/>
              </w:rPr>
            </w:pPr>
            <w:r w:rsidRPr="002A7A24">
              <w:rPr>
                <w:b/>
                <w:bCs/>
              </w:rPr>
              <w:t>Document C17/64-F</w:t>
            </w:r>
          </w:p>
        </w:tc>
      </w:tr>
      <w:tr w:rsidR="00F57F75" w:rsidRPr="002A7A24">
        <w:trPr>
          <w:cantSplit/>
          <w:trHeight w:val="20"/>
        </w:trPr>
        <w:tc>
          <w:tcPr>
            <w:tcW w:w="6912" w:type="dxa"/>
            <w:vMerge/>
          </w:tcPr>
          <w:p w:rsidR="00F57F75" w:rsidRPr="002A7A24" w:rsidRDefault="00F57F75" w:rsidP="00A26BFC">
            <w:pPr>
              <w:shd w:val="solid" w:color="FFFFFF" w:fill="FFFFFF"/>
              <w:spacing w:before="180"/>
              <w:jc w:val="both"/>
              <w:rPr>
                <w:smallCaps/>
              </w:rPr>
            </w:pPr>
            <w:bookmarkStart w:id="4" w:name="ddate" w:colFirst="1" w:colLast="1"/>
            <w:bookmarkEnd w:id="2"/>
            <w:bookmarkEnd w:id="3"/>
          </w:p>
        </w:tc>
        <w:tc>
          <w:tcPr>
            <w:tcW w:w="3261" w:type="dxa"/>
          </w:tcPr>
          <w:p w:rsidR="00F57F75" w:rsidRPr="002A7A24" w:rsidRDefault="00F57F75" w:rsidP="00A26BFC">
            <w:pPr>
              <w:spacing w:before="0"/>
              <w:jc w:val="both"/>
              <w:rPr>
                <w:b/>
                <w:bCs/>
              </w:rPr>
            </w:pPr>
            <w:r w:rsidRPr="002A7A24">
              <w:rPr>
                <w:b/>
                <w:bCs/>
              </w:rPr>
              <w:t>21 février 2017</w:t>
            </w:r>
          </w:p>
        </w:tc>
      </w:tr>
      <w:tr w:rsidR="00F57F75" w:rsidRPr="002A7A24">
        <w:trPr>
          <w:cantSplit/>
          <w:trHeight w:val="20"/>
        </w:trPr>
        <w:tc>
          <w:tcPr>
            <w:tcW w:w="6912" w:type="dxa"/>
            <w:vMerge/>
          </w:tcPr>
          <w:p w:rsidR="00F57F75" w:rsidRPr="002A7A24" w:rsidRDefault="00F57F75" w:rsidP="00A26BFC">
            <w:pPr>
              <w:shd w:val="solid" w:color="FFFFFF" w:fill="FFFFFF"/>
              <w:spacing w:before="180"/>
              <w:jc w:val="both"/>
              <w:rPr>
                <w:smallCaps/>
              </w:rPr>
            </w:pPr>
            <w:bookmarkStart w:id="5" w:name="dorlang" w:colFirst="1" w:colLast="1"/>
            <w:bookmarkEnd w:id="4"/>
          </w:p>
        </w:tc>
        <w:tc>
          <w:tcPr>
            <w:tcW w:w="3261" w:type="dxa"/>
          </w:tcPr>
          <w:p w:rsidR="00F57F75" w:rsidRPr="002A7A24" w:rsidRDefault="00F57F75" w:rsidP="00A26BFC">
            <w:pPr>
              <w:spacing w:before="0"/>
              <w:jc w:val="both"/>
              <w:rPr>
                <w:b/>
                <w:bCs/>
              </w:rPr>
            </w:pPr>
            <w:proofErr w:type="gramStart"/>
            <w:r w:rsidRPr="002A7A24">
              <w:rPr>
                <w:b/>
                <w:bCs/>
              </w:rPr>
              <w:t>Original:</w:t>
            </w:r>
            <w:proofErr w:type="gramEnd"/>
            <w:r w:rsidRPr="002A7A24">
              <w:rPr>
                <w:b/>
                <w:bCs/>
              </w:rPr>
              <w:t xml:space="preserve"> anglais</w:t>
            </w:r>
          </w:p>
        </w:tc>
      </w:tr>
      <w:tr w:rsidR="00F57F75" w:rsidRPr="002A7A24">
        <w:trPr>
          <w:cantSplit/>
        </w:trPr>
        <w:tc>
          <w:tcPr>
            <w:tcW w:w="10173" w:type="dxa"/>
            <w:gridSpan w:val="2"/>
          </w:tcPr>
          <w:p w:rsidR="00F57F75" w:rsidRPr="002A7A24" w:rsidRDefault="00F57F75" w:rsidP="00164958">
            <w:pPr>
              <w:pStyle w:val="Source"/>
            </w:pPr>
            <w:bookmarkStart w:id="6" w:name="dsource" w:colFirst="0" w:colLast="0"/>
            <w:bookmarkEnd w:id="5"/>
            <w:r w:rsidRPr="002A7A24">
              <w:t>Rapport du Secrétaire général</w:t>
            </w:r>
          </w:p>
        </w:tc>
      </w:tr>
      <w:tr w:rsidR="00F57F75" w:rsidRPr="002A7A24">
        <w:trPr>
          <w:cantSplit/>
        </w:trPr>
        <w:tc>
          <w:tcPr>
            <w:tcW w:w="10173" w:type="dxa"/>
            <w:gridSpan w:val="2"/>
          </w:tcPr>
          <w:p w:rsidR="00F57F75" w:rsidRPr="002A7A24" w:rsidRDefault="00F57F75" w:rsidP="00164958">
            <w:pPr>
              <w:pStyle w:val="Title1"/>
            </w:pPr>
            <w:bookmarkStart w:id="7" w:name="lt_pId012"/>
            <w:bookmarkStart w:id="8" w:name="dtitle1" w:colFirst="0" w:colLast="0"/>
            <w:bookmarkEnd w:id="6"/>
            <w:r w:rsidRPr="002A7A24">
              <w:rPr>
                <w:szCs w:val="28"/>
              </w:rPr>
              <w:t>cadre de responsabilisation et de transparence</w:t>
            </w:r>
            <w:bookmarkStart w:id="9" w:name="lt_pId013"/>
            <w:bookmarkEnd w:id="7"/>
            <w:r w:rsidRPr="002A7A24">
              <w:rPr>
                <w:szCs w:val="28"/>
              </w:rPr>
              <w:br/>
              <w:t>Union Internationale des T</w:t>
            </w:r>
            <w:r w:rsidR="00D57363">
              <w:rPr>
                <w:szCs w:val="28"/>
              </w:rPr>
              <w:t>É</w:t>
            </w:r>
            <w:r w:rsidRPr="002A7A24">
              <w:rPr>
                <w:szCs w:val="28"/>
              </w:rPr>
              <w:t>l</w:t>
            </w:r>
            <w:r w:rsidR="00D57363">
              <w:rPr>
                <w:szCs w:val="28"/>
              </w:rPr>
              <w:t>É</w:t>
            </w:r>
            <w:r w:rsidRPr="002A7A24">
              <w:rPr>
                <w:szCs w:val="28"/>
              </w:rPr>
              <w:t>communications</w:t>
            </w:r>
            <w:bookmarkEnd w:id="9"/>
          </w:p>
        </w:tc>
      </w:tr>
    </w:tbl>
    <w:p w:rsidR="00F57F75" w:rsidRPr="002A7A24" w:rsidRDefault="00F57F75" w:rsidP="00A26BFC">
      <w:pPr>
        <w:jc w:val="both"/>
      </w:pPr>
      <w:bookmarkStart w:id="10" w:name="_GoBack"/>
      <w:bookmarkEnd w:id="8"/>
      <w:bookmarkEnd w:id="10"/>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F57F75" w:rsidRPr="002A7A24">
        <w:trPr>
          <w:trHeight w:val="3372"/>
        </w:trPr>
        <w:tc>
          <w:tcPr>
            <w:tcW w:w="8080" w:type="dxa"/>
            <w:tcBorders>
              <w:top w:val="single" w:sz="12" w:space="0" w:color="auto"/>
              <w:left w:val="single" w:sz="12" w:space="0" w:color="auto"/>
              <w:bottom w:val="single" w:sz="12" w:space="0" w:color="auto"/>
              <w:right w:val="single" w:sz="12" w:space="0" w:color="auto"/>
            </w:tcBorders>
          </w:tcPr>
          <w:p w:rsidR="00F57F75" w:rsidRPr="002A7A24" w:rsidRDefault="00F57F75" w:rsidP="00A26BFC">
            <w:pPr>
              <w:pStyle w:val="Headingb"/>
              <w:jc w:val="both"/>
            </w:pPr>
            <w:r w:rsidRPr="002A7A24">
              <w:t>Résumé</w:t>
            </w:r>
          </w:p>
          <w:p w:rsidR="00F57F75" w:rsidRPr="002A7A24" w:rsidRDefault="00F57F75" w:rsidP="00164958">
            <w:r w:rsidRPr="002A7A24">
              <w:rPr>
                <w:color w:val="000000"/>
              </w:rPr>
              <w:t>L'examen par le CCI de la gestion et de l'administration de l'UIT</w:t>
            </w:r>
            <w:r w:rsidR="00A26BFC" w:rsidRPr="002A7A24">
              <w:rPr>
                <w:szCs w:val="24"/>
              </w:rPr>
              <w:t xml:space="preserve"> </w:t>
            </w:r>
            <w:r w:rsidRPr="002A7A24">
              <w:rPr>
                <w:szCs w:val="24"/>
              </w:rPr>
              <w:t>effectué en</w:t>
            </w:r>
            <w:r w:rsidR="00A26BFC" w:rsidRPr="002A7A24">
              <w:rPr>
                <w:szCs w:val="24"/>
              </w:rPr>
              <w:t xml:space="preserve"> </w:t>
            </w:r>
            <w:r w:rsidRPr="002A7A24">
              <w:rPr>
                <w:szCs w:val="24"/>
              </w:rPr>
              <w:t>2015 (</w:t>
            </w:r>
            <w:hyperlink r:id="rId8" w:history="1">
              <w:r w:rsidRPr="002A7A24">
                <w:rPr>
                  <w:rStyle w:val="Hyperlink"/>
                  <w:szCs w:val="24"/>
                </w:rPr>
                <w:t>JIU/REP/2016/1</w:t>
              </w:r>
            </w:hyperlink>
            <w:r w:rsidRPr="002A7A24">
              <w:rPr>
                <w:szCs w:val="24"/>
              </w:rPr>
              <w:t>) comprend une</w:t>
            </w:r>
            <w:r w:rsidR="00A26BFC" w:rsidRPr="002A7A24">
              <w:rPr>
                <w:szCs w:val="24"/>
              </w:rPr>
              <w:t xml:space="preserve"> </w:t>
            </w:r>
            <w:r w:rsidRPr="002A7A24">
              <w:rPr>
                <w:color w:val="000000"/>
              </w:rPr>
              <w:t>recommandation officielle</w:t>
            </w:r>
            <w:r w:rsidRPr="002A7A24">
              <w:rPr>
                <w:szCs w:val="24"/>
              </w:rPr>
              <w:t>,</w:t>
            </w:r>
            <w:r w:rsidR="00A26BFC" w:rsidRPr="002A7A24">
              <w:rPr>
                <w:szCs w:val="24"/>
              </w:rPr>
              <w:t xml:space="preserve"> </w:t>
            </w:r>
            <w:r w:rsidRPr="002A7A24">
              <w:rPr>
                <w:szCs w:val="24"/>
              </w:rPr>
              <w:t>que la direction de</w:t>
            </w:r>
            <w:r w:rsidR="00A26BFC" w:rsidRPr="002A7A24">
              <w:rPr>
                <w:szCs w:val="24"/>
              </w:rPr>
              <w:t xml:space="preserve"> </w:t>
            </w:r>
            <w:r w:rsidRPr="002A7A24">
              <w:rPr>
                <w:szCs w:val="24"/>
              </w:rPr>
              <w:t>l</w:t>
            </w:r>
            <w:r w:rsidR="00A26BFC" w:rsidRPr="002A7A24">
              <w:rPr>
                <w:szCs w:val="24"/>
              </w:rPr>
              <w:t>'</w:t>
            </w:r>
            <w:r w:rsidRPr="002A7A24">
              <w:rPr>
                <w:szCs w:val="24"/>
              </w:rPr>
              <w:t>UIT a acceptée</w:t>
            </w:r>
            <w:r w:rsidR="00A26BFC" w:rsidRPr="002A7A24">
              <w:rPr>
                <w:szCs w:val="24"/>
              </w:rPr>
              <w:t>,</w:t>
            </w:r>
            <w:r w:rsidRPr="002A7A24">
              <w:rPr>
                <w:szCs w:val="24"/>
              </w:rPr>
              <w:t xml:space="preserve"> selon laquelle</w:t>
            </w:r>
            <w:r w:rsidR="00A26BFC" w:rsidRPr="002A7A24">
              <w:rPr>
                <w:szCs w:val="24"/>
              </w:rPr>
              <w:t xml:space="preserve"> </w:t>
            </w:r>
            <w:r w:rsidRPr="002A7A24">
              <w:rPr>
                <w:szCs w:val="24"/>
              </w:rPr>
              <w:t>le</w:t>
            </w:r>
            <w:r w:rsidRPr="002A7A24">
              <w:rPr>
                <w:color w:val="000000"/>
              </w:rPr>
              <w:t xml:space="preserve"> </w:t>
            </w:r>
            <w:r w:rsidR="00A26BFC" w:rsidRPr="002A7A24">
              <w:rPr>
                <w:color w:val="000000"/>
              </w:rPr>
              <w:t>"</w:t>
            </w:r>
            <w:r w:rsidRPr="002A7A24">
              <w:rPr>
                <w:color w:val="000000"/>
              </w:rPr>
              <w:t>Secrétaire général de l</w:t>
            </w:r>
            <w:r w:rsidR="00A26BFC" w:rsidRPr="002A7A24">
              <w:rPr>
                <w:color w:val="000000"/>
              </w:rPr>
              <w:t>'</w:t>
            </w:r>
            <w:r w:rsidRPr="002A7A24">
              <w:rPr>
                <w:color w:val="000000"/>
              </w:rPr>
              <w:t>UIT</w:t>
            </w:r>
            <w:r w:rsidR="00A26BFC" w:rsidRPr="002A7A24">
              <w:rPr>
                <w:color w:val="000000"/>
              </w:rPr>
              <w:t xml:space="preserve"> </w:t>
            </w:r>
            <w:r w:rsidRPr="002A7A24">
              <w:rPr>
                <w:color w:val="000000"/>
              </w:rPr>
              <w:t>devrait poursuivre l'élaboration et la fusion des éléments fondamentaux de la responsabilisation dans un cadre de responsabilisation de l</w:t>
            </w:r>
            <w:r w:rsidR="00A26BFC" w:rsidRPr="002A7A24">
              <w:rPr>
                <w:color w:val="000000"/>
              </w:rPr>
              <w:t>'</w:t>
            </w:r>
            <w:r w:rsidRPr="002A7A24">
              <w:rPr>
                <w:color w:val="000000"/>
              </w:rPr>
              <w:t>UIT</w:t>
            </w:r>
            <w:r w:rsidR="00A26BFC" w:rsidRPr="002A7A24">
              <w:rPr>
                <w:color w:val="000000"/>
              </w:rPr>
              <w:t xml:space="preserve"> </w:t>
            </w:r>
            <w:r w:rsidRPr="002A7A24">
              <w:rPr>
                <w:color w:val="000000"/>
              </w:rPr>
              <w:t>distinct, le présenter au Conseil pour approbation à sa session de 2017 et faire rapport chaque année</w:t>
            </w:r>
            <w:r w:rsidR="00A26BFC" w:rsidRPr="002A7A24">
              <w:rPr>
                <w:color w:val="000000"/>
              </w:rPr>
              <w:t xml:space="preserve"> </w:t>
            </w:r>
            <w:r w:rsidRPr="002A7A24">
              <w:rPr>
                <w:color w:val="000000"/>
              </w:rPr>
              <w:t xml:space="preserve">sur sa mise en </w:t>
            </w:r>
            <w:proofErr w:type="spellStart"/>
            <w:r w:rsidRPr="002A7A24">
              <w:rPr>
                <w:color w:val="000000"/>
              </w:rPr>
              <w:t>oeuvre</w:t>
            </w:r>
            <w:proofErr w:type="spellEnd"/>
            <w:r w:rsidR="00D57363">
              <w:rPr>
                <w:color w:val="000000"/>
              </w:rPr>
              <w:t>"</w:t>
            </w:r>
            <w:r w:rsidR="00A26BFC" w:rsidRPr="002A7A24">
              <w:rPr>
                <w:color w:val="000000"/>
              </w:rPr>
              <w:t>.</w:t>
            </w:r>
          </w:p>
          <w:p w:rsidR="00F57F75" w:rsidRPr="002A7A24" w:rsidRDefault="00F57F75" w:rsidP="00A26BFC">
            <w:pPr>
              <w:pStyle w:val="Headingb"/>
              <w:jc w:val="both"/>
            </w:pPr>
            <w:r w:rsidRPr="002A7A24">
              <w:t>Suite à donner</w:t>
            </w:r>
          </w:p>
          <w:p w:rsidR="00F57F75" w:rsidRPr="002A7A24" w:rsidRDefault="00A26BFC" w:rsidP="00164958">
            <w:bookmarkStart w:id="11" w:name="lt_pId017"/>
            <w:r w:rsidRPr="002A7A24">
              <w:rPr>
                <w:lang w:eastAsia="fr-FR"/>
              </w:rPr>
              <w:t>Le Conseil est invité</w:t>
            </w:r>
            <w:r w:rsidR="00F57F75" w:rsidRPr="002A7A24">
              <w:rPr>
                <w:lang w:eastAsia="fr-FR"/>
              </w:rPr>
              <w:t xml:space="preserve"> à </w:t>
            </w:r>
            <w:r w:rsidR="00F57F75" w:rsidRPr="002A7A24">
              <w:rPr>
                <w:b/>
                <w:bCs/>
                <w:lang w:eastAsia="fr-FR"/>
              </w:rPr>
              <w:t>prendre note</w:t>
            </w:r>
            <w:r w:rsidR="00F57F75" w:rsidRPr="002A7A24">
              <w:rPr>
                <w:lang w:eastAsia="fr-FR"/>
              </w:rPr>
              <w:t xml:space="preserve"> de la mise en </w:t>
            </w:r>
            <w:proofErr w:type="spellStart"/>
            <w:r w:rsidR="00F57F75" w:rsidRPr="002A7A24">
              <w:rPr>
                <w:lang w:eastAsia="fr-FR"/>
              </w:rPr>
              <w:t>oeuvre</w:t>
            </w:r>
            <w:proofErr w:type="spellEnd"/>
            <w:r w:rsidR="00F57F75" w:rsidRPr="002A7A24">
              <w:rPr>
                <w:lang w:eastAsia="fr-FR"/>
              </w:rPr>
              <w:t xml:space="preserve"> du cadre de responsabilisation et de transparence de</w:t>
            </w:r>
            <w:r w:rsidRPr="002A7A24">
              <w:rPr>
                <w:lang w:eastAsia="fr-FR"/>
              </w:rPr>
              <w:t xml:space="preserve"> </w:t>
            </w:r>
            <w:r w:rsidR="00F57F75" w:rsidRPr="002A7A24">
              <w:rPr>
                <w:color w:val="000000"/>
              </w:rPr>
              <w:t>l'UIT</w:t>
            </w:r>
            <w:bookmarkEnd w:id="11"/>
            <w:r w:rsidR="00164958" w:rsidRPr="002A7A24">
              <w:rPr>
                <w:color w:val="000000"/>
              </w:rPr>
              <w:t>.</w:t>
            </w:r>
          </w:p>
          <w:p w:rsidR="00F57F75" w:rsidRPr="002A7A24" w:rsidRDefault="00F57F75" w:rsidP="00164958">
            <w:pPr>
              <w:pStyle w:val="Table"/>
              <w:keepNext w:val="0"/>
              <w:spacing w:before="0" w:after="0"/>
              <w:rPr>
                <w:rFonts w:ascii="Calibri" w:hAnsi="Calibri"/>
                <w:caps w:val="0"/>
                <w:sz w:val="22"/>
                <w:lang w:val="fr-FR"/>
              </w:rPr>
            </w:pPr>
            <w:r w:rsidRPr="002A7A24">
              <w:rPr>
                <w:rFonts w:ascii="Calibri" w:hAnsi="Calibri"/>
                <w:caps w:val="0"/>
                <w:sz w:val="22"/>
                <w:lang w:val="fr-FR"/>
              </w:rPr>
              <w:t>____________</w:t>
            </w:r>
          </w:p>
          <w:p w:rsidR="00F57F75" w:rsidRPr="002A7A24" w:rsidRDefault="00F57F75" w:rsidP="00A26BFC">
            <w:pPr>
              <w:pStyle w:val="Headingb"/>
              <w:jc w:val="both"/>
            </w:pPr>
            <w:r w:rsidRPr="002A7A24">
              <w:t>Références</w:t>
            </w:r>
          </w:p>
          <w:p w:rsidR="00F57F75" w:rsidRPr="002A7A24" w:rsidRDefault="00F57F75" w:rsidP="00164958">
            <w:pPr>
              <w:spacing w:after="120"/>
              <w:jc w:val="both"/>
              <w:rPr>
                <w:i/>
                <w:iCs/>
              </w:rPr>
            </w:pPr>
            <w:bookmarkStart w:id="12" w:name="lt_pId020"/>
            <w:r w:rsidRPr="002A7A24">
              <w:rPr>
                <w:lang w:eastAsia="fr-FR"/>
              </w:rPr>
              <w:t>Rapports</w:t>
            </w:r>
            <w:r w:rsidR="00A26BFC" w:rsidRPr="002A7A24">
              <w:rPr>
                <w:lang w:eastAsia="fr-FR"/>
              </w:rPr>
              <w:t xml:space="preserve"> </w:t>
            </w:r>
            <w:r w:rsidRPr="002A7A24">
              <w:rPr>
                <w:lang w:eastAsia="fr-FR"/>
              </w:rPr>
              <w:t>du CCI</w:t>
            </w:r>
            <w:r w:rsidR="00A26BFC" w:rsidRPr="002A7A24">
              <w:rPr>
                <w:lang w:eastAsia="fr-FR"/>
              </w:rPr>
              <w:t xml:space="preserve"> </w:t>
            </w:r>
            <w:hyperlink r:id="rId9" w:history="1">
              <w:r w:rsidRPr="002A7A24">
                <w:rPr>
                  <w:rStyle w:val="Hyperlink"/>
                  <w:szCs w:val="24"/>
                  <w:lang w:eastAsia="fr-FR"/>
                </w:rPr>
                <w:t>JIU/REP/2011/5</w:t>
              </w:r>
            </w:hyperlink>
            <w:r w:rsidR="00164958" w:rsidRPr="002A7A24">
              <w:t>, e</w:t>
            </w:r>
            <w:r w:rsidRPr="002A7A24">
              <w:t xml:space="preserve">t </w:t>
            </w:r>
            <w:hyperlink r:id="rId10" w:history="1">
              <w:r w:rsidRPr="002A7A24">
                <w:rPr>
                  <w:rStyle w:val="Hyperlink"/>
                  <w:szCs w:val="24"/>
                  <w:lang w:eastAsia="fr-FR"/>
                </w:rPr>
                <w:t>JIU/REP/2016/1</w:t>
              </w:r>
            </w:hyperlink>
            <w:r w:rsidR="00A26BFC" w:rsidRPr="002A7A24">
              <w:t xml:space="preserve"> </w:t>
            </w:r>
            <w:r w:rsidRPr="002A7A24">
              <w:t>et</w:t>
            </w:r>
            <w:r w:rsidR="00A26BFC" w:rsidRPr="002A7A24">
              <w:t xml:space="preserve"> </w:t>
            </w:r>
            <w:hyperlink r:id="rId11" w:history="1">
              <w:r w:rsidR="00A26BFC" w:rsidRPr="002A7A24">
                <w:rPr>
                  <w:rStyle w:val="Hyperlink"/>
                  <w:szCs w:val="24"/>
                  <w:lang w:eastAsia="fr-FR"/>
                </w:rPr>
                <w:t xml:space="preserve">Résolution </w:t>
              </w:r>
              <w:r w:rsidRPr="002A7A24">
                <w:rPr>
                  <w:rStyle w:val="Hyperlink"/>
                  <w:szCs w:val="24"/>
                  <w:lang w:eastAsia="fr-FR"/>
                </w:rPr>
                <w:t>64/259</w:t>
              </w:r>
            </w:hyperlink>
            <w:r w:rsidRPr="002A7A24">
              <w:t xml:space="preserve"> de l</w:t>
            </w:r>
            <w:r w:rsidR="00A26BFC" w:rsidRPr="002A7A24">
              <w:t>'</w:t>
            </w:r>
            <w:r w:rsidRPr="002A7A24">
              <w:t>Assemblée générale des Nations Unies</w:t>
            </w:r>
            <w:bookmarkEnd w:id="12"/>
            <w:r w:rsidR="00D57363">
              <w:t>.</w:t>
            </w:r>
          </w:p>
        </w:tc>
      </w:tr>
    </w:tbl>
    <w:p w:rsidR="00F57F75" w:rsidRPr="002A7A24" w:rsidRDefault="00F57F75" w:rsidP="00164958">
      <w:pPr>
        <w:pStyle w:val="Heading1"/>
      </w:pPr>
      <w:bookmarkStart w:id="13" w:name="lt_pId021"/>
      <w:r w:rsidRPr="002A7A24">
        <w:t>I</w:t>
      </w:r>
      <w:bookmarkEnd w:id="13"/>
      <w:r w:rsidR="00A26BFC" w:rsidRPr="002A7A24">
        <w:tab/>
      </w:r>
      <w:r w:rsidRPr="002A7A24">
        <w:t>Rappel</w:t>
      </w:r>
    </w:p>
    <w:p w:rsidR="00F57F75" w:rsidRPr="002A7A24" w:rsidRDefault="00164958" w:rsidP="00164958">
      <w:pPr>
        <w:rPr>
          <w:szCs w:val="24"/>
        </w:rPr>
      </w:pPr>
      <w:r w:rsidRPr="002A7A24">
        <w:rPr>
          <w:szCs w:val="24"/>
        </w:rPr>
        <w:t>1</w:t>
      </w:r>
      <w:r w:rsidR="00F57F75" w:rsidRPr="002A7A24">
        <w:rPr>
          <w:szCs w:val="24"/>
        </w:rPr>
        <w:tab/>
      </w:r>
      <w:bookmarkStart w:id="14" w:name="lt_pId023"/>
      <w:r w:rsidR="00F57F75" w:rsidRPr="002A7A24">
        <w:t>Le Corps commun d</w:t>
      </w:r>
      <w:r w:rsidR="00A26BFC" w:rsidRPr="002A7A24">
        <w:t>'</w:t>
      </w:r>
      <w:r w:rsidR="00F57F75" w:rsidRPr="002A7A24">
        <w:t>inspection</w:t>
      </w:r>
      <w:r w:rsidR="00A26BFC" w:rsidRPr="002A7A24">
        <w:rPr>
          <w:szCs w:val="24"/>
        </w:rPr>
        <w:t xml:space="preserve"> </w:t>
      </w:r>
      <w:r w:rsidR="00F57F75" w:rsidRPr="002A7A24">
        <w:rPr>
          <w:szCs w:val="24"/>
        </w:rPr>
        <w:t>(CCI)</w:t>
      </w:r>
      <w:r w:rsidR="00A26BFC" w:rsidRPr="002A7A24">
        <w:rPr>
          <w:szCs w:val="24"/>
        </w:rPr>
        <w:t xml:space="preserve">, </w:t>
      </w:r>
      <w:r w:rsidR="00F57F75" w:rsidRPr="002A7A24">
        <w:rPr>
          <w:szCs w:val="24"/>
        </w:rPr>
        <w:t>dans le rapport sur les</w:t>
      </w:r>
      <w:r w:rsidR="00A26BFC" w:rsidRPr="002A7A24">
        <w:rPr>
          <w:szCs w:val="24"/>
        </w:rPr>
        <w:t xml:space="preserve"> "</w:t>
      </w:r>
      <w:r w:rsidR="00F57F75" w:rsidRPr="002A7A24">
        <w:t>Dispositifs d</w:t>
      </w:r>
      <w:r w:rsidR="00A26BFC" w:rsidRPr="002A7A24">
        <w:t>'</w:t>
      </w:r>
      <w:r w:rsidR="00F57F75" w:rsidRPr="002A7A24">
        <w:t>application du principe de responsabilité dans les organismes des Nations Unies</w:t>
      </w:r>
      <w:r w:rsidR="00A26BFC" w:rsidRPr="002A7A24">
        <w:rPr>
          <w:szCs w:val="24"/>
        </w:rPr>
        <w:t xml:space="preserve">" </w:t>
      </w:r>
      <w:r w:rsidR="00F57F75" w:rsidRPr="002A7A24">
        <w:rPr>
          <w:szCs w:val="24"/>
        </w:rPr>
        <w:t>qu</w:t>
      </w:r>
      <w:r w:rsidR="00A26BFC" w:rsidRPr="002A7A24">
        <w:rPr>
          <w:szCs w:val="24"/>
        </w:rPr>
        <w:t>'</w:t>
      </w:r>
      <w:r w:rsidR="00F57F75" w:rsidRPr="002A7A24">
        <w:rPr>
          <w:szCs w:val="24"/>
        </w:rPr>
        <w:t>il a établi en 2011 (</w:t>
      </w:r>
      <w:hyperlink r:id="rId12" w:history="1">
        <w:r w:rsidR="00F57F75" w:rsidRPr="002A7A24">
          <w:rPr>
            <w:rStyle w:val="Hyperlink"/>
            <w:szCs w:val="24"/>
          </w:rPr>
          <w:t>JIU/REP/2011/5</w:t>
        </w:r>
      </w:hyperlink>
      <w:r w:rsidR="00F57F75" w:rsidRPr="002A7A24">
        <w:rPr>
          <w:szCs w:val="24"/>
        </w:rPr>
        <w:t>), a recommandé aux</w:t>
      </w:r>
      <w:r w:rsidR="00F57F75" w:rsidRPr="002A7A24">
        <w:t xml:space="preserve"> chefs de secrétariat des organismes des Nations Unies qui </w:t>
      </w:r>
      <w:proofErr w:type="gramStart"/>
      <w:r w:rsidR="00F57F75" w:rsidRPr="002A7A24">
        <w:t>n</w:t>
      </w:r>
      <w:r w:rsidR="00A26BFC" w:rsidRPr="002A7A24">
        <w:t>'</w:t>
      </w:r>
      <w:r w:rsidR="00F57F75" w:rsidRPr="002A7A24">
        <w:t>ont</w:t>
      </w:r>
      <w:proofErr w:type="gramEnd"/>
      <w:r w:rsidR="00F57F75" w:rsidRPr="002A7A24">
        <w:t xml:space="preserve"> pas encore élaboré de document autonome sur l</w:t>
      </w:r>
      <w:r w:rsidR="00A26BFC" w:rsidRPr="002A7A24">
        <w:t>'</w:t>
      </w:r>
      <w:r w:rsidR="00F57F75" w:rsidRPr="002A7A24">
        <w:t>application du principe de responsabilité</w:t>
      </w:r>
      <w:r w:rsidR="00A26BFC" w:rsidRPr="002A7A24">
        <w:t xml:space="preserve"> </w:t>
      </w:r>
      <w:r w:rsidR="00F57F75" w:rsidRPr="002A7A24">
        <w:t>de le faire à titre prioritaire.</w:t>
      </w:r>
      <w:r w:rsidR="00F57F75" w:rsidRPr="002A7A24">
        <w:rPr>
          <w:color w:val="000000"/>
        </w:rPr>
        <w:t xml:space="preserve"> L'examen par le CCI de la gestion</w:t>
      </w:r>
      <w:r w:rsidR="00A26BFC" w:rsidRPr="002A7A24">
        <w:rPr>
          <w:color w:val="000000"/>
        </w:rPr>
        <w:t xml:space="preserve"> </w:t>
      </w:r>
      <w:r w:rsidR="00F57F75" w:rsidRPr="002A7A24">
        <w:rPr>
          <w:color w:val="000000"/>
        </w:rPr>
        <w:t>de l'UIT</w:t>
      </w:r>
      <w:r w:rsidR="00A26BFC" w:rsidRPr="002A7A24">
        <w:rPr>
          <w:szCs w:val="24"/>
        </w:rPr>
        <w:t xml:space="preserve"> </w:t>
      </w:r>
      <w:r w:rsidR="00F57F75" w:rsidRPr="002A7A24">
        <w:rPr>
          <w:szCs w:val="24"/>
        </w:rPr>
        <w:t>effectué en</w:t>
      </w:r>
      <w:r w:rsidR="00A26BFC" w:rsidRPr="002A7A24">
        <w:rPr>
          <w:szCs w:val="24"/>
        </w:rPr>
        <w:t xml:space="preserve"> </w:t>
      </w:r>
      <w:r w:rsidR="00F57F75" w:rsidRPr="002A7A24">
        <w:rPr>
          <w:szCs w:val="24"/>
        </w:rPr>
        <w:t>2015 (</w:t>
      </w:r>
      <w:hyperlink r:id="rId13" w:history="1">
        <w:r w:rsidR="00F57F75" w:rsidRPr="002A7A24">
          <w:rPr>
            <w:rStyle w:val="Hyperlink"/>
            <w:szCs w:val="24"/>
          </w:rPr>
          <w:t>JIU/REP/2016/1</w:t>
        </w:r>
      </w:hyperlink>
      <w:r w:rsidR="00F57F75" w:rsidRPr="002A7A24">
        <w:rPr>
          <w:szCs w:val="24"/>
        </w:rPr>
        <w:t>) comprend une</w:t>
      </w:r>
      <w:r w:rsidR="00A26BFC" w:rsidRPr="002A7A24">
        <w:rPr>
          <w:szCs w:val="24"/>
        </w:rPr>
        <w:t xml:space="preserve"> </w:t>
      </w:r>
      <w:r w:rsidR="00F57F75" w:rsidRPr="002A7A24">
        <w:rPr>
          <w:color w:val="000000"/>
        </w:rPr>
        <w:t>recommandation officielle</w:t>
      </w:r>
      <w:r w:rsidR="00F57F75" w:rsidRPr="002A7A24">
        <w:rPr>
          <w:szCs w:val="24"/>
        </w:rPr>
        <w:t>,</w:t>
      </w:r>
      <w:r w:rsidR="00A26BFC" w:rsidRPr="002A7A24">
        <w:rPr>
          <w:szCs w:val="24"/>
        </w:rPr>
        <w:t xml:space="preserve"> </w:t>
      </w:r>
      <w:r w:rsidR="00F57F75" w:rsidRPr="002A7A24">
        <w:rPr>
          <w:szCs w:val="24"/>
        </w:rPr>
        <w:t>que la direction de</w:t>
      </w:r>
      <w:r w:rsidR="00A26BFC" w:rsidRPr="002A7A24">
        <w:rPr>
          <w:szCs w:val="24"/>
        </w:rPr>
        <w:t xml:space="preserve"> </w:t>
      </w:r>
      <w:r w:rsidR="00F57F75" w:rsidRPr="002A7A24">
        <w:rPr>
          <w:szCs w:val="24"/>
        </w:rPr>
        <w:t>l</w:t>
      </w:r>
      <w:r w:rsidR="00A26BFC" w:rsidRPr="002A7A24">
        <w:rPr>
          <w:szCs w:val="24"/>
        </w:rPr>
        <w:t>'</w:t>
      </w:r>
      <w:r w:rsidR="00F57F75" w:rsidRPr="002A7A24">
        <w:rPr>
          <w:szCs w:val="24"/>
        </w:rPr>
        <w:t>UIT a acceptée</w:t>
      </w:r>
      <w:r w:rsidR="00A26BFC" w:rsidRPr="002A7A24">
        <w:rPr>
          <w:szCs w:val="24"/>
        </w:rPr>
        <w:t>,</w:t>
      </w:r>
      <w:r w:rsidR="00F57F75" w:rsidRPr="002A7A24">
        <w:rPr>
          <w:szCs w:val="24"/>
        </w:rPr>
        <w:t xml:space="preserve"> selon laquelle</w:t>
      </w:r>
      <w:r w:rsidR="00A26BFC" w:rsidRPr="002A7A24">
        <w:rPr>
          <w:szCs w:val="24"/>
        </w:rPr>
        <w:t xml:space="preserve"> </w:t>
      </w:r>
      <w:r w:rsidR="00F57F75" w:rsidRPr="002A7A24">
        <w:rPr>
          <w:szCs w:val="24"/>
        </w:rPr>
        <w:t>le</w:t>
      </w:r>
      <w:r w:rsidR="00F57F75" w:rsidRPr="002A7A24">
        <w:rPr>
          <w:color w:val="000000"/>
        </w:rPr>
        <w:t xml:space="preserve"> </w:t>
      </w:r>
      <w:r w:rsidR="00A26BFC" w:rsidRPr="002A7A24">
        <w:rPr>
          <w:color w:val="000000"/>
        </w:rPr>
        <w:t>"</w:t>
      </w:r>
      <w:r w:rsidR="00F57F75" w:rsidRPr="002A7A24">
        <w:rPr>
          <w:color w:val="000000"/>
        </w:rPr>
        <w:t>Secrétaire général de l</w:t>
      </w:r>
      <w:r w:rsidR="00A26BFC" w:rsidRPr="002A7A24">
        <w:rPr>
          <w:color w:val="000000"/>
        </w:rPr>
        <w:t>'</w:t>
      </w:r>
      <w:r w:rsidR="00F57F75" w:rsidRPr="002A7A24">
        <w:rPr>
          <w:color w:val="000000"/>
        </w:rPr>
        <w:t>UIT</w:t>
      </w:r>
      <w:r w:rsidR="00A26BFC" w:rsidRPr="002A7A24">
        <w:rPr>
          <w:color w:val="000000"/>
        </w:rPr>
        <w:t xml:space="preserve"> </w:t>
      </w:r>
      <w:r w:rsidR="00F57F75" w:rsidRPr="002A7A24">
        <w:rPr>
          <w:color w:val="000000"/>
        </w:rPr>
        <w:t>devrait poursuivre l'élaboration et la fusion des éléments fondamentaux de la responsabilisation dans un cadre de responsabilisation de l</w:t>
      </w:r>
      <w:r w:rsidR="00A26BFC" w:rsidRPr="002A7A24">
        <w:rPr>
          <w:color w:val="000000"/>
        </w:rPr>
        <w:t>'</w:t>
      </w:r>
      <w:r w:rsidR="00F57F75" w:rsidRPr="002A7A24">
        <w:rPr>
          <w:color w:val="000000"/>
        </w:rPr>
        <w:t>UIT distinct, le présenter au Conseil pour approbation à sa session de 2017 et faire rapport chaque année</w:t>
      </w:r>
      <w:r w:rsidR="00A26BFC" w:rsidRPr="002A7A24">
        <w:rPr>
          <w:color w:val="000000"/>
        </w:rPr>
        <w:t xml:space="preserve"> </w:t>
      </w:r>
      <w:r w:rsidR="00F57F75" w:rsidRPr="002A7A24">
        <w:rPr>
          <w:color w:val="000000"/>
        </w:rPr>
        <w:t xml:space="preserve">sur sa mise en </w:t>
      </w:r>
      <w:proofErr w:type="spellStart"/>
      <w:r w:rsidR="00F57F75" w:rsidRPr="002A7A24">
        <w:rPr>
          <w:color w:val="000000"/>
        </w:rPr>
        <w:t>oeuvre</w:t>
      </w:r>
      <w:bookmarkStart w:id="15" w:name="lt_pId024"/>
      <w:bookmarkEnd w:id="14"/>
      <w:proofErr w:type="spellEnd"/>
      <w:r w:rsidR="00A26BFC" w:rsidRPr="002A7A24">
        <w:rPr>
          <w:szCs w:val="24"/>
        </w:rPr>
        <w:t>"</w:t>
      </w:r>
      <w:bookmarkEnd w:id="15"/>
      <w:r w:rsidR="00A26BFC" w:rsidRPr="002A7A24">
        <w:rPr>
          <w:szCs w:val="24"/>
        </w:rPr>
        <w:t>.</w:t>
      </w:r>
    </w:p>
    <w:p w:rsidR="00F57F75" w:rsidRPr="002A7A24" w:rsidRDefault="00F57F75" w:rsidP="00164958">
      <w:pPr>
        <w:pStyle w:val="Heading1"/>
      </w:pPr>
      <w:bookmarkStart w:id="16" w:name="lt_pId025"/>
      <w:r w:rsidRPr="002A7A24">
        <w:lastRenderedPageBreak/>
        <w:t>II</w:t>
      </w:r>
      <w:bookmarkStart w:id="17" w:name="lt_pId026"/>
      <w:bookmarkEnd w:id="16"/>
      <w:r w:rsidR="00164958" w:rsidRPr="002A7A24">
        <w:tab/>
      </w:r>
      <w:r w:rsidRPr="002A7A24">
        <w:t>Introduction</w:t>
      </w:r>
      <w:bookmarkEnd w:id="17"/>
    </w:p>
    <w:p w:rsidR="00F57F75" w:rsidRPr="002A7A24" w:rsidRDefault="00164958" w:rsidP="00FD33F8">
      <w:pPr>
        <w:rPr>
          <w:i/>
          <w:iCs/>
        </w:rPr>
      </w:pPr>
      <w:r w:rsidRPr="002A7A24">
        <w:t>2</w:t>
      </w:r>
      <w:r w:rsidR="00F57F75" w:rsidRPr="002A7A24">
        <w:tab/>
      </w:r>
      <w:bookmarkStart w:id="18" w:name="lt_pId028"/>
      <w:r w:rsidR="00F57F75" w:rsidRPr="002A7A24">
        <w:t>La</w:t>
      </w:r>
      <w:r w:rsidR="00A26BFC" w:rsidRPr="002A7A24">
        <w:t xml:space="preserve"> </w:t>
      </w:r>
      <w:r w:rsidR="00F57F75" w:rsidRPr="002A7A24">
        <w:t>notion</w:t>
      </w:r>
      <w:r w:rsidR="00A26BFC" w:rsidRPr="002A7A24">
        <w:t xml:space="preserve"> </w:t>
      </w:r>
      <w:r w:rsidR="00F57F75" w:rsidRPr="002A7A24">
        <w:t xml:space="preserve">de responsabilité est définie dans la </w:t>
      </w:r>
      <w:hyperlink r:id="rId14" w:history="1">
        <w:r w:rsidR="00A26BFC" w:rsidRPr="002A7A24">
          <w:rPr>
            <w:rStyle w:val="Hyperlink"/>
            <w:szCs w:val="24"/>
          </w:rPr>
          <w:t xml:space="preserve">Résolution </w:t>
        </w:r>
        <w:r w:rsidR="00F57F75" w:rsidRPr="002A7A24">
          <w:rPr>
            <w:rStyle w:val="Hyperlink"/>
            <w:szCs w:val="24"/>
          </w:rPr>
          <w:t>64/259</w:t>
        </w:r>
      </w:hyperlink>
      <w:r w:rsidR="00F57F75" w:rsidRPr="002A7A24">
        <w:t xml:space="preserve"> de l</w:t>
      </w:r>
      <w:r w:rsidR="00A26BFC" w:rsidRPr="002A7A24">
        <w:t>'</w:t>
      </w:r>
      <w:r w:rsidR="00F57F75" w:rsidRPr="002A7A24">
        <w:t>Assemblée générale des Nations Unies</w:t>
      </w:r>
      <w:r w:rsidR="00A26BFC" w:rsidRPr="002A7A24">
        <w:t xml:space="preserve"> </w:t>
      </w:r>
      <w:r w:rsidR="00F57F75" w:rsidRPr="002A7A24">
        <w:t xml:space="preserve">de la façon </w:t>
      </w:r>
      <w:proofErr w:type="gramStart"/>
      <w:r w:rsidR="00F57F75" w:rsidRPr="002A7A24">
        <w:t>suivante:</w:t>
      </w:r>
      <w:bookmarkEnd w:id="18"/>
      <w:proofErr w:type="gramEnd"/>
      <w:r w:rsidR="00F57F75" w:rsidRPr="002A7A24">
        <w:t xml:space="preserve"> </w:t>
      </w:r>
      <w:bookmarkStart w:id="19" w:name="lt_pId029"/>
      <w:r w:rsidR="00A26BFC" w:rsidRPr="002A7A24">
        <w:rPr>
          <w:i/>
          <w:iCs/>
        </w:rPr>
        <w:t>"</w:t>
      </w:r>
      <w:r w:rsidR="00F57F75" w:rsidRPr="002A7A24">
        <w:rPr>
          <w:i/>
          <w:iCs/>
        </w:rPr>
        <w:t>Le principe de responsabilité est le principe selon lequel le Secrétariat et ses fonctionnaires doivent répondre de toutes les décisions et mesures prises et du respect de leurs engagements, sans réserve ni exception.</w:t>
      </w:r>
      <w:bookmarkEnd w:id="19"/>
    </w:p>
    <w:p w:rsidR="00F57F75" w:rsidRPr="002A7A24" w:rsidRDefault="00A26BFC" w:rsidP="00FD33F8">
      <w:pPr>
        <w:rPr>
          <w:i/>
          <w:iCs/>
        </w:rPr>
      </w:pPr>
      <w:bookmarkStart w:id="20" w:name="lt_pId030"/>
      <w:proofErr w:type="gramStart"/>
      <w:r w:rsidRPr="002A7A24">
        <w:rPr>
          <w:i/>
          <w:iCs/>
        </w:rPr>
        <w:t>"</w:t>
      </w:r>
      <w:r w:rsidR="00F57F75" w:rsidRPr="002A7A24">
        <w:rPr>
          <w:i/>
          <w:iCs/>
        </w:rPr>
        <w:t>Il s</w:t>
      </w:r>
      <w:r w:rsidRPr="002A7A24">
        <w:rPr>
          <w:i/>
          <w:iCs/>
        </w:rPr>
        <w:t>'</w:t>
      </w:r>
      <w:r w:rsidR="00F57F75" w:rsidRPr="002A7A24">
        <w:rPr>
          <w:i/>
          <w:iCs/>
        </w:rPr>
        <w:t>agit notamment d</w:t>
      </w:r>
      <w:r w:rsidRPr="002A7A24">
        <w:rPr>
          <w:i/>
          <w:iCs/>
        </w:rPr>
        <w:t>'</w:t>
      </w:r>
      <w:r w:rsidR="00F57F75" w:rsidRPr="002A7A24">
        <w:rPr>
          <w:i/>
          <w:iCs/>
        </w:rPr>
        <w:t xml:space="preserve">atteindre les objectifs et de produire des résultats de haute qualité, dans les délais fixés et de manière économique, dans le cadre de la mise en </w:t>
      </w:r>
      <w:proofErr w:type="spellStart"/>
      <w:r w:rsidR="009F4B65" w:rsidRPr="002A7A24">
        <w:rPr>
          <w:i/>
          <w:iCs/>
        </w:rPr>
        <w:t>oe</w:t>
      </w:r>
      <w:r w:rsidR="00F57F75" w:rsidRPr="002A7A24">
        <w:rPr>
          <w:i/>
          <w:iCs/>
        </w:rPr>
        <w:t>uvre</w:t>
      </w:r>
      <w:proofErr w:type="spellEnd"/>
      <w:r w:rsidR="00F57F75" w:rsidRPr="002A7A24">
        <w:rPr>
          <w:i/>
          <w:iCs/>
        </w:rPr>
        <w:t xml:space="preserve"> intégrale de toutes les activités prescrites au Secrétariat par les organes intergouvernementaux de l</w:t>
      </w:r>
      <w:r w:rsidRPr="002A7A24">
        <w:rPr>
          <w:i/>
          <w:iCs/>
        </w:rPr>
        <w:t>'</w:t>
      </w:r>
      <w:r w:rsidR="00F57F75" w:rsidRPr="002A7A24">
        <w:rPr>
          <w:i/>
          <w:iCs/>
        </w:rPr>
        <w:t>Organisation des Nations Unies ou par les organes subsidiaires dont ils se sont dotés et dans le respect de toutes les résolutions, de toutes les règles, de tous les règlements et de toutes les normes déontologiques; de faire rapport avec honnêteté, objectivité, exactitude et ponctualité des résultats obtenus; et de gérer les fonds et autres ressources de manière responsable.</w:t>
      </w:r>
      <w:proofErr w:type="gramEnd"/>
      <w:r w:rsidR="00F57F75" w:rsidRPr="002A7A24">
        <w:rPr>
          <w:i/>
          <w:iCs/>
        </w:rPr>
        <w:t xml:space="preserve"> Tous les aspects de la performance sont visés, notamment l</w:t>
      </w:r>
      <w:r w:rsidRPr="002A7A24">
        <w:rPr>
          <w:i/>
          <w:iCs/>
        </w:rPr>
        <w:t>'</w:t>
      </w:r>
      <w:r w:rsidR="00F57F75" w:rsidRPr="002A7A24">
        <w:rPr>
          <w:i/>
          <w:iCs/>
        </w:rPr>
        <w:t>existence d</w:t>
      </w:r>
      <w:r w:rsidRPr="002A7A24">
        <w:rPr>
          <w:i/>
          <w:iCs/>
        </w:rPr>
        <w:t>'</w:t>
      </w:r>
      <w:r w:rsidR="00F57F75" w:rsidRPr="002A7A24">
        <w:rPr>
          <w:i/>
          <w:iCs/>
        </w:rPr>
        <w:t xml:space="preserve">un système clairement défini de récompenses et de </w:t>
      </w:r>
      <w:proofErr w:type="gramStart"/>
      <w:r w:rsidR="00F57F75" w:rsidRPr="002A7A24">
        <w:rPr>
          <w:i/>
          <w:iCs/>
        </w:rPr>
        <w:t>sanctions;</w:t>
      </w:r>
      <w:proofErr w:type="gramEnd"/>
      <w:r w:rsidR="00F57F75" w:rsidRPr="002A7A24">
        <w:rPr>
          <w:i/>
          <w:iCs/>
        </w:rPr>
        <w:t xml:space="preserve"> il est dûment tenu compte de l</w:t>
      </w:r>
      <w:r w:rsidRPr="002A7A24">
        <w:rPr>
          <w:i/>
          <w:iCs/>
        </w:rPr>
        <w:t>'</w:t>
      </w:r>
      <w:r w:rsidR="00F57F75" w:rsidRPr="002A7A24">
        <w:rPr>
          <w:i/>
          <w:iCs/>
        </w:rPr>
        <w:t>importance du rôle des organes de contrôle, et les recommandations acceptées sont pleinement respectées</w:t>
      </w:r>
      <w:r w:rsidRPr="002A7A24">
        <w:rPr>
          <w:i/>
          <w:iCs/>
        </w:rPr>
        <w:t>"</w:t>
      </w:r>
      <w:bookmarkEnd w:id="20"/>
      <w:r w:rsidRPr="002A7A24">
        <w:rPr>
          <w:i/>
          <w:iCs/>
        </w:rPr>
        <w:t>.</w:t>
      </w:r>
    </w:p>
    <w:p w:rsidR="00F57F75" w:rsidRPr="002A7A24" w:rsidRDefault="00F57F75" w:rsidP="00B51305">
      <w:pPr>
        <w:pStyle w:val="Heading1"/>
        <w:rPr>
          <w:bCs/>
          <w:szCs w:val="24"/>
        </w:rPr>
      </w:pPr>
      <w:bookmarkStart w:id="21" w:name="lt_pId035"/>
      <w:r w:rsidRPr="002A7A24">
        <w:rPr>
          <w:bCs/>
          <w:szCs w:val="24"/>
        </w:rPr>
        <w:t>III</w:t>
      </w:r>
      <w:bookmarkStart w:id="22" w:name="lt_pId036"/>
      <w:bookmarkEnd w:id="21"/>
      <w:r w:rsidR="00B51305" w:rsidRPr="002A7A24">
        <w:rPr>
          <w:bCs/>
          <w:szCs w:val="24"/>
        </w:rPr>
        <w:tab/>
      </w:r>
      <w:r w:rsidRPr="002A7A24">
        <w:rPr>
          <w:bCs/>
          <w:szCs w:val="24"/>
        </w:rPr>
        <w:t xml:space="preserve">Le </w:t>
      </w:r>
      <w:r w:rsidRPr="002A7A24">
        <w:t>cadre de responsabilisation de l</w:t>
      </w:r>
      <w:r w:rsidR="00A26BFC" w:rsidRPr="002A7A24">
        <w:t>'</w:t>
      </w:r>
      <w:r w:rsidRPr="002A7A24">
        <w:t>UIT</w:t>
      </w:r>
      <w:bookmarkEnd w:id="22"/>
      <w:r w:rsidR="00A26BFC" w:rsidRPr="002A7A24">
        <w:t xml:space="preserve"> </w:t>
      </w:r>
    </w:p>
    <w:p w:rsidR="00F57F75" w:rsidRPr="002A7A24" w:rsidRDefault="00B51305" w:rsidP="00B51305">
      <w:pPr>
        <w:rPr>
          <w:b/>
          <w:bCs/>
        </w:rPr>
      </w:pPr>
      <w:r w:rsidRPr="002A7A24">
        <w:t>3</w:t>
      </w:r>
      <w:r w:rsidR="00F57F75" w:rsidRPr="002A7A24">
        <w:tab/>
      </w:r>
      <w:bookmarkStart w:id="23" w:name="lt_pId038"/>
      <w:r w:rsidR="00F57F75" w:rsidRPr="002A7A24">
        <w:t>La direction de l</w:t>
      </w:r>
      <w:r w:rsidR="00A26BFC" w:rsidRPr="002A7A24">
        <w:t>'</w:t>
      </w:r>
      <w:r w:rsidR="00F57F75" w:rsidRPr="002A7A24">
        <w:t>UIT s</w:t>
      </w:r>
      <w:r w:rsidR="00A26BFC" w:rsidRPr="002A7A24">
        <w:t>'</w:t>
      </w:r>
      <w:r w:rsidR="00F57F75" w:rsidRPr="002A7A24">
        <w:t>inspire du principe selon lequel</w:t>
      </w:r>
      <w:r w:rsidR="00A26BFC" w:rsidRPr="002A7A24">
        <w:t xml:space="preserve"> </w:t>
      </w:r>
      <w:r w:rsidR="00F57F75" w:rsidRPr="002A7A24">
        <w:t>l</w:t>
      </w:r>
      <w:r w:rsidR="00A26BFC" w:rsidRPr="002A7A24">
        <w:t>'</w:t>
      </w:r>
      <w:r w:rsidR="00F57F75" w:rsidRPr="002A7A24">
        <w:t>Union s</w:t>
      </w:r>
      <w:r w:rsidR="00A26BFC" w:rsidRPr="002A7A24">
        <w:t>'</w:t>
      </w:r>
      <w:r w:rsidR="00F57F75" w:rsidRPr="002A7A24">
        <w:t>acquitte de son mandat d</w:t>
      </w:r>
      <w:r w:rsidR="00A26BFC" w:rsidRPr="002A7A24">
        <w:t>'</w:t>
      </w:r>
      <w:r w:rsidR="00F57F75" w:rsidRPr="002A7A24">
        <w:t>une manière transparente</w:t>
      </w:r>
      <w:bookmarkEnd w:id="23"/>
      <w:r w:rsidR="00A26BFC" w:rsidRPr="002A7A24">
        <w:t xml:space="preserve"> </w:t>
      </w:r>
      <w:bookmarkStart w:id="24" w:name="lt_pId039"/>
      <w:r w:rsidR="00F57F75" w:rsidRPr="002A7A24">
        <w:t>et</w:t>
      </w:r>
      <w:r w:rsidR="00A26BFC" w:rsidRPr="002A7A24">
        <w:t xml:space="preserve"> </w:t>
      </w:r>
      <w:r w:rsidR="00F57F75" w:rsidRPr="002A7A24">
        <w:t>est responsable vis-à-vis de ses membres</w:t>
      </w:r>
      <w:r w:rsidR="00A26BFC" w:rsidRPr="002A7A24">
        <w:t>.</w:t>
      </w:r>
      <w:bookmarkEnd w:id="24"/>
      <w:r w:rsidR="00F57F75" w:rsidRPr="002A7A24">
        <w:t xml:space="preserve"> </w:t>
      </w:r>
      <w:bookmarkStart w:id="25" w:name="lt_pId040"/>
      <w:r w:rsidR="00F57F75" w:rsidRPr="002A7A24">
        <w:t>Au fil des ans,</w:t>
      </w:r>
      <w:r w:rsidR="00A26BFC" w:rsidRPr="002A7A24">
        <w:t xml:space="preserve"> </w:t>
      </w:r>
      <w:r w:rsidR="00F57F75" w:rsidRPr="002A7A24">
        <w:t>l</w:t>
      </w:r>
      <w:r w:rsidR="00A26BFC" w:rsidRPr="002A7A24">
        <w:t>'</w:t>
      </w:r>
      <w:r w:rsidR="00F57F75" w:rsidRPr="002A7A24">
        <w:t>UIT</w:t>
      </w:r>
      <w:r w:rsidR="00A26BFC" w:rsidRPr="002A7A24">
        <w:t xml:space="preserve"> </w:t>
      </w:r>
      <w:r w:rsidR="00F57F75" w:rsidRPr="002A7A24">
        <w:t xml:space="preserve">a défini les éléments </w:t>
      </w:r>
      <w:r w:rsidR="00F57F75" w:rsidRPr="002A7A24">
        <w:rPr>
          <w:color w:val="000000"/>
        </w:rPr>
        <w:t>fondamentaux de la responsabilisation</w:t>
      </w:r>
      <w:r w:rsidR="00A26BFC" w:rsidRPr="002A7A24">
        <w:rPr>
          <w:color w:val="000000"/>
        </w:rPr>
        <w:t xml:space="preserve"> </w:t>
      </w:r>
      <w:r w:rsidR="00F57F75" w:rsidRPr="002A7A24">
        <w:rPr>
          <w:color w:val="000000"/>
        </w:rPr>
        <w:t>qui sont, notamment:</w:t>
      </w:r>
      <w:bookmarkEnd w:id="25"/>
      <w:r w:rsidR="00F57F75" w:rsidRPr="002A7A24">
        <w:t xml:space="preserve"> </w:t>
      </w:r>
      <w:bookmarkStart w:id="26" w:name="lt_pId041"/>
      <w:r w:rsidR="00F57F75" w:rsidRPr="002A7A24">
        <w:t>les instruments de délégation de pouvoirs;</w:t>
      </w:r>
      <w:bookmarkEnd w:id="26"/>
      <w:r w:rsidR="00F57F75" w:rsidRPr="002A7A24">
        <w:t xml:space="preserve"> </w:t>
      </w:r>
      <w:bookmarkStart w:id="27" w:name="lt_pId042"/>
      <w:r w:rsidR="00F57F75" w:rsidRPr="002A7A24">
        <w:t>la politique de transparence financière;</w:t>
      </w:r>
      <w:bookmarkEnd w:id="27"/>
      <w:r w:rsidR="00A26BFC" w:rsidRPr="002A7A24">
        <w:t xml:space="preserve"> </w:t>
      </w:r>
      <w:bookmarkStart w:id="28" w:name="lt_pId043"/>
      <w:r w:rsidR="00F57F75" w:rsidRPr="002A7A24">
        <w:t>les</w:t>
      </w:r>
      <w:r w:rsidR="00A26BFC" w:rsidRPr="002A7A24">
        <w:t xml:space="preserve"> </w:t>
      </w:r>
      <w:r w:rsidR="00F57F75" w:rsidRPr="002A7A24">
        <w:t>lettres de représentation interne de l</w:t>
      </w:r>
      <w:r w:rsidR="00A26BFC" w:rsidRPr="002A7A24">
        <w:t>'</w:t>
      </w:r>
      <w:r w:rsidR="00F57F75" w:rsidRPr="002A7A24">
        <w:t>UIT;</w:t>
      </w:r>
      <w:bookmarkEnd w:id="28"/>
      <w:r w:rsidR="002A7A24">
        <w:t xml:space="preserve"> </w:t>
      </w:r>
      <w:r w:rsidR="00F57F75" w:rsidRPr="002A7A24">
        <w:t>les</w:t>
      </w:r>
      <w:r w:rsidR="00A26BFC" w:rsidRPr="002A7A24">
        <w:t xml:space="preserve"> </w:t>
      </w:r>
      <w:bookmarkStart w:id="29" w:name="lt_pId044"/>
      <w:r w:rsidR="00F57F75" w:rsidRPr="002A7A24">
        <w:t>outils de suivi du comportement professionnel</w:t>
      </w:r>
      <w:r w:rsidR="00A26BFC" w:rsidRPr="002A7A24">
        <w:t xml:space="preserve"> </w:t>
      </w:r>
      <w:r w:rsidR="00F57F75" w:rsidRPr="002A7A24">
        <w:t>et la</w:t>
      </w:r>
      <w:r w:rsidR="00A26BFC" w:rsidRPr="002A7A24">
        <w:t xml:space="preserve"> </w:t>
      </w:r>
      <w:r w:rsidR="00F57F75" w:rsidRPr="002A7A24">
        <w:rPr>
          <w:color w:val="000000"/>
        </w:rPr>
        <w:t>gestion des risques</w:t>
      </w:r>
      <w:r w:rsidR="00F57F75" w:rsidRPr="002A7A24">
        <w:t xml:space="preserve"> dans la planification stratégique</w:t>
      </w:r>
      <w:r w:rsidR="00A26BFC" w:rsidRPr="002A7A24">
        <w:t>,</w:t>
      </w:r>
      <w:r w:rsidR="00F57F75" w:rsidRPr="002A7A24">
        <w:t xml:space="preserve"> le</w:t>
      </w:r>
      <w:r w:rsidR="00A26BFC" w:rsidRPr="002A7A24">
        <w:t xml:space="preserve"> </w:t>
      </w:r>
      <w:r w:rsidR="00F57F75" w:rsidRPr="002A7A24">
        <w:rPr>
          <w:color w:val="000000"/>
        </w:rPr>
        <w:t>cadre de présentation des résultats</w:t>
      </w:r>
      <w:r w:rsidR="00F57F75" w:rsidRPr="002A7A24">
        <w:t xml:space="preserve"> permettant </w:t>
      </w:r>
      <w:r w:rsidR="00F57F75" w:rsidRPr="002A7A24">
        <w:rPr>
          <w:color w:val="000000"/>
        </w:rPr>
        <w:t>la gestion axée sur les résultats (GAR);</w:t>
      </w:r>
      <w:r w:rsidR="00A26BFC" w:rsidRPr="002A7A24">
        <w:t xml:space="preserve"> </w:t>
      </w:r>
      <w:r w:rsidR="00F57F75" w:rsidRPr="002A7A24">
        <w:t>et la</w:t>
      </w:r>
      <w:r w:rsidR="00A26BFC" w:rsidRPr="002A7A24">
        <w:t xml:space="preserve"> création </w:t>
      </w:r>
      <w:r w:rsidR="00F57F75" w:rsidRPr="002A7A24">
        <w:rPr>
          <w:color w:val="000000"/>
        </w:rPr>
        <w:t>du Comité consultatif indépendant pour les questions de gestion (CCIG</w:t>
      </w:r>
      <w:bookmarkEnd w:id="29"/>
      <w:r w:rsidRPr="002A7A24">
        <w:rPr>
          <w:color w:val="000000"/>
        </w:rPr>
        <w:t>)</w:t>
      </w:r>
      <w:r w:rsidR="00A26BFC" w:rsidRPr="002A7A24">
        <w:t xml:space="preserve">. </w:t>
      </w:r>
      <w:r w:rsidR="00F57F75" w:rsidRPr="002A7A24">
        <w:t>En outre, en sa qualité d</w:t>
      </w:r>
      <w:r w:rsidR="00A26BFC" w:rsidRPr="002A7A24">
        <w:t>'</w:t>
      </w:r>
      <w:r w:rsidR="00F57F75" w:rsidRPr="002A7A24">
        <w:t>institution spécialisée faisant partie du système des Nations Unies,</w:t>
      </w:r>
      <w:r w:rsidR="00A26BFC" w:rsidRPr="002A7A24">
        <w:t xml:space="preserve"> </w:t>
      </w:r>
      <w:bookmarkStart w:id="30" w:name="lt_pId047"/>
      <w:r w:rsidR="00F57F75" w:rsidRPr="002A7A24">
        <w:t>l</w:t>
      </w:r>
      <w:r w:rsidR="00A26BFC" w:rsidRPr="002A7A24">
        <w:t>'</w:t>
      </w:r>
      <w:r w:rsidR="00F57F75" w:rsidRPr="002A7A24">
        <w:t>UIT</w:t>
      </w:r>
      <w:r w:rsidR="00A26BFC" w:rsidRPr="002A7A24">
        <w:t xml:space="preserve"> </w:t>
      </w:r>
      <w:r w:rsidR="00F57F75" w:rsidRPr="002A7A24">
        <w:t>pourrait décider d</w:t>
      </w:r>
      <w:r w:rsidR="00A26BFC" w:rsidRPr="002A7A24">
        <w:t>'</w:t>
      </w:r>
      <w:r w:rsidR="00F57F75" w:rsidRPr="002A7A24">
        <w:t>être responsable vis-à-vis</w:t>
      </w:r>
      <w:r w:rsidR="00A26BFC" w:rsidRPr="002A7A24">
        <w:t xml:space="preserve"> </w:t>
      </w:r>
      <w:r w:rsidR="00F57F75" w:rsidRPr="002A7A24">
        <w:t>d</w:t>
      </w:r>
      <w:r w:rsidR="00A26BFC" w:rsidRPr="002A7A24">
        <w:t>'</w:t>
      </w:r>
      <w:r w:rsidR="00F57F75" w:rsidRPr="002A7A24">
        <w:t>un cadre convenu à l</w:t>
      </w:r>
      <w:r w:rsidR="00A26BFC" w:rsidRPr="002A7A24">
        <w:t>'</w:t>
      </w:r>
      <w:r w:rsidR="00F57F75" w:rsidRPr="002A7A24">
        <w:t>échelle du système des Nations Unies</w:t>
      </w:r>
      <w:r w:rsidR="00A26BFC" w:rsidRPr="002A7A24">
        <w:t>.</w:t>
      </w:r>
      <w:bookmarkEnd w:id="30"/>
    </w:p>
    <w:p w:rsidR="00F57F75" w:rsidRPr="002A7A24" w:rsidRDefault="00B51305" w:rsidP="000F3E44">
      <w:r w:rsidRPr="002A7A24">
        <w:t>4</w:t>
      </w:r>
      <w:r w:rsidR="00F57F75" w:rsidRPr="002A7A24">
        <w:tab/>
      </w:r>
      <w:bookmarkStart w:id="31" w:name="lt_pId049"/>
      <w:r w:rsidR="00F57F75" w:rsidRPr="002A7A24">
        <w:t xml:space="preserve">Le </w:t>
      </w:r>
      <w:r w:rsidR="00A26BFC" w:rsidRPr="002A7A24">
        <w:t>présent</w:t>
      </w:r>
      <w:r w:rsidR="00F57F75" w:rsidRPr="002A7A24">
        <w:t xml:space="preserve"> document vise à</w:t>
      </w:r>
      <w:r w:rsidR="00A26BFC" w:rsidRPr="002A7A24">
        <w:t xml:space="preserve"> </w:t>
      </w:r>
      <w:r w:rsidR="00F57F75" w:rsidRPr="002A7A24">
        <w:rPr>
          <w:color w:val="000000"/>
        </w:rPr>
        <w:t>regrouper les éléments fondamentaux</w:t>
      </w:r>
      <w:r w:rsidR="00A26BFC" w:rsidRPr="002A7A24">
        <w:rPr>
          <w:color w:val="000000"/>
        </w:rPr>
        <w:t xml:space="preserve"> </w:t>
      </w:r>
      <w:r w:rsidR="00F57F75" w:rsidRPr="002A7A24">
        <w:rPr>
          <w:color w:val="000000"/>
        </w:rPr>
        <w:t xml:space="preserve">existants de la responsabilisation dans un cadre de responsabilisation </w:t>
      </w:r>
      <w:r w:rsidR="00F57F75" w:rsidRPr="002A7A24">
        <w:t>(AF)</w:t>
      </w:r>
      <w:r w:rsidR="00A26BFC" w:rsidRPr="002A7A24">
        <w:t xml:space="preserve"> </w:t>
      </w:r>
      <w:r w:rsidR="00F57F75" w:rsidRPr="002A7A24">
        <w:rPr>
          <w:color w:val="000000"/>
        </w:rPr>
        <w:t>à l</w:t>
      </w:r>
      <w:r w:rsidR="00A26BFC" w:rsidRPr="002A7A24">
        <w:rPr>
          <w:color w:val="000000"/>
        </w:rPr>
        <w:t>'</w:t>
      </w:r>
      <w:r w:rsidR="00F57F75" w:rsidRPr="002A7A24">
        <w:rPr>
          <w:color w:val="000000"/>
        </w:rPr>
        <w:t>échelle de L</w:t>
      </w:r>
      <w:r w:rsidR="00A26BFC" w:rsidRPr="002A7A24">
        <w:rPr>
          <w:color w:val="000000"/>
        </w:rPr>
        <w:t>'</w:t>
      </w:r>
      <w:r w:rsidR="00F57F75" w:rsidRPr="002A7A24">
        <w:rPr>
          <w:color w:val="000000"/>
        </w:rPr>
        <w:t>UIT</w:t>
      </w:r>
      <w:r w:rsidR="00A26BFC" w:rsidRPr="002A7A24">
        <w:rPr>
          <w:color w:val="000000"/>
        </w:rPr>
        <w:t xml:space="preserve"> </w:t>
      </w:r>
      <w:r w:rsidR="00F57F75" w:rsidRPr="002A7A24">
        <w:t>et à intégrer</w:t>
      </w:r>
      <w:r w:rsidR="00A26BFC" w:rsidRPr="002A7A24">
        <w:t xml:space="preserve"> </w:t>
      </w:r>
      <w:r w:rsidR="00F57F75" w:rsidRPr="002A7A24">
        <w:t xml:space="preserve">les éventuels </w:t>
      </w:r>
      <w:r w:rsidRPr="002A7A24">
        <w:t>é</w:t>
      </w:r>
      <w:r w:rsidR="00F57F75" w:rsidRPr="002A7A24">
        <w:t>léments de responsabilisation manquants d</w:t>
      </w:r>
      <w:r w:rsidR="00A26BFC" w:rsidRPr="002A7A24">
        <w:t>'</w:t>
      </w:r>
      <w:r w:rsidR="00F57F75" w:rsidRPr="002A7A24">
        <w:t>un tel cadre</w:t>
      </w:r>
      <w:r w:rsidR="00A26BFC" w:rsidRPr="002A7A24">
        <w:t xml:space="preserve"> </w:t>
      </w:r>
      <w:r w:rsidR="00F57F75" w:rsidRPr="002A7A24">
        <w:t xml:space="preserve">(conformément au </w:t>
      </w:r>
      <w:r w:rsidRPr="002A7A24">
        <w:t>R</w:t>
      </w:r>
      <w:r w:rsidR="00F57F75" w:rsidRPr="002A7A24">
        <w:t>apport</w:t>
      </w:r>
      <w:r w:rsidR="000F3E44">
        <w:t> </w:t>
      </w:r>
      <w:r w:rsidR="00F57F75" w:rsidRPr="002A7A24">
        <w:t>2011/5 du CCI).</w:t>
      </w:r>
      <w:bookmarkEnd w:id="31"/>
    </w:p>
    <w:p w:rsidR="00F57F75" w:rsidRPr="002A7A24" w:rsidRDefault="00B51305" w:rsidP="00B51305">
      <w:r w:rsidRPr="002A7A24">
        <w:t>5</w:t>
      </w:r>
      <w:r w:rsidR="00F57F75" w:rsidRPr="002A7A24">
        <w:tab/>
      </w:r>
      <w:bookmarkStart w:id="32" w:name="lt_pId051"/>
      <w:r w:rsidR="00F57F75" w:rsidRPr="002A7A24">
        <w:rPr>
          <w:color w:val="000000"/>
        </w:rPr>
        <w:t>Le cadre de responsabilisation</w:t>
      </w:r>
      <w:r w:rsidR="00A26BFC" w:rsidRPr="002A7A24">
        <w:rPr>
          <w:color w:val="000000"/>
        </w:rPr>
        <w:t xml:space="preserve"> </w:t>
      </w:r>
      <w:r w:rsidR="00F57F75" w:rsidRPr="002A7A24">
        <w:t>de l</w:t>
      </w:r>
      <w:r w:rsidR="00A26BFC" w:rsidRPr="002A7A24">
        <w:t>'</w:t>
      </w:r>
      <w:r w:rsidR="00F57F75" w:rsidRPr="002A7A24">
        <w:t>UIT</w:t>
      </w:r>
      <w:r w:rsidR="00A26BFC" w:rsidRPr="002A7A24">
        <w:t xml:space="preserve"> </w:t>
      </w:r>
      <w:r w:rsidR="00F57F75" w:rsidRPr="002A7A24">
        <w:t>s</w:t>
      </w:r>
      <w:r w:rsidR="00A26BFC" w:rsidRPr="002A7A24">
        <w:t>'</w:t>
      </w:r>
      <w:r w:rsidR="00F57F75" w:rsidRPr="002A7A24">
        <w:t>appuie sur</w:t>
      </w:r>
      <w:r w:rsidR="00A26BFC" w:rsidRPr="002A7A24">
        <w:t xml:space="preserve"> </w:t>
      </w:r>
      <w:r w:rsidR="00F57F75" w:rsidRPr="002A7A24">
        <w:t>les</w:t>
      </w:r>
      <w:r w:rsidR="00A26BFC" w:rsidRPr="002A7A24">
        <w:t xml:space="preserve"> </w:t>
      </w:r>
      <w:r w:rsidR="00F57F75" w:rsidRPr="002A7A24">
        <w:t xml:space="preserve">trois (3) </w:t>
      </w:r>
      <w:r w:rsidR="00A26BFC" w:rsidRPr="002A7A24">
        <w:t>piliers</w:t>
      </w:r>
      <w:r w:rsidR="00F57F75" w:rsidRPr="002A7A24">
        <w:t xml:space="preserve"> ci-après, qui reposent</w:t>
      </w:r>
      <w:r w:rsidR="00A26BFC" w:rsidRPr="002A7A24">
        <w:t xml:space="preserve"> </w:t>
      </w:r>
      <w:r w:rsidR="00F57F75" w:rsidRPr="002A7A24">
        <w:t>sur la</w:t>
      </w:r>
      <w:r w:rsidR="00A26BFC" w:rsidRPr="002A7A24">
        <w:t xml:space="preserve"> </w:t>
      </w:r>
      <w:r w:rsidR="00F57F75" w:rsidRPr="002A7A24">
        <w:t xml:space="preserve">structure </w:t>
      </w:r>
      <w:r w:rsidR="00A26BFC" w:rsidRPr="002A7A24">
        <w:t>présentée</w:t>
      </w:r>
      <w:r w:rsidR="00F57F75" w:rsidRPr="002A7A24">
        <w:t xml:space="preserve"> dans le rapport</w:t>
      </w:r>
      <w:r w:rsidR="00A26BFC" w:rsidRPr="002A7A24">
        <w:t xml:space="preserve"> </w:t>
      </w:r>
      <w:r w:rsidR="00F57F75" w:rsidRPr="002A7A24">
        <w:t>du CCI</w:t>
      </w:r>
      <w:r w:rsidR="00A26BFC" w:rsidRPr="002A7A24">
        <w:t>.</w:t>
      </w:r>
      <w:bookmarkEnd w:id="32"/>
      <w:r w:rsidR="00F57F75" w:rsidRPr="002A7A24">
        <w:t xml:space="preserve"> </w:t>
      </w:r>
      <w:bookmarkStart w:id="33" w:name="lt_pId052"/>
      <w:r w:rsidR="00F57F75" w:rsidRPr="002A7A24">
        <w:t>On trouvera dans la Section IV du</w:t>
      </w:r>
      <w:r w:rsidR="00A26BFC" w:rsidRPr="002A7A24">
        <w:t xml:space="preserve"> présent</w:t>
      </w:r>
      <w:r w:rsidR="00F57F75" w:rsidRPr="002A7A24">
        <w:t xml:space="preserve"> document</w:t>
      </w:r>
      <w:r w:rsidR="00A26BFC" w:rsidRPr="002A7A24">
        <w:t xml:space="preserve"> </w:t>
      </w:r>
      <w:r w:rsidR="00F57F75" w:rsidRPr="002A7A24">
        <w:t>une description de chacun de ces trois</w:t>
      </w:r>
      <w:r w:rsidR="00A26BFC" w:rsidRPr="002A7A24">
        <w:t xml:space="preserve"> </w:t>
      </w:r>
      <w:r w:rsidR="00F57F75" w:rsidRPr="002A7A24">
        <w:t>piliers</w:t>
      </w:r>
      <w:bookmarkEnd w:id="33"/>
      <w:r w:rsidRPr="002A7A24">
        <w:t>.</w:t>
      </w:r>
    </w:p>
    <w:tbl>
      <w:tblPr>
        <w:tblStyle w:val="TableGrid"/>
        <w:tblpPr w:leftFromText="180" w:rightFromText="180" w:vertAnchor="text" w:horzAnchor="margin" w:tblpXSpec="center" w:tblpY="-18"/>
        <w:tblW w:w="0" w:type="auto"/>
        <w:tblLook w:val="04A0" w:firstRow="1" w:lastRow="0" w:firstColumn="1" w:lastColumn="0" w:noHBand="0" w:noVBand="1"/>
      </w:tblPr>
      <w:tblGrid>
        <w:gridCol w:w="3116"/>
        <w:gridCol w:w="3117"/>
        <w:gridCol w:w="3117"/>
      </w:tblGrid>
      <w:tr w:rsidR="00F57F75" w:rsidRPr="002A7A24" w:rsidTr="009F4B65">
        <w:tc>
          <w:tcPr>
            <w:tcW w:w="3116" w:type="dxa"/>
            <w:shd w:val="clear" w:color="auto" w:fill="365F91" w:themeFill="accent1" w:themeFillShade="BF"/>
          </w:tcPr>
          <w:p w:rsidR="00F57F75" w:rsidRPr="002A7A24" w:rsidRDefault="00F57F75" w:rsidP="00B51305">
            <w:pPr>
              <w:pStyle w:val="Tablehead"/>
              <w:rPr>
                <w:color w:val="FFFFFF" w:themeColor="background1"/>
              </w:rPr>
            </w:pPr>
            <w:bookmarkStart w:id="34" w:name="lt_pId053"/>
            <w:r w:rsidRPr="002A7A24">
              <w:rPr>
                <w:color w:val="FFFFFF" w:themeColor="background1"/>
              </w:rPr>
              <w:lastRenderedPageBreak/>
              <w:t>PILIER 1</w:t>
            </w:r>
            <w:bookmarkEnd w:id="34"/>
          </w:p>
          <w:p w:rsidR="00F57F75" w:rsidRPr="002A7A24" w:rsidRDefault="00F57F75" w:rsidP="00B51305">
            <w:pPr>
              <w:pStyle w:val="Tablehead"/>
              <w:rPr>
                <w:color w:val="FFFFFF" w:themeColor="background1"/>
              </w:rPr>
            </w:pPr>
            <w:r w:rsidRPr="002A7A24">
              <w:rPr>
                <w:color w:val="FFFFFF" w:themeColor="background1"/>
              </w:rPr>
              <w:t>Pacte</w:t>
            </w:r>
            <w:r w:rsidR="00A26BFC" w:rsidRPr="002A7A24">
              <w:rPr>
                <w:color w:val="FFFFFF" w:themeColor="background1"/>
              </w:rPr>
              <w:t xml:space="preserve"> </w:t>
            </w:r>
            <w:r w:rsidRPr="002A7A24">
              <w:rPr>
                <w:color w:val="FFFFFF" w:themeColor="background1"/>
              </w:rPr>
              <w:t xml:space="preserve">avec les </w:t>
            </w:r>
            <w:r w:rsidR="00726716" w:rsidRPr="002A7A24">
              <w:rPr>
                <w:color w:val="FFFFFF" w:themeColor="background1"/>
              </w:rPr>
              <w:t>E</w:t>
            </w:r>
            <w:r w:rsidRPr="002A7A24">
              <w:rPr>
                <w:color w:val="FFFFFF" w:themeColor="background1"/>
              </w:rPr>
              <w:t>tats Membres, les</w:t>
            </w:r>
            <w:r w:rsidR="00A26BFC" w:rsidRPr="002A7A24">
              <w:rPr>
                <w:color w:val="FFFFFF" w:themeColor="background1"/>
              </w:rPr>
              <w:t xml:space="preserve"> </w:t>
            </w:r>
            <w:r w:rsidRPr="002A7A24">
              <w:rPr>
                <w:color w:val="FFFFFF" w:themeColor="background1"/>
              </w:rPr>
              <w:t>Membres de Secteur</w:t>
            </w:r>
            <w:r w:rsidR="00A26BFC" w:rsidRPr="002A7A24">
              <w:rPr>
                <w:color w:val="FFFFFF" w:themeColor="background1"/>
              </w:rPr>
              <w:t>,</w:t>
            </w:r>
            <w:r w:rsidR="00B51305" w:rsidRPr="002A7A24">
              <w:rPr>
                <w:color w:val="FFFFFF" w:themeColor="background1"/>
              </w:rPr>
              <w:t xml:space="preserve"> </w:t>
            </w:r>
            <w:r w:rsidRPr="002A7A24">
              <w:rPr>
                <w:color w:val="FFFFFF" w:themeColor="background1"/>
              </w:rPr>
              <w:t>les</w:t>
            </w:r>
            <w:r w:rsidR="00A26BFC" w:rsidRPr="002A7A24">
              <w:rPr>
                <w:color w:val="FFFFFF" w:themeColor="background1"/>
              </w:rPr>
              <w:t xml:space="preserve"> </w:t>
            </w:r>
            <w:r w:rsidRPr="002A7A24">
              <w:rPr>
                <w:color w:val="FFFFFF" w:themeColor="background1"/>
              </w:rPr>
              <w:t>Associés, les établissements universitaires et les utilisateurs des services</w:t>
            </w:r>
            <w:r w:rsidR="00A26BFC" w:rsidRPr="002A7A24">
              <w:rPr>
                <w:color w:val="FFFFFF" w:themeColor="background1"/>
              </w:rPr>
              <w:t xml:space="preserve"> </w:t>
            </w:r>
            <w:r w:rsidRPr="002A7A24">
              <w:rPr>
                <w:color w:val="FFFFFF" w:themeColor="background1"/>
              </w:rPr>
              <w:t>de l'UIT</w:t>
            </w:r>
            <w:r w:rsidR="00A26BFC" w:rsidRPr="002A7A24">
              <w:rPr>
                <w:color w:val="FFFFFF" w:themeColor="background1"/>
              </w:rPr>
              <w:t xml:space="preserve"> </w:t>
            </w:r>
          </w:p>
        </w:tc>
        <w:tc>
          <w:tcPr>
            <w:tcW w:w="3117" w:type="dxa"/>
            <w:shd w:val="clear" w:color="auto" w:fill="365F91" w:themeFill="accent1" w:themeFillShade="BF"/>
          </w:tcPr>
          <w:p w:rsidR="00F57F75" w:rsidRPr="002A7A24" w:rsidRDefault="00F57F75" w:rsidP="00B51305">
            <w:pPr>
              <w:pStyle w:val="Tablehead"/>
              <w:rPr>
                <w:color w:val="FFFFFF" w:themeColor="background1"/>
              </w:rPr>
            </w:pPr>
            <w:bookmarkStart w:id="35" w:name="lt_pId055"/>
            <w:r w:rsidRPr="002A7A24">
              <w:rPr>
                <w:color w:val="FFFFFF" w:themeColor="background1"/>
              </w:rPr>
              <w:t>PILIER</w:t>
            </w:r>
            <w:r w:rsidR="00A26BFC" w:rsidRPr="002A7A24">
              <w:rPr>
                <w:color w:val="FFFFFF" w:themeColor="background1"/>
              </w:rPr>
              <w:t xml:space="preserve"> </w:t>
            </w:r>
            <w:r w:rsidRPr="002A7A24">
              <w:rPr>
                <w:color w:val="FFFFFF" w:themeColor="background1"/>
              </w:rPr>
              <w:t>2</w:t>
            </w:r>
            <w:bookmarkEnd w:id="35"/>
          </w:p>
          <w:p w:rsidR="00F57F75" w:rsidRPr="002A7A24" w:rsidRDefault="00F57F75" w:rsidP="00D57363">
            <w:pPr>
              <w:pStyle w:val="Tablehead"/>
              <w:rPr>
                <w:color w:val="FFFFFF" w:themeColor="background1"/>
              </w:rPr>
            </w:pPr>
            <w:bookmarkStart w:id="36" w:name="lt_pId056"/>
            <w:r w:rsidRPr="002A7A24">
              <w:rPr>
                <w:color w:val="FFFFFF" w:themeColor="background1"/>
              </w:rPr>
              <w:t>Mécanismes de contrôle interne</w:t>
            </w:r>
            <w:r w:rsidR="00A26BFC" w:rsidRPr="002A7A24">
              <w:rPr>
                <w:color w:val="FFFFFF" w:themeColor="background1"/>
              </w:rPr>
              <w:t xml:space="preserve"> </w:t>
            </w:r>
            <w:r w:rsidRPr="002A7A24">
              <w:rPr>
                <w:color w:val="FFFFFF" w:themeColor="background1"/>
                <w:szCs w:val="24"/>
              </w:rPr>
              <w:t>et</w:t>
            </w:r>
            <w:r w:rsidR="00A26BFC" w:rsidRPr="002A7A24">
              <w:rPr>
                <w:color w:val="FFFFFF" w:themeColor="background1"/>
                <w:szCs w:val="24"/>
              </w:rPr>
              <w:t xml:space="preserve"> </w:t>
            </w:r>
            <w:r w:rsidRPr="002A7A24">
              <w:rPr>
                <w:color w:val="FFFFFF" w:themeColor="background1"/>
                <w:szCs w:val="24"/>
              </w:rPr>
              <w:t>gestion des risques</w:t>
            </w:r>
            <w:bookmarkEnd w:id="36"/>
          </w:p>
        </w:tc>
        <w:tc>
          <w:tcPr>
            <w:tcW w:w="3117" w:type="dxa"/>
            <w:shd w:val="clear" w:color="auto" w:fill="365F91" w:themeFill="accent1" w:themeFillShade="BF"/>
          </w:tcPr>
          <w:p w:rsidR="00F57F75" w:rsidRPr="002A7A24" w:rsidRDefault="00F57F75" w:rsidP="00B51305">
            <w:pPr>
              <w:pStyle w:val="Tablehead"/>
              <w:rPr>
                <w:color w:val="FFFFFF" w:themeColor="background1"/>
              </w:rPr>
            </w:pPr>
            <w:bookmarkStart w:id="37" w:name="lt_pId057"/>
            <w:r w:rsidRPr="002A7A24">
              <w:rPr>
                <w:color w:val="FFFFFF" w:themeColor="background1"/>
              </w:rPr>
              <w:t>PILIER</w:t>
            </w:r>
            <w:r w:rsidR="00A26BFC" w:rsidRPr="002A7A24">
              <w:rPr>
                <w:color w:val="FFFFFF" w:themeColor="background1"/>
              </w:rPr>
              <w:t xml:space="preserve"> </w:t>
            </w:r>
            <w:r w:rsidRPr="002A7A24">
              <w:rPr>
                <w:color w:val="FFFFFF" w:themeColor="background1"/>
              </w:rPr>
              <w:t>3</w:t>
            </w:r>
            <w:bookmarkEnd w:id="37"/>
          </w:p>
          <w:p w:rsidR="00F57F75" w:rsidRPr="002A7A24" w:rsidRDefault="00F57F75" w:rsidP="00B51305">
            <w:pPr>
              <w:pStyle w:val="Tablehead"/>
              <w:rPr>
                <w:color w:val="FFFFFF" w:themeColor="background1"/>
              </w:rPr>
            </w:pPr>
            <w:bookmarkStart w:id="38" w:name="lt_pId058"/>
            <w:r w:rsidRPr="002A7A24">
              <w:rPr>
                <w:color w:val="FFFFFF" w:themeColor="background1"/>
              </w:rPr>
              <w:t>Mécanismes de recours</w:t>
            </w:r>
            <w:bookmarkEnd w:id="38"/>
          </w:p>
        </w:tc>
      </w:tr>
      <w:tr w:rsidR="00F57F75" w:rsidRPr="002A7A24" w:rsidTr="009F4B65">
        <w:tc>
          <w:tcPr>
            <w:tcW w:w="3116" w:type="dxa"/>
            <w:shd w:val="clear" w:color="auto" w:fill="B8CCE4" w:themeFill="accent1" w:themeFillTint="66"/>
          </w:tcPr>
          <w:p w:rsidR="00F57F75" w:rsidRPr="002A7A24" w:rsidRDefault="00B51305" w:rsidP="00B51305">
            <w:pPr>
              <w:pStyle w:val="Tabletext"/>
              <w:tabs>
                <w:tab w:val="left" w:pos="551"/>
              </w:tabs>
              <w:ind w:left="551" w:hanging="551"/>
            </w:pPr>
            <w:bookmarkStart w:id="39" w:name="lt_pId059"/>
            <w:r w:rsidRPr="002A7A24">
              <w:t>–</w:t>
            </w:r>
            <w:r w:rsidRPr="002A7A24">
              <w:tab/>
              <w:t>I</w:t>
            </w:r>
            <w:r w:rsidR="00F57F75" w:rsidRPr="002A7A24">
              <w:t>nstruments fondamentaux, accords pertinents et traités</w:t>
            </w:r>
            <w:r w:rsidR="00A26BFC" w:rsidRPr="002A7A24">
              <w:t xml:space="preserve"> </w:t>
            </w:r>
            <w:r w:rsidR="00F57F75" w:rsidRPr="002A7A24">
              <w:t>de l</w:t>
            </w:r>
            <w:r w:rsidR="00A26BFC" w:rsidRPr="002A7A24">
              <w:t>'</w:t>
            </w:r>
            <w:r w:rsidR="00F57F75" w:rsidRPr="002A7A24">
              <w:t>UIT</w:t>
            </w:r>
            <w:bookmarkEnd w:id="39"/>
            <w:r w:rsidRPr="002A7A24">
              <w:t>.</w:t>
            </w:r>
          </w:p>
          <w:p w:rsidR="00F57F75" w:rsidRPr="002A7A24" w:rsidRDefault="00B51305" w:rsidP="002D5578">
            <w:pPr>
              <w:pStyle w:val="Tabletext"/>
              <w:tabs>
                <w:tab w:val="left" w:pos="551"/>
              </w:tabs>
              <w:ind w:left="551" w:hanging="551"/>
            </w:pPr>
            <w:bookmarkStart w:id="40" w:name="lt_pId060"/>
            <w:r w:rsidRPr="002A7A24">
              <w:t>–</w:t>
            </w:r>
            <w:r w:rsidRPr="002A7A24">
              <w:tab/>
            </w:r>
            <w:r w:rsidRPr="002A7A24">
              <w:rPr>
                <w:color w:val="000000"/>
              </w:rPr>
              <w:t>C</w:t>
            </w:r>
            <w:r w:rsidR="00F57F75" w:rsidRPr="002A7A24">
              <w:rPr>
                <w:color w:val="000000"/>
              </w:rPr>
              <w:t>adre de présentation des résultats</w:t>
            </w:r>
            <w:r w:rsidR="00F57F75" w:rsidRPr="002A7A24">
              <w:rPr>
                <w:szCs w:val="24"/>
              </w:rPr>
              <w:t xml:space="preserve"> de </w:t>
            </w:r>
            <w:r w:rsidR="00F57F75" w:rsidRPr="002A7A24">
              <w:t>l</w:t>
            </w:r>
            <w:r w:rsidR="00A26BFC" w:rsidRPr="002A7A24">
              <w:t>'</w:t>
            </w:r>
            <w:r w:rsidR="00F57F75" w:rsidRPr="002A7A24">
              <w:t>UIT</w:t>
            </w:r>
            <w:bookmarkEnd w:id="40"/>
            <w:r w:rsidRPr="002A7A24">
              <w:t>.</w:t>
            </w:r>
          </w:p>
        </w:tc>
        <w:tc>
          <w:tcPr>
            <w:tcW w:w="3117" w:type="dxa"/>
            <w:shd w:val="clear" w:color="auto" w:fill="B8CCE4" w:themeFill="accent1" w:themeFillTint="66"/>
          </w:tcPr>
          <w:p w:rsidR="00F57F75" w:rsidRPr="002A7A24" w:rsidRDefault="00B51305" w:rsidP="00B51305">
            <w:pPr>
              <w:pStyle w:val="Tabletext"/>
              <w:tabs>
                <w:tab w:val="left" w:pos="553"/>
              </w:tabs>
              <w:ind w:left="553" w:hanging="553"/>
            </w:pPr>
            <w:r w:rsidRPr="002A7A24">
              <w:t>–</w:t>
            </w:r>
            <w:r w:rsidRPr="002A7A24">
              <w:tab/>
            </w:r>
            <w:r w:rsidRPr="002A7A24">
              <w:rPr>
                <w:color w:val="000000"/>
              </w:rPr>
              <w:t>E</w:t>
            </w:r>
            <w:r w:rsidR="00F57F75" w:rsidRPr="002A7A24">
              <w:rPr>
                <w:color w:val="000000"/>
              </w:rPr>
              <w:t>nvironnement de contrôle</w:t>
            </w:r>
            <w:bookmarkStart w:id="41" w:name="lt_pId062"/>
            <w:r w:rsidRPr="002A7A24">
              <w:rPr>
                <w:color w:val="000000"/>
              </w:rPr>
              <w:t>.</w:t>
            </w:r>
          </w:p>
          <w:p w:rsidR="00F57F75" w:rsidRPr="002A7A24" w:rsidRDefault="00B51305" w:rsidP="00B51305">
            <w:pPr>
              <w:pStyle w:val="Tabletext"/>
              <w:tabs>
                <w:tab w:val="left" w:pos="553"/>
              </w:tabs>
            </w:pPr>
            <w:r w:rsidRPr="002A7A24">
              <w:t>–</w:t>
            </w:r>
            <w:r w:rsidRPr="002A7A24">
              <w:tab/>
            </w:r>
            <w:r w:rsidR="00F57F75" w:rsidRPr="002A7A24">
              <w:rPr>
                <w:color w:val="000000"/>
              </w:rPr>
              <w:t>Activités</w:t>
            </w:r>
            <w:r w:rsidR="00A26BFC" w:rsidRPr="002A7A24">
              <w:rPr>
                <w:color w:val="000000"/>
              </w:rPr>
              <w:t xml:space="preserve"> </w:t>
            </w:r>
            <w:r w:rsidR="00F57F75" w:rsidRPr="002A7A24">
              <w:rPr>
                <w:color w:val="000000"/>
              </w:rPr>
              <w:t>de contrôle</w:t>
            </w:r>
            <w:bookmarkEnd w:id="41"/>
            <w:r w:rsidRPr="002A7A24">
              <w:t>.</w:t>
            </w:r>
          </w:p>
          <w:p w:rsidR="00F57F75" w:rsidRPr="002A7A24" w:rsidRDefault="00B51305" w:rsidP="00B51305">
            <w:pPr>
              <w:pStyle w:val="Tabletext"/>
              <w:tabs>
                <w:tab w:val="left" w:pos="553"/>
              </w:tabs>
            </w:pPr>
            <w:bookmarkStart w:id="42" w:name="lt_pId063"/>
            <w:r w:rsidRPr="002A7A24">
              <w:t>–</w:t>
            </w:r>
            <w:r w:rsidRPr="002A7A24">
              <w:tab/>
            </w:r>
            <w:r w:rsidR="00F57F75" w:rsidRPr="002A7A24">
              <w:t>Evaluation des risques</w:t>
            </w:r>
            <w:bookmarkEnd w:id="42"/>
            <w:r w:rsidRPr="002A7A24">
              <w:t>.</w:t>
            </w:r>
          </w:p>
          <w:p w:rsidR="00F57F75" w:rsidRPr="002A7A24" w:rsidRDefault="00B51305" w:rsidP="00B51305">
            <w:pPr>
              <w:pStyle w:val="Tabletext"/>
              <w:tabs>
                <w:tab w:val="left" w:pos="553"/>
              </w:tabs>
            </w:pPr>
            <w:bookmarkStart w:id="43" w:name="lt_pId064"/>
            <w:r w:rsidRPr="002A7A24">
              <w:t>–</w:t>
            </w:r>
            <w:r w:rsidRPr="002A7A24">
              <w:tab/>
            </w:r>
            <w:r w:rsidR="00F57F75" w:rsidRPr="002A7A24">
              <w:t>Suivi</w:t>
            </w:r>
            <w:bookmarkEnd w:id="43"/>
            <w:r w:rsidRPr="002A7A24">
              <w:t>.</w:t>
            </w:r>
          </w:p>
        </w:tc>
        <w:tc>
          <w:tcPr>
            <w:tcW w:w="3117" w:type="dxa"/>
            <w:shd w:val="clear" w:color="auto" w:fill="B8CCE4" w:themeFill="accent1" w:themeFillTint="66"/>
          </w:tcPr>
          <w:p w:rsidR="00F57F75" w:rsidRPr="002A7A24" w:rsidRDefault="00B51305" w:rsidP="00B51305">
            <w:pPr>
              <w:pStyle w:val="Tabletext"/>
              <w:tabs>
                <w:tab w:val="left" w:pos="458"/>
              </w:tabs>
            </w:pPr>
            <w:r w:rsidRPr="002A7A24">
              <w:t>–</w:t>
            </w:r>
            <w:r w:rsidRPr="002A7A24">
              <w:tab/>
            </w:r>
            <w:bookmarkStart w:id="44" w:name="lt_pId066"/>
            <w:r w:rsidRPr="002A7A24">
              <w:t>Passation des marchés.</w:t>
            </w:r>
          </w:p>
          <w:p w:rsidR="00F57F75" w:rsidRPr="002A7A24" w:rsidRDefault="00B51305" w:rsidP="00B51305">
            <w:pPr>
              <w:pStyle w:val="Tabletext"/>
              <w:tabs>
                <w:tab w:val="left" w:pos="458"/>
              </w:tabs>
            </w:pPr>
            <w:r w:rsidRPr="002A7A24">
              <w:t>–</w:t>
            </w:r>
            <w:r w:rsidRPr="002A7A24">
              <w:tab/>
            </w:r>
            <w:r w:rsidR="00F57F75" w:rsidRPr="002A7A24">
              <w:t>Personnel de l</w:t>
            </w:r>
            <w:r w:rsidR="00A26BFC" w:rsidRPr="002A7A24">
              <w:t>'</w:t>
            </w:r>
            <w:r w:rsidR="00F57F75" w:rsidRPr="002A7A24">
              <w:t>UIT</w:t>
            </w:r>
            <w:bookmarkEnd w:id="44"/>
            <w:r w:rsidRPr="002A7A24">
              <w:t>.</w:t>
            </w:r>
          </w:p>
          <w:p w:rsidR="00F57F75" w:rsidRPr="002A7A24" w:rsidRDefault="00B51305" w:rsidP="00B51305">
            <w:pPr>
              <w:pStyle w:val="Tabletext"/>
              <w:tabs>
                <w:tab w:val="left" w:pos="458"/>
              </w:tabs>
              <w:ind w:left="458" w:hanging="458"/>
            </w:pPr>
            <w:bookmarkStart w:id="45" w:name="lt_pId067"/>
            <w:r w:rsidRPr="002A7A24">
              <w:t>–</w:t>
            </w:r>
            <w:r w:rsidRPr="002A7A24">
              <w:tab/>
            </w:r>
            <w:r w:rsidR="00F57F75" w:rsidRPr="002A7A24">
              <w:t>Membres et autres</w:t>
            </w:r>
            <w:r w:rsidR="00A26BFC" w:rsidRPr="002A7A24">
              <w:t xml:space="preserve"> </w:t>
            </w:r>
            <w:r w:rsidR="00F57F75" w:rsidRPr="002A7A24">
              <w:rPr>
                <w:color w:val="000000"/>
              </w:rPr>
              <w:t>utilisateurs des services</w:t>
            </w:r>
            <w:r w:rsidR="00A26BFC" w:rsidRPr="002A7A24">
              <w:rPr>
                <w:color w:val="000000"/>
              </w:rPr>
              <w:t xml:space="preserve"> </w:t>
            </w:r>
            <w:r w:rsidR="00F57F75" w:rsidRPr="002A7A24">
              <w:rPr>
                <w:color w:val="000000"/>
              </w:rPr>
              <w:t>de l'UIT</w:t>
            </w:r>
            <w:bookmarkEnd w:id="45"/>
            <w:r w:rsidRPr="002A7A24">
              <w:rPr>
                <w:color w:val="000000"/>
              </w:rPr>
              <w:t>.</w:t>
            </w:r>
          </w:p>
        </w:tc>
      </w:tr>
    </w:tbl>
    <w:p w:rsidR="00F57F75" w:rsidRPr="002A7A24" w:rsidRDefault="009F4B65" w:rsidP="009F4B65">
      <w:r w:rsidRPr="002A7A24">
        <w:t>6</w:t>
      </w:r>
      <w:r w:rsidR="00F57F75" w:rsidRPr="002A7A24">
        <w:tab/>
        <w:t>Ce cadre vise à promouvoir une culture de la responsabilité et de la transparence dans l</w:t>
      </w:r>
      <w:r w:rsidR="00A26BFC" w:rsidRPr="002A7A24">
        <w:t>'</w:t>
      </w:r>
      <w:r w:rsidR="00F57F75" w:rsidRPr="002A7A24">
        <w:t>ensemble de</w:t>
      </w:r>
      <w:r w:rsidR="00A26BFC" w:rsidRPr="002A7A24">
        <w:t xml:space="preserve"> </w:t>
      </w:r>
      <w:r w:rsidR="00F57F75" w:rsidRPr="002A7A24">
        <w:t>l</w:t>
      </w:r>
      <w:r w:rsidR="00A26BFC" w:rsidRPr="002A7A24">
        <w:t>'</w:t>
      </w:r>
      <w:r w:rsidR="00F57F75" w:rsidRPr="002A7A24">
        <w:t>Union,</w:t>
      </w:r>
      <w:r w:rsidR="005143AC" w:rsidRPr="002A7A24">
        <w:t xml:space="preserve"> </w:t>
      </w:r>
      <w:r w:rsidR="00F57F75" w:rsidRPr="002A7A24">
        <w:t xml:space="preserve">sur la </w:t>
      </w:r>
      <w:proofErr w:type="gramStart"/>
      <w:r w:rsidR="00F57F75" w:rsidRPr="002A7A24">
        <w:t>base</w:t>
      </w:r>
      <w:r w:rsidR="00A26BFC" w:rsidRPr="002A7A24">
        <w:t>:</w:t>
      </w:r>
      <w:proofErr w:type="gramEnd"/>
      <w:r w:rsidR="00A26BFC" w:rsidRPr="002A7A24">
        <w:t xml:space="preserve"> </w:t>
      </w:r>
      <w:r w:rsidR="00F57F75" w:rsidRPr="002A7A24">
        <w:t>d</w:t>
      </w:r>
      <w:r w:rsidR="00A26BFC" w:rsidRPr="002A7A24">
        <w:t>'</w:t>
      </w:r>
      <w:r w:rsidR="00F57F75" w:rsidRPr="002A7A24">
        <w:t>orientations claires de la part des</w:t>
      </w:r>
      <w:r w:rsidR="00A26BFC" w:rsidRPr="002A7A24">
        <w:t xml:space="preserve"> </w:t>
      </w:r>
      <w:r w:rsidR="00726716" w:rsidRPr="002A7A24">
        <w:t>E</w:t>
      </w:r>
      <w:r w:rsidR="00F57F75" w:rsidRPr="002A7A24">
        <w:t>tats Membres; d</w:t>
      </w:r>
      <w:r w:rsidR="00A26BFC" w:rsidRPr="002A7A24">
        <w:t>'</w:t>
      </w:r>
      <w:r w:rsidR="00F57F75" w:rsidRPr="002A7A24">
        <w:t xml:space="preserve">une mise en </w:t>
      </w:r>
      <w:proofErr w:type="spellStart"/>
      <w:r w:rsidRPr="002A7A24">
        <w:t>oe</w:t>
      </w:r>
      <w:r w:rsidR="00F57F75" w:rsidRPr="002A7A24">
        <w:t>uvre</w:t>
      </w:r>
      <w:proofErr w:type="spellEnd"/>
      <w:r w:rsidR="00F57F75" w:rsidRPr="002A7A24">
        <w:t xml:space="preserve"> appropriée</w:t>
      </w:r>
      <w:r w:rsidR="00A26BFC" w:rsidRPr="002A7A24">
        <w:t xml:space="preserve"> </w:t>
      </w:r>
      <w:r w:rsidR="00F57F75" w:rsidRPr="002A7A24">
        <w:t>(planification, gestion et établissement de rapports)</w:t>
      </w:r>
      <w:r w:rsidR="00A26BFC" w:rsidRPr="002A7A24">
        <w:t xml:space="preserve"> </w:t>
      </w:r>
      <w:r w:rsidR="00F57F75" w:rsidRPr="002A7A24">
        <w:t>par le</w:t>
      </w:r>
      <w:r w:rsidR="00A26BFC" w:rsidRPr="002A7A24">
        <w:t xml:space="preserve"> </w:t>
      </w:r>
      <w:r w:rsidR="00726716" w:rsidRPr="002A7A24">
        <w:t>Secrétariat</w:t>
      </w:r>
      <w:r w:rsidR="00F57F75" w:rsidRPr="002A7A24">
        <w:t>; de mécanismes appropriés de contrôle et de</w:t>
      </w:r>
      <w:r w:rsidR="00A26BFC" w:rsidRPr="002A7A24">
        <w:t xml:space="preserve"> </w:t>
      </w:r>
      <w:r w:rsidR="00F57F75" w:rsidRPr="002A7A24">
        <w:t>supervision internes et externes; et des mécanismes de recours correspondants</w:t>
      </w:r>
      <w:r w:rsidRPr="002A7A24">
        <w:t>.</w:t>
      </w:r>
    </w:p>
    <w:p w:rsidR="00F57F75" w:rsidRPr="002A7A24" w:rsidRDefault="009F4B65" w:rsidP="009F4B65">
      <w:r w:rsidRPr="002A7A24">
        <w:t>7</w:t>
      </w:r>
      <w:r w:rsidR="00F57F75" w:rsidRPr="002A7A24">
        <w:tab/>
      </w:r>
      <w:bookmarkStart w:id="46" w:name="lt_pId075"/>
      <w:r w:rsidR="00F57F75" w:rsidRPr="002A7A24">
        <w:t>Le cadre AF de</w:t>
      </w:r>
      <w:r w:rsidR="00A26BFC" w:rsidRPr="002A7A24">
        <w:t xml:space="preserve"> </w:t>
      </w:r>
      <w:r w:rsidR="00F57F75" w:rsidRPr="002A7A24">
        <w:t>l</w:t>
      </w:r>
      <w:r w:rsidR="00A26BFC" w:rsidRPr="002A7A24">
        <w:t>'</w:t>
      </w:r>
      <w:r w:rsidR="00F57F75" w:rsidRPr="002A7A24">
        <w:t>UIT</w:t>
      </w:r>
      <w:r w:rsidR="00A26BFC" w:rsidRPr="002A7A24">
        <w:t xml:space="preserve"> </w:t>
      </w:r>
      <w:r w:rsidR="00F57F75" w:rsidRPr="002A7A24">
        <w:t>adopte</w:t>
      </w:r>
      <w:r w:rsidR="00A26BFC" w:rsidRPr="002A7A24">
        <w:t xml:space="preserve"> </w:t>
      </w:r>
      <w:r w:rsidR="00F57F75" w:rsidRPr="002A7A24">
        <w:t>les</w:t>
      </w:r>
      <w:r w:rsidR="00A26BFC" w:rsidRPr="002A7A24">
        <w:t xml:space="preserve"> </w:t>
      </w:r>
      <w:r w:rsidR="00F57F75" w:rsidRPr="002A7A24">
        <w:t>cinq principes</w:t>
      </w:r>
      <w:r w:rsidR="00A26BFC" w:rsidRPr="002A7A24">
        <w:t xml:space="preserve"> </w:t>
      </w:r>
      <w:r w:rsidR="00F57F75" w:rsidRPr="002A7A24">
        <w:t>essentiels ci-après,</w:t>
      </w:r>
      <w:r w:rsidR="00A26BFC" w:rsidRPr="002A7A24">
        <w:t xml:space="preserve"> </w:t>
      </w:r>
      <w:r w:rsidR="00F57F75" w:rsidRPr="002A7A24">
        <w:t>qui contribuent à décrire et à orienter</w:t>
      </w:r>
      <w:r w:rsidR="00A26BFC" w:rsidRPr="002A7A24">
        <w:t xml:space="preserve"> </w:t>
      </w:r>
      <w:r w:rsidR="00F57F75" w:rsidRPr="002A7A24">
        <w:t>une culture de la responsabilité</w:t>
      </w:r>
      <w:r w:rsidR="00A26BFC" w:rsidRPr="002A7A24">
        <w:t xml:space="preserve"> (</w:t>
      </w:r>
      <w:r w:rsidR="00F57F75" w:rsidRPr="002A7A24">
        <w:t>conformément au rapport</w:t>
      </w:r>
      <w:r w:rsidR="00A26BFC" w:rsidRPr="002A7A24">
        <w:t xml:space="preserve"> </w:t>
      </w:r>
      <w:r w:rsidR="00F57F75" w:rsidRPr="002A7A24">
        <w:t>du CCI)</w:t>
      </w:r>
      <w:bookmarkEnd w:id="46"/>
      <w:r w:rsidR="00A26BFC" w:rsidRPr="002A7A24">
        <w:t xml:space="preserve"> </w:t>
      </w:r>
      <w:r w:rsidR="00F57F75" w:rsidRPr="002A7A24">
        <w:t>et a pour but d</w:t>
      </w:r>
      <w:r w:rsidR="00A26BFC" w:rsidRPr="002A7A24">
        <w:t>'</w:t>
      </w:r>
      <w:r w:rsidR="00F57F75" w:rsidRPr="002A7A24">
        <w:t xml:space="preserve">en assurer la mise en </w:t>
      </w:r>
      <w:proofErr w:type="spellStart"/>
      <w:r w:rsidRPr="002A7A24">
        <w:t>oe</w:t>
      </w:r>
      <w:r w:rsidR="00F57F75" w:rsidRPr="002A7A24">
        <w:t>uvre</w:t>
      </w:r>
      <w:proofErr w:type="spellEnd"/>
      <w:r w:rsidR="00F57F75" w:rsidRPr="002A7A24">
        <w:t xml:space="preserve"> complète au sein de </w:t>
      </w:r>
      <w:proofErr w:type="gramStart"/>
      <w:r w:rsidR="00F57F75" w:rsidRPr="002A7A24">
        <w:t>l</w:t>
      </w:r>
      <w:r w:rsidR="00A26BFC" w:rsidRPr="002A7A24">
        <w:t>'</w:t>
      </w:r>
      <w:r w:rsidR="00F57F75" w:rsidRPr="002A7A24">
        <w:t>Union</w:t>
      </w:r>
      <w:r w:rsidR="00A26BFC" w:rsidRPr="002A7A24">
        <w:t>:</w:t>
      </w:r>
      <w:proofErr w:type="gramEnd"/>
    </w:p>
    <w:p w:rsidR="00F57F75" w:rsidRPr="002A7A24" w:rsidRDefault="009F4B65" w:rsidP="009F4B65">
      <w:pPr>
        <w:pStyle w:val="enumlev1"/>
        <w:rPr>
          <w:szCs w:val="24"/>
        </w:rPr>
      </w:pPr>
      <w:bookmarkStart w:id="47" w:name="lt_pId076"/>
      <w:r w:rsidRPr="002A7A24">
        <w:t>a)</w:t>
      </w:r>
      <w:r w:rsidRPr="002A7A24">
        <w:tab/>
      </w:r>
      <w:r w:rsidR="00F57F75" w:rsidRPr="002A7A24">
        <w:t>Diriger en tenant compte des valeurs, et par l</w:t>
      </w:r>
      <w:r w:rsidR="00A26BFC" w:rsidRPr="002A7A24">
        <w:t>'</w:t>
      </w:r>
      <w:r w:rsidR="00F57F75" w:rsidRPr="002A7A24">
        <w:t xml:space="preserve">exemple − </w:t>
      </w:r>
      <w:r w:rsidR="00DF7801" w:rsidRPr="002A7A24">
        <w:t>L</w:t>
      </w:r>
      <w:r w:rsidR="00F57F75" w:rsidRPr="002A7A24">
        <w:t>a responsabilisation en tant que priorité du comportement quotidien, attestée par les normes élevées d</w:t>
      </w:r>
      <w:r w:rsidR="00A26BFC" w:rsidRPr="002A7A24">
        <w:t>'</w:t>
      </w:r>
      <w:r w:rsidR="00F57F75" w:rsidRPr="002A7A24">
        <w:t>intégrité caractérisant les hauts fonctionnaires</w:t>
      </w:r>
      <w:bookmarkEnd w:id="47"/>
      <w:r w:rsidRPr="002A7A24">
        <w:t>.</w:t>
      </w:r>
    </w:p>
    <w:p w:rsidR="00F57F75" w:rsidRPr="002A7A24" w:rsidRDefault="009F4B65" w:rsidP="009F4B65">
      <w:pPr>
        <w:pStyle w:val="enumlev1"/>
        <w:rPr>
          <w:szCs w:val="24"/>
        </w:rPr>
      </w:pPr>
      <w:bookmarkStart w:id="48" w:name="lt_pId077"/>
      <w:r w:rsidRPr="002A7A24">
        <w:t>b)</w:t>
      </w:r>
      <w:r w:rsidRPr="002A7A24">
        <w:tab/>
      </w:r>
      <w:r w:rsidR="00F57F75" w:rsidRPr="002A7A24">
        <w:t>Diriger par l</w:t>
      </w:r>
      <w:r w:rsidR="00A26BFC" w:rsidRPr="002A7A24">
        <w:t>'</w:t>
      </w:r>
      <w:r w:rsidR="00F57F75" w:rsidRPr="002A7A24">
        <w:t xml:space="preserve">information et la communication − </w:t>
      </w:r>
      <w:r w:rsidR="00DF7801" w:rsidRPr="002A7A24">
        <w:t>L</w:t>
      </w:r>
      <w:r w:rsidR="00F57F75" w:rsidRPr="002A7A24">
        <w:t>a responsabilisation par la transparence da</w:t>
      </w:r>
      <w:r w:rsidRPr="002A7A24">
        <w:t>ns la prise des décisions.</w:t>
      </w:r>
    </w:p>
    <w:p w:rsidR="00F57F75" w:rsidRPr="002A7A24" w:rsidRDefault="009F4B65" w:rsidP="009F4B65">
      <w:pPr>
        <w:pStyle w:val="enumlev1"/>
        <w:rPr>
          <w:szCs w:val="24"/>
        </w:rPr>
      </w:pPr>
      <w:r w:rsidRPr="002A7A24">
        <w:t>c)</w:t>
      </w:r>
      <w:r w:rsidRPr="002A7A24">
        <w:tab/>
      </w:r>
      <w:r w:rsidR="00F57F75" w:rsidRPr="002A7A24">
        <w:t xml:space="preserve">Diriger par la motivation − </w:t>
      </w:r>
      <w:r w:rsidR="00DF7801" w:rsidRPr="002A7A24">
        <w:t>L</w:t>
      </w:r>
      <w:r w:rsidR="00F57F75" w:rsidRPr="002A7A24">
        <w:t>a responsabilisation par la reconnaissance des tâc</w:t>
      </w:r>
      <w:r w:rsidRPr="002A7A24">
        <w:t>hes accomplies par le personnel</w:t>
      </w:r>
      <w:r w:rsidR="00A26BFC" w:rsidRPr="002A7A24">
        <w:t>.</w:t>
      </w:r>
    </w:p>
    <w:p w:rsidR="00F57F75" w:rsidRPr="002A7A24" w:rsidRDefault="009F4B65" w:rsidP="009F4B65">
      <w:pPr>
        <w:pStyle w:val="enumlev1"/>
        <w:rPr>
          <w:szCs w:val="24"/>
        </w:rPr>
      </w:pPr>
      <w:r w:rsidRPr="002A7A24">
        <w:t>d)</w:t>
      </w:r>
      <w:r w:rsidRPr="002A7A24">
        <w:tab/>
      </w:r>
      <w:r w:rsidR="00F57F75" w:rsidRPr="002A7A24">
        <w:t xml:space="preserve">Diriger par les instructions et la discipline − </w:t>
      </w:r>
      <w:r w:rsidR="00DF7801" w:rsidRPr="002A7A24">
        <w:t>U</w:t>
      </w:r>
      <w:r w:rsidR="00F57F75" w:rsidRPr="002A7A24">
        <w:t>ne politique de tolérance zéro vis-à-vis des comportements inacc</w:t>
      </w:r>
      <w:r w:rsidRPr="002A7A24">
        <w:t>eptables à tous les niveaux.</w:t>
      </w:r>
    </w:p>
    <w:p w:rsidR="00F57F75" w:rsidRPr="002A7A24" w:rsidRDefault="009F4B65" w:rsidP="009F4B65">
      <w:pPr>
        <w:pStyle w:val="enumlev1"/>
        <w:rPr>
          <w:szCs w:val="24"/>
        </w:rPr>
      </w:pPr>
      <w:r w:rsidRPr="002A7A24">
        <w:t>e)</w:t>
      </w:r>
      <w:r w:rsidRPr="002A7A24">
        <w:tab/>
      </w:r>
      <w:r w:rsidR="00F57F75" w:rsidRPr="002A7A24">
        <w:t xml:space="preserve">Diriger par la participation − </w:t>
      </w:r>
      <w:r w:rsidR="00DF7801" w:rsidRPr="002A7A24">
        <w:t>U</w:t>
      </w:r>
      <w:r w:rsidR="00F57F75" w:rsidRPr="002A7A24">
        <w:t>n dialogue ouvert devrait encourager la responsabilisation mutuelle.</w:t>
      </w:r>
      <w:bookmarkEnd w:id="48"/>
    </w:p>
    <w:p w:rsidR="00F57F75" w:rsidRPr="002A7A24" w:rsidRDefault="00F57F75" w:rsidP="00DF7801">
      <w:pPr>
        <w:pStyle w:val="Heading1"/>
      </w:pPr>
      <w:bookmarkStart w:id="49" w:name="lt_pId081"/>
      <w:r w:rsidRPr="002A7A24">
        <w:t>IV</w:t>
      </w:r>
      <w:bookmarkStart w:id="50" w:name="lt_pId082"/>
      <w:bookmarkEnd w:id="49"/>
      <w:r w:rsidR="00726716" w:rsidRPr="002A7A24">
        <w:tab/>
      </w:r>
      <w:r w:rsidRPr="002A7A24">
        <w:t>Piliers du</w:t>
      </w:r>
      <w:r w:rsidR="00A26BFC" w:rsidRPr="002A7A24">
        <w:t xml:space="preserve"> </w:t>
      </w:r>
      <w:r w:rsidRPr="002A7A24">
        <w:t>cadre de responsabilisation de l</w:t>
      </w:r>
      <w:r w:rsidR="00A26BFC" w:rsidRPr="002A7A24">
        <w:t>'</w:t>
      </w:r>
      <w:r w:rsidRPr="002A7A24">
        <w:t>UIT</w:t>
      </w:r>
      <w:bookmarkEnd w:id="50"/>
    </w:p>
    <w:p w:rsidR="00F57F75" w:rsidRPr="002A7A24" w:rsidRDefault="00F57F75" w:rsidP="00DF7801">
      <w:pPr>
        <w:pStyle w:val="Headingb"/>
        <w:tabs>
          <w:tab w:val="clear" w:pos="567"/>
        </w:tabs>
        <w:ind w:left="0" w:firstLine="0"/>
      </w:pPr>
      <w:bookmarkStart w:id="51" w:name="lt_pId083"/>
      <w:r w:rsidRPr="002A7A24">
        <w:t>Pilier</w:t>
      </w:r>
      <w:r w:rsidR="00A26BFC" w:rsidRPr="002A7A24">
        <w:t xml:space="preserve"> </w:t>
      </w:r>
      <w:r w:rsidRPr="002A7A24">
        <w:t xml:space="preserve">1 </w:t>
      </w:r>
      <w:r w:rsidR="00726716" w:rsidRPr="002A7A24">
        <w:t>–</w:t>
      </w:r>
      <w:r w:rsidRPr="002A7A24">
        <w:t xml:space="preserve"> Pacte</w:t>
      </w:r>
      <w:r w:rsidR="00A26BFC" w:rsidRPr="002A7A24">
        <w:t xml:space="preserve"> </w:t>
      </w:r>
      <w:r w:rsidRPr="002A7A24">
        <w:t xml:space="preserve">avec les </w:t>
      </w:r>
      <w:r w:rsidR="00726716" w:rsidRPr="002A7A24">
        <w:t>E</w:t>
      </w:r>
      <w:r w:rsidRPr="002A7A24">
        <w:t>tats Membres, les</w:t>
      </w:r>
      <w:r w:rsidR="00A26BFC" w:rsidRPr="002A7A24">
        <w:t xml:space="preserve"> </w:t>
      </w:r>
      <w:r w:rsidRPr="002A7A24">
        <w:t>Membres de Secteur</w:t>
      </w:r>
      <w:r w:rsidR="00A26BFC" w:rsidRPr="002A7A24">
        <w:t>,</w:t>
      </w:r>
      <w:r w:rsidR="00DF7801" w:rsidRPr="002A7A24">
        <w:t xml:space="preserve"> </w:t>
      </w:r>
      <w:r w:rsidRPr="002A7A24">
        <w:t>les</w:t>
      </w:r>
      <w:r w:rsidR="00A26BFC" w:rsidRPr="002A7A24">
        <w:t xml:space="preserve"> </w:t>
      </w:r>
      <w:r w:rsidRPr="002A7A24">
        <w:t>Associés, les établissements universitaires et les utilisateurs des services</w:t>
      </w:r>
      <w:r w:rsidR="00A26BFC" w:rsidRPr="002A7A24">
        <w:t xml:space="preserve"> </w:t>
      </w:r>
      <w:r w:rsidRPr="002A7A24">
        <w:t>de l'UIT</w:t>
      </w:r>
      <w:bookmarkEnd w:id="51"/>
      <w:r w:rsidR="00A26BFC" w:rsidRPr="002A7A24">
        <w:t xml:space="preserve"> </w:t>
      </w:r>
    </w:p>
    <w:p w:rsidR="00F57F75" w:rsidRPr="002A7A24" w:rsidRDefault="00DF7801" w:rsidP="00DF7801">
      <w:r w:rsidRPr="002A7A24">
        <w:t>8</w:t>
      </w:r>
      <w:r w:rsidR="00F57F75" w:rsidRPr="002A7A24">
        <w:tab/>
      </w:r>
      <w:bookmarkStart w:id="52" w:name="lt_pId085"/>
      <w:r w:rsidR="00F57F75" w:rsidRPr="002A7A24">
        <w:t>Le premier</w:t>
      </w:r>
      <w:r w:rsidR="00A26BFC" w:rsidRPr="002A7A24">
        <w:t xml:space="preserve"> </w:t>
      </w:r>
      <w:r w:rsidR="00F57F75" w:rsidRPr="002A7A24">
        <w:t>pilier</w:t>
      </w:r>
      <w:r w:rsidR="00A26BFC" w:rsidRPr="002A7A24">
        <w:t xml:space="preserve"> </w:t>
      </w:r>
      <w:r w:rsidR="00F57F75" w:rsidRPr="002A7A24">
        <w:t>du cadre de responsabilisation de</w:t>
      </w:r>
      <w:r w:rsidR="00A26BFC" w:rsidRPr="002A7A24">
        <w:t xml:space="preserve"> </w:t>
      </w:r>
      <w:r w:rsidR="00F57F75" w:rsidRPr="002A7A24">
        <w:t>l</w:t>
      </w:r>
      <w:r w:rsidR="00A26BFC" w:rsidRPr="002A7A24">
        <w:t>'</w:t>
      </w:r>
      <w:r w:rsidR="00F57F75" w:rsidRPr="002A7A24">
        <w:t>UIT</w:t>
      </w:r>
      <w:r w:rsidR="00A26BFC" w:rsidRPr="002A7A24">
        <w:t xml:space="preserve"> </w:t>
      </w:r>
      <w:r w:rsidR="00F57F75" w:rsidRPr="002A7A24">
        <w:t>repose</w:t>
      </w:r>
      <w:r w:rsidR="00A26BFC" w:rsidRPr="002A7A24">
        <w:t xml:space="preserve"> </w:t>
      </w:r>
      <w:r w:rsidR="00F57F75" w:rsidRPr="002A7A24">
        <w:t>sur</w:t>
      </w:r>
      <w:r w:rsidR="00A26BFC" w:rsidRPr="002A7A24">
        <w:t xml:space="preserve"> </w:t>
      </w:r>
      <w:r w:rsidR="00F57F75" w:rsidRPr="002A7A24">
        <w:t>la responsabilisation mutuelle – c'est-à-dire sur une alliance</w:t>
      </w:r>
      <w:r w:rsidR="00A26BFC" w:rsidRPr="002A7A24">
        <w:t xml:space="preserve"> </w:t>
      </w:r>
      <w:r w:rsidR="00F57F75" w:rsidRPr="002A7A24">
        <w:t>avec les membres de l</w:t>
      </w:r>
      <w:r w:rsidR="00A26BFC" w:rsidRPr="002A7A24">
        <w:t>'</w:t>
      </w:r>
      <w:r w:rsidR="00F57F75" w:rsidRPr="002A7A24">
        <w:t>Union. Cet accord</w:t>
      </w:r>
      <w:r w:rsidR="00A26BFC" w:rsidRPr="002A7A24">
        <w:t xml:space="preserve"> (</w:t>
      </w:r>
      <w:r w:rsidR="00F57F75" w:rsidRPr="002A7A24">
        <w:t>pacte)</w:t>
      </w:r>
      <w:r w:rsidR="00A26BFC" w:rsidRPr="002A7A24">
        <w:t xml:space="preserve"> </w:t>
      </w:r>
      <w:r w:rsidR="00F57F75" w:rsidRPr="002A7A24">
        <w:t>est intégré</w:t>
      </w:r>
      <w:r w:rsidR="00A26BFC" w:rsidRPr="002A7A24">
        <w:t xml:space="preserve"> </w:t>
      </w:r>
      <w:r w:rsidR="00F57F75" w:rsidRPr="002A7A24">
        <w:t>dans les instruments énumérés ci-dessous et est supervisé par l</w:t>
      </w:r>
      <w:r w:rsidR="00A26BFC" w:rsidRPr="002A7A24">
        <w:t>'</w:t>
      </w:r>
      <w:r w:rsidR="00F57F75" w:rsidRPr="002A7A24">
        <w:t>intermédiaire du cadre de présentation des résultats de</w:t>
      </w:r>
      <w:r w:rsidR="00A26BFC" w:rsidRPr="002A7A24">
        <w:t xml:space="preserve"> </w:t>
      </w:r>
      <w:proofErr w:type="gramStart"/>
      <w:r w:rsidR="00F57F75" w:rsidRPr="002A7A24">
        <w:t>l</w:t>
      </w:r>
      <w:r w:rsidR="00A26BFC" w:rsidRPr="002A7A24">
        <w:t>'</w:t>
      </w:r>
      <w:r w:rsidR="00F57F75" w:rsidRPr="002A7A24">
        <w:t>UIT</w:t>
      </w:r>
      <w:r w:rsidR="00A26BFC" w:rsidRPr="002A7A24">
        <w:t>:</w:t>
      </w:r>
      <w:bookmarkEnd w:id="52"/>
      <w:proofErr w:type="gramEnd"/>
    </w:p>
    <w:p w:rsidR="00F57F75" w:rsidRPr="002A7A24" w:rsidRDefault="00DF7801" w:rsidP="00DF7801">
      <w:pPr>
        <w:pStyle w:val="enumlev1"/>
      </w:pPr>
      <w:bookmarkStart w:id="53" w:name="lt_pId087"/>
      <w:r w:rsidRPr="002A7A24">
        <w:t>a)</w:t>
      </w:r>
      <w:r w:rsidRPr="002A7A24">
        <w:tab/>
        <w:t>C</w:t>
      </w:r>
      <w:r w:rsidR="00F57F75" w:rsidRPr="002A7A24">
        <w:t>onstitution</w:t>
      </w:r>
      <w:r w:rsidR="00A26BFC" w:rsidRPr="002A7A24">
        <w:t xml:space="preserve"> </w:t>
      </w:r>
      <w:r w:rsidR="00F57F75" w:rsidRPr="002A7A24">
        <w:t>et Convention de l</w:t>
      </w:r>
      <w:r w:rsidR="00A26BFC" w:rsidRPr="002A7A24">
        <w:t>'</w:t>
      </w:r>
      <w:r w:rsidR="00F57F75" w:rsidRPr="002A7A24">
        <w:t>UIT, telles qu</w:t>
      </w:r>
      <w:r w:rsidR="00A26BFC" w:rsidRPr="002A7A24">
        <w:t>'</w:t>
      </w:r>
      <w:r w:rsidR="00F57F75" w:rsidRPr="002A7A24">
        <w:t>approuvées par les Conférences de plénipotentiaires</w:t>
      </w:r>
      <w:r w:rsidR="00A26BFC" w:rsidRPr="002A7A24">
        <w:t xml:space="preserve"> </w:t>
      </w:r>
      <w:r w:rsidR="00F57F75" w:rsidRPr="002A7A24">
        <w:t>(PP</w:t>
      </w:r>
      <w:proofErr w:type="gramStart"/>
      <w:r w:rsidR="00F57F75" w:rsidRPr="002A7A24">
        <w:t>)</w:t>
      </w:r>
      <w:bookmarkEnd w:id="53"/>
      <w:r w:rsidRPr="002A7A24">
        <w:t>;</w:t>
      </w:r>
      <w:proofErr w:type="gramEnd"/>
    </w:p>
    <w:p w:rsidR="00F57F75" w:rsidRPr="002A7A24" w:rsidRDefault="00DF7801" w:rsidP="00DF7801">
      <w:pPr>
        <w:pStyle w:val="enumlev1"/>
      </w:pPr>
      <w:bookmarkStart w:id="54" w:name="lt_pId088"/>
      <w:r w:rsidRPr="002A7A24">
        <w:rPr>
          <w:color w:val="000000"/>
        </w:rPr>
        <w:t>b)</w:t>
      </w:r>
      <w:r w:rsidRPr="002A7A24">
        <w:rPr>
          <w:color w:val="000000"/>
        </w:rPr>
        <w:tab/>
        <w:t>R</w:t>
      </w:r>
      <w:r w:rsidR="00F57F75" w:rsidRPr="002A7A24">
        <w:rPr>
          <w:color w:val="000000"/>
        </w:rPr>
        <w:t xml:space="preserve">ègles générales régissant les conférences, assemblées et </w:t>
      </w:r>
      <w:r w:rsidRPr="002A7A24">
        <w:rPr>
          <w:color w:val="000000"/>
        </w:rPr>
        <w:t>réunion</w:t>
      </w:r>
      <w:r w:rsidR="00F57F75" w:rsidRPr="002A7A24">
        <w:rPr>
          <w:color w:val="000000"/>
        </w:rPr>
        <w:t xml:space="preserve">s de </w:t>
      </w:r>
      <w:proofErr w:type="gramStart"/>
      <w:r w:rsidR="00F57F75" w:rsidRPr="002A7A24">
        <w:rPr>
          <w:color w:val="000000"/>
        </w:rPr>
        <w:t>l'Union</w:t>
      </w:r>
      <w:bookmarkEnd w:id="54"/>
      <w:r w:rsidRPr="002A7A24">
        <w:t>;</w:t>
      </w:r>
      <w:proofErr w:type="gramEnd"/>
    </w:p>
    <w:p w:rsidR="00F57F75" w:rsidRPr="002A7A24" w:rsidRDefault="00DF7801" w:rsidP="00DF7801">
      <w:pPr>
        <w:pStyle w:val="enumlev1"/>
      </w:pPr>
      <w:bookmarkStart w:id="55" w:name="lt_pId089"/>
      <w:r w:rsidRPr="002A7A24">
        <w:lastRenderedPageBreak/>
        <w:t>c)</w:t>
      </w:r>
      <w:r w:rsidRPr="002A7A24">
        <w:tab/>
      </w:r>
      <w:r w:rsidR="00F57F75" w:rsidRPr="002A7A24">
        <w:rPr>
          <w:color w:val="000000"/>
        </w:rPr>
        <w:t xml:space="preserve">Règlement des </w:t>
      </w:r>
      <w:proofErr w:type="gramStart"/>
      <w:r w:rsidR="00F57F75" w:rsidRPr="002A7A24">
        <w:rPr>
          <w:color w:val="000000"/>
        </w:rPr>
        <w:t>radiocommunications</w:t>
      </w:r>
      <w:r w:rsidR="00F57F75" w:rsidRPr="002A7A24">
        <w:t>;</w:t>
      </w:r>
      <w:bookmarkEnd w:id="55"/>
      <w:proofErr w:type="gramEnd"/>
    </w:p>
    <w:p w:rsidR="00F57F75" w:rsidRPr="002A7A24" w:rsidRDefault="00DF7801" w:rsidP="00DF7801">
      <w:pPr>
        <w:pStyle w:val="enumlev1"/>
      </w:pPr>
      <w:bookmarkStart w:id="56" w:name="lt_pId090"/>
      <w:r w:rsidRPr="002A7A24">
        <w:t>d)</w:t>
      </w:r>
      <w:r w:rsidRPr="002A7A24">
        <w:tab/>
      </w:r>
      <w:r w:rsidR="00F57F75" w:rsidRPr="002A7A24">
        <w:t xml:space="preserve">Règlement des télécommunications </w:t>
      </w:r>
      <w:proofErr w:type="gramStart"/>
      <w:r w:rsidR="00F57F75" w:rsidRPr="002A7A24">
        <w:t>internationales</w:t>
      </w:r>
      <w:r w:rsidRPr="002A7A24">
        <w:t>;</w:t>
      </w:r>
      <w:proofErr w:type="gramEnd"/>
      <w:r w:rsidR="00F57F75" w:rsidRPr="002A7A24">
        <w:t xml:space="preserve"> </w:t>
      </w:r>
      <w:bookmarkEnd w:id="56"/>
      <w:r w:rsidR="00F57F75" w:rsidRPr="002A7A24">
        <w:t>et</w:t>
      </w:r>
    </w:p>
    <w:p w:rsidR="00F57F75" w:rsidRPr="002A7A24" w:rsidRDefault="00DF7801" w:rsidP="00DF7801">
      <w:pPr>
        <w:pStyle w:val="enumlev1"/>
      </w:pPr>
      <w:bookmarkStart w:id="57" w:name="lt_pId092"/>
      <w:r w:rsidRPr="002A7A24">
        <w:t>e)</w:t>
      </w:r>
      <w:r w:rsidRPr="002A7A24">
        <w:tab/>
        <w:t>D</w:t>
      </w:r>
      <w:r w:rsidR="00F57F75" w:rsidRPr="002A7A24">
        <w:t xml:space="preserve">écisions, </w:t>
      </w:r>
      <w:r w:rsidRPr="002A7A24">
        <w:t>R</w:t>
      </w:r>
      <w:r w:rsidR="00F57F75" w:rsidRPr="002A7A24">
        <w:t xml:space="preserve">ésolutions et </w:t>
      </w:r>
      <w:r w:rsidRPr="002A7A24">
        <w:t>R</w:t>
      </w:r>
      <w:r w:rsidR="00F57F75" w:rsidRPr="002A7A24">
        <w:t>ecommandations</w:t>
      </w:r>
      <w:r w:rsidR="00A26BFC" w:rsidRPr="002A7A24">
        <w:t xml:space="preserve"> </w:t>
      </w:r>
      <w:r w:rsidR="00F57F75" w:rsidRPr="002A7A24">
        <w:t xml:space="preserve">de la PP/du Conseil/de la CMTI/des conférences/assemblées mondiales des </w:t>
      </w:r>
      <w:r w:rsidR="00726716" w:rsidRPr="002A7A24">
        <w:t>Secteur</w:t>
      </w:r>
      <w:r w:rsidR="00F57F75" w:rsidRPr="002A7A24">
        <w:t>s</w:t>
      </w:r>
      <w:bookmarkEnd w:id="57"/>
      <w:r w:rsidRPr="002A7A24">
        <w:t>.</w:t>
      </w:r>
    </w:p>
    <w:p w:rsidR="00F57F75" w:rsidRPr="002A7A24" w:rsidRDefault="00DF7801" w:rsidP="00DF7801">
      <w:r w:rsidRPr="002A7A24">
        <w:t>9</w:t>
      </w:r>
      <w:r w:rsidR="00F57F75" w:rsidRPr="002A7A24">
        <w:tab/>
      </w:r>
      <w:bookmarkStart w:id="58" w:name="lt_pId094"/>
      <w:r w:rsidR="00F57F75" w:rsidRPr="002A7A24">
        <w:t>Compte tenu du mandat et des</w:t>
      </w:r>
      <w:r w:rsidR="00A26BFC" w:rsidRPr="002A7A24">
        <w:t xml:space="preserve"> </w:t>
      </w:r>
      <w:r w:rsidR="00F57F75" w:rsidRPr="002A7A24">
        <w:t>obligations de l</w:t>
      </w:r>
      <w:r w:rsidR="00A26BFC" w:rsidRPr="002A7A24">
        <w:t>'</w:t>
      </w:r>
      <w:r w:rsidR="00F57F75" w:rsidRPr="002A7A24">
        <w:t>Union,</w:t>
      </w:r>
      <w:r w:rsidR="00A26BFC" w:rsidRPr="002A7A24">
        <w:t xml:space="preserve"> </w:t>
      </w:r>
      <w:r w:rsidR="00F57F75" w:rsidRPr="002A7A24">
        <w:t xml:space="preserve">un cadre de </w:t>
      </w:r>
      <w:r w:rsidR="00726716" w:rsidRPr="002A7A24">
        <w:t>présentation</w:t>
      </w:r>
      <w:r w:rsidR="00F57F75" w:rsidRPr="002A7A24">
        <w:t xml:space="preserve"> des </w:t>
      </w:r>
      <w:r w:rsidR="00726716" w:rsidRPr="002A7A24">
        <w:t>résultats</w:t>
      </w:r>
      <w:r w:rsidR="00F57F75" w:rsidRPr="002A7A24">
        <w:t xml:space="preserve"> de</w:t>
      </w:r>
      <w:r w:rsidR="00A26BFC" w:rsidRPr="002A7A24">
        <w:t xml:space="preserve"> </w:t>
      </w:r>
      <w:r w:rsidR="00F57F75" w:rsidRPr="002A7A24">
        <w:t>l</w:t>
      </w:r>
      <w:r w:rsidR="00A26BFC" w:rsidRPr="002A7A24">
        <w:t>'</w:t>
      </w:r>
      <w:r w:rsidR="00F57F75" w:rsidRPr="002A7A24">
        <w:t>UIT</w:t>
      </w:r>
      <w:r w:rsidR="00A26BFC" w:rsidRPr="002A7A24">
        <w:t>,</w:t>
      </w:r>
      <w:r w:rsidR="00726716" w:rsidRPr="002A7A24">
        <w:t xml:space="preserve"> </w:t>
      </w:r>
      <w:r w:rsidR="00F57F75" w:rsidRPr="002A7A24">
        <w:t>composé d</w:t>
      </w:r>
      <w:r w:rsidR="00A26BFC" w:rsidRPr="002A7A24">
        <w:t>'</w:t>
      </w:r>
      <w:r w:rsidR="00F57F75" w:rsidRPr="002A7A24">
        <w:t>objectifs et de cibles réalisables</w:t>
      </w:r>
      <w:r w:rsidR="00A26BFC" w:rsidRPr="002A7A24">
        <w:t xml:space="preserve"> </w:t>
      </w:r>
      <w:r w:rsidR="00F57F75" w:rsidRPr="002A7A24">
        <w:t>communs à toutes les composantes de l</w:t>
      </w:r>
      <w:r w:rsidR="00A26BFC" w:rsidRPr="002A7A24">
        <w:t>'</w:t>
      </w:r>
      <w:r w:rsidR="00F57F75" w:rsidRPr="002A7A24">
        <w:t>Union, ainsi que d</w:t>
      </w:r>
      <w:r w:rsidR="00A26BFC" w:rsidRPr="002A7A24">
        <w:t>'</w:t>
      </w:r>
      <w:r w:rsidR="00F57F75" w:rsidRPr="002A7A24">
        <w:t>objectifs</w:t>
      </w:r>
      <w:r w:rsidRPr="002A7A24">
        <w:t>/de résultats</w:t>
      </w:r>
      <w:r w:rsidR="00F57F75" w:rsidRPr="002A7A24">
        <w:t>/de produits et d</w:t>
      </w:r>
      <w:r w:rsidR="00A26BFC" w:rsidRPr="002A7A24">
        <w:t>'</w:t>
      </w:r>
      <w:r w:rsidR="00F57F75" w:rsidRPr="002A7A24">
        <w:t>activités sectoriels et</w:t>
      </w:r>
      <w:r w:rsidR="00A26BFC" w:rsidRPr="002A7A24">
        <w:t xml:space="preserve"> </w:t>
      </w:r>
      <w:r w:rsidR="00F57F75" w:rsidRPr="002A7A24">
        <w:t>intersectoriels,</w:t>
      </w:r>
      <w:r w:rsidR="00A26BFC" w:rsidRPr="002A7A24">
        <w:t xml:space="preserve"> </w:t>
      </w:r>
      <w:r w:rsidR="00F57F75" w:rsidRPr="002A7A24">
        <w:t>est défini</w:t>
      </w:r>
      <w:r w:rsidR="00A26BFC" w:rsidRPr="002A7A24">
        <w:t xml:space="preserve"> </w:t>
      </w:r>
      <w:r w:rsidR="00F57F75" w:rsidRPr="002A7A24">
        <w:t>dans le Plan stratégique de l</w:t>
      </w:r>
      <w:r w:rsidR="00A26BFC" w:rsidRPr="002A7A24">
        <w:t>'</w:t>
      </w:r>
      <w:r w:rsidR="00F57F75" w:rsidRPr="002A7A24">
        <w:t>Union</w:t>
      </w:r>
      <w:r w:rsidR="00A26BFC" w:rsidRPr="002A7A24">
        <w:t xml:space="preserve"> </w:t>
      </w:r>
      <w:r w:rsidR="00F57F75" w:rsidRPr="002A7A24">
        <w:t>par les membres, dans le cadre de la Conférence de plénipotentiaires et du Conseil, compte tenu</w:t>
      </w:r>
      <w:r w:rsidR="00A26BFC" w:rsidRPr="002A7A24">
        <w:t xml:space="preserve"> </w:t>
      </w:r>
      <w:r w:rsidR="00F57F75" w:rsidRPr="002A7A24">
        <w:t>des contributions des conférences</w:t>
      </w:r>
      <w:r w:rsidR="00A26BFC" w:rsidRPr="002A7A24">
        <w:t xml:space="preserve"> </w:t>
      </w:r>
      <w:r w:rsidR="00F57F75" w:rsidRPr="002A7A24">
        <w:t>et des assemblées mondiales</w:t>
      </w:r>
      <w:r w:rsidR="00A26BFC" w:rsidRPr="002A7A24">
        <w:t xml:space="preserve"> </w:t>
      </w:r>
      <w:r w:rsidR="00F57F75" w:rsidRPr="002A7A24">
        <w:t xml:space="preserve">et des groupes consultatifs. La responsabilité de ces résultats est mise en </w:t>
      </w:r>
      <w:proofErr w:type="spellStart"/>
      <w:r w:rsidR="009F4B65" w:rsidRPr="002A7A24">
        <w:t>oe</w:t>
      </w:r>
      <w:r w:rsidR="00F57F75" w:rsidRPr="002A7A24">
        <w:t>uvre</w:t>
      </w:r>
      <w:proofErr w:type="spellEnd"/>
      <w:r w:rsidR="00F57F75" w:rsidRPr="002A7A24">
        <w:t xml:space="preserve"> chaque année par</w:t>
      </w:r>
      <w:r w:rsidR="00A26BFC" w:rsidRPr="002A7A24">
        <w:t xml:space="preserve"> </w:t>
      </w:r>
      <w:r w:rsidR="00F57F75" w:rsidRPr="002A7A24">
        <w:t>le biais des plans opérationnels des Secteurs et du Secrétariat général et fait l</w:t>
      </w:r>
      <w:r w:rsidR="00A26BFC" w:rsidRPr="002A7A24">
        <w:t>'</w:t>
      </w:r>
      <w:r w:rsidR="00F57F75" w:rsidRPr="002A7A24">
        <w:t>objet d</w:t>
      </w:r>
      <w:r w:rsidR="00A26BFC" w:rsidRPr="002A7A24">
        <w:t>'</w:t>
      </w:r>
      <w:r w:rsidR="00F57F75" w:rsidRPr="002A7A24">
        <w:t>un suivi et de rapports dans le</w:t>
      </w:r>
      <w:r w:rsidR="00A26BFC" w:rsidRPr="002A7A24">
        <w:t xml:space="preserve"> </w:t>
      </w:r>
      <w:r w:rsidR="00F57F75" w:rsidRPr="002A7A24">
        <w:rPr>
          <w:color w:val="000000"/>
        </w:rPr>
        <w:t xml:space="preserve">rapport annuel sur la mise en </w:t>
      </w:r>
      <w:proofErr w:type="spellStart"/>
      <w:r w:rsidR="00F57F75" w:rsidRPr="002A7A24">
        <w:rPr>
          <w:color w:val="000000"/>
        </w:rPr>
        <w:t>oeuvre</w:t>
      </w:r>
      <w:proofErr w:type="spellEnd"/>
      <w:r w:rsidR="00F57F75" w:rsidRPr="002A7A24">
        <w:rPr>
          <w:color w:val="000000"/>
        </w:rPr>
        <w:t xml:space="preserve"> du Plan stratégique</w:t>
      </w:r>
      <w:r w:rsidR="00F57F75" w:rsidRPr="002A7A24">
        <w:t>,</w:t>
      </w:r>
      <w:r w:rsidR="00A26BFC" w:rsidRPr="002A7A24">
        <w:t xml:space="preserve"> </w:t>
      </w:r>
      <w:r w:rsidR="00F57F75" w:rsidRPr="002A7A24">
        <w:t xml:space="preserve">les </w:t>
      </w:r>
      <w:r w:rsidR="00F57F75" w:rsidRPr="002A7A24">
        <w:rPr>
          <w:color w:val="000000"/>
        </w:rPr>
        <w:t>rapports de gestion</w:t>
      </w:r>
      <w:r w:rsidR="00F57F75" w:rsidRPr="002A7A24">
        <w:t>/</w:t>
      </w:r>
      <w:r w:rsidR="00F57F75" w:rsidRPr="002A7A24">
        <w:rPr>
          <w:color w:val="000000"/>
        </w:rPr>
        <w:t>d'exécution</w:t>
      </w:r>
      <w:r w:rsidR="00F57F75" w:rsidRPr="002A7A24">
        <w:t xml:space="preserve"> annuels</w:t>
      </w:r>
      <w:r w:rsidR="00A26BFC" w:rsidRPr="002A7A24">
        <w:t xml:space="preserve"> </w:t>
      </w:r>
      <w:r w:rsidR="00F57F75" w:rsidRPr="002A7A24">
        <w:t>et</w:t>
      </w:r>
      <w:r w:rsidR="00A26BFC" w:rsidRPr="002A7A24">
        <w:t xml:space="preserve"> </w:t>
      </w:r>
      <w:r w:rsidR="00F57F75" w:rsidRPr="002A7A24">
        <w:t>le rapport sur l</w:t>
      </w:r>
      <w:r w:rsidR="00A26BFC" w:rsidRPr="002A7A24">
        <w:t>'</w:t>
      </w:r>
      <w:r w:rsidR="00F57F75" w:rsidRPr="002A7A24">
        <w:t>état de l</w:t>
      </w:r>
      <w:r w:rsidR="00A26BFC" w:rsidRPr="002A7A24">
        <w:t>'</w:t>
      </w:r>
      <w:r w:rsidR="00F57F75" w:rsidRPr="002A7A24">
        <w:t>Union</w:t>
      </w:r>
      <w:r w:rsidR="00A26BFC" w:rsidRPr="002A7A24">
        <w:t>.</w:t>
      </w:r>
      <w:r w:rsidR="00F57F75" w:rsidRPr="002A7A24">
        <w:t xml:space="preserve"> Par le biais de la budgétisation axée sur les résultats et de la gestion axée sur les résultats, les résultats font l</w:t>
      </w:r>
      <w:r w:rsidR="00A26BFC" w:rsidRPr="002A7A24">
        <w:t>'</w:t>
      </w:r>
      <w:r w:rsidR="00F57F75" w:rsidRPr="002A7A24">
        <w:t>objet d</w:t>
      </w:r>
      <w:r w:rsidR="00A26BFC" w:rsidRPr="002A7A24">
        <w:t>'</w:t>
      </w:r>
      <w:r w:rsidR="00F57F75" w:rsidRPr="002A7A24">
        <w:t>un suivi et de rapports à l</w:t>
      </w:r>
      <w:r w:rsidR="00A26BFC" w:rsidRPr="002A7A24">
        <w:t>'</w:t>
      </w:r>
      <w:r w:rsidR="00F57F75" w:rsidRPr="002A7A24">
        <w:t>intention des membres, afin qu</w:t>
      </w:r>
      <w:r w:rsidR="00A26BFC" w:rsidRPr="002A7A24">
        <w:t>'</w:t>
      </w:r>
      <w:r w:rsidR="00F57F75" w:rsidRPr="002A7A24">
        <w:t>ils fournissent des orientations complémentaires</w:t>
      </w:r>
      <w:bookmarkEnd w:id="58"/>
      <w:r w:rsidR="00A26BFC" w:rsidRPr="002A7A24">
        <w:t xml:space="preserve"> </w:t>
      </w:r>
    </w:p>
    <w:p w:rsidR="00F57F75" w:rsidRPr="002A7A24" w:rsidRDefault="00F57F75" w:rsidP="00DF7801">
      <w:pPr>
        <w:pStyle w:val="Headingb"/>
      </w:pPr>
      <w:bookmarkStart w:id="59" w:name="lt_pId097"/>
      <w:r w:rsidRPr="002A7A24">
        <w:t>Pilier</w:t>
      </w:r>
      <w:r w:rsidR="00A26BFC" w:rsidRPr="002A7A24">
        <w:t xml:space="preserve"> </w:t>
      </w:r>
      <w:r w:rsidRPr="002A7A24">
        <w:t>2 – Gestion des risques et</w:t>
      </w:r>
      <w:r w:rsidR="00A26BFC" w:rsidRPr="002A7A24">
        <w:t xml:space="preserve"> </w:t>
      </w:r>
      <w:r w:rsidRPr="002A7A24">
        <w:t>mécanismes de contrôle interne</w:t>
      </w:r>
      <w:r w:rsidR="00A26BFC" w:rsidRPr="002A7A24">
        <w:t xml:space="preserve"> </w:t>
      </w:r>
    </w:p>
    <w:p w:rsidR="00F57F75" w:rsidRPr="002A7A24" w:rsidRDefault="00DF7801" w:rsidP="00DF7801">
      <w:r w:rsidRPr="002A7A24">
        <w:t>10</w:t>
      </w:r>
      <w:r w:rsidRPr="002A7A24">
        <w:tab/>
      </w:r>
      <w:r w:rsidR="00F57F75" w:rsidRPr="002A7A24">
        <w:t xml:space="preserve">Ce pilier vise à assurer la concordance des </w:t>
      </w:r>
      <w:r w:rsidR="00726716" w:rsidRPr="002A7A24">
        <w:t>résultats</w:t>
      </w:r>
      <w:r w:rsidR="00F57F75" w:rsidRPr="002A7A24">
        <w:t xml:space="preserve"> avec les politiques, les règles et les dispositions réglementaires de l</w:t>
      </w:r>
      <w:r w:rsidR="00A26BFC" w:rsidRPr="002A7A24">
        <w:t>'</w:t>
      </w:r>
      <w:r w:rsidR="00F57F75" w:rsidRPr="002A7A24">
        <w:t>UIT</w:t>
      </w:r>
      <w:r w:rsidR="00A26BFC" w:rsidRPr="002A7A24">
        <w:t xml:space="preserve"> </w:t>
      </w:r>
      <w:r w:rsidR="00F57F75" w:rsidRPr="002A7A24">
        <w:t>ainsi qu</w:t>
      </w:r>
      <w:r w:rsidR="00A26BFC" w:rsidRPr="002A7A24">
        <w:t>'</w:t>
      </w:r>
      <w:r w:rsidR="00F57F75" w:rsidRPr="002A7A24">
        <w:t>avec la déontologie, l</w:t>
      </w:r>
      <w:r w:rsidR="00A26BFC" w:rsidRPr="002A7A24">
        <w:t>'</w:t>
      </w:r>
      <w:r w:rsidR="00F57F75" w:rsidRPr="002A7A24">
        <w:t>intégrité et d</w:t>
      </w:r>
      <w:r w:rsidR="00A26BFC" w:rsidRPr="002A7A24">
        <w:t>'</w:t>
      </w:r>
      <w:r w:rsidR="00F57F75" w:rsidRPr="002A7A24">
        <w:t>autres normes</w:t>
      </w:r>
      <w:r w:rsidRPr="002A7A24">
        <w:t>.</w:t>
      </w:r>
    </w:p>
    <w:p w:rsidR="00F57F75" w:rsidRPr="002A7A24" w:rsidRDefault="00DF7801" w:rsidP="00DF7801">
      <w:r w:rsidRPr="002A7A24">
        <w:t>11</w:t>
      </w:r>
      <w:r w:rsidRPr="002A7A24">
        <w:tab/>
      </w:r>
      <w:r w:rsidR="00F57F75" w:rsidRPr="002A7A24">
        <w:t>Les composantes</w:t>
      </w:r>
      <w:r w:rsidR="00A26BFC" w:rsidRPr="002A7A24">
        <w:t xml:space="preserve"> </w:t>
      </w:r>
      <w:r w:rsidR="00F57F75" w:rsidRPr="002A7A24">
        <w:t xml:space="preserve">actuelles de ce pilier sont les </w:t>
      </w:r>
      <w:proofErr w:type="gramStart"/>
      <w:r w:rsidR="00F57F75" w:rsidRPr="002A7A24">
        <w:t>suivantes</w:t>
      </w:r>
      <w:bookmarkEnd w:id="59"/>
      <w:r w:rsidRPr="002A7A24">
        <w:t>:</w:t>
      </w:r>
      <w:proofErr w:type="gramEnd"/>
    </w:p>
    <w:p w:rsidR="00F57F75" w:rsidRPr="002A7A24" w:rsidRDefault="00DF7801" w:rsidP="00DF7801">
      <w:pPr>
        <w:pStyle w:val="enumlev1"/>
        <w:rPr>
          <w:szCs w:val="24"/>
        </w:rPr>
      </w:pPr>
      <w:bookmarkStart w:id="60" w:name="lt_pId102"/>
      <w:r w:rsidRPr="002A7A24">
        <w:t>a)</w:t>
      </w:r>
      <w:r w:rsidRPr="002A7A24">
        <w:tab/>
      </w:r>
      <w:r w:rsidR="00F57F75" w:rsidRPr="002A7A24">
        <w:t>rapport de gestion financière</w:t>
      </w:r>
      <w:r w:rsidR="00A26BFC" w:rsidRPr="002A7A24">
        <w:rPr>
          <w:szCs w:val="24"/>
        </w:rPr>
        <w:t>,</w:t>
      </w:r>
      <w:r w:rsidR="00F57F75" w:rsidRPr="002A7A24">
        <w:rPr>
          <w:szCs w:val="24"/>
        </w:rPr>
        <w:t xml:space="preserve"> comprenant</w:t>
      </w:r>
      <w:r w:rsidR="00A26BFC" w:rsidRPr="002A7A24">
        <w:rPr>
          <w:szCs w:val="24"/>
        </w:rPr>
        <w:t xml:space="preserve"> </w:t>
      </w:r>
      <w:r w:rsidR="00F57F75" w:rsidRPr="002A7A24">
        <w:t>la déclaration sur les contrôles internes</w:t>
      </w:r>
      <w:r w:rsidR="00F57F75" w:rsidRPr="002A7A24">
        <w:rPr>
          <w:szCs w:val="24"/>
        </w:rPr>
        <w:t xml:space="preserve"> (SIC)</w:t>
      </w:r>
      <w:r w:rsidR="00A26BFC" w:rsidRPr="002A7A24">
        <w:rPr>
          <w:szCs w:val="24"/>
        </w:rPr>
        <w:t xml:space="preserve"> </w:t>
      </w:r>
      <w:r w:rsidR="00F57F75" w:rsidRPr="002A7A24">
        <w:rPr>
          <w:szCs w:val="24"/>
        </w:rPr>
        <w:t>et le</w:t>
      </w:r>
      <w:r w:rsidR="00A26BFC" w:rsidRPr="002A7A24">
        <w:rPr>
          <w:szCs w:val="24"/>
        </w:rPr>
        <w:t xml:space="preserve"> </w:t>
      </w:r>
      <w:r w:rsidR="00F57F75" w:rsidRPr="002A7A24">
        <w:t xml:space="preserve">rapport de </w:t>
      </w:r>
      <w:proofErr w:type="gramStart"/>
      <w:r w:rsidR="00F57F75" w:rsidRPr="002A7A24">
        <w:t>gestion</w:t>
      </w:r>
      <w:r w:rsidR="00F57F75" w:rsidRPr="002A7A24">
        <w:rPr>
          <w:szCs w:val="24"/>
        </w:rPr>
        <w:t>;</w:t>
      </w:r>
      <w:bookmarkEnd w:id="60"/>
      <w:proofErr w:type="gramEnd"/>
    </w:p>
    <w:p w:rsidR="00F57F75" w:rsidRPr="002A7A24" w:rsidRDefault="00DF7801" w:rsidP="00DF7801">
      <w:pPr>
        <w:pStyle w:val="enumlev1"/>
        <w:rPr>
          <w:szCs w:val="24"/>
        </w:rPr>
      </w:pPr>
      <w:bookmarkStart w:id="61" w:name="lt_pId103"/>
      <w:r w:rsidRPr="002A7A24">
        <w:rPr>
          <w:szCs w:val="24"/>
        </w:rPr>
        <w:t>b)</w:t>
      </w:r>
      <w:r w:rsidRPr="002A7A24">
        <w:rPr>
          <w:szCs w:val="24"/>
        </w:rPr>
        <w:tab/>
      </w:r>
      <w:r w:rsidR="00F57F75" w:rsidRPr="002A7A24">
        <w:rPr>
          <w:szCs w:val="24"/>
        </w:rPr>
        <w:t>résultats</w:t>
      </w:r>
      <w:r w:rsidR="00A26BFC" w:rsidRPr="002A7A24">
        <w:rPr>
          <w:szCs w:val="24"/>
        </w:rPr>
        <w:t xml:space="preserve"> </w:t>
      </w:r>
      <w:r w:rsidR="00F57F75" w:rsidRPr="002A7A24">
        <w:t>du Comité de coordination (</w:t>
      </w:r>
      <w:r w:rsidR="00F57F75" w:rsidRPr="002A7A24">
        <w:rPr>
          <w:szCs w:val="24"/>
        </w:rPr>
        <w:t xml:space="preserve">COCO), du </w:t>
      </w:r>
      <w:r w:rsidR="00F57F75" w:rsidRPr="002A7A24">
        <w:t>Groupe de c</w:t>
      </w:r>
      <w:r w:rsidRPr="002A7A24">
        <w:t xml:space="preserve">oordination de la gestion (MCG), </w:t>
      </w:r>
      <w:r w:rsidR="00F57F75" w:rsidRPr="002A7A24">
        <w:rPr>
          <w:szCs w:val="24"/>
        </w:rPr>
        <w:t>des</w:t>
      </w:r>
      <w:r w:rsidR="00A26BFC" w:rsidRPr="002A7A24">
        <w:rPr>
          <w:szCs w:val="24"/>
        </w:rPr>
        <w:t xml:space="preserve"> </w:t>
      </w:r>
      <w:r w:rsidR="00F57F75" w:rsidRPr="002A7A24">
        <w:t>Comités statutaires</w:t>
      </w:r>
      <w:bookmarkEnd w:id="61"/>
      <w:r w:rsidR="00A26BFC" w:rsidRPr="002A7A24">
        <w:t xml:space="preserve"> </w:t>
      </w:r>
      <w:r w:rsidR="00F57F75" w:rsidRPr="002A7A24">
        <w:rPr>
          <w:szCs w:val="24"/>
        </w:rPr>
        <w:t xml:space="preserve">et des groupes </w:t>
      </w:r>
      <w:proofErr w:type="gramStart"/>
      <w:r w:rsidR="00F57F75" w:rsidRPr="002A7A24">
        <w:rPr>
          <w:szCs w:val="24"/>
        </w:rPr>
        <w:t>d</w:t>
      </w:r>
      <w:r w:rsidR="00A26BFC" w:rsidRPr="002A7A24">
        <w:rPr>
          <w:szCs w:val="24"/>
        </w:rPr>
        <w:t>'</w:t>
      </w:r>
      <w:r w:rsidR="00F57F75" w:rsidRPr="002A7A24">
        <w:rPr>
          <w:szCs w:val="24"/>
        </w:rPr>
        <w:t>action</w:t>
      </w:r>
      <w:r w:rsidRPr="002A7A24">
        <w:rPr>
          <w:szCs w:val="24"/>
        </w:rPr>
        <w:t>;</w:t>
      </w:r>
      <w:proofErr w:type="gramEnd"/>
    </w:p>
    <w:p w:rsidR="00F57F75" w:rsidRPr="002A7A24" w:rsidRDefault="00DF7801" w:rsidP="00DF7801">
      <w:pPr>
        <w:pStyle w:val="enumlev1"/>
        <w:rPr>
          <w:szCs w:val="24"/>
        </w:rPr>
      </w:pPr>
      <w:bookmarkStart w:id="62" w:name="lt_pId104"/>
      <w:r w:rsidRPr="002A7A24">
        <w:t>c)</w:t>
      </w:r>
      <w:r w:rsidRPr="002A7A24">
        <w:tab/>
      </w:r>
      <w:r w:rsidR="00F57F75" w:rsidRPr="002A7A24">
        <w:t xml:space="preserve">rapports d'audit </w:t>
      </w:r>
      <w:proofErr w:type="gramStart"/>
      <w:r w:rsidR="00F57F75" w:rsidRPr="002A7A24">
        <w:t>interne</w:t>
      </w:r>
      <w:r w:rsidR="00F57F75" w:rsidRPr="002A7A24">
        <w:rPr>
          <w:szCs w:val="24"/>
        </w:rPr>
        <w:t>;</w:t>
      </w:r>
      <w:bookmarkEnd w:id="62"/>
      <w:proofErr w:type="gramEnd"/>
    </w:p>
    <w:p w:rsidR="00F57F75" w:rsidRPr="002A7A24" w:rsidRDefault="00DF7801" w:rsidP="00DF7801">
      <w:pPr>
        <w:pStyle w:val="enumlev1"/>
        <w:rPr>
          <w:szCs w:val="24"/>
        </w:rPr>
      </w:pPr>
      <w:bookmarkStart w:id="63" w:name="lt_pId105"/>
      <w:r w:rsidRPr="002A7A24">
        <w:t>d)</w:t>
      </w:r>
      <w:r w:rsidRPr="002A7A24">
        <w:tab/>
      </w:r>
      <w:r w:rsidR="00F57F75" w:rsidRPr="002A7A24">
        <w:t xml:space="preserve">rapport des Vérificateurs extérieurs des </w:t>
      </w:r>
      <w:proofErr w:type="gramStart"/>
      <w:r w:rsidR="00F57F75" w:rsidRPr="002A7A24">
        <w:t>comptes</w:t>
      </w:r>
      <w:r w:rsidR="00F57F75" w:rsidRPr="002A7A24">
        <w:rPr>
          <w:szCs w:val="24"/>
        </w:rPr>
        <w:t>;</w:t>
      </w:r>
      <w:bookmarkEnd w:id="63"/>
      <w:proofErr w:type="gramEnd"/>
    </w:p>
    <w:p w:rsidR="00F57F75" w:rsidRPr="002A7A24" w:rsidRDefault="00DF7801" w:rsidP="00DF7801">
      <w:pPr>
        <w:pStyle w:val="enumlev1"/>
        <w:rPr>
          <w:szCs w:val="24"/>
        </w:rPr>
      </w:pPr>
      <w:bookmarkStart w:id="64" w:name="lt_pId106"/>
      <w:r w:rsidRPr="002A7A24">
        <w:rPr>
          <w:szCs w:val="24"/>
        </w:rPr>
        <w:t>e)</w:t>
      </w:r>
      <w:r w:rsidRPr="002A7A24">
        <w:rPr>
          <w:szCs w:val="24"/>
        </w:rPr>
        <w:tab/>
      </w:r>
      <w:r w:rsidR="00F57F75" w:rsidRPr="002A7A24">
        <w:rPr>
          <w:szCs w:val="24"/>
        </w:rPr>
        <w:t xml:space="preserve">rapport du </w:t>
      </w:r>
      <w:proofErr w:type="gramStart"/>
      <w:r w:rsidR="00F57F75" w:rsidRPr="002A7A24">
        <w:rPr>
          <w:szCs w:val="24"/>
        </w:rPr>
        <w:t>CCIG;</w:t>
      </w:r>
      <w:bookmarkEnd w:id="64"/>
      <w:proofErr w:type="gramEnd"/>
    </w:p>
    <w:p w:rsidR="00F57F75" w:rsidRPr="002A7A24" w:rsidRDefault="00DF7801" w:rsidP="00DF7801">
      <w:pPr>
        <w:pStyle w:val="enumlev1"/>
        <w:rPr>
          <w:szCs w:val="24"/>
        </w:rPr>
      </w:pPr>
      <w:bookmarkStart w:id="65" w:name="lt_pId107"/>
      <w:r w:rsidRPr="002A7A24">
        <w:rPr>
          <w:szCs w:val="24"/>
        </w:rPr>
        <w:t>f)</w:t>
      </w:r>
      <w:r w:rsidRPr="002A7A24">
        <w:rPr>
          <w:szCs w:val="24"/>
        </w:rPr>
        <w:tab/>
      </w:r>
      <w:r w:rsidR="00F57F75" w:rsidRPr="002A7A24">
        <w:rPr>
          <w:szCs w:val="24"/>
        </w:rPr>
        <w:t xml:space="preserve">recommandations du CCI acceptées par le Secrétaire </w:t>
      </w:r>
      <w:proofErr w:type="gramStart"/>
      <w:r w:rsidR="00F57F75" w:rsidRPr="002A7A24">
        <w:rPr>
          <w:szCs w:val="24"/>
        </w:rPr>
        <w:t>général</w:t>
      </w:r>
      <w:bookmarkEnd w:id="65"/>
      <w:r w:rsidRPr="002A7A24">
        <w:rPr>
          <w:szCs w:val="24"/>
        </w:rPr>
        <w:t>;</w:t>
      </w:r>
      <w:proofErr w:type="gramEnd"/>
    </w:p>
    <w:p w:rsidR="00F57F75" w:rsidRPr="002A7A24" w:rsidRDefault="00DF7801" w:rsidP="00DF7801">
      <w:pPr>
        <w:pStyle w:val="enumlev1"/>
        <w:rPr>
          <w:szCs w:val="24"/>
        </w:rPr>
      </w:pPr>
      <w:bookmarkStart w:id="66" w:name="lt_pId108"/>
      <w:r w:rsidRPr="002A7A24">
        <w:t>g)</w:t>
      </w:r>
      <w:r w:rsidRPr="002A7A24">
        <w:tab/>
      </w:r>
      <w:r w:rsidR="00F57F75" w:rsidRPr="002A7A24">
        <w:t>politique de gestion des risques</w:t>
      </w:r>
      <w:r w:rsidR="00F57F75" w:rsidRPr="002A7A24">
        <w:rPr>
          <w:szCs w:val="24"/>
        </w:rPr>
        <w:t xml:space="preserve"> et déclaration sur la propension au risque</w:t>
      </w:r>
      <w:r w:rsidR="00A26BFC" w:rsidRPr="002A7A24">
        <w:rPr>
          <w:szCs w:val="24"/>
        </w:rPr>
        <w:t xml:space="preserve"> </w:t>
      </w:r>
      <w:r w:rsidR="00F57F75" w:rsidRPr="002A7A24">
        <w:rPr>
          <w:szCs w:val="24"/>
        </w:rPr>
        <w:t>(doivent être adoptées par le Conseil à sa session de 2017</w:t>
      </w:r>
      <w:proofErr w:type="gramStart"/>
      <w:r w:rsidR="00A26BFC" w:rsidRPr="002A7A24">
        <w:rPr>
          <w:szCs w:val="24"/>
        </w:rPr>
        <w:t>)</w:t>
      </w:r>
      <w:r w:rsidR="00F57F75" w:rsidRPr="002A7A24">
        <w:rPr>
          <w:szCs w:val="24"/>
        </w:rPr>
        <w:t>;</w:t>
      </w:r>
      <w:bookmarkEnd w:id="66"/>
      <w:proofErr w:type="gramEnd"/>
    </w:p>
    <w:p w:rsidR="00F57F75" w:rsidRPr="002A7A24" w:rsidRDefault="00DF7801" w:rsidP="00DF7801">
      <w:pPr>
        <w:pStyle w:val="enumlev1"/>
        <w:rPr>
          <w:szCs w:val="24"/>
        </w:rPr>
      </w:pPr>
      <w:bookmarkStart w:id="67" w:name="lt_pId109"/>
      <w:r w:rsidRPr="002A7A24">
        <w:t>h)</w:t>
      </w:r>
      <w:r w:rsidRPr="002A7A24">
        <w:tab/>
      </w:r>
      <w:r w:rsidR="00F57F75" w:rsidRPr="002A7A24">
        <w:t xml:space="preserve">délégation de </w:t>
      </w:r>
      <w:proofErr w:type="gramStart"/>
      <w:r w:rsidR="00F57F75" w:rsidRPr="002A7A24">
        <w:t>pouvoirs</w:t>
      </w:r>
      <w:r w:rsidR="00F57F75" w:rsidRPr="002A7A24">
        <w:rPr>
          <w:szCs w:val="24"/>
        </w:rPr>
        <w:t>;</w:t>
      </w:r>
      <w:bookmarkEnd w:id="67"/>
      <w:proofErr w:type="gramEnd"/>
    </w:p>
    <w:p w:rsidR="00F57F75" w:rsidRPr="002A7A24" w:rsidRDefault="00DF7801" w:rsidP="00DF7801">
      <w:pPr>
        <w:pStyle w:val="enumlev1"/>
        <w:rPr>
          <w:szCs w:val="24"/>
        </w:rPr>
      </w:pPr>
      <w:bookmarkStart w:id="68" w:name="lt_pId110"/>
      <w:r w:rsidRPr="002A7A24">
        <w:rPr>
          <w:szCs w:val="24"/>
        </w:rPr>
        <w:t>i)</w:t>
      </w:r>
      <w:r w:rsidRPr="002A7A24">
        <w:rPr>
          <w:szCs w:val="24"/>
        </w:rPr>
        <w:tab/>
      </w:r>
      <w:r w:rsidR="00F57F75" w:rsidRPr="002A7A24">
        <w:rPr>
          <w:szCs w:val="24"/>
        </w:rPr>
        <w:t>accès au système ERP fondé sur la séparation</w:t>
      </w:r>
      <w:bookmarkEnd w:id="68"/>
      <w:r w:rsidR="00A26BFC" w:rsidRPr="002A7A24">
        <w:rPr>
          <w:szCs w:val="24"/>
        </w:rPr>
        <w:t xml:space="preserve"> </w:t>
      </w:r>
      <w:r w:rsidR="00F57F75" w:rsidRPr="002A7A24">
        <w:t>des tâches</w:t>
      </w:r>
      <w:r w:rsidRPr="002A7A24">
        <w:t>.</w:t>
      </w:r>
    </w:p>
    <w:p w:rsidR="00F57F75" w:rsidRPr="002A7A24" w:rsidRDefault="00F57F75" w:rsidP="00DF7801">
      <w:pPr>
        <w:pStyle w:val="Headingb"/>
      </w:pPr>
      <w:bookmarkStart w:id="69" w:name="lt_pId111"/>
      <w:r w:rsidRPr="002A7A24">
        <w:t>Pilier</w:t>
      </w:r>
      <w:r w:rsidR="00A26BFC" w:rsidRPr="002A7A24">
        <w:t xml:space="preserve"> </w:t>
      </w:r>
      <w:r w:rsidR="00726716" w:rsidRPr="002A7A24">
        <w:t>3 –</w:t>
      </w:r>
      <w:r w:rsidRPr="002A7A24">
        <w:t xml:space="preserve"> </w:t>
      </w:r>
      <w:bookmarkEnd w:id="69"/>
      <w:r w:rsidRPr="002A7A24">
        <w:t>Mécanismes de recours</w:t>
      </w:r>
      <w:r w:rsidR="00A26BFC" w:rsidRPr="002A7A24">
        <w:t xml:space="preserve"> </w:t>
      </w:r>
    </w:p>
    <w:p w:rsidR="00F57F75" w:rsidRPr="002A7A24" w:rsidRDefault="00DF7801" w:rsidP="00DF7801">
      <w:pPr>
        <w:rPr>
          <w:szCs w:val="24"/>
        </w:rPr>
      </w:pPr>
      <w:r w:rsidRPr="002A7A24">
        <w:rPr>
          <w:szCs w:val="24"/>
        </w:rPr>
        <w:t>12</w:t>
      </w:r>
      <w:r w:rsidR="00F57F75" w:rsidRPr="002A7A24">
        <w:rPr>
          <w:szCs w:val="24"/>
        </w:rPr>
        <w:tab/>
      </w:r>
      <w:bookmarkStart w:id="70" w:name="lt_pId113"/>
      <w:r w:rsidR="00F57F75" w:rsidRPr="002A7A24">
        <w:rPr>
          <w:szCs w:val="24"/>
        </w:rPr>
        <w:t>Comme indiqué dans le rapport du CCI, ce pilier est défini de la façon suivante</w:t>
      </w:r>
      <w:r w:rsidR="00A26BFC" w:rsidRPr="002A7A24">
        <w:rPr>
          <w:szCs w:val="24"/>
        </w:rPr>
        <w:t xml:space="preserve"> "</w:t>
      </w:r>
      <w:r w:rsidR="00F57F75" w:rsidRPr="002A7A24">
        <w:t>Il s</w:t>
      </w:r>
      <w:r w:rsidR="00A26BFC" w:rsidRPr="002A7A24">
        <w:t>'</w:t>
      </w:r>
      <w:r w:rsidR="00F57F75" w:rsidRPr="002A7A24">
        <w:t>agit du mécanisme qui permet aux parties prenantes d</w:t>
      </w:r>
      <w:r w:rsidR="00A26BFC" w:rsidRPr="002A7A24">
        <w:t>'</w:t>
      </w:r>
      <w:r w:rsidR="00F57F75" w:rsidRPr="002A7A24">
        <w:t>amener une organisation à rendre des comptes en contestant une décision, une mesure ou une politique et de recevoir une réponse adéquate à leurs recours</w:t>
      </w:r>
      <w:r w:rsidR="00A26BFC" w:rsidRPr="002A7A24">
        <w:rPr>
          <w:szCs w:val="24"/>
        </w:rPr>
        <w:t>.</w:t>
      </w:r>
      <w:r w:rsidR="00F57F75" w:rsidRPr="002A7A24">
        <w:t xml:space="preserve"> Ces derniers doivent être considérés comme un dernier recours qui permet aux intéressés d</w:t>
      </w:r>
      <w:r w:rsidR="00A26BFC" w:rsidRPr="002A7A24">
        <w:t>'</w:t>
      </w:r>
      <w:r w:rsidR="00F57F75" w:rsidRPr="002A7A24">
        <w:t>amener l</w:t>
      </w:r>
      <w:r w:rsidR="00A26BFC" w:rsidRPr="002A7A24">
        <w:t>'</w:t>
      </w:r>
      <w:r w:rsidR="00F57F75" w:rsidRPr="002A7A24">
        <w:t>organisation à rendre des comptes et aux organisations de prendre conscience de l</w:t>
      </w:r>
      <w:r w:rsidR="00A26BFC" w:rsidRPr="002A7A24">
        <w:t>'</w:t>
      </w:r>
      <w:r w:rsidR="00F57F75" w:rsidRPr="002A7A24">
        <w:t>existence d</w:t>
      </w:r>
      <w:r w:rsidR="00A26BFC" w:rsidRPr="002A7A24">
        <w:t>'</w:t>
      </w:r>
      <w:r w:rsidR="00F57F75" w:rsidRPr="002A7A24">
        <w:t>un problème qui appelle une solution</w:t>
      </w:r>
      <w:bookmarkStart w:id="71" w:name="lt_pId115"/>
      <w:bookmarkEnd w:id="70"/>
      <w:r w:rsidR="00726716" w:rsidRPr="002A7A24">
        <w:t xml:space="preserve">". </w:t>
      </w:r>
      <w:r w:rsidR="00F57F75" w:rsidRPr="002A7A24">
        <w:rPr>
          <w:szCs w:val="24"/>
        </w:rPr>
        <w:t>A l</w:t>
      </w:r>
      <w:r w:rsidR="00A26BFC" w:rsidRPr="002A7A24">
        <w:rPr>
          <w:szCs w:val="24"/>
        </w:rPr>
        <w:t>'</w:t>
      </w:r>
      <w:r w:rsidR="00F57F75" w:rsidRPr="002A7A24">
        <w:rPr>
          <w:szCs w:val="24"/>
        </w:rPr>
        <w:t xml:space="preserve">UIT, il existe un certain nombre de mécanismes de recours, à </w:t>
      </w:r>
      <w:proofErr w:type="gramStart"/>
      <w:r w:rsidR="00F57F75" w:rsidRPr="002A7A24">
        <w:rPr>
          <w:szCs w:val="24"/>
        </w:rPr>
        <w:t>savoir</w:t>
      </w:r>
      <w:r w:rsidR="00A26BFC" w:rsidRPr="002A7A24">
        <w:rPr>
          <w:szCs w:val="24"/>
        </w:rPr>
        <w:t>:</w:t>
      </w:r>
      <w:bookmarkEnd w:id="71"/>
      <w:proofErr w:type="gramEnd"/>
    </w:p>
    <w:p w:rsidR="00F57F75" w:rsidRPr="002A7A24" w:rsidRDefault="00DF7801" w:rsidP="00DF7801">
      <w:pPr>
        <w:pStyle w:val="enumlev1"/>
        <w:rPr>
          <w:szCs w:val="24"/>
        </w:rPr>
      </w:pPr>
      <w:bookmarkStart w:id="72" w:name="lt_pId116"/>
      <w:r w:rsidRPr="002A7A24">
        <w:rPr>
          <w:szCs w:val="24"/>
        </w:rPr>
        <w:t>a)</w:t>
      </w:r>
      <w:r w:rsidRPr="002A7A24">
        <w:rPr>
          <w:szCs w:val="24"/>
        </w:rPr>
        <w:tab/>
      </w:r>
      <w:r w:rsidR="00F57F75" w:rsidRPr="002A7A24">
        <w:t>responsable de la déontologie</w:t>
      </w:r>
      <w:r w:rsidR="00F57F75" w:rsidRPr="002A7A24">
        <w:rPr>
          <w:szCs w:val="24"/>
        </w:rPr>
        <w:t xml:space="preserve"> – </w:t>
      </w:r>
      <w:r w:rsidR="00F57F75" w:rsidRPr="002A7A24">
        <w:t>valeurs déontologiques et</w:t>
      </w:r>
      <w:r w:rsidR="00A26BFC" w:rsidRPr="002A7A24">
        <w:t xml:space="preserve"> </w:t>
      </w:r>
      <w:r w:rsidR="00F57F75" w:rsidRPr="002A7A24">
        <w:t xml:space="preserve">normes de </w:t>
      </w:r>
      <w:proofErr w:type="gramStart"/>
      <w:r w:rsidR="00F57F75" w:rsidRPr="002A7A24">
        <w:t>conduite</w:t>
      </w:r>
      <w:r w:rsidR="00F57F75" w:rsidRPr="002A7A24">
        <w:rPr>
          <w:szCs w:val="24"/>
        </w:rPr>
        <w:t>;</w:t>
      </w:r>
      <w:bookmarkEnd w:id="72"/>
      <w:proofErr w:type="gramEnd"/>
    </w:p>
    <w:p w:rsidR="00F57F75" w:rsidRPr="002A7A24" w:rsidRDefault="00DF7801" w:rsidP="00DF7801">
      <w:pPr>
        <w:pStyle w:val="enumlev1"/>
        <w:rPr>
          <w:szCs w:val="24"/>
        </w:rPr>
      </w:pPr>
      <w:bookmarkStart w:id="73" w:name="lt_pId117"/>
      <w:r w:rsidRPr="002A7A24">
        <w:rPr>
          <w:szCs w:val="24"/>
        </w:rPr>
        <w:lastRenderedPageBreak/>
        <w:t>b)</w:t>
      </w:r>
      <w:r w:rsidRPr="002A7A24">
        <w:rPr>
          <w:szCs w:val="24"/>
        </w:rPr>
        <w:tab/>
      </w:r>
      <w:r w:rsidR="00F57F75" w:rsidRPr="002A7A24">
        <w:rPr>
          <w:szCs w:val="24"/>
        </w:rPr>
        <w:t xml:space="preserve">Conseil du </w:t>
      </w:r>
      <w:proofErr w:type="gramStart"/>
      <w:r w:rsidRPr="002A7A24">
        <w:rPr>
          <w:szCs w:val="24"/>
        </w:rPr>
        <w:t>personnel</w:t>
      </w:r>
      <w:r w:rsidR="00F57F75" w:rsidRPr="002A7A24">
        <w:rPr>
          <w:szCs w:val="24"/>
        </w:rPr>
        <w:t>;</w:t>
      </w:r>
      <w:bookmarkEnd w:id="73"/>
      <w:proofErr w:type="gramEnd"/>
    </w:p>
    <w:p w:rsidR="00F57F75" w:rsidRPr="002A7A24" w:rsidRDefault="00DF7801" w:rsidP="00DF7801">
      <w:pPr>
        <w:pStyle w:val="enumlev1"/>
        <w:rPr>
          <w:szCs w:val="24"/>
        </w:rPr>
      </w:pPr>
      <w:bookmarkStart w:id="74" w:name="lt_pId118"/>
      <w:r w:rsidRPr="002A7A24">
        <w:t>c)</w:t>
      </w:r>
      <w:r w:rsidRPr="002A7A24">
        <w:tab/>
      </w:r>
      <w:r w:rsidR="00F57F75" w:rsidRPr="002A7A24">
        <w:t xml:space="preserve">médiateurs de </w:t>
      </w:r>
      <w:proofErr w:type="gramStart"/>
      <w:r w:rsidR="00F57F75" w:rsidRPr="002A7A24">
        <w:t>l</w:t>
      </w:r>
      <w:r w:rsidR="00A26BFC" w:rsidRPr="002A7A24">
        <w:t>'</w:t>
      </w:r>
      <w:r w:rsidR="00F57F75" w:rsidRPr="002A7A24">
        <w:t>Union</w:t>
      </w:r>
      <w:r w:rsidR="00F57F75" w:rsidRPr="002A7A24">
        <w:rPr>
          <w:szCs w:val="24"/>
        </w:rPr>
        <w:t>;</w:t>
      </w:r>
      <w:bookmarkEnd w:id="74"/>
      <w:proofErr w:type="gramEnd"/>
    </w:p>
    <w:p w:rsidR="00F57F75" w:rsidRPr="002A7A24" w:rsidRDefault="00DF7801" w:rsidP="00DF7801">
      <w:pPr>
        <w:pStyle w:val="enumlev1"/>
        <w:rPr>
          <w:szCs w:val="24"/>
        </w:rPr>
      </w:pPr>
      <w:bookmarkStart w:id="75" w:name="lt_pId119"/>
      <w:r w:rsidRPr="002A7A24">
        <w:rPr>
          <w:szCs w:val="24"/>
        </w:rPr>
        <w:t>d)</w:t>
      </w:r>
      <w:r w:rsidRPr="002A7A24">
        <w:rPr>
          <w:szCs w:val="24"/>
        </w:rPr>
        <w:tab/>
      </w:r>
      <w:r w:rsidR="00F57F75" w:rsidRPr="002A7A24">
        <w:rPr>
          <w:szCs w:val="24"/>
        </w:rPr>
        <w:t>demande de réexamen d</w:t>
      </w:r>
      <w:r w:rsidR="00A26BFC" w:rsidRPr="002A7A24">
        <w:rPr>
          <w:szCs w:val="24"/>
        </w:rPr>
        <w:t>'</w:t>
      </w:r>
      <w:r w:rsidR="00F57F75" w:rsidRPr="002A7A24">
        <w:rPr>
          <w:szCs w:val="24"/>
        </w:rPr>
        <w:t xml:space="preserve">une décision qui doit être adressée au Secrétaire </w:t>
      </w:r>
      <w:proofErr w:type="gramStart"/>
      <w:r w:rsidR="00F57F75" w:rsidRPr="002A7A24">
        <w:rPr>
          <w:szCs w:val="24"/>
        </w:rPr>
        <w:t>général</w:t>
      </w:r>
      <w:bookmarkEnd w:id="75"/>
      <w:r w:rsidRPr="002A7A24">
        <w:rPr>
          <w:szCs w:val="24"/>
        </w:rPr>
        <w:t>;</w:t>
      </w:r>
      <w:proofErr w:type="gramEnd"/>
    </w:p>
    <w:p w:rsidR="00F57F75" w:rsidRPr="002A7A24" w:rsidRDefault="00DF7801" w:rsidP="00DF7801">
      <w:pPr>
        <w:pStyle w:val="enumlev1"/>
        <w:rPr>
          <w:szCs w:val="24"/>
        </w:rPr>
      </w:pPr>
      <w:r w:rsidRPr="002A7A24">
        <w:t>e)</w:t>
      </w:r>
      <w:r w:rsidRPr="002A7A24">
        <w:tab/>
      </w:r>
      <w:r w:rsidR="00F57F75" w:rsidRPr="002A7A24">
        <w:t xml:space="preserve">Comité </w:t>
      </w:r>
      <w:proofErr w:type="gramStart"/>
      <w:r w:rsidR="00F57F75" w:rsidRPr="002A7A24">
        <w:t>d'appel</w:t>
      </w:r>
      <w:r w:rsidRPr="002A7A24">
        <w:t>;</w:t>
      </w:r>
      <w:proofErr w:type="gramEnd"/>
    </w:p>
    <w:p w:rsidR="00F57F75" w:rsidRPr="002A7A24" w:rsidRDefault="00DF7801" w:rsidP="00DF7801">
      <w:pPr>
        <w:pStyle w:val="enumlev1"/>
        <w:rPr>
          <w:szCs w:val="24"/>
        </w:rPr>
      </w:pPr>
      <w:bookmarkStart w:id="76" w:name="lt_pId121"/>
      <w:r w:rsidRPr="002A7A24">
        <w:t>f)</w:t>
      </w:r>
      <w:r w:rsidRPr="002A7A24">
        <w:tab/>
      </w:r>
      <w:r w:rsidR="00F57F75" w:rsidRPr="002A7A24">
        <w:t xml:space="preserve">Tribunal administratif de l'Organisation internationale du travail </w:t>
      </w:r>
      <w:r w:rsidR="00F57F75" w:rsidRPr="002A7A24">
        <w:rPr>
          <w:szCs w:val="24"/>
        </w:rPr>
        <w:t>(ILOAT</w:t>
      </w:r>
      <w:proofErr w:type="gramStart"/>
      <w:r w:rsidR="00F57F75" w:rsidRPr="002A7A24">
        <w:rPr>
          <w:szCs w:val="24"/>
        </w:rPr>
        <w:t>):</w:t>
      </w:r>
      <w:bookmarkStart w:id="77" w:name="lt_pId122"/>
      <w:bookmarkEnd w:id="76"/>
      <w:proofErr w:type="gramEnd"/>
      <w:r w:rsidR="00F57F75" w:rsidRPr="002A7A24">
        <w:rPr>
          <w:szCs w:val="24"/>
        </w:rPr>
        <w:t xml:space="preserve"> conformément au </w:t>
      </w:r>
      <w:r w:rsidR="00F57F75" w:rsidRPr="002A7A24">
        <w:t>Statut du personnel</w:t>
      </w:r>
      <w:r w:rsidR="00A26BFC" w:rsidRPr="002A7A24">
        <w:t>,</w:t>
      </w:r>
      <w:r w:rsidRPr="002A7A24">
        <w:t xml:space="preserve"> </w:t>
      </w:r>
      <w:r w:rsidR="00F57F75" w:rsidRPr="002A7A24">
        <w:t>un fonctionnaire de l'Union a le droit de recourir au Tribunal administratif de l'Organisation internationale dans les conditions prévues par le statut de ce Tribunal</w:t>
      </w:r>
      <w:bookmarkEnd w:id="77"/>
      <w:r w:rsidRPr="002A7A24">
        <w:t>;</w:t>
      </w:r>
    </w:p>
    <w:p w:rsidR="00F57F75" w:rsidRPr="002A7A24" w:rsidRDefault="00DF7801" w:rsidP="00DF7801">
      <w:pPr>
        <w:pStyle w:val="enumlev1"/>
        <w:rPr>
          <w:szCs w:val="24"/>
        </w:rPr>
      </w:pPr>
      <w:bookmarkStart w:id="78" w:name="lt_pId123"/>
      <w:r w:rsidRPr="002A7A24">
        <w:rPr>
          <w:szCs w:val="24"/>
        </w:rPr>
        <w:t>g)</w:t>
      </w:r>
      <w:r w:rsidRPr="002A7A24">
        <w:rPr>
          <w:szCs w:val="24"/>
        </w:rPr>
        <w:tab/>
      </w:r>
      <w:r w:rsidR="00F57F75" w:rsidRPr="002A7A24">
        <w:rPr>
          <w:szCs w:val="24"/>
        </w:rPr>
        <w:t>mécanisme de recours du système des Nations Unies,</w:t>
      </w:r>
      <w:r w:rsidRPr="002A7A24">
        <w:rPr>
          <w:szCs w:val="24"/>
        </w:rPr>
        <w:t xml:space="preserve"> </w:t>
      </w:r>
      <w:r w:rsidR="00F57F75" w:rsidRPr="002A7A24">
        <w:rPr>
          <w:szCs w:val="24"/>
        </w:rPr>
        <w:t>auquel les fonctionnaires peuvent recourir pour décision en ce qui concerne les questions liées à</w:t>
      </w:r>
      <w:r w:rsidR="00A26BFC" w:rsidRPr="002A7A24">
        <w:rPr>
          <w:szCs w:val="24"/>
        </w:rPr>
        <w:t xml:space="preserve"> </w:t>
      </w:r>
      <w:r w:rsidR="00F57F75" w:rsidRPr="002A7A24">
        <w:t>la Caisse commune des pensions du personnel des Nations Unies</w:t>
      </w:r>
      <w:r w:rsidR="00F57F75" w:rsidRPr="002A7A24">
        <w:rPr>
          <w:szCs w:val="24"/>
        </w:rPr>
        <w:t xml:space="preserve"> </w:t>
      </w:r>
      <w:r w:rsidRPr="002A7A24">
        <w:t>(CCPPNU</w:t>
      </w:r>
      <w:proofErr w:type="gramStart"/>
      <w:r w:rsidRPr="002A7A24">
        <w:t>)</w:t>
      </w:r>
      <w:r w:rsidR="00F57F75" w:rsidRPr="002A7A24">
        <w:rPr>
          <w:szCs w:val="24"/>
        </w:rPr>
        <w:t>;</w:t>
      </w:r>
      <w:bookmarkEnd w:id="78"/>
      <w:proofErr w:type="gramEnd"/>
    </w:p>
    <w:p w:rsidR="00F57F75" w:rsidRPr="002A7A24" w:rsidRDefault="00DF7801" w:rsidP="00DF7801">
      <w:pPr>
        <w:pStyle w:val="enumlev1"/>
        <w:rPr>
          <w:szCs w:val="24"/>
        </w:rPr>
      </w:pPr>
      <w:bookmarkStart w:id="79" w:name="lt_pId124"/>
      <w:r w:rsidRPr="002A7A24">
        <w:t>h)</w:t>
      </w:r>
      <w:r w:rsidRPr="002A7A24">
        <w:tab/>
      </w:r>
      <w:r w:rsidR="00F57F75" w:rsidRPr="002A7A24">
        <w:t xml:space="preserve">Comité de révision du </w:t>
      </w:r>
      <w:proofErr w:type="gramStart"/>
      <w:r w:rsidR="00F57F75" w:rsidRPr="002A7A24">
        <w:t>classement</w:t>
      </w:r>
      <w:r w:rsidR="00F57F75" w:rsidRPr="002A7A24">
        <w:rPr>
          <w:szCs w:val="24"/>
        </w:rPr>
        <w:t>;</w:t>
      </w:r>
      <w:bookmarkEnd w:id="79"/>
      <w:proofErr w:type="gramEnd"/>
      <w:r w:rsidR="00A26BFC" w:rsidRPr="002A7A24">
        <w:rPr>
          <w:szCs w:val="24"/>
        </w:rPr>
        <w:t xml:space="preserve"> </w:t>
      </w:r>
      <w:r w:rsidR="00F57F75" w:rsidRPr="002A7A24">
        <w:rPr>
          <w:szCs w:val="24"/>
        </w:rPr>
        <w:t xml:space="preserve">et </w:t>
      </w:r>
    </w:p>
    <w:p w:rsidR="00F57F75" w:rsidRPr="002A7A24" w:rsidRDefault="00DF7801" w:rsidP="00DF7801">
      <w:pPr>
        <w:pStyle w:val="enumlev1"/>
        <w:rPr>
          <w:szCs w:val="24"/>
        </w:rPr>
      </w:pPr>
      <w:bookmarkStart w:id="80" w:name="lt_pId126"/>
      <w:r w:rsidRPr="002A7A24">
        <w:t>i)</w:t>
      </w:r>
      <w:r w:rsidRPr="002A7A24">
        <w:tab/>
      </w:r>
      <w:r w:rsidR="00F57F75" w:rsidRPr="002A7A24">
        <w:t>commissions d</w:t>
      </w:r>
      <w:r w:rsidR="00A26BFC" w:rsidRPr="002A7A24">
        <w:t>'</w:t>
      </w:r>
      <w:r w:rsidR="00F57F75" w:rsidRPr="002A7A24">
        <w:t>enquête</w:t>
      </w:r>
      <w:r w:rsidR="00A26BFC" w:rsidRPr="002A7A24">
        <w:rPr>
          <w:szCs w:val="24"/>
        </w:rPr>
        <w:t xml:space="preserve"> </w:t>
      </w:r>
      <w:r w:rsidR="00F57F75" w:rsidRPr="002A7A24">
        <w:rPr>
          <w:szCs w:val="24"/>
        </w:rPr>
        <w:t>instituées sur la base des</w:t>
      </w:r>
      <w:r w:rsidR="00A26BFC" w:rsidRPr="002A7A24">
        <w:rPr>
          <w:szCs w:val="24"/>
        </w:rPr>
        <w:t xml:space="preserve"> </w:t>
      </w:r>
      <w:r w:rsidR="00F57F75" w:rsidRPr="002A7A24">
        <w:t>Ordres de service</w:t>
      </w:r>
      <w:r w:rsidR="00F57F75" w:rsidRPr="002A7A24">
        <w:rPr>
          <w:szCs w:val="24"/>
        </w:rPr>
        <w:t xml:space="preserve"> pertinents</w:t>
      </w:r>
      <w:r w:rsidR="00A26BFC" w:rsidRPr="002A7A24">
        <w:rPr>
          <w:szCs w:val="24"/>
        </w:rPr>
        <w:t xml:space="preserve"> (</w:t>
      </w:r>
      <w:r w:rsidR="00F57F75" w:rsidRPr="002A7A24">
        <w:rPr>
          <w:szCs w:val="24"/>
        </w:rPr>
        <w:t>par exemple l</w:t>
      </w:r>
      <w:r w:rsidR="00A26BFC" w:rsidRPr="002A7A24">
        <w:rPr>
          <w:szCs w:val="24"/>
        </w:rPr>
        <w:t>'</w:t>
      </w:r>
      <w:r w:rsidR="00F57F75" w:rsidRPr="002A7A24">
        <w:rPr>
          <w:szCs w:val="24"/>
        </w:rPr>
        <w:t xml:space="preserve">Ordre de service SO 05/05 relatif au </w:t>
      </w:r>
      <w:r w:rsidR="00F57F75" w:rsidRPr="002A7A24">
        <w:t>har</w:t>
      </w:r>
      <w:r w:rsidRPr="002A7A24">
        <w:t>cèlement et à l'abus de pouvoir</w:t>
      </w:r>
      <w:r w:rsidR="00F57F75" w:rsidRPr="002A7A24">
        <w:rPr>
          <w:szCs w:val="24"/>
        </w:rPr>
        <w:t>).</w:t>
      </w:r>
      <w:bookmarkEnd w:id="80"/>
    </w:p>
    <w:p w:rsidR="00F57F75" w:rsidRPr="002A7A24" w:rsidRDefault="00726716" w:rsidP="00DF7801">
      <w:pPr>
        <w:pStyle w:val="Heading1"/>
        <w:rPr>
          <w:rFonts w:eastAsiaTheme="majorEastAsia"/>
        </w:rPr>
      </w:pPr>
      <w:bookmarkStart w:id="81" w:name="lt_pId127"/>
      <w:r w:rsidRPr="002A7A24">
        <w:rPr>
          <w:rFonts w:eastAsiaTheme="majorEastAsia"/>
        </w:rPr>
        <w:t>V</w:t>
      </w:r>
      <w:r w:rsidRPr="002A7A24">
        <w:rPr>
          <w:rFonts w:eastAsiaTheme="majorEastAsia"/>
        </w:rPr>
        <w:tab/>
        <w:t>C</w:t>
      </w:r>
      <w:r w:rsidR="00F57F75" w:rsidRPr="002A7A24">
        <w:rPr>
          <w:rFonts w:eastAsiaTheme="majorEastAsia"/>
        </w:rPr>
        <w:t>onditions définies par le CCI pour le cadre de responsabilisation</w:t>
      </w:r>
      <w:bookmarkEnd w:id="81"/>
      <w:r w:rsidR="00A26BFC" w:rsidRPr="002A7A24">
        <w:rPr>
          <w:rFonts w:eastAsiaTheme="majorEastAsia"/>
        </w:rPr>
        <w:t xml:space="preserve"> </w:t>
      </w:r>
    </w:p>
    <w:p w:rsidR="00F57F75" w:rsidRPr="002A7A24" w:rsidRDefault="00DF7801" w:rsidP="00DF7801">
      <w:pPr>
        <w:rPr>
          <w:rFonts w:asciiTheme="majorHAnsi" w:eastAsiaTheme="majorEastAsia" w:hAnsiTheme="majorHAnsi" w:cstheme="majorBidi"/>
          <w:b/>
          <w:bCs/>
          <w:szCs w:val="24"/>
        </w:rPr>
      </w:pPr>
      <w:r w:rsidRPr="002A7A24">
        <w:rPr>
          <w:szCs w:val="24"/>
        </w:rPr>
        <w:t>13</w:t>
      </w:r>
      <w:r w:rsidR="00F57F75" w:rsidRPr="002A7A24">
        <w:rPr>
          <w:szCs w:val="24"/>
        </w:rPr>
        <w:tab/>
      </w:r>
      <w:bookmarkStart w:id="82" w:name="lt_pId129"/>
      <w:r w:rsidR="00F57F75" w:rsidRPr="002A7A24">
        <w:rPr>
          <w:szCs w:val="24"/>
        </w:rPr>
        <w:t xml:space="preserve">Le </w:t>
      </w:r>
      <w:r w:rsidR="00663EFD" w:rsidRPr="002A7A24">
        <w:rPr>
          <w:szCs w:val="24"/>
        </w:rPr>
        <w:t>R</w:t>
      </w:r>
      <w:r w:rsidR="00F57F75" w:rsidRPr="002A7A24">
        <w:rPr>
          <w:szCs w:val="24"/>
        </w:rPr>
        <w:t>apport 2011/5</w:t>
      </w:r>
      <w:r w:rsidR="00A26BFC" w:rsidRPr="002A7A24">
        <w:rPr>
          <w:szCs w:val="24"/>
        </w:rPr>
        <w:t xml:space="preserve"> </w:t>
      </w:r>
      <w:r w:rsidR="00F57F75" w:rsidRPr="002A7A24">
        <w:rPr>
          <w:szCs w:val="24"/>
        </w:rPr>
        <w:t>du CCI définit</w:t>
      </w:r>
      <w:r w:rsidR="00A26BFC" w:rsidRPr="002A7A24">
        <w:rPr>
          <w:szCs w:val="24"/>
        </w:rPr>
        <w:t xml:space="preserve"> </w:t>
      </w:r>
      <w:r w:rsidR="00F57F75" w:rsidRPr="002A7A24">
        <w:t>17 conditions permettant de mesurer la robustesse des dispositifs d</w:t>
      </w:r>
      <w:r w:rsidR="00A26BFC" w:rsidRPr="002A7A24">
        <w:t>'</w:t>
      </w:r>
      <w:r w:rsidR="00F57F75" w:rsidRPr="002A7A24">
        <w:t>application du principe de responsabilité sur la base de la transparence et d</w:t>
      </w:r>
      <w:r w:rsidR="00A26BFC" w:rsidRPr="002A7A24">
        <w:t>'</w:t>
      </w:r>
      <w:r w:rsidR="00F57F75" w:rsidRPr="002A7A24">
        <w:t>une culture de la responsabilité</w:t>
      </w:r>
      <w:bookmarkEnd w:id="82"/>
      <w:r w:rsidR="00A26BFC" w:rsidRPr="002A7A24">
        <w:rPr>
          <w:szCs w:val="24"/>
        </w:rPr>
        <w:t>.</w:t>
      </w:r>
      <w:r w:rsidR="00F57F75" w:rsidRPr="002A7A24">
        <w:rPr>
          <w:szCs w:val="24"/>
        </w:rPr>
        <w:t xml:space="preserve"> On trouvera dans l</w:t>
      </w:r>
      <w:r w:rsidR="00A26BFC" w:rsidRPr="002A7A24">
        <w:rPr>
          <w:szCs w:val="24"/>
        </w:rPr>
        <w:t>'</w:t>
      </w:r>
      <w:r w:rsidR="00F57F75" w:rsidRPr="002A7A24">
        <w:rPr>
          <w:szCs w:val="24"/>
        </w:rPr>
        <w:t xml:space="preserve">Annexe des renseignements détaillés sur la situation </w:t>
      </w:r>
      <w:bookmarkStart w:id="83" w:name="lt_pId130"/>
      <w:r w:rsidR="00F57F75" w:rsidRPr="002A7A24">
        <w:rPr>
          <w:szCs w:val="24"/>
        </w:rPr>
        <w:t>concernant les conditions et les outils du cadre de responsabilisation de</w:t>
      </w:r>
      <w:r w:rsidR="00A26BFC" w:rsidRPr="002A7A24">
        <w:rPr>
          <w:szCs w:val="24"/>
        </w:rPr>
        <w:t xml:space="preserve"> </w:t>
      </w:r>
      <w:r w:rsidR="00F57F75" w:rsidRPr="002A7A24">
        <w:rPr>
          <w:szCs w:val="24"/>
        </w:rPr>
        <w:t>l</w:t>
      </w:r>
      <w:r w:rsidR="00A26BFC" w:rsidRPr="002A7A24">
        <w:rPr>
          <w:szCs w:val="24"/>
        </w:rPr>
        <w:t>'</w:t>
      </w:r>
      <w:r w:rsidR="00F57F75" w:rsidRPr="002A7A24">
        <w:rPr>
          <w:szCs w:val="24"/>
        </w:rPr>
        <w:t>UIT</w:t>
      </w:r>
      <w:bookmarkEnd w:id="83"/>
      <w:r w:rsidRPr="002A7A24">
        <w:rPr>
          <w:szCs w:val="24"/>
        </w:rPr>
        <w:t>.</w:t>
      </w:r>
    </w:p>
    <w:p w:rsidR="00F57F75" w:rsidRPr="002A7A24" w:rsidRDefault="00F57F75" w:rsidP="00663EFD">
      <w:pPr>
        <w:pStyle w:val="Heading1"/>
        <w:rPr>
          <w:rFonts w:eastAsiaTheme="majorEastAsia"/>
        </w:rPr>
      </w:pPr>
      <w:bookmarkStart w:id="84" w:name="lt_pId131"/>
      <w:r w:rsidRPr="002A7A24">
        <w:rPr>
          <w:rFonts w:eastAsiaTheme="majorEastAsia"/>
        </w:rPr>
        <w:t>VI</w:t>
      </w:r>
      <w:bookmarkStart w:id="85" w:name="lt_pId132"/>
      <w:bookmarkEnd w:id="84"/>
      <w:r w:rsidR="00726716" w:rsidRPr="002A7A24">
        <w:rPr>
          <w:rFonts w:eastAsiaTheme="majorEastAsia"/>
        </w:rPr>
        <w:tab/>
      </w:r>
      <w:r w:rsidRPr="002A7A24">
        <w:rPr>
          <w:rFonts w:eastAsiaTheme="majorEastAsia"/>
        </w:rPr>
        <w:t>Conclusion</w:t>
      </w:r>
      <w:bookmarkEnd w:id="85"/>
    </w:p>
    <w:p w:rsidR="00F57F75" w:rsidRPr="002A7A24" w:rsidRDefault="00663EFD" w:rsidP="00663EFD">
      <w:r w:rsidRPr="002A7A24">
        <w:t>14</w:t>
      </w:r>
      <w:r w:rsidR="00F57F75" w:rsidRPr="002A7A24">
        <w:tab/>
      </w:r>
      <w:bookmarkStart w:id="86" w:name="lt_pId134"/>
      <w:r w:rsidRPr="002A7A24">
        <w:t>L</w:t>
      </w:r>
      <w:r w:rsidR="00A26BFC" w:rsidRPr="002A7A24">
        <w:t>'</w:t>
      </w:r>
      <w:r w:rsidR="00F57F75" w:rsidRPr="002A7A24">
        <w:t>UIT</w:t>
      </w:r>
      <w:r w:rsidR="00A26BFC" w:rsidRPr="002A7A24">
        <w:t xml:space="preserve"> </w:t>
      </w:r>
      <w:r w:rsidR="00F57F75" w:rsidRPr="002A7A24">
        <w:t>continuera de veiller à ce que le cadre de responsabilisation de l</w:t>
      </w:r>
      <w:r w:rsidR="00A26BFC" w:rsidRPr="002A7A24">
        <w:t>'</w:t>
      </w:r>
      <w:r w:rsidR="00F57F75" w:rsidRPr="002A7A24">
        <w:t>Union</w:t>
      </w:r>
      <w:r w:rsidR="00A26BFC" w:rsidRPr="002A7A24">
        <w:t xml:space="preserve"> </w:t>
      </w:r>
      <w:r w:rsidRPr="002A7A24">
        <w:t xml:space="preserve">soit adapté à </w:t>
      </w:r>
      <w:r w:rsidR="00F57F75" w:rsidRPr="002A7A24">
        <w:t>l</w:t>
      </w:r>
      <w:r w:rsidR="00A26BFC" w:rsidRPr="002A7A24">
        <w:t>'</w:t>
      </w:r>
      <w:r w:rsidR="00F57F75" w:rsidRPr="002A7A24">
        <w:t>évolution des circonstances et tienne</w:t>
      </w:r>
      <w:r w:rsidR="00A26BFC" w:rsidRPr="002A7A24">
        <w:t xml:space="preserve"> </w:t>
      </w:r>
      <w:r w:rsidR="00F57F75" w:rsidRPr="002A7A24">
        <w:t>compte des</w:t>
      </w:r>
      <w:r w:rsidR="00A26BFC" w:rsidRPr="002A7A24">
        <w:t xml:space="preserve"> </w:t>
      </w:r>
      <w:r w:rsidR="00F57F75" w:rsidRPr="002A7A24">
        <w:rPr>
          <w:color w:val="000000"/>
        </w:rPr>
        <w:t>bonnes pratiques suivies dans le système des Nations Unies</w:t>
      </w:r>
      <w:r w:rsidR="00F57F75" w:rsidRPr="002A7A24">
        <w:t>.</w:t>
      </w:r>
      <w:bookmarkEnd w:id="86"/>
      <w:r w:rsidR="00F57F75" w:rsidRPr="002A7A24">
        <w:t xml:space="preserve"> </w:t>
      </w:r>
      <w:bookmarkStart w:id="87" w:name="lt_pId135"/>
      <w:r w:rsidR="00F57F75" w:rsidRPr="002A7A24">
        <w:t>L</w:t>
      </w:r>
      <w:r w:rsidR="00A26BFC" w:rsidRPr="002A7A24">
        <w:t>'</w:t>
      </w:r>
      <w:r w:rsidR="00F57F75" w:rsidRPr="002A7A24">
        <w:t>objectif est de faire en sorte que l</w:t>
      </w:r>
      <w:r w:rsidR="00A26BFC" w:rsidRPr="002A7A24">
        <w:t>'</w:t>
      </w:r>
      <w:r w:rsidR="00F57F75" w:rsidRPr="002A7A24">
        <w:t>Union</w:t>
      </w:r>
      <w:r w:rsidR="00A26BFC" w:rsidRPr="002A7A24">
        <w:t xml:space="preserve"> </w:t>
      </w:r>
      <w:r w:rsidR="00F57F75" w:rsidRPr="002A7A24">
        <w:t>se dote d</w:t>
      </w:r>
      <w:r w:rsidR="00A26BFC" w:rsidRPr="002A7A24">
        <w:t>'</w:t>
      </w:r>
      <w:r w:rsidR="00F57F75" w:rsidRPr="002A7A24">
        <w:t>un système de responsabilisation qui mette davantage l</w:t>
      </w:r>
      <w:r w:rsidR="00A26BFC" w:rsidRPr="002A7A24">
        <w:t>'</w:t>
      </w:r>
      <w:r w:rsidR="00F57F75" w:rsidRPr="002A7A24">
        <w:t>accent sur les résultats et la gestion en fonction des résultats, en accordant une plus grande souplesse et davantage d</w:t>
      </w:r>
      <w:r w:rsidR="00A26BFC" w:rsidRPr="002A7A24">
        <w:t>'</w:t>
      </w:r>
      <w:r w:rsidR="00F57F75" w:rsidRPr="002A7A24">
        <w:t>autonomie aux gestionnaires, afin d</w:t>
      </w:r>
      <w:r w:rsidR="00A26BFC" w:rsidRPr="002A7A24">
        <w:t>'</w:t>
      </w:r>
      <w:r w:rsidR="00F57F75" w:rsidRPr="002A7A24">
        <w:t>obtenir les meilleurs résultats possibles, et</w:t>
      </w:r>
      <w:r w:rsidR="00A26BFC" w:rsidRPr="002A7A24">
        <w:t xml:space="preserve"> </w:t>
      </w:r>
      <w:r w:rsidR="00F57F75" w:rsidRPr="002A7A24">
        <w:t>mette en avant la transparence en tant que caractéristique</w:t>
      </w:r>
      <w:r w:rsidR="00A26BFC" w:rsidRPr="002A7A24">
        <w:t xml:space="preserve"> </w:t>
      </w:r>
      <w:r w:rsidR="00F57F75" w:rsidRPr="002A7A24">
        <w:t>essentielle</w:t>
      </w:r>
      <w:r w:rsidR="00A26BFC" w:rsidRPr="002A7A24">
        <w:t xml:space="preserve"> </w:t>
      </w:r>
      <w:r w:rsidR="00F57F75" w:rsidRPr="002A7A24">
        <w:t>de la responsabilisation</w:t>
      </w:r>
      <w:bookmarkEnd w:id="87"/>
      <w:r w:rsidR="002D5578">
        <w:t>.</w:t>
      </w:r>
    </w:p>
    <w:p w:rsidR="00571EEA" w:rsidRPr="002A7A24" w:rsidRDefault="00663EFD" w:rsidP="00663EFD">
      <w:r w:rsidRPr="002A7A24">
        <w:t>15</w:t>
      </w:r>
      <w:r w:rsidR="00F57F75" w:rsidRPr="002A7A24">
        <w:tab/>
      </w:r>
      <w:bookmarkStart w:id="88" w:name="lt_pId137"/>
      <w:r w:rsidR="00F57F75" w:rsidRPr="002A7A24">
        <w:t>Le cadre de responsabilisation de l</w:t>
      </w:r>
      <w:r w:rsidR="00A26BFC" w:rsidRPr="002A7A24">
        <w:t>'</w:t>
      </w:r>
      <w:r w:rsidR="00F57F75" w:rsidRPr="002A7A24">
        <w:t>UIT sera réexaminé à intervalles réguliers, afin de renforcer la capacité de l</w:t>
      </w:r>
      <w:r w:rsidR="00A26BFC" w:rsidRPr="002A7A24">
        <w:t>'</w:t>
      </w:r>
      <w:r w:rsidR="00F57F75" w:rsidRPr="002A7A24">
        <w:t>organisation et de faire en sorte qu</w:t>
      </w:r>
      <w:r w:rsidR="00A26BFC" w:rsidRPr="002A7A24">
        <w:t>'</w:t>
      </w:r>
      <w:r w:rsidR="00F57F75" w:rsidRPr="002A7A24">
        <w:t>elle conserve sa pertinence</w:t>
      </w:r>
      <w:bookmarkEnd w:id="88"/>
      <w:r w:rsidR="00A26BFC" w:rsidRPr="002A7A24">
        <w:t>.</w:t>
      </w:r>
      <w:r w:rsidR="00F57F75" w:rsidRPr="002A7A24">
        <w:t xml:space="preserve"> Ce cadre sera mis à jour pour tenir compte des nouveaux besoins qui se font jour où des améliorations à apporter par suite</w:t>
      </w:r>
      <w:r w:rsidR="00A26BFC" w:rsidRPr="002A7A24">
        <w:t xml:space="preserve"> </w:t>
      </w:r>
      <w:r w:rsidR="00F57F75" w:rsidRPr="002A7A24">
        <w:t>des nouvelles initiatives prises ou des enseignements tirés</w:t>
      </w:r>
      <w:r w:rsidR="00A26BFC" w:rsidRPr="002A7A24">
        <w:t>.</w:t>
      </w:r>
      <w:r w:rsidR="00F57F75" w:rsidRPr="002A7A24">
        <w:t xml:space="preserve"> </w:t>
      </w:r>
      <w:bookmarkStart w:id="89" w:name="lt_pId139"/>
      <w:r w:rsidR="00F57F75" w:rsidRPr="002A7A24">
        <w:t>L</w:t>
      </w:r>
      <w:r w:rsidR="00A26BFC" w:rsidRPr="002A7A24">
        <w:t>'</w:t>
      </w:r>
      <w:r w:rsidR="00F57F75" w:rsidRPr="002A7A24">
        <w:t>UIT veillera à ce que le cadre de responsabilisation reste adapté au mandat et aux objectifs de</w:t>
      </w:r>
      <w:r w:rsidR="00A26BFC" w:rsidRPr="002A7A24">
        <w:t xml:space="preserve"> </w:t>
      </w:r>
      <w:r w:rsidR="00F57F75" w:rsidRPr="002A7A24">
        <w:t>l</w:t>
      </w:r>
      <w:r w:rsidR="00A26BFC" w:rsidRPr="002A7A24">
        <w:t>'</w:t>
      </w:r>
      <w:r w:rsidR="00F57F75" w:rsidRPr="002A7A24">
        <w:t>Union.</w:t>
      </w:r>
      <w:bookmarkEnd w:id="89"/>
    </w:p>
    <w:p w:rsidR="00F57F75" w:rsidRPr="002A7A24" w:rsidRDefault="00F57F75" w:rsidP="00663EFD"/>
    <w:p w:rsidR="00663EFD" w:rsidRPr="002A7A24" w:rsidRDefault="00663EFD" w:rsidP="00663EFD">
      <w:pPr>
        <w:sectPr w:rsidR="00663EFD" w:rsidRPr="002A7A24" w:rsidSect="005C3890">
          <w:headerReference w:type="even" r:id="rId15"/>
          <w:headerReference w:type="default" r:id="rId16"/>
          <w:footerReference w:type="even" r:id="rId17"/>
          <w:footerReference w:type="default" r:id="rId18"/>
          <w:footerReference w:type="first" r:id="rId19"/>
          <w:pgSz w:w="11907" w:h="16840" w:code="9"/>
          <w:pgMar w:top="1418" w:right="1134" w:bottom="1418" w:left="1134" w:header="720" w:footer="720" w:gutter="0"/>
          <w:paperSrc w:first="261" w:other="261"/>
          <w:cols w:space="720"/>
          <w:titlePg/>
        </w:sectPr>
      </w:pPr>
    </w:p>
    <w:p w:rsidR="00F57F75" w:rsidRPr="002A7A24" w:rsidRDefault="00F57F75" w:rsidP="007F317F">
      <w:pPr>
        <w:pStyle w:val="AnnexNo"/>
        <w:spacing w:before="0"/>
        <w:rPr>
          <w:rFonts w:eastAsiaTheme="majorEastAsia"/>
        </w:rPr>
      </w:pPr>
      <w:bookmarkStart w:id="90" w:name="lt_pId140"/>
      <w:r w:rsidRPr="002A7A24">
        <w:rPr>
          <w:rFonts w:eastAsiaTheme="majorEastAsia"/>
        </w:rPr>
        <w:lastRenderedPageBreak/>
        <w:t>ANNEX</w:t>
      </w:r>
      <w:bookmarkEnd w:id="90"/>
      <w:r w:rsidRPr="002A7A24">
        <w:rPr>
          <w:rFonts w:eastAsiaTheme="majorEastAsia"/>
        </w:rPr>
        <w:t>E</w:t>
      </w:r>
    </w:p>
    <w:p w:rsidR="00F57F75" w:rsidRPr="002A7A24" w:rsidRDefault="00F57F75" w:rsidP="00726716">
      <w:pPr>
        <w:pStyle w:val="Annextitle"/>
        <w:rPr>
          <w:rFonts w:eastAsiaTheme="majorEastAsia"/>
        </w:rPr>
      </w:pPr>
      <w:bookmarkStart w:id="91" w:name="lt_pId141"/>
      <w:r w:rsidRPr="002A7A24">
        <w:rPr>
          <w:rFonts w:eastAsiaTheme="majorEastAsia"/>
        </w:rPr>
        <w:t>Etat d</w:t>
      </w:r>
      <w:r w:rsidR="00A26BFC" w:rsidRPr="002A7A24">
        <w:rPr>
          <w:rFonts w:eastAsiaTheme="majorEastAsia"/>
        </w:rPr>
        <w:t>'</w:t>
      </w:r>
      <w:r w:rsidRPr="002A7A24">
        <w:rPr>
          <w:rFonts w:eastAsiaTheme="majorEastAsia"/>
        </w:rPr>
        <w:t xml:space="preserve">avancement de la mise en </w:t>
      </w:r>
      <w:proofErr w:type="spellStart"/>
      <w:r w:rsidRPr="002A7A24">
        <w:rPr>
          <w:rFonts w:eastAsiaTheme="majorEastAsia"/>
        </w:rPr>
        <w:t>oeuvre</w:t>
      </w:r>
      <w:proofErr w:type="spellEnd"/>
      <w:r w:rsidRPr="002A7A24">
        <w:rPr>
          <w:rFonts w:eastAsiaTheme="majorEastAsia"/>
        </w:rPr>
        <w:t xml:space="preserve"> des conditions définies par le CCI concernant le cadre de responsabilisation</w:t>
      </w:r>
      <w:bookmarkEnd w:id="91"/>
      <w:r w:rsidR="00A26BFC" w:rsidRPr="002A7A24">
        <w:rPr>
          <w:rFonts w:eastAsiaTheme="majorEastAsia"/>
        </w:rPr>
        <w:t xml:space="preserve"> </w:t>
      </w:r>
    </w:p>
    <w:p w:rsidR="00F57F75" w:rsidRPr="002A7A24" w:rsidRDefault="00F57F75" w:rsidP="00663EFD">
      <w:pPr>
        <w:pStyle w:val="Headingb"/>
      </w:pPr>
      <w:bookmarkStart w:id="92" w:name="lt_pId142"/>
      <w:r w:rsidRPr="002A7A24">
        <w:t>Pilier</w:t>
      </w:r>
      <w:r w:rsidR="00A26BFC" w:rsidRPr="002A7A24">
        <w:t xml:space="preserve"> </w:t>
      </w:r>
      <w:r w:rsidRPr="002A7A24">
        <w:t>1</w:t>
      </w:r>
      <w:bookmarkEnd w:id="92"/>
    </w:p>
    <w:tbl>
      <w:tblPr>
        <w:tblStyle w:val="TableGrid"/>
        <w:tblW w:w="14601" w:type="dxa"/>
        <w:tblInd w:w="-5" w:type="dxa"/>
        <w:tblLayout w:type="fixed"/>
        <w:tblLook w:val="04A0" w:firstRow="1" w:lastRow="0" w:firstColumn="1" w:lastColumn="0" w:noHBand="0" w:noVBand="1"/>
      </w:tblPr>
      <w:tblGrid>
        <w:gridCol w:w="2977"/>
        <w:gridCol w:w="3969"/>
        <w:gridCol w:w="1276"/>
        <w:gridCol w:w="6379"/>
      </w:tblGrid>
      <w:tr w:rsidR="00F57F75" w:rsidRPr="002A7A24" w:rsidTr="00164958">
        <w:trPr>
          <w:tblHeader/>
        </w:trPr>
        <w:tc>
          <w:tcPr>
            <w:tcW w:w="2977" w:type="dxa"/>
            <w:shd w:val="clear" w:color="auto" w:fill="B8CCE4" w:themeFill="accent1" w:themeFillTint="66"/>
          </w:tcPr>
          <w:p w:rsidR="00F57F75" w:rsidRPr="002A7A24" w:rsidRDefault="00F57F75" w:rsidP="00663EFD">
            <w:pPr>
              <w:pStyle w:val="Tablehead"/>
            </w:pPr>
            <w:r w:rsidRPr="002A7A24">
              <w:t>Condition</w:t>
            </w:r>
          </w:p>
        </w:tc>
        <w:tc>
          <w:tcPr>
            <w:tcW w:w="3969" w:type="dxa"/>
            <w:shd w:val="clear" w:color="auto" w:fill="B8CCE4" w:themeFill="accent1" w:themeFillTint="66"/>
          </w:tcPr>
          <w:p w:rsidR="00F57F75" w:rsidRPr="002A7A24" w:rsidRDefault="00F57F75" w:rsidP="00663EFD">
            <w:pPr>
              <w:pStyle w:val="Tablehead"/>
            </w:pPr>
            <w:r w:rsidRPr="002A7A24">
              <w:t>Outils</w:t>
            </w:r>
          </w:p>
        </w:tc>
        <w:tc>
          <w:tcPr>
            <w:tcW w:w="1276" w:type="dxa"/>
            <w:shd w:val="clear" w:color="auto" w:fill="B8CCE4" w:themeFill="accent1" w:themeFillTint="66"/>
          </w:tcPr>
          <w:p w:rsidR="00F57F75" w:rsidRPr="002A7A24" w:rsidRDefault="00F57F75" w:rsidP="00663EFD">
            <w:pPr>
              <w:pStyle w:val="Tablehead"/>
            </w:pPr>
            <w:r w:rsidRPr="002A7A24">
              <w:t>Situation</w:t>
            </w:r>
          </w:p>
        </w:tc>
        <w:tc>
          <w:tcPr>
            <w:tcW w:w="6379" w:type="dxa"/>
            <w:shd w:val="clear" w:color="auto" w:fill="B8CCE4" w:themeFill="accent1" w:themeFillTint="66"/>
          </w:tcPr>
          <w:p w:rsidR="00F57F75" w:rsidRPr="002A7A24" w:rsidRDefault="00F57F75" w:rsidP="00663EFD">
            <w:pPr>
              <w:pStyle w:val="Tablehead"/>
            </w:pPr>
            <w:r w:rsidRPr="002A7A24">
              <w:t>Observation</w:t>
            </w:r>
          </w:p>
        </w:tc>
      </w:tr>
      <w:tr w:rsidR="00F57F75" w:rsidRPr="002A7A24" w:rsidTr="00164958">
        <w:trPr>
          <w:trHeight w:val="255"/>
        </w:trPr>
        <w:tc>
          <w:tcPr>
            <w:tcW w:w="2977" w:type="dxa"/>
            <w:vMerge w:val="restart"/>
          </w:tcPr>
          <w:p w:rsidR="00F57F75" w:rsidRPr="002A7A24" w:rsidRDefault="00663EFD" w:rsidP="00663EFD">
            <w:pPr>
              <w:pStyle w:val="Tabletext"/>
              <w:rPr>
                <w:sz w:val="20"/>
                <w:szCs w:val="20"/>
              </w:rPr>
            </w:pPr>
            <w:r w:rsidRPr="002A7A24">
              <w:rPr>
                <w:sz w:val="20"/>
                <w:szCs w:val="20"/>
              </w:rPr>
              <w:t>1</w:t>
            </w:r>
            <w:r w:rsidR="00F57F75" w:rsidRPr="002A7A24">
              <w:rPr>
                <w:sz w:val="20"/>
                <w:szCs w:val="20"/>
              </w:rPr>
              <w:t xml:space="preserve"> Un dispositif clair d</w:t>
            </w:r>
            <w:r w:rsidR="00A26BFC" w:rsidRPr="002A7A24">
              <w:rPr>
                <w:sz w:val="20"/>
                <w:szCs w:val="20"/>
              </w:rPr>
              <w:t>'</w:t>
            </w:r>
            <w:r w:rsidR="00F57F75" w:rsidRPr="002A7A24">
              <w:rPr>
                <w:sz w:val="20"/>
                <w:szCs w:val="20"/>
              </w:rPr>
              <w:t xml:space="preserve">application du principe de responsabilité est en place, y compris une définition de ce principe et des indications claires quant à ceux qui sont chargés de la mise en </w:t>
            </w:r>
            <w:proofErr w:type="spellStart"/>
            <w:r w:rsidR="009F4B65" w:rsidRPr="002A7A24">
              <w:rPr>
                <w:sz w:val="20"/>
                <w:szCs w:val="20"/>
              </w:rPr>
              <w:t>oe</w:t>
            </w:r>
            <w:r w:rsidR="00F57F75" w:rsidRPr="002A7A24">
              <w:rPr>
                <w:sz w:val="20"/>
                <w:szCs w:val="20"/>
              </w:rPr>
              <w:t>uvre</w:t>
            </w:r>
            <w:proofErr w:type="spellEnd"/>
            <w:r w:rsidR="00F57F75" w:rsidRPr="002A7A24">
              <w:rPr>
                <w:sz w:val="20"/>
                <w:szCs w:val="20"/>
              </w:rPr>
              <w:t xml:space="preserve"> générale de ce dispositif, dont tous les éléments sont liés</w:t>
            </w:r>
            <w:r w:rsidRPr="002A7A24">
              <w:rPr>
                <w:sz w:val="20"/>
                <w:szCs w:val="20"/>
              </w:rPr>
              <w:t>.</w:t>
            </w:r>
          </w:p>
        </w:tc>
        <w:tc>
          <w:tcPr>
            <w:tcW w:w="3969" w:type="dxa"/>
          </w:tcPr>
          <w:p w:rsidR="00F57F75" w:rsidRPr="002A7A24" w:rsidRDefault="00F57F75" w:rsidP="00663EFD">
            <w:pPr>
              <w:pStyle w:val="Tabletext"/>
              <w:rPr>
                <w:sz w:val="20"/>
                <w:szCs w:val="20"/>
              </w:rPr>
            </w:pPr>
            <w:r w:rsidRPr="002A7A24">
              <w:rPr>
                <w:sz w:val="20"/>
                <w:szCs w:val="20"/>
              </w:rPr>
              <w:t>Document directif sur le dispositif</w:t>
            </w:r>
            <w:r w:rsidR="00663EFD" w:rsidRPr="002A7A24">
              <w:rPr>
                <w:sz w:val="20"/>
                <w:szCs w:val="20"/>
              </w:rPr>
              <w:t>.</w:t>
            </w:r>
          </w:p>
        </w:tc>
        <w:tc>
          <w:tcPr>
            <w:tcW w:w="1276" w:type="dxa"/>
            <w:vAlign w:val="center"/>
          </w:tcPr>
          <w:p w:rsidR="00F57F75" w:rsidRPr="002A7A24" w:rsidRDefault="00F57F75" w:rsidP="00663EFD">
            <w:pPr>
              <w:pStyle w:val="Tabletext"/>
              <w:jc w:val="center"/>
              <w:rPr>
                <w:sz w:val="20"/>
                <w:szCs w:val="20"/>
              </w:rPr>
            </w:pPr>
            <w:r w:rsidRPr="002A7A24">
              <w:rPr>
                <w:rFonts w:ascii="Wingdings" w:hAnsi="Wingdings"/>
                <w:sz w:val="20"/>
                <w:szCs w:val="20"/>
              </w:rPr>
              <w:sym w:font="Wingdings" w:char="F0FC"/>
            </w:r>
          </w:p>
        </w:tc>
        <w:tc>
          <w:tcPr>
            <w:tcW w:w="6379" w:type="dxa"/>
            <w:vMerge w:val="restart"/>
            <w:vAlign w:val="center"/>
          </w:tcPr>
          <w:p w:rsidR="00F57F75" w:rsidRPr="002A7A24" w:rsidRDefault="00F57F75" w:rsidP="00663EFD">
            <w:pPr>
              <w:pStyle w:val="Tabletext"/>
              <w:rPr>
                <w:sz w:val="20"/>
                <w:szCs w:val="20"/>
              </w:rPr>
            </w:pPr>
            <w:bookmarkStart w:id="93" w:name="lt_pId151"/>
            <w:r w:rsidRPr="002A7A24">
              <w:rPr>
                <w:sz w:val="20"/>
                <w:szCs w:val="20"/>
                <w:lang w:eastAsia="fr-FR"/>
              </w:rPr>
              <w:t>Conformément à cette proposition, l</w:t>
            </w:r>
            <w:r w:rsidR="00A26BFC" w:rsidRPr="002A7A24">
              <w:rPr>
                <w:sz w:val="20"/>
                <w:szCs w:val="20"/>
                <w:lang w:eastAsia="fr-FR"/>
              </w:rPr>
              <w:t>'</w:t>
            </w:r>
            <w:r w:rsidRPr="002A7A24">
              <w:rPr>
                <w:sz w:val="20"/>
                <w:szCs w:val="20"/>
                <w:lang w:eastAsia="fr-FR"/>
              </w:rPr>
              <w:t>UIT</w:t>
            </w:r>
            <w:r w:rsidR="00A26BFC" w:rsidRPr="002A7A24">
              <w:rPr>
                <w:sz w:val="20"/>
                <w:szCs w:val="20"/>
                <w:lang w:eastAsia="fr-FR"/>
              </w:rPr>
              <w:t xml:space="preserve"> </w:t>
            </w:r>
            <w:r w:rsidRPr="002A7A24">
              <w:rPr>
                <w:sz w:val="20"/>
                <w:szCs w:val="20"/>
                <w:lang w:eastAsia="fr-FR"/>
              </w:rPr>
              <w:t>met actuellement en place un</w:t>
            </w:r>
            <w:r w:rsidR="00A26BFC" w:rsidRPr="002A7A24">
              <w:rPr>
                <w:sz w:val="20"/>
                <w:szCs w:val="20"/>
                <w:lang w:eastAsia="fr-FR"/>
              </w:rPr>
              <w:t xml:space="preserve"> </w:t>
            </w:r>
            <w:r w:rsidRPr="002A7A24">
              <w:rPr>
                <w:sz w:val="20"/>
                <w:szCs w:val="20"/>
                <w:lang w:eastAsia="fr-FR"/>
              </w:rPr>
              <w:t>tel cadre.</w:t>
            </w:r>
            <w:r w:rsidR="00A26BFC" w:rsidRPr="002A7A24">
              <w:rPr>
                <w:sz w:val="20"/>
                <w:szCs w:val="20"/>
                <w:lang w:eastAsia="fr-FR"/>
              </w:rPr>
              <w:t xml:space="preserve"> </w:t>
            </w:r>
            <w:r w:rsidRPr="002A7A24">
              <w:rPr>
                <w:sz w:val="20"/>
                <w:szCs w:val="20"/>
                <w:lang w:eastAsia="fr-FR"/>
              </w:rPr>
              <w:t xml:space="preserve">Ce cadre devrait intégralement être mis en </w:t>
            </w:r>
            <w:proofErr w:type="spellStart"/>
            <w:r w:rsidR="009F4B65" w:rsidRPr="002A7A24">
              <w:rPr>
                <w:sz w:val="20"/>
                <w:szCs w:val="20"/>
                <w:lang w:eastAsia="fr-FR"/>
              </w:rPr>
              <w:t>oe</w:t>
            </w:r>
            <w:r w:rsidRPr="002A7A24">
              <w:rPr>
                <w:sz w:val="20"/>
                <w:szCs w:val="20"/>
                <w:lang w:eastAsia="fr-FR"/>
              </w:rPr>
              <w:t>uvre</w:t>
            </w:r>
            <w:proofErr w:type="spellEnd"/>
            <w:r w:rsidRPr="002A7A24">
              <w:rPr>
                <w:sz w:val="20"/>
                <w:szCs w:val="20"/>
                <w:lang w:eastAsia="fr-FR"/>
              </w:rPr>
              <w:t xml:space="preserve"> après l</w:t>
            </w:r>
            <w:r w:rsidR="00A26BFC" w:rsidRPr="002A7A24">
              <w:rPr>
                <w:sz w:val="20"/>
                <w:szCs w:val="20"/>
                <w:lang w:eastAsia="fr-FR"/>
              </w:rPr>
              <w:t>'</w:t>
            </w:r>
            <w:r w:rsidRPr="002A7A24">
              <w:rPr>
                <w:sz w:val="20"/>
                <w:szCs w:val="20"/>
                <w:lang w:eastAsia="fr-FR"/>
              </w:rPr>
              <w:t>adoption par le Conseil en 2017</w:t>
            </w:r>
            <w:bookmarkEnd w:id="93"/>
            <w:r w:rsidR="00663EFD" w:rsidRPr="002A7A24">
              <w:rPr>
                <w:sz w:val="20"/>
                <w:szCs w:val="20"/>
                <w:lang w:eastAsia="fr-FR"/>
              </w:rPr>
              <w:t>.</w:t>
            </w:r>
          </w:p>
        </w:tc>
      </w:tr>
      <w:tr w:rsidR="00F57F75" w:rsidRPr="002A7A24" w:rsidTr="00164958">
        <w:trPr>
          <w:trHeight w:val="256"/>
        </w:trPr>
        <w:tc>
          <w:tcPr>
            <w:tcW w:w="2977" w:type="dxa"/>
            <w:vMerge/>
          </w:tcPr>
          <w:p w:rsidR="00F57F75" w:rsidRPr="002A7A24" w:rsidRDefault="00F57F75" w:rsidP="00663EFD">
            <w:pPr>
              <w:pStyle w:val="Tabletext"/>
              <w:rPr>
                <w:sz w:val="20"/>
                <w:szCs w:val="20"/>
              </w:rPr>
            </w:pPr>
          </w:p>
        </w:tc>
        <w:tc>
          <w:tcPr>
            <w:tcW w:w="3969" w:type="dxa"/>
          </w:tcPr>
          <w:p w:rsidR="00F57F75" w:rsidRPr="002A7A24" w:rsidRDefault="00F57F75" w:rsidP="00663EFD">
            <w:pPr>
              <w:pStyle w:val="Tabletext"/>
              <w:rPr>
                <w:sz w:val="20"/>
                <w:szCs w:val="20"/>
              </w:rPr>
            </w:pPr>
            <w:r w:rsidRPr="002A7A24">
              <w:rPr>
                <w:sz w:val="20"/>
                <w:szCs w:val="20"/>
              </w:rPr>
              <w:t>Définition du principe de respo</w:t>
            </w:r>
            <w:r w:rsidR="00663EFD" w:rsidRPr="002A7A24">
              <w:rPr>
                <w:sz w:val="20"/>
                <w:szCs w:val="20"/>
              </w:rPr>
              <w:t>nsabilité.</w:t>
            </w:r>
          </w:p>
        </w:tc>
        <w:tc>
          <w:tcPr>
            <w:tcW w:w="1276" w:type="dxa"/>
            <w:vAlign w:val="center"/>
          </w:tcPr>
          <w:p w:rsidR="00F57F75" w:rsidRPr="002A7A24" w:rsidRDefault="00F57F75" w:rsidP="00663EFD">
            <w:pPr>
              <w:pStyle w:val="Tabletext"/>
              <w:jc w:val="center"/>
              <w:rPr>
                <w:sz w:val="20"/>
                <w:szCs w:val="20"/>
              </w:rPr>
            </w:pPr>
            <w:r w:rsidRPr="002A7A24">
              <w:rPr>
                <w:rFonts w:ascii="Wingdings" w:hAnsi="Wingdings"/>
                <w:sz w:val="20"/>
                <w:szCs w:val="20"/>
              </w:rPr>
              <w:sym w:font="Wingdings" w:char="F0FC"/>
            </w:r>
          </w:p>
        </w:tc>
        <w:tc>
          <w:tcPr>
            <w:tcW w:w="6379" w:type="dxa"/>
            <w:vMerge/>
          </w:tcPr>
          <w:p w:rsidR="00F57F75" w:rsidRPr="002A7A24" w:rsidRDefault="00F57F75" w:rsidP="00663EFD">
            <w:pPr>
              <w:pStyle w:val="Tabletext"/>
              <w:rPr>
                <w:sz w:val="20"/>
                <w:szCs w:val="20"/>
              </w:rPr>
            </w:pPr>
          </w:p>
        </w:tc>
      </w:tr>
      <w:tr w:rsidR="00F57F75" w:rsidRPr="002A7A24" w:rsidTr="00164958">
        <w:trPr>
          <w:trHeight w:val="255"/>
        </w:trPr>
        <w:tc>
          <w:tcPr>
            <w:tcW w:w="2977" w:type="dxa"/>
            <w:vMerge/>
          </w:tcPr>
          <w:p w:rsidR="00F57F75" w:rsidRPr="002A7A24" w:rsidRDefault="00F57F75" w:rsidP="00663EFD">
            <w:pPr>
              <w:pStyle w:val="Tabletext"/>
              <w:rPr>
                <w:sz w:val="20"/>
                <w:szCs w:val="20"/>
              </w:rPr>
            </w:pPr>
          </w:p>
        </w:tc>
        <w:tc>
          <w:tcPr>
            <w:tcW w:w="3969" w:type="dxa"/>
          </w:tcPr>
          <w:p w:rsidR="00F57F75" w:rsidRPr="002A7A24" w:rsidRDefault="00F57F75" w:rsidP="00663EFD">
            <w:pPr>
              <w:pStyle w:val="Tabletext"/>
              <w:rPr>
                <w:sz w:val="20"/>
                <w:szCs w:val="20"/>
              </w:rPr>
            </w:pPr>
            <w:r w:rsidRPr="002A7A24">
              <w:rPr>
                <w:sz w:val="20"/>
                <w:szCs w:val="20"/>
              </w:rPr>
              <w:t>Rôle et responsabilité de la haute direction,</w:t>
            </w:r>
            <w:r w:rsidR="00663EFD" w:rsidRPr="002A7A24">
              <w:rPr>
                <w:sz w:val="20"/>
                <w:szCs w:val="20"/>
              </w:rPr>
              <w:t xml:space="preserve"> du département et du personnel.</w:t>
            </w:r>
          </w:p>
        </w:tc>
        <w:tc>
          <w:tcPr>
            <w:tcW w:w="1276" w:type="dxa"/>
            <w:vAlign w:val="center"/>
          </w:tcPr>
          <w:p w:rsidR="00F57F75" w:rsidRPr="002A7A24" w:rsidRDefault="00F57F75" w:rsidP="00663EFD">
            <w:pPr>
              <w:pStyle w:val="Tabletext"/>
              <w:jc w:val="center"/>
              <w:rPr>
                <w:sz w:val="20"/>
                <w:szCs w:val="20"/>
              </w:rPr>
            </w:pPr>
            <w:r w:rsidRPr="002A7A24">
              <w:rPr>
                <w:rFonts w:ascii="Wingdings" w:hAnsi="Wingdings"/>
                <w:sz w:val="20"/>
                <w:szCs w:val="20"/>
              </w:rPr>
              <w:sym w:font="Wingdings" w:char="F0FC"/>
            </w:r>
          </w:p>
        </w:tc>
        <w:tc>
          <w:tcPr>
            <w:tcW w:w="6379" w:type="dxa"/>
            <w:vMerge/>
          </w:tcPr>
          <w:p w:rsidR="00F57F75" w:rsidRPr="002A7A24" w:rsidRDefault="00F57F75" w:rsidP="00663EFD">
            <w:pPr>
              <w:pStyle w:val="Tabletext"/>
              <w:rPr>
                <w:sz w:val="20"/>
                <w:szCs w:val="20"/>
              </w:rPr>
            </w:pPr>
          </w:p>
        </w:tc>
      </w:tr>
      <w:tr w:rsidR="00F57F75" w:rsidRPr="002A7A24" w:rsidTr="00164958">
        <w:trPr>
          <w:trHeight w:val="256"/>
        </w:trPr>
        <w:tc>
          <w:tcPr>
            <w:tcW w:w="2977" w:type="dxa"/>
            <w:vMerge/>
          </w:tcPr>
          <w:p w:rsidR="00F57F75" w:rsidRPr="002A7A24" w:rsidRDefault="00F57F75" w:rsidP="00663EFD">
            <w:pPr>
              <w:pStyle w:val="Tabletext"/>
              <w:rPr>
                <w:sz w:val="20"/>
                <w:szCs w:val="20"/>
              </w:rPr>
            </w:pPr>
          </w:p>
        </w:tc>
        <w:tc>
          <w:tcPr>
            <w:tcW w:w="3969" w:type="dxa"/>
          </w:tcPr>
          <w:p w:rsidR="00F57F75" w:rsidRPr="002A7A24" w:rsidRDefault="00F57F75" w:rsidP="00663EFD">
            <w:pPr>
              <w:pStyle w:val="Tabletext"/>
              <w:rPr>
                <w:sz w:val="20"/>
                <w:szCs w:val="20"/>
              </w:rPr>
            </w:pPr>
            <w:r w:rsidRPr="002A7A24">
              <w:rPr>
                <w:sz w:val="20"/>
                <w:szCs w:val="20"/>
              </w:rPr>
              <w:t>Document directif disponible sur le site</w:t>
            </w:r>
            <w:r w:rsidR="00663EFD" w:rsidRPr="002A7A24">
              <w:rPr>
                <w:sz w:val="20"/>
                <w:szCs w:val="20"/>
              </w:rPr>
              <w:t xml:space="preserve"> Web et communiqué au personnel.</w:t>
            </w:r>
          </w:p>
        </w:tc>
        <w:tc>
          <w:tcPr>
            <w:tcW w:w="1276" w:type="dxa"/>
            <w:vAlign w:val="center"/>
          </w:tcPr>
          <w:p w:rsidR="00F57F75" w:rsidRPr="002A7A24" w:rsidRDefault="00F57F75" w:rsidP="00663EFD">
            <w:pPr>
              <w:pStyle w:val="Tabletext"/>
              <w:jc w:val="center"/>
              <w:rPr>
                <w:sz w:val="20"/>
                <w:szCs w:val="20"/>
              </w:rPr>
            </w:pPr>
            <w:r w:rsidRPr="002A7A24">
              <w:rPr>
                <w:sz w:val="20"/>
                <w:szCs w:val="20"/>
              </w:rPr>
              <w:t>En cours</w:t>
            </w:r>
          </w:p>
        </w:tc>
        <w:tc>
          <w:tcPr>
            <w:tcW w:w="6379" w:type="dxa"/>
            <w:vMerge/>
          </w:tcPr>
          <w:p w:rsidR="00F57F75" w:rsidRPr="002A7A24" w:rsidRDefault="00F57F75" w:rsidP="00663EFD">
            <w:pPr>
              <w:pStyle w:val="Tabletext"/>
              <w:rPr>
                <w:sz w:val="20"/>
                <w:szCs w:val="20"/>
              </w:rPr>
            </w:pPr>
          </w:p>
        </w:tc>
      </w:tr>
      <w:tr w:rsidR="00F57F75" w:rsidRPr="002A7A24" w:rsidTr="00164958">
        <w:trPr>
          <w:trHeight w:val="256"/>
        </w:trPr>
        <w:tc>
          <w:tcPr>
            <w:tcW w:w="2977" w:type="dxa"/>
            <w:vMerge/>
          </w:tcPr>
          <w:p w:rsidR="00F57F75" w:rsidRPr="002A7A24" w:rsidRDefault="00F57F75" w:rsidP="00663EFD">
            <w:pPr>
              <w:pStyle w:val="Tabletext"/>
              <w:rPr>
                <w:sz w:val="20"/>
                <w:szCs w:val="20"/>
              </w:rPr>
            </w:pPr>
          </w:p>
        </w:tc>
        <w:tc>
          <w:tcPr>
            <w:tcW w:w="3969" w:type="dxa"/>
          </w:tcPr>
          <w:p w:rsidR="00F57F75" w:rsidRPr="002A7A24" w:rsidRDefault="00F57F75" w:rsidP="00663EFD">
            <w:pPr>
              <w:pStyle w:val="Tabletext"/>
              <w:rPr>
                <w:sz w:val="20"/>
                <w:szCs w:val="20"/>
              </w:rPr>
            </w:pPr>
            <w:r w:rsidRPr="002A7A24">
              <w:rPr>
                <w:sz w:val="20"/>
                <w:szCs w:val="20"/>
              </w:rPr>
              <w:t>Dispositif contenant les éléments clefs du principe de responsabilité.</w:t>
            </w:r>
          </w:p>
        </w:tc>
        <w:tc>
          <w:tcPr>
            <w:tcW w:w="1276" w:type="dxa"/>
            <w:vAlign w:val="center"/>
          </w:tcPr>
          <w:p w:rsidR="00F57F75" w:rsidRPr="002A7A24" w:rsidRDefault="00F57F75" w:rsidP="00663EFD">
            <w:pPr>
              <w:pStyle w:val="Tabletext"/>
              <w:jc w:val="center"/>
              <w:rPr>
                <w:sz w:val="20"/>
                <w:szCs w:val="20"/>
              </w:rPr>
            </w:pPr>
            <w:r w:rsidRPr="002A7A24">
              <w:rPr>
                <w:rFonts w:ascii="Wingdings" w:hAnsi="Wingdings"/>
                <w:sz w:val="20"/>
                <w:szCs w:val="20"/>
              </w:rPr>
              <w:sym w:font="Wingdings" w:char="F0FC"/>
            </w:r>
          </w:p>
        </w:tc>
        <w:tc>
          <w:tcPr>
            <w:tcW w:w="6379" w:type="dxa"/>
            <w:vMerge/>
          </w:tcPr>
          <w:p w:rsidR="00F57F75" w:rsidRPr="002A7A24" w:rsidRDefault="00F57F75" w:rsidP="00663EFD">
            <w:pPr>
              <w:pStyle w:val="Tabletext"/>
              <w:rPr>
                <w:sz w:val="20"/>
                <w:szCs w:val="20"/>
              </w:rPr>
            </w:pPr>
          </w:p>
        </w:tc>
      </w:tr>
      <w:tr w:rsidR="00F57F75" w:rsidRPr="002A7A24" w:rsidTr="00164958">
        <w:trPr>
          <w:trHeight w:val="479"/>
        </w:trPr>
        <w:tc>
          <w:tcPr>
            <w:tcW w:w="2977" w:type="dxa"/>
            <w:vMerge w:val="restart"/>
          </w:tcPr>
          <w:p w:rsidR="00F57F75" w:rsidRPr="002A7A24" w:rsidRDefault="00663EFD" w:rsidP="00663EFD">
            <w:pPr>
              <w:pStyle w:val="Tabletext"/>
              <w:rPr>
                <w:sz w:val="20"/>
                <w:szCs w:val="20"/>
              </w:rPr>
            </w:pPr>
            <w:r w:rsidRPr="002A7A24">
              <w:rPr>
                <w:sz w:val="20"/>
                <w:szCs w:val="20"/>
              </w:rPr>
              <w:t>2</w:t>
            </w:r>
            <w:r w:rsidR="00F57F75" w:rsidRPr="002A7A24">
              <w:rPr>
                <w:sz w:val="20"/>
                <w:szCs w:val="20"/>
              </w:rPr>
              <w:t xml:space="preserve"> La gestion axée sur les résultats(GAR)</w:t>
            </w:r>
            <w:r w:rsidR="00A26BFC" w:rsidRPr="002A7A24">
              <w:rPr>
                <w:sz w:val="20"/>
                <w:szCs w:val="20"/>
              </w:rPr>
              <w:t xml:space="preserve"> </w:t>
            </w:r>
            <w:r w:rsidR="00F57F75" w:rsidRPr="002A7A24">
              <w:rPr>
                <w:sz w:val="20"/>
                <w:szCs w:val="20"/>
              </w:rPr>
              <w:t>est opérationnelle et compatible avec les mandats et les objectifs de l</w:t>
            </w:r>
            <w:r w:rsidR="00A26BFC" w:rsidRPr="002A7A24">
              <w:rPr>
                <w:sz w:val="20"/>
                <w:szCs w:val="20"/>
              </w:rPr>
              <w:t>'</w:t>
            </w:r>
            <w:r w:rsidR="00F57F75" w:rsidRPr="002A7A24">
              <w:rPr>
                <w:sz w:val="20"/>
                <w:szCs w:val="20"/>
              </w:rPr>
              <w:t>organisation et</w:t>
            </w:r>
            <w:r w:rsidR="00A26BFC" w:rsidRPr="002A7A24">
              <w:rPr>
                <w:sz w:val="20"/>
                <w:szCs w:val="20"/>
              </w:rPr>
              <w:t xml:space="preserve"> </w:t>
            </w:r>
            <w:r w:rsidR="00F57F75" w:rsidRPr="002A7A24">
              <w:rPr>
                <w:sz w:val="20"/>
                <w:szCs w:val="20"/>
              </w:rPr>
              <w:t xml:space="preserve">est répercutée dans les plans de travail des unités administratives et du personnel. </w:t>
            </w:r>
          </w:p>
        </w:tc>
        <w:tc>
          <w:tcPr>
            <w:tcW w:w="3969" w:type="dxa"/>
          </w:tcPr>
          <w:p w:rsidR="00F57F75" w:rsidRPr="002A7A24" w:rsidRDefault="00663EFD" w:rsidP="00663EFD">
            <w:pPr>
              <w:pStyle w:val="Tabletext"/>
              <w:rPr>
                <w:sz w:val="20"/>
                <w:szCs w:val="20"/>
              </w:rPr>
            </w:pPr>
            <w:r w:rsidRPr="002A7A24">
              <w:rPr>
                <w:sz w:val="20"/>
                <w:szCs w:val="20"/>
              </w:rPr>
              <w:t>Plans stratégiques.</w:t>
            </w:r>
          </w:p>
        </w:tc>
        <w:tc>
          <w:tcPr>
            <w:tcW w:w="1276" w:type="dxa"/>
            <w:vAlign w:val="center"/>
          </w:tcPr>
          <w:p w:rsidR="00F57F75" w:rsidRPr="002A7A24" w:rsidRDefault="00F57F75" w:rsidP="00663EFD">
            <w:pPr>
              <w:pStyle w:val="Tabletext"/>
              <w:jc w:val="center"/>
              <w:rPr>
                <w:sz w:val="20"/>
                <w:szCs w:val="20"/>
              </w:rPr>
            </w:pPr>
            <w:r w:rsidRPr="002A7A24">
              <w:rPr>
                <w:rFonts w:ascii="Wingdings" w:hAnsi="Wingdings"/>
                <w:sz w:val="20"/>
                <w:szCs w:val="20"/>
              </w:rPr>
              <w:sym w:font="Wingdings" w:char="F0FC"/>
            </w:r>
          </w:p>
        </w:tc>
        <w:tc>
          <w:tcPr>
            <w:tcW w:w="6379" w:type="dxa"/>
            <w:vMerge w:val="restart"/>
            <w:vAlign w:val="center"/>
          </w:tcPr>
          <w:p w:rsidR="00F57F75" w:rsidRPr="002A7A24" w:rsidRDefault="00F57F75" w:rsidP="00663EFD">
            <w:pPr>
              <w:pStyle w:val="Tabletext"/>
              <w:rPr>
                <w:sz w:val="20"/>
                <w:szCs w:val="20"/>
              </w:rPr>
            </w:pPr>
            <w:bookmarkStart w:id="94" w:name="lt_pId160"/>
            <w:r w:rsidRPr="002A7A24">
              <w:rPr>
                <w:sz w:val="20"/>
                <w:szCs w:val="20"/>
              </w:rPr>
              <w:t>La GAR est opérationnelle et est conforme au mandat et aux objectifs de l</w:t>
            </w:r>
            <w:r w:rsidR="00A26BFC" w:rsidRPr="002A7A24">
              <w:rPr>
                <w:sz w:val="20"/>
                <w:szCs w:val="20"/>
              </w:rPr>
              <w:t>'</w:t>
            </w:r>
            <w:r w:rsidRPr="002A7A24">
              <w:rPr>
                <w:sz w:val="20"/>
                <w:szCs w:val="20"/>
              </w:rPr>
              <w:t>organisation</w:t>
            </w:r>
            <w:r w:rsidR="00A26BFC" w:rsidRPr="002A7A24">
              <w:rPr>
                <w:sz w:val="20"/>
                <w:szCs w:val="20"/>
              </w:rPr>
              <w:t xml:space="preserve"> </w:t>
            </w:r>
            <w:r w:rsidRPr="002A7A24">
              <w:rPr>
                <w:sz w:val="20"/>
                <w:szCs w:val="20"/>
              </w:rPr>
              <w:t>(buts stratégiques et cibles, objectifs/résultats/produits sectoriels et intersectoriels, produits et catalyseurs/</w:t>
            </w:r>
            <w:bookmarkEnd w:id="94"/>
            <w:r w:rsidRPr="002A7A24">
              <w:rPr>
                <w:sz w:val="20"/>
                <w:szCs w:val="20"/>
              </w:rPr>
              <w:t>services d</w:t>
            </w:r>
            <w:r w:rsidR="00A26BFC" w:rsidRPr="002A7A24">
              <w:rPr>
                <w:sz w:val="20"/>
                <w:szCs w:val="20"/>
              </w:rPr>
              <w:t>'</w:t>
            </w:r>
            <w:r w:rsidRPr="002A7A24">
              <w:rPr>
                <w:sz w:val="20"/>
                <w:szCs w:val="20"/>
              </w:rPr>
              <w:t>appui)</w:t>
            </w:r>
            <w:r w:rsidR="00663EFD" w:rsidRPr="002A7A24">
              <w:rPr>
                <w:sz w:val="20"/>
                <w:szCs w:val="20"/>
              </w:rPr>
              <w:t>.</w:t>
            </w:r>
          </w:p>
          <w:p w:rsidR="00F57F75" w:rsidRPr="002A7A24" w:rsidRDefault="00F57F75" w:rsidP="00663EFD">
            <w:pPr>
              <w:pStyle w:val="Tabletext"/>
              <w:rPr>
                <w:sz w:val="20"/>
                <w:szCs w:val="20"/>
              </w:rPr>
            </w:pPr>
            <w:bookmarkStart w:id="95" w:name="lt_pId161"/>
            <w:r w:rsidRPr="002A7A24">
              <w:rPr>
                <w:sz w:val="20"/>
                <w:szCs w:val="20"/>
              </w:rPr>
              <w:t>Des plans de travail des unités administratives</w:t>
            </w:r>
            <w:r w:rsidR="00A26BFC" w:rsidRPr="002A7A24">
              <w:rPr>
                <w:sz w:val="20"/>
                <w:szCs w:val="20"/>
              </w:rPr>
              <w:t xml:space="preserve"> </w:t>
            </w:r>
            <w:r w:rsidRPr="002A7A24">
              <w:rPr>
                <w:sz w:val="20"/>
                <w:szCs w:val="20"/>
              </w:rPr>
              <w:t>et des plans de travail des fonctionnaires</w:t>
            </w:r>
            <w:r w:rsidRPr="002A7A24">
              <w:rPr>
                <w:sz w:val="20"/>
                <w:szCs w:val="20"/>
                <w:lang w:eastAsia="fr-FR"/>
              </w:rPr>
              <w:t xml:space="preserve"> sont actuellement élaborés sur la base du cadre de </w:t>
            </w:r>
            <w:r w:rsidR="00663EFD" w:rsidRPr="002A7A24">
              <w:rPr>
                <w:sz w:val="20"/>
                <w:szCs w:val="20"/>
                <w:lang w:eastAsia="fr-FR"/>
              </w:rPr>
              <w:t>présentation</w:t>
            </w:r>
            <w:r w:rsidRPr="002A7A24">
              <w:rPr>
                <w:sz w:val="20"/>
                <w:szCs w:val="20"/>
                <w:lang w:eastAsia="fr-FR"/>
              </w:rPr>
              <w:t xml:space="preserve"> des </w:t>
            </w:r>
            <w:r w:rsidR="00663EFD" w:rsidRPr="002A7A24">
              <w:rPr>
                <w:sz w:val="20"/>
                <w:szCs w:val="20"/>
                <w:lang w:eastAsia="fr-FR"/>
              </w:rPr>
              <w:t>résultats</w:t>
            </w:r>
            <w:r w:rsidRPr="002A7A24">
              <w:rPr>
                <w:sz w:val="20"/>
                <w:szCs w:val="20"/>
                <w:lang w:eastAsia="fr-FR"/>
              </w:rPr>
              <w:t xml:space="preserve"> de l</w:t>
            </w:r>
            <w:r w:rsidR="00A26BFC" w:rsidRPr="002A7A24">
              <w:rPr>
                <w:sz w:val="20"/>
                <w:szCs w:val="20"/>
                <w:lang w:eastAsia="fr-FR"/>
              </w:rPr>
              <w:t>'</w:t>
            </w:r>
            <w:r w:rsidRPr="002A7A24">
              <w:rPr>
                <w:sz w:val="20"/>
                <w:szCs w:val="20"/>
                <w:lang w:eastAsia="fr-FR"/>
              </w:rPr>
              <w:t>organisation</w:t>
            </w:r>
            <w:r w:rsidR="00A26BFC" w:rsidRPr="002A7A24">
              <w:rPr>
                <w:sz w:val="20"/>
                <w:szCs w:val="20"/>
              </w:rPr>
              <w:t>.</w:t>
            </w:r>
            <w:bookmarkEnd w:id="95"/>
          </w:p>
        </w:tc>
      </w:tr>
      <w:tr w:rsidR="00F57F75" w:rsidRPr="002A7A24" w:rsidTr="00164958">
        <w:trPr>
          <w:trHeight w:val="454"/>
        </w:trPr>
        <w:tc>
          <w:tcPr>
            <w:tcW w:w="2977" w:type="dxa"/>
            <w:vMerge/>
          </w:tcPr>
          <w:p w:rsidR="00F57F75" w:rsidRPr="002A7A24" w:rsidRDefault="00F57F75" w:rsidP="00663EFD">
            <w:pPr>
              <w:pStyle w:val="Tabletext"/>
              <w:rPr>
                <w:sz w:val="20"/>
                <w:szCs w:val="20"/>
              </w:rPr>
            </w:pPr>
          </w:p>
        </w:tc>
        <w:tc>
          <w:tcPr>
            <w:tcW w:w="3969" w:type="dxa"/>
          </w:tcPr>
          <w:p w:rsidR="00F57F75" w:rsidRPr="002A7A24" w:rsidRDefault="00F57F75" w:rsidP="00663EFD">
            <w:pPr>
              <w:pStyle w:val="Tabletext"/>
              <w:rPr>
                <w:sz w:val="20"/>
                <w:szCs w:val="20"/>
              </w:rPr>
            </w:pPr>
            <w:r w:rsidRPr="002A7A24">
              <w:rPr>
                <w:sz w:val="20"/>
                <w:szCs w:val="20"/>
              </w:rPr>
              <w:t>Plans de travail des unités administratives</w:t>
            </w:r>
            <w:r w:rsidR="00663EFD" w:rsidRPr="002A7A24">
              <w:rPr>
                <w:sz w:val="20"/>
                <w:szCs w:val="20"/>
              </w:rPr>
              <w:t>.</w:t>
            </w:r>
          </w:p>
        </w:tc>
        <w:tc>
          <w:tcPr>
            <w:tcW w:w="1276" w:type="dxa"/>
            <w:vAlign w:val="center"/>
          </w:tcPr>
          <w:p w:rsidR="00F57F75" w:rsidRPr="002A7A24" w:rsidRDefault="00F57F75" w:rsidP="00663EFD">
            <w:pPr>
              <w:pStyle w:val="Tabletext"/>
              <w:jc w:val="center"/>
              <w:rPr>
                <w:sz w:val="20"/>
                <w:szCs w:val="20"/>
              </w:rPr>
            </w:pPr>
            <w:r w:rsidRPr="002A7A24">
              <w:rPr>
                <w:sz w:val="20"/>
                <w:szCs w:val="20"/>
              </w:rPr>
              <w:t>En cours</w:t>
            </w:r>
          </w:p>
        </w:tc>
        <w:tc>
          <w:tcPr>
            <w:tcW w:w="6379" w:type="dxa"/>
            <w:vMerge/>
            <w:vAlign w:val="center"/>
          </w:tcPr>
          <w:p w:rsidR="00F57F75" w:rsidRPr="002A7A24" w:rsidRDefault="00F57F75" w:rsidP="00663EFD">
            <w:pPr>
              <w:pStyle w:val="Tabletext"/>
              <w:rPr>
                <w:sz w:val="20"/>
                <w:szCs w:val="20"/>
              </w:rPr>
            </w:pPr>
          </w:p>
        </w:tc>
      </w:tr>
      <w:tr w:rsidR="00F57F75" w:rsidRPr="002A7A24" w:rsidTr="00164958">
        <w:trPr>
          <w:trHeight w:val="287"/>
        </w:trPr>
        <w:tc>
          <w:tcPr>
            <w:tcW w:w="2977" w:type="dxa"/>
            <w:vMerge/>
          </w:tcPr>
          <w:p w:rsidR="00F57F75" w:rsidRPr="002A7A24" w:rsidRDefault="00F57F75" w:rsidP="00663EFD">
            <w:pPr>
              <w:pStyle w:val="Tabletext"/>
              <w:rPr>
                <w:sz w:val="20"/>
                <w:szCs w:val="20"/>
              </w:rPr>
            </w:pPr>
          </w:p>
        </w:tc>
        <w:tc>
          <w:tcPr>
            <w:tcW w:w="3969" w:type="dxa"/>
          </w:tcPr>
          <w:p w:rsidR="00F57F75" w:rsidRPr="002A7A24" w:rsidRDefault="00F57F75" w:rsidP="00663EFD">
            <w:pPr>
              <w:pStyle w:val="Tabletext"/>
              <w:rPr>
                <w:sz w:val="20"/>
                <w:szCs w:val="20"/>
              </w:rPr>
            </w:pPr>
            <w:r w:rsidRPr="002A7A24">
              <w:rPr>
                <w:sz w:val="20"/>
                <w:szCs w:val="20"/>
              </w:rPr>
              <w:t>Plans de travail des fonctionnaires.</w:t>
            </w:r>
          </w:p>
        </w:tc>
        <w:tc>
          <w:tcPr>
            <w:tcW w:w="1276" w:type="dxa"/>
            <w:vAlign w:val="center"/>
          </w:tcPr>
          <w:p w:rsidR="00F57F75" w:rsidRPr="002A7A24" w:rsidRDefault="00F57F75" w:rsidP="00663EFD">
            <w:pPr>
              <w:pStyle w:val="Tabletext"/>
              <w:jc w:val="center"/>
              <w:rPr>
                <w:sz w:val="20"/>
                <w:szCs w:val="20"/>
              </w:rPr>
            </w:pPr>
            <w:r w:rsidRPr="002A7A24">
              <w:rPr>
                <w:sz w:val="20"/>
                <w:szCs w:val="20"/>
              </w:rPr>
              <w:t>En cours</w:t>
            </w:r>
          </w:p>
        </w:tc>
        <w:tc>
          <w:tcPr>
            <w:tcW w:w="6379" w:type="dxa"/>
            <w:vMerge/>
            <w:vAlign w:val="center"/>
          </w:tcPr>
          <w:p w:rsidR="00F57F75" w:rsidRPr="002A7A24" w:rsidRDefault="00F57F75" w:rsidP="00663EFD">
            <w:pPr>
              <w:pStyle w:val="Tabletext"/>
              <w:rPr>
                <w:sz w:val="20"/>
                <w:szCs w:val="20"/>
              </w:rPr>
            </w:pPr>
          </w:p>
        </w:tc>
      </w:tr>
      <w:tr w:rsidR="00F57F75" w:rsidRPr="002A7A24" w:rsidTr="00164958">
        <w:tc>
          <w:tcPr>
            <w:tcW w:w="2977" w:type="dxa"/>
          </w:tcPr>
          <w:p w:rsidR="00F57F75" w:rsidRPr="002A7A24" w:rsidRDefault="00663EFD" w:rsidP="00663EFD">
            <w:pPr>
              <w:pStyle w:val="Tabletext"/>
              <w:rPr>
                <w:sz w:val="20"/>
                <w:szCs w:val="20"/>
              </w:rPr>
            </w:pPr>
            <w:r w:rsidRPr="002A7A24">
              <w:rPr>
                <w:sz w:val="20"/>
                <w:szCs w:val="20"/>
              </w:rPr>
              <w:t>3</w:t>
            </w:r>
            <w:r w:rsidR="00F57F75" w:rsidRPr="002A7A24">
              <w:rPr>
                <w:sz w:val="20"/>
                <w:szCs w:val="20"/>
              </w:rPr>
              <w:t xml:space="preserve"> Les organisations mènent des évaluations crédibles axées sur l</w:t>
            </w:r>
            <w:r w:rsidR="00A26BFC" w:rsidRPr="002A7A24">
              <w:rPr>
                <w:sz w:val="20"/>
                <w:szCs w:val="20"/>
              </w:rPr>
              <w:t>'</w:t>
            </w:r>
            <w:r w:rsidR="00F57F75" w:rsidRPr="002A7A24">
              <w:rPr>
                <w:sz w:val="20"/>
                <w:szCs w:val="20"/>
              </w:rPr>
              <w:t xml:space="preserve">utilisation et en communiquent les constatations, conclusions et recommandations aux parties prenantes. </w:t>
            </w:r>
          </w:p>
        </w:tc>
        <w:tc>
          <w:tcPr>
            <w:tcW w:w="3969" w:type="dxa"/>
            <w:tcBorders>
              <w:bottom w:val="single" w:sz="4" w:space="0" w:color="auto"/>
            </w:tcBorders>
          </w:tcPr>
          <w:p w:rsidR="00F57F75" w:rsidRPr="002A7A24" w:rsidRDefault="00663EFD" w:rsidP="00663EFD">
            <w:pPr>
              <w:pStyle w:val="Tabletext"/>
              <w:rPr>
                <w:sz w:val="20"/>
                <w:szCs w:val="20"/>
              </w:rPr>
            </w:pPr>
            <w:r w:rsidRPr="002A7A24">
              <w:rPr>
                <w:sz w:val="20"/>
                <w:szCs w:val="20"/>
              </w:rPr>
              <w:t>F</w:t>
            </w:r>
            <w:r w:rsidR="00F57F75" w:rsidRPr="002A7A24">
              <w:rPr>
                <w:sz w:val="20"/>
                <w:szCs w:val="20"/>
              </w:rPr>
              <w:t>onction d</w:t>
            </w:r>
            <w:r w:rsidR="00A26BFC" w:rsidRPr="002A7A24">
              <w:rPr>
                <w:sz w:val="20"/>
                <w:szCs w:val="20"/>
              </w:rPr>
              <w:t>'</w:t>
            </w:r>
            <w:r w:rsidR="00F57F75" w:rsidRPr="002A7A24">
              <w:rPr>
                <w:sz w:val="20"/>
                <w:szCs w:val="20"/>
              </w:rPr>
              <w:t>évaluation</w:t>
            </w:r>
            <w:r w:rsidRPr="002A7A24">
              <w:rPr>
                <w:sz w:val="20"/>
                <w:szCs w:val="20"/>
              </w:rPr>
              <w:t>.</w:t>
            </w:r>
          </w:p>
        </w:tc>
        <w:tc>
          <w:tcPr>
            <w:tcW w:w="1276" w:type="dxa"/>
            <w:vAlign w:val="center"/>
          </w:tcPr>
          <w:p w:rsidR="00F57F75" w:rsidRPr="002A7A24" w:rsidRDefault="00F57F75" w:rsidP="00663EFD">
            <w:pPr>
              <w:pStyle w:val="Tabletext"/>
              <w:jc w:val="center"/>
              <w:rPr>
                <w:sz w:val="20"/>
                <w:szCs w:val="20"/>
              </w:rPr>
            </w:pPr>
            <w:r w:rsidRPr="002A7A24">
              <w:rPr>
                <w:sz w:val="20"/>
                <w:szCs w:val="20"/>
              </w:rPr>
              <w:t>A l</w:t>
            </w:r>
            <w:r w:rsidR="00A26BFC" w:rsidRPr="002A7A24">
              <w:rPr>
                <w:sz w:val="20"/>
                <w:szCs w:val="20"/>
              </w:rPr>
              <w:t>'</w:t>
            </w:r>
            <w:r w:rsidRPr="002A7A24">
              <w:rPr>
                <w:sz w:val="20"/>
                <w:szCs w:val="20"/>
              </w:rPr>
              <w:t>étude</w:t>
            </w:r>
          </w:p>
        </w:tc>
        <w:tc>
          <w:tcPr>
            <w:tcW w:w="6379" w:type="dxa"/>
            <w:vAlign w:val="center"/>
          </w:tcPr>
          <w:p w:rsidR="00F57F75" w:rsidRPr="002A7A24" w:rsidRDefault="00F57F75" w:rsidP="00663EFD">
            <w:pPr>
              <w:pStyle w:val="Tabletext"/>
              <w:rPr>
                <w:sz w:val="20"/>
                <w:szCs w:val="20"/>
              </w:rPr>
            </w:pPr>
            <w:proofErr w:type="gramStart"/>
            <w:r w:rsidRPr="002A7A24">
              <w:rPr>
                <w:sz w:val="20"/>
                <w:szCs w:val="20"/>
                <w:lang w:eastAsia="fr-FR"/>
              </w:rPr>
              <w:t xml:space="preserve">On procède actuellement à une </w:t>
            </w:r>
            <w:r w:rsidR="00663EFD" w:rsidRPr="002A7A24">
              <w:rPr>
                <w:sz w:val="20"/>
                <w:szCs w:val="20"/>
                <w:lang w:eastAsia="fr-FR"/>
              </w:rPr>
              <w:t>étude</w:t>
            </w:r>
            <w:r w:rsidRPr="002A7A24">
              <w:rPr>
                <w:sz w:val="20"/>
                <w:szCs w:val="20"/>
                <w:lang w:eastAsia="fr-FR"/>
              </w:rPr>
              <w:t xml:space="preserve"> de faisabilité de l</w:t>
            </w:r>
            <w:r w:rsidR="00A26BFC" w:rsidRPr="002A7A24">
              <w:rPr>
                <w:sz w:val="20"/>
                <w:szCs w:val="20"/>
                <w:lang w:eastAsia="fr-FR"/>
              </w:rPr>
              <w:t>'</w:t>
            </w:r>
            <w:r w:rsidRPr="002A7A24">
              <w:rPr>
                <w:sz w:val="20"/>
                <w:szCs w:val="20"/>
                <w:lang w:eastAsia="fr-FR"/>
              </w:rPr>
              <w:t>évaluation</w:t>
            </w:r>
            <w:r w:rsidR="00A26BFC" w:rsidRPr="002A7A24">
              <w:rPr>
                <w:sz w:val="20"/>
                <w:szCs w:val="20"/>
                <w:lang w:eastAsia="fr-FR"/>
              </w:rPr>
              <w:t xml:space="preserve"> </w:t>
            </w:r>
            <w:r w:rsidRPr="002A7A24">
              <w:rPr>
                <w:sz w:val="20"/>
                <w:szCs w:val="20"/>
                <w:lang w:eastAsia="fr-FR"/>
              </w:rPr>
              <w:t>à l</w:t>
            </w:r>
            <w:r w:rsidR="00A26BFC" w:rsidRPr="002A7A24">
              <w:rPr>
                <w:sz w:val="20"/>
                <w:szCs w:val="20"/>
                <w:lang w:eastAsia="fr-FR"/>
              </w:rPr>
              <w:t>'</w:t>
            </w:r>
            <w:r w:rsidRPr="002A7A24">
              <w:rPr>
                <w:sz w:val="20"/>
                <w:szCs w:val="20"/>
                <w:lang w:eastAsia="fr-FR"/>
              </w:rPr>
              <w:t>UIT,</w:t>
            </w:r>
            <w:r w:rsidR="00A26BFC" w:rsidRPr="002A7A24">
              <w:rPr>
                <w:sz w:val="20"/>
                <w:szCs w:val="20"/>
                <w:lang w:eastAsia="fr-FR"/>
              </w:rPr>
              <w:t xml:space="preserve"> </w:t>
            </w:r>
            <w:r w:rsidRPr="002A7A24">
              <w:rPr>
                <w:sz w:val="20"/>
                <w:szCs w:val="20"/>
                <w:lang w:eastAsia="fr-FR"/>
              </w:rPr>
              <w:t>afin d</w:t>
            </w:r>
            <w:r w:rsidR="00A26BFC" w:rsidRPr="002A7A24">
              <w:rPr>
                <w:sz w:val="20"/>
                <w:szCs w:val="20"/>
                <w:lang w:eastAsia="fr-FR"/>
              </w:rPr>
              <w:t>'</w:t>
            </w:r>
            <w:r w:rsidRPr="002A7A24">
              <w:rPr>
                <w:sz w:val="20"/>
                <w:szCs w:val="20"/>
                <w:lang w:eastAsia="fr-FR"/>
              </w:rPr>
              <w:t>élaborer</w:t>
            </w:r>
            <w:r w:rsidR="00A26BFC" w:rsidRPr="002A7A24">
              <w:rPr>
                <w:sz w:val="20"/>
                <w:szCs w:val="20"/>
                <w:lang w:eastAsia="fr-FR"/>
              </w:rPr>
              <w:t>:</w:t>
            </w:r>
            <w:r w:rsidRPr="002A7A24">
              <w:rPr>
                <w:sz w:val="20"/>
                <w:szCs w:val="20"/>
                <w:lang w:eastAsia="fr-FR"/>
              </w:rPr>
              <w:t xml:space="preserve"> a) un</w:t>
            </w:r>
            <w:r w:rsidR="00A26BFC" w:rsidRPr="002A7A24">
              <w:rPr>
                <w:sz w:val="20"/>
                <w:szCs w:val="20"/>
                <w:lang w:eastAsia="fr-FR"/>
              </w:rPr>
              <w:t xml:space="preserve"> </w:t>
            </w:r>
            <w:r w:rsidRPr="002A7A24">
              <w:rPr>
                <w:sz w:val="20"/>
                <w:szCs w:val="20"/>
                <w:lang w:eastAsia="fr-FR"/>
              </w:rPr>
              <w:t>rapport succinct</w:t>
            </w:r>
            <w:r w:rsidR="00A26BFC" w:rsidRPr="002A7A24">
              <w:rPr>
                <w:sz w:val="20"/>
                <w:szCs w:val="20"/>
                <w:lang w:eastAsia="fr-FR"/>
              </w:rPr>
              <w:t xml:space="preserve"> </w:t>
            </w:r>
            <w:r w:rsidRPr="002A7A24">
              <w:rPr>
                <w:sz w:val="20"/>
                <w:szCs w:val="20"/>
                <w:lang w:eastAsia="fr-FR"/>
              </w:rPr>
              <w:t xml:space="preserve">présentant de manière détaillée les </w:t>
            </w:r>
            <w:r w:rsidR="00663EFD" w:rsidRPr="002A7A24">
              <w:rPr>
                <w:sz w:val="20"/>
                <w:szCs w:val="20"/>
                <w:lang w:eastAsia="fr-FR"/>
              </w:rPr>
              <w:t>résultats</w:t>
            </w:r>
            <w:r w:rsidR="00A26BFC" w:rsidRPr="002A7A24">
              <w:rPr>
                <w:sz w:val="20"/>
                <w:szCs w:val="20"/>
                <w:lang w:eastAsia="fr-FR"/>
              </w:rPr>
              <w:t xml:space="preserve"> </w:t>
            </w:r>
            <w:r w:rsidRPr="002A7A24">
              <w:rPr>
                <w:sz w:val="20"/>
                <w:szCs w:val="20"/>
                <w:lang w:eastAsia="fr-FR"/>
              </w:rPr>
              <w:t>identifiés</w:t>
            </w:r>
            <w:r w:rsidR="00A26BFC" w:rsidRPr="002A7A24">
              <w:rPr>
                <w:sz w:val="20"/>
                <w:szCs w:val="20"/>
                <w:lang w:eastAsia="fr-FR"/>
              </w:rPr>
              <w:t xml:space="preserve"> </w:t>
            </w:r>
            <w:r w:rsidRPr="002A7A24">
              <w:rPr>
                <w:sz w:val="20"/>
                <w:szCs w:val="20"/>
                <w:lang w:eastAsia="fr-FR"/>
              </w:rPr>
              <w:t>et dont l</w:t>
            </w:r>
            <w:r w:rsidR="00A26BFC" w:rsidRPr="002A7A24">
              <w:rPr>
                <w:sz w:val="20"/>
                <w:szCs w:val="20"/>
                <w:lang w:eastAsia="fr-FR"/>
              </w:rPr>
              <w:t>'</w:t>
            </w:r>
            <w:r w:rsidRPr="002A7A24">
              <w:rPr>
                <w:sz w:val="20"/>
                <w:szCs w:val="20"/>
                <w:lang w:eastAsia="fr-FR"/>
              </w:rPr>
              <w:t>inclusion dans le processus d</w:t>
            </w:r>
            <w:r w:rsidR="00A26BFC" w:rsidRPr="002A7A24">
              <w:rPr>
                <w:sz w:val="20"/>
                <w:szCs w:val="20"/>
                <w:lang w:eastAsia="fr-FR"/>
              </w:rPr>
              <w:t>'</w:t>
            </w:r>
            <w:r w:rsidRPr="002A7A24">
              <w:rPr>
                <w:sz w:val="20"/>
                <w:szCs w:val="20"/>
                <w:lang w:eastAsia="fr-FR"/>
              </w:rPr>
              <w:t>évaluation est recommandée</w:t>
            </w:r>
            <w:r w:rsidR="00A26BFC" w:rsidRPr="002A7A24">
              <w:rPr>
                <w:sz w:val="20"/>
                <w:szCs w:val="20"/>
                <w:lang w:eastAsia="fr-FR"/>
              </w:rPr>
              <w:t>,</w:t>
            </w:r>
            <w:r w:rsidRPr="002A7A24">
              <w:rPr>
                <w:sz w:val="20"/>
                <w:szCs w:val="20"/>
                <w:lang w:eastAsia="fr-FR"/>
              </w:rPr>
              <w:t xml:space="preserve"> b)</w:t>
            </w:r>
            <w:r w:rsidR="00A26BFC" w:rsidRPr="002A7A24">
              <w:rPr>
                <w:sz w:val="20"/>
                <w:szCs w:val="20"/>
                <w:lang w:eastAsia="fr-FR"/>
              </w:rPr>
              <w:t xml:space="preserve"> </w:t>
            </w:r>
            <w:r w:rsidRPr="002A7A24">
              <w:rPr>
                <w:sz w:val="20"/>
                <w:szCs w:val="20"/>
                <w:lang w:eastAsia="fr-FR"/>
              </w:rPr>
              <w:t>un rapport succinct indiquant de manière détaillée les besoins en matière</w:t>
            </w:r>
            <w:r w:rsidR="00A26BFC" w:rsidRPr="002A7A24">
              <w:rPr>
                <w:sz w:val="20"/>
                <w:szCs w:val="20"/>
                <w:lang w:eastAsia="fr-FR"/>
              </w:rPr>
              <w:t xml:space="preserve"> </w:t>
            </w:r>
            <w:r w:rsidRPr="002A7A24">
              <w:rPr>
                <w:sz w:val="20"/>
                <w:szCs w:val="20"/>
                <w:lang w:eastAsia="fr-FR"/>
              </w:rPr>
              <w:t>d</w:t>
            </w:r>
            <w:r w:rsidR="00A26BFC" w:rsidRPr="002A7A24">
              <w:rPr>
                <w:sz w:val="20"/>
                <w:szCs w:val="20"/>
                <w:lang w:eastAsia="fr-FR"/>
              </w:rPr>
              <w:t>'</w:t>
            </w:r>
            <w:r w:rsidRPr="002A7A24">
              <w:rPr>
                <w:sz w:val="20"/>
                <w:szCs w:val="20"/>
                <w:lang w:eastAsia="fr-FR"/>
              </w:rPr>
              <w:t>évaluation</w:t>
            </w:r>
            <w:r w:rsidR="00A26BFC" w:rsidRPr="002A7A24">
              <w:rPr>
                <w:sz w:val="20"/>
                <w:szCs w:val="20"/>
                <w:lang w:eastAsia="fr-FR"/>
              </w:rPr>
              <w:t xml:space="preserve"> </w:t>
            </w:r>
            <w:r w:rsidRPr="002A7A24">
              <w:rPr>
                <w:sz w:val="20"/>
                <w:szCs w:val="20"/>
                <w:lang w:eastAsia="fr-FR"/>
              </w:rPr>
              <w:t>à</w:t>
            </w:r>
            <w:r w:rsidR="00A26BFC" w:rsidRPr="002A7A24">
              <w:rPr>
                <w:sz w:val="20"/>
                <w:szCs w:val="20"/>
                <w:lang w:eastAsia="fr-FR"/>
              </w:rPr>
              <w:t xml:space="preserve"> </w:t>
            </w:r>
            <w:r w:rsidRPr="002A7A24">
              <w:rPr>
                <w:sz w:val="20"/>
                <w:szCs w:val="20"/>
                <w:lang w:eastAsia="fr-FR"/>
              </w:rPr>
              <w:t>l</w:t>
            </w:r>
            <w:r w:rsidR="00A26BFC" w:rsidRPr="002A7A24">
              <w:rPr>
                <w:sz w:val="20"/>
                <w:szCs w:val="20"/>
                <w:lang w:eastAsia="fr-FR"/>
              </w:rPr>
              <w:t>'</w:t>
            </w:r>
            <w:r w:rsidRPr="002A7A24">
              <w:rPr>
                <w:sz w:val="20"/>
                <w:szCs w:val="20"/>
                <w:lang w:eastAsia="fr-FR"/>
              </w:rPr>
              <w:t>UIT</w:t>
            </w:r>
            <w:r w:rsidR="00A26BFC" w:rsidRPr="002A7A24">
              <w:rPr>
                <w:sz w:val="20"/>
                <w:szCs w:val="20"/>
                <w:lang w:eastAsia="fr-FR"/>
              </w:rPr>
              <w:t>,</w:t>
            </w:r>
            <w:r w:rsidRPr="002A7A24">
              <w:rPr>
                <w:sz w:val="20"/>
                <w:szCs w:val="20"/>
                <w:lang w:eastAsia="fr-FR"/>
              </w:rPr>
              <w:t xml:space="preserve"> sur la base de la portée et des objectifs</w:t>
            </w:r>
            <w:r w:rsidR="00A26BFC" w:rsidRPr="002A7A24">
              <w:rPr>
                <w:sz w:val="20"/>
                <w:szCs w:val="20"/>
                <w:lang w:eastAsia="fr-FR"/>
              </w:rPr>
              <w:t xml:space="preserve"> </w:t>
            </w:r>
            <w:r w:rsidRPr="002A7A24">
              <w:rPr>
                <w:sz w:val="20"/>
                <w:szCs w:val="20"/>
                <w:lang w:eastAsia="fr-FR"/>
              </w:rPr>
              <w:t>recommandés</w:t>
            </w:r>
            <w:r w:rsidR="00A26BFC" w:rsidRPr="002A7A24">
              <w:rPr>
                <w:sz w:val="20"/>
                <w:szCs w:val="20"/>
                <w:lang w:eastAsia="fr-FR"/>
              </w:rPr>
              <w:t xml:space="preserve"> </w:t>
            </w:r>
            <w:r w:rsidRPr="002A7A24">
              <w:rPr>
                <w:sz w:val="20"/>
                <w:szCs w:val="20"/>
                <w:lang w:eastAsia="fr-FR"/>
              </w:rPr>
              <w:t>de l</w:t>
            </w:r>
            <w:r w:rsidR="00A26BFC" w:rsidRPr="002A7A24">
              <w:rPr>
                <w:sz w:val="20"/>
                <w:szCs w:val="20"/>
                <w:lang w:eastAsia="fr-FR"/>
              </w:rPr>
              <w:t>'</w:t>
            </w:r>
            <w:r w:rsidRPr="002A7A24">
              <w:rPr>
                <w:sz w:val="20"/>
                <w:szCs w:val="20"/>
                <w:lang w:eastAsia="fr-FR"/>
              </w:rPr>
              <w:t>évaluation</w:t>
            </w:r>
            <w:r w:rsidR="00A26BFC" w:rsidRPr="002A7A24">
              <w:rPr>
                <w:sz w:val="20"/>
                <w:szCs w:val="20"/>
                <w:lang w:eastAsia="fr-FR"/>
              </w:rPr>
              <w:t xml:space="preserve">, </w:t>
            </w:r>
            <w:r w:rsidRPr="002A7A24">
              <w:rPr>
                <w:sz w:val="20"/>
                <w:szCs w:val="20"/>
                <w:lang w:eastAsia="fr-FR"/>
              </w:rPr>
              <w:t>et</w:t>
            </w:r>
            <w:r w:rsidR="00A26BFC" w:rsidRPr="002A7A24">
              <w:rPr>
                <w:sz w:val="20"/>
                <w:szCs w:val="20"/>
                <w:lang w:eastAsia="fr-FR"/>
              </w:rPr>
              <w:t xml:space="preserve"> </w:t>
            </w:r>
            <w:r w:rsidRPr="002A7A24">
              <w:rPr>
                <w:sz w:val="20"/>
                <w:szCs w:val="20"/>
                <w:lang w:eastAsia="fr-FR"/>
              </w:rPr>
              <w:t>c) un document exposant la politique générale, les lignes directrices, le programme de travail et</w:t>
            </w:r>
            <w:r w:rsidR="00A26BFC" w:rsidRPr="002A7A24">
              <w:rPr>
                <w:sz w:val="20"/>
                <w:szCs w:val="20"/>
                <w:lang w:eastAsia="fr-FR"/>
              </w:rPr>
              <w:t xml:space="preserve"> </w:t>
            </w:r>
            <w:r w:rsidRPr="002A7A24">
              <w:rPr>
                <w:sz w:val="20"/>
                <w:szCs w:val="20"/>
                <w:lang w:eastAsia="fr-FR"/>
              </w:rPr>
              <w:t>d</w:t>
            </w:r>
            <w:r w:rsidR="00A26BFC" w:rsidRPr="002A7A24">
              <w:rPr>
                <w:sz w:val="20"/>
                <w:szCs w:val="20"/>
                <w:lang w:eastAsia="fr-FR"/>
              </w:rPr>
              <w:t>'</w:t>
            </w:r>
            <w:r w:rsidRPr="002A7A24">
              <w:rPr>
                <w:sz w:val="20"/>
                <w:szCs w:val="20"/>
                <w:lang w:eastAsia="fr-FR"/>
              </w:rPr>
              <w:t>autres mesures</w:t>
            </w:r>
            <w:r w:rsidR="00A26BFC" w:rsidRPr="002A7A24">
              <w:rPr>
                <w:sz w:val="20"/>
                <w:szCs w:val="20"/>
                <w:lang w:eastAsia="fr-FR"/>
              </w:rPr>
              <w:t xml:space="preserve"> </w:t>
            </w:r>
            <w:r w:rsidRPr="002A7A24">
              <w:rPr>
                <w:sz w:val="20"/>
                <w:szCs w:val="20"/>
                <w:lang w:eastAsia="fr-FR"/>
              </w:rPr>
              <w:t>concernant l</w:t>
            </w:r>
            <w:r w:rsidR="00A26BFC" w:rsidRPr="002A7A24">
              <w:rPr>
                <w:sz w:val="20"/>
                <w:szCs w:val="20"/>
                <w:lang w:eastAsia="fr-FR"/>
              </w:rPr>
              <w:t>'</w:t>
            </w:r>
            <w:r w:rsidRPr="002A7A24">
              <w:rPr>
                <w:sz w:val="20"/>
                <w:szCs w:val="20"/>
                <w:lang w:eastAsia="fr-FR"/>
              </w:rPr>
              <w:t>évaluation</w:t>
            </w:r>
            <w:r w:rsidR="00A26BFC" w:rsidRPr="002A7A24">
              <w:rPr>
                <w:sz w:val="20"/>
                <w:szCs w:val="20"/>
                <w:lang w:eastAsia="fr-FR"/>
              </w:rPr>
              <w:t>.</w:t>
            </w:r>
            <w:proofErr w:type="gramEnd"/>
          </w:p>
        </w:tc>
      </w:tr>
      <w:tr w:rsidR="00F57F75" w:rsidRPr="002A7A24" w:rsidTr="00164958">
        <w:trPr>
          <w:trHeight w:val="576"/>
        </w:trPr>
        <w:tc>
          <w:tcPr>
            <w:tcW w:w="2977" w:type="dxa"/>
            <w:vMerge w:val="restart"/>
          </w:tcPr>
          <w:p w:rsidR="00F57F75" w:rsidRPr="002A7A24" w:rsidRDefault="00663EFD" w:rsidP="00663EFD">
            <w:pPr>
              <w:pStyle w:val="Tabletext"/>
              <w:rPr>
                <w:sz w:val="20"/>
                <w:szCs w:val="20"/>
              </w:rPr>
            </w:pPr>
            <w:r w:rsidRPr="002A7A24">
              <w:rPr>
                <w:sz w:val="20"/>
                <w:szCs w:val="20"/>
              </w:rPr>
              <w:lastRenderedPageBreak/>
              <w:t>4</w:t>
            </w:r>
            <w:r w:rsidR="00A26BFC" w:rsidRPr="002A7A24">
              <w:rPr>
                <w:sz w:val="20"/>
                <w:szCs w:val="20"/>
              </w:rPr>
              <w:t xml:space="preserve"> </w:t>
            </w:r>
            <w:bookmarkStart w:id="96" w:name="lt_pId173"/>
            <w:r w:rsidR="00F57F75" w:rsidRPr="002A7A24">
              <w:rPr>
                <w:sz w:val="20"/>
                <w:szCs w:val="20"/>
              </w:rPr>
              <w:t>Les organisations ont une politique de l</w:t>
            </w:r>
            <w:r w:rsidR="00A26BFC" w:rsidRPr="002A7A24">
              <w:rPr>
                <w:sz w:val="20"/>
                <w:szCs w:val="20"/>
              </w:rPr>
              <w:t>'</w:t>
            </w:r>
            <w:r w:rsidR="00F57F75" w:rsidRPr="002A7A24">
              <w:rPr>
                <w:sz w:val="20"/>
                <w:szCs w:val="20"/>
              </w:rPr>
              <w:t>information établie qui est effectivement appliquée et dans le cadre de laquelle les résultats des activités de l</w:t>
            </w:r>
            <w:r w:rsidR="00A26BFC" w:rsidRPr="002A7A24">
              <w:rPr>
                <w:sz w:val="20"/>
                <w:szCs w:val="20"/>
              </w:rPr>
              <w:t>'</w:t>
            </w:r>
            <w:r w:rsidR="00F57F75" w:rsidRPr="002A7A24">
              <w:rPr>
                <w:sz w:val="20"/>
                <w:szCs w:val="20"/>
              </w:rPr>
              <w:t xml:space="preserve">organisation sont régulièrement communiqués aux organes délibérants, aux </w:t>
            </w:r>
            <w:r w:rsidR="00726716" w:rsidRPr="002A7A24">
              <w:rPr>
                <w:sz w:val="20"/>
                <w:szCs w:val="20"/>
              </w:rPr>
              <w:t>E</w:t>
            </w:r>
            <w:r w:rsidR="00F57F75" w:rsidRPr="002A7A24">
              <w:rPr>
                <w:sz w:val="20"/>
                <w:szCs w:val="20"/>
              </w:rPr>
              <w:t>tats membres et aux autres parties prenantes, y compris les donateurs, les bénéficiaires et le public en général</w:t>
            </w:r>
            <w:bookmarkEnd w:id="96"/>
            <w:r w:rsidRPr="002A7A24">
              <w:rPr>
                <w:sz w:val="20"/>
                <w:szCs w:val="20"/>
              </w:rPr>
              <w:t>.</w:t>
            </w:r>
          </w:p>
        </w:tc>
        <w:tc>
          <w:tcPr>
            <w:tcW w:w="3969" w:type="dxa"/>
            <w:tcBorders>
              <w:bottom w:val="nil"/>
            </w:tcBorders>
          </w:tcPr>
          <w:p w:rsidR="00F57F75" w:rsidRPr="002A7A24" w:rsidRDefault="00F57F75" w:rsidP="00663EFD">
            <w:pPr>
              <w:pStyle w:val="Tabletext"/>
              <w:rPr>
                <w:sz w:val="20"/>
                <w:szCs w:val="20"/>
              </w:rPr>
            </w:pPr>
            <w:r w:rsidRPr="002A7A24">
              <w:rPr>
                <w:sz w:val="20"/>
                <w:szCs w:val="20"/>
              </w:rPr>
              <w:t>Politique de l</w:t>
            </w:r>
            <w:r w:rsidR="00A26BFC" w:rsidRPr="002A7A24">
              <w:rPr>
                <w:sz w:val="20"/>
                <w:szCs w:val="20"/>
              </w:rPr>
              <w:t>'</w:t>
            </w:r>
            <w:r w:rsidRPr="002A7A24">
              <w:rPr>
                <w:sz w:val="20"/>
                <w:szCs w:val="20"/>
              </w:rPr>
              <w:t>information</w:t>
            </w:r>
            <w:r w:rsidR="00663EFD" w:rsidRPr="002A7A24">
              <w:rPr>
                <w:sz w:val="20"/>
                <w:szCs w:val="20"/>
              </w:rPr>
              <w:t>.</w:t>
            </w:r>
          </w:p>
        </w:tc>
        <w:tc>
          <w:tcPr>
            <w:tcW w:w="1276" w:type="dxa"/>
            <w:vAlign w:val="center"/>
          </w:tcPr>
          <w:p w:rsidR="00F57F75" w:rsidRPr="002A7A24" w:rsidRDefault="00F57F75" w:rsidP="00663EFD">
            <w:pPr>
              <w:pStyle w:val="Tabletext"/>
              <w:jc w:val="center"/>
              <w:rPr>
                <w:sz w:val="20"/>
                <w:szCs w:val="20"/>
              </w:rPr>
            </w:pPr>
            <w:r w:rsidRPr="002A7A24">
              <w:rPr>
                <w:rFonts w:ascii="Wingdings" w:hAnsi="Wingdings"/>
                <w:sz w:val="20"/>
                <w:szCs w:val="20"/>
              </w:rPr>
              <w:sym w:font="Wingdings" w:char="F0FC"/>
            </w:r>
          </w:p>
        </w:tc>
        <w:tc>
          <w:tcPr>
            <w:tcW w:w="6379" w:type="dxa"/>
            <w:vMerge w:val="restart"/>
            <w:vAlign w:val="center"/>
          </w:tcPr>
          <w:p w:rsidR="00F57F75" w:rsidRPr="002A7A24" w:rsidRDefault="00F57F75" w:rsidP="00663EFD">
            <w:pPr>
              <w:pStyle w:val="Tabletext"/>
              <w:rPr>
                <w:sz w:val="20"/>
                <w:szCs w:val="20"/>
              </w:rPr>
            </w:pPr>
            <w:bookmarkStart w:id="97" w:name="lt_pId175"/>
            <w:r w:rsidRPr="002A7A24">
              <w:rPr>
                <w:sz w:val="20"/>
                <w:szCs w:val="20"/>
              </w:rPr>
              <w:t>Afin de progresser dans le sens d</w:t>
            </w:r>
            <w:r w:rsidR="00A26BFC" w:rsidRPr="002A7A24">
              <w:rPr>
                <w:sz w:val="20"/>
                <w:szCs w:val="20"/>
              </w:rPr>
              <w:t>'</w:t>
            </w:r>
            <w:r w:rsidRPr="002A7A24">
              <w:rPr>
                <w:sz w:val="20"/>
                <w:szCs w:val="20"/>
              </w:rPr>
              <w:t>une plus grande transparence et</w:t>
            </w:r>
            <w:r w:rsidR="00A26BFC" w:rsidRPr="002A7A24">
              <w:rPr>
                <w:sz w:val="20"/>
                <w:szCs w:val="20"/>
              </w:rPr>
              <w:t xml:space="preserve"> </w:t>
            </w:r>
            <w:r w:rsidRPr="002A7A24">
              <w:rPr>
                <w:sz w:val="20"/>
                <w:szCs w:val="20"/>
              </w:rPr>
              <w:t>d</w:t>
            </w:r>
            <w:r w:rsidR="00A26BFC" w:rsidRPr="002A7A24">
              <w:rPr>
                <w:sz w:val="20"/>
                <w:szCs w:val="20"/>
              </w:rPr>
              <w:t>'</w:t>
            </w:r>
            <w:r w:rsidRPr="002A7A24">
              <w:rPr>
                <w:sz w:val="20"/>
                <w:szCs w:val="20"/>
              </w:rPr>
              <w:t>une responsabilisation accrue</w:t>
            </w:r>
            <w:r w:rsidR="00A26BFC" w:rsidRPr="002A7A24">
              <w:rPr>
                <w:sz w:val="20"/>
                <w:szCs w:val="20"/>
              </w:rPr>
              <w:t>,</w:t>
            </w:r>
            <w:r w:rsidRPr="002A7A24">
              <w:rPr>
                <w:sz w:val="20"/>
                <w:szCs w:val="20"/>
              </w:rPr>
              <w:t xml:space="preserve"> le Conseil de l</w:t>
            </w:r>
            <w:r w:rsidR="00A26BFC" w:rsidRPr="002A7A24">
              <w:rPr>
                <w:sz w:val="20"/>
                <w:szCs w:val="20"/>
              </w:rPr>
              <w:t>'</w:t>
            </w:r>
            <w:r w:rsidRPr="002A7A24">
              <w:rPr>
                <w:sz w:val="20"/>
                <w:szCs w:val="20"/>
              </w:rPr>
              <w:t>UIT a adopté, à sa session de 2016, la</w:t>
            </w:r>
            <w:r w:rsidR="00A26BFC" w:rsidRPr="002A7A24">
              <w:rPr>
                <w:sz w:val="20"/>
                <w:szCs w:val="20"/>
              </w:rPr>
              <w:t xml:space="preserve"> </w:t>
            </w:r>
            <w:r w:rsidRPr="002A7A24">
              <w:rPr>
                <w:sz w:val="20"/>
                <w:szCs w:val="20"/>
              </w:rPr>
              <w:t>politique de l'UIT en matière d'accès à l'information/aux documents qui</w:t>
            </w:r>
            <w:r w:rsidR="00A26BFC" w:rsidRPr="002A7A24">
              <w:rPr>
                <w:sz w:val="20"/>
                <w:szCs w:val="20"/>
              </w:rPr>
              <w:t xml:space="preserve"> "</w:t>
            </w:r>
            <w:r w:rsidRPr="002A7A24">
              <w:rPr>
                <w:sz w:val="20"/>
                <w:szCs w:val="20"/>
              </w:rPr>
              <w:t>garantit l'accès du public aux informations détenues, gérées ou créées par l'UIT</w:t>
            </w:r>
            <w:r w:rsidR="00A26BFC" w:rsidRPr="002A7A24">
              <w:rPr>
                <w:sz w:val="20"/>
                <w:szCs w:val="20"/>
              </w:rPr>
              <w:t>"</w:t>
            </w:r>
            <w:bookmarkEnd w:id="97"/>
            <w:r w:rsidR="00A26BFC" w:rsidRPr="002A7A24">
              <w:rPr>
                <w:sz w:val="20"/>
                <w:szCs w:val="20"/>
              </w:rPr>
              <w:t>.</w:t>
            </w:r>
            <w:bookmarkStart w:id="98" w:name="lt_pId176"/>
            <w:r w:rsidRPr="002A7A24">
              <w:rPr>
                <w:sz w:val="20"/>
                <w:szCs w:val="20"/>
              </w:rPr>
              <w:t xml:space="preserve"> Cette politique entrera en vigueur le 1er janvier 2017 à titre provisoire</w:t>
            </w:r>
            <w:bookmarkEnd w:id="98"/>
            <w:r w:rsidR="00663EFD" w:rsidRPr="002A7A24">
              <w:rPr>
                <w:sz w:val="20"/>
                <w:szCs w:val="20"/>
              </w:rPr>
              <w:t>.</w:t>
            </w:r>
          </w:p>
        </w:tc>
      </w:tr>
      <w:tr w:rsidR="00F57F75" w:rsidRPr="002A7A24" w:rsidTr="00164958">
        <w:tc>
          <w:tcPr>
            <w:tcW w:w="2977" w:type="dxa"/>
            <w:vMerge/>
          </w:tcPr>
          <w:p w:rsidR="00F57F75" w:rsidRPr="002A7A24" w:rsidRDefault="00F57F75" w:rsidP="00663EFD">
            <w:pPr>
              <w:pStyle w:val="Tabletext"/>
              <w:rPr>
                <w:sz w:val="20"/>
                <w:szCs w:val="20"/>
              </w:rPr>
            </w:pPr>
          </w:p>
        </w:tc>
        <w:tc>
          <w:tcPr>
            <w:tcW w:w="3969" w:type="dxa"/>
            <w:tcBorders>
              <w:top w:val="nil"/>
            </w:tcBorders>
          </w:tcPr>
          <w:p w:rsidR="00F57F75" w:rsidRPr="002A7A24" w:rsidRDefault="00F57F75" w:rsidP="00663EFD">
            <w:pPr>
              <w:pStyle w:val="Tabletext"/>
              <w:rPr>
                <w:sz w:val="20"/>
                <w:szCs w:val="20"/>
              </w:rPr>
            </w:pPr>
            <w:r w:rsidRPr="002A7A24">
              <w:rPr>
                <w:sz w:val="20"/>
                <w:szCs w:val="20"/>
              </w:rPr>
              <w:t>Résultats des évaluations et audits.</w:t>
            </w:r>
          </w:p>
        </w:tc>
        <w:tc>
          <w:tcPr>
            <w:tcW w:w="1276" w:type="dxa"/>
            <w:vAlign w:val="center"/>
          </w:tcPr>
          <w:p w:rsidR="00F57F75" w:rsidRPr="002A7A24" w:rsidRDefault="00F57F75" w:rsidP="00663EFD">
            <w:pPr>
              <w:pStyle w:val="Tabletext"/>
              <w:jc w:val="center"/>
              <w:rPr>
                <w:sz w:val="20"/>
                <w:szCs w:val="20"/>
              </w:rPr>
            </w:pPr>
            <w:r w:rsidRPr="002A7A24">
              <w:rPr>
                <w:rFonts w:ascii="Wingdings" w:hAnsi="Wingdings"/>
                <w:sz w:val="20"/>
                <w:szCs w:val="20"/>
              </w:rPr>
              <w:sym w:font="Wingdings" w:char="F0FC"/>
            </w:r>
          </w:p>
        </w:tc>
        <w:tc>
          <w:tcPr>
            <w:tcW w:w="6379" w:type="dxa"/>
            <w:vMerge/>
            <w:vAlign w:val="center"/>
          </w:tcPr>
          <w:p w:rsidR="00F57F75" w:rsidRPr="002A7A24" w:rsidRDefault="00F57F75" w:rsidP="00663EFD">
            <w:pPr>
              <w:pStyle w:val="Tabletext"/>
              <w:rPr>
                <w:sz w:val="20"/>
                <w:szCs w:val="20"/>
              </w:rPr>
            </w:pPr>
          </w:p>
        </w:tc>
      </w:tr>
      <w:tr w:rsidR="00F57F75" w:rsidRPr="002A7A24" w:rsidTr="00164958">
        <w:tc>
          <w:tcPr>
            <w:tcW w:w="2977" w:type="dxa"/>
            <w:vMerge/>
          </w:tcPr>
          <w:p w:rsidR="00F57F75" w:rsidRPr="002A7A24" w:rsidRDefault="00F57F75" w:rsidP="00663EFD">
            <w:pPr>
              <w:pStyle w:val="Tabletext"/>
              <w:rPr>
                <w:sz w:val="20"/>
                <w:szCs w:val="20"/>
              </w:rPr>
            </w:pPr>
          </w:p>
        </w:tc>
        <w:tc>
          <w:tcPr>
            <w:tcW w:w="3969" w:type="dxa"/>
          </w:tcPr>
          <w:p w:rsidR="00F57F75" w:rsidRPr="002A7A24" w:rsidRDefault="00F57F75" w:rsidP="00663EFD">
            <w:pPr>
              <w:pStyle w:val="Tabletext"/>
              <w:rPr>
                <w:sz w:val="20"/>
                <w:szCs w:val="20"/>
              </w:rPr>
            </w:pPr>
            <w:r w:rsidRPr="002A7A24">
              <w:rPr>
                <w:sz w:val="20"/>
                <w:szCs w:val="20"/>
              </w:rPr>
              <w:t>Rapports financiers annuels consolidés</w:t>
            </w:r>
            <w:r w:rsidR="00663EFD" w:rsidRPr="002A7A24">
              <w:rPr>
                <w:sz w:val="20"/>
                <w:szCs w:val="20"/>
              </w:rPr>
              <w:t>.</w:t>
            </w:r>
          </w:p>
        </w:tc>
        <w:tc>
          <w:tcPr>
            <w:tcW w:w="1276" w:type="dxa"/>
            <w:vAlign w:val="center"/>
          </w:tcPr>
          <w:p w:rsidR="00F57F75" w:rsidRPr="002A7A24" w:rsidRDefault="00F57F75" w:rsidP="00663EFD">
            <w:pPr>
              <w:pStyle w:val="Tabletext"/>
              <w:jc w:val="center"/>
              <w:rPr>
                <w:sz w:val="20"/>
                <w:szCs w:val="20"/>
              </w:rPr>
            </w:pPr>
            <w:r w:rsidRPr="002A7A24">
              <w:rPr>
                <w:rFonts w:ascii="Wingdings" w:hAnsi="Wingdings"/>
                <w:sz w:val="20"/>
                <w:szCs w:val="20"/>
              </w:rPr>
              <w:sym w:font="Wingdings" w:char="F0FC"/>
            </w:r>
          </w:p>
        </w:tc>
        <w:tc>
          <w:tcPr>
            <w:tcW w:w="6379" w:type="dxa"/>
            <w:vMerge w:val="restart"/>
            <w:vAlign w:val="center"/>
          </w:tcPr>
          <w:p w:rsidR="00F57F75" w:rsidRPr="002A7A24" w:rsidRDefault="00F57F75" w:rsidP="00663EFD">
            <w:pPr>
              <w:pStyle w:val="Tabletext"/>
              <w:rPr>
                <w:sz w:val="20"/>
                <w:szCs w:val="20"/>
              </w:rPr>
            </w:pPr>
            <w:bookmarkStart w:id="99" w:name="lt_pId179"/>
            <w:r w:rsidRPr="002A7A24">
              <w:rPr>
                <w:sz w:val="20"/>
                <w:szCs w:val="20"/>
              </w:rPr>
              <w:t>Des rapports annuels de synthèse sont présentés au Conseil</w:t>
            </w:r>
            <w:bookmarkEnd w:id="99"/>
            <w:r w:rsidR="00663EFD" w:rsidRPr="002A7A24">
              <w:rPr>
                <w:sz w:val="20"/>
                <w:szCs w:val="20"/>
              </w:rPr>
              <w:t>.</w:t>
            </w:r>
          </w:p>
        </w:tc>
      </w:tr>
      <w:tr w:rsidR="00F57F75" w:rsidRPr="002A7A24" w:rsidTr="00164958">
        <w:tc>
          <w:tcPr>
            <w:tcW w:w="2977" w:type="dxa"/>
            <w:vMerge/>
          </w:tcPr>
          <w:p w:rsidR="00F57F75" w:rsidRPr="002A7A24" w:rsidRDefault="00F57F75" w:rsidP="00A26BFC">
            <w:pPr>
              <w:jc w:val="both"/>
              <w:rPr>
                <w:sz w:val="18"/>
                <w:szCs w:val="18"/>
              </w:rPr>
            </w:pPr>
          </w:p>
        </w:tc>
        <w:tc>
          <w:tcPr>
            <w:tcW w:w="3969" w:type="dxa"/>
          </w:tcPr>
          <w:p w:rsidR="00F57F75" w:rsidRPr="002A7A24" w:rsidRDefault="00F57F75" w:rsidP="00A26BFC">
            <w:pPr>
              <w:jc w:val="both"/>
              <w:rPr>
                <w:sz w:val="18"/>
                <w:szCs w:val="18"/>
              </w:rPr>
            </w:pPr>
            <w:r w:rsidRPr="002A7A24">
              <w:rPr>
                <w:sz w:val="18"/>
                <w:szCs w:val="18"/>
              </w:rPr>
              <w:t>Résultats du programme</w:t>
            </w:r>
            <w:r w:rsidR="00663EFD" w:rsidRPr="002A7A24">
              <w:rPr>
                <w:sz w:val="18"/>
                <w:szCs w:val="18"/>
              </w:rPr>
              <w:t>.</w:t>
            </w:r>
          </w:p>
        </w:tc>
        <w:tc>
          <w:tcPr>
            <w:tcW w:w="1276" w:type="dxa"/>
            <w:vAlign w:val="center"/>
          </w:tcPr>
          <w:p w:rsidR="00F57F75" w:rsidRPr="002A7A24" w:rsidRDefault="00F57F75" w:rsidP="00663EFD">
            <w:pPr>
              <w:jc w:val="center"/>
              <w:rPr>
                <w:sz w:val="18"/>
                <w:szCs w:val="18"/>
              </w:rPr>
            </w:pPr>
            <w:r w:rsidRPr="002A7A24">
              <w:rPr>
                <w:rFonts w:ascii="Wingdings" w:hAnsi="Wingdings"/>
                <w:sz w:val="18"/>
                <w:szCs w:val="18"/>
              </w:rPr>
              <w:sym w:font="Wingdings" w:char="F0FC"/>
            </w:r>
          </w:p>
        </w:tc>
        <w:tc>
          <w:tcPr>
            <w:tcW w:w="6379" w:type="dxa"/>
            <w:vMerge/>
          </w:tcPr>
          <w:p w:rsidR="00F57F75" w:rsidRPr="002A7A24" w:rsidRDefault="00F57F75" w:rsidP="00A26BFC">
            <w:pPr>
              <w:jc w:val="both"/>
              <w:rPr>
                <w:sz w:val="18"/>
                <w:szCs w:val="18"/>
              </w:rPr>
            </w:pPr>
          </w:p>
        </w:tc>
      </w:tr>
    </w:tbl>
    <w:p w:rsidR="00F57F75" w:rsidRPr="002A7A24" w:rsidRDefault="00F57F75" w:rsidP="00A26BFC">
      <w:pPr>
        <w:jc w:val="both"/>
      </w:pPr>
      <w:r w:rsidRPr="002A7A24">
        <w:br w:type="page"/>
      </w:r>
    </w:p>
    <w:p w:rsidR="00F57F75" w:rsidRPr="002A7A24" w:rsidRDefault="00F57F75" w:rsidP="004E5574">
      <w:pPr>
        <w:pStyle w:val="Headingb"/>
      </w:pPr>
      <w:bookmarkStart w:id="100" w:name="lt_pId181"/>
      <w:r w:rsidRPr="002A7A24">
        <w:lastRenderedPageBreak/>
        <w:t>Pilier</w:t>
      </w:r>
      <w:r w:rsidR="00A26BFC" w:rsidRPr="002A7A24">
        <w:t xml:space="preserve"> </w:t>
      </w:r>
      <w:r w:rsidRPr="002A7A24">
        <w:t>2</w:t>
      </w:r>
      <w:bookmarkEnd w:id="100"/>
    </w:p>
    <w:tbl>
      <w:tblPr>
        <w:tblStyle w:val="TableGrid"/>
        <w:tblW w:w="14602" w:type="dxa"/>
        <w:tblInd w:w="-5" w:type="dxa"/>
        <w:tblLayout w:type="fixed"/>
        <w:tblLook w:val="04A0" w:firstRow="1" w:lastRow="0" w:firstColumn="1" w:lastColumn="0" w:noHBand="0" w:noVBand="1"/>
      </w:tblPr>
      <w:tblGrid>
        <w:gridCol w:w="2977"/>
        <w:gridCol w:w="3969"/>
        <w:gridCol w:w="1134"/>
        <w:gridCol w:w="6522"/>
      </w:tblGrid>
      <w:tr w:rsidR="00F57F75" w:rsidRPr="002A7A24" w:rsidTr="00164958">
        <w:trPr>
          <w:tblHeader/>
        </w:trPr>
        <w:tc>
          <w:tcPr>
            <w:tcW w:w="2977" w:type="dxa"/>
            <w:shd w:val="clear" w:color="auto" w:fill="B8CCE4" w:themeFill="accent1" w:themeFillTint="66"/>
          </w:tcPr>
          <w:p w:rsidR="00F57F75" w:rsidRPr="002A7A24" w:rsidRDefault="00F57F75" w:rsidP="004E5574">
            <w:pPr>
              <w:pStyle w:val="Tablehead"/>
            </w:pPr>
            <w:r w:rsidRPr="002A7A24">
              <w:t>Condition</w:t>
            </w:r>
          </w:p>
        </w:tc>
        <w:tc>
          <w:tcPr>
            <w:tcW w:w="3969" w:type="dxa"/>
            <w:shd w:val="clear" w:color="auto" w:fill="B8CCE4" w:themeFill="accent1" w:themeFillTint="66"/>
          </w:tcPr>
          <w:p w:rsidR="00F57F75" w:rsidRPr="002A7A24" w:rsidRDefault="00F57F75" w:rsidP="004E5574">
            <w:pPr>
              <w:pStyle w:val="Tablehead"/>
            </w:pPr>
            <w:r w:rsidRPr="002A7A24">
              <w:t>Outils</w:t>
            </w:r>
          </w:p>
        </w:tc>
        <w:tc>
          <w:tcPr>
            <w:tcW w:w="1134" w:type="dxa"/>
            <w:shd w:val="clear" w:color="auto" w:fill="B8CCE4" w:themeFill="accent1" w:themeFillTint="66"/>
          </w:tcPr>
          <w:p w:rsidR="00F57F75" w:rsidRPr="002A7A24" w:rsidRDefault="00F57F75" w:rsidP="004E5574">
            <w:pPr>
              <w:pStyle w:val="Tablehead"/>
            </w:pPr>
            <w:r w:rsidRPr="002A7A24">
              <w:t>Situation</w:t>
            </w:r>
          </w:p>
        </w:tc>
        <w:tc>
          <w:tcPr>
            <w:tcW w:w="6522" w:type="dxa"/>
            <w:shd w:val="clear" w:color="auto" w:fill="B8CCE4" w:themeFill="accent1" w:themeFillTint="66"/>
          </w:tcPr>
          <w:p w:rsidR="00F57F75" w:rsidRPr="002A7A24" w:rsidRDefault="00F57F75" w:rsidP="004E5574">
            <w:pPr>
              <w:pStyle w:val="Tablehead"/>
            </w:pPr>
            <w:r w:rsidRPr="002A7A24">
              <w:t>Observation</w:t>
            </w:r>
          </w:p>
        </w:tc>
      </w:tr>
      <w:tr w:rsidR="00F57F75" w:rsidRPr="002A7A24" w:rsidTr="00164958">
        <w:tc>
          <w:tcPr>
            <w:tcW w:w="2977" w:type="dxa"/>
            <w:vMerge w:val="restart"/>
          </w:tcPr>
          <w:p w:rsidR="00F57F75" w:rsidRPr="002A7A24" w:rsidRDefault="004E5574" w:rsidP="004E5574">
            <w:pPr>
              <w:pStyle w:val="Tabletext"/>
              <w:rPr>
                <w:sz w:val="20"/>
                <w:szCs w:val="20"/>
              </w:rPr>
            </w:pPr>
            <w:r w:rsidRPr="002A7A24">
              <w:rPr>
                <w:sz w:val="20"/>
                <w:szCs w:val="20"/>
              </w:rPr>
              <w:t>5</w:t>
            </w:r>
            <w:r w:rsidR="00F57F75" w:rsidRPr="002A7A24">
              <w:rPr>
                <w:sz w:val="20"/>
                <w:szCs w:val="20"/>
              </w:rPr>
              <w:t xml:space="preserve"> Une déontologie, des normes d</w:t>
            </w:r>
            <w:r w:rsidR="00A26BFC" w:rsidRPr="002A7A24">
              <w:rPr>
                <w:sz w:val="20"/>
                <w:szCs w:val="20"/>
              </w:rPr>
              <w:t>'</w:t>
            </w:r>
            <w:r w:rsidR="00F57F75" w:rsidRPr="002A7A24">
              <w:rPr>
                <w:sz w:val="20"/>
                <w:szCs w:val="20"/>
              </w:rPr>
              <w:t>intégrité et des politiques de lutte contre la corruption et la fraude sont en place et sont appliquées</w:t>
            </w:r>
            <w:r w:rsidRPr="002A7A24">
              <w:rPr>
                <w:sz w:val="20"/>
                <w:szCs w:val="20"/>
              </w:rPr>
              <w:t>.</w:t>
            </w:r>
          </w:p>
        </w:tc>
        <w:tc>
          <w:tcPr>
            <w:tcW w:w="3969" w:type="dxa"/>
          </w:tcPr>
          <w:p w:rsidR="00F57F75" w:rsidRPr="002A7A24" w:rsidRDefault="00F57F75" w:rsidP="004E5574">
            <w:pPr>
              <w:pStyle w:val="Tabletext"/>
              <w:rPr>
                <w:sz w:val="20"/>
                <w:szCs w:val="20"/>
              </w:rPr>
            </w:pPr>
            <w:r w:rsidRPr="002A7A24">
              <w:rPr>
                <w:sz w:val="20"/>
                <w:szCs w:val="20"/>
              </w:rPr>
              <w:t>Statut du personnel/code de conduite à l</w:t>
            </w:r>
            <w:r w:rsidR="00A26BFC" w:rsidRPr="002A7A24">
              <w:rPr>
                <w:sz w:val="20"/>
                <w:szCs w:val="20"/>
              </w:rPr>
              <w:t>'</w:t>
            </w:r>
            <w:r w:rsidRPr="002A7A24">
              <w:rPr>
                <w:sz w:val="20"/>
                <w:szCs w:val="20"/>
              </w:rPr>
              <w:t>usage des fonctionnaires, y co</w:t>
            </w:r>
            <w:r w:rsidR="004E5574" w:rsidRPr="002A7A24">
              <w:rPr>
                <w:sz w:val="20"/>
                <w:szCs w:val="20"/>
              </w:rPr>
              <w:t>mpris en matière de harcèlement.</w:t>
            </w:r>
          </w:p>
        </w:tc>
        <w:tc>
          <w:tcPr>
            <w:tcW w:w="1134" w:type="dxa"/>
            <w:vAlign w:val="center"/>
          </w:tcPr>
          <w:p w:rsidR="00F57F75" w:rsidRPr="002A7A24" w:rsidRDefault="00F57F75" w:rsidP="004E5574">
            <w:pPr>
              <w:pStyle w:val="Tabletext"/>
              <w:jc w:val="center"/>
              <w:rPr>
                <w:sz w:val="20"/>
                <w:szCs w:val="20"/>
              </w:rPr>
            </w:pPr>
            <w:r w:rsidRPr="002A7A24">
              <w:rPr>
                <w:rFonts w:ascii="Wingdings" w:hAnsi="Wingdings"/>
                <w:sz w:val="20"/>
                <w:szCs w:val="20"/>
              </w:rPr>
              <w:sym w:font="Wingdings" w:char="F0FC"/>
            </w:r>
          </w:p>
        </w:tc>
        <w:tc>
          <w:tcPr>
            <w:tcW w:w="6522" w:type="dxa"/>
            <w:vMerge w:val="restart"/>
            <w:vAlign w:val="center"/>
          </w:tcPr>
          <w:p w:rsidR="00F57F75" w:rsidRPr="002A7A24" w:rsidRDefault="00F57F75" w:rsidP="004E5574">
            <w:pPr>
              <w:pStyle w:val="Tabletext"/>
              <w:rPr>
                <w:sz w:val="20"/>
                <w:szCs w:val="20"/>
              </w:rPr>
            </w:pPr>
            <w:bookmarkStart w:id="101" w:name="lt_pId189"/>
            <w:r w:rsidRPr="002A7A24">
              <w:rPr>
                <w:sz w:val="20"/>
                <w:szCs w:val="20"/>
              </w:rPr>
              <w:t>Un nouveau responsable de la déontologie a été nommé le 1er novembre 2016</w:t>
            </w:r>
            <w:bookmarkEnd w:id="101"/>
            <w:r w:rsidR="004E5574" w:rsidRPr="002A7A24">
              <w:rPr>
                <w:sz w:val="20"/>
                <w:szCs w:val="20"/>
              </w:rPr>
              <w:t>.</w:t>
            </w:r>
          </w:p>
        </w:tc>
      </w:tr>
      <w:tr w:rsidR="00F57F75" w:rsidRPr="002A7A24" w:rsidTr="00164958">
        <w:tc>
          <w:tcPr>
            <w:tcW w:w="2977" w:type="dxa"/>
            <w:vMerge/>
          </w:tcPr>
          <w:p w:rsidR="00F57F75" w:rsidRPr="002A7A24" w:rsidRDefault="00F57F75" w:rsidP="004E5574">
            <w:pPr>
              <w:pStyle w:val="Tabletext"/>
              <w:rPr>
                <w:sz w:val="20"/>
                <w:szCs w:val="20"/>
              </w:rPr>
            </w:pPr>
          </w:p>
        </w:tc>
        <w:tc>
          <w:tcPr>
            <w:tcW w:w="3969" w:type="dxa"/>
          </w:tcPr>
          <w:p w:rsidR="00F57F75" w:rsidRPr="002A7A24" w:rsidRDefault="004E5574" w:rsidP="004E5574">
            <w:pPr>
              <w:pStyle w:val="Tabletext"/>
              <w:rPr>
                <w:sz w:val="20"/>
                <w:szCs w:val="20"/>
              </w:rPr>
            </w:pPr>
            <w:r w:rsidRPr="002A7A24">
              <w:rPr>
                <w:sz w:val="20"/>
                <w:szCs w:val="20"/>
              </w:rPr>
              <w:t>Fonction de déontologie.</w:t>
            </w:r>
          </w:p>
        </w:tc>
        <w:tc>
          <w:tcPr>
            <w:tcW w:w="1134" w:type="dxa"/>
            <w:vAlign w:val="center"/>
          </w:tcPr>
          <w:p w:rsidR="00F57F75" w:rsidRPr="002A7A24" w:rsidRDefault="00F57F75" w:rsidP="004E5574">
            <w:pPr>
              <w:pStyle w:val="Tabletext"/>
              <w:jc w:val="center"/>
              <w:rPr>
                <w:sz w:val="20"/>
                <w:szCs w:val="20"/>
              </w:rPr>
            </w:pPr>
            <w:r w:rsidRPr="002A7A24">
              <w:rPr>
                <w:rFonts w:ascii="Wingdings" w:hAnsi="Wingdings"/>
                <w:sz w:val="20"/>
                <w:szCs w:val="20"/>
              </w:rPr>
              <w:sym w:font="Wingdings" w:char="F0FC"/>
            </w:r>
          </w:p>
        </w:tc>
        <w:tc>
          <w:tcPr>
            <w:tcW w:w="6522" w:type="dxa"/>
            <w:vMerge/>
          </w:tcPr>
          <w:p w:rsidR="00F57F75" w:rsidRPr="002A7A24" w:rsidRDefault="00F57F75" w:rsidP="004E5574">
            <w:pPr>
              <w:pStyle w:val="Tabletext"/>
              <w:rPr>
                <w:sz w:val="20"/>
                <w:szCs w:val="20"/>
              </w:rPr>
            </w:pPr>
          </w:p>
        </w:tc>
      </w:tr>
      <w:tr w:rsidR="00F57F75" w:rsidRPr="002A7A24" w:rsidTr="00164958">
        <w:tc>
          <w:tcPr>
            <w:tcW w:w="2977" w:type="dxa"/>
            <w:vMerge/>
          </w:tcPr>
          <w:p w:rsidR="00F57F75" w:rsidRPr="002A7A24" w:rsidRDefault="00F57F75" w:rsidP="004E5574">
            <w:pPr>
              <w:pStyle w:val="Tabletext"/>
              <w:rPr>
                <w:sz w:val="20"/>
                <w:szCs w:val="20"/>
              </w:rPr>
            </w:pPr>
          </w:p>
        </w:tc>
        <w:tc>
          <w:tcPr>
            <w:tcW w:w="3969" w:type="dxa"/>
          </w:tcPr>
          <w:p w:rsidR="00F57F75" w:rsidRPr="002A7A24" w:rsidRDefault="00F57F75" w:rsidP="004E5574">
            <w:pPr>
              <w:pStyle w:val="Tabletext"/>
              <w:rPr>
                <w:sz w:val="20"/>
                <w:szCs w:val="20"/>
              </w:rPr>
            </w:pPr>
            <w:r w:rsidRPr="002A7A24">
              <w:rPr>
                <w:sz w:val="20"/>
                <w:szCs w:val="20"/>
              </w:rPr>
              <w:t>Politique en matière de cadeaux, distinctions honorifiques et rémunérations offertes à l</w:t>
            </w:r>
            <w:r w:rsidR="00A26BFC" w:rsidRPr="002A7A24">
              <w:rPr>
                <w:sz w:val="20"/>
                <w:szCs w:val="20"/>
              </w:rPr>
              <w:t>'</w:t>
            </w:r>
            <w:r w:rsidR="004E5574" w:rsidRPr="002A7A24">
              <w:rPr>
                <w:sz w:val="20"/>
                <w:szCs w:val="20"/>
              </w:rPr>
              <w:t>extérieur.</w:t>
            </w:r>
          </w:p>
        </w:tc>
        <w:tc>
          <w:tcPr>
            <w:tcW w:w="1134" w:type="dxa"/>
            <w:vAlign w:val="center"/>
          </w:tcPr>
          <w:p w:rsidR="00F57F75" w:rsidRPr="002A7A24" w:rsidRDefault="00F57F75" w:rsidP="004E5574">
            <w:pPr>
              <w:pStyle w:val="Tabletext"/>
              <w:jc w:val="center"/>
              <w:rPr>
                <w:sz w:val="20"/>
                <w:szCs w:val="20"/>
              </w:rPr>
            </w:pPr>
            <w:r w:rsidRPr="002A7A24">
              <w:rPr>
                <w:sz w:val="20"/>
                <w:szCs w:val="20"/>
              </w:rPr>
              <w:t>En cours</w:t>
            </w:r>
          </w:p>
        </w:tc>
        <w:tc>
          <w:tcPr>
            <w:tcW w:w="6522" w:type="dxa"/>
          </w:tcPr>
          <w:p w:rsidR="00F57F75" w:rsidRPr="002A7A24" w:rsidRDefault="00F57F75" w:rsidP="004E5574">
            <w:pPr>
              <w:pStyle w:val="Tabletext"/>
              <w:rPr>
                <w:sz w:val="20"/>
                <w:szCs w:val="20"/>
              </w:rPr>
            </w:pPr>
            <w:bookmarkStart w:id="102" w:name="lt_pId193"/>
            <w:r w:rsidRPr="002A7A24">
              <w:rPr>
                <w:sz w:val="20"/>
                <w:szCs w:val="20"/>
              </w:rPr>
              <w:t>Une politique améliorée est en cours d</w:t>
            </w:r>
            <w:r w:rsidR="00A26BFC" w:rsidRPr="002A7A24">
              <w:rPr>
                <w:sz w:val="20"/>
                <w:szCs w:val="20"/>
              </w:rPr>
              <w:t>'</w:t>
            </w:r>
            <w:r w:rsidRPr="002A7A24">
              <w:rPr>
                <w:sz w:val="20"/>
                <w:szCs w:val="20"/>
              </w:rPr>
              <w:t>élaboration</w:t>
            </w:r>
            <w:bookmarkEnd w:id="102"/>
            <w:r w:rsidR="004E5574" w:rsidRPr="002A7A24">
              <w:rPr>
                <w:sz w:val="20"/>
                <w:szCs w:val="20"/>
              </w:rPr>
              <w:t>.</w:t>
            </w:r>
          </w:p>
        </w:tc>
      </w:tr>
      <w:tr w:rsidR="00F57F75" w:rsidRPr="002A7A24" w:rsidTr="00164958">
        <w:tc>
          <w:tcPr>
            <w:tcW w:w="2977" w:type="dxa"/>
            <w:vMerge/>
          </w:tcPr>
          <w:p w:rsidR="00F57F75" w:rsidRPr="002A7A24" w:rsidRDefault="00F57F75" w:rsidP="004E5574">
            <w:pPr>
              <w:pStyle w:val="Tabletext"/>
              <w:rPr>
                <w:sz w:val="20"/>
                <w:szCs w:val="20"/>
              </w:rPr>
            </w:pPr>
          </w:p>
        </w:tc>
        <w:tc>
          <w:tcPr>
            <w:tcW w:w="3969" w:type="dxa"/>
          </w:tcPr>
          <w:p w:rsidR="00F57F75" w:rsidRPr="002A7A24" w:rsidRDefault="00F57F75" w:rsidP="004E5574">
            <w:pPr>
              <w:pStyle w:val="Tabletext"/>
              <w:rPr>
                <w:sz w:val="20"/>
                <w:szCs w:val="20"/>
              </w:rPr>
            </w:pPr>
            <w:r w:rsidRPr="002A7A24">
              <w:rPr>
                <w:sz w:val="20"/>
                <w:szCs w:val="20"/>
              </w:rPr>
              <w:t>Protection contre les représailles de ceux qui signalent des fautes (politique de protection de ceux q</w:t>
            </w:r>
            <w:r w:rsidR="004E5574" w:rsidRPr="002A7A24">
              <w:rPr>
                <w:sz w:val="20"/>
                <w:szCs w:val="20"/>
              </w:rPr>
              <w:t>ui dénoncent des irrégularités).</w:t>
            </w:r>
          </w:p>
        </w:tc>
        <w:tc>
          <w:tcPr>
            <w:tcW w:w="1134" w:type="dxa"/>
            <w:vAlign w:val="center"/>
          </w:tcPr>
          <w:p w:rsidR="00F57F75" w:rsidRPr="002A7A24" w:rsidRDefault="00F57F75" w:rsidP="004E5574">
            <w:pPr>
              <w:pStyle w:val="Tabletext"/>
              <w:jc w:val="center"/>
              <w:rPr>
                <w:sz w:val="20"/>
                <w:szCs w:val="20"/>
              </w:rPr>
            </w:pPr>
            <w:r w:rsidRPr="002A7A24">
              <w:rPr>
                <w:rFonts w:ascii="Wingdings" w:hAnsi="Wingdings"/>
                <w:sz w:val="20"/>
                <w:szCs w:val="20"/>
              </w:rPr>
              <w:sym w:font="Wingdings" w:char="F0FC"/>
            </w:r>
          </w:p>
        </w:tc>
        <w:tc>
          <w:tcPr>
            <w:tcW w:w="6522" w:type="dxa"/>
            <w:vMerge w:val="restart"/>
          </w:tcPr>
          <w:p w:rsidR="00F57F75" w:rsidRPr="002A7A24" w:rsidRDefault="00F57F75" w:rsidP="004E5574">
            <w:pPr>
              <w:pStyle w:val="Tabletext"/>
              <w:rPr>
                <w:sz w:val="20"/>
                <w:szCs w:val="20"/>
              </w:rPr>
            </w:pPr>
          </w:p>
        </w:tc>
      </w:tr>
      <w:tr w:rsidR="00F57F75" w:rsidRPr="002A7A24" w:rsidTr="00164958">
        <w:tc>
          <w:tcPr>
            <w:tcW w:w="2977" w:type="dxa"/>
            <w:vMerge/>
          </w:tcPr>
          <w:p w:rsidR="00F57F75" w:rsidRPr="002A7A24" w:rsidRDefault="00F57F75" w:rsidP="004E5574">
            <w:pPr>
              <w:pStyle w:val="Tabletext"/>
              <w:rPr>
                <w:sz w:val="20"/>
                <w:szCs w:val="20"/>
              </w:rPr>
            </w:pPr>
          </w:p>
        </w:tc>
        <w:tc>
          <w:tcPr>
            <w:tcW w:w="3969" w:type="dxa"/>
          </w:tcPr>
          <w:p w:rsidR="00F57F75" w:rsidRPr="002A7A24" w:rsidRDefault="00F57F75" w:rsidP="004E5574">
            <w:pPr>
              <w:pStyle w:val="Tabletext"/>
              <w:rPr>
                <w:sz w:val="20"/>
                <w:szCs w:val="20"/>
              </w:rPr>
            </w:pPr>
            <w:r w:rsidRPr="002A7A24">
              <w:rPr>
                <w:sz w:val="20"/>
                <w:szCs w:val="20"/>
              </w:rPr>
              <w:t>Politique en matière d</w:t>
            </w:r>
            <w:r w:rsidR="00A26BFC" w:rsidRPr="002A7A24">
              <w:rPr>
                <w:sz w:val="20"/>
                <w:szCs w:val="20"/>
              </w:rPr>
              <w:t>'</w:t>
            </w:r>
            <w:r w:rsidRPr="002A7A24">
              <w:rPr>
                <w:sz w:val="20"/>
                <w:szCs w:val="20"/>
              </w:rPr>
              <w:t>activités extérieures (conflits d</w:t>
            </w:r>
            <w:r w:rsidR="00A26BFC" w:rsidRPr="002A7A24">
              <w:rPr>
                <w:sz w:val="20"/>
                <w:szCs w:val="20"/>
              </w:rPr>
              <w:t>'</w:t>
            </w:r>
            <w:r w:rsidR="004E5574" w:rsidRPr="002A7A24">
              <w:rPr>
                <w:sz w:val="20"/>
                <w:szCs w:val="20"/>
              </w:rPr>
              <w:t>intérêts).</w:t>
            </w:r>
          </w:p>
        </w:tc>
        <w:tc>
          <w:tcPr>
            <w:tcW w:w="1134" w:type="dxa"/>
            <w:vAlign w:val="center"/>
          </w:tcPr>
          <w:p w:rsidR="00F57F75" w:rsidRPr="002A7A24" w:rsidRDefault="00F57F75" w:rsidP="004E5574">
            <w:pPr>
              <w:pStyle w:val="Tabletext"/>
              <w:jc w:val="center"/>
              <w:rPr>
                <w:sz w:val="20"/>
                <w:szCs w:val="20"/>
              </w:rPr>
            </w:pPr>
            <w:r w:rsidRPr="002A7A24">
              <w:rPr>
                <w:rFonts w:ascii="Wingdings" w:hAnsi="Wingdings"/>
                <w:sz w:val="20"/>
                <w:szCs w:val="20"/>
              </w:rPr>
              <w:sym w:font="Wingdings" w:char="F0FC"/>
            </w:r>
          </w:p>
        </w:tc>
        <w:tc>
          <w:tcPr>
            <w:tcW w:w="6522" w:type="dxa"/>
            <w:vMerge/>
          </w:tcPr>
          <w:p w:rsidR="00F57F75" w:rsidRPr="002A7A24" w:rsidRDefault="00F57F75" w:rsidP="004E5574">
            <w:pPr>
              <w:pStyle w:val="Tabletext"/>
              <w:rPr>
                <w:sz w:val="20"/>
                <w:szCs w:val="20"/>
              </w:rPr>
            </w:pPr>
          </w:p>
        </w:tc>
      </w:tr>
      <w:tr w:rsidR="00F57F75" w:rsidRPr="002A7A24" w:rsidTr="00164958">
        <w:tc>
          <w:tcPr>
            <w:tcW w:w="2977" w:type="dxa"/>
            <w:vMerge/>
          </w:tcPr>
          <w:p w:rsidR="00F57F75" w:rsidRPr="002A7A24" w:rsidRDefault="00F57F75" w:rsidP="004E5574">
            <w:pPr>
              <w:pStyle w:val="Tabletext"/>
              <w:rPr>
                <w:sz w:val="20"/>
                <w:szCs w:val="20"/>
              </w:rPr>
            </w:pPr>
          </w:p>
        </w:tc>
        <w:tc>
          <w:tcPr>
            <w:tcW w:w="3969" w:type="dxa"/>
          </w:tcPr>
          <w:p w:rsidR="00F57F75" w:rsidRPr="002A7A24" w:rsidRDefault="00F57F75" w:rsidP="004E5574">
            <w:pPr>
              <w:pStyle w:val="Tabletext"/>
              <w:rPr>
                <w:sz w:val="20"/>
                <w:szCs w:val="20"/>
              </w:rPr>
            </w:pPr>
            <w:r w:rsidRPr="002A7A24">
              <w:rPr>
                <w:sz w:val="20"/>
                <w:szCs w:val="20"/>
              </w:rPr>
              <w:t>Politique de lutte contre la fraude et la corruption</w:t>
            </w:r>
            <w:r w:rsidR="004E5574" w:rsidRPr="002A7A24">
              <w:rPr>
                <w:sz w:val="20"/>
                <w:szCs w:val="20"/>
              </w:rPr>
              <w:t>.</w:t>
            </w:r>
          </w:p>
        </w:tc>
        <w:tc>
          <w:tcPr>
            <w:tcW w:w="1134" w:type="dxa"/>
            <w:vAlign w:val="center"/>
          </w:tcPr>
          <w:p w:rsidR="00F57F75" w:rsidRPr="002A7A24" w:rsidRDefault="00F57F75" w:rsidP="004E5574">
            <w:pPr>
              <w:pStyle w:val="Tabletext"/>
              <w:jc w:val="center"/>
              <w:rPr>
                <w:sz w:val="20"/>
                <w:szCs w:val="20"/>
              </w:rPr>
            </w:pPr>
            <w:r w:rsidRPr="002A7A24">
              <w:rPr>
                <w:sz w:val="20"/>
                <w:szCs w:val="20"/>
              </w:rPr>
              <w:t>En cours</w:t>
            </w:r>
          </w:p>
        </w:tc>
        <w:tc>
          <w:tcPr>
            <w:tcW w:w="6522" w:type="dxa"/>
            <w:vMerge/>
          </w:tcPr>
          <w:p w:rsidR="00F57F75" w:rsidRPr="002A7A24" w:rsidRDefault="00F57F75" w:rsidP="004E5574">
            <w:pPr>
              <w:pStyle w:val="Tabletext"/>
              <w:rPr>
                <w:sz w:val="20"/>
                <w:szCs w:val="20"/>
              </w:rPr>
            </w:pPr>
          </w:p>
        </w:tc>
      </w:tr>
      <w:tr w:rsidR="00F57F75" w:rsidRPr="002A7A24" w:rsidTr="00164958">
        <w:tc>
          <w:tcPr>
            <w:tcW w:w="2977" w:type="dxa"/>
            <w:vMerge/>
          </w:tcPr>
          <w:p w:rsidR="00F57F75" w:rsidRPr="002A7A24" w:rsidRDefault="00F57F75" w:rsidP="004E5574">
            <w:pPr>
              <w:pStyle w:val="Tabletext"/>
              <w:rPr>
                <w:sz w:val="20"/>
                <w:szCs w:val="20"/>
              </w:rPr>
            </w:pPr>
          </w:p>
        </w:tc>
        <w:tc>
          <w:tcPr>
            <w:tcW w:w="3969" w:type="dxa"/>
          </w:tcPr>
          <w:p w:rsidR="00F57F75" w:rsidRPr="002A7A24" w:rsidRDefault="00F57F75" w:rsidP="004E5574">
            <w:pPr>
              <w:pStyle w:val="Tabletext"/>
              <w:rPr>
                <w:sz w:val="20"/>
                <w:szCs w:val="20"/>
              </w:rPr>
            </w:pPr>
            <w:r w:rsidRPr="002A7A24">
              <w:rPr>
                <w:sz w:val="20"/>
                <w:szCs w:val="20"/>
              </w:rPr>
              <w:t>Formation.</w:t>
            </w:r>
          </w:p>
        </w:tc>
        <w:tc>
          <w:tcPr>
            <w:tcW w:w="1134" w:type="dxa"/>
            <w:vAlign w:val="center"/>
          </w:tcPr>
          <w:p w:rsidR="00F57F75" w:rsidRPr="002A7A24" w:rsidRDefault="00F57F75" w:rsidP="004E5574">
            <w:pPr>
              <w:pStyle w:val="Tabletext"/>
              <w:jc w:val="center"/>
              <w:rPr>
                <w:sz w:val="20"/>
                <w:szCs w:val="20"/>
              </w:rPr>
            </w:pPr>
            <w:r w:rsidRPr="002A7A24">
              <w:rPr>
                <w:sz w:val="20"/>
                <w:szCs w:val="20"/>
              </w:rPr>
              <w:t>En cours</w:t>
            </w:r>
          </w:p>
        </w:tc>
        <w:tc>
          <w:tcPr>
            <w:tcW w:w="6522" w:type="dxa"/>
            <w:vMerge/>
          </w:tcPr>
          <w:p w:rsidR="00F57F75" w:rsidRPr="002A7A24" w:rsidRDefault="00F57F75" w:rsidP="004E5574">
            <w:pPr>
              <w:pStyle w:val="Tabletext"/>
              <w:rPr>
                <w:sz w:val="20"/>
                <w:szCs w:val="20"/>
              </w:rPr>
            </w:pPr>
          </w:p>
        </w:tc>
      </w:tr>
      <w:tr w:rsidR="00F57F75" w:rsidRPr="002A7A24" w:rsidTr="00164958">
        <w:tc>
          <w:tcPr>
            <w:tcW w:w="2977" w:type="dxa"/>
            <w:vMerge w:val="restart"/>
          </w:tcPr>
          <w:p w:rsidR="00F57F75" w:rsidRPr="002A7A24" w:rsidRDefault="004E5574" w:rsidP="004E5574">
            <w:pPr>
              <w:pStyle w:val="Tabletext"/>
              <w:rPr>
                <w:sz w:val="20"/>
                <w:szCs w:val="20"/>
              </w:rPr>
            </w:pPr>
            <w:r w:rsidRPr="002A7A24">
              <w:rPr>
                <w:sz w:val="20"/>
                <w:szCs w:val="20"/>
              </w:rPr>
              <w:t>6</w:t>
            </w:r>
            <w:r w:rsidR="00F57F75" w:rsidRPr="002A7A24">
              <w:rPr>
                <w:sz w:val="20"/>
                <w:szCs w:val="20"/>
              </w:rPr>
              <w:t xml:space="preserve"> </w:t>
            </w:r>
            <w:bookmarkStart w:id="103" w:name="lt_pId201"/>
            <w:r w:rsidR="00F57F75" w:rsidRPr="002A7A24">
              <w:rPr>
                <w:sz w:val="20"/>
                <w:szCs w:val="20"/>
              </w:rPr>
              <w:t>Le non-respect des politiques/réglementations en vigueur a des conséquences claires</w:t>
            </w:r>
            <w:r w:rsidR="002A7A24">
              <w:rPr>
                <w:sz w:val="20"/>
                <w:szCs w:val="20"/>
              </w:rPr>
              <w:t>.</w:t>
            </w:r>
            <w:r w:rsidR="00F57F75" w:rsidRPr="002A7A24">
              <w:rPr>
                <w:sz w:val="20"/>
                <w:szCs w:val="20"/>
              </w:rPr>
              <w:t xml:space="preserve"> Les sanctions doivent être claires et proportionnelles et appliquées à tous les niveaux. De plus, un comportement professionnel exceptionnel doit faire l</w:t>
            </w:r>
            <w:r w:rsidR="00A26BFC" w:rsidRPr="002A7A24">
              <w:rPr>
                <w:sz w:val="20"/>
                <w:szCs w:val="20"/>
              </w:rPr>
              <w:t>'</w:t>
            </w:r>
            <w:r w:rsidR="00F57F75" w:rsidRPr="002A7A24">
              <w:rPr>
                <w:sz w:val="20"/>
                <w:szCs w:val="20"/>
              </w:rPr>
              <w:t>objet d</w:t>
            </w:r>
            <w:r w:rsidR="00A26BFC" w:rsidRPr="002A7A24">
              <w:rPr>
                <w:sz w:val="20"/>
                <w:szCs w:val="20"/>
              </w:rPr>
              <w:t>'</w:t>
            </w:r>
            <w:r w:rsidR="00F57F75" w:rsidRPr="002A7A24">
              <w:rPr>
                <w:sz w:val="20"/>
                <w:szCs w:val="20"/>
              </w:rPr>
              <w:t>une reconnaissance/récompense/</w:t>
            </w:r>
            <w:r w:rsidRPr="002A7A24">
              <w:rPr>
                <w:sz w:val="20"/>
                <w:szCs w:val="20"/>
              </w:rPr>
              <w:br/>
            </w:r>
            <w:r w:rsidR="00F57F75" w:rsidRPr="002A7A24">
              <w:rPr>
                <w:sz w:val="20"/>
                <w:szCs w:val="20"/>
              </w:rPr>
              <w:t>prime</w:t>
            </w:r>
            <w:bookmarkEnd w:id="103"/>
            <w:r w:rsidRPr="002A7A24">
              <w:rPr>
                <w:sz w:val="20"/>
                <w:szCs w:val="20"/>
              </w:rPr>
              <w:t>.</w:t>
            </w:r>
          </w:p>
        </w:tc>
        <w:tc>
          <w:tcPr>
            <w:tcW w:w="3969" w:type="dxa"/>
          </w:tcPr>
          <w:p w:rsidR="00F57F75" w:rsidRPr="002A7A24" w:rsidRDefault="00F57F75" w:rsidP="004E5574">
            <w:pPr>
              <w:pStyle w:val="Tabletext"/>
              <w:rPr>
                <w:sz w:val="20"/>
                <w:szCs w:val="20"/>
              </w:rPr>
            </w:pPr>
            <w:r w:rsidRPr="002A7A24">
              <w:rPr>
                <w:sz w:val="20"/>
                <w:szCs w:val="20"/>
              </w:rPr>
              <w:t>Documents directifs sur les sanction</w:t>
            </w:r>
            <w:r w:rsidR="004E5574" w:rsidRPr="002A7A24">
              <w:rPr>
                <w:sz w:val="20"/>
                <w:szCs w:val="20"/>
              </w:rPr>
              <w:t>s et les mesures disciplinaires.</w:t>
            </w:r>
          </w:p>
        </w:tc>
        <w:tc>
          <w:tcPr>
            <w:tcW w:w="1134" w:type="dxa"/>
            <w:vAlign w:val="center"/>
          </w:tcPr>
          <w:p w:rsidR="00F57F75" w:rsidRPr="002A7A24" w:rsidRDefault="00F57F75" w:rsidP="004E5574">
            <w:pPr>
              <w:pStyle w:val="Tabletext"/>
              <w:jc w:val="center"/>
              <w:rPr>
                <w:sz w:val="20"/>
                <w:szCs w:val="20"/>
              </w:rPr>
            </w:pPr>
            <w:r w:rsidRPr="002A7A24">
              <w:rPr>
                <w:sz w:val="20"/>
                <w:szCs w:val="20"/>
              </w:rPr>
              <w:t>Sans objet</w:t>
            </w:r>
          </w:p>
        </w:tc>
        <w:tc>
          <w:tcPr>
            <w:tcW w:w="6522" w:type="dxa"/>
          </w:tcPr>
          <w:p w:rsidR="00F57F75" w:rsidRPr="002A7A24" w:rsidRDefault="00F57F75" w:rsidP="004E5574">
            <w:pPr>
              <w:pStyle w:val="Tabletext"/>
              <w:rPr>
                <w:sz w:val="20"/>
                <w:szCs w:val="20"/>
              </w:rPr>
            </w:pPr>
            <w:bookmarkStart w:id="104" w:name="lt_pId206"/>
            <w:r w:rsidRPr="002A7A24">
              <w:rPr>
                <w:sz w:val="20"/>
                <w:szCs w:val="20"/>
              </w:rPr>
              <w:t>Le Chapitre</w:t>
            </w:r>
            <w:r w:rsidR="00A26BFC" w:rsidRPr="002A7A24">
              <w:rPr>
                <w:sz w:val="20"/>
                <w:szCs w:val="20"/>
              </w:rPr>
              <w:t xml:space="preserve"> </w:t>
            </w:r>
            <w:r w:rsidRPr="002A7A24">
              <w:rPr>
                <w:sz w:val="20"/>
                <w:szCs w:val="20"/>
              </w:rPr>
              <w:t>X des</w:t>
            </w:r>
            <w:r w:rsidR="00A26BFC" w:rsidRPr="002A7A24">
              <w:rPr>
                <w:sz w:val="20"/>
                <w:szCs w:val="20"/>
              </w:rPr>
              <w:t xml:space="preserve"> </w:t>
            </w:r>
            <w:r w:rsidRPr="002A7A24">
              <w:rPr>
                <w:sz w:val="20"/>
                <w:szCs w:val="20"/>
              </w:rPr>
              <w:t>Statut et Règlement du personnel est appliqué.</w:t>
            </w:r>
            <w:bookmarkEnd w:id="104"/>
          </w:p>
        </w:tc>
      </w:tr>
      <w:tr w:rsidR="00F57F75" w:rsidRPr="002A7A24" w:rsidTr="00164958">
        <w:tc>
          <w:tcPr>
            <w:tcW w:w="2977" w:type="dxa"/>
            <w:vMerge/>
          </w:tcPr>
          <w:p w:rsidR="00F57F75" w:rsidRPr="002A7A24" w:rsidRDefault="00F57F75" w:rsidP="004E5574">
            <w:pPr>
              <w:pStyle w:val="Tabletext"/>
              <w:rPr>
                <w:sz w:val="20"/>
                <w:szCs w:val="20"/>
              </w:rPr>
            </w:pPr>
          </w:p>
        </w:tc>
        <w:tc>
          <w:tcPr>
            <w:tcW w:w="3969" w:type="dxa"/>
          </w:tcPr>
          <w:p w:rsidR="00F57F75" w:rsidRPr="002A7A24" w:rsidRDefault="00F57F75" w:rsidP="004E5574">
            <w:pPr>
              <w:pStyle w:val="Tabletext"/>
              <w:rPr>
                <w:sz w:val="20"/>
                <w:szCs w:val="20"/>
              </w:rPr>
            </w:pPr>
            <w:r w:rsidRPr="002A7A24">
              <w:rPr>
                <w:sz w:val="20"/>
                <w:szCs w:val="20"/>
              </w:rPr>
              <w:t>Publication dans les rapports annuels des sanctions imposées par le chef du secrétariat</w:t>
            </w:r>
            <w:r w:rsidR="004E5574" w:rsidRPr="002A7A24">
              <w:rPr>
                <w:sz w:val="20"/>
                <w:szCs w:val="20"/>
              </w:rPr>
              <w:t>.</w:t>
            </w:r>
          </w:p>
        </w:tc>
        <w:tc>
          <w:tcPr>
            <w:tcW w:w="1134" w:type="dxa"/>
            <w:vAlign w:val="center"/>
          </w:tcPr>
          <w:p w:rsidR="00F57F75" w:rsidRPr="002A7A24" w:rsidRDefault="00F57F75" w:rsidP="004E5574">
            <w:pPr>
              <w:pStyle w:val="Tabletext"/>
              <w:jc w:val="center"/>
              <w:rPr>
                <w:sz w:val="20"/>
                <w:szCs w:val="20"/>
              </w:rPr>
            </w:pPr>
            <w:r w:rsidRPr="002A7A24">
              <w:rPr>
                <w:sz w:val="20"/>
                <w:szCs w:val="20"/>
              </w:rPr>
              <w:t>Pas appliqué</w:t>
            </w:r>
          </w:p>
        </w:tc>
        <w:tc>
          <w:tcPr>
            <w:tcW w:w="6522" w:type="dxa"/>
            <w:vAlign w:val="center"/>
          </w:tcPr>
          <w:p w:rsidR="00F57F75" w:rsidRPr="002A7A24" w:rsidRDefault="00F57F75" w:rsidP="004E5574">
            <w:pPr>
              <w:pStyle w:val="Tabletext"/>
              <w:rPr>
                <w:sz w:val="20"/>
                <w:szCs w:val="20"/>
              </w:rPr>
            </w:pPr>
            <w:bookmarkStart w:id="105" w:name="lt_pId209"/>
            <w:r w:rsidRPr="002A7A24">
              <w:rPr>
                <w:sz w:val="20"/>
                <w:szCs w:val="20"/>
              </w:rPr>
              <w:t>Ces dispositions ne sont pas imposées par les instruments fondamentaux de l</w:t>
            </w:r>
            <w:r w:rsidR="00A26BFC" w:rsidRPr="002A7A24">
              <w:rPr>
                <w:sz w:val="20"/>
                <w:szCs w:val="20"/>
              </w:rPr>
              <w:t>'</w:t>
            </w:r>
            <w:r w:rsidRPr="002A7A24">
              <w:rPr>
                <w:sz w:val="20"/>
                <w:szCs w:val="20"/>
              </w:rPr>
              <w:t>UIT</w:t>
            </w:r>
            <w:bookmarkEnd w:id="105"/>
            <w:r w:rsidR="004E5574" w:rsidRPr="002A7A24">
              <w:rPr>
                <w:sz w:val="20"/>
                <w:szCs w:val="20"/>
              </w:rPr>
              <w:t>.</w:t>
            </w:r>
          </w:p>
        </w:tc>
      </w:tr>
      <w:tr w:rsidR="00F57F75" w:rsidRPr="002A7A24" w:rsidTr="00164958">
        <w:tc>
          <w:tcPr>
            <w:tcW w:w="2977" w:type="dxa"/>
            <w:vMerge/>
          </w:tcPr>
          <w:p w:rsidR="00F57F75" w:rsidRPr="002A7A24" w:rsidRDefault="00F57F75" w:rsidP="004E5574">
            <w:pPr>
              <w:pStyle w:val="Tabletext"/>
              <w:rPr>
                <w:sz w:val="20"/>
                <w:szCs w:val="20"/>
              </w:rPr>
            </w:pPr>
          </w:p>
        </w:tc>
        <w:tc>
          <w:tcPr>
            <w:tcW w:w="3969" w:type="dxa"/>
          </w:tcPr>
          <w:p w:rsidR="00F57F75" w:rsidRPr="002A7A24" w:rsidRDefault="00F57F75" w:rsidP="004E5574">
            <w:pPr>
              <w:pStyle w:val="Tabletext"/>
              <w:rPr>
                <w:sz w:val="20"/>
                <w:szCs w:val="20"/>
              </w:rPr>
            </w:pPr>
            <w:r w:rsidRPr="002A7A24">
              <w:rPr>
                <w:sz w:val="20"/>
                <w:szCs w:val="20"/>
              </w:rPr>
              <w:t>Programmes de récompenses/primes attribuées par des comités/groupes sur l</w:t>
            </w:r>
            <w:r w:rsidR="004E5574" w:rsidRPr="002A7A24">
              <w:rPr>
                <w:sz w:val="20"/>
                <w:szCs w:val="20"/>
              </w:rPr>
              <w:t>a base de critères bien définis.</w:t>
            </w:r>
          </w:p>
        </w:tc>
        <w:tc>
          <w:tcPr>
            <w:tcW w:w="1134" w:type="dxa"/>
            <w:vAlign w:val="center"/>
          </w:tcPr>
          <w:p w:rsidR="00F57F75" w:rsidRPr="002A7A24" w:rsidRDefault="00F57F75" w:rsidP="004E5574">
            <w:pPr>
              <w:pStyle w:val="Tabletext"/>
              <w:jc w:val="center"/>
              <w:rPr>
                <w:sz w:val="20"/>
                <w:szCs w:val="20"/>
              </w:rPr>
            </w:pPr>
            <w:r w:rsidRPr="002A7A24">
              <w:rPr>
                <w:rFonts w:ascii="Wingdings" w:hAnsi="Wingdings"/>
                <w:sz w:val="20"/>
                <w:szCs w:val="20"/>
              </w:rPr>
              <w:sym w:font="Wingdings" w:char="F0FC"/>
            </w:r>
          </w:p>
        </w:tc>
        <w:tc>
          <w:tcPr>
            <w:tcW w:w="6522" w:type="dxa"/>
            <w:vMerge w:val="restart"/>
            <w:vAlign w:val="center"/>
          </w:tcPr>
          <w:p w:rsidR="00F57F75" w:rsidRPr="002A7A24" w:rsidRDefault="00F57F75" w:rsidP="004E5574">
            <w:pPr>
              <w:pStyle w:val="Tabletext"/>
              <w:rPr>
                <w:sz w:val="20"/>
                <w:szCs w:val="20"/>
              </w:rPr>
            </w:pPr>
            <w:bookmarkStart w:id="106" w:name="lt_pId211"/>
            <w:r w:rsidRPr="002A7A24">
              <w:rPr>
                <w:sz w:val="20"/>
                <w:szCs w:val="20"/>
              </w:rPr>
              <w:t>Des primes annuelles sont accordées et publiées afin de</w:t>
            </w:r>
            <w:r w:rsidR="00A26BFC" w:rsidRPr="002A7A24">
              <w:rPr>
                <w:sz w:val="20"/>
                <w:szCs w:val="20"/>
              </w:rPr>
              <w:t xml:space="preserve"> </w:t>
            </w:r>
            <w:r w:rsidRPr="002A7A24">
              <w:rPr>
                <w:sz w:val="20"/>
                <w:szCs w:val="20"/>
              </w:rPr>
              <w:t>récompenser des fonctionnaires pour leur comportement professionnel exceptionnel</w:t>
            </w:r>
            <w:bookmarkEnd w:id="106"/>
            <w:r w:rsidR="004E5574" w:rsidRPr="002A7A24">
              <w:rPr>
                <w:sz w:val="20"/>
                <w:szCs w:val="20"/>
              </w:rPr>
              <w:t>.</w:t>
            </w:r>
          </w:p>
        </w:tc>
      </w:tr>
      <w:tr w:rsidR="00F57F75" w:rsidRPr="002A7A24" w:rsidTr="00164958">
        <w:tc>
          <w:tcPr>
            <w:tcW w:w="2977" w:type="dxa"/>
            <w:vMerge/>
          </w:tcPr>
          <w:p w:rsidR="00F57F75" w:rsidRPr="002A7A24" w:rsidRDefault="00F57F75" w:rsidP="004E5574">
            <w:pPr>
              <w:pStyle w:val="Tabletext"/>
              <w:rPr>
                <w:sz w:val="20"/>
                <w:szCs w:val="20"/>
              </w:rPr>
            </w:pPr>
          </w:p>
        </w:tc>
        <w:tc>
          <w:tcPr>
            <w:tcW w:w="3969" w:type="dxa"/>
          </w:tcPr>
          <w:p w:rsidR="00F57F75" w:rsidRPr="002A7A24" w:rsidRDefault="00F57F75" w:rsidP="004E5574">
            <w:pPr>
              <w:pStyle w:val="Tabletext"/>
              <w:rPr>
                <w:sz w:val="20"/>
                <w:szCs w:val="20"/>
              </w:rPr>
            </w:pPr>
            <w:r w:rsidRPr="002A7A24">
              <w:rPr>
                <w:sz w:val="20"/>
                <w:szCs w:val="20"/>
              </w:rPr>
              <w:t>Publication du nom des fonctionnaires ayant re</w:t>
            </w:r>
            <w:r w:rsidR="004E5574" w:rsidRPr="002A7A24">
              <w:rPr>
                <w:sz w:val="20"/>
                <w:szCs w:val="20"/>
              </w:rPr>
              <w:t>çu une récompense ou une prime.</w:t>
            </w:r>
          </w:p>
        </w:tc>
        <w:tc>
          <w:tcPr>
            <w:tcW w:w="1134" w:type="dxa"/>
            <w:vAlign w:val="center"/>
          </w:tcPr>
          <w:p w:rsidR="00F57F75" w:rsidRPr="002A7A24" w:rsidRDefault="00F57F75" w:rsidP="004E5574">
            <w:pPr>
              <w:pStyle w:val="Tabletext"/>
              <w:jc w:val="center"/>
              <w:rPr>
                <w:sz w:val="20"/>
                <w:szCs w:val="20"/>
              </w:rPr>
            </w:pPr>
            <w:r w:rsidRPr="002A7A24">
              <w:rPr>
                <w:rFonts w:ascii="Wingdings" w:hAnsi="Wingdings"/>
                <w:sz w:val="20"/>
                <w:szCs w:val="20"/>
              </w:rPr>
              <w:sym w:font="Wingdings" w:char="F0FC"/>
            </w:r>
          </w:p>
        </w:tc>
        <w:tc>
          <w:tcPr>
            <w:tcW w:w="6522" w:type="dxa"/>
            <w:vMerge/>
          </w:tcPr>
          <w:p w:rsidR="00F57F75" w:rsidRPr="002A7A24" w:rsidRDefault="00F57F75" w:rsidP="004E5574">
            <w:pPr>
              <w:pStyle w:val="Tabletext"/>
              <w:rPr>
                <w:sz w:val="20"/>
                <w:szCs w:val="20"/>
              </w:rPr>
            </w:pPr>
          </w:p>
        </w:tc>
      </w:tr>
      <w:tr w:rsidR="00F57F75" w:rsidRPr="002A7A24" w:rsidTr="00164958">
        <w:trPr>
          <w:cantSplit/>
        </w:trPr>
        <w:tc>
          <w:tcPr>
            <w:tcW w:w="2977" w:type="dxa"/>
            <w:vMerge w:val="restart"/>
          </w:tcPr>
          <w:p w:rsidR="00F57F75" w:rsidRPr="002A7A24" w:rsidRDefault="004E5574" w:rsidP="004E5574">
            <w:pPr>
              <w:pStyle w:val="Tabletext"/>
              <w:rPr>
                <w:sz w:val="20"/>
                <w:szCs w:val="20"/>
              </w:rPr>
            </w:pPr>
            <w:r w:rsidRPr="002A7A24">
              <w:rPr>
                <w:sz w:val="20"/>
                <w:szCs w:val="20"/>
              </w:rPr>
              <w:t>7</w:t>
            </w:r>
            <w:r w:rsidR="00F57F75" w:rsidRPr="002A7A24">
              <w:rPr>
                <w:sz w:val="20"/>
                <w:szCs w:val="20"/>
              </w:rPr>
              <w:t xml:space="preserve"> Tous les fonctionnaires peuvent être amenés à rendre compte de </w:t>
            </w:r>
            <w:r w:rsidR="00F57F75" w:rsidRPr="002A7A24">
              <w:rPr>
                <w:sz w:val="20"/>
                <w:szCs w:val="20"/>
              </w:rPr>
              <w:lastRenderedPageBreak/>
              <w:t>leur travail sur la base de définitions d</w:t>
            </w:r>
            <w:r w:rsidR="00A26BFC" w:rsidRPr="002A7A24">
              <w:rPr>
                <w:sz w:val="20"/>
                <w:szCs w:val="20"/>
              </w:rPr>
              <w:t>'</w:t>
            </w:r>
            <w:r w:rsidR="00F57F75" w:rsidRPr="002A7A24">
              <w:rPr>
                <w:sz w:val="20"/>
                <w:szCs w:val="20"/>
              </w:rPr>
              <w:t>emploi écrites et à jour qui reflètent exactement le travail qu</w:t>
            </w:r>
            <w:r w:rsidR="00A26BFC" w:rsidRPr="002A7A24">
              <w:rPr>
                <w:sz w:val="20"/>
                <w:szCs w:val="20"/>
              </w:rPr>
              <w:t>'</w:t>
            </w:r>
            <w:r w:rsidR="00F57F75" w:rsidRPr="002A7A24">
              <w:rPr>
                <w:sz w:val="20"/>
                <w:szCs w:val="20"/>
              </w:rPr>
              <w:t>ils accomplissent effectivement</w:t>
            </w:r>
            <w:r w:rsidRPr="002A7A24">
              <w:rPr>
                <w:sz w:val="20"/>
                <w:szCs w:val="20"/>
              </w:rPr>
              <w:t>.</w:t>
            </w:r>
          </w:p>
        </w:tc>
        <w:tc>
          <w:tcPr>
            <w:tcW w:w="3969" w:type="dxa"/>
          </w:tcPr>
          <w:p w:rsidR="00F57F75" w:rsidRPr="002A7A24" w:rsidRDefault="00F57F75" w:rsidP="004E5574">
            <w:pPr>
              <w:pStyle w:val="Tabletext"/>
              <w:rPr>
                <w:sz w:val="20"/>
                <w:szCs w:val="20"/>
              </w:rPr>
            </w:pPr>
            <w:r w:rsidRPr="002A7A24">
              <w:rPr>
                <w:sz w:val="20"/>
                <w:szCs w:val="20"/>
              </w:rPr>
              <w:lastRenderedPageBreak/>
              <w:t>Définitions d</w:t>
            </w:r>
            <w:r w:rsidR="00A26BFC" w:rsidRPr="002A7A24">
              <w:rPr>
                <w:sz w:val="20"/>
                <w:szCs w:val="20"/>
              </w:rPr>
              <w:t>'</w:t>
            </w:r>
            <w:r w:rsidRPr="002A7A24">
              <w:rPr>
                <w:sz w:val="20"/>
                <w:szCs w:val="20"/>
              </w:rPr>
              <w:t>emploi pour l</w:t>
            </w:r>
            <w:r w:rsidR="00A26BFC" w:rsidRPr="002A7A24">
              <w:rPr>
                <w:sz w:val="20"/>
                <w:szCs w:val="20"/>
              </w:rPr>
              <w:t>'</w:t>
            </w:r>
            <w:r w:rsidR="004E5574" w:rsidRPr="002A7A24">
              <w:rPr>
                <w:sz w:val="20"/>
                <w:szCs w:val="20"/>
              </w:rPr>
              <w:t>ensemble du personnel.</w:t>
            </w:r>
          </w:p>
        </w:tc>
        <w:tc>
          <w:tcPr>
            <w:tcW w:w="1134" w:type="dxa"/>
            <w:vAlign w:val="center"/>
          </w:tcPr>
          <w:p w:rsidR="00F57F75" w:rsidRPr="002A7A24" w:rsidRDefault="00F57F75" w:rsidP="004E5574">
            <w:pPr>
              <w:pStyle w:val="Tabletext"/>
              <w:jc w:val="center"/>
              <w:rPr>
                <w:sz w:val="20"/>
                <w:szCs w:val="20"/>
              </w:rPr>
            </w:pPr>
            <w:r w:rsidRPr="002A7A24">
              <w:rPr>
                <w:rFonts w:ascii="Wingdings" w:hAnsi="Wingdings"/>
                <w:sz w:val="20"/>
                <w:szCs w:val="20"/>
              </w:rPr>
              <w:sym w:font="Wingdings" w:char="F0FC"/>
            </w:r>
          </w:p>
        </w:tc>
        <w:tc>
          <w:tcPr>
            <w:tcW w:w="6522" w:type="dxa"/>
            <w:vMerge w:val="restart"/>
            <w:vAlign w:val="center"/>
          </w:tcPr>
          <w:p w:rsidR="00F57F75" w:rsidRPr="002A7A24" w:rsidRDefault="00F57F75" w:rsidP="004E5574">
            <w:pPr>
              <w:pStyle w:val="Tabletext"/>
              <w:rPr>
                <w:sz w:val="20"/>
                <w:szCs w:val="20"/>
              </w:rPr>
            </w:pPr>
            <w:bookmarkStart w:id="107" w:name="lt_pId216"/>
            <w:r w:rsidRPr="002A7A24">
              <w:rPr>
                <w:sz w:val="20"/>
                <w:szCs w:val="20"/>
              </w:rPr>
              <w:t>Bien qu</w:t>
            </w:r>
            <w:r w:rsidR="00A26BFC" w:rsidRPr="002A7A24">
              <w:rPr>
                <w:sz w:val="20"/>
                <w:szCs w:val="20"/>
              </w:rPr>
              <w:t>'</w:t>
            </w:r>
            <w:r w:rsidRPr="002A7A24">
              <w:rPr>
                <w:sz w:val="20"/>
                <w:szCs w:val="20"/>
              </w:rPr>
              <w:t>il ne soit</w:t>
            </w:r>
            <w:r w:rsidR="00A26BFC" w:rsidRPr="002A7A24">
              <w:rPr>
                <w:sz w:val="20"/>
                <w:szCs w:val="20"/>
              </w:rPr>
              <w:t xml:space="preserve"> </w:t>
            </w:r>
            <w:r w:rsidRPr="002A7A24">
              <w:rPr>
                <w:sz w:val="20"/>
                <w:szCs w:val="20"/>
              </w:rPr>
              <w:t>pas toujours facile d</w:t>
            </w:r>
            <w:r w:rsidR="00A26BFC" w:rsidRPr="002A7A24">
              <w:rPr>
                <w:sz w:val="20"/>
                <w:szCs w:val="20"/>
              </w:rPr>
              <w:t>'</w:t>
            </w:r>
            <w:r w:rsidRPr="002A7A24">
              <w:rPr>
                <w:sz w:val="20"/>
                <w:szCs w:val="20"/>
              </w:rPr>
              <w:t>obtenir une parfaite correspondance entre le travail effectif et la description d</w:t>
            </w:r>
            <w:r w:rsidR="00A26BFC" w:rsidRPr="002A7A24">
              <w:rPr>
                <w:sz w:val="20"/>
                <w:szCs w:val="20"/>
              </w:rPr>
              <w:t>'</w:t>
            </w:r>
            <w:r w:rsidRPr="002A7A24">
              <w:rPr>
                <w:sz w:val="20"/>
                <w:szCs w:val="20"/>
              </w:rPr>
              <w:t>emploi,</w:t>
            </w:r>
            <w:r w:rsidR="00A26BFC" w:rsidRPr="002A7A24">
              <w:rPr>
                <w:sz w:val="20"/>
                <w:szCs w:val="20"/>
              </w:rPr>
              <w:t xml:space="preserve"> </w:t>
            </w:r>
            <w:r w:rsidRPr="002A7A24">
              <w:rPr>
                <w:sz w:val="20"/>
                <w:szCs w:val="20"/>
              </w:rPr>
              <w:t>l'évaluation</w:t>
            </w:r>
            <w:r w:rsidR="00A26BFC" w:rsidRPr="002A7A24">
              <w:rPr>
                <w:sz w:val="20"/>
                <w:szCs w:val="20"/>
              </w:rPr>
              <w:t xml:space="preserve"> </w:t>
            </w:r>
            <w:r w:rsidRPr="002A7A24">
              <w:rPr>
                <w:sz w:val="20"/>
                <w:szCs w:val="20"/>
              </w:rPr>
              <w:t>annuelle</w:t>
            </w:r>
            <w:r w:rsidR="004E5574" w:rsidRPr="002A7A24">
              <w:rPr>
                <w:sz w:val="20"/>
                <w:szCs w:val="20"/>
              </w:rPr>
              <w:t xml:space="preserve"> du </w:t>
            </w:r>
            <w:r w:rsidR="004E5574" w:rsidRPr="002A7A24">
              <w:rPr>
                <w:sz w:val="20"/>
                <w:szCs w:val="20"/>
              </w:rPr>
              <w:lastRenderedPageBreak/>
              <w:t>comportement professionnel définit</w:t>
            </w:r>
            <w:r w:rsidR="00A26BFC" w:rsidRPr="002A7A24">
              <w:rPr>
                <w:sz w:val="20"/>
                <w:szCs w:val="20"/>
              </w:rPr>
              <w:t xml:space="preserve"> </w:t>
            </w:r>
            <w:r w:rsidRPr="002A7A24">
              <w:rPr>
                <w:sz w:val="20"/>
                <w:szCs w:val="20"/>
              </w:rPr>
              <w:t>les objectifs et les tâches réalisées au jour le jour par les fonctionnaires ainsi que leur participation aux comités statutaires et aux groupes d</w:t>
            </w:r>
            <w:r w:rsidR="00A26BFC" w:rsidRPr="002A7A24">
              <w:rPr>
                <w:sz w:val="20"/>
                <w:szCs w:val="20"/>
              </w:rPr>
              <w:t>'</w:t>
            </w:r>
            <w:r w:rsidRPr="002A7A24">
              <w:rPr>
                <w:sz w:val="20"/>
                <w:szCs w:val="20"/>
              </w:rPr>
              <w:t>action</w:t>
            </w:r>
            <w:bookmarkEnd w:id="107"/>
            <w:r w:rsidR="004E5574" w:rsidRPr="002A7A24">
              <w:rPr>
                <w:sz w:val="20"/>
                <w:szCs w:val="20"/>
              </w:rPr>
              <w:t>.</w:t>
            </w:r>
          </w:p>
        </w:tc>
      </w:tr>
      <w:tr w:rsidR="00F57F75" w:rsidRPr="002A7A24" w:rsidTr="00164958">
        <w:trPr>
          <w:trHeight w:val="732"/>
        </w:trPr>
        <w:tc>
          <w:tcPr>
            <w:tcW w:w="2977" w:type="dxa"/>
            <w:vMerge/>
          </w:tcPr>
          <w:p w:rsidR="00F57F75" w:rsidRPr="002A7A24" w:rsidRDefault="00F57F75" w:rsidP="004E5574">
            <w:pPr>
              <w:pStyle w:val="Tabletext"/>
              <w:rPr>
                <w:sz w:val="20"/>
                <w:szCs w:val="20"/>
              </w:rPr>
            </w:pPr>
          </w:p>
        </w:tc>
        <w:tc>
          <w:tcPr>
            <w:tcW w:w="3969" w:type="dxa"/>
          </w:tcPr>
          <w:p w:rsidR="00F57F75" w:rsidRPr="002A7A24" w:rsidRDefault="00F57F75" w:rsidP="004E5574">
            <w:pPr>
              <w:pStyle w:val="Tabletext"/>
              <w:rPr>
                <w:sz w:val="20"/>
                <w:szCs w:val="20"/>
              </w:rPr>
            </w:pPr>
            <w:r w:rsidRPr="002A7A24">
              <w:rPr>
                <w:sz w:val="20"/>
                <w:szCs w:val="20"/>
              </w:rPr>
              <w:t>Définitions d</w:t>
            </w:r>
            <w:r w:rsidR="00A26BFC" w:rsidRPr="002A7A24">
              <w:rPr>
                <w:sz w:val="20"/>
                <w:szCs w:val="20"/>
              </w:rPr>
              <w:t>'</w:t>
            </w:r>
            <w:r w:rsidRPr="002A7A24">
              <w:rPr>
                <w:sz w:val="20"/>
                <w:szCs w:val="20"/>
              </w:rPr>
              <w:t>emploi correspondant au travail effectué quotidiennement.</w:t>
            </w:r>
          </w:p>
        </w:tc>
        <w:tc>
          <w:tcPr>
            <w:tcW w:w="1134" w:type="dxa"/>
            <w:shd w:val="clear" w:color="auto" w:fill="FFFFFF" w:themeFill="background1"/>
            <w:vAlign w:val="center"/>
          </w:tcPr>
          <w:p w:rsidR="00F57F75" w:rsidRPr="002A7A24" w:rsidRDefault="00F57F75" w:rsidP="004E5574">
            <w:pPr>
              <w:pStyle w:val="Tabletext"/>
              <w:jc w:val="center"/>
              <w:rPr>
                <w:sz w:val="20"/>
                <w:szCs w:val="20"/>
              </w:rPr>
            </w:pPr>
            <w:r w:rsidRPr="002A7A24">
              <w:rPr>
                <w:sz w:val="20"/>
                <w:szCs w:val="20"/>
              </w:rPr>
              <w:t>En cours</w:t>
            </w:r>
          </w:p>
        </w:tc>
        <w:tc>
          <w:tcPr>
            <w:tcW w:w="6522" w:type="dxa"/>
            <w:vMerge/>
          </w:tcPr>
          <w:p w:rsidR="00F57F75" w:rsidRPr="002A7A24" w:rsidRDefault="00F57F75" w:rsidP="004E5574">
            <w:pPr>
              <w:pStyle w:val="Tabletext"/>
              <w:rPr>
                <w:sz w:val="20"/>
                <w:szCs w:val="20"/>
              </w:rPr>
            </w:pPr>
          </w:p>
        </w:tc>
      </w:tr>
      <w:tr w:rsidR="00F57F75" w:rsidRPr="002A7A24" w:rsidTr="00164958">
        <w:trPr>
          <w:trHeight w:val="218"/>
        </w:trPr>
        <w:tc>
          <w:tcPr>
            <w:tcW w:w="2977" w:type="dxa"/>
            <w:vMerge w:val="restart"/>
          </w:tcPr>
          <w:p w:rsidR="00F57F75" w:rsidRPr="002A7A24" w:rsidRDefault="004E5574" w:rsidP="004E5574">
            <w:pPr>
              <w:pStyle w:val="Tabletext"/>
              <w:rPr>
                <w:sz w:val="20"/>
                <w:szCs w:val="20"/>
              </w:rPr>
            </w:pPr>
            <w:r w:rsidRPr="002A7A24">
              <w:rPr>
                <w:sz w:val="20"/>
                <w:szCs w:val="20"/>
              </w:rPr>
              <w:t>8</w:t>
            </w:r>
            <w:r w:rsidR="00F57F75" w:rsidRPr="002A7A24">
              <w:rPr>
                <w:sz w:val="20"/>
                <w:szCs w:val="20"/>
              </w:rPr>
              <w:t xml:space="preserve"> Concrétisation de politiques en matière de sélection, de recrutement et de réemploi de fonctionnaires ayant quitté l</w:t>
            </w:r>
            <w:r w:rsidR="00A26BFC" w:rsidRPr="002A7A24">
              <w:rPr>
                <w:sz w:val="20"/>
                <w:szCs w:val="20"/>
              </w:rPr>
              <w:t>'</w:t>
            </w:r>
            <w:r w:rsidR="00F57F75" w:rsidRPr="002A7A24">
              <w:rPr>
                <w:sz w:val="20"/>
                <w:szCs w:val="20"/>
              </w:rPr>
              <w:t>organisation.</w:t>
            </w:r>
          </w:p>
        </w:tc>
        <w:tc>
          <w:tcPr>
            <w:tcW w:w="3969" w:type="dxa"/>
            <w:shd w:val="clear" w:color="auto" w:fill="auto"/>
          </w:tcPr>
          <w:p w:rsidR="00F57F75" w:rsidRPr="002A7A24" w:rsidRDefault="00F57F75" w:rsidP="004E5574">
            <w:pPr>
              <w:pStyle w:val="Tabletext"/>
              <w:rPr>
                <w:sz w:val="20"/>
                <w:szCs w:val="20"/>
              </w:rPr>
            </w:pPr>
            <w:r w:rsidRPr="002A7A24">
              <w:rPr>
                <w:sz w:val="20"/>
                <w:szCs w:val="20"/>
              </w:rPr>
              <w:t>Politique de recrutement limitant le recrutement de membres de la famill</w:t>
            </w:r>
            <w:r w:rsidR="004E5574" w:rsidRPr="002A7A24">
              <w:rPr>
                <w:sz w:val="20"/>
                <w:szCs w:val="20"/>
              </w:rPr>
              <w:t>e et parents des fonctionnaires.</w:t>
            </w:r>
          </w:p>
        </w:tc>
        <w:tc>
          <w:tcPr>
            <w:tcW w:w="1134" w:type="dxa"/>
            <w:shd w:val="clear" w:color="auto" w:fill="auto"/>
            <w:vAlign w:val="center"/>
          </w:tcPr>
          <w:p w:rsidR="00F57F75" w:rsidRPr="002A7A24" w:rsidRDefault="00F57F75" w:rsidP="004E5574">
            <w:pPr>
              <w:pStyle w:val="Tabletext"/>
              <w:jc w:val="center"/>
              <w:rPr>
                <w:sz w:val="20"/>
                <w:szCs w:val="20"/>
              </w:rPr>
            </w:pPr>
            <w:r w:rsidRPr="002A7A24">
              <w:rPr>
                <w:rFonts w:ascii="Wingdings" w:hAnsi="Wingdings"/>
                <w:sz w:val="20"/>
                <w:szCs w:val="20"/>
              </w:rPr>
              <w:sym w:font="Wingdings" w:char="F0FC"/>
            </w:r>
          </w:p>
        </w:tc>
        <w:tc>
          <w:tcPr>
            <w:tcW w:w="6522" w:type="dxa"/>
            <w:shd w:val="clear" w:color="auto" w:fill="auto"/>
            <w:vAlign w:val="center"/>
          </w:tcPr>
          <w:p w:rsidR="00F57F75" w:rsidRPr="002A7A24" w:rsidRDefault="00F57F75" w:rsidP="004E5574">
            <w:pPr>
              <w:pStyle w:val="Tabletext"/>
              <w:rPr>
                <w:sz w:val="20"/>
                <w:szCs w:val="20"/>
              </w:rPr>
            </w:pPr>
            <w:bookmarkStart w:id="108" w:name="lt_pId222"/>
            <w:r w:rsidRPr="002A7A24">
              <w:rPr>
                <w:sz w:val="20"/>
                <w:szCs w:val="20"/>
              </w:rPr>
              <w:t>Disposition 4.7.1 des</w:t>
            </w:r>
            <w:r w:rsidR="00A26BFC" w:rsidRPr="002A7A24">
              <w:rPr>
                <w:sz w:val="20"/>
                <w:szCs w:val="20"/>
              </w:rPr>
              <w:t xml:space="preserve"> </w:t>
            </w:r>
            <w:r w:rsidRPr="002A7A24">
              <w:rPr>
                <w:sz w:val="20"/>
                <w:szCs w:val="20"/>
              </w:rPr>
              <w:t>Statut et Règlement du personnel</w:t>
            </w:r>
            <w:bookmarkEnd w:id="108"/>
            <w:r w:rsidR="004E5574" w:rsidRPr="002A7A24">
              <w:rPr>
                <w:sz w:val="20"/>
                <w:szCs w:val="20"/>
              </w:rPr>
              <w:t>.</w:t>
            </w:r>
          </w:p>
        </w:tc>
      </w:tr>
      <w:tr w:rsidR="00F57F75" w:rsidRPr="002A7A24" w:rsidTr="00164958">
        <w:trPr>
          <w:trHeight w:val="217"/>
        </w:trPr>
        <w:tc>
          <w:tcPr>
            <w:tcW w:w="2977" w:type="dxa"/>
            <w:vMerge/>
          </w:tcPr>
          <w:p w:rsidR="00F57F75" w:rsidRPr="002A7A24" w:rsidRDefault="00F57F75" w:rsidP="004E5574">
            <w:pPr>
              <w:pStyle w:val="Tabletext"/>
              <w:rPr>
                <w:sz w:val="20"/>
                <w:szCs w:val="20"/>
              </w:rPr>
            </w:pPr>
          </w:p>
        </w:tc>
        <w:tc>
          <w:tcPr>
            <w:tcW w:w="3969" w:type="dxa"/>
            <w:shd w:val="clear" w:color="auto" w:fill="auto"/>
          </w:tcPr>
          <w:p w:rsidR="00F57F75" w:rsidRPr="002A7A24" w:rsidRDefault="00F57F75" w:rsidP="004E5574">
            <w:pPr>
              <w:pStyle w:val="Tabletext"/>
              <w:rPr>
                <w:sz w:val="20"/>
                <w:szCs w:val="20"/>
              </w:rPr>
            </w:pPr>
            <w:r w:rsidRPr="002A7A24">
              <w:rPr>
                <w:sz w:val="20"/>
                <w:szCs w:val="20"/>
              </w:rPr>
              <w:t>Restrictions concernant le réemploi de fonctionnaires ayant quitté l</w:t>
            </w:r>
            <w:r w:rsidR="00A26BFC" w:rsidRPr="002A7A24">
              <w:rPr>
                <w:sz w:val="20"/>
                <w:szCs w:val="20"/>
              </w:rPr>
              <w:t>'</w:t>
            </w:r>
            <w:r w:rsidRPr="002A7A24">
              <w:rPr>
                <w:sz w:val="20"/>
                <w:szCs w:val="20"/>
              </w:rPr>
              <w:t>organisation (départ à la retraite ou démission).</w:t>
            </w:r>
          </w:p>
        </w:tc>
        <w:tc>
          <w:tcPr>
            <w:tcW w:w="1134" w:type="dxa"/>
            <w:shd w:val="clear" w:color="auto" w:fill="auto"/>
            <w:vAlign w:val="center"/>
          </w:tcPr>
          <w:p w:rsidR="00F57F75" w:rsidRPr="002A7A24" w:rsidRDefault="00F57F75" w:rsidP="004E5574">
            <w:pPr>
              <w:pStyle w:val="Tabletext"/>
              <w:jc w:val="center"/>
              <w:rPr>
                <w:sz w:val="20"/>
                <w:szCs w:val="20"/>
              </w:rPr>
            </w:pPr>
            <w:r w:rsidRPr="002A7A24">
              <w:rPr>
                <w:rFonts w:ascii="Wingdings" w:hAnsi="Wingdings"/>
                <w:sz w:val="20"/>
                <w:szCs w:val="20"/>
              </w:rPr>
              <w:sym w:font="Wingdings" w:char="F0FC"/>
            </w:r>
          </w:p>
        </w:tc>
        <w:tc>
          <w:tcPr>
            <w:tcW w:w="6522" w:type="dxa"/>
            <w:shd w:val="clear" w:color="auto" w:fill="auto"/>
            <w:vAlign w:val="center"/>
          </w:tcPr>
          <w:p w:rsidR="00F57F75" w:rsidRPr="002A7A24" w:rsidRDefault="00F57F75" w:rsidP="004E5574">
            <w:pPr>
              <w:pStyle w:val="Tabletext"/>
              <w:rPr>
                <w:sz w:val="20"/>
                <w:szCs w:val="20"/>
              </w:rPr>
            </w:pPr>
            <w:bookmarkStart w:id="109" w:name="lt_pId224"/>
            <w:r w:rsidRPr="002A7A24">
              <w:rPr>
                <w:sz w:val="20"/>
                <w:szCs w:val="20"/>
              </w:rPr>
              <w:t>Une politique est déjà en place pour les retraités</w:t>
            </w:r>
            <w:r w:rsidR="00A26BFC" w:rsidRPr="002A7A24">
              <w:rPr>
                <w:sz w:val="20"/>
                <w:szCs w:val="20"/>
              </w:rPr>
              <w:t xml:space="preserve"> </w:t>
            </w:r>
            <w:r w:rsidRPr="002A7A24">
              <w:rPr>
                <w:sz w:val="20"/>
                <w:szCs w:val="20"/>
              </w:rPr>
              <w:t>(l</w:t>
            </w:r>
            <w:r w:rsidR="00A26BFC" w:rsidRPr="002A7A24">
              <w:rPr>
                <w:sz w:val="20"/>
                <w:szCs w:val="20"/>
              </w:rPr>
              <w:t>'</w:t>
            </w:r>
            <w:r w:rsidRPr="002A7A24">
              <w:rPr>
                <w:sz w:val="20"/>
                <w:szCs w:val="20"/>
              </w:rPr>
              <w:t>UIT</w:t>
            </w:r>
            <w:r w:rsidR="00A26BFC" w:rsidRPr="002A7A24">
              <w:rPr>
                <w:sz w:val="20"/>
                <w:szCs w:val="20"/>
              </w:rPr>
              <w:t xml:space="preserve"> </w:t>
            </w:r>
            <w:r w:rsidRPr="002A7A24">
              <w:rPr>
                <w:sz w:val="20"/>
                <w:szCs w:val="20"/>
              </w:rPr>
              <w:t>applique les limites fixées par l</w:t>
            </w:r>
            <w:r w:rsidR="00A26BFC" w:rsidRPr="002A7A24">
              <w:rPr>
                <w:sz w:val="20"/>
                <w:szCs w:val="20"/>
              </w:rPr>
              <w:t>'</w:t>
            </w:r>
            <w:r w:rsidRPr="002A7A24">
              <w:rPr>
                <w:sz w:val="20"/>
                <w:szCs w:val="20"/>
              </w:rPr>
              <w:t>ONU</w:t>
            </w:r>
            <w:r w:rsidR="00A26BFC" w:rsidRPr="002A7A24">
              <w:rPr>
                <w:sz w:val="20"/>
                <w:szCs w:val="20"/>
              </w:rPr>
              <w:t>)</w:t>
            </w:r>
            <w:r w:rsidRPr="002A7A24">
              <w:rPr>
                <w:sz w:val="20"/>
                <w:szCs w:val="20"/>
              </w:rPr>
              <w:t xml:space="preserve"> et pour les fonctionnaires qui quittent l</w:t>
            </w:r>
            <w:r w:rsidR="00A26BFC" w:rsidRPr="002A7A24">
              <w:rPr>
                <w:sz w:val="20"/>
                <w:szCs w:val="20"/>
              </w:rPr>
              <w:t>'</w:t>
            </w:r>
            <w:r w:rsidRPr="002A7A24">
              <w:rPr>
                <w:sz w:val="20"/>
                <w:szCs w:val="20"/>
              </w:rPr>
              <w:t>organisation</w:t>
            </w:r>
            <w:r w:rsidR="00A26BFC" w:rsidRPr="002A7A24">
              <w:rPr>
                <w:sz w:val="20"/>
                <w:szCs w:val="20"/>
              </w:rPr>
              <w:t xml:space="preserve"> </w:t>
            </w:r>
            <w:r w:rsidRPr="002A7A24">
              <w:rPr>
                <w:sz w:val="20"/>
                <w:szCs w:val="20"/>
              </w:rPr>
              <w:t>dans le cadre d</w:t>
            </w:r>
            <w:r w:rsidR="00A26BFC" w:rsidRPr="002A7A24">
              <w:rPr>
                <w:sz w:val="20"/>
                <w:szCs w:val="20"/>
              </w:rPr>
              <w:t>'</w:t>
            </w:r>
            <w:r w:rsidRPr="002A7A24">
              <w:rPr>
                <w:sz w:val="20"/>
                <w:szCs w:val="20"/>
              </w:rPr>
              <w:t>un programme</w:t>
            </w:r>
            <w:r w:rsidR="00A26BFC" w:rsidRPr="002A7A24">
              <w:rPr>
                <w:sz w:val="20"/>
                <w:szCs w:val="20"/>
              </w:rPr>
              <w:t xml:space="preserve"> </w:t>
            </w:r>
            <w:r w:rsidRPr="002A7A24">
              <w:rPr>
                <w:sz w:val="20"/>
                <w:szCs w:val="20"/>
              </w:rPr>
              <w:t>de départ volontaire.</w:t>
            </w:r>
            <w:bookmarkEnd w:id="109"/>
          </w:p>
        </w:tc>
      </w:tr>
      <w:tr w:rsidR="00F57F75" w:rsidRPr="002A7A24" w:rsidTr="00164958">
        <w:tc>
          <w:tcPr>
            <w:tcW w:w="2977" w:type="dxa"/>
            <w:shd w:val="clear" w:color="auto" w:fill="FFFFFF" w:themeFill="background1"/>
          </w:tcPr>
          <w:p w:rsidR="00F57F75" w:rsidRPr="002A7A24" w:rsidRDefault="00F57F75" w:rsidP="004E5574">
            <w:pPr>
              <w:pStyle w:val="Tabletext"/>
              <w:rPr>
                <w:sz w:val="20"/>
                <w:szCs w:val="20"/>
              </w:rPr>
            </w:pPr>
            <w:r w:rsidRPr="002A7A24">
              <w:rPr>
                <w:sz w:val="20"/>
                <w:szCs w:val="20"/>
              </w:rPr>
              <w:t>9 L</w:t>
            </w:r>
            <w:r w:rsidR="00A26BFC" w:rsidRPr="002A7A24">
              <w:rPr>
                <w:sz w:val="20"/>
                <w:szCs w:val="20"/>
              </w:rPr>
              <w:t>'</w:t>
            </w:r>
            <w:r w:rsidRPr="002A7A24">
              <w:rPr>
                <w:sz w:val="20"/>
                <w:szCs w:val="20"/>
              </w:rPr>
              <w:t>organisation a une politique officielle de gestion globale des risques qui doit être appliquée de manière cohérente</w:t>
            </w:r>
            <w:r w:rsidR="004E5574" w:rsidRPr="002A7A24">
              <w:rPr>
                <w:sz w:val="20"/>
                <w:szCs w:val="20"/>
              </w:rPr>
              <w:t>.</w:t>
            </w:r>
          </w:p>
        </w:tc>
        <w:tc>
          <w:tcPr>
            <w:tcW w:w="3969" w:type="dxa"/>
            <w:shd w:val="clear" w:color="auto" w:fill="FFFFFF" w:themeFill="background1"/>
          </w:tcPr>
          <w:p w:rsidR="00F57F75" w:rsidRPr="002A7A24" w:rsidRDefault="00F57F75" w:rsidP="004E5574">
            <w:pPr>
              <w:pStyle w:val="Tabletext"/>
              <w:rPr>
                <w:sz w:val="20"/>
                <w:szCs w:val="20"/>
              </w:rPr>
            </w:pPr>
            <w:r w:rsidRPr="002A7A24">
              <w:rPr>
                <w:sz w:val="20"/>
                <w:szCs w:val="20"/>
              </w:rPr>
              <w:t>Une analyse des risques est conduite pour chaque unité administrative, projet/processus et il existe un plan de l</w:t>
            </w:r>
            <w:r w:rsidR="00A26BFC" w:rsidRPr="002A7A24">
              <w:rPr>
                <w:sz w:val="20"/>
                <w:szCs w:val="20"/>
              </w:rPr>
              <w:t>'</w:t>
            </w:r>
            <w:r w:rsidRPr="002A7A24">
              <w:rPr>
                <w:sz w:val="20"/>
                <w:szCs w:val="20"/>
              </w:rPr>
              <w:t>organisation en matière de risques</w:t>
            </w:r>
            <w:r w:rsidR="004E5574" w:rsidRPr="002A7A24">
              <w:rPr>
                <w:sz w:val="20"/>
                <w:szCs w:val="20"/>
              </w:rPr>
              <w:t>.</w:t>
            </w:r>
          </w:p>
        </w:tc>
        <w:tc>
          <w:tcPr>
            <w:tcW w:w="1134" w:type="dxa"/>
            <w:shd w:val="clear" w:color="auto" w:fill="FFFFFF" w:themeFill="background1"/>
            <w:vAlign w:val="center"/>
          </w:tcPr>
          <w:p w:rsidR="00F57F75" w:rsidRPr="002A7A24" w:rsidRDefault="00F57F75" w:rsidP="004E5574">
            <w:pPr>
              <w:pStyle w:val="Tabletext"/>
              <w:jc w:val="center"/>
              <w:rPr>
                <w:sz w:val="20"/>
                <w:szCs w:val="20"/>
              </w:rPr>
            </w:pPr>
            <w:r w:rsidRPr="002A7A24">
              <w:rPr>
                <w:sz w:val="20"/>
                <w:szCs w:val="20"/>
              </w:rPr>
              <w:t>En cours</w:t>
            </w:r>
          </w:p>
        </w:tc>
        <w:tc>
          <w:tcPr>
            <w:tcW w:w="6522" w:type="dxa"/>
            <w:shd w:val="clear" w:color="auto" w:fill="FFFFFF" w:themeFill="background1"/>
          </w:tcPr>
          <w:p w:rsidR="00F57F75" w:rsidRPr="002A7A24" w:rsidRDefault="00F57F75" w:rsidP="004E5574">
            <w:pPr>
              <w:pStyle w:val="Tabletext"/>
              <w:rPr>
                <w:sz w:val="20"/>
                <w:szCs w:val="20"/>
              </w:rPr>
            </w:pPr>
            <w:r w:rsidRPr="002A7A24">
              <w:rPr>
                <w:sz w:val="20"/>
                <w:szCs w:val="20"/>
              </w:rPr>
              <w:t>Des registres des risques</w:t>
            </w:r>
            <w:r w:rsidR="00A26BFC" w:rsidRPr="002A7A24">
              <w:rPr>
                <w:sz w:val="20"/>
                <w:szCs w:val="20"/>
              </w:rPr>
              <w:t xml:space="preserve"> </w:t>
            </w:r>
            <w:r w:rsidRPr="002A7A24">
              <w:rPr>
                <w:sz w:val="20"/>
                <w:szCs w:val="20"/>
              </w:rPr>
              <w:t>sont tenus à jour et font l</w:t>
            </w:r>
            <w:r w:rsidR="00A26BFC" w:rsidRPr="002A7A24">
              <w:rPr>
                <w:sz w:val="20"/>
                <w:szCs w:val="20"/>
              </w:rPr>
              <w:t>'</w:t>
            </w:r>
            <w:r w:rsidRPr="002A7A24">
              <w:rPr>
                <w:sz w:val="20"/>
                <w:szCs w:val="20"/>
              </w:rPr>
              <w:t>objet de rapports par l</w:t>
            </w:r>
            <w:r w:rsidR="00A26BFC" w:rsidRPr="002A7A24">
              <w:rPr>
                <w:sz w:val="20"/>
                <w:szCs w:val="20"/>
              </w:rPr>
              <w:t>'</w:t>
            </w:r>
            <w:r w:rsidRPr="002A7A24">
              <w:rPr>
                <w:sz w:val="20"/>
                <w:szCs w:val="20"/>
              </w:rPr>
              <w:t xml:space="preserve">intermédiaire des Plans opérationnels des Secteurs et du </w:t>
            </w:r>
            <w:r w:rsidR="004E5574" w:rsidRPr="002A7A24">
              <w:rPr>
                <w:sz w:val="20"/>
                <w:szCs w:val="20"/>
              </w:rPr>
              <w:t>Secrétariat</w:t>
            </w:r>
            <w:r w:rsidRPr="002A7A24">
              <w:rPr>
                <w:sz w:val="20"/>
                <w:szCs w:val="20"/>
              </w:rPr>
              <w:t xml:space="preserve"> </w:t>
            </w:r>
            <w:r w:rsidR="004E5574" w:rsidRPr="002A7A24">
              <w:rPr>
                <w:sz w:val="20"/>
                <w:szCs w:val="20"/>
              </w:rPr>
              <w:t>général</w:t>
            </w:r>
            <w:r w:rsidRPr="002A7A24">
              <w:rPr>
                <w:sz w:val="20"/>
                <w:szCs w:val="20"/>
              </w:rPr>
              <w:t>.</w:t>
            </w:r>
            <w:r w:rsidR="00A26BFC" w:rsidRPr="002A7A24">
              <w:rPr>
                <w:sz w:val="20"/>
                <w:szCs w:val="20"/>
              </w:rPr>
              <w:t xml:space="preserve"> </w:t>
            </w:r>
          </w:p>
          <w:p w:rsidR="00F57F75" w:rsidRPr="002A7A24" w:rsidRDefault="00F57F75" w:rsidP="004E5574">
            <w:pPr>
              <w:pStyle w:val="Tabletext"/>
              <w:rPr>
                <w:sz w:val="20"/>
                <w:szCs w:val="20"/>
              </w:rPr>
            </w:pPr>
            <w:r w:rsidRPr="002A7A24">
              <w:rPr>
                <w:sz w:val="20"/>
                <w:szCs w:val="20"/>
                <w:lang w:eastAsia="fr-FR"/>
              </w:rPr>
              <w:t>Une politique de gestion des risques et</w:t>
            </w:r>
            <w:r w:rsidR="00A26BFC" w:rsidRPr="002A7A24">
              <w:rPr>
                <w:sz w:val="20"/>
                <w:szCs w:val="20"/>
                <w:lang w:eastAsia="fr-FR"/>
              </w:rPr>
              <w:t xml:space="preserve"> </w:t>
            </w:r>
            <w:r w:rsidRPr="002A7A24">
              <w:rPr>
                <w:sz w:val="20"/>
                <w:szCs w:val="20"/>
                <w:lang w:eastAsia="fr-FR"/>
              </w:rPr>
              <w:t xml:space="preserve">une </w:t>
            </w:r>
            <w:r w:rsidR="004E5574" w:rsidRPr="002A7A24">
              <w:rPr>
                <w:sz w:val="20"/>
                <w:szCs w:val="20"/>
                <w:lang w:eastAsia="fr-FR"/>
              </w:rPr>
              <w:t>déclaration</w:t>
            </w:r>
            <w:r w:rsidRPr="002A7A24">
              <w:rPr>
                <w:sz w:val="20"/>
                <w:szCs w:val="20"/>
                <w:lang w:eastAsia="fr-FR"/>
              </w:rPr>
              <w:t xml:space="preserve"> sur la propension au risque en bonne et due forme</w:t>
            </w:r>
            <w:r w:rsidR="00A26BFC" w:rsidRPr="002A7A24">
              <w:rPr>
                <w:sz w:val="20"/>
                <w:szCs w:val="20"/>
                <w:lang w:eastAsia="fr-FR"/>
              </w:rPr>
              <w:t xml:space="preserve"> </w:t>
            </w:r>
            <w:r w:rsidRPr="002A7A24">
              <w:rPr>
                <w:sz w:val="20"/>
                <w:szCs w:val="20"/>
                <w:lang w:eastAsia="fr-FR"/>
              </w:rPr>
              <w:t>seront entérinés par le Conseil à sa session de 2017</w:t>
            </w:r>
            <w:r w:rsidR="004E5574" w:rsidRPr="002A7A24">
              <w:rPr>
                <w:sz w:val="20"/>
                <w:szCs w:val="20"/>
                <w:lang w:eastAsia="fr-FR"/>
              </w:rPr>
              <w:t>.</w:t>
            </w:r>
          </w:p>
        </w:tc>
      </w:tr>
      <w:tr w:rsidR="00F57F75" w:rsidRPr="002A7A24" w:rsidTr="00164958">
        <w:tc>
          <w:tcPr>
            <w:tcW w:w="2977" w:type="dxa"/>
            <w:vMerge w:val="restart"/>
            <w:shd w:val="clear" w:color="auto" w:fill="FFFFFF" w:themeFill="background1"/>
          </w:tcPr>
          <w:p w:rsidR="00F57F75" w:rsidRPr="002A7A24" w:rsidRDefault="004E5574" w:rsidP="004E5574">
            <w:pPr>
              <w:pStyle w:val="Tabletext"/>
              <w:rPr>
                <w:sz w:val="20"/>
                <w:szCs w:val="20"/>
              </w:rPr>
            </w:pPr>
            <w:r w:rsidRPr="002A7A24">
              <w:rPr>
                <w:sz w:val="20"/>
                <w:szCs w:val="20"/>
              </w:rPr>
              <w:t>10</w:t>
            </w:r>
            <w:r w:rsidR="00F57F75" w:rsidRPr="002A7A24">
              <w:rPr>
                <w:sz w:val="20"/>
                <w:szCs w:val="20"/>
              </w:rPr>
              <w:t xml:space="preserve"> La chaîne hiérarchique et les délégations de pouvoirs sont alignées, claires, cohérentes et intégrées aux progiciels de gestion intégrés existants</w:t>
            </w:r>
            <w:r w:rsidRPr="002A7A24">
              <w:rPr>
                <w:sz w:val="20"/>
                <w:szCs w:val="20"/>
              </w:rPr>
              <w:t>.</w:t>
            </w:r>
          </w:p>
        </w:tc>
        <w:tc>
          <w:tcPr>
            <w:tcW w:w="3969" w:type="dxa"/>
            <w:shd w:val="clear" w:color="auto" w:fill="FFFFFF" w:themeFill="background1"/>
          </w:tcPr>
          <w:p w:rsidR="00F57F75" w:rsidRPr="002A7A24" w:rsidRDefault="00F57F75" w:rsidP="004E5574">
            <w:pPr>
              <w:pStyle w:val="Tabletext"/>
              <w:rPr>
                <w:sz w:val="20"/>
                <w:szCs w:val="20"/>
              </w:rPr>
            </w:pPr>
            <w:r w:rsidRPr="002A7A24">
              <w:rPr>
                <w:sz w:val="20"/>
                <w:szCs w:val="20"/>
              </w:rPr>
              <w:t>Définition clai</w:t>
            </w:r>
            <w:r w:rsidR="004E5574" w:rsidRPr="002A7A24">
              <w:rPr>
                <w:sz w:val="20"/>
                <w:szCs w:val="20"/>
              </w:rPr>
              <w:t>re de la délégation de pouvoirs.</w:t>
            </w:r>
          </w:p>
        </w:tc>
        <w:tc>
          <w:tcPr>
            <w:tcW w:w="1134" w:type="dxa"/>
            <w:shd w:val="clear" w:color="auto" w:fill="auto"/>
            <w:vAlign w:val="center"/>
          </w:tcPr>
          <w:p w:rsidR="00F57F75" w:rsidRPr="002A7A24" w:rsidRDefault="00F57F75" w:rsidP="004E5574">
            <w:pPr>
              <w:pStyle w:val="Tabletext"/>
              <w:jc w:val="center"/>
              <w:rPr>
                <w:sz w:val="20"/>
                <w:szCs w:val="20"/>
              </w:rPr>
            </w:pPr>
            <w:r w:rsidRPr="002A7A24">
              <w:rPr>
                <w:rFonts w:ascii="Wingdings" w:hAnsi="Wingdings"/>
                <w:sz w:val="20"/>
                <w:szCs w:val="20"/>
              </w:rPr>
              <w:sym w:font="Wingdings" w:char="F0FC"/>
            </w:r>
          </w:p>
        </w:tc>
        <w:tc>
          <w:tcPr>
            <w:tcW w:w="6522" w:type="dxa"/>
            <w:shd w:val="clear" w:color="auto" w:fill="auto"/>
          </w:tcPr>
          <w:p w:rsidR="00F57F75" w:rsidRPr="002A7A24" w:rsidRDefault="00F57F75" w:rsidP="004E5574">
            <w:pPr>
              <w:pStyle w:val="Tabletext"/>
              <w:rPr>
                <w:sz w:val="20"/>
                <w:szCs w:val="20"/>
              </w:rPr>
            </w:pPr>
          </w:p>
        </w:tc>
      </w:tr>
      <w:tr w:rsidR="00F57F75" w:rsidRPr="002A7A24" w:rsidTr="00164958">
        <w:tc>
          <w:tcPr>
            <w:tcW w:w="2977" w:type="dxa"/>
            <w:vMerge/>
            <w:shd w:val="clear" w:color="auto" w:fill="FFFFFF" w:themeFill="background1"/>
          </w:tcPr>
          <w:p w:rsidR="00F57F75" w:rsidRPr="002A7A24" w:rsidRDefault="00F57F75" w:rsidP="004E5574">
            <w:pPr>
              <w:pStyle w:val="Tabletext"/>
              <w:rPr>
                <w:sz w:val="20"/>
                <w:szCs w:val="20"/>
              </w:rPr>
            </w:pPr>
          </w:p>
        </w:tc>
        <w:tc>
          <w:tcPr>
            <w:tcW w:w="3969" w:type="dxa"/>
            <w:shd w:val="clear" w:color="auto" w:fill="FFFFFF" w:themeFill="background1"/>
          </w:tcPr>
          <w:p w:rsidR="00F57F75" w:rsidRPr="002A7A24" w:rsidRDefault="00F57F75" w:rsidP="004E5574">
            <w:pPr>
              <w:pStyle w:val="Tabletext"/>
              <w:rPr>
                <w:sz w:val="20"/>
                <w:szCs w:val="20"/>
              </w:rPr>
            </w:pPr>
            <w:r w:rsidRPr="002A7A24">
              <w:rPr>
                <w:sz w:val="20"/>
                <w:szCs w:val="20"/>
              </w:rPr>
              <w:t>Cohérence entre chaîne hiérarchique et délégations de pouvoirs et clarté des rapports hiérarchiques</w:t>
            </w:r>
            <w:r w:rsidR="004E5574" w:rsidRPr="002A7A24">
              <w:rPr>
                <w:sz w:val="20"/>
                <w:szCs w:val="20"/>
              </w:rPr>
              <w:t>.</w:t>
            </w:r>
          </w:p>
        </w:tc>
        <w:tc>
          <w:tcPr>
            <w:tcW w:w="1134" w:type="dxa"/>
            <w:shd w:val="clear" w:color="auto" w:fill="auto"/>
            <w:vAlign w:val="center"/>
          </w:tcPr>
          <w:p w:rsidR="00F57F75" w:rsidRPr="002A7A24" w:rsidRDefault="00F57F75" w:rsidP="004E5574">
            <w:pPr>
              <w:pStyle w:val="Tabletext"/>
              <w:jc w:val="center"/>
              <w:rPr>
                <w:sz w:val="20"/>
                <w:szCs w:val="20"/>
              </w:rPr>
            </w:pPr>
            <w:r w:rsidRPr="002A7A24">
              <w:rPr>
                <w:rFonts w:ascii="Wingdings" w:hAnsi="Wingdings"/>
                <w:sz w:val="20"/>
                <w:szCs w:val="20"/>
              </w:rPr>
              <w:sym w:font="Wingdings" w:char="F0FC"/>
            </w:r>
          </w:p>
        </w:tc>
        <w:tc>
          <w:tcPr>
            <w:tcW w:w="6522" w:type="dxa"/>
            <w:shd w:val="clear" w:color="auto" w:fill="auto"/>
          </w:tcPr>
          <w:p w:rsidR="00F57F75" w:rsidRPr="002A7A24" w:rsidRDefault="00F57F75" w:rsidP="004E5574">
            <w:pPr>
              <w:pStyle w:val="Tabletext"/>
              <w:rPr>
                <w:sz w:val="20"/>
                <w:szCs w:val="20"/>
              </w:rPr>
            </w:pPr>
          </w:p>
        </w:tc>
      </w:tr>
      <w:tr w:rsidR="00F57F75" w:rsidRPr="002A7A24" w:rsidTr="00164958">
        <w:tc>
          <w:tcPr>
            <w:tcW w:w="2977" w:type="dxa"/>
            <w:vMerge/>
            <w:shd w:val="clear" w:color="auto" w:fill="FFFFFF" w:themeFill="background1"/>
          </w:tcPr>
          <w:p w:rsidR="00F57F75" w:rsidRPr="002A7A24" w:rsidRDefault="00F57F75" w:rsidP="004E5574">
            <w:pPr>
              <w:pStyle w:val="Tabletext"/>
              <w:rPr>
                <w:sz w:val="20"/>
                <w:szCs w:val="20"/>
              </w:rPr>
            </w:pPr>
          </w:p>
        </w:tc>
        <w:tc>
          <w:tcPr>
            <w:tcW w:w="3969" w:type="dxa"/>
            <w:shd w:val="clear" w:color="auto" w:fill="FFFFFF" w:themeFill="background1"/>
          </w:tcPr>
          <w:p w:rsidR="00F57F75" w:rsidRPr="002A7A24" w:rsidRDefault="00F57F75" w:rsidP="004E5574">
            <w:pPr>
              <w:pStyle w:val="Tabletext"/>
              <w:rPr>
                <w:sz w:val="20"/>
                <w:szCs w:val="20"/>
              </w:rPr>
            </w:pPr>
            <w:r w:rsidRPr="002A7A24">
              <w:rPr>
                <w:sz w:val="20"/>
                <w:szCs w:val="20"/>
              </w:rPr>
              <w:t>Délégations de pouvoirs prévus dans les progiciels de gestion intégrés existants.</w:t>
            </w:r>
          </w:p>
        </w:tc>
        <w:tc>
          <w:tcPr>
            <w:tcW w:w="1134" w:type="dxa"/>
            <w:shd w:val="clear" w:color="auto" w:fill="auto"/>
            <w:vAlign w:val="center"/>
          </w:tcPr>
          <w:p w:rsidR="00F57F75" w:rsidRPr="002A7A24" w:rsidRDefault="00F57F75" w:rsidP="004E5574">
            <w:pPr>
              <w:pStyle w:val="Tabletext"/>
              <w:jc w:val="center"/>
              <w:rPr>
                <w:sz w:val="20"/>
                <w:szCs w:val="20"/>
              </w:rPr>
            </w:pPr>
            <w:r w:rsidRPr="002A7A24">
              <w:rPr>
                <w:rFonts w:ascii="Wingdings" w:hAnsi="Wingdings"/>
                <w:sz w:val="20"/>
                <w:szCs w:val="20"/>
              </w:rPr>
              <w:sym w:font="Wingdings" w:char="F0FC"/>
            </w:r>
          </w:p>
        </w:tc>
        <w:tc>
          <w:tcPr>
            <w:tcW w:w="6522" w:type="dxa"/>
            <w:shd w:val="clear" w:color="auto" w:fill="auto"/>
          </w:tcPr>
          <w:p w:rsidR="00F57F75" w:rsidRPr="002A7A24" w:rsidRDefault="00F57F75" w:rsidP="004E5574">
            <w:pPr>
              <w:pStyle w:val="Tabletext"/>
              <w:rPr>
                <w:sz w:val="20"/>
                <w:szCs w:val="20"/>
              </w:rPr>
            </w:pPr>
            <w:bookmarkStart w:id="110" w:name="lt_pId236"/>
            <w:r w:rsidRPr="002A7A24">
              <w:rPr>
                <w:sz w:val="20"/>
                <w:szCs w:val="20"/>
                <w:lang w:eastAsia="fr-FR"/>
              </w:rPr>
              <w:t>Accès au système ERP sur la base de la séparation des tâches</w:t>
            </w:r>
            <w:bookmarkEnd w:id="110"/>
            <w:r w:rsidR="004E5574" w:rsidRPr="002A7A24">
              <w:rPr>
                <w:sz w:val="20"/>
                <w:szCs w:val="20"/>
                <w:lang w:eastAsia="fr-FR"/>
              </w:rPr>
              <w:t>.</w:t>
            </w:r>
          </w:p>
        </w:tc>
      </w:tr>
      <w:tr w:rsidR="00F57F75" w:rsidRPr="002A7A24" w:rsidTr="00164958">
        <w:tc>
          <w:tcPr>
            <w:tcW w:w="2977" w:type="dxa"/>
            <w:vMerge w:val="restart"/>
            <w:shd w:val="clear" w:color="auto" w:fill="FFFFFF" w:themeFill="background1"/>
          </w:tcPr>
          <w:p w:rsidR="00F57F75" w:rsidRPr="002A7A24" w:rsidRDefault="004E5574" w:rsidP="004E5574">
            <w:pPr>
              <w:pStyle w:val="Tabletext"/>
              <w:rPr>
                <w:sz w:val="20"/>
                <w:szCs w:val="20"/>
              </w:rPr>
            </w:pPr>
            <w:r w:rsidRPr="002A7A24">
              <w:rPr>
                <w:sz w:val="20"/>
                <w:szCs w:val="20"/>
              </w:rPr>
              <w:t>11</w:t>
            </w:r>
            <w:r w:rsidR="00F57F75" w:rsidRPr="002A7A24">
              <w:rPr>
                <w:sz w:val="20"/>
                <w:szCs w:val="20"/>
              </w:rPr>
              <w:t xml:space="preserve"> Le règlement financier et les règles de gestion financière des organismes des Nations Unies doivent contenir des dispositions relatives à la lutte contre la fraude et les irrégularités </w:t>
            </w:r>
            <w:r w:rsidR="00F57F75" w:rsidRPr="002A7A24">
              <w:rPr>
                <w:sz w:val="20"/>
                <w:szCs w:val="20"/>
              </w:rPr>
              <w:lastRenderedPageBreak/>
              <w:t>financières et sont appliqués concrètement.</w:t>
            </w:r>
          </w:p>
        </w:tc>
        <w:tc>
          <w:tcPr>
            <w:tcW w:w="3969" w:type="dxa"/>
            <w:shd w:val="clear" w:color="auto" w:fill="FFFFFF" w:themeFill="background1"/>
          </w:tcPr>
          <w:p w:rsidR="00F57F75" w:rsidRPr="002A7A24" w:rsidRDefault="00F57F75" w:rsidP="004E5574">
            <w:pPr>
              <w:pStyle w:val="Tabletext"/>
              <w:rPr>
                <w:sz w:val="20"/>
                <w:szCs w:val="20"/>
              </w:rPr>
            </w:pPr>
            <w:r w:rsidRPr="002A7A24">
              <w:rPr>
                <w:sz w:val="20"/>
                <w:szCs w:val="20"/>
              </w:rPr>
              <w:lastRenderedPageBreak/>
              <w:t>Règlement financier et règles de ge</w:t>
            </w:r>
            <w:r w:rsidR="004E5574" w:rsidRPr="002A7A24">
              <w:rPr>
                <w:sz w:val="20"/>
                <w:szCs w:val="20"/>
              </w:rPr>
              <w:t>stion financière.</w:t>
            </w:r>
          </w:p>
        </w:tc>
        <w:tc>
          <w:tcPr>
            <w:tcW w:w="1134" w:type="dxa"/>
            <w:shd w:val="clear" w:color="auto" w:fill="auto"/>
            <w:vAlign w:val="center"/>
          </w:tcPr>
          <w:p w:rsidR="00F57F75" w:rsidRPr="002A7A24" w:rsidRDefault="00F57F75" w:rsidP="004E5574">
            <w:pPr>
              <w:pStyle w:val="Tabletext"/>
              <w:jc w:val="center"/>
              <w:rPr>
                <w:sz w:val="20"/>
                <w:szCs w:val="20"/>
              </w:rPr>
            </w:pPr>
            <w:r w:rsidRPr="002A7A24">
              <w:rPr>
                <w:rFonts w:ascii="Wingdings" w:hAnsi="Wingdings"/>
                <w:sz w:val="20"/>
                <w:szCs w:val="20"/>
              </w:rPr>
              <w:sym w:font="Wingdings" w:char="F0FC"/>
            </w:r>
          </w:p>
        </w:tc>
        <w:tc>
          <w:tcPr>
            <w:tcW w:w="6522" w:type="dxa"/>
            <w:shd w:val="clear" w:color="auto" w:fill="auto"/>
          </w:tcPr>
          <w:p w:rsidR="00F57F75" w:rsidRPr="002A7A24" w:rsidRDefault="00F57F75" w:rsidP="004E5574">
            <w:pPr>
              <w:pStyle w:val="Tabletext"/>
              <w:rPr>
                <w:sz w:val="20"/>
                <w:szCs w:val="20"/>
              </w:rPr>
            </w:pPr>
          </w:p>
        </w:tc>
      </w:tr>
      <w:tr w:rsidR="00F57F75" w:rsidRPr="002A7A24" w:rsidTr="00164958">
        <w:tc>
          <w:tcPr>
            <w:tcW w:w="2977" w:type="dxa"/>
            <w:vMerge/>
            <w:shd w:val="clear" w:color="auto" w:fill="FFFFFF" w:themeFill="background1"/>
          </w:tcPr>
          <w:p w:rsidR="00F57F75" w:rsidRPr="002A7A24" w:rsidRDefault="00F57F75" w:rsidP="004E5574">
            <w:pPr>
              <w:pStyle w:val="Tabletext"/>
              <w:rPr>
                <w:sz w:val="20"/>
                <w:szCs w:val="20"/>
              </w:rPr>
            </w:pPr>
          </w:p>
        </w:tc>
        <w:tc>
          <w:tcPr>
            <w:tcW w:w="3969" w:type="dxa"/>
            <w:shd w:val="clear" w:color="auto" w:fill="FFFFFF" w:themeFill="background1"/>
          </w:tcPr>
          <w:p w:rsidR="00F57F75" w:rsidRPr="002A7A24" w:rsidRDefault="00F57F75" w:rsidP="004E5574">
            <w:pPr>
              <w:pStyle w:val="Tabletext"/>
              <w:rPr>
                <w:sz w:val="20"/>
                <w:szCs w:val="20"/>
              </w:rPr>
            </w:pPr>
            <w:r w:rsidRPr="002A7A24">
              <w:rPr>
                <w:sz w:val="20"/>
                <w:szCs w:val="20"/>
              </w:rPr>
              <w:t>Déclaration des conflits d</w:t>
            </w:r>
            <w:r w:rsidR="00A26BFC" w:rsidRPr="002A7A24">
              <w:rPr>
                <w:sz w:val="20"/>
                <w:szCs w:val="20"/>
              </w:rPr>
              <w:t>'</w:t>
            </w:r>
            <w:r w:rsidR="004E5574" w:rsidRPr="002A7A24">
              <w:rPr>
                <w:sz w:val="20"/>
                <w:szCs w:val="20"/>
              </w:rPr>
              <w:t>intérêts.</w:t>
            </w:r>
          </w:p>
        </w:tc>
        <w:tc>
          <w:tcPr>
            <w:tcW w:w="1134" w:type="dxa"/>
            <w:shd w:val="clear" w:color="auto" w:fill="FFFFFF" w:themeFill="background1"/>
            <w:vAlign w:val="center"/>
          </w:tcPr>
          <w:p w:rsidR="00F57F75" w:rsidRPr="002A7A24" w:rsidRDefault="00F57F75" w:rsidP="004E5574">
            <w:pPr>
              <w:pStyle w:val="Tabletext"/>
              <w:jc w:val="center"/>
              <w:rPr>
                <w:sz w:val="20"/>
                <w:szCs w:val="20"/>
              </w:rPr>
            </w:pPr>
            <w:r w:rsidRPr="002A7A24">
              <w:rPr>
                <w:rFonts w:ascii="Wingdings" w:hAnsi="Wingdings"/>
                <w:sz w:val="20"/>
                <w:szCs w:val="20"/>
              </w:rPr>
              <w:sym w:font="Wingdings" w:char="F0FC"/>
            </w:r>
          </w:p>
        </w:tc>
        <w:tc>
          <w:tcPr>
            <w:tcW w:w="6522" w:type="dxa"/>
            <w:vMerge w:val="restart"/>
            <w:shd w:val="clear" w:color="auto" w:fill="FFFFFF" w:themeFill="background1"/>
          </w:tcPr>
          <w:p w:rsidR="00F57F75" w:rsidRPr="002A7A24" w:rsidRDefault="00F57F75" w:rsidP="004E5574">
            <w:pPr>
              <w:pStyle w:val="Tabletext"/>
              <w:rPr>
                <w:sz w:val="20"/>
                <w:szCs w:val="20"/>
              </w:rPr>
            </w:pPr>
            <w:bookmarkStart w:id="111" w:name="lt_pId241"/>
            <w:r w:rsidRPr="002A7A24">
              <w:rPr>
                <w:sz w:val="20"/>
                <w:szCs w:val="20"/>
              </w:rPr>
              <w:t>L</w:t>
            </w:r>
            <w:r w:rsidR="00A26BFC" w:rsidRPr="002A7A24">
              <w:rPr>
                <w:sz w:val="20"/>
                <w:szCs w:val="20"/>
              </w:rPr>
              <w:t>'</w:t>
            </w:r>
            <w:r w:rsidRPr="002A7A24">
              <w:rPr>
                <w:sz w:val="20"/>
                <w:szCs w:val="20"/>
              </w:rPr>
              <w:t>UIT tient à jour une</w:t>
            </w:r>
            <w:r w:rsidR="00A26BFC" w:rsidRPr="002A7A24">
              <w:rPr>
                <w:sz w:val="20"/>
                <w:szCs w:val="20"/>
              </w:rPr>
              <w:t xml:space="preserve"> </w:t>
            </w:r>
            <w:r w:rsidRPr="002A7A24">
              <w:rPr>
                <w:sz w:val="20"/>
                <w:szCs w:val="20"/>
              </w:rPr>
              <w:t>déclaration annuelle de conflits d</w:t>
            </w:r>
            <w:r w:rsidR="00A26BFC" w:rsidRPr="002A7A24">
              <w:rPr>
                <w:sz w:val="20"/>
                <w:szCs w:val="20"/>
              </w:rPr>
              <w:t>'</w:t>
            </w:r>
            <w:r w:rsidRPr="002A7A24">
              <w:rPr>
                <w:sz w:val="20"/>
                <w:szCs w:val="20"/>
              </w:rPr>
              <w:t>intérêts</w:t>
            </w:r>
            <w:r w:rsidR="00A26BFC" w:rsidRPr="002A7A24">
              <w:rPr>
                <w:sz w:val="20"/>
                <w:szCs w:val="20"/>
              </w:rPr>
              <w:t xml:space="preserve"> </w:t>
            </w:r>
            <w:r w:rsidRPr="002A7A24">
              <w:rPr>
                <w:sz w:val="20"/>
                <w:szCs w:val="20"/>
              </w:rPr>
              <w:t>potentiels concernant les</w:t>
            </w:r>
            <w:r w:rsidR="00A26BFC" w:rsidRPr="002A7A24">
              <w:rPr>
                <w:sz w:val="20"/>
                <w:szCs w:val="20"/>
              </w:rPr>
              <w:t xml:space="preserve"> </w:t>
            </w:r>
            <w:r w:rsidRPr="002A7A24">
              <w:rPr>
                <w:sz w:val="20"/>
                <w:szCs w:val="20"/>
              </w:rPr>
              <w:t>questions financières ou les</w:t>
            </w:r>
            <w:r w:rsidR="00A26BFC" w:rsidRPr="002A7A24">
              <w:rPr>
                <w:sz w:val="20"/>
                <w:szCs w:val="20"/>
              </w:rPr>
              <w:t xml:space="preserve"> </w:t>
            </w:r>
            <w:r w:rsidRPr="002A7A24">
              <w:rPr>
                <w:sz w:val="20"/>
                <w:szCs w:val="20"/>
              </w:rPr>
              <w:t>questions</w:t>
            </w:r>
            <w:r w:rsidR="00A26BFC" w:rsidRPr="002A7A24">
              <w:rPr>
                <w:sz w:val="20"/>
                <w:szCs w:val="20"/>
              </w:rPr>
              <w:t xml:space="preserve"> </w:t>
            </w:r>
            <w:r w:rsidRPr="002A7A24">
              <w:rPr>
                <w:sz w:val="20"/>
                <w:szCs w:val="20"/>
              </w:rPr>
              <w:t>relatives à la</w:t>
            </w:r>
            <w:r w:rsidR="00A26BFC" w:rsidRPr="002A7A24">
              <w:rPr>
                <w:sz w:val="20"/>
                <w:szCs w:val="20"/>
              </w:rPr>
              <w:t xml:space="preserve"> </w:t>
            </w:r>
            <w:r w:rsidRPr="002A7A24">
              <w:rPr>
                <w:sz w:val="20"/>
                <w:szCs w:val="20"/>
              </w:rPr>
              <w:t>passation des marchés conformément aux normes de déontologie</w:t>
            </w:r>
            <w:r w:rsidR="00A26BFC" w:rsidRPr="002A7A24">
              <w:rPr>
                <w:sz w:val="20"/>
                <w:szCs w:val="20"/>
              </w:rPr>
              <w:t>.</w:t>
            </w:r>
            <w:bookmarkEnd w:id="111"/>
          </w:p>
        </w:tc>
      </w:tr>
      <w:tr w:rsidR="00F57F75" w:rsidRPr="002A7A24" w:rsidTr="00164958">
        <w:tc>
          <w:tcPr>
            <w:tcW w:w="2977" w:type="dxa"/>
            <w:vMerge/>
            <w:shd w:val="clear" w:color="auto" w:fill="FFFFFF" w:themeFill="background1"/>
          </w:tcPr>
          <w:p w:rsidR="00F57F75" w:rsidRPr="002A7A24" w:rsidRDefault="00F57F75" w:rsidP="004E5574">
            <w:pPr>
              <w:pStyle w:val="Tabletext"/>
              <w:rPr>
                <w:sz w:val="20"/>
                <w:szCs w:val="20"/>
              </w:rPr>
            </w:pPr>
          </w:p>
        </w:tc>
        <w:tc>
          <w:tcPr>
            <w:tcW w:w="3969" w:type="dxa"/>
            <w:shd w:val="clear" w:color="auto" w:fill="FFFFFF" w:themeFill="background1"/>
          </w:tcPr>
          <w:p w:rsidR="00F57F75" w:rsidRPr="002A7A24" w:rsidRDefault="00F57F75" w:rsidP="004E5574">
            <w:pPr>
              <w:pStyle w:val="Tabletext"/>
              <w:rPr>
                <w:sz w:val="20"/>
                <w:szCs w:val="20"/>
              </w:rPr>
            </w:pPr>
            <w:r w:rsidRPr="002A7A24">
              <w:rPr>
                <w:sz w:val="20"/>
                <w:szCs w:val="20"/>
              </w:rPr>
              <w:t>Décla</w:t>
            </w:r>
            <w:r w:rsidR="004E5574" w:rsidRPr="002A7A24">
              <w:rPr>
                <w:sz w:val="20"/>
                <w:szCs w:val="20"/>
              </w:rPr>
              <w:t>rations de situation financière.</w:t>
            </w:r>
          </w:p>
        </w:tc>
        <w:tc>
          <w:tcPr>
            <w:tcW w:w="1134" w:type="dxa"/>
            <w:shd w:val="clear" w:color="auto" w:fill="FFFFFF" w:themeFill="background1"/>
          </w:tcPr>
          <w:p w:rsidR="00F57F75" w:rsidRPr="002A7A24" w:rsidRDefault="00F57F75" w:rsidP="004E5574">
            <w:pPr>
              <w:pStyle w:val="Tabletext"/>
              <w:jc w:val="center"/>
              <w:rPr>
                <w:sz w:val="20"/>
                <w:szCs w:val="20"/>
              </w:rPr>
            </w:pPr>
            <w:r w:rsidRPr="002A7A24">
              <w:rPr>
                <w:rFonts w:ascii="Wingdings" w:hAnsi="Wingdings"/>
                <w:sz w:val="20"/>
                <w:szCs w:val="20"/>
              </w:rPr>
              <w:sym w:font="Wingdings" w:char="F0FC"/>
            </w:r>
          </w:p>
        </w:tc>
        <w:tc>
          <w:tcPr>
            <w:tcW w:w="6522" w:type="dxa"/>
            <w:vMerge/>
            <w:shd w:val="clear" w:color="auto" w:fill="FFFFFF" w:themeFill="background1"/>
          </w:tcPr>
          <w:p w:rsidR="00F57F75" w:rsidRPr="002A7A24" w:rsidRDefault="00F57F75" w:rsidP="004E5574">
            <w:pPr>
              <w:pStyle w:val="Tabletext"/>
              <w:rPr>
                <w:sz w:val="20"/>
                <w:szCs w:val="20"/>
              </w:rPr>
            </w:pPr>
          </w:p>
        </w:tc>
      </w:tr>
      <w:tr w:rsidR="00F57F75" w:rsidRPr="002A7A24" w:rsidTr="00164958">
        <w:tc>
          <w:tcPr>
            <w:tcW w:w="2977" w:type="dxa"/>
            <w:vMerge/>
            <w:shd w:val="clear" w:color="auto" w:fill="FFFFFF" w:themeFill="background1"/>
          </w:tcPr>
          <w:p w:rsidR="00F57F75" w:rsidRPr="002A7A24" w:rsidRDefault="00F57F75" w:rsidP="004E5574">
            <w:pPr>
              <w:pStyle w:val="Tabletext"/>
              <w:rPr>
                <w:sz w:val="20"/>
                <w:szCs w:val="20"/>
              </w:rPr>
            </w:pPr>
          </w:p>
        </w:tc>
        <w:tc>
          <w:tcPr>
            <w:tcW w:w="3969" w:type="dxa"/>
            <w:shd w:val="clear" w:color="auto" w:fill="FFFFFF" w:themeFill="background1"/>
          </w:tcPr>
          <w:p w:rsidR="00F57F75" w:rsidRPr="002A7A24" w:rsidRDefault="00F57F75" w:rsidP="004E5574">
            <w:pPr>
              <w:pStyle w:val="Tabletext"/>
              <w:rPr>
                <w:sz w:val="20"/>
                <w:szCs w:val="20"/>
              </w:rPr>
            </w:pPr>
            <w:r w:rsidRPr="002A7A24">
              <w:rPr>
                <w:sz w:val="20"/>
                <w:szCs w:val="20"/>
              </w:rPr>
              <w:t>Politiques de lutte contre la fraude.</w:t>
            </w:r>
          </w:p>
        </w:tc>
        <w:tc>
          <w:tcPr>
            <w:tcW w:w="1134" w:type="dxa"/>
            <w:tcBorders>
              <w:bottom w:val="single" w:sz="4" w:space="0" w:color="auto"/>
            </w:tcBorders>
            <w:shd w:val="clear" w:color="auto" w:fill="auto"/>
          </w:tcPr>
          <w:p w:rsidR="00F57F75" w:rsidRPr="002A7A24" w:rsidRDefault="00F57F75" w:rsidP="004E5574">
            <w:pPr>
              <w:pStyle w:val="Tabletext"/>
              <w:jc w:val="center"/>
              <w:rPr>
                <w:sz w:val="20"/>
                <w:szCs w:val="20"/>
              </w:rPr>
            </w:pPr>
            <w:r w:rsidRPr="002A7A24">
              <w:rPr>
                <w:sz w:val="20"/>
                <w:szCs w:val="20"/>
              </w:rPr>
              <w:t>En cours</w:t>
            </w:r>
          </w:p>
        </w:tc>
        <w:tc>
          <w:tcPr>
            <w:tcW w:w="6522" w:type="dxa"/>
            <w:tcBorders>
              <w:bottom w:val="single" w:sz="4" w:space="0" w:color="auto"/>
            </w:tcBorders>
            <w:shd w:val="clear" w:color="auto" w:fill="auto"/>
          </w:tcPr>
          <w:p w:rsidR="00F57F75" w:rsidRPr="002A7A24" w:rsidRDefault="00F57F75" w:rsidP="004E5574">
            <w:pPr>
              <w:pStyle w:val="Tabletext"/>
              <w:rPr>
                <w:sz w:val="20"/>
                <w:szCs w:val="20"/>
              </w:rPr>
            </w:pPr>
            <w:bookmarkStart w:id="112" w:name="lt_pId245"/>
            <w:r w:rsidRPr="002A7A24">
              <w:rPr>
                <w:sz w:val="20"/>
                <w:szCs w:val="20"/>
              </w:rPr>
              <w:t>A l</w:t>
            </w:r>
            <w:r w:rsidR="00A26BFC" w:rsidRPr="002A7A24">
              <w:rPr>
                <w:sz w:val="20"/>
                <w:szCs w:val="20"/>
              </w:rPr>
              <w:t>'</w:t>
            </w:r>
            <w:r w:rsidRPr="002A7A24">
              <w:rPr>
                <w:sz w:val="20"/>
                <w:szCs w:val="20"/>
              </w:rPr>
              <w:t>étude</w:t>
            </w:r>
            <w:r w:rsidR="00A26BFC" w:rsidRPr="002A7A24">
              <w:rPr>
                <w:sz w:val="20"/>
                <w:szCs w:val="20"/>
              </w:rPr>
              <w:t>.</w:t>
            </w:r>
            <w:bookmarkEnd w:id="112"/>
          </w:p>
        </w:tc>
      </w:tr>
      <w:tr w:rsidR="00F57F75" w:rsidRPr="002A7A24" w:rsidTr="00164958">
        <w:tc>
          <w:tcPr>
            <w:tcW w:w="2977" w:type="dxa"/>
            <w:shd w:val="clear" w:color="auto" w:fill="FFFFFF" w:themeFill="background1"/>
          </w:tcPr>
          <w:p w:rsidR="00F57F75" w:rsidRPr="002A7A24" w:rsidRDefault="004E5574" w:rsidP="004E5574">
            <w:pPr>
              <w:pStyle w:val="Tabletext"/>
              <w:rPr>
                <w:sz w:val="20"/>
                <w:szCs w:val="20"/>
              </w:rPr>
            </w:pPr>
            <w:r w:rsidRPr="002A7A24">
              <w:rPr>
                <w:sz w:val="20"/>
                <w:szCs w:val="20"/>
              </w:rPr>
              <w:t>12</w:t>
            </w:r>
            <w:r w:rsidR="00F57F75" w:rsidRPr="002A7A24">
              <w:rPr>
                <w:sz w:val="20"/>
                <w:szCs w:val="20"/>
              </w:rPr>
              <w:t xml:space="preserve"> Les cadres certifient la mise en </w:t>
            </w:r>
            <w:proofErr w:type="spellStart"/>
            <w:r w:rsidR="009F4B65" w:rsidRPr="002A7A24">
              <w:rPr>
                <w:sz w:val="20"/>
                <w:szCs w:val="20"/>
              </w:rPr>
              <w:t>oe</w:t>
            </w:r>
            <w:r w:rsidR="00F57F75" w:rsidRPr="002A7A24">
              <w:rPr>
                <w:sz w:val="20"/>
                <w:szCs w:val="20"/>
              </w:rPr>
              <w:t>uvre</w:t>
            </w:r>
            <w:proofErr w:type="spellEnd"/>
            <w:r w:rsidR="00F57F75" w:rsidRPr="002A7A24">
              <w:rPr>
                <w:sz w:val="20"/>
                <w:szCs w:val="20"/>
              </w:rPr>
              <w:t xml:space="preserve"> des contrôles internes au titre de leur délégation de pouvoirs</w:t>
            </w:r>
            <w:r w:rsidRPr="002A7A24">
              <w:rPr>
                <w:sz w:val="20"/>
                <w:szCs w:val="20"/>
              </w:rPr>
              <w:t>.</w:t>
            </w:r>
          </w:p>
        </w:tc>
        <w:tc>
          <w:tcPr>
            <w:tcW w:w="3969" w:type="dxa"/>
            <w:shd w:val="clear" w:color="auto" w:fill="FFFFFF" w:themeFill="background1"/>
          </w:tcPr>
          <w:p w:rsidR="00F57F75" w:rsidRPr="002A7A24" w:rsidRDefault="00F57F75" w:rsidP="004E5574">
            <w:pPr>
              <w:pStyle w:val="Tabletext"/>
              <w:rPr>
                <w:sz w:val="20"/>
                <w:szCs w:val="20"/>
              </w:rPr>
            </w:pPr>
            <w:r w:rsidRPr="002A7A24">
              <w:rPr>
                <w:sz w:val="20"/>
                <w:szCs w:val="20"/>
              </w:rPr>
              <w:t>Lettre/formulaire de déclaration/de garantie/d</w:t>
            </w:r>
            <w:r w:rsidR="00A26BFC" w:rsidRPr="002A7A24">
              <w:rPr>
                <w:sz w:val="20"/>
                <w:szCs w:val="20"/>
              </w:rPr>
              <w:t>'</w:t>
            </w:r>
            <w:r w:rsidRPr="002A7A24">
              <w:rPr>
                <w:sz w:val="20"/>
                <w:szCs w:val="20"/>
              </w:rPr>
              <w:t>attestation présenté(e) chaque année au chef de secrétariat.</w:t>
            </w:r>
          </w:p>
        </w:tc>
        <w:tc>
          <w:tcPr>
            <w:tcW w:w="1134" w:type="dxa"/>
            <w:shd w:val="clear" w:color="auto" w:fill="FFFFFF" w:themeFill="background1"/>
          </w:tcPr>
          <w:p w:rsidR="00F57F75" w:rsidRPr="002A7A24" w:rsidRDefault="00F57F75" w:rsidP="004E5574">
            <w:pPr>
              <w:pStyle w:val="Tabletext"/>
              <w:jc w:val="center"/>
              <w:rPr>
                <w:sz w:val="20"/>
                <w:szCs w:val="20"/>
              </w:rPr>
            </w:pPr>
            <w:r w:rsidRPr="002A7A24">
              <w:rPr>
                <w:rFonts w:ascii="Wingdings" w:hAnsi="Wingdings"/>
                <w:sz w:val="20"/>
                <w:szCs w:val="20"/>
              </w:rPr>
              <w:sym w:font="Wingdings" w:char="F0FC"/>
            </w:r>
          </w:p>
        </w:tc>
        <w:tc>
          <w:tcPr>
            <w:tcW w:w="6522" w:type="dxa"/>
            <w:shd w:val="clear" w:color="auto" w:fill="FFFFFF" w:themeFill="background1"/>
          </w:tcPr>
          <w:p w:rsidR="00F57F75" w:rsidRPr="002A7A24" w:rsidRDefault="00F57F75" w:rsidP="004E5574">
            <w:pPr>
              <w:pStyle w:val="Tabletext"/>
              <w:rPr>
                <w:sz w:val="20"/>
                <w:szCs w:val="20"/>
                <w:lang w:eastAsia="fr-FR"/>
              </w:rPr>
            </w:pPr>
            <w:bookmarkStart w:id="113" w:name="lt_pId250"/>
            <w:r w:rsidRPr="002A7A24">
              <w:rPr>
                <w:sz w:val="20"/>
                <w:szCs w:val="20"/>
                <w:lang w:eastAsia="fr-FR"/>
              </w:rPr>
              <w:t>Chaque fonctionnaire élu,</w:t>
            </w:r>
            <w:r w:rsidR="00A26BFC" w:rsidRPr="002A7A24">
              <w:rPr>
                <w:sz w:val="20"/>
                <w:szCs w:val="20"/>
                <w:lang w:eastAsia="fr-FR"/>
              </w:rPr>
              <w:t xml:space="preserve"> </w:t>
            </w:r>
            <w:r w:rsidRPr="002A7A24">
              <w:rPr>
                <w:sz w:val="20"/>
                <w:szCs w:val="20"/>
                <w:lang w:eastAsia="fr-FR"/>
              </w:rPr>
              <w:t>les Chefs</w:t>
            </w:r>
            <w:r w:rsidR="00A26BFC" w:rsidRPr="002A7A24">
              <w:rPr>
                <w:sz w:val="20"/>
                <w:szCs w:val="20"/>
                <w:lang w:eastAsia="fr-FR"/>
              </w:rPr>
              <w:t xml:space="preserve"> </w:t>
            </w:r>
            <w:r w:rsidRPr="002A7A24">
              <w:rPr>
                <w:sz w:val="20"/>
                <w:szCs w:val="20"/>
                <w:lang w:eastAsia="fr-FR"/>
              </w:rPr>
              <w:t xml:space="preserve">de </w:t>
            </w:r>
            <w:r w:rsidR="002D3E49" w:rsidRPr="002A7A24">
              <w:rPr>
                <w:sz w:val="20"/>
                <w:szCs w:val="20"/>
                <w:lang w:eastAsia="fr-FR"/>
              </w:rPr>
              <w:t>Département</w:t>
            </w:r>
            <w:r w:rsidRPr="002A7A24">
              <w:rPr>
                <w:sz w:val="20"/>
                <w:szCs w:val="20"/>
                <w:lang w:eastAsia="fr-FR"/>
              </w:rPr>
              <w:t xml:space="preserve"> et les Chefs des </w:t>
            </w:r>
            <w:r w:rsidR="002D3E49" w:rsidRPr="002A7A24">
              <w:rPr>
                <w:sz w:val="20"/>
                <w:szCs w:val="20"/>
                <w:lang w:eastAsia="fr-FR"/>
              </w:rPr>
              <w:t>Unités</w:t>
            </w:r>
            <w:r w:rsidRPr="002A7A24">
              <w:rPr>
                <w:sz w:val="20"/>
                <w:szCs w:val="20"/>
                <w:lang w:eastAsia="fr-FR"/>
              </w:rPr>
              <w:t xml:space="preserve"> du SG sont tenus de soumettre une lettre</w:t>
            </w:r>
            <w:r w:rsidR="00A26BFC" w:rsidRPr="002A7A24">
              <w:rPr>
                <w:sz w:val="20"/>
                <w:szCs w:val="20"/>
                <w:lang w:eastAsia="fr-FR"/>
              </w:rPr>
              <w:t xml:space="preserve"> </w:t>
            </w:r>
            <w:r w:rsidRPr="002A7A24">
              <w:rPr>
                <w:sz w:val="20"/>
                <w:szCs w:val="20"/>
                <w:lang w:eastAsia="fr-FR"/>
              </w:rPr>
              <w:t xml:space="preserve">de </w:t>
            </w:r>
            <w:r w:rsidR="002D3E49" w:rsidRPr="002A7A24">
              <w:rPr>
                <w:sz w:val="20"/>
                <w:szCs w:val="20"/>
                <w:lang w:eastAsia="fr-FR"/>
              </w:rPr>
              <w:t>représentation</w:t>
            </w:r>
            <w:r w:rsidRPr="002A7A24">
              <w:rPr>
                <w:sz w:val="20"/>
                <w:szCs w:val="20"/>
                <w:lang w:eastAsia="fr-FR"/>
              </w:rPr>
              <w:t xml:space="preserve"> interne, qui constitue une confirmation écrite attestant qu</w:t>
            </w:r>
            <w:r w:rsidR="00A26BFC" w:rsidRPr="002A7A24">
              <w:rPr>
                <w:sz w:val="20"/>
                <w:szCs w:val="20"/>
                <w:lang w:eastAsia="fr-FR"/>
              </w:rPr>
              <w:t>'</w:t>
            </w:r>
            <w:r w:rsidRPr="002A7A24">
              <w:rPr>
                <w:sz w:val="20"/>
                <w:szCs w:val="20"/>
                <w:lang w:eastAsia="fr-FR"/>
              </w:rPr>
              <w:t>ils ont dûment exercé les pouvoirs financiers et les responsabilités qui leur</w:t>
            </w:r>
            <w:r w:rsidR="00A26BFC" w:rsidRPr="002A7A24">
              <w:rPr>
                <w:sz w:val="20"/>
                <w:szCs w:val="20"/>
                <w:lang w:eastAsia="fr-FR"/>
              </w:rPr>
              <w:t xml:space="preserve"> </w:t>
            </w:r>
            <w:r w:rsidRPr="002A7A24">
              <w:rPr>
                <w:sz w:val="20"/>
                <w:szCs w:val="20"/>
                <w:lang w:eastAsia="fr-FR"/>
              </w:rPr>
              <w:t>sont délégués</w:t>
            </w:r>
            <w:r w:rsidR="004E5574" w:rsidRPr="002A7A24">
              <w:rPr>
                <w:sz w:val="20"/>
                <w:szCs w:val="20"/>
                <w:lang w:eastAsia="fr-FR"/>
              </w:rPr>
              <w:t>.</w:t>
            </w:r>
            <w:bookmarkEnd w:id="113"/>
          </w:p>
        </w:tc>
      </w:tr>
      <w:tr w:rsidR="00F57F75" w:rsidRPr="002A7A24" w:rsidTr="00164958">
        <w:tc>
          <w:tcPr>
            <w:tcW w:w="2977" w:type="dxa"/>
            <w:vMerge w:val="restart"/>
            <w:shd w:val="clear" w:color="auto" w:fill="FFFFFF" w:themeFill="background1"/>
          </w:tcPr>
          <w:p w:rsidR="00F57F75" w:rsidRPr="002A7A24" w:rsidRDefault="004E5574" w:rsidP="004E5574">
            <w:pPr>
              <w:pStyle w:val="Tabletext"/>
              <w:rPr>
                <w:sz w:val="20"/>
                <w:szCs w:val="20"/>
              </w:rPr>
            </w:pPr>
            <w:r w:rsidRPr="002A7A24">
              <w:rPr>
                <w:sz w:val="20"/>
                <w:szCs w:val="20"/>
              </w:rPr>
              <w:t>13</w:t>
            </w:r>
            <w:r w:rsidR="00F57F75" w:rsidRPr="002A7A24">
              <w:rPr>
                <w:sz w:val="20"/>
                <w:szCs w:val="20"/>
              </w:rPr>
              <w:t xml:space="preserve"> Le personnel à tous les niveaux a accès à une information pertinente et fiable qui l</w:t>
            </w:r>
            <w:r w:rsidR="00A26BFC" w:rsidRPr="002A7A24">
              <w:rPr>
                <w:sz w:val="20"/>
                <w:szCs w:val="20"/>
              </w:rPr>
              <w:t>'</w:t>
            </w:r>
            <w:r w:rsidR="00F57F75" w:rsidRPr="002A7A24">
              <w:rPr>
                <w:sz w:val="20"/>
                <w:szCs w:val="20"/>
              </w:rPr>
              <w:t>aide à prendre des décisions dans le cadre des pouvoirs qui lui sont délégués et l</w:t>
            </w:r>
            <w:r w:rsidR="00A26BFC" w:rsidRPr="002A7A24">
              <w:rPr>
                <w:sz w:val="20"/>
                <w:szCs w:val="20"/>
              </w:rPr>
              <w:t>'</w:t>
            </w:r>
            <w:r w:rsidR="00F57F75" w:rsidRPr="002A7A24">
              <w:rPr>
                <w:sz w:val="20"/>
                <w:szCs w:val="20"/>
              </w:rPr>
              <w:t>organisation dispose d</w:t>
            </w:r>
            <w:r w:rsidR="00A26BFC" w:rsidRPr="002A7A24">
              <w:rPr>
                <w:sz w:val="20"/>
                <w:szCs w:val="20"/>
              </w:rPr>
              <w:t>'</w:t>
            </w:r>
            <w:r w:rsidR="00F57F75" w:rsidRPr="002A7A24">
              <w:rPr>
                <w:sz w:val="20"/>
                <w:szCs w:val="20"/>
              </w:rPr>
              <w:t>un système de communication interne et externe</w:t>
            </w:r>
            <w:r w:rsidRPr="002A7A24">
              <w:rPr>
                <w:sz w:val="20"/>
                <w:szCs w:val="20"/>
              </w:rPr>
              <w:t>.</w:t>
            </w:r>
          </w:p>
        </w:tc>
        <w:tc>
          <w:tcPr>
            <w:tcW w:w="3969" w:type="dxa"/>
            <w:shd w:val="clear" w:color="auto" w:fill="FFFFFF" w:themeFill="background1"/>
          </w:tcPr>
          <w:p w:rsidR="00F57F75" w:rsidRPr="002A7A24" w:rsidRDefault="00F57F75" w:rsidP="004E5574">
            <w:pPr>
              <w:pStyle w:val="Tabletext"/>
              <w:rPr>
                <w:sz w:val="20"/>
                <w:szCs w:val="20"/>
              </w:rPr>
            </w:pPr>
            <w:r w:rsidRPr="002A7A24">
              <w:rPr>
                <w:sz w:val="20"/>
                <w:szCs w:val="20"/>
              </w:rPr>
              <w:t xml:space="preserve">Progiciel de </w:t>
            </w:r>
            <w:proofErr w:type="gramStart"/>
            <w:r w:rsidRPr="002A7A24">
              <w:rPr>
                <w:sz w:val="20"/>
                <w:szCs w:val="20"/>
              </w:rPr>
              <w:t>gestion intégré</w:t>
            </w:r>
            <w:proofErr w:type="gramEnd"/>
            <w:r w:rsidRPr="002A7A24">
              <w:rPr>
                <w:sz w:val="20"/>
                <w:szCs w:val="20"/>
              </w:rPr>
              <w:t xml:space="preserve"> ou système similaire en place pour générer et publier des informations pertinentes</w:t>
            </w:r>
            <w:r w:rsidR="004E5574" w:rsidRPr="002A7A24">
              <w:rPr>
                <w:sz w:val="20"/>
                <w:szCs w:val="20"/>
              </w:rPr>
              <w:t>.</w:t>
            </w:r>
          </w:p>
        </w:tc>
        <w:tc>
          <w:tcPr>
            <w:tcW w:w="1134" w:type="dxa"/>
            <w:shd w:val="clear" w:color="auto" w:fill="auto"/>
            <w:vAlign w:val="center"/>
          </w:tcPr>
          <w:p w:rsidR="00F57F75" w:rsidRPr="002A7A24" w:rsidRDefault="00F57F75" w:rsidP="004E5574">
            <w:pPr>
              <w:pStyle w:val="Tabletext"/>
              <w:jc w:val="center"/>
              <w:rPr>
                <w:sz w:val="20"/>
                <w:szCs w:val="20"/>
              </w:rPr>
            </w:pPr>
            <w:r w:rsidRPr="002A7A24">
              <w:rPr>
                <w:sz w:val="20"/>
                <w:szCs w:val="20"/>
              </w:rPr>
              <w:t>En cours</w:t>
            </w:r>
          </w:p>
        </w:tc>
        <w:tc>
          <w:tcPr>
            <w:tcW w:w="6522" w:type="dxa"/>
            <w:vMerge w:val="restart"/>
            <w:shd w:val="clear" w:color="auto" w:fill="auto"/>
            <w:vAlign w:val="center"/>
          </w:tcPr>
          <w:p w:rsidR="00F57F75" w:rsidRPr="002A7A24" w:rsidRDefault="004E5574" w:rsidP="002A7A24">
            <w:pPr>
              <w:pStyle w:val="Tabletext"/>
              <w:rPr>
                <w:sz w:val="20"/>
                <w:szCs w:val="20"/>
                <w:lang w:eastAsia="fr-FR"/>
              </w:rPr>
            </w:pPr>
            <w:bookmarkStart w:id="114" w:name="lt_pId255"/>
            <w:r w:rsidRPr="002A7A24">
              <w:rPr>
                <w:sz w:val="20"/>
                <w:szCs w:val="20"/>
                <w:lang w:eastAsia="fr-FR"/>
              </w:rPr>
              <w:t>L</w:t>
            </w:r>
            <w:r w:rsidR="00A26BFC" w:rsidRPr="002A7A24">
              <w:rPr>
                <w:sz w:val="20"/>
                <w:szCs w:val="20"/>
                <w:lang w:eastAsia="fr-FR"/>
              </w:rPr>
              <w:t>'</w:t>
            </w:r>
            <w:r w:rsidR="00F57F75" w:rsidRPr="002A7A24">
              <w:rPr>
                <w:sz w:val="20"/>
                <w:szCs w:val="20"/>
                <w:lang w:eastAsia="fr-FR"/>
              </w:rPr>
              <w:t>UIT</w:t>
            </w:r>
            <w:r w:rsidR="00A26BFC" w:rsidRPr="002A7A24">
              <w:rPr>
                <w:sz w:val="20"/>
                <w:szCs w:val="20"/>
                <w:lang w:eastAsia="fr-FR"/>
              </w:rPr>
              <w:t xml:space="preserve"> </w:t>
            </w:r>
            <w:r w:rsidR="00F57F75" w:rsidRPr="002A7A24">
              <w:rPr>
                <w:sz w:val="20"/>
                <w:szCs w:val="20"/>
                <w:lang w:eastAsia="fr-FR"/>
              </w:rPr>
              <w:t>gère les informations et les connaissances par le biais de la gestion normalisée de l</w:t>
            </w:r>
            <w:r w:rsidR="00A26BFC" w:rsidRPr="002A7A24">
              <w:rPr>
                <w:sz w:val="20"/>
                <w:szCs w:val="20"/>
                <w:lang w:eastAsia="fr-FR"/>
              </w:rPr>
              <w:t>'</w:t>
            </w:r>
            <w:r w:rsidR="00F57F75" w:rsidRPr="002A7A24">
              <w:rPr>
                <w:sz w:val="20"/>
                <w:szCs w:val="20"/>
                <w:lang w:eastAsia="fr-FR"/>
              </w:rPr>
              <w:t>information, c'est-à-dire en utilisant le système</w:t>
            </w:r>
            <w:r w:rsidR="00A26BFC" w:rsidRPr="002A7A24">
              <w:rPr>
                <w:sz w:val="20"/>
                <w:szCs w:val="20"/>
                <w:lang w:eastAsia="fr-FR"/>
              </w:rPr>
              <w:t xml:space="preserve"> </w:t>
            </w:r>
            <w:r w:rsidR="00F57F75" w:rsidRPr="002A7A24">
              <w:rPr>
                <w:sz w:val="20"/>
                <w:szCs w:val="20"/>
                <w:lang w:eastAsia="fr-FR"/>
              </w:rPr>
              <w:t>ERP, SharePoint, les répertoires de fichiers, les outils d'informatique décisionnelle</w:t>
            </w:r>
            <w:r w:rsidR="00A26BFC" w:rsidRPr="002A7A24">
              <w:rPr>
                <w:sz w:val="20"/>
                <w:szCs w:val="20"/>
                <w:lang w:eastAsia="fr-FR"/>
              </w:rPr>
              <w:t>,</w:t>
            </w:r>
            <w:r w:rsidR="00F57F75" w:rsidRPr="002A7A24">
              <w:rPr>
                <w:sz w:val="20"/>
                <w:szCs w:val="20"/>
                <w:lang w:eastAsia="fr-FR"/>
              </w:rPr>
              <w:t xml:space="preserve"> qui fournissent aux fonctionnaires un accès à l</w:t>
            </w:r>
            <w:r w:rsidR="00A26BFC" w:rsidRPr="002A7A24">
              <w:rPr>
                <w:sz w:val="20"/>
                <w:szCs w:val="20"/>
                <w:lang w:eastAsia="fr-FR"/>
              </w:rPr>
              <w:t>'</w:t>
            </w:r>
            <w:r w:rsidR="00F57F75" w:rsidRPr="002A7A24">
              <w:rPr>
                <w:sz w:val="20"/>
                <w:szCs w:val="20"/>
                <w:lang w:eastAsia="fr-FR"/>
              </w:rPr>
              <w:t>information</w:t>
            </w:r>
            <w:r w:rsidR="00A26BFC" w:rsidRPr="002A7A24">
              <w:rPr>
                <w:sz w:val="20"/>
                <w:szCs w:val="20"/>
                <w:lang w:eastAsia="fr-FR"/>
              </w:rPr>
              <w:t xml:space="preserve"> </w:t>
            </w:r>
            <w:r w:rsidR="00F57F75" w:rsidRPr="002A7A24">
              <w:rPr>
                <w:sz w:val="20"/>
                <w:szCs w:val="20"/>
                <w:lang w:eastAsia="fr-FR"/>
              </w:rPr>
              <w:t>selon leur rôle</w:t>
            </w:r>
            <w:r w:rsidR="00A26BFC" w:rsidRPr="002A7A24">
              <w:rPr>
                <w:sz w:val="20"/>
                <w:szCs w:val="20"/>
                <w:lang w:eastAsia="fr-FR"/>
              </w:rPr>
              <w:t xml:space="preserve"> </w:t>
            </w:r>
            <w:r w:rsidR="00F57F75" w:rsidRPr="002A7A24">
              <w:rPr>
                <w:sz w:val="20"/>
                <w:szCs w:val="20"/>
                <w:lang w:eastAsia="fr-FR"/>
              </w:rPr>
              <w:t>et</w:t>
            </w:r>
            <w:r w:rsidR="00A26BFC" w:rsidRPr="002A7A24">
              <w:rPr>
                <w:sz w:val="20"/>
                <w:szCs w:val="20"/>
                <w:lang w:eastAsia="fr-FR"/>
              </w:rPr>
              <w:t xml:space="preserve"> </w:t>
            </w:r>
            <w:r w:rsidR="00F57F75" w:rsidRPr="002A7A24">
              <w:rPr>
                <w:sz w:val="20"/>
                <w:szCs w:val="20"/>
                <w:lang w:eastAsia="fr-FR"/>
              </w:rPr>
              <w:t>leurs fonctions</w:t>
            </w:r>
            <w:r w:rsidRPr="002A7A24">
              <w:rPr>
                <w:sz w:val="20"/>
                <w:szCs w:val="20"/>
                <w:lang w:eastAsia="fr-FR"/>
              </w:rPr>
              <w:t>.</w:t>
            </w:r>
            <w:bookmarkEnd w:id="114"/>
          </w:p>
        </w:tc>
      </w:tr>
      <w:tr w:rsidR="00F57F75" w:rsidRPr="002A7A24" w:rsidTr="00164958">
        <w:tc>
          <w:tcPr>
            <w:tcW w:w="2977" w:type="dxa"/>
            <w:vMerge/>
            <w:shd w:val="clear" w:color="auto" w:fill="FFFFFF" w:themeFill="background1"/>
          </w:tcPr>
          <w:p w:rsidR="00F57F75" w:rsidRPr="002A7A24" w:rsidRDefault="00F57F75" w:rsidP="004E5574">
            <w:pPr>
              <w:pStyle w:val="Tabletext"/>
              <w:rPr>
                <w:sz w:val="20"/>
                <w:szCs w:val="20"/>
              </w:rPr>
            </w:pPr>
          </w:p>
        </w:tc>
        <w:tc>
          <w:tcPr>
            <w:tcW w:w="3969" w:type="dxa"/>
            <w:shd w:val="clear" w:color="auto" w:fill="FFFFFF" w:themeFill="background1"/>
          </w:tcPr>
          <w:p w:rsidR="00F57F75" w:rsidRPr="002A7A24" w:rsidRDefault="00F57F75" w:rsidP="004E5574">
            <w:pPr>
              <w:pStyle w:val="Tabletext"/>
              <w:rPr>
                <w:sz w:val="20"/>
                <w:szCs w:val="20"/>
              </w:rPr>
            </w:pPr>
            <w:r w:rsidRPr="002A7A24">
              <w:rPr>
                <w:sz w:val="20"/>
                <w:szCs w:val="20"/>
              </w:rPr>
              <w:t>Les voies de communication internes sont pleinement exploitées</w:t>
            </w:r>
            <w:r w:rsidR="004E5574" w:rsidRPr="002A7A24">
              <w:rPr>
                <w:sz w:val="20"/>
                <w:szCs w:val="20"/>
              </w:rPr>
              <w:t>.</w:t>
            </w:r>
          </w:p>
        </w:tc>
        <w:tc>
          <w:tcPr>
            <w:tcW w:w="1134" w:type="dxa"/>
            <w:shd w:val="clear" w:color="auto" w:fill="auto"/>
            <w:vAlign w:val="center"/>
          </w:tcPr>
          <w:p w:rsidR="00F57F75" w:rsidRPr="002A7A24" w:rsidRDefault="00F57F75" w:rsidP="004E5574">
            <w:pPr>
              <w:pStyle w:val="Tabletext"/>
              <w:jc w:val="center"/>
              <w:rPr>
                <w:sz w:val="20"/>
                <w:szCs w:val="20"/>
              </w:rPr>
            </w:pPr>
            <w:r w:rsidRPr="002A7A24">
              <w:rPr>
                <w:sz w:val="20"/>
                <w:szCs w:val="20"/>
              </w:rPr>
              <w:t>En cours</w:t>
            </w:r>
          </w:p>
        </w:tc>
        <w:tc>
          <w:tcPr>
            <w:tcW w:w="6522" w:type="dxa"/>
            <w:vMerge/>
            <w:shd w:val="clear" w:color="auto" w:fill="FFFF00"/>
          </w:tcPr>
          <w:p w:rsidR="00F57F75" w:rsidRPr="002A7A24" w:rsidRDefault="00F57F75" w:rsidP="004E5574">
            <w:pPr>
              <w:pStyle w:val="Tabletext"/>
              <w:rPr>
                <w:sz w:val="20"/>
                <w:szCs w:val="20"/>
              </w:rPr>
            </w:pPr>
          </w:p>
        </w:tc>
      </w:tr>
      <w:tr w:rsidR="00F57F75" w:rsidRPr="002A7A24" w:rsidTr="00164958">
        <w:tc>
          <w:tcPr>
            <w:tcW w:w="2977" w:type="dxa"/>
            <w:vMerge/>
            <w:shd w:val="clear" w:color="auto" w:fill="FFFFFF" w:themeFill="background1"/>
          </w:tcPr>
          <w:p w:rsidR="00F57F75" w:rsidRPr="002A7A24" w:rsidRDefault="00F57F75" w:rsidP="004E5574">
            <w:pPr>
              <w:pStyle w:val="Tabletext"/>
              <w:rPr>
                <w:sz w:val="20"/>
                <w:szCs w:val="20"/>
              </w:rPr>
            </w:pPr>
          </w:p>
        </w:tc>
        <w:tc>
          <w:tcPr>
            <w:tcW w:w="3969" w:type="dxa"/>
            <w:shd w:val="clear" w:color="auto" w:fill="FFFFFF" w:themeFill="background1"/>
          </w:tcPr>
          <w:p w:rsidR="00F57F75" w:rsidRPr="002A7A24" w:rsidRDefault="00F57F75" w:rsidP="004E5574">
            <w:pPr>
              <w:pStyle w:val="Tabletext"/>
              <w:rPr>
                <w:sz w:val="20"/>
                <w:szCs w:val="20"/>
              </w:rPr>
            </w:pPr>
            <w:r w:rsidRPr="002A7A24">
              <w:rPr>
                <w:sz w:val="20"/>
                <w:szCs w:val="20"/>
              </w:rPr>
              <w:t>Une politique de communication de l</w:t>
            </w:r>
            <w:r w:rsidR="00A26BFC" w:rsidRPr="002A7A24">
              <w:rPr>
                <w:sz w:val="20"/>
                <w:szCs w:val="20"/>
              </w:rPr>
              <w:t>'</w:t>
            </w:r>
            <w:r w:rsidRPr="002A7A24">
              <w:rPr>
                <w:sz w:val="20"/>
                <w:szCs w:val="20"/>
              </w:rPr>
              <w:t>information est en place</w:t>
            </w:r>
            <w:r w:rsidR="004E5574" w:rsidRPr="002A7A24">
              <w:rPr>
                <w:sz w:val="20"/>
                <w:szCs w:val="20"/>
              </w:rPr>
              <w:t>.</w:t>
            </w:r>
          </w:p>
        </w:tc>
        <w:tc>
          <w:tcPr>
            <w:tcW w:w="1134" w:type="dxa"/>
            <w:shd w:val="clear" w:color="auto" w:fill="auto"/>
            <w:vAlign w:val="center"/>
          </w:tcPr>
          <w:p w:rsidR="00F57F75" w:rsidRPr="002A7A24" w:rsidRDefault="00F57F75" w:rsidP="004E5574">
            <w:pPr>
              <w:pStyle w:val="Tabletext"/>
              <w:jc w:val="center"/>
              <w:rPr>
                <w:sz w:val="20"/>
                <w:szCs w:val="20"/>
              </w:rPr>
            </w:pPr>
            <w:r w:rsidRPr="002A7A24">
              <w:rPr>
                <w:sz w:val="20"/>
                <w:szCs w:val="20"/>
              </w:rPr>
              <w:t>En cours</w:t>
            </w:r>
          </w:p>
        </w:tc>
        <w:tc>
          <w:tcPr>
            <w:tcW w:w="6522" w:type="dxa"/>
            <w:vMerge/>
            <w:shd w:val="clear" w:color="auto" w:fill="FFFF00"/>
          </w:tcPr>
          <w:p w:rsidR="00F57F75" w:rsidRPr="002A7A24" w:rsidRDefault="00F57F75" w:rsidP="004E5574">
            <w:pPr>
              <w:pStyle w:val="Tabletext"/>
              <w:rPr>
                <w:sz w:val="20"/>
                <w:szCs w:val="20"/>
              </w:rPr>
            </w:pPr>
          </w:p>
        </w:tc>
      </w:tr>
      <w:tr w:rsidR="00F57F75" w:rsidRPr="002A7A24" w:rsidTr="00164958">
        <w:tc>
          <w:tcPr>
            <w:tcW w:w="2977" w:type="dxa"/>
            <w:vMerge w:val="restart"/>
            <w:shd w:val="clear" w:color="auto" w:fill="FFFFFF" w:themeFill="background1"/>
          </w:tcPr>
          <w:p w:rsidR="00F57F75" w:rsidRPr="002A7A24" w:rsidRDefault="004E5574" w:rsidP="004E5574">
            <w:pPr>
              <w:pStyle w:val="Tabletext"/>
              <w:rPr>
                <w:sz w:val="20"/>
                <w:szCs w:val="20"/>
              </w:rPr>
            </w:pPr>
            <w:r w:rsidRPr="002A7A24">
              <w:rPr>
                <w:sz w:val="20"/>
                <w:szCs w:val="20"/>
              </w:rPr>
              <w:t>14</w:t>
            </w:r>
            <w:r w:rsidR="00F57F75" w:rsidRPr="002A7A24">
              <w:rPr>
                <w:sz w:val="20"/>
                <w:szCs w:val="20"/>
              </w:rPr>
              <w:t xml:space="preserve"> Le comportement professionnel des chefs de secrétariat, des hauts fonctionnaires et du personnel est suivi et des mesures correctives sont prises le cas échéant.</w:t>
            </w:r>
          </w:p>
        </w:tc>
        <w:tc>
          <w:tcPr>
            <w:tcW w:w="3969" w:type="dxa"/>
            <w:shd w:val="clear" w:color="auto" w:fill="FFFFFF" w:themeFill="background1"/>
          </w:tcPr>
          <w:p w:rsidR="00F57F75" w:rsidRPr="002A7A24" w:rsidRDefault="00726716" w:rsidP="004E5574">
            <w:pPr>
              <w:pStyle w:val="Tabletext"/>
              <w:rPr>
                <w:sz w:val="20"/>
                <w:szCs w:val="20"/>
              </w:rPr>
            </w:pPr>
            <w:r w:rsidRPr="002A7A24">
              <w:rPr>
                <w:sz w:val="20"/>
                <w:szCs w:val="20"/>
              </w:rPr>
              <w:t>E</w:t>
            </w:r>
            <w:r w:rsidR="00F57F75" w:rsidRPr="002A7A24">
              <w:rPr>
                <w:sz w:val="20"/>
                <w:szCs w:val="20"/>
              </w:rPr>
              <w:t>valuation du comportement professionnel du personnel à tous les niveaux, y compr</w:t>
            </w:r>
            <w:r w:rsidR="004E5574" w:rsidRPr="002A7A24">
              <w:rPr>
                <w:sz w:val="20"/>
                <w:szCs w:val="20"/>
              </w:rPr>
              <w:t>is une évaluation "panoramique".</w:t>
            </w:r>
          </w:p>
        </w:tc>
        <w:tc>
          <w:tcPr>
            <w:tcW w:w="1134" w:type="dxa"/>
            <w:shd w:val="clear" w:color="auto" w:fill="FFFFFF" w:themeFill="background1"/>
            <w:vAlign w:val="center"/>
          </w:tcPr>
          <w:p w:rsidR="00F57F75" w:rsidRPr="002A7A24" w:rsidRDefault="00F57F75" w:rsidP="004E5574">
            <w:pPr>
              <w:pStyle w:val="Tabletext"/>
              <w:jc w:val="center"/>
              <w:rPr>
                <w:sz w:val="20"/>
                <w:szCs w:val="20"/>
              </w:rPr>
            </w:pPr>
            <w:r w:rsidRPr="002A7A24">
              <w:rPr>
                <w:sz w:val="20"/>
                <w:szCs w:val="20"/>
              </w:rPr>
              <w:t>En cours</w:t>
            </w:r>
          </w:p>
        </w:tc>
        <w:tc>
          <w:tcPr>
            <w:tcW w:w="6522" w:type="dxa"/>
            <w:shd w:val="clear" w:color="auto" w:fill="auto"/>
            <w:vAlign w:val="center"/>
          </w:tcPr>
          <w:p w:rsidR="00F57F75" w:rsidRPr="002A7A24" w:rsidRDefault="00F57F75" w:rsidP="004E5574">
            <w:pPr>
              <w:pStyle w:val="Tabletext"/>
              <w:rPr>
                <w:sz w:val="20"/>
                <w:szCs w:val="20"/>
              </w:rPr>
            </w:pPr>
            <w:bookmarkStart w:id="115" w:name="lt_pId264"/>
            <w:r w:rsidRPr="002A7A24">
              <w:rPr>
                <w:sz w:val="20"/>
                <w:szCs w:val="20"/>
              </w:rPr>
              <w:t>Le nouveau système d</w:t>
            </w:r>
            <w:r w:rsidR="00A26BFC" w:rsidRPr="002A7A24">
              <w:rPr>
                <w:sz w:val="20"/>
                <w:szCs w:val="20"/>
              </w:rPr>
              <w:t>'</w:t>
            </w:r>
            <w:r w:rsidRPr="002A7A24">
              <w:rPr>
                <w:sz w:val="20"/>
                <w:szCs w:val="20"/>
              </w:rPr>
              <w:t xml:space="preserve">évaluation qui sera mis en </w:t>
            </w:r>
            <w:proofErr w:type="spellStart"/>
            <w:r w:rsidRPr="002A7A24">
              <w:rPr>
                <w:sz w:val="20"/>
                <w:szCs w:val="20"/>
              </w:rPr>
              <w:t>oeuvre</w:t>
            </w:r>
            <w:proofErr w:type="spellEnd"/>
            <w:r w:rsidRPr="002A7A24">
              <w:rPr>
                <w:sz w:val="20"/>
                <w:szCs w:val="20"/>
              </w:rPr>
              <w:t xml:space="preserve"> dans le courant de</w:t>
            </w:r>
            <w:r w:rsidR="00A26BFC" w:rsidRPr="002A7A24">
              <w:rPr>
                <w:sz w:val="20"/>
                <w:szCs w:val="20"/>
              </w:rPr>
              <w:t xml:space="preserve"> </w:t>
            </w:r>
            <w:r w:rsidRPr="002A7A24">
              <w:rPr>
                <w:sz w:val="20"/>
                <w:szCs w:val="20"/>
              </w:rPr>
              <w:t>2017</w:t>
            </w:r>
            <w:r w:rsidR="004E5574" w:rsidRPr="002A7A24">
              <w:rPr>
                <w:sz w:val="20"/>
                <w:szCs w:val="20"/>
              </w:rPr>
              <w:t xml:space="preserve"> ne prévoit pas une évaluation "</w:t>
            </w:r>
            <w:r w:rsidRPr="002A7A24">
              <w:rPr>
                <w:sz w:val="20"/>
                <w:szCs w:val="20"/>
              </w:rPr>
              <w:t>panoramique</w:t>
            </w:r>
            <w:bookmarkEnd w:id="115"/>
            <w:r w:rsidR="004E5574" w:rsidRPr="002A7A24">
              <w:rPr>
                <w:sz w:val="20"/>
                <w:szCs w:val="20"/>
              </w:rPr>
              <w:t>".</w:t>
            </w:r>
          </w:p>
        </w:tc>
      </w:tr>
      <w:tr w:rsidR="00F57F75" w:rsidRPr="002A7A24" w:rsidTr="00164958">
        <w:tc>
          <w:tcPr>
            <w:tcW w:w="2977" w:type="dxa"/>
            <w:vMerge/>
            <w:shd w:val="clear" w:color="auto" w:fill="FFFFFF" w:themeFill="background1"/>
          </w:tcPr>
          <w:p w:rsidR="00F57F75" w:rsidRPr="002A7A24" w:rsidRDefault="00F57F75" w:rsidP="004E5574">
            <w:pPr>
              <w:pStyle w:val="Tabletext"/>
              <w:rPr>
                <w:sz w:val="20"/>
                <w:szCs w:val="20"/>
              </w:rPr>
            </w:pPr>
          </w:p>
        </w:tc>
        <w:tc>
          <w:tcPr>
            <w:tcW w:w="3969" w:type="dxa"/>
            <w:shd w:val="clear" w:color="auto" w:fill="FFFFFF" w:themeFill="background1"/>
          </w:tcPr>
          <w:p w:rsidR="00F57F75" w:rsidRPr="002A7A24" w:rsidRDefault="00F57F75" w:rsidP="004E5574">
            <w:pPr>
              <w:pStyle w:val="Tabletext"/>
              <w:rPr>
                <w:sz w:val="20"/>
                <w:szCs w:val="20"/>
              </w:rPr>
            </w:pPr>
            <w:r w:rsidRPr="002A7A24">
              <w:rPr>
                <w:sz w:val="20"/>
                <w:szCs w:val="20"/>
              </w:rPr>
              <w:t xml:space="preserve">Contrats de mission ou </w:t>
            </w:r>
            <w:r w:rsidR="004E5574" w:rsidRPr="002A7A24">
              <w:rPr>
                <w:sz w:val="20"/>
                <w:szCs w:val="20"/>
              </w:rPr>
              <w:t>outils de type tableaux de bord.</w:t>
            </w:r>
          </w:p>
        </w:tc>
        <w:tc>
          <w:tcPr>
            <w:tcW w:w="1134" w:type="dxa"/>
            <w:shd w:val="clear" w:color="auto" w:fill="auto"/>
            <w:vAlign w:val="center"/>
          </w:tcPr>
          <w:p w:rsidR="00F57F75" w:rsidRPr="002A7A24" w:rsidRDefault="00F57F75" w:rsidP="004E5574">
            <w:pPr>
              <w:pStyle w:val="Tabletext"/>
              <w:jc w:val="center"/>
              <w:rPr>
                <w:sz w:val="20"/>
                <w:szCs w:val="20"/>
              </w:rPr>
            </w:pPr>
            <w:r w:rsidRPr="002A7A24">
              <w:rPr>
                <w:sz w:val="20"/>
                <w:szCs w:val="20"/>
              </w:rPr>
              <w:t>Pas appliqué</w:t>
            </w:r>
          </w:p>
        </w:tc>
        <w:tc>
          <w:tcPr>
            <w:tcW w:w="6522" w:type="dxa"/>
            <w:shd w:val="clear" w:color="auto" w:fill="auto"/>
            <w:vAlign w:val="center"/>
          </w:tcPr>
          <w:p w:rsidR="00F57F75" w:rsidRPr="002A7A24" w:rsidRDefault="00F57F75" w:rsidP="004E5574">
            <w:pPr>
              <w:pStyle w:val="Tabletext"/>
              <w:rPr>
                <w:sz w:val="20"/>
                <w:szCs w:val="20"/>
              </w:rPr>
            </w:pPr>
          </w:p>
        </w:tc>
      </w:tr>
      <w:tr w:rsidR="00F57F75" w:rsidRPr="002A7A24" w:rsidTr="00164958">
        <w:tc>
          <w:tcPr>
            <w:tcW w:w="2977" w:type="dxa"/>
            <w:vMerge/>
            <w:shd w:val="clear" w:color="auto" w:fill="FFFFFF" w:themeFill="background1"/>
          </w:tcPr>
          <w:p w:rsidR="00F57F75" w:rsidRPr="002A7A24" w:rsidRDefault="00F57F75" w:rsidP="004E5574">
            <w:pPr>
              <w:pStyle w:val="Tabletext"/>
              <w:rPr>
                <w:sz w:val="20"/>
                <w:szCs w:val="20"/>
              </w:rPr>
            </w:pPr>
          </w:p>
        </w:tc>
        <w:tc>
          <w:tcPr>
            <w:tcW w:w="3969" w:type="dxa"/>
            <w:shd w:val="clear" w:color="auto" w:fill="FFFFFF" w:themeFill="background1"/>
          </w:tcPr>
          <w:p w:rsidR="00F57F75" w:rsidRPr="002A7A24" w:rsidRDefault="00F57F75" w:rsidP="004E5574">
            <w:pPr>
              <w:pStyle w:val="Tabletext"/>
              <w:rPr>
                <w:sz w:val="20"/>
                <w:szCs w:val="20"/>
              </w:rPr>
            </w:pPr>
            <w:r w:rsidRPr="002A7A24">
              <w:rPr>
                <w:sz w:val="20"/>
                <w:szCs w:val="20"/>
              </w:rPr>
              <w:t>Mesures correctives en cas de carences</w:t>
            </w:r>
            <w:r w:rsidR="004E5574" w:rsidRPr="002A7A24">
              <w:rPr>
                <w:sz w:val="20"/>
                <w:szCs w:val="20"/>
              </w:rPr>
              <w:t>.</w:t>
            </w:r>
          </w:p>
        </w:tc>
        <w:tc>
          <w:tcPr>
            <w:tcW w:w="1134" w:type="dxa"/>
            <w:shd w:val="clear" w:color="auto" w:fill="auto"/>
            <w:vAlign w:val="center"/>
          </w:tcPr>
          <w:p w:rsidR="00F57F75" w:rsidRPr="002A7A24" w:rsidRDefault="00F57F75" w:rsidP="004E5574">
            <w:pPr>
              <w:pStyle w:val="Tabletext"/>
              <w:jc w:val="center"/>
              <w:rPr>
                <w:sz w:val="20"/>
                <w:szCs w:val="20"/>
              </w:rPr>
            </w:pPr>
            <w:r w:rsidRPr="002A7A24">
              <w:rPr>
                <w:rFonts w:ascii="Wingdings" w:hAnsi="Wingdings"/>
                <w:sz w:val="20"/>
                <w:szCs w:val="20"/>
              </w:rPr>
              <w:sym w:font="Wingdings" w:char="F0FC"/>
            </w:r>
          </w:p>
        </w:tc>
        <w:tc>
          <w:tcPr>
            <w:tcW w:w="6522" w:type="dxa"/>
            <w:shd w:val="clear" w:color="auto" w:fill="auto"/>
            <w:vAlign w:val="center"/>
          </w:tcPr>
          <w:p w:rsidR="00F57F75" w:rsidRPr="002A7A24" w:rsidRDefault="00F57F75" w:rsidP="004E5574">
            <w:pPr>
              <w:pStyle w:val="Tabletext"/>
              <w:rPr>
                <w:sz w:val="20"/>
                <w:szCs w:val="20"/>
              </w:rPr>
            </w:pPr>
            <w:bookmarkStart w:id="116" w:name="lt_pId268"/>
            <w:r w:rsidRPr="002A7A24">
              <w:rPr>
                <w:sz w:val="20"/>
                <w:szCs w:val="20"/>
              </w:rPr>
              <w:t xml:space="preserve">Les fonctionnaires sont </w:t>
            </w:r>
            <w:r w:rsidR="002D3E49" w:rsidRPr="002A7A24">
              <w:rPr>
                <w:sz w:val="20"/>
                <w:szCs w:val="20"/>
              </w:rPr>
              <w:t>invités</w:t>
            </w:r>
            <w:r w:rsidRPr="002A7A24">
              <w:rPr>
                <w:sz w:val="20"/>
                <w:szCs w:val="20"/>
              </w:rPr>
              <w:t xml:space="preserve"> à agir par le biais de programmes de formation pour remédier à</w:t>
            </w:r>
            <w:r w:rsidR="00A26BFC" w:rsidRPr="002A7A24">
              <w:rPr>
                <w:sz w:val="20"/>
                <w:szCs w:val="20"/>
              </w:rPr>
              <w:t xml:space="preserve"> </w:t>
            </w:r>
            <w:r w:rsidRPr="002A7A24">
              <w:rPr>
                <w:sz w:val="20"/>
                <w:szCs w:val="20"/>
              </w:rPr>
              <w:t>la situation en collaboration avec leurs chefs de service</w:t>
            </w:r>
            <w:bookmarkEnd w:id="116"/>
            <w:r w:rsidR="002D3E49" w:rsidRPr="002A7A24">
              <w:rPr>
                <w:sz w:val="20"/>
                <w:szCs w:val="20"/>
              </w:rPr>
              <w:t>.</w:t>
            </w:r>
          </w:p>
        </w:tc>
      </w:tr>
      <w:tr w:rsidR="00F57F75" w:rsidRPr="002A7A24" w:rsidTr="00164958">
        <w:tc>
          <w:tcPr>
            <w:tcW w:w="2977" w:type="dxa"/>
            <w:vMerge w:val="restart"/>
            <w:shd w:val="clear" w:color="auto" w:fill="FFFFFF" w:themeFill="background1"/>
          </w:tcPr>
          <w:p w:rsidR="00F57F75" w:rsidRPr="002A7A24" w:rsidRDefault="004E5574" w:rsidP="004E5574">
            <w:pPr>
              <w:pStyle w:val="Tabletext"/>
              <w:rPr>
                <w:sz w:val="20"/>
                <w:szCs w:val="20"/>
              </w:rPr>
            </w:pPr>
            <w:r w:rsidRPr="002A7A24">
              <w:rPr>
                <w:sz w:val="20"/>
                <w:szCs w:val="20"/>
              </w:rPr>
              <w:t>15</w:t>
            </w:r>
            <w:r w:rsidR="00F57F75" w:rsidRPr="002A7A24">
              <w:rPr>
                <w:sz w:val="20"/>
                <w:szCs w:val="20"/>
              </w:rPr>
              <w:t xml:space="preserve"> Les recommandations figurant dans les audits et évaluations internes et celles des organes de contrôle sont suivies et mises en </w:t>
            </w:r>
            <w:proofErr w:type="spellStart"/>
            <w:r w:rsidR="009F4B65" w:rsidRPr="002A7A24">
              <w:rPr>
                <w:sz w:val="20"/>
                <w:szCs w:val="20"/>
              </w:rPr>
              <w:t>oe</w:t>
            </w:r>
            <w:r w:rsidR="00F57F75" w:rsidRPr="002A7A24">
              <w:rPr>
                <w:sz w:val="20"/>
                <w:szCs w:val="20"/>
              </w:rPr>
              <w:t>uvre</w:t>
            </w:r>
            <w:proofErr w:type="spellEnd"/>
            <w:r w:rsidR="00F57F75" w:rsidRPr="002A7A24">
              <w:rPr>
                <w:sz w:val="20"/>
                <w:szCs w:val="20"/>
              </w:rPr>
              <w:t xml:space="preserve"> et, si elles ne le sont pas, les raisons en sont indiquées clairement</w:t>
            </w:r>
            <w:r w:rsidR="002D3E49" w:rsidRPr="002A7A24">
              <w:rPr>
                <w:sz w:val="20"/>
                <w:szCs w:val="20"/>
              </w:rPr>
              <w:t>.</w:t>
            </w:r>
          </w:p>
        </w:tc>
        <w:tc>
          <w:tcPr>
            <w:tcW w:w="3969" w:type="dxa"/>
            <w:shd w:val="clear" w:color="auto" w:fill="FFFFFF" w:themeFill="background1"/>
          </w:tcPr>
          <w:p w:rsidR="00F57F75" w:rsidRPr="002A7A24" w:rsidRDefault="00F57F75" w:rsidP="004E5574">
            <w:pPr>
              <w:pStyle w:val="Tabletext"/>
              <w:rPr>
                <w:sz w:val="20"/>
                <w:szCs w:val="20"/>
              </w:rPr>
            </w:pPr>
            <w:r w:rsidRPr="002A7A24">
              <w:rPr>
                <w:sz w:val="20"/>
                <w:szCs w:val="20"/>
              </w:rPr>
              <w:t>Politique de communication de l</w:t>
            </w:r>
            <w:r w:rsidR="00A26BFC" w:rsidRPr="002A7A24">
              <w:rPr>
                <w:sz w:val="20"/>
                <w:szCs w:val="20"/>
              </w:rPr>
              <w:t>'</w:t>
            </w:r>
            <w:r w:rsidRPr="002A7A24">
              <w:rPr>
                <w:sz w:val="20"/>
                <w:szCs w:val="20"/>
              </w:rPr>
              <w:t>information</w:t>
            </w:r>
            <w:r w:rsidR="004E5574" w:rsidRPr="002A7A24">
              <w:rPr>
                <w:sz w:val="20"/>
                <w:szCs w:val="20"/>
              </w:rPr>
              <w:t>.</w:t>
            </w:r>
          </w:p>
        </w:tc>
        <w:tc>
          <w:tcPr>
            <w:tcW w:w="1134" w:type="dxa"/>
            <w:shd w:val="clear" w:color="auto" w:fill="auto"/>
            <w:vAlign w:val="center"/>
          </w:tcPr>
          <w:p w:rsidR="00F57F75" w:rsidRPr="002A7A24" w:rsidRDefault="00F57F75" w:rsidP="004E5574">
            <w:pPr>
              <w:pStyle w:val="Tabletext"/>
              <w:jc w:val="center"/>
              <w:rPr>
                <w:sz w:val="20"/>
                <w:szCs w:val="20"/>
              </w:rPr>
            </w:pPr>
            <w:r w:rsidRPr="002A7A24">
              <w:rPr>
                <w:sz w:val="20"/>
                <w:szCs w:val="20"/>
              </w:rPr>
              <w:t>En cours</w:t>
            </w:r>
          </w:p>
        </w:tc>
        <w:tc>
          <w:tcPr>
            <w:tcW w:w="6522" w:type="dxa"/>
            <w:shd w:val="clear" w:color="auto" w:fill="auto"/>
          </w:tcPr>
          <w:p w:rsidR="00F57F75" w:rsidRPr="002A7A24" w:rsidRDefault="00F57F75" w:rsidP="002D3E49">
            <w:pPr>
              <w:pStyle w:val="Tabletext"/>
              <w:rPr>
                <w:rFonts w:eastAsia="Times New Roman"/>
                <w:sz w:val="20"/>
                <w:szCs w:val="20"/>
              </w:rPr>
            </w:pPr>
            <w:bookmarkStart w:id="117" w:name="lt_pId273"/>
            <w:r w:rsidRPr="002A7A24">
              <w:rPr>
                <w:sz w:val="20"/>
                <w:szCs w:val="20"/>
              </w:rPr>
              <w:t>Le Conseil de l</w:t>
            </w:r>
            <w:r w:rsidR="00A26BFC" w:rsidRPr="002A7A24">
              <w:rPr>
                <w:sz w:val="20"/>
                <w:szCs w:val="20"/>
              </w:rPr>
              <w:t>'</w:t>
            </w:r>
            <w:r w:rsidRPr="002A7A24">
              <w:rPr>
                <w:sz w:val="20"/>
                <w:szCs w:val="20"/>
              </w:rPr>
              <w:t>UIT a adopté, à sa session de 2016, la</w:t>
            </w:r>
            <w:r w:rsidR="00A26BFC" w:rsidRPr="002A7A24">
              <w:rPr>
                <w:sz w:val="20"/>
                <w:szCs w:val="20"/>
              </w:rPr>
              <w:t xml:space="preserve"> </w:t>
            </w:r>
            <w:r w:rsidRPr="002A7A24">
              <w:rPr>
                <w:sz w:val="20"/>
                <w:szCs w:val="20"/>
              </w:rPr>
              <w:t>politique de l'UIT en matière d'accès à l'information/aux documents qui</w:t>
            </w:r>
            <w:r w:rsidR="00A26BFC" w:rsidRPr="002A7A24">
              <w:rPr>
                <w:sz w:val="20"/>
                <w:szCs w:val="20"/>
              </w:rPr>
              <w:t xml:space="preserve"> "</w:t>
            </w:r>
            <w:r w:rsidRPr="002A7A24">
              <w:rPr>
                <w:sz w:val="20"/>
                <w:szCs w:val="20"/>
              </w:rPr>
              <w:t>garantit l'accès du public aux informations détenues, gérées ou créées par l'UIT</w:t>
            </w:r>
            <w:r w:rsidR="00A26BFC" w:rsidRPr="002A7A24">
              <w:rPr>
                <w:sz w:val="20"/>
                <w:szCs w:val="20"/>
              </w:rPr>
              <w:t>".</w:t>
            </w:r>
            <w:r w:rsidRPr="002A7A24">
              <w:rPr>
                <w:sz w:val="20"/>
                <w:szCs w:val="20"/>
              </w:rPr>
              <w:t xml:space="preserve"> Cette politique entrera en vigueur le 1er janvier 2017 à titre provisoire</w:t>
            </w:r>
            <w:r w:rsidR="002D3E49" w:rsidRPr="002A7A24">
              <w:rPr>
                <w:sz w:val="20"/>
                <w:szCs w:val="20"/>
              </w:rPr>
              <w:t>.</w:t>
            </w:r>
            <w:bookmarkEnd w:id="117"/>
          </w:p>
        </w:tc>
      </w:tr>
      <w:tr w:rsidR="00F57F75" w:rsidRPr="002A7A24" w:rsidTr="00164958">
        <w:tc>
          <w:tcPr>
            <w:tcW w:w="2977" w:type="dxa"/>
            <w:vMerge/>
            <w:shd w:val="clear" w:color="auto" w:fill="FFFFFF" w:themeFill="background1"/>
          </w:tcPr>
          <w:p w:rsidR="00F57F75" w:rsidRPr="002A7A24" w:rsidRDefault="00F57F75" w:rsidP="004E5574">
            <w:pPr>
              <w:pStyle w:val="Tabletext"/>
              <w:rPr>
                <w:sz w:val="20"/>
                <w:szCs w:val="20"/>
              </w:rPr>
            </w:pPr>
          </w:p>
        </w:tc>
        <w:tc>
          <w:tcPr>
            <w:tcW w:w="3969" w:type="dxa"/>
            <w:shd w:val="clear" w:color="auto" w:fill="FFFFFF" w:themeFill="background1"/>
          </w:tcPr>
          <w:p w:rsidR="00F57F75" w:rsidRPr="002A7A24" w:rsidRDefault="00F57F75" w:rsidP="004E5574">
            <w:pPr>
              <w:pStyle w:val="Tabletext"/>
              <w:rPr>
                <w:sz w:val="20"/>
                <w:szCs w:val="20"/>
              </w:rPr>
            </w:pPr>
            <w:r w:rsidRPr="002A7A24">
              <w:rPr>
                <w:sz w:val="20"/>
                <w:szCs w:val="20"/>
              </w:rPr>
              <w:t xml:space="preserve">Rapports sur la mise en </w:t>
            </w:r>
            <w:proofErr w:type="spellStart"/>
            <w:r w:rsidR="009F4B65" w:rsidRPr="002A7A24">
              <w:rPr>
                <w:sz w:val="20"/>
                <w:szCs w:val="20"/>
              </w:rPr>
              <w:t>oe</w:t>
            </w:r>
            <w:r w:rsidRPr="002A7A24">
              <w:rPr>
                <w:sz w:val="20"/>
                <w:szCs w:val="20"/>
              </w:rPr>
              <w:t>uvre</w:t>
            </w:r>
            <w:proofErr w:type="spellEnd"/>
            <w:r w:rsidRPr="002A7A24">
              <w:rPr>
                <w:sz w:val="20"/>
                <w:szCs w:val="20"/>
              </w:rPr>
              <w:t xml:space="preserve"> des recommandations des organes de contrôle externe et interne</w:t>
            </w:r>
            <w:r w:rsidR="002D3E49" w:rsidRPr="002A7A24">
              <w:rPr>
                <w:sz w:val="20"/>
                <w:szCs w:val="20"/>
              </w:rPr>
              <w:t>.</w:t>
            </w:r>
          </w:p>
        </w:tc>
        <w:tc>
          <w:tcPr>
            <w:tcW w:w="1134" w:type="dxa"/>
            <w:shd w:val="clear" w:color="auto" w:fill="auto"/>
            <w:vAlign w:val="center"/>
          </w:tcPr>
          <w:p w:rsidR="00F57F75" w:rsidRPr="002A7A24" w:rsidRDefault="00F57F75" w:rsidP="004E5574">
            <w:pPr>
              <w:pStyle w:val="Tabletext"/>
              <w:jc w:val="center"/>
              <w:rPr>
                <w:sz w:val="20"/>
                <w:szCs w:val="20"/>
              </w:rPr>
            </w:pPr>
            <w:r w:rsidRPr="002A7A24">
              <w:rPr>
                <w:rFonts w:ascii="Wingdings" w:hAnsi="Wingdings"/>
                <w:sz w:val="20"/>
                <w:szCs w:val="20"/>
              </w:rPr>
              <w:sym w:font="Wingdings" w:char="F0FC"/>
            </w:r>
          </w:p>
        </w:tc>
        <w:tc>
          <w:tcPr>
            <w:tcW w:w="6522" w:type="dxa"/>
            <w:shd w:val="clear" w:color="auto" w:fill="auto"/>
          </w:tcPr>
          <w:p w:rsidR="00F57F75" w:rsidRPr="002A7A24" w:rsidRDefault="00F57F75" w:rsidP="004E5574">
            <w:pPr>
              <w:pStyle w:val="Tabletext"/>
              <w:rPr>
                <w:sz w:val="20"/>
                <w:szCs w:val="20"/>
              </w:rPr>
            </w:pPr>
            <w:bookmarkStart w:id="118" w:name="lt_pId276"/>
            <w:r w:rsidRPr="002A7A24">
              <w:rPr>
                <w:sz w:val="20"/>
                <w:szCs w:val="20"/>
              </w:rPr>
              <w:t>Le</w:t>
            </w:r>
            <w:r w:rsidR="00A26BFC" w:rsidRPr="002A7A24">
              <w:rPr>
                <w:sz w:val="20"/>
                <w:szCs w:val="20"/>
              </w:rPr>
              <w:t xml:space="preserve"> </w:t>
            </w:r>
            <w:r w:rsidRPr="002A7A24">
              <w:rPr>
                <w:sz w:val="20"/>
                <w:szCs w:val="20"/>
              </w:rPr>
              <w:t>SG</w:t>
            </w:r>
            <w:r w:rsidR="00A26BFC" w:rsidRPr="002A7A24">
              <w:rPr>
                <w:sz w:val="20"/>
                <w:szCs w:val="20"/>
              </w:rPr>
              <w:t xml:space="preserve"> </w:t>
            </w:r>
            <w:r w:rsidRPr="002A7A24">
              <w:rPr>
                <w:sz w:val="20"/>
                <w:szCs w:val="20"/>
              </w:rPr>
              <w:t>et le CCIG</w:t>
            </w:r>
            <w:r w:rsidR="00A26BFC" w:rsidRPr="002A7A24">
              <w:rPr>
                <w:sz w:val="20"/>
                <w:szCs w:val="20"/>
              </w:rPr>
              <w:t xml:space="preserve"> </w:t>
            </w:r>
            <w:r w:rsidRPr="002A7A24">
              <w:rPr>
                <w:sz w:val="20"/>
                <w:szCs w:val="20"/>
              </w:rPr>
              <w:t xml:space="preserve">reçoivent à intervalles réguliers des mises à jour sur la mise en </w:t>
            </w:r>
            <w:proofErr w:type="spellStart"/>
            <w:r w:rsidR="009F4B65" w:rsidRPr="002A7A24">
              <w:rPr>
                <w:sz w:val="20"/>
                <w:szCs w:val="20"/>
              </w:rPr>
              <w:t>oe</w:t>
            </w:r>
            <w:r w:rsidRPr="002A7A24">
              <w:rPr>
                <w:sz w:val="20"/>
                <w:szCs w:val="20"/>
              </w:rPr>
              <w:t>uvre</w:t>
            </w:r>
            <w:proofErr w:type="spellEnd"/>
            <w:r w:rsidRPr="002A7A24">
              <w:rPr>
                <w:sz w:val="20"/>
                <w:szCs w:val="20"/>
              </w:rPr>
              <w:t xml:space="preserve"> des</w:t>
            </w:r>
            <w:r w:rsidR="00A26BFC" w:rsidRPr="002A7A24">
              <w:rPr>
                <w:sz w:val="20"/>
                <w:szCs w:val="20"/>
              </w:rPr>
              <w:t xml:space="preserve"> </w:t>
            </w:r>
            <w:r w:rsidRPr="002A7A24">
              <w:rPr>
                <w:sz w:val="20"/>
                <w:szCs w:val="20"/>
              </w:rPr>
              <w:t>recommandations formulées par l'Unité de l'audit interne et des</w:t>
            </w:r>
            <w:r w:rsidR="00A26BFC" w:rsidRPr="002A7A24">
              <w:rPr>
                <w:sz w:val="20"/>
                <w:szCs w:val="20"/>
              </w:rPr>
              <w:t xml:space="preserve"> </w:t>
            </w:r>
            <w:r w:rsidRPr="002A7A24">
              <w:rPr>
                <w:sz w:val="20"/>
                <w:szCs w:val="20"/>
              </w:rPr>
              <w:t>recommandations du Vérificateur extérieur des comptes.</w:t>
            </w:r>
            <w:bookmarkEnd w:id="118"/>
          </w:p>
        </w:tc>
      </w:tr>
      <w:tr w:rsidR="00F57F75" w:rsidRPr="002A7A24" w:rsidTr="00164958">
        <w:tc>
          <w:tcPr>
            <w:tcW w:w="2977" w:type="dxa"/>
            <w:vMerge/>
            <w:shd w:val="clear" w:color="auto" w:fill="FFFFFF" w:themeFill="background1"/>
          </w:tcPr>
          <w:p w:rsidR="00F57F75" w:rsidRPr="002A7A24" w:rsidRDefault="00F57F75" w:rsidP="004E5574">
            <w:pPr>
              <w:pStyle w:val="Tabletext"/>
              <w:rPr>
                <w:sz w:val="20"/>
                <w:szCs w:val="20"/>
              </w:rPr>
            </w:pPr>
          </w:p>
        </w:tc>
        <w:tc>
          <w:tcPr>
            <w:tcW w:w="3969" w:type="dxa"/>
            <w:shd w:val="clear" w:color="auto" w:fill="FFFFFF" w:themeFill="background1"/>
          </w:tcPr>
          <w:p w:rsidR="00F57F75" w:rsidRPr="002A7A24" w:rsidRDefault="00F57F75" w:rsidP="004E5574">
            <w:pPr>
              <w:pStyle w:val="Tabletext"/>
              <w:rPr>
                <w:sz w:val="20"/>
                <w:szCs w:val="20"/>
              </w:rPr>
            </w:pPr>
            <w:r w:rsidRPr="002A7A24">
              <w:rPr>
                <w:sz w:val="20"/>
                <w:szCs w:val="20"/>
              </w:rPr>
              <w:t>Suivi des recommandations des audits et organes de contrôle interne et externe et de celles des évaluations indépendantes et auto-évaluations</w:t>
            </w:r>
            <w:r w:rsidR="002D3E49" w:rsidRPr="002A7A24">
              <w:rPr>
                <w:sz w:val="20"/>
                <w:szCs w:val="20"/>
              </w:rPr>
              <w:t>.</w:t>
            </w:r>
          </w:p>
        </w:tc>
        <w:tc>
          <w:tcPr>
            <w:tcW w:w="1134" w:type="dxa"/>
            <w:shd w:val="clear" w:color="auto" w:fill="auto"/>
            <w:vAlign w:val="center"/>
          </w:tcPr>
          <w:p w:rsidR="00F57F75" w:rsidRPr="002A7A24" w:rsidRDefault="00F57F75" w:rsidP="004E5574">
            <w:pPr>
              <w:pStyle w:val="Tabletext"/>
              <w:jc w:val="center"/>
              <w:rPr>
                <w:sz w:val="20"/>
                <w:szCs w:val="20"/>
              </w:rPr>
            </w:pPr>
            <w:r w:rsidRPr="002A7A24">
              <w:rPr>
                <w:rFonts w:ascii="Wingdings" w:hAnsi="Wingdings"/>
                <w:sz w:val="20"/>
                <w:szCs w:val="20"/>
              </w:rPr>
              <w:sym w:font="Wingdings" w:char="F0FC"/>
            </w:r>
          </w:p>
        </w:tc>
        <w:tc>
          <w:tcPr>
            <w:tcW w:w="6522" w:type="dxa"/>
            <w:shd w:val="clear" w:color="auto" w:fill="auto"/>
          </w:tcPr>
          <w:p w:rsidR="00F57F75" w:rsidRPr="002A7A24" w:rsidRDefault="002D3E49" w:rsidP="004E5574">
            <w:pPr>
              <w:pStyle w:val="Tabletext"/>
              <w:rPr>
                <w:sz w:val="20"/>
                <w:szCs w:val="20"/>
              </w:rPr>
            </w:pPr>
            <w:bookmarkStart w:id="119" w:name="lt_pId278"/>
            <w:r w:rsidRPr="002A7A24">
              <w:rPr>
                <w:sz w:val="20"/>
                <w:szCs w:val="20"/>
              </w:rPr>
              <w:t>Le GTC-</w:t>
            </w:r>
            <w:r w:rsidR="00F57F75" w:rsidRPr="002A7A24">
              <w:rPr>
                <w:sz w:val="20"/>
                <w:szCs w:val="20"/>
              </w:rPr>
              <w:t>FHR suit de près et supervise toutes les</w:t>
            </w:r>
            <w:r w:rsidR="00A26BFC" w:rsidRPr="002A7A24">
              <w:rPr>
                <w:sz w:val="20"/>
                <w:szCs w:val="20"/>
              </w:rPr>
              <w:t xml:space="preserve"> </w:t>
            </w:r>
            <w:r w:rsidR="00F57F75" w:rsidRPr="002A7A24">
              <w:rPr>
                <w:sz w:val="20"/>
                <w:szCs w:val="20"/>
              </w:rPr>
              <w:t>recommandations du Vérificateur extérieur des comptes et du</w:t>
            </w:r>
            <w:bookmarkEnd w:id="119"/>
            <w:r w:rsidR="00A26BFC" w:rsidRPr="002A7A24">
              <w:rPr>
                <w:sz w:val="20"/>
                <w:szCs w:val="20"/>
              </w:rPr>
              <w:t xml:space="preserve"> </w:t>
            </w:r>
            <w:bookmarkStart w:id="120" w:name="lt_pId279"/>
            <w:r w:rsidR="00F57F75" w:rsidRPr="002A7A24">
              <w:rPr>
                <w:sz w:val="20"/>
                <w:szCs w:val="20"/>
              </w:rPr>
              <w:t>CCIG</w:t>
            </w:r>
            <w:bookmarkEnd w:id="120"/>
            <w:r w:rsidRPr="002A7A24">
              <w:rPr>
                <w:sz w:val="20"/>
                <w:szCs w:val="20"/>
              </w:rPr>
              <w:t>.</w:t>
            </w:r>
          </w:p>
        </w:tc>
      </w:tr>
    </w:tbl>
    <w:p w:rsidR="00F57F75" w:rsidRPr="002A7A24" w:rsidRDefault="00F57F75" w:rsidP="002D3E49">
      <w:pPr>
        <w:pStyle w:val="Headingb"/>
        <w:spacing w:before="840"/>
      </w:pPr>
      <w:bookmarkStart w:id="121" w:name="lt_pId280"/>
      <w:r w:rsidRPr="002A7A24">
        <w:t>Pilier</w:t>
      </w:r>
      <w:r w:rsidR="00A26BFC" w:rsidRPr="002A7A24">
        <w:t xml:space="preserve"> </w:t>
      </w:r>
      <w:r w:rsidRPr="002A7A24">
        <w:t>3</w:t>
      </w:r>
      <w:bookmarkEnd w:id="121"/>
    </w:p>
    <w:tbl>
      <w:tblPr>
        <w:tblStyle w:val="TableGrid"/>
        <w:tblW w:w="14601" w:type="dxa"/>
        <w:tblInd w:w="-5" w:type="dxa"/>
        <w:tblLayout w:type="fixed"/>
        <w:tblLook w:val="04A0" w:firstRow="1" w:lastRow="0" w:firstColumn="1" w:lastColumn="0" w:noHBand="0" w:noVBand="1"/>
      </w:tblPr>
      <w:tblGrid>
        <w:gridCol w:w="2694"/>
        <w:gridCol w:w="4252"/>
        <w:gridCol w:w="1134"/>
        <w:gridCol w:w="6521"/>
      </w:tblGrid>
      <w:tr w:rsidR="00F57F75" w:rsidRPr="002A7A24" w:rsidTr="00164958">
        <w:tc>
          <w:tcPr>
            <w:tcW w:w="2694" w:type="dxa"/>
            <w:shd w:val="clear" w:color="auto" w:fill="B8CCE4" w:themeFill="accent1" w:themeFillTint="66"/>
          </w:tcPr>
          <w:p w:rsidR="00F57F75" w:rsidRPr="002A7A24" w:rsidRDefault="00F57F75" w:rsidP="002D3E49">
            <w:pPr>
              <w:pStyle w:val="Tablehead"/>
            </w:pPr>
            <w:r w:rsidRPr="002A7A24">
              <w:t>Condition</w:t>
            </w:r>
          </w:p>
        </w:tc>
        <w:tc>
          <w:tcPr>
            <w:tcW w:w="4252" w:type="dxa"/>
            <w:shd w:val="clear" w:color="auto" w:fill="B8CCE4" w:themeFill="accent1" w:themeFillTint="66"/>
          </w:tcPr>
          <w:p w:rsidR="00F57F75" w:rsidRPr="002A7A24" w:rsidRDefault="00F57F75" w:rsidP="002D3E49">
            <w:pPr>
              <w:pStyle w:val="Tablehead"/>
            </w:pPr>
            <w:r w:rsidRPr="002A7A24">
              <w:t>Outils</w:t>
            </w:r>
          </w:p>
        </w:tc>
        <w:tc>
          <w:tcPr>
            <w:tcW w:w="1134" w:type="dxa"/>
            <w:shd w:val="clear" w:color="auto" w:fill="B8CCE4" w:themeFill="accent1" w:themeFillTint="66"/>
          </w:tcPr>
          <w:p w:rsidR="00F57F75" w:rsidRPr="002A7A24" w:rsidRDefault="00F57F75" w:rsidP="002D3E49">
            <w:pPr>
              <w:pStyle w:val="Tablehead"/>
            </w:pPr>
            <w:r w:rsidRPr="002A7A24">
              <w:t>Situation</w:t>
            </w:r>
          </w:p>
        </w:tc>
        <w:tc>
          <w:tcPr>
            <w:tcW w:w="6521" w:type="dxa"/>
            <w:shd w:val="clear" w:color="auto" w:fill="B8CCE4" w:themeFill="accent1" w:themeFillTint="66"/>
          </w:tcPr>
          <w:p w:rsidR="00F57F75" w:rsidRPr="002A7A24" w:rsidRDefault="00F57F75" w:rsidP="002D3E49">
            <w:pPr>
              <w:pStyle w:val="Tablehead"/>
            </w:pPr>
            <w:r w:rsidRPr="002A7A24">
              <w:t>Observation</w:t>
            </w:r>
          </w:p>
        </w:tc>
      </w:tr>
      <w:tr w:rsidR="00F57F75" w:rsidRPr="002A7A24" w:rsidTr="00164958">
        <w:tc>
          <w:tcPr>
            <w:tcW w:w="2694" w:type="dxa"/>
            <w:vMerge w:val="restart"/>
            <w:shd w:val="clear" w:color="auto" w:fill="FFFFFF" w:themeFill="background1"/>
          </w:tcPr>
          <w:p w:rsidR="00F57F75" w:rsidRPr="002A7A24" w:rsidRDefault="00F57F75" w:rsidP="002D3E49">
            <w:pPr>
              <w:pStyle w:val="Tabletext"/>
              <w:rPr>
                <w:sz w:val="20"/>
                <w:szCs w:val="20"/>
              </w:rPr>
            </w:pPr>
            <w:r w:rsidRPr="002A7A24">
              <w:rPr>
                <w:sz w:val="20"/>
                <w:szCs w:val="20"/>
              </w:rPr>
              <w:t>16 Les fonctionnaires ont accès à des mécanismes de recours non formels</w:t>
            </w:r>
            <w:r w:rsidR="002D3E49" w:rsidRPr="002A7A24">
              <w:rPr>
                <w:sz w:val="20"/>
                <w:szCs w:val="20"/>
              </w:rPr>
              <w:t>.</w:t>
            </w:r>
          </w:p>
        </w:tc>
        <w:tc>
          <w:tcPr>
            <w:tcW w:w="4252" w:type="dxa"/>
            <w:shd w:val="clear" w:color="auto" w:fill="FFFFFF" w:themeFill="background1"/>
          </w:tcPr>
          <w:p w:rsidR="00F57F75" w:rsidRPr="002A7A24" w:rsidRDefault="00F57F75" w:rsidP="002D3E49">
            <w:pPr>
              <w:pStyle w:val="Tabletext"/>
              <w:rPr>
                <w:sz w:val="20"/>
                <w:szCs w:val="20"/>
              </w:rPr>
            </w:pPr>
            <w:r w:rsidRPr="002A7A24">
              <w:rPr>
                <w:sz w:val="20"/>
                <w:szCs w:val="20"/>
              </w:rPr>
              <w:t>Les procédures de recours/contestations non formelles sont définies dans un document directif ou un manuel</w:t>
            </w:r>
            <w:r w:rsidR="002D3E49" w:rsidRPr="002A7A24">
              <w:rPr>
                <w:sz w:val="20"/>
                <w:szCs w:val="20"/>
              </w:rPr>
              <w:t>.</w:t>
            </w:r>
          </w:p>
        </w:tc>
        <w:tc>
          <w:tcPr>
            <w:tcW w:w="1134" w:type="dxa"/>
            <w:shd w:val="clear" w:color="auto" w:fill="auto"/>
            <w:vAlign w:val="center"/>
          </w:tcPr>
          <w:p w:rsidR="00F57F75" w:rsidRPr="002A7A24" w:rsidRDefault="00F57F75" w:rsidP="002D3E49">
            <w:pPr>
              <w:pStyle w:val="Tabletext"/>
              <w:jc w:val="center"/>
              <w:rPr>
                <w:sz w:val="20"/>
                <w:szCs w:val="20"/>
              </w:rPr>
            </w:pPr>
            <w:r w:rsidRPr="002A7A24">
              <w:rPr>
                <w:sz w:val="20"/>
                <w:szCs w:val="20"/>
              </w:rPr>
              <w:t>Pas appliqué</w:t>
            </w:r>
          </w:p>
        </w:tc>
        <w:tc>
          <w:tcPr>
            <w:tcW w:w="6521" w:type="dxa"/>
            <w:shd w:val="clear" w:color="auto" w:fill="auto"/>
          </w:tcPr>
          <w:p w:rsidR="00F57F75" w:rsidRPr="002A7A24" w:rsidRDefault="00F57F75" w:rsidP="002D3E49">
            <w:pPr>
              <w:pStyle w:val="Tabletext"/>
              <w:rPr>
                <w:b/>
                <w:bCs/>
                <w:sz w:val="20"/>
                <w:szCs w:val="20"/>
              </w:rPr>
            </w:pPr>
            <w:bookmarkStart w:id="122" w:name="lt_pId289"/>
            <w:r w:rsidRPr="002A7A24">
              <w:rPr>
                <w:sz w:val="20"/>
                <w:szCs w:val="20"/>
              </w:rPr>
              <w:t>Chaque</w:t>
            </w:r>
            <w:r w:rsidR="00A26BFC" w:rsidRPr="002A7A24">
              <w:rPr>
                <w:sz w:val="20"/>
                <w:szCs w:val="20"/>
              </w:rPr>
              <w:t xml:space="preserve"> </w:t>
            </w:r>
            <w:r w:rsidR="002D3E49" w:rsidRPr="002A7A24">
              <w:rPr>
                <w:sz w:val="20"/>
                <w:szCs w:val="20"/>
              </w:rPr>
              <w:t>procédure</w:t>
            </w:r>
            <w:r w:rsidRPr="002A7A24">
              <w:rPr>
                <w:sz w:val="20"/>
                <w:szCs w:val="20"/>
              </w:rPr>
              <w:t xml:space="preserve"> est incluse dans l</w:t>
            </w:r>
            <w:r w:rsidR="00A26BFC" w:rsidRPr="002A7A24">
              <w:rPr>
                <w:sz w:val="20"/>
                <w:szCs w:val="20"/>
              </w:rPr>
              <w:t>'</w:t>
            </w:r>
            <w:r w:rsidRPr="002A7A24">
              <w:rPr>
                <w:sz w:val="20"/>
                <w:szCs w:val="20"/>
              </w:rPr>
              <w:t>Ordre de service pertinent</w:t>
            </w:r>
            <w:bookmarkEnd w:id="122"/>
            <w:r w:rsidR="002D3E49" w:rsidRPr="002A7A24">
              <w:rPr>
                <w:sz w:val="20"/>
                <w:szCs w:val="20"/>
              </w:rPr>
              <w:t>.</w:t>
            </w:r>
          </w:p>
        </w:tc>
      </w:tr>
      <w:tr w:rsidR="00F57F75" w:rsidRPr="002A7A24" w:rsidTr="00164958">
        <w:tc>
          <w:tcPr>
            <w:tcW w:w="2694" w:type="dxa"/>
            <w:vMerge/>
            <w:shd w:val="clear" w:color="auto" w:fill="FFFFFF" w:themeFill="background1"/>
          </w:tcPr>
          <w:p w:rsidR="00F57F75" w:rsidRPr="002A7A24" w:rsidRDefault="00F57F75" w:rsidP="002D3E49">
            <w:pPr>
              <w:pStyle w:val="Tabletext"/>
              <w:rPr>
                <w:sz w:val="20"/>
                <w:szCs w:val="20"/>
              </w:rPr>
            </w:pPr>
          </w:p>
        </w:tc>
        <w:tc>
          <w:tcPr>
            <w:tcW w:w="4252" w:type="dxa"/>
            <w:shd w:val="clear" w:color="auto" w:fill="FFFFFF" w:themeFill="background1"/>
          </w:tcPr>
          <w:p w:rsidR="00F57F75" w:rsidRPr="002A7A24" w:rsidRDefault="00F57F75" w:rsidP="002D3E49">
            <w:pPr>
              <w:pStyle w:val="Tabletext"/>
              <w:rPr>
                <w:sz w:val="20"/>
                <w:szCs w:val="20"/>
              </w:rPr>
            </w:pPr>
            <w:r w:rsidRPr="002A7A24">
              <w:rPr>
                <w:sz w:val="20"/>
                <w:szCs w:val="20"/>
              </w:rPr>
              <w:t>Il existe un médiateur ou un ombudsman</w:t>
            </w:r>
            <w:r w:rsidR="002D3E49" w:rsidRPr="002A7A24">
              <w:rPr>
                <w:sz w:val="20"/>
                <w:szCs w:val="20"/>
              </w:rPr>
              <w:t>.</w:t>
            </w:r>
          </w:p>
        </w:tc>
        <w:tc>
          <w:tcPr>
            <w:tcW w:w="1134" w:type="dxa"/>
            <w:shd w:val="clear" w:color="auto" w:fill="auto"/>
            <w:vAlign w:val="center"/>
          </w:tcPr>
          <w:p w:rsidR="00F57F75" w:rsidRPr="002A7A24" w:rsidRDefault="00F57F75" w:rsidP="002D3E49">
            <w:pPr>
              <w:pStyle w:val="Tabletext"/>
              <w:jc w:val="center"/>
              <w:rPr>
                <w:sz w:val="20"/>
                <w:szCs w:val="20"/>
              </w:rPr>
            </w:pPr>
            <w:r w:rsidRPr="002A7A24">
              <w:rPr>
                <w:rFonts w:ascii="Wingdings" w:hAnsi="Wingdings"/>
                <w:sz w:val="20"/>
                <w:szCs w:val="20"/>
              </w:rPr>
              <w:sym w:font="Wingdings" w:char="F0FC"/>
            </w:r>
          </w:p>
        </w:tc>
        <w:tc>
          <w:tcPr>
            <w:tcW w:w="6521" w:type="dxa"/>
            <w:shd w:val="clear" w:color="auto" w:fill="auto"/>
          </w:tcPr>
          <w:p w:rsidR="00F57F75" w:rsidRPr="002A7A24" w:rsidRDefault="00F57F75" w:rsidP="002D3E49">
            <w:pPr>
              <w:pStyle w:val="Tabletext"/>
              <w:rPr>
                <w:sz w:val="20"/>
                <w:szCs w:val="20"/>
              </w:rPr>
            </w:pPr>
          </w:p>
        </w:tc>
      </w:tr>
      <w:tr w:rsidR="00F57F75" w:rsidRPr="002A7A24" w:rsidTr="00164958">
        <w:tc>
          <w:tcPr>
            <w:tcW w:w="2694" w:type="dxa"/>
            <w:vMerge w:val="restart"/>
            <w:shd w:val="clear" w:color="auto" w:fill="FFFFFF" w:themeFill="background1"/>
          </w:tcPr>
          <w:p w:rsidR="00F57F75" w:rsidRPr="002A7A24" w:rsidRDefault="002D3E49" w:rsidP="002D3E49">
            <w:pPr>
              <w:pStyle w:val="Tabletext"/>
              <w:rPr>
                <w:sz w:val="20"/>
                <w:szCs w:val="20"/>
              </w:rPr>
            </w:pPr>
            <w:r w:rsidRPr="002A7A24">
              <w:rPr>
                <w:sz w:val="20"/>
                <w:szCs w:val="20"/>
              </w:rPr>
              <w:t>17</w:t>
            </w:r>
            <w:r w:rsidR="00F57F75" w:rsidRPr="002A7A24">
              <w:rPr>
                <w:sz w:val="20"/>
                <w:szCs w:val="20"/>
              </w:rPr>
              <w:t xml:space="preserve"> Les fonctionnaires, les consultants, les non-fonctionnaires, les parties prenantes/bénéficiaires et les fournisseurs ont accès à des mécanismes formels de recours et les organisations ont des mécanismes pour répondre à ces recours.</w:t>
            </w:r>
          </w:p>
        </w:tc>
        <w:tc>
          <w:tcPr>
            <w:tcW w:w="4252" w:type="dxa"/>
            <w:shd w:val="clear" w:color="auto" w:fill="FFFFFF" w:themeFill="background1"/>
          </w:tcPr>
          <w:p w:rsidR="00F57F75" w:rsidRPr="002A7A24" w:rsidRDefault="00F57F75" w:rsidP="002D3E49">
            <w:pPr>
              <w:pStyle w:val="Tabletext"/>
              <w:rPr>
                <w:sz w:val="20"/>
                <w:szCs w:val="20"/>
              </w:rPr>
            </w:pPr>
            <w:r w:rsidRPr="002A7A24">
              <w:rPr>
                <w:sz w:val="20"/>
                <w:szCs w:val="20"/>
              </w:rPr>
              <w:t>Service téléphonique d</w:t>
            </w:r>
            <w:r w:rsidR="00A26BFC" w:rsidRPr="002A7A24">
              <w:rPr>
                <w:sz w:val="20"/>
                <w:szCs w:val="20"/>
              </w:rPr>
              <w:t>'</w:t>
            </w:r>
            <w:r w:rsidRPr="002A7A24">
              <w:rPr>
                <w:sz w:val="20"/>
                <w:szCs w:val="20"/>
              </w:rPr>
              <w:t>urgence, formulaires de plainte, etc., à l</w:t>
            </w:r>
            <w:r w:rsidR="00A26BFC" w:rsidRPr="002A7A24">
              <w:rPr>
                <w:sz w:val="20"/>
                <w:szCs w:val="20"/>
              </w:rPr>
              <w:t>'</w:t>
            </w:r>
            <w:r w:rsidRPr="002A7A24">
              <w:rPr>
                <w:sz w:val="20"/>
                <w:szCs w:val="20"/>
              </w:rPr>
              <w:t>intention du pers</w:t>
            </w:r>
            <w:r w:rsidR="002D3E49" w:rsidRPr="002A7A24">
              <w:rPr>
                <w:sz w:val="20"/>
                <w:szCs w:val="20"/>
              </w:rPr>
              <w:t>onnel et des acteurs extérieurs.</w:t>
            </w:r>
          </w:p>
        </w:tc>
        <w:tc>
          <w:tcPr>
            <w:tcW w:w="1134" w:type="dxa"/>
            <w:shd w:val="clear" w:color="auto" w:fill="auto"/>
            <w:vAlign w:val="center"/>
          </w:tcPr>
          <w:p w:rsidR="00F57F75" w:rsidRPr="002A7A24" w:rsidRDefault="00F57F75" w:rsidP="002D3E49">
            <w:pPr>
              <w:pStyle w:val="Tabletext"/>
              <w:jc w:val="center"/>
              <w:rPr>
                <w:sz w:val="20"/>
                <w:szCs w:val="20"/>
              </w:rPr>
            </w:pPr>
            <w:r w:rsidRPr="002A7A24">
              <w:rPr>
                <w:rFonts w:ascii="Wingdings" w:hAnsi="Wingdings"/>
                <w:sz w:val="20"/>
                <w:szCs w:val="20"/>
              </w:rPr>
              <w:sym w:font="Wingdings" w:char="F0FC"/>
            </w:r>
          </w:p>
        </w:tc>
        <w:tc>
          <w:tcPr>
            <w:tcW w:w="6521" w:type="dxa"/>
            <w:shd w:val="clear" w:color="auto" w:fill="auto"/>
          </w:tcPr>
          <w:p w:rsidR="00F57F75" w:rsidRPr="002A7A24" w:rsidRDefault="00F57F75" w:rsidP="002D3E49">
            <w:pPr>
              <w:pStyle w:val="Tabletext"/>
              <w:rPr>
                <w:sz w:val="20"/>
                <w:szCs w:val="20"/>
              </w:rPr>
            </w:pPr>
            <w:bookmarkStart w:id="123" w:name="lt_pId294"/>
            <w:r w:rsidRPr="002A7A24">
              <w:rPr>
                <w:sz w:val="20"/>
                <w:szCs w:val="20"/>
              </w:rPr>
              <w:t>Les consultants</w:t>
            </w:r>
            <w:r w:rsidR="00A26BFC" w:rsidRPr="002A7A24">
              <w:rPr>
                <w:sz w:val="20"/>
                <w:szCs w:val="20"/>
              </w:rPr>
              <w:t xml:space="preserve"> </w:t>
            </w:r>
            <w:r w:rsidRPr="002A7A24">
              <w:rPr>
                <w:sz w:val="20"/>
                <w:szCs w:val="20"/>
              </w:rPr>
              <w:t>et les</w:t>
            </w:r>
            <w:r w:rsidR="00A26BFC" w:rsidRPr="002A7A24">
              <w:rPr>
                <w:sz w:val="20"/>
                <w:szCs w:val="20"/>
              </w:rPr>
              <w:t xml:space="preserve"> </w:t>
            </w:r>
            <w:r w:rsidRPr="002A7A24">
              <w:rPr>
                <w:sz w:val="20"/>
                <w:szCs w:val="20"/>
              </w:rPr>
              <w:t>non-fonctionnaires n</w:t>
            </w:r>
            <w:r w:rsidR="00A26BFC" w:rsidRPr="002A7A24">
              <w:rPr>
                <w:sz w:val="20"/>
                <w:szCs w:val="20"/>
              </w:rPr>
              <w:t>'</w:t>
            </w:r>
            <w:r w:rsidRPr="002A7A24">
              <w:rPr>
                <w:sz w:val="20"/>
                <w:szCs w:val="20"/>
              </w:rPr>
              <w:t>ont pas accès au</w:t>
            </w:r>
            <w:r w:rsidR="00A26BFC" w:rsidRPr="002A7A24">
              <w:rPr>
                <w:sz w:val="20"/>
                <w:szCs w:val="20"/>
              </w:rPr>
              <w:t xml:space="preserve"> </w:t>
            </w:r>
            <w:r w:rsidRPr="002A7A24">
              <w:rPr>
                <w:sz w:val="20"/>
                <w:szCs w:val="20"/>
              </w:rPr>
              <w:t>Tribunal administratif de l</w:t>
            </w:r>
            <w:r w:rsidR="00A26BFC" w:rsidRPr="002A7A24">
              <w:rPr>
                <w:sz w:val="20"/>
                <w:szCs w:val="20"/>
              </w:rPr>
              <w:t>'</w:t>
            </w:r>
            <w:r w:rsidRPr="002A7A24">
              <w:rPr>
                <w:sz w:val="20"/>
                <w:szCs w:val="20"/>
              </w:rPr>
              <w:t>OIT</w:t>
            </w:r>
            <w:r w:rsidR="00A26BFC" w:rsidRPr="002A7A24">
              <w:rPr>
                <w:sz w:val="20"/>
                <w:szCs w:val="20"/>
              </w:rPr>
              <w:t xml:space="preserve"> </w:t>
            </w:r>
            <w:r w:rsidRPr="002A7A24">
              <w:rPr>
                <w:sz w:val="20"/>
                <w:szCs w:val="20"/>
              </w:rPr>
              <w:t>et au</w:t>
            </w:r>
            <w:r w:rsidR="00A26BFC" w:rsidRPr="002A7A24">
              <w:rPr>
                <w:sz w:val="20"/>
                <w:szCs w:val="20"/>
              </w:rPr>
              <w:t xml:space="preserve"> </w:t>
            </w:r>
            <w:r w:rsidRPr="002A7A24">
              <w:rPr>
                <w:sz w:val="20"/>
                <w:szCs w:val="20"/>
              </w:rPr>
              <w:t>Tribunal du contentieux administratif des Nations Unies</w:t>
            </w:r>
            <w:r w:rsidR="00A26BFC" w:rsidRPr="002A7A24">
              <w:rPr>
                <w:sz w:val="20"/>
                <w:szCs w:val="20"/>
              </w:rPr>
              <w:t xml:space="preserve"> </w:t>
            </w:r>
            <w:r w:rsidRPr="002A7A24">
              <w:rPr>
                <w:sz w:val="20"/>
                <w:szCs w:val="20"/>
              </w:rPr>
              <w:t>Les</w:t>
            </w:r>
            <w:r w:rsidR="00A26BFC" w:rsidRPr="002A7A24">
              <w:rPr>
                <w:sz w:val="20"/>
                <w:szCs w:val="20"/>
              </w:rPr>
              <w:t>.</w:t>
            </w:r>
            <w:bookmarkEnd w:id="123"/>
            <w:r w:rsidRPr="002A7A24">
              <w:rPr>
                <w:sz w:val="20"/>
                <w:szCs w:val="20"/>
              </w:rPr>
              <w:t xml:space="preserve"> </w:t>
            </w:r>
            <w:bookmarkStart w:id="124" w:name="lt_pId295"/>
            <w:r w:rsidRPr="002A7A24">
              <w:rPr>
                <w:sz w:val="20"/>
                <w:szCs w:val="20"/>
              </w:rPr>
              <w:t>contrats d'engagements spéciaux (SSA)</w:t>
            </w:r>
            <w:r w:rsidR="00A26BFC" w:rsidRPr="002A7A24">
              <w:rPr>
                <w:sz w:val="20"/>
                <w:szCs w:val="20"/>
              </w:rPr>
              <w:t xml:space="preserve"> </w:t>
            </w:r>
            <w:r w:rsidRPr="002A7A24">
              <w:rPr>
                <w:sz w:val="20"/>
                <w:szCs w:val="20"/>
              </w:rPr>
              <w:t>prévoient une disposition relative au règlement informel des différends et au recours à l</w:t>
            </w:r>
            <w:r w:rsidR="00A26BFC" w:rsidRPr="002A7A24">
              <w:rPr>
                <w:sz w:val="20"/>
                <w:szCs w:val="20"/>
              </w:rPr>
              <w:t>'</w:t>
            </w:r>
            <w:r w:rsidRPr="002A7A24">
              <w:rPr>
                <w:sz w:val="20"/>
                <w:szCs w:val="20"/>
              </w:rPr>
              <w:t>arbitrage</w:t>
            </w:r>
            <w:bookmarkEnd w:id="124"/>
            <w:r w:rsidR="002D3E49" w:rsidRPr="002A7A24">
              <w:rPr>
                <w:sz w:val="20"/>
                <w:szCs w:val="20"/>
              </w:rPr>
              <w:t>.</w:t>
            </w:r>
          </w:p>
        </w:tc>
      </w:tr>
      <w:tr w:rsidR="00F57F75" w:rsidRPr="002A7A24" w:rsidTr="00164958">
        <w:tc>
          <w:tcPr>
            <w:tcW w:w="2694" w:type="dxa"/>
            <w:vMerge/>
            <w:shd w:val="clear" w:color="auto" w:fill="FFFFFF" w:themeFill="background1"/>
          </w:tcPr>
          <w:p w:rsidR="00F57F75" w:rsidRPr="002A7A24" w:rsidRDefault="00F57F75" w:rsidP="002D3E49">
            <w:pPr>
              <w:pStyle w:val="Tabletext"/>
              <w:rPr>
                <w:sz w:val="20"/>
                <w:szCs w:val="20"/>
              </w:rPr>
            </w:pPr>
          </w:p>
        </w:tc>
        <w:tc>
          <w:tcPr>
            <w:tcW w:w="4252" w:type="dxa"/>
            <w:shd w:val="clear" w:color="auto" w:fill="FFFFFF" w:themeFill="background1"/>
          </w:tcPr>
          <w:p w:rsidR="00F57F75" w:rsidRPr="002A7A24" w:rsidRDefault="00F57F75" w:rsidP="002D3E49">
            <w:pPr>
              <w:pStyle w:val="Tabletext"/>
              <w:rPr>
                <w:sz w:val="20"/>
                <w:szCs w:val="20"/>
              </w:rPr>
            </w:pPr>
            <w:r w:rsidRPr="002A7A24">
              <w:rPr>
                <w:sz w:val="20"/>
                <w:szCs w:val="20"/>
              </w:rPr>
              <w:t xml:space="preserve">Mécanismes de </w:t>
            </w:r>
            <w:proofErr w:type="gramStart"/>
            <w:r w:rsidRPr="002A7A24">
              <w:rPr>
                <w:sz w:val="20"/>
                <w:szCs w:val="20"/>
              </w:rPr>
              <w:t>recours:</w:t>
            </w:r>
            <w:proofErr w:type="gramEnd"/>
            <w:r w:rsidRPr="002A7A24">
              <w:rPr>
                <w:sz w:val="20"/>
                <w:szCs w:val="20"/>
              </w:rPr>
              <w:t xml:space="preserve"> Tribunal du contentieux administratif des Nations Unies ou Tribunal administratif de l</w:t>
            </w:r>
            <w:r w:rsidR="00A26BFC" w:rsidRPr="002A7A24">
              <w:rPr>
                <w:sz w:val="20"/>
                <w:szCs w:val="20"/>
              </w:rPr>
              <w:t>'</w:t>
            </w:r>
            <w:r w:rsidR="002D3E49" w:rsidRPr="002A7A24">
              <w:rPr>
                <w:sz w:val="20"/>
                <w:szCs w:val="20"/>
              </w:rPr>
              <w:t>OIT.</w:t>
            </w:r>
          </w:p>
        </w:tc>
        <w:tc>
          <w:tcPr>
            <w:tcW w:w="1134" w:type="dxa"/>
            <w:shd w:val="clear" w:color="auto" w:fill="FFFFFF" w:themeFill="background1"/>
            <w:vAlign w:val="center"/>
          </w:tcPr>
          <w:p w:rsidR="00F57F75" w:rsidRPr="002A7A24" w:rsidRDefault="00F57F75" w:rsidP="002D3E49">
            <w:pPr>
              <w:pStyle w:val="Tabletext"/>
              <w:jc w:val="center"/>
              <w:rPr>
                <w:sz w:val="20"/>
                <w:szCs w:val="20"/>
              </w:rPr>
            </w:pPr>
            <w:r w:rsidRPr="002A7A24">
              <w:rPr>
                <w:rFonts w:ascii="Wingdings" w:hAnsi="Wingdings"/>
                <w:sz w:val="20"/>
                <w:szCs w:val="20"/>
              </w:rPr>
              <w:sym w:font="Wingdings" w:char="F0FC"/>
            </w:r>
          </w:p>
        </w:tc>
        <w:tc>
          <w:tcPr>
            <w:tcW w:w="6521" w:type="dxa"/>
            <w:shd w:val="clear" w:color="auto" w:fill="auto"/>
          </w:tcPr>
          <w:p w:rsidR="00F57F75" w:rsidRPr="002A7A24" w:rsidRDefault="00F57F75" w:rsidP="002D3E49">
            <w:pPr>
              <w:pStyle w:val="Tabletext"/>
              <w:rPr>
                <w:sz w:val="20"/>
                <w:szCs w:val="20"/>
              </w:rPr>
            </w:pPr>
            <w:bookmarkStart w:id="125" w:name="lt_pId298"/>
            <w:r w:rsidRPr="002A7A24">
              <w:rPr>
                <w:sz w:val="20"/>
                <w:szCs w:val="20"/>
              </w:rPr>
              <w:t>Accessibles aux</w:t>
            </w:r>
            <w:r w:rsidR="00A26BFC" w:rsidRPr="002A7A24">
              <w:rPr>
                <w:sz w:val="20"/>
                <w:szCs w:val="20"/>
              </w:rPr>
              <w:t xml:space="preserve"> </w:t>
            </w:r>
            <w:r w:rsidRPr="002A7A24">
              <w:rPr>
                <w:sz w:val="20"/>
                <w:szCs w:val="20"/>
              </w:rPr>
              <w:t xml:space="preserve">membres du personnel régulier et aux fonctionnaires au </w:t>
            </w:r>
            <w:r w:rsidR="002D3E49" w:rsidRPr="002A7A24">
              <w:rPr>
                <w:sz w:val="20"/>
                <w:szCs w:val="20"/>
              </w:rPr>
              <w:t>bénéfice</w:t>
            </w:r>
            <w:r w:rsidRPr="002A7A24">
              <w:rPr>
                <w:sz w:val="20"/>
                <w:szCs w:val="20"/>
              </w:rPr>
              <w:t xml:space="preserve"> de contrats de courte durée</w:t>
            </w:r>
            <w:r w:rsidR="00A26BFC" w:rsidRPr="002A7A24">
              <w:rPr>
                <w:sz w:val="20"/>
                <w:szCs w:val="20"/>
              </w:rPr>
              <w:t xml:space="preserve"> </w:t>
            </w:r>
            <w:r w:rsidRPr="002A7A24">
              <w:rPr>
                <w:sz w:val="20"/>
                <w:szCs w:val="20"/>
              </w:rPr>
              <w:t>et, s</w:t>
            </w:r>
            <w:r w:rsidR="00A26BFC" w:rsidRPr="002A7A24">
              <w:rPr>
                <w:sz w:val="20"/>
                <w:szCs w:val="20"/>
              </w:rPr>
              <w:t>'</w:t>
            </w:r>
            <w:r w:rsidRPr="002A7A24">
              <w:rPr>
                <w:sz w:val="20"/>
                <w:szCs w:val="20"/>
              </w:rPr>
              <w:t>agissant de l</w:t>
            </w:r>
            <w:r w:rsidR="00A26BFC" w:rsidRPr="002A7A24">
              <w:rPr>
                <w:sz w:val="20"/>
                <w:szCs w:val="20"/>
              </w:rPr>
              <w:t>'</w:t>
            </w:r>
            <w:r w:rsidRPr="002A7A24">
              <w:rPr>
                <w:sz w:val="20"/>
                <w:szCs w:val="20"/>
              </w:rPr>
              <w:t>arbitrage, aux consultants</w:t>
            </w:r>
            <w:r w:rsidR="00A26BFC" w:rsidRPr="002A7A24">
              <w:rPr>
                <w:sz w:val="20"/>
                <w:szCs w:val="20"/>
              </w:rPr>
              <w:t xml:space="preserve"> </w:t>
            </w:r>
            <w:r w:rsidRPr="002A7A24">
              <w:rPr>
                <w:sz w:val="20"/>
                <w:szCs w:val="20"/>
              </w:rPr>
              <w:t>et aux</w:t>
            </w:r>
            <w:r w:rsidR="00A26BFC" w:rsidRPr="002A7A24">
              <w:rPr>
                <w:sz w:val="20"/>
                <w:szCs w:val="20"/>
              </w:rPr>
              <w:t xml:space="preserve"> </w:t>
            </w:r>
            <w:r w:rsidRPr="002A7A24">
              <w:rPr>
                <w:sz w:val="20"/>
                <w:szCs w:val="20"/>
              </w:rPr>
              <w:t>non-fonctionnaires</w:t>
            </w:r>
            <w:bookmarkEnd w:id="125"/>
            <w:r w:rsidR="002D3E49" w:rsidRPr="002A7A24">
              <w:rPr>
                <w:sz w:val="20"/>
                <w:szCs w:val="20"/>
              </w:rPr>
              <w:t>.</w:t>
            </w:r>
          </w:p>
        </w:tc>
      </w:tr>
      <w:tr w:rsidR="00F57F75" w:rsidRPr="002A7A24" w:rsidTr="00164958">
        <w:tc>
          <w:tcPr>
            <w:tcW w:w="2694" w:type="dxa"/>
            <w:vMerge/>
            <w:shd w:val="clear" w:color="auto" w:fill="FFFFFF" w:themeFill="background1"/>
          </w:tcPr>
          <w:p w:rsidR="00F57F75" w:rsidRPr="002A7A24" w:rsidRDefault="00F57F75" w:rsidP="002D3E49">
            <w:pPr>
              <w:pStyle w:val="Tabletext"/>
              <w:rPr>
                <w:sz w:val="20"/>
                <w:szCs w:val="20"/>
              </w:rPr>
            </w:pPr>
          </w:p>
        </w:tc>
        <w:tc>
          <w:tcPr>
            <w:tcW w:w="4252" w:type="dxa"/>
            <w:shd w:val="clear" w:color="auto" w:fill="FFFFFF" w:themeFill="background1"/>
          </w:tcPr>
          <w:p w:rsidR="00F57F75" w:rsidRPr="002A7A24" w:rsidRDefault="00F57F75" w:rsidP="002D3E49">
            <w:pPr>
              <w:pStyle w:val="Tabletext"/>
              <w:rPr>
                <w:sz w:val="20"/>
                <w:szCs w:val="20"/>
              </w:rPr>
            </w:pPr>
            <w:r w:rsidRPr="002A7A24">
              <w:rPr>
                <w:sz w:val="20"/>
                <w:szCs w:val="20"/>
              </w:rPr>
              <w:t>Contestations en matière de passation des marchés.</w:t>
            </w:r>
          </w:p>
        </w:tc>
        <w:tc>
          <w:tcPr>
            <w:tcW w:w="1134" w:type="dxa"/>
            <w:shd w:val="clear" w:color="auto" w:fill="FFFFFF" w:themeFill="background1"/>
            <w:vAlign w:val="center"/>
          </w:tcPr>
          <w:p w:rsidR="00F57F75" w:rsidRPr="002A7A24" w:rsidRDefault="00F57F75" w:rsidP="002D3E49">
            <w:pPr>
              <w:pStyle w:val="Tabletext"/>
              <w:jc w:val="center"/>
              <w:rPr>
                <w:sz w:val="20"/>
                <w:szCs w:val="20"/>
              </w:rPr>
            </w:pPr>
            <w:r w:rsidRPr="002A7A24">
              <w:rPr>
                <w:sz w:val="20"/>
                <w:szCs w:val="20"/>
              </w:rPr>
              <w:t>En cours</w:t>
            </w:r>
          </w:p>
        </w:tc>
        <w:tc>
          <w:tcPr>
            <w:tcW w:w="6521" w:type="dxa"/>
            <w:shd w:val="clear" w:color="auto" w:fill="FFFFFF" w:themeFill="background1"/>
          </w:tcPr>
          <w:p w:rsidR="00F57F75" w:rsidRPr="002A7A24" w:rsidRDefault="00F57F75" w:rsidP="002D3E49">
            <w:pPr>
              <w:pStyle w:val="Tabletext"/>
              <w:rPr>
                <w:sz w:val="20"/>
                <w:szCs w:val="20"/>
              </w:rPr>
            </w:pPr>
            <w:bookmarkStart w:id="126" w:name="lt_pId301"/>
            <w:r w:rsidRPr="002A7A24">
              <w:rPr>
                <w:sz w:val="20"/>
                <w:szCs w:val="20"/>
              </w:rPr>
              <w:t>L</w:t>
            </w:r>
            <w:r w:rsidR="00A26BFC" w:rsidRPr="002A7A24">
              <w:rPr>
                <w:sz w:val="20"/>
                <w:szCs w:val="20"/>
              </w:rPr>
              <w:t>'</w:t>
            </w:r>
            <w:r w:rsidRPr="002A7A24">
              <w:rPr>
                <w:sz w:val="20"/>
                <w:szCs w:val="20"/>
              </w:rPr>
              <w:t>UIT</w:t>
            </w:r>
            <w:r w:rsidR="00A26BFC" w:rsidRPr="002A7A24">
              <w:rPr>
                <w:sz w:val="20"/>
                <w:szCs w:val="20"/>
              </w:rPr>
              <w:t xml:space="preserve"> </w:t>
            </w:r>
            <w:r w:rsidRPr="002A7A24">
              <w:rPr>
                <w:sz w:val="20"/>
                <w:szCs w:val="20"/>
              </w:rPr>
              <w:t>s</w:t>
            </w:r>
            <w:r w:rsidR="00A26BFC" w:rsidRPr="002A7A24">
              <w:rPr>
                <w:sz w:val="20"/>
                <w:szCs w:val="20"/>
              </w:rPr>
              <w:t>'</w:t>
            </w:r>
            <w:r w:rsidRPr="002A7A24">
              <w:rPr>
                <w:sz w:val="20"/>
                <w:szCs w:val="20"/>
              </w:rPr>
              <w:t>engage à faire en sorte que l</w:t>
            </w:r>
            <w:r w:rsidR="00A26BFC" w:rsidRPr="002A7A24">
              <w:rPr>
                <w:sz w:val="20"/>
                <w:szCs w:val="20"/>
              </w:rPr>
              <w:t>'</w:t>
            </w:r>
            <w:r w:rsidRPr="002A7A24">
              <w:rPr>
                <w:sz w:val="20"/>
                <w:szCs w:val="20"/>
              </w:rPr>
              <w:t>acquisition de biens et de services</w:t>
            </w:r>
            <w:r w:rsidR="00A26BFC" w:rsidRPr="002A7A24">
              <w:rPr>
                <w:sz w:val="20"/>
                <w:szCs w:val="20"/>
              </w:rPr>
              <w:t xml:space="preserve"> </w:t>
            </w:r>
            <w:r w:rsidRPr="002A7A24">
              <w:rPr>
                <w:sz w:val="20"/>
                <w:szCs w:val="20"/>
              </w:rPr>
              <w:t>soit</w:t>
            </w:r>
            <w:r w:rsidR="00A26BFC" w:rsidRPr="002A7A24">
              <w:rPr>
                <w:sz w:val="20"/>
                <w:szCs w:val="20"/>
              </w:rPr>
              <w:t xml:space="preserve"> </w:t>
            </w:r>
            <w:r w:rsidRPr="002A7A24">
              <w:rPr>
                <w:sz w:val="20"/>
                <w:szCs w:val="20"/>
              </w:rPr>
              <w:t>effectuée</w:t>
            </w:r>
            <w:r w:rsidR="00A26BFC" w:rsidRPr="002A7A24">
              <w:rPr>
                <w:sz w:val="20"/>
                <w:szCs w:val="20"/>
              </w:rPr>
              <w:t xml:space="preserve"> </w:t>
            </w:r>
            <w:r w:rsidRPr="002A7A24">
              <w:rPr>
                <w:sz w:val="20"/>
                <w:szCs w:val="20"/>
              </w:rPr>
              <w:t>d'une manière</w:t>
            </w:r>
            <w:r w:rsidR="00A26BFC" w:rsidRPr="002A7A24">
              <w:rPr>
                <w:sz w:val="20"/>
                <w:szCs w:val="20"/>
              </w:rPr>
              <w:t xml:space="preserve"> </w:t>
            </w:r>
            <w:r w:rsidRPr="002A7A24">
              <w:rPr>
                <w:sz w:val="20"/>
                <w:szCs w:val="20"/>
              </w:rPr>
              <w:t>équitable et transparente et après avoir fait l'objet d'un appel à la concurrence, le cas échéant, sur le plan international</w:t>
            </w:r>
            <w:bookmarkEnd w:id="126"/>
            <w:r w:rsidR="00A26BFC" w:rsidRPr="002A7A24">
              <w:rPr>
                <w:sz w:val="20"/>
                <w:szCs w:val="20"/>
              </w:rPr>
              <w:t>.</w:t>
            </w:r>
            <w:r w:rsidRPr="002A7A24">
              <w:rPr>
                <w:sz w:val="20"/>
                <w:szCs w:val="20"/>
              </w:rPr>
              <w:t xml:space="preserve"> Pour traiter les contestations</w:t>
            </w:r>
            <w:r w:rsidR="00A26BFC" w:rsidRPr="002A7A24">
              <w:rPr>
                <w:sz w:val="20"/>
                <w:szCs w:val="20"/>
              </w:rPr>
              <w:t xml:space="preserve"> </w:t>
            </w:r>
            <w:bookmarkStart w:id="127" w:name="lt_pId302"/>
            <w:r w:rsidRPr="002A7A24">
              <w:rPr>
                <w:sz w:val="20"/>
                <w:szCs w:val="20"/>
              </w:rPr>
              <w:t>en matière</w:t>
            </w:r>
            <w:r w:rsidR="00A26BFC" w:rsidRPr="002A7A24">
              <w:rPr>
                <w:sz w:val="20"/>
                <w:szCs w:val="20"/>
              </w:rPr>
              <w:t xml:space="preserve"> </w:t>
            </w:r>
            <w:r w:rsidRPr="002A7A24">
              <w:rPr>
                <w:sz w:val="20"/>
                <w:szCs w:val="20"/>
              </w:rPr>
              <w:t>de passation des marchés, l</w:t>
            </w:r>
            <w:r w:rsidR="00A26BFC" w:rsidRPr="002A7A24">
              <w:rPr>
                <w:sz w:val="20"/>
                <w:szCs w:val="20"/>
              </w:rPr>
              <w:t>'</w:t>
            </w:r>
            <w:r w:rsidRPr="002A7A24">
              <w:rPr>
                <w:sz w:val="20"/>
                <w:szCs w:val="20"/>
              </w:rPr>
              <w:t>UIT</w:t>
            </w:r>
            <w:r w:rsidR="00A26BFC" w:rsidRPr="002A7A24">
              <w:rPr>
                <w:sz w:val="20"/>
                <w:szCs w:val="20"/>
              </w:rPr>
              <w:t xml:space="preserve"> </w:t>
            </w:r>
            <w:r w:rsidRPr="002A7A24">
              <w:rPr>
                <w:sz w:val="20"/>
                <w:szCs w:val="20"/>
              </w:rPr>
              <w:t>envisage de mettre en place un mécanisme d</w:t>
            </w:r>
            <w:r w:rsidR="00A26BFC" w:rsidRPr="002A7A24">
              <w:rPr>
                <w:sz w:val="20"/>
                <w:szCs w:val="20"/>
              </w:rPr>
              <w:t>'</w:t>
            </w:r>
            <w:r w:rsidRPr="002A7A24">
              <w:rPr>
                <w:sz w:val="20"/>
                <w:szCs w:val="20"/>
              </w:rPr>
              <w:t>information</w:t>
            </w:r>
            <w:r w:rsidR="00A26BFC" w:rsidRPr="002A7A24">
              <w:rPr>
                <w:sz w:val="20"/>
                <w:szCs w:val="20"/>
              </w:rPr>
              <w:t xml:space="preserve"> </w:t>
            </w:r>
            <w:r w:rsidRPr="002A7A24">
              <w:rPr>
                <w:sz w:val="20"/>
                <w:szCs w:val="20"/>
              </w:rPr>
              <w:t>à l</w:t>
            </w:r>
            <w:r w:rsidR="00A26BFC" w:rsidRPr="002A7A24">
              <w:rPr>
                <w:sz w:val="20"/>
                <w:szCs w:val="20"/>
              </w:rPr>
              <w:t>'</w:t>
            </w:r>
            <w:r w:rsidRPr="002A7A24">
              <w:rPr>
                <w:sz w:val="20"/>
                <w:szCs w:val="20"/>
              </w:rPr>
              <w:t>intention des</w:t>
            </w:r>
            <w:r w:rsidR="00A26BFC" w:rsidRPr="002A7A24">
              <w:rPr>
                <w:sz w:val="20"/>
                <w:szCs w:val="20"/>
              </w:rPr>
              <w:t xml:space="preserve"> </w:t>
            </w:r>
            <w:r w:rsidRPr="002A7A24">
              <w:rPr>
                <w:sz w:val="20"/>
                <w:szCs w:val="20"/>
              </w:rPr>
              <w:t>soumissionnaires non retenus pour les appels d</w:t>
            </w:r>
            <w:r w:rsidR="00A26BFC" w:rsidRPr="002A7A24">
              <w:rPr>
                <w:sz w:val="20"/>
                <w:szCs w:val="20"/>
              </w:rPr>
              <w:t>'</w:t>
            </w:r>
            <w:r w:rsidRPr="002A7A24">
              <w:rPr>
                <w:sz w:val="20"/>
                <w:szCs w:val="20"/>
              </w:rPr>
              <w:t>offres d</w:t>
            </w:r>
            <w:r w:rsidR="00A26BFC" w:rsidRPr="002A7A24">
              <w:rPr>
                <w:sz w:val="20"/>
                <w:szCs w:val="20"/>
              </w:rPr>
              <w:t>'</w:t>
            </w:r>
            <w:r w:rsidRPr="002A7A24">
              <w:rPr>
                <w:sz w:val="20"/>
                <w:szCs w:val="20"/>
              </w:rPr>
              <w:t>un montant élevé</w:t>
            </w:r>
            <w:bookmarkEnd w:id="127"/>
            <w:r w:rsidR="002D3E49" w:rsidRPr="002A7A24">
              <w:rPr>
                <w:sz w:val="20"/>
                <w:szCs w:val="20"/>
              </w:rPr>
              <w:t>.</w:t>
            </w:r>
          </w:p>
        </w:tc>
      </w:tr>
    </w:tbl>
    <w:p w:rsidR="002D3E49" w:rsidRPr="002A7A24" w:rsidRDefault="002D3E49" w:rsidP="0032202E">
      <w:pPr>
        <w:pStyle w:val="Reasons"/>
      </w:pPr>
    </w:p>
    <w:p w:rsidR="002D3E49" w:rsidRPr="002A7A24" w:rsidRDefault="002D3E49">
      <w:pPr>
        <w:jc w:val="center"/>
      </w:pPr>
      <w:r w:rsidRPr="002A7A24">
        <w:t>______________</w:t>
      </w:r>
    </w:p>
    <w:sectPr w:rsidR="002D3E49" w:rsidRPr="002A7A24" w:rsidSect="00164958">
      <w:pgSz w:w="16839" w:h="11907" w:orient="landscape" w:code="9"/>
      <w:pgMar w:top="1440" w:right="850" w:bottom="1440" w:left="1440" w:header="425" w:footer="46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4958" w:rsidRDefault="00164958">
      <w:r>
        <w:separator/>
      </w:r>
    </w:p>
  </w:endnote>
  <w:endnote w:type="continuationSeparator" w:id="0">
    <w:p w:rsidR="00164958" w:rsidRDefault="00164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958" w:rsidRDefault="000F3E44">
    <w:pPr>
      <w:pStyle w:val="Footer"/>
    </w:pPr>
    <w:fldSimple w:instr=" FILENAME \p \* MERGEFORMAT ">
      <w:r w:rsidR="00D57363">
        <w:t>P:\FRA\SG\CONSEIL\C17\000\064F.docx</w:t>
      </w:r>
    </w:fldSimple>
    <w:r w:rsidR="00164958">
      <w:tab/>
    </w:r>
    <w:r w:rsidR="00164958">
      <w:fldChar w:fldCharType="begin"/>
    </w:r>
    <w:r w:rsidR="00164958">
      <w:instrText xml:space="preserve"> savedate \@ dd.MM.yy </w:instrText>
    </w:r>
    <w:r w:rsidR="00164958">
      <w:fldChar w:fldCharType="separate"/>
    </w:r>
    <w:r w:rsidR="00EA3312">
      <w:t>05.04.17</w:t>
    </w:r>
    <w:r w:rsidR="00164958">
      <w:fldChar w:fldCharType="end"/>
    </w:r>
    <w:r w:rsidR="00164958">
      <w:tab/>
    </w:r>
    <w:r w:rsidR="00164958">
      <w:fldChar w:fldCharType="begin"/>
    </w:r>
    <w:r w:rsidR="00164958">
      <w:instrText xml:space="preserve"> printdate \@ dd.MM.yy </w:instrText>
    </w:r>
    <w:r w:rsidR="00164958">
      <w:fldChar w:fldCharType="separate"/>
    </w:r>
    <w:r w:rsidR="00D57363">
      <w:t>05.04.17</w:t>
    </w:r>
    <w:r w:rsidR="00164958">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958" w:rsidRPr="00EA3312" w:rsidRDefault="000F3E44" w:rsidP="00A26BFC">
    <w:pPr>
      <w:pStyle w:val="Footer"/>
      <w:rPr>
        <w:color w:val="D9D9D9" w:themeColor="background1" w:themeShade="D9"/>
      </w:rPr>
    </w:pPr>
    <w:r w:rsidRPr="00EA3312">
      <w:rPr>
        <w:color w:val="D9D9D9" w:themeColor="background1" w:themeShade="D9"/>
      </w:rPr>
      <w:fldChar w:fldCharType="begin"/>
    </w:r>
    <w:r w:rsidRPr="00EA3312">
      <w:rPr>
        <w:color w:val="D9D9D9" w:themeColor="background1" w:themeShade="D9"/>
      </w:rPr>
      <w:instrText xml:space="preserve"> FILENAME \p  \* MERGEFORMAT </w:instrText>
    </w:r>
    <w:r w:rsidRPr="00EA3312">
      <w:rPr>
        <w:color w:val="D9D9D9" w:themeColor="background1" w:themeShade="D9"/>
      </w:rPr>
      <w:fldChar w:fldCharType="separate"/>
    </w:r>
    <w:r w:rsidR="00D57363" w:rsidRPr="00EA3312">
      <w:rPr>
        <w:color w:val="D9D9D9" w:themeColor="background1" w:themeShade="D9"/>
      </w:rPr>
      <w:t>P:\FRA\SG\CONSEIL\C17\000\064F.docx</w:t>
    </w:r>
    <w:r w:rsidRPr="00EA3312">
      <w:rPr>
        <w:color w:val="D9D9D9" w:themeColor="background1" w:themeShade="D9"/>
      </w:rPr>
      <w:fldChar w:fldCharType="end"/>
    </w:r>
    <w:r w:rsidR="00164958" w:rsidRPr="00EA3312">
      <w:rPr>
        <w:color w:val="D9D9D9" w:themeColor="background1" w:themeShade="D9"/>
      </w:rPr>
      <w:t xml:space="preserve"> (413124)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958" w:rsidRDefault="00164958">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4958" w:rsidRDefault="00164958">
      <w:r>
        <w:t>____________________</w:t>
      </w:r>
    </w:p>
  </w:footnote>
  <w:footnote w:type="continuationSeparator" w:id="0">
    <w:p w:rsidR="00164958" w:rsidRDefault="001649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958" w:rsidRDefault="00164958">
    <w:pPr>
      <w:pStyle w:val="Header"/>
    </w:pPr>
    <w:r>
      <w:t xml:space="preserve">- </w:t>
    </w:r>
    <w:r>
      <w:fldChar w:fldCharType="begin"/>
    </w:r>
    <w:r>
      <w:instrText>PAGE</w:instrText>
    </w:r>
    <w:r>
      <w:fldChar w:fldCharType="separate"/>
    </w:r>
    <w:r>
      <w:rPr>
        <w:noProof/>
      </w:rPr>
      <w:t>2</w:t>
    </w:r>
    <w:r>
      <w:rPr>
        <w:noProof/>
      </w:rPr>
      <w:fldChar w:fldCharType="end"/>
    </w:r>
    <w:r>
      <w:t xml:space="preserve"> -</w:t>
    </w:r>
  </w:p>
  <w:p w:rsidR="00164958" w:rsidRDefault="00164958">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958" w:rsidRDefault="00164958" w:rsidP="00475FB3">
    <w:pPr>
      <w:pStyle w:val="Header"/>
    </w:pPr>
    <w:r>
      <w:fldChar w:fldCharType="begin"/>
    </w:r>
    <w:r>
      <w:instrText>PAGE</w:instrText>
    </w:r>
    <w:r>
      <w:fldChar w:fldCharType="separate"/>
    </w:r>
    <w:r w:rsidR="00EA3312">
      <w:rPr>
        <w:noProof/>
      </w:rPr>
      <w:t>2</w:t>
    </w:r>
    <w:r>
      <w:rPr>
        <w:noProof/>
      </w:rPr>
      <w:fldChar w:fldCharType="end"/>
    </w:r>
  </w:p>
  <w:p w:rsidR="00164958" w:rsidRDefault="00164958" w:rsidP="0093234A">
    <w:pPr>
      <w:pStyle w:val="Header"/>
    </w:pPr>
    <w:r>
      <w:t>C17/64-F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41007D"/>
    <w:multiLevelType w:val="hybridMultilevel"/>
    <w:tmpl w:val="F6EC4846"/>
    <w:lvl w:ilvl="0" w:tplc="9D16ED3E">
      <w:start w:val="1"/>
      <w:numFmt w:val="bullet"/>
      <w:lvlText w:val="-"/>
      <w:lvlJc w:val="left"/>
      <w:pPr>
        <w:ind w:left="360" w:hanging="360"/>
      </w:pPr>
      <w:rPr>
        <w:rFonts w:ascii="Times New Roman" w:hAnsi="Times New Roman" w:cs="Times New Roman" w:hint="default"/>
        <w:sz w:val="16"/>
      </w:rPr>
    </w:lvl>
    <w:lvl w:ilvl="1" w:tplc="E31A1B28" w:tentative="1">
      <w:start w:val="1"/>
      <w:numFmt w:val="bullet"/>
      <w:lvlText w:val="o"/>
      <w:lvlJc w:val="left"/>
      <w:pPr>
        <w:ind w:left="1080" w:hanging="360"/>
      </w:pPr>
      <w:rPr>
        <w:rFonts w:ascii="Courier New" w:hAnsi="Courier New" w:cs="Courier New" w:hint="default"/>
      </w:rPr>
    </w:lvl>
    <w:lvl w:ilvl="2" w:tplc="37C02B86" w:tentative="1">
      <w:start w:val="1"/>
      <w:numFmt w:val="bullet"/>
      <w:lvlText w:val=""/>
      <w:lvlJc w:val="left"/>
      <w:pPr>
        <w:ind w:left="1800" w:hanging="360"/>
      </w:pPr>
      <w:rPr>
        <w:rFonts w:ascii="Wingdings" w:hAnsi="Wingdings" w:hint="default"/>
      </w:rPr>
    </w:lvl>
    <w:lvl w:ilvl="3" w:tplc="282A3D12" w:tentative="1">
      <w:start w:val="1"/>
      <w:numFmt w:val="bullet"/>
      <w:lvlText w:val=""/>
      <w:lvlJc w:val="left"/>
      <w:pPr>
        <w:ind w:left="2520" w:hanging="360"/>
      </w:pPr>
      <w:rPr>
        <w:rFonts w:ascii="Symbol" w:hAnsi="Symbol" w:hint="default"/>
      </w:rPr>
    </w:lvl>
    <w:lvl w:ilvl="4" w:tplc="41BC4F68" w:tentative="1">
      <w:start w:val="1"/>
      <w:numFmt w:val="bullet"/>
      <w:lvlText w:val="o"/>
      <w:lvlJc w:val="left"/>
      <w:pPr>
        <w:ind w:left="3240" w:hanging="360"/>
      </w:pPr>
      <w:rPr>
        <w:rFonts w:ascii="Courier New" w:hAnsi="Courier New" w:cs="Courier New" w:hint="default"/>
      </w:rPr>
    </w:lvl>
    <w:lvl w:ilvl="5" w:tplc="ABD231CC" w:tentative="1">
      <w:start w:val="1"/>
      <w:numFmt w:val="bullet"/>
      <w:lvlText w:val=""/>
      <w:lvlJc w:val="left"/>
      <w:pPr>
        <w:ind w:left="3960" w:hanging="360"/>
      </w:pPr>
      <w:rPr>
        <w:rFonts w:ascii="Wingdings" w:hAnsi="Wingdings" w:hint="default"/>
      </w:rPr>
    </w:lvl>
    <w:lvl w:ilvl="6" w:tplc="EFA8A63E" w:tentative="1">
      <w:start w:val="1"/>
      <w:numFmt w:val="bullet"/>
      <w:lvlText w:val=""/>
      <w:lvlJc w:val="left"/>
      <w:pPr>
        <w:ind w:left="4680" w:hanging="360"/>
      </w:pPr>
      <w:rPr>
        <w:rFonts w:ascii="Symbol" w:hAnsi="Symbol" w:hint="default"/>
      </w:rPr>
    </w:lvl>
    <w:lvl w:ilvl="7" w:tplc="07A2286C" w:tentative="1">
      <w:start w:val="1"/>
      <w:numFmt w:val="bullet"/>
      <w:lvlText w:val="o"/>
      <w:lvlJc w:val="left"/>
      <w:pPr>
        <w:ind w:left="5400" w:hanging="360"/>
      </w:pPr>
      <w:rPr>
        <w:rFonts w:ascii="Courier New" w:hAnsi="Courier New" w:cs="Courier New" w:hint="default"/>
      </w:rPr>
    </w:lvl>
    <w:lvl w:ilvl="8" w:tplc="03F06A18" w:tentative="1">
      <w:start w:val="1"/>
      <w:numFmt w:val="bullet"/>
      <w:lvlText w:val=""/>
      <w:lvlJc w:val="left"/>
      <w:pPr>
        <w:ind w:left="6120" w:hanging="360"/>
      </w:pPr>
      <w:rPr>
        <w:rFonts w:ascii="Wingdings" w:hAnsi="Wingdings" w:hint="default"/>
      </w:rPr>
    </w:lvl>
  </w:abstractNum>
  <w:abstractNum w:abstractNumId="1" w15:restartNumberingAfterBreak="0">
    <w:nsid w:val="435132A6"/>
    <w:multiLevelType w:val="hybridMultilevel"/>
    <w:tmpl w:val="B48296B4"/>
    <w:lvl w:ilvl="0" w:tplc="0046D0DC">
      <w:start w:val="1"/>
      <w:numFmt w:val="lowerLetter"/>
      <w:lvlText w:val="%1."/>
      <w:lvlJc w:val="left"/>
      <w:pPr>
        <w:ind w:left="720" w:hanging="360"/>
      </w:pPr>
      <w:rPr>
        <w:rFonts w:hint="default"/>
        <w:sz w:val="22"/>
        <w:szCs w:val="32"/>
      </w:rPr>
    </w:lvl>
    <w:lvl w:ilvl="1" w:tplc="43C076C4" w:tentative="1">
      <w:start w:val="1"/>
      <w:numFmt w:val="bullet"/>
      <w:lvlText w:val="o"/>
      <w:lvlJc w:val="left"/>
      <w:pPr>
        <w:ind w:left="1440" w:hanging="360"/>
      </w:pPr>
      <w:rPr>
        <w:rFonts w:ascii="Courier New" w:hAnsi="Courier New" w:cs="Courier New" w:hint="default"/>
      </w:rPr>
    </w:lvl>
    <w:lvl w:ilvl="2" w:tplc="B65EECF2" w:tentative="1">
      <w:start w:val="1"/>
      <w:numFmt w:val="bullet"/>
      <w:lvlText w:val=""/>
      <w:lvlJc w:val="left"/>
      <w:pPr>
        <w:ind w:left="2160" w:hanging="360"/>
      </w:pPr>
      <w:rPr>
        <w:rFonts w:ascii="Wingdings" w:hAnsi="Wingdings" w:hint="default"/>
      </w:rPr>
    </w:lvl>
    <w:lvl w:ilvl="3" w:tplc="9DE25E76" w:tentative="1">
      <w:start w:val="1"/>
      <w:numFmt w:val="bullet"/>
      <w:lvlText w:val=""/>
      <w:lvlJc w:val="left"/>
      <w:pPr>
        <w:ind w:left="2880" w:hanging="360"/>
      </w:pPr>
      <w:rPr>
        <w:rFonts w:ascii="Symbol" w:hAnsi="Symbol" w:hint="default"/>
      </w:rPr>
    </w:lvl>
    <w:lvl w:ilvl="4" w:tplc="2A94FF12" w:tentative="1">
      <w:start w:val="1"/>
      <w:numFmt w:val="bullet"/>
      <w:lvlText w:val="o"/>
      <w:lvlJc w:val="left"/>
      <w:pPr>
        <w:ind w:left="3600" w:hanging="360"/>
      </w:pPr>
      <w:rPr>
        <w:rFonts w:ascii="Courier New" w:hAnsi="Courier New" w:cs="Courier New" w:hint="default"/>
      </w:rPr>
    </w:lvl>
    <w:lvl w:ilvl="5" w:tplc="F3849A54" w:tentative="1">
      <w:start w:val="1"/>
      <w:numFmt w:val="bullet"/>
      <w:lvlText w:val=""/>
      <w:lvlJc w:val="left"/>
      <w:pPr>
        <w:ind w:left="4320" w:hanging="360"/>
      </w:pPr>
      <w:rPr>
        <w:rFonts w:ascii="Wingdings" w:hAnsi="Wingdings" w:hint="default"/>
      </w:rPr>
    </w:lvl>
    <w:lvl w:ilvl="6" w:tplc="F710ABA4" w:tentative="1">
      <w:start w:val="1"/>
      <w:numFmt w:val="bullet"/>
      <w:lvlText w:val=""/>
      <w:lvlJc w:val="left"/>
      <w:pPr>
        <w:ind w:left="5040" w:hanging="360"/>
      </w:pPr>
      <w:rPr>
        <w:rFonts w:ascii="Symbol" w:hAnsi="Symbol" w:hint="default"/>
      </w:rPr>
    </w:lvl>
    <w:lvl w:ilvl="7" w:tplc="2D0217D4" w:tentative="1">
      <w:start w:val="1"/>
      <w:numFmt w:val="bullet"/>
      <w:lvlText w:val="o"/>
      <w:lvlJc w:val="left"/>
      <w:pPr>
        <w:ind w:left="5760" w:hanging="360"/>
      </w:pPr>
      <w:rPr>
        <w:rFonts w:ascii="Courier New" w:hAnsi="Courier New" w:cs="Courier New" w:hint="default"/>
      </w:rPr>
    </w:lvl>
    <w:lvl w:ilvl="8" w:tplc="8C6EF74E" w:tentative="1">
      <w:start w:val="1"/>
      <w:numFmt w:val="bullet"/>
      <w:lvlText w:val=""/>
      <w:lvlJc w:val="left"/>
      <w:pPr>
        <w:ind w:left="6480" w:hanging="360"/>
      </w:pPr>
      <w:rPr>
        <w:rFonts w:ascii="Wingdings" w:hAnsi="Wingdings" w:hint="default"/>
      </w:rPr>
    </w:lvl>
  </w:abstractNum>
  <w:abstractNum w:abstractNumId="2" w15:restartNumberingAfterBreak="0">
    <w:nsid w:val="563A252B"/>
    <w:multiLevelType w:val="hybridMultilevel"/>
    <w:tmpl w:val="9C62F7A6"/>
    <w:lvl w:ilvl="0" w:tplc="EF48530A">
      <w:start w:val="1"/>
      <w:numFmt w:val="lowerLetter"/>
      <w:lvlText w:val="%1."/>
      <w:lvlJc w:val="left"/>
      <w:pPr>
        <w:ind w:left="-360" w:hanging="360"/>
      </w:pPr>
      <w:rPr>
        <w:rFonts w:hint="default"/>
        <w:sz w:val="22"/>
        <w:szCs w:val="22"/>
      </w:rPr>
    </w:lvl>
    <w:lvl w:ilvl="1" w:tplc="F816F980" w:tentative="1">
      <w:start w:val="1"/>
      <w:numFmt w:val="lowerLetter"/>
      <w:lvlText w:val="%2."/>
      <w:lvlJc w:val="left"/>
      <w:pPr>
        <w:ind w:left="360" w:hanging="360"/>
      </w:pPr>
    </w:lvl>
    <w:lvl w:ilvl="2" w:tplc="3A08B1CE" w:tentative="1">
      <w:start w:val="1"/>
      <w:numFmt w:val="lowerRoman"/>
      <w:lvlText w:val="%3."/>
      <w:lvlJc w:val="right"/>
      <w:pPr>
        <w:ind w:left="1080" w:hanging="180"/>
      </w:pPr>
    </w:lvl>
    <w:lvl w:ilvl="3" w:tplc="CEE25FA4" w:tentative="1">
      <w:start w:val="1"/>
      <w:numFmt w:val="decimal"/>
      <w:lvlText w:val="%4."/>
      <w:lvlJc w:val="left"/>
      <w:pPr>
        <w:ind w:left="1800" w:hanging="360"/>
      </w:pPr>
    </w:lvl>
    <w:lvl w:ilvl="4" w:tplc="A066DDE6" w:tentative="1">
      <w:start w:val="1"/>
      <w:numFmt w:val="lowerLetter"/>
      <w:lvlText w:val="%5."/>
      <w:lvlJc w:val="left"/>
      <w:pPr>
        <w:ind w:left="2520" w:hanging="360"/>
      </w:pPr>
    </w:lvl>
    <w:lvl w:ilvl="5" w:tplc="5B3206FC" w:tentative="1">
      <w:start w:val="1"/>
      <w:numFmt w:val="lowerRoman"/>
      <w:lvlText w:val="%6."/>
      <w:lvlJc w:val="right"/>
      <w:pPr>
        <w:ind w:left="3240" w:hanging="180"/>
      </w:pPr>
    </w:lvl>
    <w:lvl w:ilvl="6" w:tplc="6B422C0E" w:tentative="1">
      <w:start w:val="1"/>
      <w:numFmt w:val="decimal"/>
      <w:lvlText w:val="%7."/>
      <w:lvlJc w:val="left"/>
      <w:pPr>
        <w:ind w:left="3960" w:hanging="360"/>
      </w:pPr>
    </w:lvl>
    <w:lvl w:ilvl="7" w:tplc="8AAC837C" w:tentative="1">
      <w:start w:val="1"/>
      <w:numFmt w:val="lowerLetter"/>
      <w:lvlText w:val="%8."/>
      <w:lvlJc w:val="left"/>
      <w:pPr>
        <w:ind w:left="4680" w:hanging="360"/>
      </w:pPr>
    </w:lvl>
    <w:lvl w:ilvl="8" w:tplc="9DFE9EEE" w:tentative="1">
      <w:start w:val="1"/>
      <w:numFmt w:val="lowerRoman"/>
      <w:lvlText w:val="%9."/>
      <w:lvlJc w:val="right"/>
      <w:pPr>
        <w:ind w:left="5400" w:hanging="180"/>
      </w:pPr>
    </w:lvl>
  </w:abstractNum>
  <w:abstractNum w:abstractNumId="3" w15:restartNumberingAfterBreak="0">
    <w:nsid w:val="74B921EF"/>
    <w:multiLevelType w:val="hybridMultilevel"/>
    <w:tmpl w:val="0974F76C"/>
    <w:lvl w:ilvl="0" w:tplc="0C9C2D58">
      <w:start w:val="1"/>
      <w:numFmt w:val="bullet"/>
      <w:lvlText w:val="-"/>
      <w:lvlJc w:val="left"/>
      <w:pPr>
        <w:ind w:left="720" w:hanging="360"/>
      </w:pPr>
      <w:rPr>
        <w:rFonts w:ascii="Times New Roman" w:hAnsi="Times New Roman" w:cs="Times New Roman" w:hint="default"/>
        <w:sz w:val="16"/>
      </w:rPr>
    </w:lvl>
    <w:lvl w:ilvl="1" w:tplc="E60AC618" w:tentative="1">
      <w:start w:val="1"/>
      <w:numFmt w:val="bullet"/>
      <w:lvlText w:val="o"/>
      <w:lvlJc w:val="left"/>
      <w:pPr>
        <w:ind w:left="1440" w:hanging="360"/>
      </w:pPr>
      <w:rPr>
        <w:rFonts w:ascii="Courier New" w:hAnsi="Courier New" w:cs="Courier New" w:hint="default"/>
      </w:rPr>
    </w:lvl>
    <w:lvl w:ilvl="2" w:tplc="F9783016" w:tentative="1">
      <w:start w:val="1"/>
      <w:numFmt w:val="bullet"/>
      <w:lvlText w:val=""/>
      <w:lvlJc w:val="left"/>
      <w:pPr>
        <w:ind w:left="2160" w:hanging="360"/>
      </w:pPr>
      <w:rPr>
        <w:rFonts w:ascii="Wingdings" w:hAnsi="Wingdings" w:hint="default"/>
      </w:rPr>
    </w:lvl>
    <w:lvl w:ilvl="3" w:tplc="21B21E36" w:tentative="1">
      <w:start w:val="1"/>
      <w:numFmt w:val="bullet"/>
      <w:lvlText w:val=""/>
      <w:lvlJc w:val="left"/>
      <w:pPr>
        <w:ind w:left="2880" w:hanging="360"/>
      </w:pPr>
      <w:rPr>
        <w:rFonts w:ascii="Symbol" w:hAnsi="Symbol" w:hint="default"/>
      </w:rPr>
    </w:lvl>
    <w:lvl w:ilvl="4" w:tplc="447EF0B0" w:tentative="1">
      <w:start w:val="1"/>
      <w:numFmt w:val="bullet"/>
      <w:lvlText w:val="o"/>
      <w:lvlJc w:val="left"/>
      <w:pPr>
        <w:ind w:left="3600" w:hanging="360"/>
      </w:pPr>
      <w:rPr>
        <w:rFonts w:ascii="Courier New" w:hAnsi="Courier New" w:cs="Courier New" w:hint="default"/>
      </w:rPr>
    </w:lvl>
    <w:lvl w:ilvl="5" w:tplc="2B84B53A" w:tentative="1">
      <w:start w:val="1"/>
      <w:numFmt w:val="bullet"/>
      <w:lvlText w:val=""/>
      <w:lvlJc w:val="left"/>
      <w:pPr>
        <w:ind w:left="4320" w:hanging="360"/>
      </w:pPr>
      <w:rPr>
        <w:rFonts w:ascii="Wingdings" w:hAnsi="Wingdings" w:hint="default"/>
      </w:rPr>
    </w:lvl>
    <w:lvl w:ilvl="6" w:tplc="FDCAFAA2" w:tentative="1">
      <w:start w:val="1"/>
      <w:numFmt w:val="bullet"/>
      <w:lvlText w:val=""/>
      <w:lvlJc w:val="left"/>
      <w:pPr>
        <w:ind w:left="5040" w:hanging="360"/>
      </w:pPr>
      <w:rPr>
        <w:rFonts w:ascii="Symbol" w:hAnsi="Symbol" w:hint="default"/>
      </w:rPr>
    </w:lvl>
    <w:lvl w:ilvl="7" w:tplc="A948AC62" w:tentative="1">
      <w:start w:val="1"/>
      <w:numFmt w:val="bullet"/>
      <w:lvlText w:val="o"/>
      <w:lvlJc w:val="left"/>
      <w:pPr>
        <w:ind w:left="5760" w:hanging="360"/>
      </w:pPr>
      <w:rPr>
        <w:rFonts w:ascii="Courier New" w:hAnsi="Courier New" w:cs="Courier New" w:hint="default"/>
      </w:rPr>
    </w:lvl>
    <w:lvl w:ilvl="8" w:tplc="9F7A8F0A" w:tentative="1">
      <w:start w:val="1"/>
      <w:numFmt w:val="bullet"/>
      <w:lvlText w:val=""/>
      <w:lvlJc w:val="left"/>
      <w:pPr>
        <w:ind w:left="6480" w:hanging="360"/>
      </w:pPr>
      <w:rPr>
        <w:rFonts w:ascii="Wingdings" w:hAnsi="Wingdings" w:hint="default"/>
      </w:rPr>
    </w:lvl>
  </w:abstractNum>
  <w:abstractNum w:abstractNumId="4" w15:restartNumberingAfterBreak="0">
    <w:nsid w:val="77BB7FE0"/>
    <w:multiLevelType w:val="hybridMultilevel"/>
    <w:tmpl w:val="A3E87BCA"/>
    <w:lvl w:ilvl="0" w:tplc="3F4825E6">
      <w:start w:val="1"/>
      <w:numFmt w:val="lowerLetter"/>
      <w:lvlText w:val="%1."/>
      <w:lvlJc w:val="left"/>
      <w:pPr>
        <w:ind w:left="720" w:hanging="360"/>
      </w:pPr>
      <w:rPr>
        <w:rFonts w:hint="default"/>
        <w:sz w:val="22"/>
        <w:szCs w:val="32"/>
      </w:rPr>
    </w:lvl>
    <w:lvl w:ilvl="1" w:tplc="403223B2" w:tentative="1">
      <w:start w:val="1"/>
      <w:numFmt w:val="bullet"/>
      <w:lvlText w:val="o"/>
      <w:lvlJc w:val="left"/>
      <w:pPr>
        <w:ind w:left="1440" w:hanging="360"/>
      </w:pPr>
      <w:rPr>
        <w:rFonts w:ascii="Courier New" w:hAnsi="Courier New" w:cs="Courier New" w:hint="default"/>
      </w:rPr>
    </w:lvl>
    <w:lvl w:ilvl="2" w:tplc="E466D2FC" w:tentative="1">
      <w:start w:val="1"/>
      <w:numFmt w:val="bullet"/>
      <w:lvlText w:val=""/>
      <w:lvlJc w:val="left"/>
      <w:pPr>
        <w:ind w:left="2160" w:hanging="360"/>
      </w:pPr>
      <w:rPr>
        <w:rFonts w:ascii="Wingdings" w:hAnsi="Wingdings" w:hint="default"/>
      </w:rPr>
    </w:lvl>
    <w:lvl w:ilvl="3" w:tplc="9E187580" w:tentative="1">
      <w:start w:val="1"/>
      <w:numFmt w:val="bullet"/>
      <w:lvlText w:val=""/>
      <w:lvlJc w:val="left"/>
      <w:pPr>
        <w:ind w:left="2880" w:hanging="360"/>
      </w:pPr>
      <w:rPr>
        <w:rFonts w:ascii="Symbol" w:hAnsi="Symbol" w:hint="default"/>
      </w:rPr>
    </w:lvl>
    <w:lvl w:ilvl="4" w:tplc="23BEA564" w:tentative="1">
      <w:start w:val="1"/>
      <w:numFmt w:val="bullet"/>
      <w:lvlText w:val="o"/>
      <w:lvlJc w:val="left"/>
      <w:pPr>
        <w:ind w:left="3600" w:hanging="360"/>
      </w:pPr>
      <w:rPr>
        <w:rFonts w:ascii="Courier New" w:hAnsi="Courier New" w:cs="Courier New" w:hint="default"/>
      </w:rPr>
    </w:lvl>
    <w:lvl w:ilvl="5" w:tplc="66648348" w:tentative="1">
      <w:start w:val="1"/>
      <w:numFmt w:val="bullet"/>
      <w:lvlText w:val=""/>
      <w:lvlJc w:val="left"/>
      <w:pPr>
        <w:ind w:left="4320" w:hanging="360"/>
      </w:pPr>
      <w:rPr>
        <w:rFonts w:ascii="Wingdings" w:hAnsi="Wingdings" w:hint="default"/>
      </w:rPr>
    </w:lvl>
    <w:lvl w:ilvl="6" w:tplc="C5861D62" w:tentative="1">
      <w:start w:val="1"/>
      <w:numFmt w:val="bullet"/>
      <w:lvlText w:val=""/>
      <w:lvlJc w:val="left"/>
      <w:pPr>
        <w:ind w:left="5040" w:hanging="360"/>
      </w:pPr>
      <w:rPr>
        <w:rFonts w:ascii="Symbol" w:hAnsi="Symbol" w:hint="default"/>
      </w:rPr>
    </w:lvl>
    <w:lvl w:ilvl="7" w:tplc="9858E0B0" w:tentative="1">
      <w:start w:val="1"/>
      <w:numFmt w:val="bullet"/>
      <w:lvlText w:val="o"/>
      <w:lvlJc w:val="left"/>
      <w:pPr>
        <w:ind w:left="5760" w:hanging="360"/>
      </w:pPr>
      <w:rPr>
        <w:rFonts w:ascii="Courier New" w:hAnsi="Courier New" w:cs="Courier New" w:hint="default"/>
      </w:rPr>
    </w:lvl>
    <w:lvl w:ilvl="8" w:tplc="474C7F64" w:tentative="1">
      <w:start w:val="1"/>
      <w:numFmt w:val="bullet"/>
      <w:lvlText w:val=""/>
      <w:lvlJc w:val="left"/>
      <w:pPr>
        <w:ind w:left="6480" w:hanging="360"/>
      </w:pPr>
      <w:rPr>
        <w:rFonts w:ascii="Wingdings" w:hAnsi="Wingdings" w:hint="default"/>
      </w:rPr>
    </w:lvl>
  </w:abstractNum>
  <w:abstractNum w:abstractNumId="5" w15:restartNumberingAfterBreak="0">
    <w:nsid w:val="7E165D20"/>
    <w:multiLevelType w:val="hybridMultilevel"/>
    <w:tmpl w:val="4656DFA8"/>
    <w:lvl w:ilvl="0" w:tplc="AC0CFDDE">
      <w:start w:val="1"/>
      <w:numFmt w:val="lowerLetter"/>
      <w:lvlText w:val="%1."/>
      <w:lvlJc w:val="left"/>
      <w:pPr>
        <w:ind w:left="720" w:hanging="360"/>
      </w:pPr>
      <w:rPr>
        <w:rFonts w:hint="default"/>
        <w:sz w:val="22"/>
        <w:szCs w:val="32"/>
      </w:rPr>
    </w:lvl>
    <w:lvl w:ilvl="1" w:tplc="BA0618F2" w:tentative="1">
      <w:start w:val="1"/>
      <w:numFmt w:val="bullet"/>
      <w:lvlText w:val="o"/>
      <w:lvlJc w:val="left"/>
      <w:pPr>
        <w:ind w:left="1440" w:hanging="360"/>
      </w:pPr>
      <w:rPr>
        <w:rFonts w:ascii="Courier New" w:hAnsi="Courier New" w:cs="Courier New" w:hint="default"/>
      </w:rPr>
    </w:lvl>
    <w:lvl w:ilvl="2" w:tplc="78C0E124" w:tentative="1">
      <w:start w:val="1"/>
      <w:numFmt w:val="bullet"/>
      <w:lvlText w:val=""/>
      <w:lvlJc w:val="left"/>
      <w:pPr>
        <w:ind w:left="2160" w:hanging="360"/>
      </w:pPr>
      <w:rPr>
        <w:rFonts w:ascii="Wingdings" w:hAnsi="Wingdings" w:hint="default"/>
      </w:rPr>
    </w:lvl>
    <w:lvl w:ilvl="3" w:tplc="BECABD8A" w:tentative="1">
      <w:start w:val="1"/>
      <w:numFmt w:val="bullet"/>
      <w:lvlText w:val=""/>
      <w:lvlJc w:val="left"/>
      <w:pPr>
        <w:ind w:left="2880" w:hanging="360"/>
      </w:pPr>
      <w:rPr>
        <w:rFonts w:ascii="Symbol" w:hAnsi="Symbol" w:hint="default"/>
      </w:rPr>
    </w:lvl>
    <w:lvl w:ilvl="4" w:tplc="F9BA1FFA" w:tentative="1">
      <w:start w:val="1"/>
      <w:numFmt w:val="bullet"/>
      <w:lvlText w:val="o"/>
      <w:lvlJc w:val="left"/>
      <w:pPr>
        <w:ind w:left="3600" w:hanging="360"/>
      </w:pPr>
      <w:rPr>
        <w:rFonts w:ascii="Courier New" w:hAnsi="Courier New" w:cs="Courier New" w:hint="default"/>
      </w:rPr>
    </w:lvl>
    <w:lvl w:ilvl="5" w:tplc="14EAB41C" w:tentative="1">
      <w:start w:val="1"/>
      <w:numFmt w:val="bullet"/>
      <w:lvlText w:val=""/>
      <w:lvlJc w:val="left"/>
      <w:pPr>
        <w:ind w:left="4320" w:hanging="360"/>
      </w:pPr>
      <w:rPr>
        <w:rFonts w:ascii="Wingdings" w:hAnsi="Wingdings" w:hint="default"/>
      </w:rPr>
    </w:lvl>
    <w:lvl w:ilvl="6" w:tplc="0DB074DA" w:tentative="1">
      <w:start w:val="1"/>
      <w:numFmt w:val="bullet"/>
      <w:lvlText w:val=""/>
      <w:lvlJc w:val="left"/>
      <w:pPr>
        <w:ind w:left="5040" w:hanging="360"/>
      </w:pPr>
      <w:rPr>
        <w:rFonts w:ascii="Symbol" w:hAnsi="Symbol" w:hint="default"/>
      </w:rPr>
    </w:lvl>
    <w:lvl w:ilvl="7" w:tplc="2BEA36CC" w:tentative="1">
      <w:start w:val="1"/>
      <w:numFmt w:val="bullet"/>
      <w:lvlText w:val="o"/>
      <w:lvlJc w:val="left"/>
      <w:pPr>
        <w:ind w:left="5760" w:hanging="360"/>
      </w:pPr>
      <w:rPr>
        <w:rFonts w:ascii="Courier New" w:hAnsi="Courier New" w:cs="Courier New" w:hint="default"/>
      </w:rPr>
    </w:lvl>
    <w:lvl w:ilvl="8" w:tplc="88F45ED0"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F75"/>
    <w:rsid w:val="000D0D0A"/>
    <w:rsid w:val="000F3E44"/>
    <w:rsid w:val="00103163"/>
    <w:rsid w:val="00115D93"/>
    <w:rsid w:val="001247A8"/>
    <w:rsid w:val="001378C0"/>
    <w:rsid w:val="00164958"/>
    <w:rsid w:val="0018694A"/>
    <w:rsid w:val="001A3287"/>
    <w:rsid w:val="001D4C31"/>
    <w:rsid w:val="001E4D21"/>
    <w:rsid w:val="00207CD1"/>
    <w:rsid w:val="002477A2"/>
    <w:rsid w:val="00263A51"/>
    <w:rsid w:val="00267E02"/>
    <w:rsid w:val="002A5D44"/>
    <w:rsid w:val="002A7A24"/>
    <w:rsid w:val="002D3E49"/>
    <w:rsid w:val="002D5578"/>
    <w:rsid w:val="002E0BC4"/>
    <w:rsid w:val="002F1B76"/>
    <w:rsid w:val="00355FF5"/>
    <w:rsid w:val="00361350"/>
    <w:rsid w:val="004038CB"/>
    <w:rsid w:val="0040546F"/>
    <w:rsid w:val="0042404A"/>
    <w:rsid w:val="0044618F"/>
    <w:rsid w:val="0046769A"/>
    <w:rsid w:val="00475FB3"/>
    <w:rsid w:val="004C37A9"/>
    <w:rsid w:val="004E5574"/>
    <w:rsid w:val="004F259E"/>
    <w:rsid w:val="00511F1D"/>
    <w:rsid w:val="005143AC"/>
    <w:rsid w:val="00540615"/>
    <w:rsid w:val="00540A6D"/>
    <w:rsid w:val="00571EEA"/>
    <w:rsid w:val="00575417"/>
    <w:rsid w:val="005768E1"/>
    <w:rsid w:val="005C3890"/>
    <w:rsid w:val="005F7BFE"/>
    <w:rsid w:val="00600017"/>
    <w:rsid w:val="006235CA"/>
    <w:rsid w:val="00663EFD"/>
    <w:rsid w:val="006643AB"/>
    <w:rsid w:val="007210CD"/>
    <w:rsid w:val="00726716"/>
    <w:rsid w:val="00732045"/>
    <w:rsid w:val="007369DB"/>
    <w:rsid w:val="007956C2"/>
    <w:rsid w:val="007A187E"/>
    <w:rsid w:val="007C72C2"/>
    <w:rsid w:val="007D4436"/>
    <w:rsid w:val="007E7200"/>
    <w:rsid w:val="007F257A"/>
    <w:rsid w:val="007F317F"/>
    <w:rsid w:val="007F3665"/>
    <w:rsid w:val="00800037"/>
    <w:rsid w:val="00861D73"/>
    <w:rsid w:val="008A4E87"/>
    <w:rsid w:val="008D76E6"/>
    <w:rsid w:val="0092392D"/>
    <w:rsid w:val="0093234A"/>
    <w:rsid w:val="009C307F"/>
    <w:rsid w:val="009F4B65"/>
    <w:rsid w:val="00A2113E"/>
    <w:rsid w:val="00A23A51"/>
    <w:rsid w:val="00A24607"/>
    <w:rsid w:val="00A25CD3"/>
    <w:rsid w:val="00A26BFC"/>
    <w:rsid w:val="00A82767"/>
    <w:rsid w:val="00AA332F"/>
    <w:rsid w:val="00AA7BBB"/>
    <w:rsid w:val="00AB64A8"/>
    <w:rsid w:val="00AC0266"/>
    <w:rsid w:val="00AD24EC"/>
    <w:rsid w:val="00B309F9"/>
    <w:rsid w:val="00B32B60"/>
    <w:rsid w:val="00B51305"/>
    <w:rsid w:val="00B61619"/>
    <w:rsid w:val="00BB4545"/>
    <w:rsid w:val="00BD5873"/>
    <w:rsid w:val="00C04BE3"/>
    <w:rsid w:val="00C25D29"/>
    <w:rsid w:val="00C27A7C"/>
    <w:rsid w:val="00CA08ED"/>
    <w:rsid w:val="00CF183B"/>
    <w:rsid w:val="00D375CD"/>
    <w:rsid w:val="00D553A2"/>
    <w:rsid w:val="00D57363"/>
    <w:rsid w:val="00D774D3"/>
    <w:rsid w:val="00D904E8"/>
    <w:rsid w:val="00DA08C3"/>
    <w:rsid w:val="00DB5A3E"/>
    <w:rsid w:val="00DC22AA"/>
    <w:rsid w:val="00DD33D3"/>
    <w:rsid w:val="00DF74DD"/>
    <w:rsid w:val="00DF7801"/>
    <w:rsid w:val="00E25AD0"/>
    <w:rsid w:val="00EA3312"/>
    <w:rsid w:val="00EB6350"/>
    <w:rsid w:val="00F15B57"/>
    <w:rsid w:val="00F427DB"/>
    <w:rsid w:val="00F57F75"/>
    <w:rsid w:val="00F7203A"/>
    <w:rsid w:val="00FA5EB1"/>
    <w:rsid w:val="00FA7439"/>
    <w:rsid w:val="00FC4EC0"/>
    <w:rsid w:val="00FD33F8"/>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7E6F361F-1D27-4E6F-BFCF-EB1FD5FEB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link w:val="Heading2Char"/>
    <w:uiPriority w:val="9"/>
    <w:qFormat/>
    <w:rsid w:val="00732045"/>
    <w:pPr>
      <w:spacing w:before="320"/>
      <w:outlineLvl w:val="1"/>
    </w:pPr>
    <w:rPr>
      <w:sz w:val="24"/>
    </w:rPr>
  </w:style>
  <w:style w:type="paragraph" w:styleId="Heading3">
    <w:name w:val="heading 3"/>
    <w:basedOn w:val="Heading1"/>
    <w:next w:val="Normal"/>
    <w:link w:val="Heading3Char"/>
    <w:uiPriority w:val="9"/>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uiPriority w:val="99"/>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F57F75"/>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customStyle="1" w:styleId="Heading2Char">
    <w:name w:val="Heading 2 Char"/>
    <w:basedOn w:val="DefaultParagraphFont"/>
    <w:link w:val="Heading2"/>
    <w:uiPriority w:val="9"/>
    <w:rsid w:val="00F57F75"/>
    <w:rPr>
      <w:rFonts w:ascii="Calibri" w:hAnsi="Calibri"/>
      <w:b/>
      <w:sz w:val="24"/>
      <w:lang w:val="fr-FR" w:eastAsia="en-US"/>
    </w:rPr>
  </w:style>
  <w:style w:type="table" w:styleId="TableGrid">
    <w:name w:val="Table Grid"/>
    <w:basedOn w:val="TableNormal"/>
    <w:uiPriority w:val="39"/>
    <w:rsid w:val="00F57F7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F57F75"/>
    <w:rPr>
      <w:rFonts w:ascii="Calibri" w:hAnsi="Calibri"/>
      <w:b/>
      <w:sz w:val="24"/>
      <w:lang w:val="fr-FR" w:eastAsia="en-US"/>
    </w:rPr>
  </w:style>
  <w:style w:type="paragraph" w:styleId="ListParagraph">
    <w:name w:val="List Paragraph"/>
    <w:basedOn w:val="Normal"/>
    <w:uiPriority w:val="34"/>
    <w:qFormat/>
    <w:rsid w:val="00F57F75"/>
    <w:pPr>
      <w:tabs>
        <w:tab w:val="clear" w:pos="567"/>
        <w:tab w:val="clear" w:pos="1134"/>
        <w:tab w:val="clear" w:pos="1701"/>
        <w:tab w:val="clear" w:pos="2268"/>
        <w:tab w:val="clear" w:pos="2835"/>
      </w:tabs>
      <w:overflowPunct/>
      <w:autoSpaceDE/>
      <w:autoSpaceDN/>
      <w:adjustRightInd/>
      <w:spacing w:before="0" w:after="160" w:line="259" w:lineRule="auto"/>
      <w:ind w:left="720"/>
      <w:contextualSpacing/>
      <w:textAlignment w:val="auto"/>
    </w:pPr>
    <w:rPr>
      <w:rFonts w:asciiTheme="minorHAnsi" w:eastAsiaTheme="minorEastAsia" w:hAnsiTheme="minorHAnsi" w:cstheme="minorBidi"/>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njiu.org/en/reports-notes/JIU%20Products/JIU_REP_2016_1_English.pdf" TargetMode="External"/><Relationship Id="rId13" Type="http://schemas.openxmlformats.org/officeDocument/2006/relationships/hyperlink" Target="https://www.unjiu.org/en/reports-notes/JIU%20Products/JIU_REP_2016_1_English.pdf"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unjiu.org/en/reports-notes/JIU%20Products/JIU_REP_2011_5_English.pdf"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n.org/en/ga/search/view_doc.asp?symbol=A/RES/64/259"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unjiu.org/en/reports-notes/JIU%20Products/JIU_REP_2016_1_English.pdf"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unjiu.org/en/reports-notes/JIU%20Products/JIU_REP_2011_5_English.pdf" TargetMode="External"/><Relationship Id="rId14" Type="http://schemas.openxmlformats.org/officeDocument/2006/relationships/hyperlink" Target="http://www.un.org/en/ga/search/view_doc.asp?symbol=A/RES/64/259"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C1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PF_C17.dotm</Template>
  <TotalTime>0</TotalTime>
  <Pages>11</Pages>
  <Words>3845</Words>
  <Characters>22723</Characters>
  <Application>Microsoft Office Word</Application>
  <DocSecurity>4</DocSecurity>
  <Lines>189</Lines>
  <Paragraphs>53</Paragraphs>
  <ScaleCrop>false</ScaleCrop>
  <HeadingPairs>
    <vt:vector size="2" baseType="variant">
      <vt:variant>
        <vt:lpstr>Title</vt:lpstr>
      </vt:variant>
      <vt:variant>
        <vt:i4>1</vt:i4>
      </vt:variant>
    </vt:vector>
  </HeadingPairs>
  <TitlesOfParts>
    <vt:vector size="1" baseType="lpstr">
      <vt:lpstr>CADRE DE RESPONSABILISATION ET DE TRANSPARENCE UNION INTERNATIONALE DES TÉLÉCOMMUNICATIONS</vt:lpstr>
    </vt:vector>
  </TitlesOfParts>
  <Manager>Secrétariat général - Pool</Manager>
  <Company>Union internationale des télécommunications (UIT)</Company>
  <LinksUpToDate>false</LinksUpToDate>
  <CharactersWithSpaces>26515</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CADRE DE RESPONSABILISATION ET DE TRANSPARENCE UNION INTERNATIONALE DES TÉLÉCOMMUNICATIONS</dc:title>
  <dc:subject>Conseil 2017</dc:subject>
  <dc:creator>Rapport du Secrétaire général</dc:creator>
  <cp:keywords>C2017, C17</cp:keywords>
  <dc:description>Document C17/64-F  Pour: Point de l'ordre du jour: ADM 9_x000d_Date du document: 21 février 2017_x000d_Enregistré par ITU51007810 à 09:38:02 le 05/04/2017</dc:description>
  <cp:lastModifiedBy>Brouard, Ricarda</cp:lastModifiedBy>
  <cp:revision>2</cp:revision>
  <cp:lastPrinted>2017-04-05T07:31:00Z</cp:lastPrinted>
  <dcterms:created xsi:type="dcterms:W3CDTF">2017-04-05T14:30:00Z</dcterms:created>
  <dcterms:modified xsi:type="dcterms:W3CDTF">2017-04-05T14:30:00Z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C17/64-F</vt:lpwstr>
  </property>
  <property fmtid="{D5CDD505-2E9C-101B-9397-08002B2CF9AE}" pid="3" name="Docdate">
    <vt:lpwstr>21 février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Point de l'ordre du jour: ADM 9</vt:lpwstr>
  </property>
  <property fmtid="{D5CDD505-2E9C-101B-9397-08002B2CF9AE}" pid="7" name="Docauthor">
    <vt:lpwstr>Rapport du Secrétaire général</vt:lpwstr>
  </property>
</Properties>
</file>