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3834E5" w:rsidRPr="003834E5" w:rsidTr="002659DD">
        <w:trPr>
          <w:cantSplit/>
          <w:trHeight w:val="1276"/>
        </w:trPr>
        <w:tc>
          <w:tcPr>
            <w:tcW w:w="6911" w:type="dxa"/>
          </w:tcPr>
          <w:p w:rsidR="003834E5" w:rsidRPr="003834E5" w:rsidRDefault="003834E5" w:rsidP="003834E5">
            <w:pPr>
              <w:tabs>
                <w:tab w:val="left" w:pos="567"/>
                <w:tab w:val="left" w:pos="1134"/>
                <w:tab w:val="left" w:pos="1701"/>
                <w:tab w:val="left" w:pos="2268"/>
                <w:tab w:val="left" w:pos="2835"/>
              </w:tabs>
              <w:overflowPunct w:val="0"/>
              <w:autoSpaceDE w:val="0"/>
              <w:autoSpaceDN w:val="0"/>
              <w:adjustRightInd w:val="0"/>
              <w:spacing w:before="360" w:after="48" w:line="240" w:lineRule="atLeast"/>
              <w:textAlignment w:val="baseline"/>
              <w:rPr>
                <w:rFonts w:ascii="Calibri" w:eastAsia="Times New Roman" w:hAnsi="Calibri" w:cs="Times New Roman"/>
                <w:position w:val="6"/>
                <w:sz w:val="24"/>
                <w:szCs w:val="20"/>
                <w:lang w:val="en-GB" w:eastAsia="en-US"/>
              </w:rPr>
            </w:pPr>
            <w:bookmarkStart w:id="0" w:name="dc06"/>
            <w:bookmarkEnd w:id="0"/>
            <w:r w:rsidRPr="003834E5">
              <w:rPr>
                <w:rFonts w:ascii="Calibri" w:eastAsia="Times New Roman" w:hAnsi="Calibri" w:cs="Times New Roman"/>
                <w:b/>
                <w:bCs/>
                <w:position w:val="6"/>
                <w:sz w:val="30"/>
                <w:szCs w:val="30"/>
                <w:lang w:val="en-GB" w:eastAsia="en-US"/>
              </w:rPr>
              <w:t>Council 2017</w:t>
            </w:r>
            <w:r w:rsidRPr="003834E5">
              <w:rPr>
                <w:rFonts w:ascii="Calibri" w:eastAsia="Times New Roman" w:hAnsi="Calibri" w:cs="Times"/>
                <w:b/>
                <w:position w:val="6"/>
                <w:sz w:val="26"/>
                <w:szCs w:val="26"/>
                <w:lang w:eastAsia="en-US"/>
              </w:rPr>
              <w:br/>
            </w:r>
            <w:r w:rsidRPr="003834E5">
              <w:rPr>
                <w:rFonts w:ascii="Calibri" w:eastAsia="Times New Roman" w:hAnsi="Calibri" w:cs="Times New Roman"/>
                <w:b/>
                <w:bCs/>
                <w:position w:val="6"/>
                <w:sz w:val="24"/>
                <w:szCs w:val="24"/>
                <w:lang w:val="en-GB" w:eastAsia="en-US"/>
              </w:rPr>
              <w:t>Geneva, 15–25 May 2017</w:t>
            </w:r>
          </w:p>
        </w:tc>
        <w:tc>
          <w:tcPr>
            <w:tcW w:w="3120" w:type="dxa"/>
          </w:tcPr>
          <w:p w:rsidR="003834E5" w:rsidRPr="003834E5" w:rsidRDefault="003834E5" w:rsidP="003834E5">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Calibri" w:eastAsia="Times New Roman" w:hAnsi="Calibri" w:cs="Times New Roman"/>
                <w:sz w:val="24"/>
                <w:szCs w:val="20"/>
                <w:lang w:val="en-GB" w:eastAsia="en-US"/>
              </w:rPr>
            </w:pPr>
            <w:bookmarkStart w:id="1" w:name="ditulogo"/>
            <w:bookmarkEnd w:id="1"/>
            <w:r w:rsidRPr="003834E5">
              <w:rPr>
                <w:rFonts w:ascii="Calibri" w:eastAsia="Times New Roman" w:hAnsi="Calibri" w:cs="Times New Roman"/>
                <w:noProof/>
                <w:sz w:val="24"/>
                <w:szCs w:val="20"/>
              </w:rPr>
              <w:drawing>
                <wp:inline distT="0" distB="0" distL="0" distR="0" wp14:anchorId="66ECB61E" wp14:editId="22138187">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3834E5" w:rsidRPr="003834E5" w:rsidTr="002659DD">
        <w:trPr>
          <w:cantSplit/>
        </w:trPr>
        <w:tc>
          <w:tcPr>
            <w:tcW w:w="6911" w:type="dxa"/>
            <w:tcBorders>
              <w:bottom w:val="single" w:sz="12" w:space="0" w:color="auto"/>
            </w:tcBorders>
          </w:tcPr>
          <w:p w:rsidR="003834E5" w:rsidRPr="003834E5" w:rsidRDefault="003834E5" w:rsidP="003834E5">
            <w:pPr>
              <w:tabs>
                <w:tab w:val="left" w:pos="567"/>
                <w:tab w:val="left" w:pos="1134"/>
                <w:tab w:val="left" w:pos="1701"/>
                <w:tab w:val="left" w:pos="2268"/>
                <w:tab w:val="left" w:pos="2835"/>
              </w:tabs>
              <w:overflowPunct w:val="0"/>
              <w:autoSpaceDE w:val="0"/>
              <w:autoSpaceDN w:val="0"/>
              <w:adjustRightInd w:val="0"/>
              <w:spacing w:after="48" w:line="240" w:lineRule="atLeast"/>
              <w:textAlignment w:val="baseline"/>
              <w:rPr>
                <w:rFonts w:ascii="Calibri" w:eastAsia="Times New Roman" w:hAnsi="Calibri" w:cs="Times New Roman"/>
                <w:b/>
                <w:smallCaps/>
                <w:sz w:val="24"/>
                <w:szCs w:val="24"/>
                <w:lang w:val="en-GB" w:eastAsia="en-US"/>
              </w:rPr>
            </w:pPr>
            <w:r w:rsidRPr="003834E5">
              <w:rPr>
                <w:rFonts w:ascii="Calibri" w:eastAsia="Times New Roman" w:hAnsi="Calibri" w:cs="Times New Roman"/>
                <w:b/>
                <w:smallCaps/>
                <w:sz w:val="24"/>
                <w:szCs w:val="24"/>
                <w:lang w:val="en-GB" w:eastAsia="en-US"/>
              </w:rPr>
              <w:t>INTERNATIONAL TELECOMMUNICATION UNION</w:t>
            </w:r>
          </w:p>
        </w:tc>
        <w:tc>
          <w:tcPr>
            <w:tcW w:w="3120" w:type="dxa"/>
            <w:tcBorders>
              <w:bottom w:val="single" w:sz="12" w:space="0" w:color="auto"/>
            </w:tcBorders>
          </w:tcPr>
          <w:p w:rsidR="003834E5" w:rsidRPr="003834E5" w:rsidRDefault="003834E5" w:rsidP="003834E5">
            <w:pPr>
              <w:tabs>
                <w:tab w:val="left" w:pos="567"/>
                <w:tab w:val="left" w:pos="1134"/>
                <w:tab w:val="left" w:pos="1701"/>
                <w:tab w:val="left" w:pos="2268"/>
                <w:tab w:val="left" w:pos="2835"/>
              </w:tabs>
              <w:overflowPunct w:val="0"/>
              <w:autoSpaceDE w:val="0"/>
              <w:autoSpaceDN w:val="0"/>
              <w:adjustRightInd w:val="0"/>
              <w:spacing w:after="0" w:line="240" w:lineRule="atLeast"/>
              <w:textAlignment w:val="baseline"/>
              <w:rPr>
                <w:rFonts w:ascii="Calibri" w:eastAsia="Times New Roman" w:hAnsi="Calibri" w:cs="Times New Roman"/>
                <w:sz w:val="24"/>
                <w:szCs w:val="24"/>
                <w:lang w:val="en-GB" w:eastAsia="en-US"/>
              </w:rPr>
            </w:pPr>
          </w:p>
        </w:tc>
      </w:tr>
      <w:tr w:rsidR="003834E5" w:rsidRPr="003834E5" w:rsidTr="002659DD">
        <w:trPr>
          <w:cantSplit/>
        </w:trPr>
        <w:tc>
          <w:tcPr>
            <w:tcW w:w="6911" w:type="dxa"/>
            <w:tcBorders>
              <w:top w:val="single" w:sz="12" w:space="0" w:color="auto"/>
            </w:tcBorders>
          </w:tcPr>
          <w:p w:rsidR="003834E5" w:rsidRPr="003834E5" w:rsidRDefault="003834E5" w:rsidP="00AF2F70">
            <w:pPr>
              <w:tabs>
                <w:tab w:val="left" w:pos="567"/>
                <w:tab w:val="left" w:pos="1134"/>
                <w:tab w:val="left" w:pos="1701"/>
                <w:tab w:val="left" w:pos="2268"/>
                <w:tab w:val="left" w:pos="2835"/>
              </w:tabs>
              <w:overflowPunct w:val="0"/>
              <w:autoSpaceDE w:val="0"/>
              <w:autoSpaceDN w:val="0"/>
              <w:adjustRightInd w:val="0"/>
              <w:spacing w:after="0" w:line="240" w:lineRule="atLeast"/>
              <w:textAlignment w:val="baseline"/>
              <w:rPr>
                <w:rFonts w:ascii="Calibri" w:eastAsia="Times New Roman" w:hAnsi="Calibri" w:cs="Times New Roman"/>
                <w:b/>
                <w:smallCaps/>
                <w:sz w:val="24"/>
                <w:szCs w:val="24"/>
                <w:lang w:val="en-GB" w:eastAsia="en-US"/>
              </w:rPr>
            </w:pPr>
          </w:p>
        </w:tc>
        <w:tc>
          <w:tcPr>
            <w:tcW w:w="3120" w:type="dxa"/>
            <w:tcBorders>
              <w:top w:val="single" w:sz="12" w:space="0" w:color="auto"/>
            </w:tcBorders>
          </w:tcPr>
          <w:p w:rsidR="003834E5" w:rsidRPr="003834E5" w:rsidRDefault="003834E5" w:rsidP="00AF2F70">
            <w:pPr>
              <w:tabs>
                <w:tab w:val="left" w:pos="567"/>
                <w:tab w:val="left" w:pos="1134"/>
                <w:tab w:val="left" w:pos="1701"/>
                <w:tab w:val="left" w:pos="2268"/>
                <w:tab w:val="left" w:pos="2835"/>
              </w:tabs>
              <w:overflowPunct w:val="0"/>
              <w:autoSpaceDE w:val="0"/>
              <w:autoSpaceDN w:val="0"/>
              <w:adjustRightInd w:val="0"/>
              <w:spacing w:after="0" w:line="240" w:lineRule="atLeast"/>
              <w:textAlignment w:val="baseline"/>
              <w:rPr>
                <w:rFonts w:ascii="Calibri" w:eastAsia="Times New Roman" w:hAnsi="Calibri" w:cs="Times New Roman"/>
                <w:sz w:val="24"/>
                <w:szCs w:val="24"/>
                <w:lang w:val="en-GB" w:eastAsia="en-US"/>
              </w:rPr>
            </w:pPr>
          </w:p>
        </w:tc>
      </w:tr>
      <w:tr w:rsidR="003834E5" w:rsidRPr="003834E5" w:rsidTr="002659DD">
        <w:trPr>
          <w:cantSplit/>
          <w:trHeight w:val="23"/>
        </w:trPr>
        <w:tc>
          <w:tcPr>
            <w:tcW w:w="6911" w:type="dxa"/>
            <w:vMerge w:val="restart"/>
          </w:tcPr>
          <w:p w:rsidR="003834E5" w:rsidRPr="003834E5" w:rsidRDefault="003834E5" w:rsidP="00AF2F70">
            <w:pPr>
              <w:tabs>
                <w:tab w:val="left" w:pos="567"/>
                <w:tab w:val="left" w:pos="851"/>
                <w:tab w:val="left" w:pos="1134"/>
                <w:tab w:val="left" w:pos="1701"/>
                <w:tab w:val="left" w:pos="2268"/>
                <w:tab w:val="left" w:pos="2835"/>
              </w:tabs>
              <w:overflowPunct w:val="0"/>
              <w:autoSpaceDE w:val="0"/>
              <w:autoSpaceDN w:val="0"/>
              <w:adjustRightInd w:val="0"/>
              <w:spacing w:after="0" w:line="240" w:lineRule="atLeast"/>
              <w:textAlignment w:val="baseline"/>
              <w:rPr>
                <w:rFonts w:ascii="Calibri" w:eastAsia="Times New Roman" w:hAnsi="Calibri" w:cs="Times New Roman"/>
                <w:b/>
                <w:sz w:val="24"/>
                <w:szCs w:val="20"/>
                <w:lang w:val="en-GB" w:eastAsia="en-US"/>
              </w:rPr>
            </w:pPr>
            <w:bookmarkStart w:id="2" w:name="dmeeting" w:colFirst="0" w:colLast="0"/>
            <w:bookmarkStart w:id="3" w:name="dnum" w:colFirst="1" w:colLast="1"/>
            <w:r w:rsidRPr="003834E5">
              <w:rPr>
                <w:rFonts w:ascii="Calibri" w:eastAsia="Times New Roman" w:hAnsi="Calibri" w:cs="Times New Roman"/>
                <w:b/>
                <w:sz w:val="24"/>
                <w:szCs w:val="20"/>
                <w:lang w:val="en-GB" w:eastAsia="en-US"/>
              </w:rPr>
              <w:t xml:space="preserve">Agenda item: </w:t>
            </w:r>
            <w:r w:rsidR="003905B0">
              <w:rPr>
                <w:rFonts w:ascii="Calibri" w:eastAsia="Times New Roman" w:hAnsi="Calibri" w:cs="Times New Roman"/>
                <w:b/>
                <w:sz w:val="24"/>
                <w:szCs w:val="20"/>
                <w:lang w:val="en-GB" w:eastAsia="en-US"/>
              </w:rPr>
              <w:t>ADM 9</w:t>
            </w:r>
          </w:p>
        </w:tc>
        <w:tc>
          <w:tcPr>
            <w:tcW w:w="3120" w:type="dxa"/>
          </w:tcPr>
          <w:p w:rsidR="003834E5" w:rsidRPr="003834E5" w:rsidRDefault="003834E5" w:rsidP="00AF2F70">
            <w:pPr>
              <w:tabs>
                <w:tab w:val="left" w:pos="567"/>
                <w:tab w:val="left" w:pos="851"/>
                <w:tab w:val="left" w:pos="1134"/>
                <w:tab w:val="left" w:pos="1701"/>
                <w:tab w:val="left" w:pos="2268"/>
                <w:tab w:val="left" w:pos="2835"/>
              </w:tabs>
              <w:overflowPunct w:val="0"/>
              <w:autoSpaceDE w:val="0"/>
              <w:autoSpaceDN w:val="0"/>
              <w:adjustRightInd w:val="0"/>
              <w:spacing w:after="0" w:line="240" w:lineRule="atLeast"/>
              <w:textAlignment w:val="baseline"/>
              <w:rPr>
                <w:rFonts w:ascii="Calibri" w:eastAsia="Times New Roman" w:hAnsi="Calibri" w:cs="Times New Roman"/>
                <w:b/>
                <w:sz w:val="24"/>
                <w:szCs w:val="20"/>
                <w:lang w:val="en-GB" w:eastAsia="en-US"/>
              </w:rPr>
            </w:pPr>
            <w:r w:rsidRPr="003834E5">
              <w:rPr>
                <w:rFonts w:ascii="Calibri" w:eastAsia="Times New Roman" w:hAnsi="Calibri" w:cs="Times New Roman"/>
                <w:b/>
                <w:sz w:val="24"/>
                <w:szCs w:val="20"/>
                <w:lang w:val="en-GB" w:eastAsia="en-US"/>
              </w:rPr>
              <w:t>Document C17/</w:t>
            </w:r>
            <w:r w:rsidR="00D85639">
              <w:rPr>
                <w:rFonts w:ascii="Calibri" w:eastAsia="Times New Roman" w:hAnsi="Calibri" w:cs="Times New Roman"/>
                <w:b/>
                <w:sz w:val="24"/>
                <w:szCs w:val="20"/>
                <w:lang w:val="en-GB" w:eastAsia="en-US"/>
              </w:rPr>
              <w:t>64</w:t>
            </w:r>
            <w:r w:rsidRPr="003834E5">
              <w:rPr>
                <w:rFonts w:ascii="Calibri" w:eastAsia="Times New Roman" w:hAnsi="Calibri" w:cs="Times New Roman"/>
                <w:b/>
                <w:sz w:val="24"/>
                <w:szCs w:val="20"/>
                <w:lang w:val="en-GB" w:eastAsia="en-US"/>
              </w:rPr>
              <w:t>-E</w:t>
            </w:r>
          </w:p>
        </w:tc>
      </w:tr>
      <w:tr w:rsidR="003834E5" w:rsidRPr="003834E5" w:rsidTr="007A4662">
        <w:trPr>
          <w:cantSplit/>
          <w:trHeight w:val="23"/>
        </w:trPr>
        <w:tc>
          <w:tcPr>
            <w:tcW w:w="6911" w:type="dxa"/>
            <w:vMerge/>
          </w:tcPr>
          <w:p w:rsidR="003834E5" w:rsidRPr="003834E5" w:rsidRDefault="003834E5" w:rsidP="00AF2F70">
            <w:pPr>
              <w:tabs>
                <w:tab w:val="left" w:pos="567"/>
                <w:tab w:val="left" w:pos="851"/>
                <w:tab w:val="left" w:pos="1134"/>
                <w:tab w:val="left" w:pos="1701"/>
                <w:tab w:val="left" w:pos="2268"/>
                <w:tab w:val="left" w:pos="2835"/>
              </w:tabs>
              <w:overflowPunct w:val="0"/>
              <w:autoSpaceDE w:val="0"/>
              <w:autoSpaceDN w:val="0"/>
              <w:adjustRightInd w:val="0"/>
              <w:spacing w:after="0" w:line="240" w:lineRule="atLeast"/>
              <w:textAlignment w:val="baseline"/>
              <w:rPr>
                <w:rFonts w:ascii="Calibri" w:eastAsia="Times New Roman" w:hAnsi="Calibri" w:cs="Times New Roman"/>
                <w:b/>
                <w:sz w:val="24"/>
                <w:szCs w:val="20"/>
                <w:lang w:val="en-GB" w:eastAsia="en-US"/>
              </w:rPr>
            </w:pPr>
            <w:bookmarkStart w:id="4" w:name="ddate" w:colFirst="1" w:colLast="1"/>
            <w:bookmarkEnd w:id="2"/>
            <w:bookmarkEnd w:id="3"/>
          </w:p>
        </w:tc>
        <w:tc>
          <w:tcPr>
            <w:tcW w:w="3120" w:type="dxa"/>
            <w:shd w:val="clear" w:color="auto" w:fill="auto"/>
          </w:tcPr>
          <w:p w:rsidR="003834E5" w:rsidRPr="003834E5" w:rsidRDefault="003905B0" w:rsidP="00AF2F70">
            <w:pPr>
              <w:tabs>
                <w:tab w:val="left" w:pos="567"/>
                <w:tab w:val="left" w:pos="993"/>
                <w:tab w:val="left" w:pos="1134"/>
                <w:tab w:val="left" w:pos="1701"/>
                <w:tab w:val="left" w:pos="2268"/>
                <w:tab w:val="left" w:pos="2835"/>
              </w:tabs>
              <w:overflowPunct w:val="0"/>
              <w:autoSpaceDE w:val="0"/>
              <w:autoSpaceDN w:val="0"/>
              <w:adjustRightInd w:val="0"/>
              <w:spacing w:after="0" w:line="240" w:lineRule="auto"/>
              <w:textAlignment w:val="baseline"/>
              <w:rPr>
                <w:rFonts w:ascii="Calibri" w:eastAsia="Times New Roman" w:hAnsi="Calibri" w:cs="Times New Roman"/>
                <w:b/>
                <w:sz w:val="24"/>
                <w:szCs w:val="20"/>
                <w:lang w:val="en-GB" w:eastAsia="en-US"/>
              </w:rPr>
            </w:pPr>
            <w:r w:rsidRPr="007A4662">
              <w:rPr>
                <w:rFonts w:ascii="Calibri" w:eastAsia="Times New Roman" w:hAnsi="Calibri" w:cs="Times New Roman"/>
                <w:b/>
                <w:sz w:val="24"/>
                <w:szCs w:val="20"/>
                <w:lang w:val="en-GB" w:eastAsia="en-US"/>
              </w:rPr>
              <w:t>21</w:t>
            </w:r>
            <w:r w:rsidR="003834E5" w:rsidRPr="003834E5">
              <w:rPr>
                <w:rFonts w:ascii="Calibri" w:eastAsia="Times New Roman" w:hAnsi="Calibri" w:cs="Times New Roman"/>
                <w:b/>
                <w:sz w:val="24"/>
                <w:szCs w:val="20"/>
                <w:lang w:val="en-GB" w:eastAsia="en-US"/>
              </w:rPr>
              <w:t xml:space="preserve"> </w:t>
            </w:r>
            <w:r w:rsidRPr="007A4662">
              <w:rPr>
                <w:rFonts w:ascii="Calibri" w:eastAsia="Times New Roman" w:hAnsi="Calibri" w:cs="Times New Roman"/>
                <w:b/>
                <w:sz w:val="24"/>
                <w:szCs w:val="20"/>
                <w:lang w:val="en-GB" w:eastAsia="en-US"/>
              </w:rPr>
              <w:t xml:space="preserve">February </w:t>
            </w:r>
            <w:r w:rsidR="003834E5" w:rsidRPr="003834E5">
              <w:rPr>
                <w:rFonts w:ascii="Calibri" w:eastAsia="Times New Roman" w:hAnsi="Calibri" w:cs="Times New Roman"/>
                <w:b/>
                <w:sz w:val="24"/>
                <w:szCs w:val="20"/>
                <w:lang w:val="en-GB" w:eastAsia="en-US"/>
              </w:rPr>
              <w:t>2017</w:t>
            </w:r>
          </w:p>
        </w:tc>
      </w:tr>
      <w:tr w:rsidR="003834E5" w:rsidRPr="003834E5" w:rsidTr="002659DD">
        <w:trPr>
          <w:cantSplit/>
          <w:trHeight w:val="23"/>
        </w:trPr>
        <w:tc>
          <w:tcPr>
            <w:tcW w:w="6911" w:type="dxa"/>
            <w:vMerge/>
          </w:tcPr>
          <w:p w:rsidR="003834E5" w:rsidRPr="003834E5" w:rsidRDefault="003834E5" w:rsidP="00AF2F70">
            <w:pPr>
              <w:tabs>
                <w:tab w:val="left" w:pos="567"/>
                <w:tab w:val="left" w:pos="851"/>
                <w:tab w:val="left" w:pos="1134"/>
                <w:tab w:val="left" w:pos="1701"/>
                <w:tab w:val="left" w:pos="2268"/>
                <w:tab w:val="left" w:pos="2835"/>
              </w:tabs>
              <w:overflowPunct w:val="0"/>
              <w:autoSpaceDE w:val="0"/>
              <w:autoSpaceDN w:val="0"/>
              <w:adjustRightInd w:val="0"/>
              <w:spacing w:after="0" w:line="240" w:lineRule="atLeast"/>
              <w:textAlignment w:val="baseline"/>
              <w:rPr>
                <w:rFonts w:ascii="Calibri" w:eastAsia="Times New Roman" w:hAnsi="Calibri" w:cs="Times New Roman"/>
                <w:b/>
                <w:sz w:val="24"/>
                <w:szCs w:val="20"/>
                <w:lang w:val="en-GB" w:eastAsia="en-US"/>
              </w:rPr>
            </w:pPr>
            <w:bookmarkStart w:id="5" w:name="dorlang" w:colFirst="1" w:colLast="1"/>
            <w:bookmarkEnd w:id="4"/>
          </w:p>
        </w:tc>
        <w:tc>
          <w:tcPr>
            <w:tcW w:w="3120" w:type="dxa"/>
          </w:tcPr>
          <w:p w:rsidR="003834E5" w:rsidRPr="003834E5" w:rsidRDefault="003834E5" w:rsidP="00AF2F70">
            <w:pPr>
              <w:tabs>
                <w:tab w:val="left" w:pos="567"/>
                <w:tab w:val="left" w:pos="993"/>
                <w:tab w:val="left" w:pos="1134"/>
                <w:tab w:val="left" w:pos="1701"/>
                <w:tab w:val="left" w:pos="2268"/>
                <w:tab w:val="left" w:pos="2835"/>
              </w:tabs>
              <w:overflowPunct w:val="0"/>
              <w:autoSpaceDE w:val="0"/>
              <w:autoSpaceDN w:val="0"/>
              <w:adjustRightInd w:val="0"/>
              <w:spacing w:after="0" w:line="240" w:lineRule="auto"/>
              <w:textAlignment w:val="baseline"/>
              <w:rPr>
                <w:rFonts w:ascii="Calibri" w:eastAsia="Times New Roman" w:hAnsi="Calibri" w:cs="Times New Roman"/>
                <w:b/>
                <w:sz w:val="24"/>
                <w:szCs w:val="20"/>
                <w:lang w:val="en-GB" w:eastAsia="en-US"/>
              </w:rPr>
            </w:pPr>
            <w:r w:rsidRPr="003834E5">
              <w:rPr>
                <w:rFonts w:ascii="Calibri" w:eastAsia="Times New Roman" w:hAnsi="Calibri" w:cs="Times New Roman"/>
                <w:b/>
                <w:sz w:val="24"/>
                <w:szCs w:val="20"/>
                <w:lang w:val="en-GB" w:eastAsia="en-US"/>
              </w:rPr>
              <w:t>Original: English</w:t>
            </w:r>
          </w:p>
        </w:tc>
      </w:tr>
      <w:tr w:rsidR="003834E5" w:rsidRPr="003834E5" w:rsidTr="002659DD">
        <w:trPr>
          <w:cantSplit/>
        </w:trPr>
        <w:tc>
          <w:tcPr>
            <w:tcW w:w="10031" w:type="dxa"/>
            <w:gridSpan w:val="2"/>
          </w:tcPr>
          <w:p w:rsidR="003834E5" w:rsidRPr="003834E5" w:rsidRDefault="003834E5" w:rsidP="003834E5">
            <w:pPr>
              <w:tabs>
                <w:tab w:val="left" w:pos="567"/>
                <w:tab w:val="left" w:pos="1134"/>
                <w:tab w:val="left" w:pos="1701"/>
                <w:tab w:val="left" w:pos="2268"/>
                <w:tab w:val="left" w:pos="2835"/>
              </w:tabs>
              <w:overflowPunct w:val="0"/>
              <w:autoSpaceDE w:val="0"/>
              <w:autoSpaceDN w:val="0"/>
              <w:adjustRightInd w:val="0"/>
              <w:spacing w:before="840" w:after="0" w:line="240" w:lineRule="auto"/>
              <w:jc w:val="center"/>
              <w:textAlignment w:val="baseline"/>
              <w:rPr>
                <w:rFonts w:ascii="Calibri" w:eastAsia="Times New Roman" w:hAnsi="Calibri" w:cs="Times New Roman"/>
                <w:b/>
                <w:sz w:val="28"/>
                <w:szCs w:val="20"/>
                <w:lang w:val="en-GB" w:eastAsia="en-US"/>
              </w:rPr>
            </w:pPr>
            <w:bookmarkStart w:id="6" w:name="dsource" w:colFirst="0" w:colLast="0"/>
            <w:bookmarkEnd w:id="5"/>
            <w:r w:rsidRPr="003834E5">
              <w:rPr>
                <w:rFonts w:ascii="Calibri" w:eastAsia="Times New Roman" w:hAnsi="Calibri" w:cs="Times New Roman"/>
                <w:b/>
                <w:sz w:val="28"/>
                <w:szCs w:val="20"/>
                <w:lang w:val="en-GB" w:eastAsia="en-US"/>
              </w:rPr>
              <w:t>Report by the Secretary-General</w:t>
            </w:r>
          </w:p>
        </w:tc>
      </w:tr>
      <w:tr w:rsidR="003834E5" w:rsidRPr="003834E5" w:rsidTr="002659DD">
        <w:trPr>
          <w:cantSplit/>
        </w:trPr>
        <w:tc>
          <w:tcPr>
            <w:tcW w:w="10031" w:type="dxa"/>
            <w:gridSpan w:val="2"/>
          </w:tcPr>
          <w:p w:rsidR="003834E5" w:rsidRPr="003834E5" w:rsidRDefault="003834E5" w:rsidP="00AF2F70">
            <w:pPr>
              <w:spacing w:before="240"/>
              <w:jc w:val="center"/>
              <w:rPr>
                <w:rFonts w:ascii="Calibri" w:eastAsia="Times New Roman" w:hAnsi="Calibri" w:cs="Times New Roman"/>
                <w:caps/>
                <w:sz w:val="28"/>
                <w:szCs w:val="20"/>
                <w:lang w:val="en-GB" w:eastAsia="en-US"/>
              </w:rPr>
            </w:pPr>
            <w:bookmarkStart w:id="7" w:name="dtitle1" w:colFirst="0" w:colLast="0"/>
            <w:bookmarkEnd w:id="6"/>
            <w:r w:rsidRPr="003834E5">
              <w:rPr>
                <w:caps/>
                <w:sz w:val="28"/>
                <w:szCs w:val="28"/>
              </w:rPr>
              <w:t>Accountability and Transparency Framework</w:t>
            </w:r>
            <w:r w:rsidR="00AF2F70">
              <w:rPr>
                <w:caps/>
                <w:sz w:val="28"/>
                <w:szCs w:val="28"/>
              </w:rPr>
              <w:br/>
            </w:r>
            <w:r w:rsidRPr="003834E5">
              <w:rPr>
                <w:caps/>
                <w:sz w:val="28"/>
                <w:szCs w:val="28"/>
              </w:rPr>
              <w:t>International Telecommunication Union</w:t>
            </w:r>
          </w:p>
        </w:tc>
      </w:tr>
      <w:bookmarkEnd w:id="7"/>
    </w:tbl>
    <w:p w:rsidR="003834E5" w:rsidRPr="003834E5" w:rsidRDefault="003834E5" w:rsidP="003834E5">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Calibri" w:eastAsia="Times New Roman" w:hAnsi="Calibri" w:cs="Times New Roman"/>
          <w:sz w:val="24"/>
          <w:szCs w:val="20"/>
          <w:lang w:val="en-GB" w:eastAsia="en-U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3834E5" w:rsidRPr="003834E5" w:rsidTr="002659DD">
        <w:trPr>
          <w:trHeight w:val="3372"/>
        </w:trPr>
        <w:tc>
          <w:tcPr>
            <w:tcW w:w="8080" w:type="dxa"/>
            <w:tcBorders>
              <w:top w:val="single" w:sz="12" w:space="0" w:color="auto"/>
              <w:left w:val="single" w:sz="12" w:space="0" w:color="auto"/>
              <w:bottom w:val="single" w:sz="12" w:space="0" w:color="auto"/>
              <w:right w:val="single" w:sz="12" w:space="0" w:color="auto"/>
            </w:tcBorders>
          </w:tcPr>
          <w:p w:rsidR="003834E5" w:rsidRPr="003834E5" w:rsidRDefault="003834E5" w:rsidP="003834E5">
            <w:pPr>
              <w:keepNext/>
              <w:keepLines/>
              <w:tabs>
                <w:tab w:val="left" w:pos="567"/>
                <w:tab w:val="left" w:pos="1134"/>
                <w:tab w:val="left" w:pos="1701"/>
                <w:tab w:val="left" w:pos="2268"/>
                <w:tab w:val="left" w:pos="2835"/>
              </w:tabs>
              <w:overflowPunct w:val="0"/>
              <w:autoSpaceDE w:val="0"/>
              <w:autoSpaceDN w:val="0"/>
              <w:adjustRightInd w:val="0"/>
              <w:spacing w:before="160" w:after="0" w:line="240" w:lineRule="auto"/>
              <w:ind w:left="567" w:hanging="567"/>
              <w:textAlignment w:val="baseline"/>
              <w:outlineLvl w:val="0"/>
              <w:rPr>
                <w:rFonts w:ascii="Calibri" w:eastAsia="Times New Roman" w:hAnsi="Calibri" w:cs="Times New Roman"/>
                <w:b/>
                <w:sz w:val="24"/>
                <w:szCs w:val="24"/>
                <w:lang w:val="en-GB" w:eastAsia="en-US"/>
              </w:rPr>
            </w:pPr>
            <w:r w:rsidRPr="003834E5">
              <w:rPr>
                <w:rFonts w:ascii="Calibri" w:eastAsia="Times New Roman" w:hAnsi="Calibri" w:cs="Times New Roman"/>
                <w:b/>
                <w:sz w:val="24"/>
                <w:szCs w:val="24"/>
                <w:lang w:val="en-GB" w:eastAsia="en-US"/>
              </w:rPr>
              <w:t>Summary</w:t>
            </w:r>
          </w:p>
          <w:p w:rsidR="003834E5" w:rsidRPr="003834E5" w:rsidRDefault="001F0007" w:rsidP="00605073">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eastAsia="Times New Roman" w:hAnsi="Calibri" w:cs="Times New Roman"/>
                <w:sz w:val="24"/>
                <w:szCs w:val="24"/>
                <w:lang w:val="en-GB" w:eastAsia="en-US"/>
              </w:rPr>
            </w:pPr>
            <w:r w:rsidRPr="001F0007">
              <w:rPr>
                <w:sz w:val="24"/>
                <w:szCs w:val="24"/>
              </w:rPr>
              <w:t>The JIU review of ITU management undertaken in 2015 (</w:t>
            </w:r>
            <w:hyperlink r:id="rId8" w:history="1">
              <w:r w:rsidRPr="001F0007">
                <w:rPr>
                  <w:rStyle w:val="Hyperlink"/>
                  <w:sz w:val="24"/>
                  <w:szCs w:val="24"/>
                </w:rPr>
                <w:t>JIU/REP/2016/1</w:t>
              </w:r>
            </w:hyperlink>
            <w:r w:rsidRPr="001F0007">
              <w:rPr>
                <w:sz w:val="24"/>
                <w:szCs w:val="24"/>
              </w:rPr>
              <w:t>) includes a formal recommendation, which ITU management accepted, that the “ITU Secretary-General should further develop and consolidate the core elements of accountability into a stand-alone ITU Accountability Framework and present it to the Council at its 2017 session and report annually on its implementation”.</w:t>
            </w:r>
          </w:p>
          <w:p w:rsidR="003834E5" w:rsidRPr="003834E5" w:rsidRDefault="003834E5" w:rsidP="00605073">
            <w:pPr>
              <w:keepNext/>
              <w:keepLines/>
              <w:tabs>
                <w:tab w:val="left" w:pos="567"/>
                <w:tab w:val="left" w:pos="1134"/>
                <w:tab w:val="left" w:pos="1701"/>
                <w:tab w:val="left" w:pos="2268"/>
                <w:tab w:val="left" w:pos="2835"/>
              </w:tabs>
              <w:overflowPunct w:val="0"/>
              <w:autoSpaceDE w:val="0"/>
              <w:autoSpaceDN w:val="0"/>
              <w:adjustRightInd w:val="0"/>
              <w:spacing w:before="160" w:after="0" w:line="240" w:lineRule="auto"/>
              <w:ind w:left="567" w:hanging="567"/>
              <w:jc w:val="both"/>
              <w:textAlignment w:val="baseline"/>
              <w:outlineLvl w:val="0"/>
              <w:rPr>
                <w:rFonts w:ascii="Calibri" w:eastAsia="Times New Roman" w:hAnsi="Calibri" w:cs="Times New Roman"/>
                <w:b/>
                <w:sz w:val="24"/>
                <w:szCs w:val="24"/>
                <w:lang w:val="en-GB" w:eastAsia="en-US"/>
              </w:rPr>
            </w:pPr>
            <w:r w:rsidRPr="003834E5">
              <w:rPr>
                <w:rFonts w:ascii="Calibri" w:eastAsia="Times New Roman" w:hAnsi="Calibri" w:cs="Times New Roman"/>
                <w:b/>
                <w:sz w:val="24"/>
                <w:szCs w:val="24"/>
                <w:lang w:val="en-GB" w:eastAsia="en-US"/>
              </w:rPr>
              <w:t>Action required</w:t>
            </w:r>
          </w:p>
          <w:p w:rsidR="003834E5" w:rsidRPr="003834E5" w:rsidRDefault="00526D31" w:rsidP="00605073">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rPr>
                <w:rFonts w:ascii="Calibri" w:eastAsia="Times New Roman" w:hAnsi="Calibri" w:cs="Times New Roman"/>
                <w:sz w:val="24"/>
                <w:szCs w:val="24"/>
                <w:lang w:val="en-GB" w:eastAsia="en-US"/>
              </w:rPr>
            </w:pPr>
            <w:r w:rsidRPr="001F0007">
              <w:rPr>
                <w:sz w:val="24"/>
                <w:szCs w:val="24"/>
              </w:rPr>
              <w:t xml:space="preserve">The Council is invited to </w:t>
            </w:r>
            <w:r w:rsidRPr="001F0007">
              <w:rPr>
                <w:b/>
                <w:bCs/>
                <w:sz w:val="24"/>
                <w:szCs w:val="24"/>
              </w:rPr>
              <w:t>take n</w:t>
            </w:r>
            <w:r w:rsidRPr="001F0007">
              <w:rPr>
                <w:rFonts w:ascii="Calibri" w:hAnsi="Calibri"/>
                <w:b/>
                <w:bCs/>
                <w:sz w:val="24"/>
                <w:szCs w:val="24"/>
              </w:rPr>
              <w:t xml:space="preserve">ote </w:t>
            </w:r>
            <w:r w:rsidRPr="001F0007">
              <w:rPr>
                <w:rFonts w:ascii="Calibri" w:hAnsi="Calibri"/>
                <w:sz w:val="24"/>
                <w:szCs w:val="24"/>
              </w:rPr>
              <w:t>of</w:t>
            </w:r>
            <w:r w:rsidR="008B511A">
              <w:rPr>
                <w:rFonts w:ascii="Calibri" w:hAnsi="Calibri"/>
                <w:sz w:val="24"/>
                <w:szCs w:val="24"/>
              </w:rPr>
              <w:t xml:space="preserve"> the implementation of</w:t>
            </w:r>
            <w:r w:rsidRPr="001F0007">
              <w:rPr>
                <w:rFonts w:ascii="Calibri" w:hAnsi="Calibri"/>
                <w:sz w:val="24"/>
                <w:szCs w:val="24"/>
              </w:rPr>
              <w:t xml:space="preserve"> the Accountability and Transparency Framework of ITU.</w:t>
            </w:r>
          </w:p>
          <w:p w:rsidR="003834E5" w:rsidRPr="003834E5" w:rsidRDefault="003834E5" w:rsidP="003834E5">
            <w:pPr>
              <w:tabs>
                <w:tab w:val="left" w:pos="794"/>
                <w:tab w:val="left" w:pos="1191"/>
                <w:tab w:val="left" w:pos="1588"/>
                <w:tab w:val="left" w:pos="1985"/>
              </w:tabs>
              <w:spacing w:after="0" w:line="240" w:lineRule="auto"/>
              <w:jc w:val="center"/>
              <w:rPr>
                <w:rFonts w:ascii="Calibri" w:eastAsia="Times New Roman" w:hAnsi="Calibri" w:cs="Times New Roman"/>
                <w:sz w:val="24"/>
                <w:szCs w:val="24"/>
                <w:lang w:val="en-GB" w:eastAsia="en-US"/>
              </w:rPr>
            </w:pPr>
            <w:r w:rsidRPr="003834E5">
              <w:rPr>
                <w:rFonts w:ascii="Calibri" w:eastAsia="Times New Roman" w:hAnsi="Calibri" w:cs="Times New Roman"/>
                <w:sz w:val="24"/>
                <w:szCs w:val="24"/>
                <w:lang w:val="en-GB" w:eastAsia="en-US"/>
              </w:rPr>
              <w:t>____________</w:t>
            </w:r>
          </w:p>
          <w:p w:rsidR="003834E5" w:rsidRPr="003834E5" w:rsidRDefault="003834E5" w:rsidP="003834E5">
            <w:pPr>
              <w:keepNext/>
              <w:keepLines/>
              <w:tabs>
                <w:tab w:val="left" w:pos="567"/>
                <w:tab w:val="left" w:pos="1134"/>
                <w:tab w:val="left" w:pos="1701"/>
                <w:tab w:val="left" w:pos="2268"/>
                <w:tab w:val="left" w:pos="2835"/>
              </w:tabs>
              <w:overflowPunct w:val="0"/>
              <w:autoSpaceDE w:val="0"/>
              <w:autoSpaceDN w:val="0"/>
              <w:adjustRightInd w:val="0"/>
              <w:spacing w:before="160" w:after="0" w:line="240" w:lineRule="auto"/>
              <w:ind w:left="567" w:hanging="567"/>
              <w:textAlignment w:val="baseline"/>
              <w:outlineLvl w:val="0"/>
              <w:rPr>
                <w:rFonts w:ascii="Calibri" w:eastAsia="Times New Roman" w:hAnsi="Calibri" w:cs="Times New Roman"/>
                <w:b/>
                <w:sz w:val="24"/>
                <w:szCs w:val="24"/>
                <w:lang w:val="en-GB" w:eastAsia="en-US"/>
              </w:rPr>
            </w:pPr>
            <w:r w:rsidRPr="003834E5">
              <w:rPr>
                <w:rFonts w:ascii="Calibri" w:eastAsia="Times New Roman" w:hAnsi="Calibri" w:cs="Times New Roman"/>
                <w:b/>
                <w:sz w:val="24"/>
                <w:szCs w:val="24"/>
                <w:lang w:val="en-GB" w:eastAsia="en-US"/>
              </w:rPr>
              <w:t>References</w:t>
            </w:r>
          </w:p>
          <w:p w:rsidR="003834E5" w:rsidRPr="003834E5" w:rsidRDefault="00B94AF5" w:rsidP="00B94AF5">
            <w:pPr>
              <w:tabs>
                <w:tab w:val="left" w:pos="567"/>
                <w:tab w:val="left" w:pos="1134"/>
                <w:tab w:val="left" w:pos="1701"/>
                <w:tab w:val="left" w:pos="2268"/>
                <w:tab w:val="left" w:pos="2835"/>
              </w:tabs>
              <w:overflowPunct w:val="0"/>
              <w:autoSpaceDE w:val="0"/>
              <w:autoSpaceDN w:val="0"/>
              <w:adjustRightInd w:val="0"/>
              <w:spacing w:before="120" w:after="120" w:line="240" w:lineRule="auto"/>
              <w:textAlignment w:val="baseline"/>
              <w:rPr>
                <w:rFonts w:ascii="Calibri" w:eastAsia="Times New Roman" w:hAnsi="Calibri" w:cs="Times New Roman"/>
                <w:i/>
                <w:iCs/>
                <w:sz w:val="24"/>
                <w:szCs w:val="24"/>
                <w:lang w:val="en-GB" w:eastAsia="en-US"/>
              </w:rPr>
            </w:pPr>
            <w:hyperlink r:id="rId9" w:history="1">
              <w:r w:rsidR="00526D31" w:rsidRPr="001F0007">
                <w:rPr>
                  <w:rStyle w:val="Hyperlink"/>
                  <w:sz w:val="24"/>
                  <w:szCs w:val="24"/>
                </w:rPr>
                <w:t>JIU/REP/2011/5</w:t>
              </w:r>
            </w:hyperlink>
            <w:r w:rsidR="00526D31" w:rsidRPr="00AF2F70">
              <w:rPr>
                <w:rStyle w:val="Hyperlink"/>
                <w:color w:val="auto"/>
                <w:sz w:val="24"/>
                <w:szCs w:val="24"/>
                <w:u w:val="none"/>
              </w:rPr>
              <w:t>,</w:t>
            </w:r>
            <w:r w:rsidR="00526D31" w:rsidRPr="001F0007">
              <w:rPr>
                <w:rStyle w:val="Hyperlink"/>
                <w:sz w:val="24"/>
                <w:szCs w:val="24"/>
                <w:u w:val="none"/>
              </w:rPr>
              <w:t xml:space="preserve"> </w:t>
            </w:r>
            <w:hyperlink r:id="rId10" w:history="1">
              <w:r w:rsidR="00526D31" w:rsidRPr="001F0007">
                <w:rPr>
                  <w:rStyle w:val="Hyperlink"/>
                  <w:sz w:val="24"/>
                  <w:szCs w:val="24"/>
                </w:rPr>
                <w:t>JIU/REP/2016/1</w:t>
              </w:r>
            </w:hyperlink>
            <w:r w:rsidR="00973014" w:rsidRPr="00AF2F70">
              <w:rPr>
                <w:rStyle w:val="Hyperlink"/>
                <w:color w:val="auto"/>
                <w:sz w:val="24"/>
                <w:szCs w:val="24"/>
                <w:u w:val="none"/>
              </w:rPr>
              <w:t xml:space="preserve"> and UN General Assembly </w:t>
            </w:r>
            <w:hyperlink r:id="rId11" w:history="1">
              <w:r>
                <w:rPr>
                  <w:rStyle w:val="Hyperlink"/>
                  <w:sz w:val="24"/>
                  <w:szCs w:val="24"/>
                </w:rPr>
                <w:t>R</w:t>
              </w:r>
              <w:r w:rsidR="00973014" w:rsidRPr="001F0007">
                <w:rPr>
                  <w:rStyle w:val="Hyperlink"/>
                  <w:sz w:val="24"/>
                  <w:szCs w:val="24"/>
                </w:rPr>
                <w:t>esolution 64/259</w:t>
              </w:r>
            </w:hyperlink>
          </w:p>
        </w:tc>
      </w:tr>
    </w:tbl>
    <w:p w:rsidR="00F875A1" w:rsidRPr="00692FED" w:rsidRDefault="00E071B7" w:rsidP="00CF7EE7">
      <w:pPr>
        <w:pStyle w:val="Heading2"/>
        <w:spacing w:before="480" w:after="120"/>
        <w:rPr>
          <w:b/>
          <w:bCs/>
          <w:color w:val="auto"/>
          <w:sz w:val="24"/>
          <w:szCs w:val="24"/>
        </w:rPr>
      </w:pPr>
      <w:bookmarkStart w:id="8" w:name="dstart"/>
      <w:bookmarkStart w:id="9" w:name="dbreak"/>
      <w:bookmarkEnd w:id="8"/>
      <w:bookmarkEnd w:id="9"/>
      <w:r w:rsidRPr="00692FED">
        <w:rPr>
          <w:b/>
          <w:bCs/>
          <w:color w:val="auto"/>
          <w:sz w:val="24"/>
          <w:szCs w:val="24"/>
        </w:rPr>
        <w:t>I</w:t>
      </w:r>
      <w:r w:rsidR="005944CD" w:rsidRPr="00692FED">
        <w:rPr>
          <w:b/>
          <w:bCs/>
          <w:color w:val="auto"/>
          <w:sz w:val="24"/>
          <w:szCs w:val="24"/>
        </w:rPr>
        <w:t xml:space="preserve">. </w:t>
      </w:r>
      <w:r w:rsidR="00AF2F70">
        <w:rPr>
          <w:b/>
          <w:bCs/>
          <w:color w:val="auto"/>
          <w:sz w:val="24"/>
          <w:szCs w:val="24"/>
        </w:rPr>
        <w:t>Background</w:t>
      </w:r>
    </w:p>
    <w:p w:rsidR="00F875A1" w:rsidRPr="00692FED" w:rsidRDefault="00E071B7" w:rsidP="00AF2F70">
      <w:pPr>
        <w:snapToGrid w:val="0"/>
        <w:spacing w:before="120" w:after="120" w:line="240" w:lineRule="auto"/>
        <w:jc w:val="both"/>
        <w:rPr>
          <w:sz w:val="24"/>
          <w:szCs w:val="24"/>
        </w:rPr>
      </w:pPr>
      <w:r w:rsidRPr="00692FED">
        <w:rPr>
          <w:sz w:val="24"/>
          <w:szCs w:val="24"/>
        </w:rPr>
        <w:t>1.</w:t>
      </w:r>
      <w:r w:rsidRPr="00692FED">
        <w:rPr>
          <w:sz w:val="24"/>
          <w:szCs w:val="24"/>
        </w:rPr>
        <w:tab/>
      </w:r>
      <w:r w:rsidR="00D42A07" w:rsidRPr="00692FED">
        <w:rPr>
          <w:sz w:val="24"/>
          <w:szCs w:val="24"/>
        </w:rPr>
        <w:t>The Joint Inspection Unit (JIU) i</w:t>
      </w:r>
      <w:r w:rsidR="00F875A1" w:rsidRPr="00692FED">
        <w:rPr>
          <w:sz w:val="24"/>
          <w:szCs w:val="24"/>
        </w:rPr>
        <w:t>n its 2011 report</w:t>
      </w:r>
      <w:r w:rsidR="00D42A07" w:rsidRPr="00692FED">
        <w:rPr>
          <w:sz w:val="24"/>
          <w:szCs w:val="24"/>
        </w:rPr>
        <w:t xml:space="preserve"> on</w:t>
      </w:r>
      <w:r w:rsidR="00F875A1" w:rsidRPr="00692FED">
        <w:rPr>
          <w:sz w:val="24"/>
          <w:szCs w:val="24"/>
        </w:rPr>
        <w:t xml:space="preserve"> “Accountability Frameworks in the United Nations System</w:t>
      </w:r>
      <w:r w:rsidR="006D7A06" w:rsidRPr="00692FED">
        <w:rPr>
          <w:sz w:val="24"/>
          <w:szCs w:val="24"/>
        </w:rPr>
        <w:t>”</w:t>
      </w:r>
      <w:r w:rsidR="00F875A1" w:rsidRPr="00692FED">
        <w:rPr>
          <w:sz w:val="24"/>
          <w:szCs w:val="24"/>
        </w:rPr>
        <w:t xml:space="preserve"> (</w:t>
      </w:r>
      <w:hyperlink r:id="rId12" w:history="1">
        <w:r w:rsidR="00F875A1" w:rsidRPr="00692FED">
          <w:rPr>
            <w:rStyle w:val="Hyperlink"/>
            <w:sz w:val="24"/>
            <w:szCs w:val="24"/>
          </w:rPr>
          <w:t>JIU/REP/2011/5</w:t>
        </w:r>
      </w:hyperlink>
      <w:r w:rsidR="006D7A06" w:rsidRPr="00692FED">
        <w:rPr>
          <w:sz w:val="24"/>
          <w:szCs w:val="24"/>
        </w:rPr>
        <w:t>)</w:t>
      </w:r>
      <w:r w:rsidR="00F875A1" w:rsidRPr="00692FED">
        <w:rPr>
          <w:sz w:val="24"/>
          <w:szCs w:val="24"/>
        </w:rPr>
        <w:t>,</w:t>
      </w:r>
      <w:r w:rsidR="00D42A07" w:rsidRPr="00692FED">
        <w:rPr>
          <w:sz w:val="24"/>
          <w:szCs w:val="24"/>
        </w:rPr>
        <w:t xml:space="preserve"> </w:t>
      </w:r>
      <w:r w:rsidR="00F875A1" w:rsidRPr="00692FED">
        <w:rPr>
          <w:sz w:val="24"/>
          <w:szCs w:val="24"/>
        </w:rPr>
        <w:t xml:space="preserve">recommended that </w:t>
      </w:r>
      <w:r w:rsidR="00AE420F" w:rsidRPr="00692FED">
        <w:rPr>
          <w:sz w:val="24"/>
          <w:szCs w:val="24"/>
        </w:rPr>
        <w:t>E</w:t>
      </w:r>
      <w:r w:rsidR="00F875A1" w:rsidRPr="00692FED">
        <w:rPr>
          <w:sz w:val="24"/>
          <w:szCs w:val="24"/>
        </w:rPr>
        <w:t xml:space="preserve">xecutive </w:t>
      </w:r>
      <w:r w:rsidR="00AE420F" w:rsidRPr="00692FED">
        <w:rPr>
          <w:sz w:val="24"/>
          <w:szCs w:val="24"/>
        </w:rPr>
        <w:t>H</w:t>
      </w:r>
      <w:r w:rsidR="00F875A1" w:rsidRPr="00692FED">
        <w:rPr>
          <w:sz w:val="24"/>
          <w:szCs w:val="24"/>
        </w:rPr>
        <w:t>eads of United Nations system organizations develop accountability frameworks</w:t>
      </w:r>
      <w:r w:rsidR="00D42A07" w:rsidRPr="00692FED">
        <w:rPr>
          <w:sz w:val="24"/>
          <w:szCs w:val="24"/>
        </w:rPr>
        <w:t xml:space="preserve"> as a matter of priority</w:t>
      </w:r>
      <w:r w:rsidR="00F875A1" w:rsidRPr="00692FED">
        <w:rPr>
          <w:sz w:val="24"/>
          <w:szCs w:val="24"/>
        </w:rPr>
        <w:t xml:space="preserve">. </w:t>
      </w:r>
      <w:r w:rsidR="00786D97" w:rsidRPr="00692FED">
        <w:rPr>
          <w:sz w:val="24"/>
          <w:szCs w:val="24"/>
        </w:rPr>
        <w:t>T</w:t>
      </w:r>
      <w:r w:rsidR="00F875A1" w:rsidRPr="00692FED">
        <w:rPr>
          <w:sz w:val="24"/>
          <w:szCs w:val="24"/>
        </w:rPr>
        <w:t>he JIU review of ITU management undertaken in 2015</w:t>
      </w:r>
      <w:r w:rsidR="006D7A06" w:rsidRPr="00692FED">
        <w:rPr>
          <w:sz w:val="24"/>
          <w:szCs w:val="24"/>
        </w:rPr>
        <w:t xml:space="preserve"> (</w:t>
      </w:r>
      <w:hyperlink r:id="rId13" w:history="1">
        <w:r w:rsidR="006D7A06" w:rsidRPr="00692FED">
          <w:rPr>
            <w:rStyle w:val="Hyperlink"/>
            <w:sz w:val="24"/>
            <w:szCs w:val="24"/>
          </w:rPr>
          <w:t>JIU/REP/2016/1</w:t>
        </w:r>
      </w:hyperlink>
      <w:r w:rsidR="006D7A06" w:rsidRPr="00692FED">
        <w:rPr>
          <w:sz w:val="24"/>
          <w:szCs w:val="24"/>
        </w:rPr>
        <w:t>)</w:t>
      </w:r>
      <w:r w:rsidR="00F875A1" w:rsidRPr="00692FED">
        <w:rPr>
          <w:sz w:val="24"/>
          <w:szCs w:val="24"/>
        </w:rPr>
        <w:t xml:space="preserve"> </w:t>
      </w:r>
      <w:r w:rsidR="00786D97" w:rsidRPr="00692FED">
        <w:rPr>
          <w:sz w:val="24"/>
          <w:szCs w:val="24"/>
        </w:rPr>
        <w:t>includes</w:t>
      </w:r>
      <w:r w:rsidR="00F875A1" w:rsidRPr="00692FED">
        <w:rPr>
          <w:sz w:val="24"/>
          <w:szCs w:val="24"/>
        </w:rPr>
        <w:t xml:space="preserve"> a </w:t>
      </w:r>
      <w:bookmarkStart w:id="10" w:name="_GoBack"/>
      <w:bookmarkEnd w:id="10"/>
      <w:r w:rsidR="00597535" w:rsidRPr="00692FED">
        <w:rPr>
          <w:sz w:val="24"/>
          <w:szCs w:val="24"/>
        </w:rPr>
        <w:t xml:space="preserve">formal </w:t>
      </w:r>
      <w:r w:rsidR="00AE420F" w:rsidRPr="00692FED">
        <w:rPr>
          <w:sz w:val="24"/>
          <w:szCs w:val="24"/>
        </w:rPr>
        <w:t>r</w:t>
      </w:r>
      <w:r w:rsidR="00F875A1" w:rsidRPr="00692FED">
        <w:rPr>
          <w:sz w:val="24"/>
          <w:szCs w:val="24"/>
        </w:rPr>
        <w:t>ecommendation</w:t>
      </w:r>
      <w:r w:rsidR="00190FDA" w:rsidRPr="00692FED">
        <w:rPr>
          <w:sz w:val="24"/>
          <w:szCs w:val="24"/>
        </w:rPr>
        <w:t>, which ITU management accepted, that the</w:t>
      </w:r>
      <w:r w:rsidR="00F875A1" w:rsidRPr="00692FED">
        <w:rPr>
          <w:sz w:val="24"/>
          <w:szCs w:val="24"/>
        </w:rPr>
        <w:t xml:space="preserve"> “</w:t>
      </w:r>
      <w:r w:rsidR="00786D97" w:rsidRPr="00692FED">
        <w:rPr>
          <w:sz w:val="24"/>
          <w:szCs w:val="24"/>
        </w:rPr>
        <w:t xml:space="preserve">ITU </w:t>
      </w:r>
      <w:r w:rsidR="00F875A1" w:rsidRPr="00692FED">
        <w:rPr>
          <w:sz w:val="24"/>
          <w:szCs w:val="24"/>
        </w:rPr>
        <w:t>Secretary-General should further develop and consolidate the core elements of accountability into a stand-alone ITU Accountability Framework and present it to the Council at its 2017 session and report an</w:t>
      </w:r>
      <w:r w:rsidR="00AF2F70">
        <w:rPr>
          <w:sz w:val="24"/>
          <w:szCs w:val="24"/>
        </w:rPr>
        <w:t>nually on its implementation”.</w:t>
      </w:r>
    </w:p>
    <w:p w:rsidR="005944CD" w:rsidRPr="00692FED" w:rsidRDefault="00E071B7" w:rsidP="00AF2F70">
      <w:pPr>
        <w:pStyle w:val="Heading2"/>
        <w:keepNext w:val="0"/>
        <w:keepLines w:val="0"/>
        <w:snapToGrid w:val="0"/>
        <w:spacing w:before="120" w:after="120" w:line="240" w:lineRule="auto"/>
        <w:rPr>
          <w:b/>
          <w:bCs/>
          <w:color w:val="auto"/>
          <w:sz w:val="24"/>
          <w:szCs w:val="24"/>
        </w:rPr>
      </w:pPr>
      <w:r w:rsidRPr="00692FED">
        <w:rPr>
          <w:b/>
          <w:bCs/>
          <w:color w:val="auto"/>
          <w:sz w:val="24"/>
          <w:szCs w:val="24"/>
        </w:rPr>
        <w:lastRenderedPageBreak/>
        <w:t>II</w:t>
      </w:r>
      <w:r w:rsidR="00F875A1" w:rsidRPr="00692FED">
        <w:rPr>
          <w:b/>
          <w:bCs/>
          <w:color w:val="auto"/>
          <w:sz w:val="24"/>
          <w:szCs w:val="24"/>
        </w:rPr>
        <w:t>. Introduction</w:t>
      </w:r>
    </w:p>
    <w:p w:rsidR="005944CD" w:rsidRPr="00692FED" w:rsidRDefault="00E071B7" w:rsidP="00CF7EE7">
      <w:pPr>
        <w:snapToGrid w:val="0"/>
        <w:spacing w:before="120" w:after="120" w:line="240" w:lineRule="auto"/>
        <w:jc w:val="both"/>
        <w:rPr>
          <w:sz w:val="24"/>
          <w:szCs w:val="24"/>
        </w:rPr>
      </w:pPr>
      <w:r w:rsidRPr="00692FED">
        <w:rPr>
          <w:sz w:val="24"/>
          <w:szCs w:val="24"/>
        </w:rPr>
        <w:t>2.</w:t>
      </w:r>
      <w:r w:rsidRPr="00692FED">
        <w:rPr>
          <w:sz w:val="24"/>
          <w:szCs w:val="24"/>
        </w:rPr>
        <w:tab/>
      </w:r>
      <w:r w:rsidR="00145D32">
        <w:rPr>
          <w:sz w:val="24"/>
          <w:szCs w:val="24"/>
        </w:rPr>
        <w:t xml:space="preserve">The concept of accountability </w:t>
      </w:r>
      <w:proofErr w:type="gramStart"/>
      <w:r w:rsidR="00145D32">
        <w:rPr>
          <w:sz w:val="24"/>
          <w:szCs w:val="24"/>
        </w:rPr>
        <w:t>is defined</w:t>
      </w:r>
      <w:proofErr w:type="gramEnd"/>
      <w:r w:rsidR="00251311">
        <w:rPr>
          <w:sz w:val="24"/>
          <w:szCs w:val="24"/>
        </w:rPr>
        <w:t xml:space="preserve"> </w:t>
      </w:r>
      <w:r w:rsidR="00145D32">
        <w:rPr>
          <w:sz w:val="24"/>
          <w:szCs w:val="24"/>
        </w:rPr>
        <w:t>in</w:t>
      </w:r>
      <w:r w:rsidR="005944CD" w:rsidRPr="00692FED">
        <w:rPr>
          <w:sz w:val="24"/>
          <w:szCs w:val="24"/>
        </w:rPr>
        <w:t xml:space="preserve"> UN General Assembly </w:t>
      </w:r>
      <w:hyperlink r:id="rId14" w:history="1">
        <w:r w:rsidR="00CF7EE7">
          <w:rPr>
            <w:rStyle w:val="Hyperlink"/>
            <w:sz w:val="24"/>
            <w:szCs w:val="24"/>
          </w:rPr>
          <w:t>R</w:t>
        </w:r>
        <w:r w:rsidR="004A52BE" w:rsidRPr="00692FED">
          <w:rPr>
            <w:rStyle w:val="Hyperlink"/>
            <w:sz w:val="24"/>
            <w:szCs w:val="24"/>
          </w:rPr>
          <w:t>esolution 64/259</w:t>
        </w:r>
      </w:hyperlink>
      <w:r w:rsidR="005944CD" w:rsidRPr="00692FED">
        <w:rPr>
          <w:sz w:val="24"/>
          <w:szCs w:val="24"/>
        </w:rPr>
        <w:t xml:space="preserve"> as follows: “</w:t>
      </w:r>
      <w:r w:rsidR="005944CD" w:rsidRPr="00CF7EE7">
        <w:rPr>
          <w:i/>
          <w:iCs/>
          <w:sz w:val="24"/>
          <w:szCs w:val="24"/>
        </w:rPr>
        <w:t>Accountability is the obligation of the Secretariat and its staff members to be answerable for all decisions made and actions taken by them, and to be responsible for honoring their commitments, without qualification or exception</w:t>
      </w:r>
      <w:r w:rsidR="005944CD" w:rsidRPr="00692FED">
        <w:rPr>
          <w:sz w:val="24"/>
          <w:szCs w:val="24"/>
        </w:rPr>
        <w:t xml:space="preserve">. </w:t>
      </w:r>
    </w:p>
    <w:p w:rsidR="00060F6C" w:rsidRPr="00CF7EE7" w:rsidRDefault="00251311" w:rsidP="00251311">
      <w:pPr>
        <w:snapToGrid w:val="0"/>
        <w:spacing w:before="120" w:after="120" w:line="240" w:lineRule="auto"/>
        <w:jc w:val="both"/>
        <w:rPr>
          <w:i/>
          <w:iCs/>
          <w:sz w:val="24"/>
          <w:szCs w:val="24"/>
        </w:rPr>
      </w:pPr>
      <w:proofErr w:type="gramStart"/>
      <w:r>
        <w:rPr>
          <w:sz w:val="24"/>
          <w:szCs w:val="24"/>
        </w:rPr>
        <w:t>“</w:t>
      </w:r>
      <w:r w:rsidRPr="00CF7EE7">
        <w:rPr>
          <w:i/>
          <w:iCs/>
          <w:sz w:val="24"/>
          <w:szCs w:val="24"/>
        </w:rPr>
        <w:t xml:space="preserve">Accountability </w:t>
      </w:r>
      <w:r w:rsidR="005944CD" w:rsidRPr="00CF7EE7">
        <w:rPr>
          <w:i/>
          <w:iCs/>
          <w:sz w:val="24"/>
          <w:szCs w:val="24"/>
        </w:rPr>
        <w:t>includes achieving objectives and high-quality results in a timely and cost-effective manner, in fully implementing and delivering on all mandates to the Secretariat approved by the United Nations intergovernmental bodies and other subsidiary organs established by them in compliance with all resolutions, regulations, rules and ethical standards; truthful, objective, accurate and timely reporting on performance results; responsible stewardship of funds and resources; all aspects of performance, including a clearly defined system of rewards and sanctions; and with due recognition to the important role of the oversight bodies and in full compliance with accepted recommendations”.</w:t>
      </w:r>
      <w:proofErr w:type="gramEnd"/>
    </w:p>
    <w:p w:rsidR="00F72242" w:rsidRPr="00692FED" w:rsidRDefault="00E071B7" w:rsidP="00AF2F70">
      <w:pPr>
        <w:pStyle w:val="Heading2"/>
        <w:keepNext w:val="0"/>
        <w:keepLines w:val="0"/>
        <w:snapToGrid w:val="0"/>
        <w:spacing w:before="360" w:after="120" w:line="240" w:lineRule="auto"/>
        <w:rPr>
          <w:b/>
          <w:bCs/>
          <w:color w:val="auto"/>
          <w:sz w:val="24"/>
          <w:szCs w:val="24"/>
        </w:rPr>
      </w:pPr>
      <w:r w:rsidRPr="00692FED">
        <w:rPr>
          <w:b/>
          <w:bCs/>
          <w:color w:val="auto"/>
          <w:sz w:val="24"/>
          <w:szCs w:val="24"/>
        </w:rPr>
        <w:t>III</w:t>
      </w:r>
      <w:r w:rsidR="00071E2C" w:rsidRPr="00692FED">
        <w:rPr>
          <w:b/>
          <w:bCs/>
          <w:color w:val="auto"/>
          <w:sz w:val="24"/>
          <w:szCs w:val="24"/>
        </w:rPr>
        <w:t>. The ITU Accountability Framework</w:t>
      </w:r>
    </w:p>
    <w:p w:rsidR="006B5361" w:rsidRDefault="00A94A72" w:rsidP="00A94A72">
      <w:pPr>
        <w:snapToGrid w:val="0"/>
        <w:spacing w:before="120" w:after="120" w:line="240" w:lineRule="auto"/>
        <w:jc w:val="both"/>
        <w:rPr>
          <w:b/>
          <w:bCs/>
          <w:sz w:val="24"/>
          <w:szCs w:val="24"/>
        </w:rPr>
      </w:pPr>
      <w:r>
        <w:rPr>
          <w:sz w:val="24"/>
          <w:szCs w:val="24"/>
        </w:rPr>
        <w:t>3</w:t>
      </w:r>
      <w:r w:rsidR="00E071B7" w:rsidRPr="00692FED">
        <w:rPr>
          <w:sz w:val="24"/>
          <w:szCs w:val="24"/>
        </w:rPr>
        <w:t>.</w:t>
      </w:r>
      <w:r w:rsidR="00E071B7" w:rsidRPr="00692FED">
        <w:rPr>
          <w:sz w:val="24"/>
          <w:szCs w:val="24"/>
        </w:rPr>
        <w:tab/>
      </w:r>
      <w:r w:rsidR="00F72242" w:rsidRPr="00692FED">
        <w:rPr>
          <w:sz w:val="24"/>
          <w:szCs w:val="24"/>
        </w:rPr>
        <w:t xml:space="preserve">ITU’s management </w:t>
      </w:r>
      <w:proofErr w:type="gramStart"/>
      <w:r w:rsidR="00F72242" w:rsidRPr="00692FED">
        <w:rPr>
          <w:sz w:val="24"/>
          <w:szCs w:val="24"/>
        </w:rPr>
        <w:t xml:space="preserve">is </w:t>
      </w:r>
      <w:r w:rsidR="006B5361" w:rsidRPr="00692FED">
        <w:rPr>
          <w:sz w:val="24"/>
          <w:szCs w:val="24"/>
        </w:rPr>
        <w:t xml:space="preserve">being </w:t>
      </w:r>
      <w:r w:rsidR="00F72242" w:rsidRPr="00692FED">
        <w:rPr>
          <w:sz w:val="24"/>
          <w:szCs w:val="24"/>
        </w:rPr>
        <w:t>guided</w:t>
      </w:r>
      <w:proofErr w:type="gramEnd"/>
      <w:r w:rsidR="00F72242" w:rsidRPr="00692FED">
        <w:rPr>
          <w:sz w:val="24"/>
          <w:szCs w:val="24"/>
        </w:rPr>
        <w:t xml:space="preserve"> by the principle of fulfilling the mandate of the Union in a transparent manner.  It is accountable to the membership of the Union. Over the years, ITU has developed core elements </w:t>
      </w:r>
      <w:r w:rsidR="006D7A06" w:rsidRPr="00692FED">
        <w:rPr>
          <w:sz w:val="24"/>
          <w:szCs w:val="24"/>
        </w:rPr>
        <w:t>of accountability t</w:t>
      </w:r>
      <w:r w:rsidR="00605073">
        <w:rPr>
          <w:sz w:val="24"/>
          <w:szCs w:val="24"/>
        </w:rPr>
        <w:t>hat include, amongst others:</w:t>
      </w:r>
      <w:r w:rsidR="00F72242" w:rsidRPr="00692FED">
        <w:rPr>
          <w:sz w:val="24"/>
          <w:szCs w:val="24"/>
        </w:rPr>
        <w:t xml:space="preserve"> dele</w:t>
      </w:r>
      <w:r w:rsidR="005111C1" w:rsidRPr="00692FED">
        <w:rPr>
          <w:sz w:val="24"/>
          <w:szCs w:val="24"/>
        </w:rPr>
        <w:t>gation of authority instruments; financial disclosure policy;</w:t>
      </w:r>
      <w:r w:rsidR="00F72242" w:rsidRPr="00692FED">
        <w:rPr>
          <w:sz w:val="24"/>
          <w:szCs w:val="24"/>
        </w:rPr>
        <w:t xml:space="preserve"> ITU In</w:t>
      </w:r>
      <w:r w:rsidR="005111C1" w:rsidRPr="00692FED">
        <w:rPr>
          <w:sz w:val="24"/>
          <w:szCs w:val="24"/>
        </w:rPr>
        <w:t>ternal letter of representation;</w:t>
      </w:r>
      <w:r w:rsidR="00F72242" w:rsidRPr="00692FED">
        <w:rPr>
          <w:sz w:val="24"/>
          <w:szCs w:val="24"/>
        </w:rPr>
        <w:t xml:space="preserve"> </w:t>
      </w:r>
      <w:r w:rsidR="005111C1" w:rsidRPr="00692FED">
        <w:rPr>
          <w:sz w:val="24"/>
          <w:szCs w:val="24"/>
        </w:rPr>
        <w:t>performance management tools</w:t>
      </w:r>
      <w:r w:rsidR="00F72242" w:rsidRPr="00692FED">
        <w:rPr>
          <w:sz w:val="24"/>
          <w:szCs w:val="24"/>
        </w:rPr>
        <w:t xml:space="preserve"> and risk m</w:t>
      </w:r>
      <w:r w:rsidR="005111C1" w:rsidRPr="00692FED">
        <w:rPr>
          <w:sz w:val="24"/>
          <w:szCs w:val="24"/>
        </w:rPr>
        <w:t>anagement in strategic planning;</w:t>
      </w:r>
      <w:r w:rsidR="00F72242" w:rsidRPr="00692FED">
        <w:rPr>
          <w:sz w:val="24"/>
          <w:szCs w:val="24"/>
        </w:rPr>
        <w:t xml:space="preserve"> </w:t>
      </w:r>
      <w:r w:rsidR="005111C1" w:rsidRPr="00692FED">
        <w:rPr>
          <w:sz w:val="24"/>
          <w:szCs w:val="24"/>
        </w:rPr>
        <w:t>a r</w:t>
      </w:r>
      <w:r w:rsidR="00F72242" w:rsidRPr="00692FED">
        <w:rPr>
          <w:sz w:val="24"/>
          <w:szCs w:val="24"/>
        </w:rPr>
        <w:t>esults</w:t>
      </w:r>
      <w:r w:rsidR="005111C1" w:rsidRPr="00692FED">
        <w:rPr>
          <w:sz w:val="24"/>
          <w:szCs w:val="24"/>
        </w:rPr>
        <w:t xml:space="preserve"> framework </w:t>
      </w:r>
      <w:r w:rsidR="00B24679" w:rsidRPr="00692FED">
        <w:rPr>
          <w:sz w:val="24"/>
          <w:szCs w:val="24"/>
        </w:rPr>
        <w:t>enabl</w:t>
      </w:r>
      <w:r w:rsidR="005111C1" w:rsidRPr="00692FED">
        <w:rPr>
          <w:sz w:val="24"/>
          <w:szCs w:val="24"/>
        </w:rPr>
        <w:t>ing Results-based Management</w:t>
      </w:r>
      <w:r w:rsidR="00B82A24" w:rsidRPr="00692FED">
        <w:rPr>
          <w:sz w:val="24"/>
          <w:szCs w:val="24"/>
        </w:rPr>
        <w:t>(RBM)</w:t>
      </w:r>
      <w:r w:rsidR="005111C1" w:rsidRPr="00692FED">
        <w:rPr>
          <w:sz w:val="24"/>
          <w:szCs w:val="24"/>
        </w:rPr>
        <w:t>;</w:t>
      </w:r>
      <w:r w:rsidR="00F72242" w:rsidRPr="00692FED">
        <w:rPr>
          <w:sz w:val="24"/>
          <w:szCs w:val="24"/>
        </w:rPr>
        <w:t xml:space="preserve"> </w:t>
      </w:r>
      <w:r w:rsidR="000F73D4" w:rsidRPr="00692FED">
        <w:rPr>
          <w:sz w:val="24"/>
          <w:szCs w:val="24"/>
        </w:rPr>
        <w:t xml:space="preserve">and </w:t>
      </w:r>
      <w:r w:rsidR="006D7A06" w:rsidRPr="00692FED">
        <w:rPr>
          <w:sz w:val="24"/>
          <w:szCs w:val="24"/>
        </w:rPr>
        <w:t xml:space="preserve">the </w:t>
      </w:r>
      <w:r w:rsidR="00F72242" w:rsidRPr="00692FED">
        <w:rPr>
          <w:sz w:val="24"/>
          <w:szCs w:val="24"/>
        </w:rPr>
        <w:t>creation of the Independent Management Advisory Committee (IMAC</w:t>
      </w:r>
      <w:r w:rsidR="000F73D4" w:rsidRPr="00692FED">
        <w:rPr>
          <w:sz w:val="24"/>
          <w:szCs w:val="24"/>
        </w:rPr>
        <w:t>)</w:t>
      </w:r>
      <w:r w:rsidR="00F72242" w:rsidRPr="00692FED">
        <w:rPr>
          <w:b/>
          <w:bCs/>
          <w:sz w:val="24"/>
          <w:szCs w:val="24"/>
        </w:rPr>
        <w:t>.</w:t>
      </w:r>
      <w:r w:rsidR="006B5361" w:rsidRPr="00692FED">
        <w:rPr>
          <w:b/>
          <w:bCs/>
          <w:sz w:val="24"/>
          <w:szCs w:val="24"/>
        </w:rPr>
        <w:t xml:space="preserve"> </w:t>
      </w:r>
      <w:r w:rsidRPr="00CF7EE7">
        <w:rPr>
          <w:sz w:val="24"/>
          <w:szCs w:val="24"/>
        </w:rPr>
        <w:t>In addition</w:t>
      </w:r>
      <w:r>
        <w:rPr>
          <w:sz w:val="24"/>
          <w:szCs w:val="24"/>
        </w:rPr>
        <w:t>, as a specialized agency, part of the UN system, ITU could decide to be accountable to agreed UN system wide framework.</w:t>
      </w:r>
    </w:p>
    <w:p w:rsidR="00F72242" w:rsidRPr="00692FED" w:rsidRDefault="00A94A72" w:rsidP="00A94A72">
      <w:pPr>
        <w:snapToGrid w:val="0"/>
        <w:spacing w:before="120" w:after="120" w:line="240" w:lineRule="auto"/>
        <w:jc w:val="both"/>
        <w:rPr>
          <w:sz w:val="24"/>
          <w:szCs w:val="24"/>
        </w:rPr>
      </w:pPr>
      <w:r>
        <w:rPr>
          <w:sz w:val="24"/>
          <w:szCs w:val="24"/>
        </w:rPr>
        <w:t>4</w:t>
      </w:r>
      <w:r w:rsidR="00E071B7" w:rsidRPr="00692FED">
        <w:rPr>
          <w:sz w:val="24"/>
          <w:szCs w:val="24"/>
        </w:rPr>
        <w:t>.</w:t>
      </w:r>
      <w:r w:rsidR="00E071B7" w:rsidRPr="00692FED">
        <w:rPr>
          <w:sz w:val="24"/>
          <w:szCs w:val="24"/>
        </w:rPr>
        <w:tab/>
      </w:r>
      <w:r w:rsidR="006B5361" w:rsidRPr="00692FED">
        <w:rPr>
          <w:sz w:val="24"/>
          <w:szCs w:val="24"/>
        </w:rPr>
        <w:t xml:space="preserve">The aim of this document is to consolidate </w:t>
      </w:r>
      <w:r w:rsidR="000B3397" w:rsidRPr="00692FED">
        <w:rPr>
          <w:sz w:val="24"/>
          <w:szCs w:val="24"/>
        </w:rPr>
        <w:t xml:space="preserve">the </w:t>
      </w:r>
      <w:r w:rsidR="006B5361" w:rsidRPr="00692FED">
        <w:rPr>
          <w:sz w:val="24"/>
          <w:szCs w:val="24"/>
        </w:rPr>
        <w:t>existing core elements of accountability into an ITU</w:t>
      </w:r>
      <w:r w:rsidR="00E071B7" w:rsidRPr="00692FED">
        <w:rPr>
          <w:sz w:val="24"/>
          <w:szCs w:val="24"/>
        </w:rPr>
        <w:t>-wide Accountability</w:t>
      </w:r>
      <w:r w:rsidR="006B5361" w:rsidRPr="00692FED">
        <w:rPr>
          <w:sz w:val="24"/>
          <w:szCs w:val="24"/>
        </w:rPr>
        <w:t xml:space="preserve"> Framework (AF), as well as to </w:t>
      </w:r>
      <w:r w:rsidR="00B82A24" w:rsidRPr="00692FED">
        <w:rPr>
          <w:sz w:val="24"/>
          <w:szCs w:val="24"/>
        </w:rPr>
        <w:t>incorporate</w:t>
      </w:r>
      <w:r w:rsidR="006B5361" w:rsidRPr="00692FED">
        <w:rPr>
          <w:sz w:val="24"/>
          <w:szCs w:val="24"/>
        </w:rPr>
        <w:t xml:space="preserve"> any missing component</w:t>
      </w:r>
      <w:r w:rsidR="00B82A24" w:rsidRPr="00692FED">
        <w:rPr>
          <w:sz w:val="24"/>
          <w:szCs w:val="24"/>
        </w:rPr>
        <w:t>s</w:t>
      </w:r>
      <w:r w:rsidR="006B5361" w:rsidRPr="00692FED">
        <w:rPr>
          <w:sz w:val="24"/>
          <w:szCs w:val="24"/>
        </w:rPr>
        <w:t xml:space="preserve"> of such a framework</w:t>
      </w:r>
      <w:r w:rsidR="00537DA4" w:rsidRPr="00692FED">
        <w:rPr>
          <w:sz w:val="24"/>
          <w:szCs w:val="24"/>
        </w:rPr>
        <w:t xml:space="preserve"> (as per the JIU report 2011/5)</w:t>
      </w:r>
      <w:r w:rsidR="006B5361" w:rsidRPr="00692FED">
        <w:rPr>
          <w:sz w:val="24"/>
          <w:szCs w:val="24"/>
        </w:rPr>
        <w:t>.</w:t>
      </w:r>
      <w:r w:rsidR="00E071B7" w:rsidRPr="00692FED">
        <w:rPr>
          <w:sz w:val="24"/>
          <w:szCs w:val="24"/>
        </w:rPr>
        <w:t xml:space="preserve"> </w:t>
      </w:r>
    </w:p>
    <w:p w:rsidR="00B56294" w:rsidRPr="00692FED" w:rsidRDefault="00A94A72" w:rsidP="00CF7EE7">
      <w:pPr>
        <w:snapToGrid w:val="0"/>
        <w:spacing w:before="120" w:after="360" w:line="240" w:lineRule="auto"/>
        <w:jc w:val="both"/>
        <w:rPr>
          <w:sz w:val="24"/>
          <w:szCs w:val="24"/>
        </w:rPr>
      </w:pPr>
      <w:r>
        <w:rPr>
          <w:sz w:val="24"/>
          <w:szCs w:val="24"/>
        </w:rPr>
        <w:t>5</w:t>
      </w:r>
      <w:r w:rsidR="001C151F" w:rsidRPr="00692FED">
        <w:rPr>
          <w:sz w:val="24"/>
          <w:szCs w:val="24"/>
        </w:rPr>
        <w:t>.</w:t>
      </w:r>
      <w:r w:rsidR="001C151F" w:rsidRPr="00692FED">
        <w:rPr>
          <w:sz w:val="24"/>
          <w:szCs w:val="24"/>
        </w:rPr>
        <w:tab/>
      </w:r>
      <w:r w:rsidR="00182266" w:rsidRPr="00692FED">
        <w:rPr>
          <w:sz w:val="24"/>
          <w:szCs w:val="24"/>
        </w:rPr>
        <w:t>ITU’s accountability framework builds up</w:t>
      </w:r>
      <w:r w:rsidR="00E071B7" w:rsidRPr="00692FED">
        <w:rPr>
          <w:sz w:val="24"/>
          <w:szCs w:val="24"/>
        </w:rPr>
        <w:t xml:space="preserve">on </w:t>
      </w:r>
      <w:r w:rsidR="00724AEC" w:rsidRPr="00692FED">
        <w:rPr>
          <w:sz w:val="24"/>
          <w:szCs w:val="24"/>
        </w:rPr>
        <w:t xml:space="preserve">the </w:t>
      </w:r>
      <w:r w:rsidR="00B56294" w:rsidRPr="00692FED">
        <w:rPr>
          <w:sz w:val="24"/>
          <w:szCs w:val="24"/>
        </w:rPr>
        <w:t>three main pillars</w:t>
      </w:r>
      <w:r w:rsidR="00724AEC" w:rsidRPr="00692FED">
        <w:rPr>
          <w:sz w:val="24"/>
          <w:szCs w:val="24"/>
        </w:rPr>
        <w:t xml:space="preserve"> </w:t>
      </w:r>
      <w:r w:rsidR="00E071B7" w:rsidRPr="00692FED">
        <w:rPr>
          <w:sz w:val="24"/>
          <w:szCs w:val="24"/>
        </w:rPr>
        <w:t xml:space="preserve">based on </w:t>
      </w:r>
      <w:r w:rsidR="00E32DB9" w:rsidRPr="00692FED">
        <w:rPr>
          <w:sz w:val="24"/>
          <w:szCs w:val="24"/>
        </w:rPr>
        <w:t xml:space="preserve">a structure </w:t>
      </w:r>
      <w:r w:rsidR="00724AEC" w:rsidRPr="00692FED">
        <w:rPr>
          <w:sz w:val="24"/>
          <w:szCs w:val="24"/>
        </w:rPr>
        <w:t>presented in the JIU report</w:t>
      </w:r>
      <w:r w:rsidR="004A52BE" w:rsidRPr="00692FED">
        <w:rPr>
          <w:sz w:val="24"/>
          <w:szCs w:val="24"/>
        </w:rPr>
        <w:t xml:space="preserve"> as shown below</w:t>
      </w:r>
      <w:r w:rsidR="00EA0305" w:rsidRPr="00692FED">
        <w:rPr>
          <w:sz w:val="24"/>
          <w:szCs w:val="24"/>
        </w:rPr>
        <w:t xml:space="preserve">. Section IV </w:t>
      </w:r>
      <w:r w:rsidR="00320927" w:rsidRPr="00692FED">
        <w:rPr>
          <w:sz w:val="24"/>
          <w:szCs w:val="24"/>
        </w:rPr>
        <w:t xml:space="preserve">of this document </w:t>
      </w:r>
      <w:r w:rsidR="00EA0305" w:rsidRPr="00692FED">
        <w:rPr>
          <w:sz w:val="24"/>
          <w:szCs w:val="24"/>
        </w:rPr>
        <w:t>describes each of the three pillars</w:t>
      </w:r>
      <w:r w:rsidR="008E5B67" w:rsidRPr="00692FED">
        <w:rPr>
          <w:sz w:val="24"/>
          <w:szCs w:val="24"/>
        </w:rPr>
        <w:t>.</w:t>
      </w:r>
    </w:p>
    <w:tbl>
      <w:tblPr>
        <w:tblStyle w:val="TableGrid"/>
        <w:tblpPr w:leftFromText="180" w:rightFromText="180" w:vertAnchor="text" w:horzAnchor="margin" w:tblpY="-18"/>
        <w:tblW w:w="0" w:type="auto"/>
        <w:tblLook w:val="04A0" w:firstRow="1" w:lastRow="0" w:firstColumn="1" w:lastColumn="0" w:noHBand="0" w:noVBand="1"/>
      </w:tblPr>
      <w:tblGrid>
        <w:gridCol w:w="3116"/>
        <w:gridCol w:w="3117"/>
        <w:gridCol w:w="3117"/>
      </w:tblGrid>
      <w:tr w:rsidR="00E071B7" w:rsidTr="00E071B7">
        <w:tc>
          <w:tcPr>
            <w:tcW w:w="3116" w:type="dxa"/>
            <w:shd w:val="clear" w:color="auto" w:fill="2E74B5" w:themeFill="accent1" w:themeFillShade="BF"/>
          </w:tcPr>
          <w:p w:rsidR="00E071B7" w:rsidRPr="0019674E" w:rsidRDefault="00E071B7" w:rsidP="00AF2F70">
            <w:pPr>
              <w:spacing w:before="40" w:after="40"/>
              <w:jc w:val="center"/>
              <w:rPr>
                <w:b/>
                <w:bCs/>
                <w:color w:val="FFFFFF" w:themeColor="background1"/>
                <w:sz w:val="20"/>
                <w:szCs w:val="20"/>
              </w:rPr>
            </w:pPr>
            <w:r w:rsidRPr="0019674E">
              <w:rPr>
                <w:b/>
                <w:bCs/>
                <w:color w:val="FFFFFF" w:themeColor="background1"/>
                <w:sz w:val="20"/>
                <w:szCs w:val="20"/>
              </w:rPr>
              <w:t>PILLAR 1</w:t>
            </w:r>
          </w:p>
          <w:p w:rsidR="00E071B7" w:rsidRPr="0019674E" w:rsidRDefault="00E071B7" w:rsidP="00AF2F70">
            <w:pPr>
              <w:spacing w:before="40" w:after="40"/>
              <w:jc w:val="center"/>
              <w:rPr>
                <w:b/>
                <w:bCs/>
                <w:color w:val="FFFFFF" w:themeColor="background1"/>
                <w:sz w:val="20"/>
                <w:szCs w:val="20"/>
              </w:rPr>
            </w:pPr>
            <w:r w:rsidRPr="0019674E">
              <w:rPr>
                <w:b/>
                <w:bCs/>
                <w:color w:val="FFFFFF" w:themeColor="background1"/>
                <w:sz w:val="20"/>
                <w:szCs w:val="20"/>
              </w:rPr>
              <w:t>Covenant with Member States, Sector Members, Associates</w:t>
            </w:r>
            <w:r>
              <w:rPr>
                <w:b/>
                <w:bCs/>
                <w:color w:val="FFFFFF" w:themeColor="background1"/>
                <w:sz w:val="20"/>
                <w:szCs w:val="20"/>
              </w:rPr>
              <w:t>, Academia, and users of ITU’s S</w:t>
            </w:r>
            <w:r w:rsidRPr="0019674E">
              <w:rPr>
                <w:b/>
                <w:bCs/>
                <w:color w:val="FFFFFF" w:themeColor="background1"/>
                <w:sz w:val="20"/>
                <w:szCs w:val="20"/>
              </w:rPr>
              <w:t>ervices</w:t>
            </w:r>
          </w:p>
        </w:tc>
        <w:tc>
          <w:tcPr>
            <w:tcW w:w="3117" w:type="dxa"/>
            <w:shd w:val="clear" w:color="auto" w:fill="2E74B5" w:themeFill="accent1" w:themeFillShade="BF"/>
          </w:tcPr>
          <w:p w:rsidR="00E071B7" w:rsidRPr="0019674E" w:rsidRDefault="00E071B7" w:rsidP="00AF2F70">
            <w:pPr>
              <w:spacing w:before="40" w:after="40"/>
              <w:jc w:val="center"/>
              <w:rPr>
                <w:b/>
                <w:bCs/>
                <w:color w:val="FFFFFF" w:themeColor="background1"/>
                <w:sz w:val="20"/>
                <w:szCs w:val="20"/>
              </w:rPr>
            </w:pPr>
            <w:r w:rsidRPr="0019674E">
              <w:rPr>
                <w:b/>
                <w:bCs/>
                <w:color w:val="FFFFFF" w:themeColor="background1"/>
                <w:sz w:val="20"/>
                <w:szCs w:val="20"/>
              </w:rPr>
              <w:t>PILLAR 2</w:t>
            </w:r>
          </w:p>
          <w:p w:rsidR="00E071B7" w:rsidRPr="0019674E" w:rsidRDefault="00E071B7" w:rsidP="00AF2F70">
            <w:pPr>
              <w:spacing w:before="40" w:after="40"/>
              <w:jc w:val="center"/>
              <w:rPr>
                <w:b/>
                <w:bCs/>
                <w:color w:val="FFFFFF" w:themeColor="background1"/>
                <w:sz w:val="20"/>
                <w:szCs w:val="20"/>
              </w:rPr>
            </w:pPr>
            <w:r>
              <w:rPr>
                <w:b/>
                <w:bCs/>
                <w:color w:val="FFFFFF" w:themeColor="background1"/>
                <w:sz w:val="20"/>
                <w:szCs w:val="20"/>
              </w:rPr>
              <w:t>Internal Controls and Risk M</w:t>
            </w:r>
            <w:r w:rsidRPr="0019674E">
              <w:rPr>
                <w:b/>
                <w:bCs/>
                <w:color w:val="FFFFFF" w:themeColor="background1"/>
                <w:sz w:val="20"/>
                <w:szCs w:val="20"/>
              </w:rPr>
              <w:t>anagement</w:t>
            </w:r>
          </w:p>
        </w:tc>
        <w:tc>
          <w:tcPr>
            <w:tcW w:w="3117" w:type="dxa"/>
            <w:shd w:val="clear" w:color="auto" w:fill="2E74B5" w:themeFill="accent1" w:themeFillShade="BF"/>
          </w:tcPr>
          <w:p w:rsidR="00E071B7" w:rsidRPr="0019674E" w:rsidRDefault="00E071B7" w:rsidP="00AF2F70">
            <w:pPr>
              <w:spacing w:before="40" w:after="40"/>
              <w:jc w:val="center"/>
              <w:rPr>
                <w:b/>
                <w:bCs/>
                <w:color w:val="FFFFFF" w:themeColor="background1"/>
                <w:sz w:val="20"/>
                <w:szCs w:val="20"/>
              </w:rPr>
            </w:pPr>
            <w:r w:rsidRPr="0019674E">
              <w:rPr>
                <w:b/>
                <w:bCs/>
                <w:color w:val="FFFFFF" w:themeColor="background1"/>
                <w:sz w:val="20"/>
                <w:szCs w:val="20"/>
              </w:rPr>
              <w:t>PILLAR 3</w:t>
            </w:r>
          </w:p>
          <w:p w:rsidR="00E071B7" w:rsidRPr="0019674E" w:rsidRDefault="00E071B7" w:rsidP="00AF2F70">
            <w:pPr>
              <w:spacing w:before="40" w:after="40"/>
              <w:jc w:val="center"/>
              <w:rPr>
                <w:b/>
                <w:bCs/>
                <w:color w:val="FFFFFF" w:themeColor="background1"/>
                <w:sz w:val="20"/>
                <w:szCs w:val="20"/>
              </w:rPr>
            </w:pPr>
            <w:r>
              <w:rPr>
                <w:b/>
                <w:bCs/>
                <w:color w:val="FFFFFF" w:themeColor="background1"/>
                <w:sz w:val="20"/>
                <w:szCs w:val="20"/>
              </w:rPr>
              <w:t>Complaints and Response M</w:t>
            </w:r>
            <w:r w:rsidRPr="0019674E">
              <w:rPr>
                <w:b/>
                <w:bCs/>
                <w:color w:val="FFFFFF" w:themeColor="background1"/>
                <w:sz w:val="20"/>
                <w:szCs w:val="20"/>
              </w:rPr>
              <w:t>echanism</w:t>
            </w:r>
          </w:p>
        </w:tc>
      </w:tr>
      <w:tr w:rsidR="00E071B7" w:rsidTr="00E071B7">
        <w:tc>
          <w:tcPr>
            <w:tcW w:w="3116" w:type="dxa"/>
            <w:shd w:val="clear" w:color="auto" w:fill="BDD6EE" w:themeFill="accent1" w:themeFillTint="66"/>
          </w:tcPr>
          <w:p w:rsidR="00E071B7" w:rsidRPr="0019674E" w:rsidRDefault="00E071B7" w:rsidP="00AF2F70">
            <w:pPr>
              <w:pStyle w:val="ListParagraph"/>
              <w:numPr>
                <w:ilvl w:val="0"/>
                <w:numId w:val="1"/>
              </w:numPr>
              <w:snapToGrid w:val="0"/>
              <w:spacing w:before="40"/>
              <w:contextualSpacing w:val="0"/>
              <w:rPr>
                <w:sz w:val="20"/>
                <w:szCs w:val="20"/>
              </w:rPr>
            </w:pPr>
            <w:r>
              <w:rPr>
                <w:sz w:val="20"/>
                <w:szCs w:val="20"/>
              </w:rPr>
              <w:t>ITU’s Basic Instruments, relevant agreements and treaties</w:t>
            </w:r>
          </w:p>
          <w:p w:rsidR="00E071B7" w:rsidRPr="0019674E" w:rsidRDefault="00E071B7" w:rsidP="00AF2F70">
            <w:pPr>
              <w:pStyle w:val="ListParagraph"/>
              <w:numPr>
                <w:ilvl w:val="0"/>
                <w:numId w:val="1"/>
              </w:numPr>
              <w:snapToGrid w:val="0"/>
              <w:spacing w:after="40"/>
              <w:contextualSpacing w:val="0"/>
              <w:rPr>
                <w:sz w:val="20"/>
                <w:szCs w:val="20"/>
              </w:rPr>
            </w:pPr>
            <w:r>
              <w:rPr>
                <w:sz w:val="20"/>
                <w:szCs w:val="20"/>
              </w:rPr>
              <w:t>ITU’s Results Framework</w:t>
            </w:r>
          </w:p>
        </w:tc>
        <w:tc>
          <w:tcPr>
            <w:tcW w:w="3117" w:type="dxa"/>
            <w:shd w:val="clear" w:color="auto" w:fill="BDD6EE" w:themeFill="accent1" w:themeFillTint="66"/>
          </w:tcPr>
          <w:p w:rsidR="00E071B7" w:rsidRPr="0019674E" w:rsidRDefault="00E071B7" w:rsidP="00AF2F70">
            <w:pPr>
              <w:pStyle w:val="ListParagraph"/>
              <w:numPr>
                <w:ilvl w:val="0"/>
                <w:numId w:val="1"/>
              </w:numPr>
              <w:snapToGrid w:val="0"/>
              <w:spacing w:before="40"/>
              <w:contextualSpacing w:val="0"/>
              <w:rPr>
                <w:sz w:val="20"/>
                <w:szCs w:val="20"/>
              </w:rPr>
            </w:pPr>
            <w:r w:rsidRPr="0019674E">
              <w:rPr>
                <w:sz w:val="20"/>
                <w:szCs w:val="20"/>
              </w:rPr>
              <w:t>Control Environment</w:t>
            </w:r>
          </w:p>
          <w:p w:rsidR="00E071B7" w:rsidRPr="0019674E" w:rsidRDefault="00E071B7" w:rsidP="00AF2F70">
            <w:pPr>
              <w:pStyle w:val="ListParagraph"/>
              <w:numPr>
                <w:ilvl w:val="0"/>
                <w:numId w:val="1"/>
              </w:numPr>
              <w:snapToGrid w:val="0"/>
              <w:contextualSpacing w:val="0"/>
              <w:rPr>
                <w:sz w:val="20"/>
                <w:szCs w:val="20"/>
              </w:rPr>
            </w:pPr>
            <w:r w:rsidRPr="0019674E">
              <w:rPr>
                <w:sz w:val="20"/>
                <w:szCs w:val="20"/>
              </w:rPr>
              <w:t>Control activities</w:t>
            </w:r>
          </w:p>
          <w:p w:rsidR="00E071B7" w:rsidRPr="0019674E" w:rsidRDefault="00E071B7" w:rsidP="00AF2F70">
            <w:pPr>
              <w:pStyle w:val="ListParagraph"/>
              <w:numPr>
                <w:ilvl w:val="0"/>
                <w:numId w:val="1"/>
              </w:numPr>
              <w:snapToGrid w:val="0"/>
              <w:contextualSpacing w:val="0"/>
              <w:rPr>
                <w:sz w:val="20"/>
                <w:szCs w:val="20"/>
              </w:rPr>
            </w:pPr>
            <w:r w:rsidRPr="0019674E">
              <w:rPr>
                <w:sz w:val="20"/>
                <w:szCs w:val="20"/>
              </w:rPr>
              <w:t>Risk assessment</w:t>
            </w:r>
          </w:p>
          <w:p w:rsidR="00E071B7" w:rsidRPr="0019674E" w:rsidRDefault="00E071B7" w:rsidP="00AF2F70">
            <w:pPr>
              <w:pStyle w:val="ListParagraph"/>
              <w:numPr>
                <w:ilvl w:val="0"/>
                <w:numId w:val="1"/>
              </w:numPr>
              <w:snapToGrid w:val="0"/>
              <w:spacing w:after="40"/>
              <w:contextualSpacing w:val="0"/>
              <w:rPr>
                <w:sz w:val="20"/>
                <w:szCs w:val="20"/>
              </w:rPr>
            </w:pPr>
            <w:r w:rsidRPr="0019674E">
              <w:rPr>
                <w:sz w:val="20"/>
                <w:szCs w:val="20"/>
              </w:rPr>
              <w:t xml:space="preserve">Monitoring </w:t>
            </w:r>
          </w:p>
        </w:tc>
        <w:tc>
          <w:tcPr>
            <w:tcW w:w="3117" w:type="dxa"/>
            <w:shd w:val="clear" w:color="auto" w:fill="BDD6EE" w:themeFill="accent1" w:themeFillTint="66"/>
          </w:tcPr>
          <w:p w:rsidR="00E071B7" w:rsidRPr="0019674E" w:rsidRDefault="00E071B7" w:rsidP="00AF2F70">
            <w:pPr>
              <w:pStyle w:val="ListParagraph"/>
              <w:numPr>
                <w:ilvl w:val="0"/>
                <w:numId w:val="2"/>
              </w:numPr>
              <w:snapToGrid w:val="0"/>
              <w:spacing w:before="40"/>
              <w:ind w:left="317" w:hanging="284"/>
              <w:contextualSpacing w:val="0"/>
              <w:jc w:val="both"/>
              <w:rPr>
                <w:sz w:val="20"/>
                <w:szCs w:val="20"/>
              </w:rPr>
            </w:pPr>
            <w:r w:rsidRPr="0019674E">
              <w:rPr>
                <w:sz w:val="20"/>
                <w:szCs w:val="20"/>
              </w:rPr>
              <w:t>Procurement</w:t>
            </w:r>
          </w:p>
          <w:p w:rsidR="00E071B7" w:rsidRPr="0019674E" w:rsidRDefault="00E071B7" w:rsidP="00AF2F70">
            <w:pPr>
              <w:pStyle w:val="ListParagraph"/>
              <w:numPr>
                <w:ilvl w:val="0"/>
                <w:numId w:val="2"/>
              </w:numPr>
              <w:snapToGrid w:val="0"/>
              <w:ind w:left="317" w:hanging="284"/>
              <w:contextualSpacing w:val="0"/>
              <w:jc w:val="both"/>
              <w:rPr>
                <w:sz w:val="20"/>
                <w:szCs w:val="20"/>
              </w:rPr>
            </w:pPr>
            <w:r w:rsidRPr="0019674E">
              <w:rPr>
                <w:sz w:val="20"/>
                <w:szCs w:val="20"/>
              </w:rPr>
              <w:t>ITU’s staff</w:t>
            </w:r>
          </w:p>
          <w:p w:rsidR="00E071B7" w:rsidRPr="0019674E" w:rsidRDefault="00E071B7" w:rsidP="00AF2F70">
            <w:pPr>
              <w:pStyle w:val="ListParagraph"/>
              <w:numPr>
                <w:ilvl w:val="0"/>
                <w:numId w:val="2"/>
              </w:numPr>
              <w:snapToGrid w:val="0"/>
              <w:spacing w:after="40"/>
              <w:ind w:left="317" w:hanging="284"/>
              <w:contextualSpacing w:val="0"/>
              <w:jc w:val="both"/>
              <w:rPr>
                <w:sz w:val="20"/>
                <w:szCs w:val="20"/>
              </w:rPr>
            </w:pPr>
            <w:r w:rsidRPr="0019674E">
              <w:rPr>
                <w:sz w:val="20"/>
                <w:szCs w:val="20"/>
              </w:rPr>
              <w:t>Membership</w:t>
            </w:r>
            <w:r>
              <w:rPr>
                <w:sz w:val="20"/>
                <w:szCs w:val="20"/>
              </w:rPr>
              <w:t xml:space="preserve"> &amp; other users of ITU services</w:t>
            </w:r>
          </w:p>
        </w:tc>
      </w:tr>
    </w:tbl>
    <w:p w:rsidR="00E071B7" w:rsidRPr="00692FED" w:rsidRDefault="00A94A72" w:rsidP="00CF7EE7">
      <w:pPr>
        <w:keepNext/>
        <w:keepLines/>
        <w:adjustRightInd w:val="0"/>
        <w:snapToGrid w:val="0"/>
        <w:spacing w:before="240" w:after="120" w:line="240" w:lineRule="auto"/>
        <w:jc w:val="both"/>
        <w:rPr>
          <w:sz w:val="24"/>
          <w:szCs w:val="24"/>
        </w:rPr>
      </w:pPr>
      <w:r>
        <w:rPr>
          <w:sz w:val="24"/>
          <w:szCs w:val="24"/>
        </w:rPr>
        <w:lastRenderedPageBreak/>
        <w:t>6</w:t>
      </w:r>
      <w:r w:rsidR="00B51844" w:rsidRPr="00692FED">
        <w:rPr>
          <w:sz w:val="24"/>
          <w:szCs w:val="24"/>
        </w:rPr>
        <w:t>.</w:t>
      </w:r>
      <w:r w:rsidR="00B51844" w:rsidRPr="00692FED">
        <w:rPr>
          <w:sz w:val="24"/>
          <w:szCs w:val="24"/>
        </w:rPr>
        <w:tab/>
      </w:r>
      <w:r w:rsidR="00E071B7" w:rsidRPr="00692FED">
        <w:rPr>
          <w:sz w:val="24"/>
          <w:szCs w:val="24"/>
        </w:rPr>
        <w:t xml:space="preserve">This framework </w:t>
      </w:r>
      <w:r w:rsidR="00B24679" w:rsidRPr="00692FED">
        <w:rPr>
          <w:sz w:val="24"/>
          <w:szCs w:val="24"/>
        </w:rPr>
        <w:t>seeks to</w:t>
      </w:r>
      <w:r w:rsidR="00E071B7" w:rsidRPr="00692FED">
        <w:rPr>
          <w:sz w:val="24"/>
          <w:szCs w:val="24"/>
        </w:rPr>
        <w:t xml:space="preserve"> strengthen a culture of accountability and transparency across the Union</w:t>
      </w:r>
      <w:r w:rsidR="00B51844" w:rsidRPr="00692FED">
        <w:rPr>
          <w:sz w:val="24"/>
          <w:szCs w:val="24"/>
        </w:rPr>
        <w:t>,</w:t>
      </w:r>
      <w:r w:rsidR="00E071B7" w:rsidRPr="00692FED">
        <w:rPr>
          <w:sz w:val="24"/>
          <w:szCs w:val="24"/>
        </w:rPr>
        <w:t xml:space="preserve"> based on</w:t>
      </w:r>
      <w:r w:rsidR="00605073">
        <w:rPr>
          <w:sz w:val="24"/>
          <w:szCs w:val="24"/>
        </w:rPr>
        <w:t>:</w:t>
      </w:r>
      <w:r w:rsidR="00E071B7" w:rsidRPr="00692FED">
        <w:rPr>
          <w:sz w:val="24"/>
          <w:szCs w:val="24"/>
        </w:rPr>
        <w:t xml:space="preserve"> </w:t>
      </w:r>
      <w:r w:rsidR="002904A0" w:rsidRPr="00692FED">
        <w:rPr>
          <w:sz w:val="24"/>
          <w:szCs w:val="24"/>
        </w:rPr>
        <w:t xml:space="preserve">a </w:t>
      </w:r>
      <w:r w:rsidR="00E071B7" w:rsidRPr="00692FED">
        <w:rPr>
          <w:sz w:val="24"/>
          <w:szCs w:val="24"/>
        </w:rPr>
        <w:t>clear orientation by Member States</w:t>
      </w:r>
      <w:r w:rsidR="007C79D6" w:rsidRPr="00692FED">
        <w:rPr>
          <w:sz w:val="24"/>
          <w:szCs w:val="24"/>
        </w:rPr>
        <w:t>;</w:t>
      </w:r>
      <w:r w:rsidR="00396E73" w:rsidRPr="00692FED">
        <w:rPr>
          <w:sz w:val="24"/>
          <w:szCs w:val="24"/>
        </w:rPr>
        <w:t xml:space="preserve"> proper </w:t>
      </w:r>
      <w:r w:rsidR="007C79D6" w:rsidRPr="00692FED">
        <w:rPr>
          <w:sz w:val="24"/>
          <w:szCs w:val="24"/>
        </w:rPr>
        <w:t>implementation (planning, managing</w:t>
      </w:r>
      <w:r w:rsidR="00396E73" w:rsidRPr="00692FED">
        <w:rPr>
          <w:sz w:val="24"/>
          <w:szCs w:val="24"/>
        </w:rPr>
        <w:t xml:space="preserve"> and reporting</w:t>
      </w:r>
      <w:r w:rsidR="007C79D6" w:rsidRPr="00692FED">
        <w:rPr>
          <w:sz w:val="24"/>
          <w:szCs w:val="24"/>
        </w:rPr>
        <w:t>)</w:t>
      </w:r>
      <w:r w:rsidR="00396E73" w:rsidRPr="00692FED">
        <w:rPr>
          <w:sz w:val="24"/>
          <w:szCs w:val="24"/>
        </w:rPr>
        <w:t xml:space="preserve"> by th</w:t>
      </w:r>
      <w:r w:rsidR="007C79D6" w:rsidRPr="00692FED">
        <w:rPr>
          <w:sz w:val="24"/>
          <w:szCs w:val="24"/>
        </w:rPr>
        <w:t>e Secretariat;</w:t>
      </w:r>
      <w:r w:rsidR="00407177" w:rsidRPr="00692FED">
        <w:rPr>
          <w:sz w:val="24"/>
          <w:szCs w:val="24"/>
        </w:rPr>
        <w:t xml:space="preserve"> adequate</w:t>
      </w:r>
      <w:r w:rsidR="003E20A5" w:rsidRPr="00692FED">
        <w:rPr>
          <w:sz w:val="24"/>
          <w:szCs w:val="24"/>
        </w:rPr>
        <w:t xml:space="preserve"> </w:t>
      </w:r>
      <w:r w:rsidR="00407177" w:rsidRPr="00692FED">
        <w:rPr>
          <w:sz w:val="24"/>
          <w:szCs w:val="24"/>
        </w:rPr>
        <w:t xml:space="preserve">internal </w:t>
      </w:r>
      <w:r w:rsidR="007C79D6" w:rsidRPr="00692FED">
        <w:rPr>
          <w:sz w:val="24"/>
          <w:szCs w:val="24"/>
        </w:rPr>
        <w:t>and external controls/oversight;</w:t>
      </w:r>
      <w:r w:rsidR="00407177" w:rsidRPr="00692FED">
        <w:rPr>
          <w:sz w:val="24"/>
          <w:szCs w:val="24"/>
        </w:rPr>
        <w:t xml:space="preserve"> </w:t>
      </w:r>
      <w:r w:rsidR="003E20A5" w:rsidRPr="00692FED">
        <w:rPr>
          <w:sz w:val="24"/>
          <w:szCs w:val="24"/>
        </w:rPr>
        <w:t xml:space="preserve">and </w:t>
      </w:r>
      <w:r w:rsidR="00247546" w:rsidRPr="00692FED">
        <w:rPr>
          <w:sz w:val="24"/>
          <w:szCs w:val="24"/>
        </w:rPr>
        <w:t xml:space="preserve">the corresponding </w:t>
      </w:r>
      <w:r w:rsidR="003E20A5" w:rsidRPr="00692FED">
        <w:rPr>
          <w:sz w:val="24"/>
          <w:szCs w:val="24"/>
        </w:rPr>
        <w:t>complaints and response mechanisms</w:t>
      </w:r>
      <w:r w:rsidR="00E071B7" w:rsidRPr="00692FED">
        <w:rPr>
          <w:sz w:val="24"/>
          <w:szCs w:val="24"/>
        </w:rPr>
        <w:t>.</w:t>
      </w:r>
    </w:p>
    <w:p w:rsidR="00AE154C" w:rsidRPr="00692FED" w:rsidRDefault="00A94A72" w:rsidP="00A94A72">
      <w:pPr>
        <w:adjustRightInd w:val="0"/>
        <w:snapToGrid w:val="0"/>
        <w:spacing w:before="120" w:after="120" w:line="240" w:lineRule="auto"/>
        <w:jc w:val="both"/>
        <w:rPr>
          <w:sz w:val="24"/>
          <w:szCs w:val="24"/>
        </w:rPr>
      </w:pPr>
      <w:r>
        <w:rPr>
          <w:sz w:val="24"/>
          <w:szCs w:val="24"/>
        </w:rPr>
        <w:t>7.</w:t>
      </w:r>
      <w:r w:rsidR="00AE154C" w:rsidRPr="00692FED">
        <w:rPr>
          <w:sz w:val="24"/>
          <w:szCs w:val="24"/>
        </w:rPr>
        <w:tab/>
        <w:t>ITU’s AF adopts five key principles that help describe and guide a culture of accountability (</w:t>
      </w:r>
      <w:r w:rsidR="002904A0" w:rsidRPr="00692FED">
        <w:rPr>
          <w:sz w:val="24"/>
          <w:szCs w:val="24"/>
        </w:rPr>
        <w:t xml:space="preserve">in line with the </w:t>
      </w:r>
      <w:r w:rsidR="00AE154C" w:rsidRPr="00692FED">
        <w:rPr>
          <w:sz w:val="24"/>
          <w:szCs w:val="24"/>
        </w:rPr>
        <w:t>JIU report)</w:t>
      </w:r>
      <w:r w:rsidR="00D638C7" w:rsidRPr="00692FED">
        <w:rPr>
          <w:sz w:val="24"/>
          <w:szCs w:val="24"/>
        </w:rPr>
        <w:t xml:space="preserve"> and aims </w:t>
      </w:r>
      <w:proofErr w:type="gramStart"/>
      <w:r w:rsidR="00D638C7" w:rsidRPr="00692FED">
        <w:rPr>
          <w:sz w:val="24"/>
          <w:szCs w:val="24"/>
        </w:rPr>
        <w:t>to fully implement</w:t>
      </w:r>
      <w:proofErr w:type="gramEnd"/>
      <w:r w:rsidR="00D638C7" w:rsidRPr="00692FED">
        <w:rPr>
          <w:sz w:val="24"/>
          <w:szCs w:val="24"/>
        </w:rPr>
        <w:t xml:space="preserve"> </w:t>
      </w:r>
      <w:r w:rsidR="00ED1027" w:rsidRPr="00692FED">
        <w:rPr>
          <w:sz w:val="24"/>
          <w:szCs w:val="24"/>
        </w:rPr>
        <w:t>them</w:t>
      </w:r>
      <w:r w:rsidR="00D638C7" w:rsidRPr="00692FED">
        <w:rPr>
          <w:sz w:val="24"/>
          <w:szCs w:val="24"/>
        </w:rPr>
        <w:t xml:space="preserve"> in the Union</w:t>
      </w:r>
      <w:r w:rsidR="006F03A9" w:rsidRPr="00692FED">
        <w:rPr>
          <w:sz w:val="24"/>
          <w:szCs w:val="24"/>
        </w:rPr>
        <w:t>,</w:t>
      </w:r>
      <w:r w:rsidR="000258FA" w:rsidRPr="00692FED">
        <w:rPr>
          <w:sz w:val="24"/>
          <w:szCs w:val="24"/>
        </w:rPr>
        <w:t xml:space="preserve"> </w:t>
      </w:r>
      <w:r w:rsidR="00AE154C" w:rsidRPr="00692FED">
        <w:rPr>
          <w:sz w:val="24"/>
          <w:szCs w:val="24"/>
        </w:rPr>
        <w:t>as follows:</w:t>
      </w:r>
    </w:p>
    <w:p w:rsidR="00AE154C" w:rsidRPr="00692FED" w:rsidRDefault="00AE154C" w:rsidP="00605073">
      <w:pPr>
        <w:pStyle w:val="ListParagraph"/>
        <w:numPr>
          <w:ilvl w:val="0"/>
          <w:numId w:val="11"/>
        </w:numPr>
        <w:adjustRightInd w:val="0"/>
        <w:snapToGrid w:val="0"/>
        <w:spacing w:before="120" w:after="120" w:line="240" w:lineRule="auto"/>
        <w:ind w:left="709" w:hanging="349"/>
        <w:contextualSpacing w:val="0"/>
        <w:jc w:val="both"/>
        <w:rPr>
          <w:sz w:val="24"/>
          <w:szCs w:val="24"/>
        </w:rPr>
      </w:pPr>
      <w:r w:rsidRPr="00692FED">
        <w:rPr>
          <w:sz w:val="24"/>
          <w:szCs w:val="24"/>
        </w:rPr>
        <w:t xml:space="preserve">Leading by values and examples </w:t>
      </w:r>
      <w:r w:rsidR="00605073">
        <w:rPr>
          <w:sz w:val="24"/>
          <w:szCs w:val="24"/>
        </w:rPr>
        <w:t>–</w:t>
      </w:r>
      <w:r w:rsidRPr="00692FED">
        <w:rPr>
          <w:sz w:val="24"/>
          <w:szCs w:val="24"/>
        </w:rPr>
        <w:t xml:space="preserve"> accountability as a top priority in day-to</w:t>
      </w:r>
      <w:r w:rsidR="00605073">
        <w:rPr>
          <w:sz w:val="24"/>
          <w:szCs w:val="24"/>
        </w:rPr>
        <w:t>-</w:t>
      </w:r>
      <w:r w:rsidRPr="00692FED">
        <w:rPr>
          <w:sz w:val="24"/>
          <w:szCs w:val="24"/>
        </w:rPr>
        <w:t>day operation and evidenced by high standards of integrity of senior management.</w:t>
      </w:r>
    </w:p>
    <w:p w:rsidR="00AE154C" w:rsidRPr="00692FED" w:rsidRDefault="00AE154C" w:rsidP="00605073">
      <w:pPr>
        <w:pStyle w:val="ListParagraph"/>
        <w:numPr>
          <w:ilvl w:val="0"/>
          <w:numId w:val="11"/>
        </w:numPr>
        <w:adjustRightInd w:val="0"/>
        <w:snapToGrid w:val="0"/>
        <w:spacing w:before="120" w:after="120" w:line="240" w:lineRule="auto"/>
        <w:ind w:left="709" w:hanging="349"/>
        <w:contextualSpacing w:val="0"/>
        <w:jc w:val="both"/>
        <w:rPr>
          <w:sz w:val="24"/>
          <w:szCs w:val="24"/>
        </w:rPr>
      </w:pPr>
      <w:r w:rsidRPr="00692FED">
        <w:rPr>
          <w:sz w:val="24"/>
          <w:szCs w:val="24"/>
        </w:rPr>
        <w:t xml:space="preserve">Leading by information and communication </w:t>
      </w:r>
      <w:r w:rsidR="00605073">
        <w:rPr>
          <w:sz w:val="24"/>
          <w:szCs w:val="24"/>
        </w:rPr>
        <w:t>–</w:t>
      </w:r>
      <w:r w:rsidRPr="00692FED">
        <w:rPr>
          <w:sz w:val="24"/>
          <w:szCs w:val="24"/>
        </w:rPr>
        <w:t xml:space="preserve"> accountability through transparent decision-making.</w:t>
      </w:r>
    </w:p>
    <w:p w:rsidR="00AE154C" w:rsidRPr="00692FED" w:rsidRDefault="00AE154C" w:rsidP="00605073">
      <w:pPr>
        <w:pStyle w:val="ListParagraph"/>
        <w:numPr>
          <w:ilvl w:val="0"/>
          <w:numId w:val="11"/>
        </w:numPr>
        <w:adjustRightInd w:val="0"/>
        <w:snapToGrid w:val="0"/>
        <w:spacing w:before="120" w:after="120" w:line="240" w:lineRule="auto"/>
        <w:ind w:left="709" w:hanging="349"/>
        <w:contextualSpacing w:val="0"/>
        <w:jc w:val="both"/>
        <w:rPr>
          <w:sz w:val="24"/>
          <w:szCs w:val="24"/>
        </w:rPr>
      </w:pPr>
      <w:r w:rsidRPr="00692FED">
        <w:rPr>
          <w:sz w:val="24"/>
          <w:szCs w:val="24"/>
        </w:rPr>
        <w:t xml:space="preserve">Leading by motivation </w:t>
      </w:r>
      <w:r w:rsidR="00605073">
        <w:rPr>
          <w:sz w:val="24"/>
          <w:szCs w:val="24"/>
        </w:rPr>
        <w:t>–</w:t>
      </w:r>
      <w:r w:rsidRPr="00692FED">
        <w:rPr>
          <w:sz w:val="24"/>
          <w:szCs w:val="24"/>
        </w:rPr>
        <w:t xml:space="preserve"> accountability through recognition of staff achievements.</w:t>
      </w:r>
    </w:p>
    <w:p w:rsidR="00AE154C" w:rsidRPr="00692FED" w:rsidRDefault="00AE154C" w:rsidP="00605073">
      <w:pPr>
        <w:pStyle w:val="ListParagraph"/>
        <w:numPr>
          <w:ilvl w:val="0"/>
          <w:numId w:val="11"/>
        </w:numPr>
        <w:adjustRightInd w:val="0"/>
        <w:snapToGrid w:val="0"/>
        <w:spacing w:before="120" w:after="120" w:line="240" w:lineRule="auto"/>
        <w:ind w:left="709" w:hanging="349"/>
        <w:contextualSpacing w:val="0"/>
        <w:jc w:val="both"/>
        <w:rPr>
          <w:sz w:val="24"/>
          <w:szCs w:val="24"/>
        </w:rPr>
      </w:pPr>
      <w:r w:rsidRPr="00692FED">
        <w:rPr>
          <w:sz w:val="24"/>
          <w:szCs w:val="24"/>
        </w:rPr>
        <w:t xml:space="preserve">Leading by guidance and discipline </w:t>
      </w:r>
      <w:r w:rsidR="00605073">
        <w:rPr>
          <w:sz w:val="24"/>
          <w:szCs w:val="24"/>
        </w:rPr>
        <w:t>–</w:t>
      </w:r>
      <w:r w:rsidRPr="00692FED">
        <w:rPr>
          <w:sz w:val="24"/>
          <w:szCs w:val="24"/>
        </w:rPr>
        <w:t xml:space="preserve"> a zero-tolerance policy for unacceptable </w:t>
      </w:r>
      <w:r w:rsidR="00965277" w:rsidRPr="00692FED">
        <w:rPr>
          <w:sz w:val="24"/>
          <w:szCs w:val="24"/>
        </w:rPr>
        <w:t>behavior</w:t>
      </w:r>
      <w:r w:rsidRPr="00692FED">
        <w:rPr>
          <w:sz w:val="24"/>
          <w:szCs w:val="24"/>
        </w:rPr>
        <w:t xml:space="preserve"> at all levels.</w:t>
      </w:r>
    </w:p>
    <w:p w:rsidR="00AE154C" w:rsidRPr="00692FED" w:rsidRDefault="00605073" w:rsidP="00605073">
      <w:pPr>
        <w:pStyle w:val="ListParagraph"/>
        <w:numPr>
          <w:ilvl w:val="0"/>
          <w:numId w:val="11"/>
        </w:numPr>
        <w:adjustRightInd w:val="0"/>
        <w:snapToGrid w:val="0"/>
        <w:spacing w:before="120" w:after="120" w:line="240" w:lineRule="auto"/>
        <w:ind w:left="709" w:hanging="349"/>
        <w:contextualSpacing w:val="0"/>
        <w:jc w:val="both"/>
        <w:rPr>
          <w:sz w:val="24"/>
          <w:szCs w:val="24"/>
        </w:rPr>
      </w:pPr>
      <w:r>
        <w:rPr>
          <w:sz w:val="24"/>
          <w:szCs w:val="24"/>
        </w:rPr>
        <w:t>Leading by participation –</w:t>
      </w:r>
      <w:r w:rsidR="00AE154C" w:rsidRPr="00692FED">
        <w:rPr>
          <w:sz w:val="24"/>
          <w:szCs w:val="24"/>
        </w:rPr>
        <w:t xml:space="preserve"> an open dialogue </w:t>
      </w:r>
      <w:r w:rsidR="002904A0" w:rsidRPr="00692FED">
        <w:rPr>
          <w:sz w:val="24"/>
          <w:szCs w:val="24"/>
        </w:rPr>
        <w:t>to</w:t>
      </w:r>
      <w:r w:rsidR="00AE154C" w:rsidRPr="00692FED">
        <w:rPr>
          <w:sz w:val="24"/>
          <w:szCs w:val="24"/>
        </w:rPr>
        <w:t xml:space="preserve"> encourage mutual accountability.</w:t>
      </w:r>
    </w:p>
    <w:p w:rsidR="00EA0305" w:rsidRPr="00692FED" w:rsidRDefault="00EA0305" w:rsidP="00AF2F70">
      <w:pPr>
        <w:pStyle w:val="Heading3"/>
        <w:keepNext w:val="0"/>
        <w:keepLines w:val="0"/>
        <w:adjustRightInd w:val="0"/>
        <w:snapToGrid w:val="0"/>
        <w:spacing w:before="360" w:after="120" w:line="240" w:lineRule="auto"/>
        <w:rPr>
          <w:b/>
          <w:bCs/>
          <w:color w:val="auto"/>
        </w:rPr>
      </w:pPr>
      <w:r w:rsidRPr="00692FED">
        <w:rPr>
          <w:b/>
          <w:bCs/>
          <w:color w:val="auto"/>
        </w:rPr>
        <w:t xml:space="preserve">IV. Pillars of </w:t>
      </w:r>
      <w:r w:rsidR="00974B46" w:rsidRPr="00692FED">
        <w:rPr>
          <w:b/>
          <w:bCs/>
          <w:color w:val="auto"/>
        </w:rPr>
        <w:t xml:space="preserve">the </w:t>
      </w:r>
      <w:r w:rsidRPr="00692FED">
        <w:rPr>
          <w:b/>
          <w:bCs/>
          <w:color w:val="auto"/>
        </w:rPr>
        <w:t>ITU A</w:t>
      </w:r>
      <w:r w:rsidR="008A087C" w:rsidRPr="00692FED">
        <w:rPr>
          <w:b/>
          <w:bCs/>
          <w:color w:val="auto"/>
        </w:rPr>
        <w:t xml:space="preserve">ccountability </w:t>
      </w:r>
      <w:r w:rsidRPr="00692FED">
        <w:rPr>
          <w:b/>
          <w:bCs/>
          <w:color w:val="auto"/>
        </w:rPr>
        <w:t>F</w:t>
      </w:r>
      <w:r w:rsidR="008A087C" w:rsidRPr="00692FED">
        <w:rPr>
          <w:b/>
          <w:bCs/>
          <w:color w:val="auto"/>
        </w:rPr>
        <w:t>ramework</w:t>
      </w:r>
    </w:p>
    <w:p w:rsidR="00071E2C" w:rsidRPr="00692FED" w:rsidRDefault="00071E2C" w:rsidP="00AF2F70">
      <w:pPr>
        <w:pStyle w:val="Heading3"/>
        <w:keepNext w:val="0"/>
        <w:keepLines w:val="0"/>
        <w:adjustRightInd w:val="0"/>
        <w:snapToGrid w:val="0"/>
        <w:spacing w:before="120" w:after="120" w:line="240" w:lineRule="auto"/>
        <w:rPr>
          <w:b/>
          <w:bCs/>
          <w:color w:val="auto"/>
        </w:rPr>
      </w:pPr>
      <w:r w:rsidRPr="00692FED">
        <w:rPr>
          <w:b/>
          <w:bCs/>
          <w:color w:val="auto"/>
        </w:rPr>
        <w:t>Pillar 1 - Covenant with Member States, Sector Members, Associates, Academia, and users of ITU’s services</w:t>
      </w:r>
    </w:p>
    <w:p w:rsidR="00F76951" w:rsidRPr="00692FED" w:rsidRDefault="00A94A72" w:rsidP="00A94A72">
      <w:pPr>
        <w:adjustRightInd w:val="0"/>
        <w:snapToGrid w:val="0"/>
        <w:spacing w:before="120" w:after="120" w:line="240" w:lineRule="auto"/>
        <w:jc w:val="both"/>
        <w:rPr>
          <w:sz w:val="24"/>
          <w:szCs w:val="24"/>
        </w:rPr>
      </w:pPr>
      <w:r>
        <w:rPr>
          <w:sz w:val="24"/>
          <w:szCs w:val="24"/>
        </w:rPr>
        <w:t>8</w:t>
      </w:r>
      <w:r w:rsidR="007C79D6" w:rsidRPr="00692FED">
        <w:rPr>
          <w:sz w:val="24"/>
          <w:szCs w:val="24"/>
        </w:rPr>
        <w:t>.</w:t>
      </w:r>
      <w:r w:rsidR="007C79D6" w:rsidRPr="00692FED">
        <w:rPr>
          <w:sz w:val="24"/>
          <w:szCs w:val="24"/>
        </w:rPr>
        <w:tab/>
      </w:r>
      <w:r w:rsidR="00537DA4" w:rsidRPr="00692FED">
        <w:rPr>
          <w:sz w:val="24"/>
          <w:szCs w:val="24"/>
        </w:rPr>
        <w:t xml:space="preserve">The first pillar of ITU’s AF </w:t>
      </w:r>
      <w:r w:rsidR="00B94850" w:rsidRPr="00692FED">
        <w:rPr>
          <w:sz w:val="24"/>
          <w:szCs w:val="24"/>
        </w:rPr>
        <w:t xml:space="preserve">relies on </w:t>
      </w:r>
      <w:r w:rsidR="00DC128E">
        <w:rPr>
          <w:sz w:val="24"/>
          <w:szCs w:val="24"/>
        </w:rPr>
        <w:t>mutual accountability –</w:t>
      </w:r>
      <w:r w:rsidR="00F669A9" w:rsidRPr="00692FED">
        <w:rPr>
          <w:sz w:val="24"/>
          <w:szCs w:val="24"/>
        </w:rPr>
        <w:t xml:space="preserve"> the </w:t>
      </w:r>
      <w:r w:rsidR="00537DA4" w:rsidRPr="00692FED">
        <w:rPr>
          <w:sz w:val="24"/>
          <w:szCs w:val="24"/>
        </w:rPr>
        <w:t xml:space="preserve">alliance with </w:t>
      </w:r>
      <w:r w:rsidR="007C79D6" w:rsidRPr="00692FED">
        <w:rPr>
          <w:sz w:val="24"/>
          <w:szCs w:val="24"/>
        </w:rPr>
        <w:t>its membership</w:t>
      </w:r>
      <w:r w:rsidR="00537DA4" w:rsidRPr="00692FED">
        <w:rPr>
          <w:sz w:val="24"/>
          <w:szCs w:val="24"/>
        </w:rPr>
        <w:t>. This a</w:t>
      </w:r>
      <w:r w:rsidR="000F73D4" w:rsidRPr="00692FED">
        <w:rPr>
          <w:sz w:val="24"/>
          <w:szCs w:val="24"/>
        </w:rPr>
        <w:t>greement</w:t>
      </w:r>
      <w:r w:rsidR="00537DA4" w:rsidRPr="00692FED">
        <w:rPr>
          <w:sz w:val="24"/>
          <w:szCs w:val="24"/>
        </w:rPr>
        <w:t xml:space="preserve"> (covenant) is </w:t>
      </w:r>
      <w:r w:rsidR="00407177" w:rsidRPr="00692FED">
        <w:rPr>
          <w:sz w:val="24"/>
          <w:szCs w:val="24"/>
        </w:rPr>
        <w:t>embedded</w:t>
      </w:r>
      <w:r w:rsidR="00537DA4" w:rsidRPr="00692FED">
        <w:rPr>
          <w:sz w:val="24"/>
          <w:szCs w:val="24"/>
        </w:rPr>
        <w:t xml:space="preserve"> in the </w:t>
      </w:r>
      <w:r w:rsidR="00070C6A" w:rsidRPr="00692FED">
        <w:rPr>
          <w:sz w:val="24"/>
          <w:szCs w:val="24"/>
        </w:rPr>
        <w:t>i</w:t>
      </w:r>
      <w:r w:rsidR="00537DA4" w:rsidRPr="00692FED">
        <w:rPr>
          <w:sz w:val="24"/>
          <w:szCs w:val="24"/>
        </w:rPr>
        <w:t>nstruments</w:t>
      </w:r>
      <w:r w:rsidR="00070C6A" w:rsidRPr="00692FED">
        <w:rPr>
          <w:sz w:val="24"/>
          <w:szCs w:val="24"/>
        </w:rPr>
        <w:t xml:space="preserve"> listed below, and is monitored through ITU’s Results framework</w:t>
      </w:r>
      <w:r w:rsidR="00F76951" w:rsidRPr="00692FED">
        <w:rPr>
          <w:sz w:val="24"/>
          <w:szCs w:val="24"/>
        </w:rPr>
        <w:t>:</w:t>
      </w:r>
    </w:p>
    <w:p w:rsidR="00F76951" w:rsidRPr="00692FED" w:rsidRDefault="00F76951" w:rsidP="00AF2F70">
      <w:pPr>
        <w:pStyle w:val="ListParagraph"/>
        <w:numPr>
          <w:ilvl w:val="0"/>
          <w:numId w:val="12"/>
        </w:numPr>
        <w:adjustRightInd w:val="0"/>
        <w:snapToGrid w:val="0"/>
        <w:spacing w:before="120" w:after="120" w:line="240" w:lineRule="auto"/>
        <w:contextualSpacing w:val="0"/>
        <w:jc w:val="both"/>
        <w:rPr>
          <w:sz w:val="24"/>
          <w:szCs w:val="24"/>
        </w:rPr>
      </w:pPr>
      <w:r w:rsidRPr="00692FED">
        <w:rPr>
          <w:sz w:val="24"/>
          <w:szCs w:val="24"/>
        </w:rPr>
        <w:t xml:space="preserve">ITU’s Constitution and Convention as </w:t>
      </w:r>
      <w:r w:rsidR="00AC3C02" w:rsidRPr="00692FED">
        <w:rPr>
          <w:sz w:val="24"/>
          <w:szCs w:val="24"/>
        </w:rPr>
        <w:t>approved</w:t>
      </w:r>
      <w:r w:rsidRPr="00692FED">
        <w:rPr>
          <w:sz w:val="24"/>
          <w:szCs w:val="24"/>
        </w:rPr>
        <w:t xml:space="preserve"> by plenipotentiary conferences</w:t>
      </w:r>
      <w:r w:rsidR="0016664D" w:rsidRPr="00692FED">
        <w:rPr>
          <w:sz w:val="24"/>
          <w:szCs w:val="24"/>
        </w:rPr>
        <w:t xml:space="preserve"> </w:t>
      </w:r>
      <w:r w:rsidR="002210FB" w:rsidRPr="00692FED">
        <w:rPr>
          <w:sz w:val="24"/>
          <w:szCs w:val="24"/>
        </w:rPr>
        <w:t>(PP)</w:t>
      </w:r>
      <w:r w:rsidRPr="00692FED">
        <w:rPr>
          <w:sz w:val="24"/>
          <w:szCs w:val="24"/>
        </w:rPr>
        <w:t xml:space="preserve">; </w:t>
      </w:r>
    </w:p>
    <w:p w:rsidR="00F76951" w:rsidRPr="00692FED" w:rsidRDefault="00F76951" w:rsidP="00AF2F70">
      <w:pPr>
        <w:pStyle w:val="ListParagraph"/>
        <w:numPr>
          <w:ilvl w:val="0"/>
          <w:numId w:val="12"/>
        </w:numPr>
        <w:adjustRightInd w:val="0"/>
        <w:snapToGrid w:val="0"/>
        <w:spacing w:before="120" w:after="120" w:line="240" w:lineRule="auto"/>
        <w:contextualSpacing w:val="0"/>
        <w:jc w:val="both"/>
        <w:rPr>
          <w:sz w:val="24"/>
          <w:szCs w:val="24"/>
        </w:rPr>
      </w:pPr>
      <w:r w:rsidRPr="00692FED">
        <w:rPr>
          <w:sz w:val="24"/>
          <w:szCs w:val="24"/>
        </w:rPr>
        <w:t xml:space="preserve">General Rules of Conferences, Assemblies and Meetings of the Union; </w:t>
      </w:r>
    </w:p>
    <w:p w:rsidR="0074768C" w:rsidRPr="00692FED" w:rsidRDefault="0074768C" w:rsidP="00AF2F70">
      <w:pPr>
        <w:pStyle w:val="ListParagraph"/>
        <w:numPr>
          <w:ilvl w:val="0"/>
          <w:numId w:val="12"/>
        </w:numPr>
        <w:adjustRightInd w:val="0"/>
        <w:snapToGrid w:val="0"/>
        <w:spacing w:before="120" w:after="120" w:line="240" w:lineRule="auto"/>
        <w:contextualSpacing w:val="0"/>
        <w:jc w:val="both"/>
        <w:rPr>
          <w:sz w:val="24"/>
          <w:szCs w:val="24"/>
        </w:rPr>
      </w:pPr>
      <w:r w:rsidRPr="00692FED">
        <w:rPr>
          <w:sz w:val="24"/>
          <w:szCs w:val="24"/>
        </w:rPr>
        <w:t>The Radio Regulation</w:t>
      </w:r>
      <w:r w:rsidR="00292428" w:rsidRPr="00692FED">
        <w:rPr>
          <w:sz w:val="24"/>
          <w:szCs w:val="24"/>
        </w:rPr>
        <w:t>s</w:t>
      </w:r>
      <w:r w:rsidRPr="00692FED">
        <w:rPr>
          <w:sz w:val="24"/>
          <w:szCs w:val="24"/>
        </w:rPr>
        <w:t>;</w:t>
      </w:r>
    </w:p>
    <w:p w:rsidR="0074768C" w:rsidRPr="00692FED" w:rsidRDefault="0074768C" w:rsidP="00AF2F70">
      <w:pPr>
        <w:pStyle w:val="ListParagraph"/>
        <w:numPr>
          <w:ilvl w:val="0"/>
          <w:numId w:val="12"/>
        </w:numPr>
        <w:adjustRightInd w:val="0"/>
        <w:snapToGrid w:val="0"/>
        <w:spacing w:before="120" w:after="120" w:line="240" w:lineRule="auto"/>
        <w:contextualSpacing w:val="0"/>
        <w:jc w:val="both"/>
        <w:rPr>
          <w:sz w:val="24"/>
          <w:szCs w:val="24"/>
        </w:rPr>
      </w:pPr>
      <w:r w:rsidRPr="00692FED">
        <w:rPr>
          <w:sz w:val="24"/>
          <w:szCs w:val="24"/>
        </w:rPr>
        <w:t>The International Telecommunication Regulations;</w:t>
      </w:r>
      <w:r w:rsidR="00E26D21" w:rsidRPr="00692FED">
        <w:rPr>
          <w:sz w:val="24"/>
          <w:szCs w:val="24"/>
        </w:rPr>
        <w:t xml:space="preserve"> and</w:t>
      </w:r>
    </w:p>
    <w:p w:rsidR="00F76951" w:rsidRPr="00692FED" w:rsidRDefault="005160C3" w:rsidP="00AF2F70">
      <w:pPr>
        <w:pStyle w:val="ListParagraph"/>
        <w:numPr>
          <w:ilvl w:val="0"/>
          <w:numId w:val="12"/>
        </w:numPr>
        <w:adjustRightInd w:val="0"/>
        <w:snapToGrid w:val="0"/>
        <w:spacing w:before="120" w:after="120" w:line="240" w:lineRule="auto"/>
        <w:contextualSpacing w:val="0"/>
        <w:jc w:val="both"/>
        <w:rPr>
          <w:sz w:val="24"/>
          <w:szCs w:val="24"/>
        </w:rPr>
      </w:pPr>
      <w:r w:rsidRPr="00692FED">
        <w:rPr>
          <w:sz w:val="24"/>
          <w:szCs w:val="24"/>
        </w:rPr>
        <w:t>PP/Council/</w:t>
      </w:r>
      <w:r w:rsidR="00E26D21" w:rsidRPr="00692FED">
        <w:rPr>
          <w:sz w:val="24"/>
          <w:szCs w:val="24"/>
        </w:rPr>
        <w:t>WCIT/</w:t>
      </w:r>
      <w:r w:rsidRPr="00692FED">
        <w:rPr>
          <w:sz w:val="24"/>
          <w:szCs w:val="24"/>
        </w:rPr>
        <w:t xml:space="preserve">Sector World </w:t>
      </w:r>
      <w:r w:rsidR="0074768C" w:rsidRPr="00692FED">
        <w:rPr>
          <w:sz w:val="24"/>
          <w:szCs w:val="24"/>
        </w:rPr>
        <w:t>Conferences</w:t>
      </w:r>
      <w:r w:rsidR="00E26D21" w:rsidRPr="00692FED">
        <w:rPr>
          <w:sz w:val="24"/>
          <w:szCs w:val="24"/>
        </w:rPr>
        <w:t>/Assemblies</w:t>
      </w:r>
      <w:r w:rsidR="0074768C" w:rsidRPr="00692FED">
        <w:rPr>
          <w:sz w:val="24"/>
          <w:szCs w:val="24"/>
        </w:rPr>
        <w:t xml:space="preserve"> decisions</w:t>
      </w:r>
      <w:r w:rsidR="00F76951" w:rsidRPr="00692FED">
        <w:rPr>
          <w:sz w:val="24"/>
          <w:szCs w:val="24"/>
        </w:rPr>
        <w:t>, r</w:t>
      </w:r>
      <w:r w:rsidR="0074768C" w:rsidRPr="00692FED">
        <w:rPr>
          <w:sz w:val="24"/>
          <w:szCs w:val="24"/>
        </w:rPr>
        <w:t>esolutions and recommendations.</w:t>
      </w:r>
    </w:p>
    <w:p w:rsidR="00FB6AF5" w:rsidRPr="00692FED" w:rsidRDefault="00A94A72" w:rsidP="00A94A72">
      <w:pPr>
        <w:adjustRightInd w:val="0"/>
        <w:snapToGrid w:val="0"/>
        <w:spacing w:before="120" w:after="120" w:line="240" w:lineRule="auto"/>
        <w:jc w:val="both"/>
        <w:rPr>
          <w:sz w:val="24"/>
          <w:szCs w:val="24"/>
        </w:rPr>
      </w:pPr>
      <w:proofErr w:type="gramStart"/>
      <w:r>
        <w:rPr>
          <w:sz w:val="24"/>
          <w:szCs w:val="24"/>
        </w:rPr>
        <w:t>9</w:t>
      </w:r>
      <w:r w:rsidR="007C79D6" w:rsidRPr="00692FED">
        <w:rPr>
          <w:sz w:val="24"/>
          <w:szCs w:val="24"/>
        </w:rPr>
        <w:t>.</w:t>
      </w:r>
      <w:r w:rsidR="007C79D6" w:rsidRPr="00692FED">
        <w:rPr>
          <w:sz w:val="24"/>
          <w:szCs w:val="24"/>
        </w:rPr>
        <w:tab/>
      </w:r>
      <w:r w:rsidR="008A087C" w:rsidRPr="00692FED">
        <w:rPr>
          <w:sz w:val="24"/>
          <w:szCs w:val="24"/>
        </w:rPr>
        <w:t>Based on the Union’s mandate and obligations, a</w:t>
      </w:r>
      <w:r w:rsidR="000F73D4" w:rsidRPr="00692FED">
        <w:rPr>
          <w:sz w:val="24"/>
          <w:szCs w:val="24"/>
        </w:rPr>
        <w:t>n ITU R</w:t>
      </w:r>
      <w:r w:rsidR="008A087C" w:rsidRPr="00692FED">
        <w:rPr>
          <w:sz w:val="24"/>
          <w:szCs w:val="24"/>
        </w:rPr>
        <w:t xml:space="preserve">esults framework composed </w:t>
      </w:r>
      <w:r w:rsidR="002904A0" w:rsidRPr="00692FED">
        <w:rPr>
          <w:sz w:val="24"/>
          <w:szCs w:val="24"/>
        </w:rPr>
        <w:t>of</w:t>
      </w:r>
      <w:r w:rsidR="008A087C" w:rsidRPr="00692FED">
        <w:rPr>
          <w:sz w:val="24"/>
          <w:szCs w:val="24"/>
        </w:rPr>
        <w:t xml:space="preserve"> achievable Goals and </w:t>
      </w:r>
      <w:r w:rsidR="001C1A70" w:rsidRPr="00692FED">
        <w:rPr>
          <w:sz w:val="24"/>
          <w:szCs w:val="24"/>
        </w:rPr>
        <w:t>T</w:t>
      </w:r>
      <w:r w:rsidR="008A087C" w:rsidRPr="00692FED">
        <w:rPr>
          <w:sz w:val="24"/>
          <w:szCs w:val="24"/>
        </w:rPr>
        <w:t xml:space="preserve">argets, common to all components of the Union, and sectoral and intersectoral Objectives/Outcomes, Outputs and Activities, is set forth </w:t>
      </w:r>
      <w:r w:rsidR="001C1A70" w:rsidRPr="00692FED">
        <w:rPr>
          <w:sz w:val="24"/>
          <w:szCs w:val="24"/>
        </w:rPr>
        <w:t xml:space="preserve">in the Strategic Plan for the Union </w:t>
      </w:r>
      <w:r w:rsidR="008A087C" w:rsidRPr="00692FED">
        <w:rPr>
          <w:sz w:val="24"/>
          <w:szCs w:val="24"/>
        </w:rPr>
        <w:t xml:space="preserve">by the membership through </w:t>
      </w:r>
      <w:r w:rsidR="00F669A9" w:rsidRPr="00692FED">
        <w:rPr>
          <w:sz w:val="24"/>
          <w:szCs w:val="24"/>
        </w:rPr>
        <w:t>its</w:t>
      </w:r>
      <w:r w:rsidR="008A087C" w:rsidRPr="00692FED">
        <w:rPr>
          <w:sz w:val="24"/>
          <w:szCs w:val="24"/>
        </w:rPr>
        <w:t xml:space="preserve"> PP and Council, </w:t>
      </w:r>
      <w:r w:rsidR="004A52BE" w:rsidRPr="00692FED">
        <w:rPr>
          <w:sz w:val="24"/>
          <w:szCs w:val="24"/>
        </w:rPr>
        <w:t>with contributions</w:t>
      </w:r>
      <w:r w:rsidR="00F669A9" w:rsidRPr="00692FED">
        <w:rPr>
          <w:sz w:val="24"/>
          <w:szCs w:val="24"/>
        </w:rPr>
        <w:t xml:space="preserve"> by </w:t>
      </w:r>
      <w:r w:rsidR="008A087C" w:rsidRPr="00692FED">
        <w:rPr>
          <w:sz w:val="24"/>
          <w:szCs w:val="24"/>
        </w:rPr>
        <w:t>World</w:t>
      </w:r>
      <w:r w:rsidR="00F669A9" w:rsidRPr="00692FED">
        <w:rPr>
          <w:sz w:val="24"/>
          <w:szCs w:val="24"/>
        </w:rPr>
        <w:t xml:space="preserve"> Conferences, Assemblies </w:t>
      </w:r>
      <w:r w:rsidR="008A087C" w:rsidRPr="00692FED">
        <w:rPr>
          <w:sz w:val="24"/>
          <w:szCs w:val="24"/>
        </w:rPr>
        <w:t>and Advisory groups.</w:t>
      </w:r>
      <w:proofErr w:type="gramEnd"/>
      <w:r w:rsidR="008A087C" w:rsidRPr="00692FED">
        <w:rPr>
          <w:sz w:val="24"/>
          <w:szCs w:val="24"/>
        </w:rPr>
        <w:t xml:space="preserve"> Accountability </w:t>
      </w:r>
      <w:r w:rsidR="002904A0" w:rsidRPr="00692FED">
        <w:rPr>
          <w:sz w:val="24"/>
          <w:szCs w:val="24"/>
        </w:rPr>
        <w:t>for</w:t>
      </w:r>
      <w:r w:rsidR="008A087C" w:rsidRPr="00692FED">
        <w:rPr>
          <w:sz w:val="24"/>
          <w:szCs w:val="24"/>
        </w:rPr>
        <w:t xml:space="preserve"> such achievements </w:t>
      </w:r>
      <w:r w:rsidR="0016664D" w:rsidRPr="00692FED">
        <w:rPr>
          <w:sz w:val="24"/>
          <w:szCs w:val="24"/>
        </w:rPr>
        <w:t>is</w:t>
      </w:r>
      <w:r w:rsidR="008A087C" w:rsidRPr="00692FED">
        <w:rPr>
          <w:sz w:val="24"/>
          <w:szCs w:val="24"/>
        </w:rPr>
        <w:t xml:space="preserve"> implemented </w:t>
      </w:r>
      <w:r w:rsidR="002904A0" w:rsidRPr="00692FED">
        <w:rPr>
          <w:sz w:val="24"/>
          <w:szCs w:val="24"/>
        </w:rPr>
        <w:t>on</w:t>
      </w:r>
      <w:r w:rsidR="008A087C" w:rsidRPr="00692FED">
        <w:rPr>
          <w:sz w:val="24"/>
          <w:szCs w:val="24"/>
        </w:rPr>
        <w:t xml:space="preserve"> a yearly basis through the Operational Plans of the Sectors and the GS, and monitored and reported through the </w:t>
      </w:r>
      <w:r w:rsidR="001C1A70" w:rsidRPr="00692FED">
        <w:rPr>
          <w:sz w:val="24"/>
          <w:szCs w:val="24"/>
        </w:rPr>
        <w:t>Annual R</w:t>
      </w:r>
      <w:r w:rsidR="008A087C" w:rsidRPr="00692FED">
        <w:rPr>
          <w:sz w:val="24"/>
          <w:szCs w:val="24"/>
        </w:rPr>
        <w:t xml:space="preserve">eport on the Implementation of </w:t>
      </w:r>
      <w:r w:rsidR="002904A0" w:rsidRPr="00692FED">
        <w:rPr>
          <w:sz w:val="24"/>
          <w:szCs w:val="24"/>
        </w:rPr>
        <w:t xml:space="preserve">the </w:t>
      </w:r>
      <w:r w:rsidR="008A087C" w:rsidRPr="00692FED">
        <w:rPr>
          <w:sz w:val="24"/>
          <w:szCs w:val="24"/>
        </w:rPr>
        <w:t>Strategic plan, Annual Operating/</w:t>
      </w:r>
      <w:r w:rsidR="00ED1027" w:rsidRPr="00692FED">
        <w:rPr>
          <w:sz w:val="24"/>
          <w:szCs w:val="24"/>
        </w:rPr>
        <w:t>P</w:t>
      </w:r>
      <w:r w:rsidR="008A087C" w:rsidRPr="00692FED">
        <w:rPr>
          <w:sz w:val="24"/>
          <w:szCs w:val="24"/>
        </w:rPr>
        <w:t xml:space="preserve">erformance reports and the State of the Union report. Through the </w:t>
      </w:r>
      <w:r w:rsidR="00ED1027" w:rsidRPr="00692FED">
        <w:rPr>
          <w:sz w:val="24"/>
          <w:szCs w:val="24"/>
        </w:rPr>
        <w:t>R</w:t>
      </w:r>
      <w:r w:rsidR="002904A0" w:rsidRPr="00692FED">
        <w:rPr>
          <w:sz w:val="24"/>
          <w:szCs w:val="24"/>
        </w:rPr>
        <w:t>esults-B</w:t>
      </w:r>
      <w:r w:rsidR="00ED1027" w:rsidRPr="00692FED">
        <w:rPr>
          <w:sz w:val="24"/>
          <w:szCs w:val="24"/>
        </w:rPr>
        <w:t xml:space="preserve">ased-budgeting </w:t>
      </w:r>
      <w:r w:rsidR="008A087C" w:rsidRPr="00692FED">
        <w:rPr>
          <w:sz w:val="24"/>
          <w:szCs w:val="24"/>
        </w:rPr>
        <w:t xml:space="preserve">and </w:t>
      </w:r>
      <w:r w:rsidR="00ED1027" w:rsidRPr="00692FED">
        <w:rPr>
          <w:sz w:val="24"/>
          <w:szCs w:val="24"/>
        </w:rPr>
        <w:t>R</w:t>
      </w:r>
      <w:r w:rsidR="002904A0" w:rsidRPr="00692FED">
        <w:rPr>
          <w:sz w:val="24"/>
          <w:szCs w:val="24"/>
        </w:rPr>
        <w:t xml:space="preserve">esults-based </w:t>
      </w:r>
      <w:r w:rsidR="00ED1027" w:rsidRPr="00692FED">
        <w:rPr>
          <w:sz w:val="24"/>
          <w:szCs w:val="24"/>
        </w:rPr>
        <w:t xml:space="preserve">management </w:t>
      </w:r>
      <w:r w:rsidR="008A087C" w:rsidRPr="00692FED">
        <w:rPr>
          <w:sz w:val="24"/>
          <w:szCs w:val="24"/>
        </w:rPr>
        <w:t xml:space="preserve">results are monitored and reported </w:t>
      </w:r>
      <w:r w:rsidR="00ED1027" w:rsidRPr="00692FED">
        <w:rPr>
          <w:sz w:val="24"/>
          <w:szCs w:val="24"/>
        </w:rPr>
        <w:t xml:space="preserve">to members </w:t>
      </w:r>
      <w:r w:rsidR="008A087C" w:rsidRPr="00692FED">
        <w:rPr>
          <w:sz w:val="24"/>
          <w:szCs w:val="24"/>
        </w:rPr>
        <w:t>for future guidance</w:t>
      </w:r>
      <w:r w:rsidR="001C1A70" w:rsidRPr="00692FED">
        <w:rPr>
          <w:sz w:val="24"/>
          <w:szCs w:val="24"/>
        </w:rPr>
        <w:t>.</w:t>
      </w:r>
    </w:p>
    <w:p w:rsidR="00F76951" w:rsidRPr="00692FED" w:rsidRDefault="00F76951" w:rsidP="00AF2F70">
      <w:pPr>
        <w:pStyle w:val="Heading3"/>
        <w:keepNext w:val="0"/>
        <w:keepLines w:val="0"/>
        <w:adjustRightInd w:val="0"/>
        <w:snapToGrid w:val="0"/>
        <w:spacing w:before="120" w:after="120" w:line="240" w:lineRule="auto"/>
        <w:jc w:val="both"/>
        <w:rPr>
          <w:b/>
          <w:bCs/>
          <w:color w:val="auto"/>
        </w:rPr>
      </w:pPr>
      <w:r w:rsidRPr="00692FED">
        <w:rPr>
          <w:b/>
          <w:bCs/>
          <w:color w:val="auto"/>
        </w:rPr>
        <w:lastRenderedPageBreak/>
        <w:t>Pillar 2 - Risk management and internal controls</w:t>
      </w:r>
    </w:p>
    <w:p w:rsidR="00D75271" w:rsidRPr="00692FED" w:rsidRDefault="008A087C" w:rsidP="00A94A72">
      <w:pPr>
        <w:adjustRightInd w:val="0"/>
        <w:snapToGrid w:val="0"/>
        <w:spacing w:before="120" w:after="120" w:line="240" w:lineRule="auto"/>
        <w:jc w:val="both"/>
        <w:rPr>
          <w:sz w:val="24"/>
          <w:szCs w:val="24"/>
        </w:rPr>
      </w:pPr>
      <w:r w:rsidRPr="00692FED">
        <w:rPr>
          <w:sz w:val="24"/>
          <w:szCs w:val="24"/>
        </w:rPr>
        <w:t>1</w:t>
      </w:r>
      <w:r w:rsidR="00A94A72">
        <w:rPr>
          <w:sz w:val="24"/>
          <w:szCs w:val="24"/>
        </w:rPr>
        <w:t>0</w:t>
      </w:r>
      <w:r w:rsidRPr="00692FED">
        <w:rPr>
          <w:sz w:val="24"/>
          <w:szCs w:val="24"/>
        </w:rPr>
        <w:t>.</w:t>
      </w:r>
      <w:r w:rsidRPr="00692FED">
        <w:rPr>
          <w:sz w:val="24"/>
          <w:szCs w:val="24"/>
        </w:rPr>
        <w:tab/>
        <w:t>This pillar aims to ensure the</w:t>
      </w:r>
      <w:r w:rsidR="005160C3" w:rsidRPr="00692FED">
        <w:rPr>
          <w:sz w:val="24"/>
          <w:szCs w:val="24"/>
        </w:rPr>
        <w:t xml:space="preserve"> </w:t>
      </w:r>
      <w:r w:rsidRPr="00692FED">
        <w:rPr>
          <w:sz w:val="24"/>
          <w:szCs w:val="24"/>
        </w:rPr>
        <w:t>alignment of results</w:t>
      </w:r>
      <w:r w:rsidR="005160C3" w:rsidRPr="00692FED">
        <w:rPr>
          <w:sz w:val="24"/>
          <w:szCs w:val="24"/>
        </w:rPr>
        <w:t xml:space="preserve"> with </w:t>
      </w:r>
      <w:r w:rsidRPr="00692FED">
        <w:rPr>
          <w:sz w:val="24"/>
          <w:szCs w:val="24"/>
        </w:rPr>
        <w:t>ITU</w:t>
      </w:r>
      <w:r w:rsidR="005160C3" w:rsidRPr="00692FED">
        <w:rPr>
          <w:sz w:val="24"/>
          <w:szCs w:val="24"/>
        </w:rPr>
        <w:t>’s policies, rules and regu</w:t>
      </w:r>
      <w:r w:rsidRPr="00692FED">
        <w:rPr>
          <w:sz w:val="24"/>
          <w:szCs w:val="24"/>
        </w:rPr>
        <w:t>lations, as well as ethic</w:t>
      </w:r>
      <w:r w:rsidR="002904A0" w:rsidRPr="00692FED">
        <w:rPr>
          <w:sz w:val="24"/>
          <w:szCs w:val="24"/>
        </w:rPr>
        <w:t>s</w:t>
      </w:r>
      <w:r w:rsidRPr="00692FED">
        <w:rPr>
          <w:sz w:val="24"/>
          <w:szCs w:val="24"/>
        </w:rPr>
        <w:t xml:space="preserve">, </w:t>
      </w:r>
      <w:r w:rsidR="005160C3" w:rsidRPr="00692FED">
        <w:rPr>
          <w:sz w:val="24"/>
          <w:szCs w:val="24"/>
        </w:rPr>
        <w:t>integrity</w:t>
      </w:r>
      <w:r w:rsidR="00DC128E">
        <w:rPr>
          <w:sz w:val="24"/>
          <w:szCs w:val="24"/>
        </w:rPr>
        <w:t>,</w:t>
      </w:r>
      <w:r w:rsidR="005160C3" w:rsidRPr="00692FED">
        <w:rPr>
          <w:sz w:val="24"/>
          <w:szCs w:val="24"/>
        </w:rPr>
        <w:t xml:space="preserve"> </w:t>
      </w:r>
      <w:r w:rsidRPr="00692FED">
        <w:rPr>
          <w:sz w:val="24"/>
          <w:szCs w:val="24"/>
        </w:rPr>
        <w:t xml:space="preserve">and other </w:t>
      </w:r>
      <w:r w:rsidR="005160C3" w:rsidRPr="00692FED">
        <w:rPr>
          <w:sz w:val="24"/>
          <w:szCs w:val="24"/>
        </w:rPr>
        <w:t xml:space="preserve">standards. </w:t>
      </w:r>
    </w:p>
    <w:p w:rsidR="00E328BA" w:rsidRPr="00692FED" w:rsidRDefault="008A087C" w:rsidP="00A94A72">
      <w:pPr>
        <w:adjustRightInd w:val="0"/>
        <w:snapToGrid w:val="0"/>
        <w:spacing w:before="120" w:after="80" w:line="240" w:lineRule="auto"/>
        <w:jc w:val="both"/>
        <w:rPr>
          <w:sz w:val="24"/>
          <w:szCs w:val="24"/>
        </w:rPr>
      </w:pPr>
      <w:r w:rsidRPr="00692FED">
        <w:rPr>
          <w:sz w:val="24"/>
          <w:szCs w:val="24"/>
        </w:rPr>
        <w:t>1</w:t>
      </w:r>
      <w:r w:rsidR="00A94A72">
        <w:rPr>
          <w:sz w:val="24"/>
          <w:szCs w:val="24"/>
        </w:rPr>
        <w:t>1</w:t>
      </w:r>
      <w:r w:rsidRPr="00692FED">
        <w:rPr>
          <w:sz w:val="24"/>
          <w:szCs w:val="24"/>
        </w:rPr>
        <w:t>.</w:t>
      </w:r>
      <w:r w:rsidRPr="00692FED">
        <w:rPr>
          <w:sz w:val="24"/>
          <w:szCs w:val="24"/>
        </w:rPr>
        <w:tab/>
      </w:r>
      <w:r w:rsidR="00E328BA" w:rsidRPr="00692FED">
        <w:rPr>
          <w:sz w:val="24"/>
          <w:szCs w:val="24"/>
        </w:rPr>
        <w:t>Existing components of this Pillar are:</w:t>
      </w:r>
    </w:p>
    <w:p w:rsidR="00E328BA" w:rsidRPr="00692FED" w:rsidRDefault="00E328BA" w:rsidP="00AF2F70">
      <w:pPr>
        <w:pStyle w:val="ListParagraph"/>
        <w:numPr>
          <w:ilvl w:val="0"/>
          <w:numId w:val="13"/>
        </w:numPr>
        <w:adjustRightInd w:val="0"/>
        <w:snapToGrid w:val="0"/>
        <w:spacing w:before="80" w:after="80" w:line="240" w:lineRule="auto"/>
        <w:contextualSpacing w:val="0"/>
        <w:jc w:val="both"/>
        <w:rPr>
          <w:sz w:val="24"/>
          <w:szCs w:val="24"/>
        </w:rPr>
      </w:pPr>
      <w:r w:rsidRPr="00692FED">
        <w:rPr>
          <w:sz w:val="24"/>
          <w:szCs w:val="24"/>
        </w:rPr>
        <w:t>Financial Operating Report including Statem</w:t>
      </w:r>
      <w:r w:rsidR="001C1A70" w:rsidRPr="00692FED">
        <w:rPr>
          <w:sz w:val="24"/>
          <w:szCs w:val="24"/>
        </w:rPr>
        <w:t>ent of the Internal Control (SIC</w:t>
      </w:r>
      <w:r w:rsidRPr="00692FED">
        <w:rPr>
          <w:sz w:val="24"/>
          <w:szCs w:val="24"/>
        </w:rPr>
        <w:t>) and Management Report;</w:t>
      </w:r>
    </w:p>
    <w:p w:rsidR="000C5552" w:rsidRPr="00692FED" w:rsidRDefault="000C5552" w:rsidP="000C5552">
      <w:pPr>
        <w:pStyle w:val="ListParagraph"/>
        <w:numPr>
          <w:ilvl w:val="0"/>
          <w:numId w:val="13"/>
        </w:numPr>
        <w:adjustRightInd w:val="0"/>
        <w:snapToGrid w:val="0"/>
        <w:spacing w:before="80" w:after="120" w:line="240" w:lineRule="auto"/>
        <w:contextualSpacing w:val="0"/>
        <w:jc w:val="both"/>
        <w:rPr>
          <w:sz w:val="24"/>
          <w:szCs w:val="24"/>
        </w:rPr>
      </w:pPr>
      <w:r>
        <w:rPr>
          <w:sz w:val="24"/>
          <w:szCs w:val="24"/>
        </w:rPr>
        <w:t>Outcomes of COCO, MCG, statutory committees and Task Forces</w:t>
      </w:r>
      <w:r w:rsidRPr="00692FED">
        <w:rPr>
          <w:sz w:val="24"/>
          <w:szCs w:val="24"/>
        </w:rPr>
        <w:t>.</w:t>
      </w:r>
    </w:p>
    <w:p w:rsidR="00E328BA" w:rsidRPr="00692FED" w:rsidRDefault="00E328BA" w:rsidP="00AF2F70">
      <w:pPr>
        <w:pStyle w:val="ListParagraph"/>
        <w:numPr>
          <w:ilvl w:val="0"/>
          <w:numId w:val="13"/>
        </w:numPr>
        <w:adjustRightInd w:val="0"/>
        <w:snapToGrid w:val="0"/>
        <w:spacing w:before="80" w:after="80" w:line="240" w:lineRule="auto"/>
        <w:contextualSpacing w:val="0"/>
        <w:jc w:val="both"/>
        <w:rPr>
          <w:sz w:val="24"/>
          <w:szCs w:val="24"/>
        </w:rPr>
      </w:pPr>
      <w:r w:rsidRPr="00692FED">
        <w:rPr>
          <w:sz w:val="24"/>
          <w:szCs w:val="24"/>
        </w:rPr>
        <w:t>Internal Audit Reports;</w:t>
      </w:r>
    </w:p>
    <w:p w:rsidR="00E328BA" w:rsidRPr="00692FED" w:rsidRDefault="00E328BA" w:rsidP="00AF2F70">
      <w:pPr>
        <w:pStyle w:val="ListParagraph"/>
        <w:numPr>
          <w:ilvl w:val="0"/>
          <w:numId w:val="13"/>
        </w:numPr>
        <w:adjustRightInd w:val="0"/>
        <w:snapToGrid w:val="0"/>
        <w:spacing w:before="80" w:after="80" w:line="240" w:lineRule="auto"/>
        <w:contextualSpacing w:val="0"/>
        <w:jc w:val="both"/>
        <w:rPr>
          <w:sz w:val="24"/>
          <w:szCs w:val="24"/>
        </w:rPr>
      </w:pPr>
      <w:r w:rsidRPr="00692FED">
        <w:rPr>
          <w:sz w:val="24"/>
          <w:szCs w:val="24"/>
        </w:rPr>
        <w:t>External Auditors Report;</w:t>
      </w:r>
    </w:p>
    <w:p w:rsidR="00E328BA" w:rsidRPr="00692FED" w:rsidRDefault="00E328BA" w:rsidP="00AF2F70">
      <w:pPr>
        <w:pStyle w:val="ListParagraph"/>
        <w:numPr>
          <w:ilvl w:val="0"/>
          <w:numId w:val="13"/>
        </w:numPr>
        <w:adjustRightInd w:val="0"/>
        <w:snapToGrid w:val="0"/>
        <w:spacing w:before="80" w:after="80" w:line="240" w:lineRule="auto"/>
        <w:contextualSpacing w:val="0"/>
        <w:jc w:val="both"/>
        <w:rPr>
          <w:sz w:val="24"/>
          <w:szCs w:val="24"/>
        </w:rPr>
      </w:pPr>
      <w:r w:rsidRPr="00692FED">
        <w:rPr>
          <w:sz w:val="24"/>
          <w:szCs w:val="24"/>
        </w:rPr>
        <w:t>IMAC R</w:t>
      </w:r>
      <w:r w:rsidR="00604C0D" w:rsidRPr="00692FED">
        <w:rPr>
          <w:sz w:val="24"/>
          <w:szCs w:val="24"/>
        </w:rPr>
        <w:t>eports</w:t>
      </w:r>
      <w:r w:rsidRPr="00692FED">
        <w:rPr>
          <w:sz w:val="24"/>
          <w:szCs w:val="24"/>
        </w:rPr>
        <w:t>;</w:t>
      </w:r>
    </w:p>
    <w:p w:rsidR="000C5552" w:rsidRDefault="000C5552" w:rsidP="000C5552">
      <w:pPr>
        <w:pStyle w:val="ListParagraph"/>
        <w:numPr>
          <w:ilvl w:val="0"/>
          <w:numId w:val="13"/>
        </w:numPr>
        <w:adjustRightInd w:val="0"/>
        <w:snapToGrid w:val="0"/>
        <w:spacing w:before="80" w:after="80" w:line="240" w:lineRule="auto"/>
        <w:contextualSpacing w:val="0"/>
        <w:jc w:val="both"/>
        <w:rPr>
          <w:sz w:val="24"/>
          <w:szCs w:val="24"/>
        </w:rPr>
      </w:pPr>
      <w:r>
        <w:rPr>
          <w:sz w:val="24"/>
          <w:szCs w:val="24"/>
        </w:rPr>
        <w:t>JIU recommendations accepted by the Secretary-General</w:t>
      </w:r>
    </w:p>
    <w:p w:rsidR="00E328BA" w:rsidRPr="00692FED" w:rsidRDefault="00E328BA" w:rsidP="00AF2F70">
      <w:pPr>
        <w:pStyle w:val="ListParagraph"/>
        <w:numPr>
          <w:ilvl w:val="0"/>
          <w:numId w:val="13"/>
        </w:numPr>
        <w:adjustRightInd w:val="0"/>
        <w:snapToGrid w:val="0"/>
        <w:spacing w:before="80" w:after="80" w:line="240" w:lineRule="auto"/>
        <w:contextualSpacing w:val="0"/>
        <w:jc w:val="both"/>
        <w:rPr>
          <w:sz w:val="24"/>
          <w:szCs w:val="24"/>
        </w:rPr>
      </w:pPr>
      <w:r w:rsidRPr="00692FED">
        <w:rPr>
          <w:sz w:val="24"/>
          <w:szCs w:val="24"/>
        </w:rPr>
        <w:t>Risk Management Policy and Appetite statement</w:t>
      </w:r>
      <w:r w:rsidR="001C1A70" w:rsidRPr="00692FED">
        <w:rPr>
          <w:sz w:val="24"/>
          <w:szCs w:val="24"/>
        </w:rPr>
        <w:t xml:space="preserve"> (to be adopted by C17)</w:t>
      </w:r>
      <w:r w:rsidRPr="00692FED">
        <w:rPr>
          <w:sz w:val="24"/>
          <w:szCs w:val="24"/>
        </w:rPr>
        <w:t>;</w:t>
      </w:r>
    </w:p>
    <w:p w:rsidR="00E328BA" w:rsidRPr="00692FED" w:rsidRDefault="00E328BA" w:rsidP="00AF2F70">
      <w:pPr>
        <w:pStyle w:val="ListParagraph"/>
        <w:numPr>
          <w:ilvl w:val="0"/>
          <w:numId w:val="13"/>
        </w:numPr>
        <w:adjustRightInd w:val="0"/>
        <w:snapToGrid w:val="0"/>
        <w:spacing w:before="80" w:after="80" w:line="240" w:lineRule="auto"/>
        <w:contextualSpacing w:val="0"/>
        <w:jc w:val="both"/>
        <w:rPr>
          <w:sz w:val="24"/>
          <w:szCs w:val="24"/>
        </w:rPr>
      </w:pPr>
      <w:r w:rsidRPr="00692FED">
        <w:rPr>
          <w:sz w:val="24"/>
          <w:szCs w:val="24"/>
        </w:rPr>
        <w:t>Delegation of Authority;</w:t>
      </w:r>
    </w:p>
    <w:p w:rsidR="00641E83" w:rsidRDefault="00E328BA" w:rsidP="00AF2F70">
      <w:pPr>
        <w:pStyle w:val="ListParagraph"/>
        <w:numPr>
          <w:ilvl w:val="0"/>
          <w:numId w:val="13"/>
        </w:numPr>
        <w:adjustRightInd w:val="0"/>
        <w:snapToGrid w:val="0"/>
        <w:spacing w:before="80" w:after="120" w:line="240" w:lineRule="auto"/>
        <w:contextualSpacing w:val="0"/>
        <w:jc w:val="both"/>
        <w:rPr>
          <w:sz w:val="24"/>
          <w:szCs w:val="24"/>
        </w:rPr>
      </w:pPr>
      <w:r w:rsidRPr="00692FED">
        <w:rPr>
          <w:sz w:val="24"/>
          <w:szCs w:val="24"/>
        </w:rPr>
        <w:t>Access to ERP system based on segregation of duties</w:t>
      </w:r>
    </w:p>
    <w:p w:rsidR="005160C3" w:rsidRPr="00692FED" w:rsidRDefault="00E477E3" w:rsidP="00AF2F70">
      <w:pPr>
        <w:pStyle w:val="Heading3"/>
        <w:keepNext w:val="0"/>
        <w:keepLines w:val="0"/>
        <w:adjustRightInd w:val="0"/>
        <w:snapToGrid w:val="0"/>
        <w:spacing w:before="360" w:after="120" w:line="240" w:lineRule="auto"/>
        <w:jc w:val="both"/>
        <w:rPr>
          <w:b/>
          <w:bCs/>
          <w:color w:val="auto"/>
        </w:rPr>
      </w:pPr>
      <w:r w:rsidRPr="00692FED">
        <w:rPr>
          <w:b/>
          <w:bCs/>
          <w:color w:val="auto"/>
        </w:rPr>
        <w:t>Pillar 3 - Complaints and response mechanism</w:t>
      </w:r>
    </w:p>
    <w:p w:rsidR="00E477E3" w:rsidRPr="00692FED" w:rsidRDefault="008A087C" w:rsidP="00A94A72">
      <w:pPr>
        <w:adjustRightInd w:val="0"/>
        <w:snapToGrid w:val="0"/>
        <w:spacing w:before="120" w:after="120" w:line="240" w:lineRule="auto"/>
        <w:jc w:val="both"/>
        <w:rPr>
          <w:sz w:val="24"/>
          <w:szCs w:val="24"/>
        </w:rPr>
      </w:pPr>
      <w:r w:rsidRPr="00692FED">
        <w:rPr>
          <w:sz w:val="24"/>
          <w:szCs w:val="24"/>
        </w:rPr>
        <w:t>1</w:t>
      </w:r>
      <w:r w:rsidR="00A94A72">
        <w:rPr>
          <w:sz w:val="24"/>
          <w:szCs w:val="24"/>
        </w:rPr>
        <w:t>2</w:t>
      </w:r>
      <w:r w:rsidRPr="00692FED">
        <w:rPr>
          <w:sz w:val="24"/>
          <w:szCs w:val="24"/>
        </w:rPr>
        <w:t>.</w:t>
      </w:r>
      <w:r w:rsidRPr="00692FED">
        <w:rPr>
          <w:sz w:val="24"/>
          <w:szCs w:val="24"/>
        </w:rPr>
        <w:tab/>
      </w:r>
      <w:r w:rsidR="00383950" w:rsidRPr="00692FED">
        <w:rPr>
          <w:sz w:val="24"/>
          <w:szCs w:val="24"/>
        </w:rPr>
        <w:t>As</w:t>
      </w:r>
      <w:r w:rsidRPr="00692FED">
        <w:rPr>
          <w:sz w:val="24"/>
          <w:szCs w:val="24"/>
        </w:rPr>
        <w:t xml:space="preserve"> specified </w:t>
      </w:r>
      <w:r w:rsidR="00383950" w:rsidRPr="00692FED">
        <w:rPr>
          <w:sz w:val="24"/>
          <w:szCs w:val="24"/>
        </w:rPr>
        <w:t xml:space="preserve">in </w:t>
      </w:r>
      <w:r w:rsidRPr="00692FED">
        <w:rPr>
          <w:sz w:val="24"/>
          <w:szCs w:val="24"/>
        </w:rPr>
        <w:t xml:space="preserve">the </w:t>
      </w:r>
      <w:r w:rsidR="00383950" w:rsidRPr="00692FED">
        <w:rPr>
          <w:sz w:val="24"/>
          <w:szCs w:val="24"/>
        </w:rPr>
        <w:t>JIU report</w:t>
      </w:r>
      <w:r w:rsidRPr="00692FED">
        <w:rPr>
          <w:sz w:val="24"/>
          <w:szCs w:val="24"/>
        </w:rPr>
        <w:t xml:space="preserve">, this pillar </w:t>
      </w:r>
      <w:proofErr w:type="gramStart"/>
      <w:r w:rsidRPr="00692FED">
        <w:rPr>
          <w:sz w:val="24"/>
          <w:szCs w:val="24"/>
        </w:rPr>
        <w:t>is based</w:t>
      </w:r>
      <w:proofErr w:type="gramEnd"/>
      <w:r w:rsidRPr="00692FED">
        <w:rPr>
          <w:sz w:val="24"/>
          <w:szCs w:val="24"/>
        </w:rPr>
        <w:t xml:space="preserve"> on</w:t>
      </w:r>
      <w:r w:rsidR="00D75271" w:rsidRPr="00692FED">
        <w:rPr>
          <w:sz w:val="24"/>
          <w:szCs w:val="24"/>
        </w:rPr>
        <w:t xml:space="preserve"> “the mechanism through which stakeholders can hold an organization to account by querying a decision, action or policy and receiving an adequate response to their grievance. Complaints and response mechanisms should be seen as a means of last resort for stakeholders to hold the organization to account and for organizations to become aware of an issue that requires a response</w:t>
      </w:r>
      <w:r w:rsidR="0023552F" w:rsidRPr="00692FED">
        <w:rPr>
          <w:sz w:val="24"/>
          <w:szCs w:val="24"/>
        </w:rPr>
        <w:t>”. In ITU</w:t>
      </w:r>
      <w:r w:rsidR="00005530" w:rsidRPr="00692FED">
        <w:rPr>
          <w:sz w:val="24"/>
          <w:szCs w:val="24"/>
        </w:rPr>
        <w:t xml:space="preserve"> there are</w:t>
      </w:r>
      <w:r w:rsidR="00D75271" w:rsidRPr="00692FED">
        <w:rPr>
          <w:sz w:val="24"/>
          <w:szCs w:val="24"/>
        </w:rPr>
        <w:t xml:space="preserve"> a number of complaint</w:t>
      </w:r>
      <w:r w:rsidR="00D11C43" w:rsidRPr="00692FED">
        <w:rPr>
          <w:sz w:val="24"/>
          <w:szCs w:val="24"/>
        </w:rPr>
        <w:t>s</w:t>
      </w:r>
      <w:r w:rsidR="00372CEC" w:rsidRPr="00692FED">
        <w:rPr>
          <w:sz w:val="24"/>
          <w:szCs w:val="24"/>
        </w:rPr>
        <w:t xml:space="preserve"> and response</w:t>
      </w:r>
      <w:r w:rsidR="00D75271" w:rsidRPr="00692FED">
        <w:rPr>
          <w:sz w:val="24"/>
          <w:szCs w:val="24"/>
        </w:rPr>
        <w:t xml:space="preserve"> mechanisms available</w:t>
      </w:r>
      <w:r w:rsidR="00C71230" w:rsidRPr="00692FED">
        <w:rPr>
          <w:sz w:val="24"/>
          <w:szCs w:val="24"/>
        </w:rPr>
        <w:t>,</w:t>
      </w:r>
      <w:r w:rsidR="00D75271" w:rsidRPr="00692FED">
        <w:rPr>
          <w:sz w:val="24"/>
          <w:szCs w:val="24"/>
        </w:rPr>
        <w:t xml:space="preserve"> </w:t>
      </w:r>
      <w:r w:rsidR="0023552F" w:rsidRPr="00692FED">
        <w:rPr>
          <w:sz w:val="24"/>
          <w:szCs w:val="24"/>
        </w:rPr>
        <w:t xml:space="preserve">which are </w:t>
      </w:r>
      <w:r w:rsidR="00D75271" w:rsidRPr="00692FED">
        <w:rPr>
          <w:sz w:val="24"/>
          <w:szCs w:val="24"/>
        </w:rPr>
        <w:t>a</w:t>
      </w:r>
      <w:r w:rsidR="00E91823" w:rsidRPr="00692FED">
        <w:rPr>
          <w:sz w:val="24"/>
          <w:szCs w:val="24"/>
        </w:rPr>
        <w:t>s</w:t>
      </w:r>
      <w:r w:rsidR="00D75271" w:rsidRPr="00692FED">
        <w:rPr>
          <w:sz w:val="24"/>
          <w:szCs w:val="24"/>
        </w:rPr>
        <w:t xml:space="preserve"> follows:</w:t>
      </w:r>
    </w:p>
    <w:p w:rsidR="00D75271" w:rsidRPr="00692FED" w:rsidRDefault="00953D8C" w:rsidP="00AF2F70">
      <w:pPr>
        <w:pStyle w:val="ListParagraph"/>
        <w:numPr>
          <w:ilvl w:val="0"/>
          <w:numId w:val="14"/>
        </w:numPr>
        <w:adjustRightInd w:val="0"/>
        <w:snapToGrid w:val="0"/>
        <w:spacing w:before="120" w:after="80" w:line="240" w:lineRule="auto"/>
        <w:contextualSpacing w:val="0"/>
        <w:jc w:val="both"/>
        <w:rPr>
          <w:sz w:val="24"/>
          <w:szCs w:val="24"/>
        </w:rPr>
      </w:pPr>
      <w:r w:rsidRPr="00692FED">
        <w:rPr>
          <w:sz w:val="24"/>
          <w:szCs w:val="24"/>
        </w:rPr>
        <w:t xml:space="preserve">The Ethics Officer </w:t>
      </w:r>
      <w:r w:rsidR="009133A4" w:rsidRPr="00692FED">
        <w:rPr>
          <w:sz w:val="24"/>
          <w:szCs w:val="24"/>
        </w:rPr>
        <w:t>– Ethical value and Standards of Conducts</w:t>
      </w:r>
      <w:r w:rsidR="009008C5" w:rsidRPr="00692FED">
        <w:rPr>
          <w:sz w:val="24"/>
          <w:szCs w:val="24"/>
        </w:rPr>
        <w:t>;</w:t>
      </w:r>
    </w:p>
    <w:p w:rsidR="00D75271" w:rsidRPr="00692FED" w:rsidRDefault="00D75271" w:rsidP="00AF2F70">
      <w:pPr>
        <w:pStyle w:val="ListParagraph"/>
        <w:numPr>
          <w:ilvl w:val="0"/>
          <w:numId w:val="14"/>
        </w:numPr>
        <w:adjustRightInd w:val="0"/>
        <w:snapToGrid w:val="0"/>
        <w:spacing w:before="80" w:after="80" w:line="240" w:lineRule="auto"/>
        <w:contextualSpacing w:val="0"/>
        <w:jc w:val="both"/>
        <w:rPr>
          <w:sz w:val="24"/>
          <w:szCs w:val="24"/>
        </w:rPr>
      </w:pPr>
      <w:r w:rsidRPr="00692FED">
        <w:rPr>
          <w:sz w:val="24"/>
          <w:szCs w:val="24"/>
        </w:rPr>
        <w:t>The Staff Council</w:t>
      </w:r>
      <w:r w:rsidR="009008C5" w:rsidRPr="00692FED">
        <w:rPr>
          <w:sz w:val="24"/>
          <w:szCs w:val="24"/>
        </w:rPr>
        <w:t>;</w:t>
      </w:r>
    </w:p>
    <w:p w:rsidR="00D75271" w:rsidRPr="00692FED" w:rsidRDefault="0094175F" w:rsidP="00AF2F70">
      <w:pPr>
        <w:pStyle w:val="ListParagraph"/>
        <w:numPr>
          <w:ilvl w:val="0"/>
          <w:numId w:val="14"/>
        </w:numPr>
        <w:adjustRightInd w:val="0"/>
        <w:snapToGrid w:val="0"/>
        <w:spacing w:before="80" w:after="80" w:line="240" w:lineRule="auto"/>
        <w:contextualSpacing w:val="0"/>
        <w:jc w:val="both"/>
        <w:rPr>
          <w:sz w:val="24"/>
          <w:szCs w:val="24"/>
        </w:rPr>
      </w:pPr>
      <w:r w:rsidRPr="00692FED">
        <w:rPr>
          <w:sz w:val="24"/>
          <w:szCs w:val="24"/>
        </w:rPr>
        <w:t>The M</w:t>
      </w:r>
      <w:r w:rsidR="00D75271" w:rsidRPr="00692FED">
        <w:rPr>
          <w:sz w:val="24"/>
          <w:szCs w:val="24"/>
        </w:rPr>
        <w:t>ediator</w:t>
      </w:r>
      <w:r w:rsidR="00372CEC" w:rsidRPr="00692FED">
        <w:rPr>
          <w:sz w:val="24"/>
          <w:szCs w:val="24"/>
        </w:rPr>
        <w:t>s</w:t>
      </w:r>
      <w:r w:rsidR="00D75271" w:rsidRPr="00692FED">
        <w:rPr>
          <w:sz w:val="24"/>
          <w:szCs w:val="24"/>
        </w:rPr>
        <w:t xml:space="preserve"> of the Union</w:t>
      </w:r>
      <w:r w:rsidR="009008C5" w:rsidRPr="00692FED">
        <w:rPr>
          <w:sz w:val="24"/>
          <w:szCs w:val="24"/>
        </w:rPr>
        <w:t>;</w:t>
      </w:r>
    </w:p>
    <w:p w:rsidR="00372CEC" w:rsidRPr="00692FED" w:rsidRDefault="00372CEC" w:rsidP="00AF2F70">
      <w:pPr>
        <w:pStyle w:val="ListParagraph"/>
        <w:numPr>
          <w:ilvl w:val="0"/>
          <w:numId w:val="14"/>
        </w:numPr>
        <w:adjustRightInd w:val="0"/>
        <w:snapToGrid w:val="0"/>
        <w:spacing w:before="80" w:after="80" w:line="240" w:lineRule="auto"/>
        <w:contextualSpacing w:val="0"/>
        <w:jc w:val="both"/>
        <w:rPr>
          <w:sz w:val="24"/>
          <w:szCs w:val="24"/>
        </w:rPr>
      </w:pPr>
      <w:r w:rsidRPr="00692FED">
        <w:rPr>
          <w:sz w:val="24"/>
          <w:szCs w:val="24"/>
        </w:rPr>
        <w:t>The request for reconsideration of a decision to be addressed to the Secretary-General;</w:t>
      </w:r>
    </w:p>
    <w:p w:rsidR="00D75271" w:rsidRPr="00692FED" w:rsidRDefault="00D75271" w:rsidP="00AF2F70">
      <w:pPr>
        <w:pStyle w:val="ListParagraph"/>
        <w:numPr>
          <w:ilvl w:val="0"/>
          <w:numId w:val="14"/>
        </w:numPr>
        <w:adjustRightInd w:val="0"/>
        <w:snapToGrid w:val="0"/>
        <w:spacing w:before="80" w:after="80" w:line="240" w:lineRule="auto"/>
        <w:contextualSpacing w:val="0"/>
        <w:jc w:val="both"/>
        <w:rPr>
          <w:sz w:val="24"/>
          <w:szCs w:val="24"/>
        </w:rPr>
      </w:pPr>
      <w:r w:rsidRPr="00692FED">
        <w:rPr>
          <w:sz w:val="24"/>
          <w:szCs w:val="24"/>
        </w:rPr>
        <w:t>The Appeal Board</w:t>
      </w:r>
      <w:r w:rsidR="009008C5" w:rsidRPr="00692FED">
        <w:rPr>
          <w:sz w:val="24"/>
          <w:szCs w:val="24"/>
        </w:rPr>
        <w:t>;</w:t>
      </w:r>
    </w:p>
    <w:p w:rsidR="00E91823" w:rsidRPr="00692FED" w:rsidRDefault="00E26D21" w:rsidP="00AF2F70">
      <w:pPr>
        <w:pStyle w:val="ListParagraph"/>
        <w:numPr>
          <w:ilvl w:val="0"/>
          <w:numId w:val="14"/>
        </w:numPr>
        <w:adjustRightInd w:val="0"/>
        <w:snapToGrid w:val="0"/>
        <w:spacing w:before="80" w:after="80" w:line="240" w:lineRule="auto"/>
        <w:contextualSpacing w:val="0"/>
        <w:jc w:val="both"/>
        <w:rPr>
          <w:sz w:val="24"/>
          <w:szCs w:val="24"/>
        </w:rPr>
      </w:pPr>
      <w:r w:rsidRPr="00692FED">
        <w:rPr>
          <w:sz w:val="24"/>
          <w:szCs w:val="24"/>
        </w:rPr>
        <w:t>The Administrative Tribunal of the International Labor Organization (</w:t>
      </w:r>
      <w:r w:rsidR="00E91823" w:rsidRPr="00692FED">
        <w:rPr>
          <w:sz w:val="24"/>
          <w:szCs w:val="24"/>
        </w:rPr>
        <w:t>ILOAT</w:t>
      </w:r>
      <w:r w:rsidRPr="00692FED">
        <w:rPr>
          <w:sz w:val="24"/>
          <w:szCs w:val="24"/>
        </w:rPr>
        <w:t>)</w:t>
      </w:r>
      <w:r w:rsidR="00E91823" w:rsidRPr="00692FED">
        <w:rPr>
          <w:sz w:val="24"/>
          <w:szCs w:val="24"/>
        </w:rPr>
        <w:t xml:space="preserve">: According to the Staff Regulations a staff member shall have the right to appeal to the </w:t>
      </w:r>
      <w:r w:rsidRPr="00692FED">
        <w:rPr>
          <w:sz w:val="24"/>
          <w:szCs w:val="24"/>
        </w:rPr>
        <w:t xml:space="preserve">ILOAT </w:t>
      </w:r>
      <w:r w:rsidR="00E91823" w:rsidRPr="00692FED">
        <w:rPr>
          <w:sz w:val="24"/>
          <w:szCs w:val="24"/>
        </w:rPr>
        <w:t xml:space="preserve">in accordance with the conditions set forth </w:t>
      </w:r>
      <w:r w:rsidR="00FC3167" w:rsidRPr="00692FED">
        <w:rPr>
          <w:sz w:val="24"/>
          <w:szCs w:val="24"/>
        </w:rPr>
        <w:t>in the Statute of that Tribunal;</w:t>
      </w:r>
    </w:p>
    <w:p w:rsidR="00372CEC" w:rsidRPr="00692FED" w:rsidRDefault="00944694" w:rsidP="00AF2F70">
      <w:pPr>
        <w:pStyle w:val="ListParagraph"/>
        <w:numPr>
          <w:ilvl w:val="0"/>
          <w:numId w:val="14"/>
        </w:numPr>
        <w:adjustRightInd w:val="0"/>
        <w:snapToGrid w:val="0"/>
        <w:spacing w:before="80" w:after="80" w:line="240" w:lineRule="auto"/>
        <w:contextualSpacing w:val="0"/>
        <w:jc w:val="both"/>
        <w:rPr>
          <w:sz w:val="24"/>
          <w:szCs w:val="24"/>
        </w:rPr>
      </w:pPr>
      <w:r w:rsidRPr="00692FED">
        <w:rPr>
          <w:sz w:val="24"/>
          <w:szCs w:val="24"/>
        </w:rPr>
        <w:t>The UN grievances mechanism, to which s</w:t>
      </w:r>
      <w:r w:rsidR="00372CEC" w:rsidRPr="00692FED">
        <w:rPr>
          <w:sz w:val="24"/>
          <w:szCs w:val="24"/>
        </w:rPr>
        <w:t xml:space="preserve">taff members may appeal for decision in relation </w:t>
      </w:r>
      <w:r w:rsidR="00825C22" w:rsidRPr="00692FED">
        <w:rPr>
          <w:sz w:val="24"/>
          <w:szCs w:val="24"/>
        </w:rPr>
        <w:t>to the</w:t>
      </w:r>
      <w:r w:rsidR="00372CEC" w:rsidRPr="00692FED">
        <w:rPr>
          <w:sz w:val="24"/>
          <w:szCs w:val="24"/>
        </w:rPr>
        <w:t xml:space="preserve"> </w:t>
      </w:r>
      <w:r w:rsidRPr="00692FED">
        <w:rPr>
          <w:sz w:val="24"/>
          <w:szCs w:val="24"/>
        </w:rPr>
        <w:t>UN Joint Staff Pension Fund (</w:t>
      </w:r>
      <w:r w:rsidR="00372CEC" w:rsidRPr="00692FED">
        <w:rPr>
          <w:sz w:val="24"/>
          <w:szCs w:val="24"/>
        </w:rPr>
        <w:t>UNJSPF</w:t>
      </w:r>
      <w:r w:rsidRPr="00692FED">
        <w:rPr>
          <w:sz w:val="24"/>
          <w:szCs w:val="24"/>
        </w:rPr>
        <w:t>)</w:t>
      </w:r>
      <w:r w:rsidR="00372CEC" w:rsidRPr="00692FED">
        <w:rPr>
          <w:sz w:val="24"/>
          <w:szCs w:val="24"/>
        </w:rPr>
        <w:t xml:space="preserve"> issues;</w:t>
      </w:r>
    </w:p>
    <w:p w:rsidR="001C1A70" w:rsidRPr="00692FED" w:rsidRDefault="00372CEC" w:rsidP="00AF2F70">
      <w:pPr>
        <w:pStyle w:val="ListParagraph"/>
        <w:numPr>
          <w:ilvl w:val="0"/>
          <w:numId w:val="14"/>
        </w:numPr>
        <w:adjustRightInd w:val="0"/>
        <w:snapToGrid w:val="0"/>
        <w:spacing w:before="80" w:after="80" w:line="240" w:lineRule="auto"/>
        <w:contextualSpacing w:val="0"/>
        <w:jc w:val="both"/>
        <w:rPr>
          <w:sz w:val="24"/>
          <w:szCs w:val="24"/>
        </w:rPr>
      </w:pPr>
      <w:r w:rsidRPr="00692FED">
        <w:rPr>
          <w:sz w:val="24"/>
          <w:szCs w:val="24"/>
        </w:rPr>
        <w:t>The classification Review Board;</w:t>
      </w:r>
      <w:r w:rsidR="00944694" w:rsidRPr="00692FED">
        <w:rPr>
          <w:sz w:val="24"/>
          <w:szCs w:val="24"/>
        </w:rPr>
        <w:t xml:space="preserve"> and</w:t>
      </w:r>
    </w:p>
    <w:p w:rsidR="00372CEC" w:rsidRPr="00692FED" w:rsidRDefault="00372CEC" w:rsidP="00AF2F70">
      <w:pPr>
        <w:pStyle w:val="ListParagraph"/>
        <w:numPr>
          <w:ilvl w:val="0"/>
          <w:numId w:val="14"/>
        </w:numPr>
        <w:adjustRightInd w:val="0"/>
        <w:snapToGrid w:val="0"/>
        <w:spacing w:before="80" w:after="120" w:line="240" w:lineRule="auto"/>
        <w:contextualSpacing w:val="0"/>
        <w:jc w:val="both"/>
        <w:rPr>
          <w:sz w:val="24"/>
          <w:szCs w:val="24"/>
        </w:rPr>
      </w:pPr>
      <w:r w:rsidRPr="00692FED">
        <w:rPr>
          <w:sz w:val="24"/>
          <w:szCs w:val="24"/>
        </w:rPr>
        <w:t>The investigation commissions to be created on the basis of relevant Service Orders (e.g. SO 05/05 on Harassment and abuse of Authority).</w:t>
      </w:r>
    </w:p>
    <w:p w:rsidR="00974B46" w:rsidRPr="00692FED" w:rsidRDefault="00974B46" w:rsidP="00CF7EE7">
      <w:pPr>
        <w:keepNext/>
        <w:keepLines/>
        <w:adjustRightInd w:val="0"/>
        <w:snapToGrid w:val="0"/>
        <w:spacing w:before="360" w:after="120" w:line="240" w:lineRule="auto"/>
        <w:jc w:val="both"/>
        <w:rPr>
          <w:rFonts w:asciiTheme="majorHAnsi" w:eastAsiaTheme="majorEastAsia" w:hAnsiTheme="majorHAnsi" w:cstheme="majorBidi"/>
          <w:b/>
          <w:bCs/>
          <w:sz w:val="24"/>
          <w:szCs w:val="24"/>
        </w:rPr>
      </w:pPr>
      <w:r w:rsidRPr="00692FED">
        <w:rPr>
          <w:rFonts w:asciiTheme="majorHAnsi" w:eastAsiaTheme="majorEastAsia" w:hAnsiTheme="majorHAnsi" w:cstheme="majorBidi"/>
          <w:b/>
          <w:bCs/>
          <w:sz w:val="24"/>
          <w:szCs w:val="24"/>
        </w:rPr>
        <w:lastRenderedPageBreak/>
        <w:t>V. JIU benchmarks for the Accountability Framework</w:t>
      </w:r>
    </w:p>
    <w:p w:rsidR="00EA646C" w:rsidRDefault="00974B46" w:rsidP="00CF7EE7">
      <w:pPr>
        <w:keepNext/>
        <w:keepLines/>
        <w:adjustRightInd w:val="0"/>
        <w:snapToGrid w:val="0"/>
        <w:spacing w:before="120" w:after="120" w:line="240" w:lineRule="auto"/>
        <w:rPr>
          <w:rFonts w:asciiTheme="majorHAnsi" w:eastAsiaTheme="majorEastAsia" w:hAnsiTheme="majorHAnsi" w:cstheme="majorBidi"/>
          <w:b/>
          <w:bCs/>
          <w:sz w:val="24"/>
          <w:szCs w:val="24"/>
        </w:rPr>
      </w:pPr>
      <w:r w:rsidRPr="00692FED">
        <w:rPr>
          <w:sz w:val="24"/>
          <w:szCs w:val="24"/>
        </w:rPr>
        <w:t>1</w:t>
      </w:r>
      <w:r w:rsidR="00A94A72">
        <w:rPr>
          <w:sz w:val="24"/>
          <w:szCs w:val="24"/>
        </w:rPr>
        <w:t>3</w:t>
      </w:r>
      <w:r w:rsidRPr="00692FED">
        <w:rPr>
          <w:sz w:val="24"/>
          <w:szCs w:val="24"/>
        </w:rPr>
        <w:t>.</w:t>
      </w:r>
      <w:r w:rsidRPr="00692FED">
        <w:rPr>
          <w:sz w:val="24"/>
          <w:szCs w:val="24"/>
        </w:rPr>
        <w:tab/>
        <w:t xml:space="preserve">The JIU Report/2011/5 provides 17 benchmarks to measure a robust accountability framework based on transparency and a culture of accountability. </w:t>
      </w:r>
      <w:r w:rsidR="00F871DA" w:rsidRPr="00692FED">
        <w:rPr>
          <w:sz w:val="24"/>
          <w:szCs w:val="24"/>
        </w:rPr>
        <w:t xml:space="preserve">The Annex </w:t>
      </w:r>
      <w:r w:rsidR="00D0333B" w:rsidRPr="00692FED">
        <w:rPr>
          <w:sz w:val="24"/>
          <w:szCs w:val="24"/>
        </w:rPr>
        <w:t>provides</w:t>
      </w:r>
      <w:r w:rsidRPr="00692FED">
        <w:rPr>
          <w:sz w:val="24"/>
          <w:szCs w:val="24"/>
        </w:rPr>
        <w:t xml:space="preserve"> detailed information o</w:t>
      </w:r>
      <w:r w:rsidR="00F871DA" w:rsidRPr="00692FED">
        <w:rPr>
          <w:sz w:val="24"/>
          <w:szCs w:val="24"/>
        </w:rPr>
        <w:t>n</w:t>
      </w:r>
      <w:r w:rsidRPr="00692FED">
        <w:rPr>
          <w:sz w:val="24"/>
          <w:szCs w:val="24"/>
        </w:rPr>
        <w:t xml:space="preserve"> the status of the benchmarks and tools in the ITU Accountability Framework.</w:t>
      </w:r>
    </w:p>
    <w:p w:rsidR="00FF115A" w:rsidRPr="00692FED" w:rsidRDefault="00FF115A" w:rsidP="00CF7EE7">
      <w:pPr>
        <w:keepNext/>
        <w:keepLines/>
        <w:adjustRightInd w:val="0"/>
        <w:snapToGrid w:val="0"/>
        <w:spacing w:before="360" w:after="120" w:line="240" w:lineRule="auto"/>
        <w:jc w:val="both"/>
        <w:rPr>
          <w:rFonts w:asciiTheme="majorHAnsi" w:eastAsiaTheme="majorEastAsia" w:hAnsiTheme="majorHAnsi" w:cstheme="majorBidi"/>
          <w:b/>
          <w:bCs/>
          <w:sz w:val="24"/>
          <w:szCs w:val="24"/>
        </w:rPr>
      </w:pPr>
      <w:r w:rsidRPr="00692FED">
        <w:rPr>
          <w:rFonts w:asciiTheme="majorHAnsi" w:eastAsiaTheme="majorEastAsia" w:hAnsiTheme="majorHAnsi" w:cstheme="majorBidi"/>
          <w:b/>
          <w:bCs/>
          <w:sz w:val="24"/>
          <w:szCs w:val="24"/>
        </w:rPr>
        <w:t>VI. Conclusion</w:t>
      </w:r>
    </w:p>
    <w:p w:rsidR="00FF115A" w:rsidRPr="00692FED" w:rsidRDefault="00DD1313" w:rsidP="00A94A72">
      <w:pPr>
        <w:keepNext/>
        <w:keepLines/>
        <w:adjustRightInd w:val="0"/>
        <w:snapToGrid w:val="0"/>
        <w:spacing w:before="120" w:after="120" w:line="240" w:lineRule="auto"/>
        <w:jc w:val="both"/>
        <w:rPr>
          <w:sz w:val="24"/>
          <w:szCs w:val="24"/>
        </w:rPr>
      </w:pPr>
      <w:r w:rsidRPr="00692FED">
        <w:rPr>
          <w:sz w:val="24"/>
          <w:szCs w:val="24"/>
        </w:rPr>
        <w:t>1</w:t>
      </w:r>
      <w:r w:rsidR="00A94A72">
        <w:rPr>
          <w:sz w:val="24"/>
          <w:szCs w:val="24"/>
        </w:rPr>
        <w:t>4</w:t>
      </w:r>
      <w:r w:rsidRPr="00692FED">
        <w:rPr>
          <w:sz w:val="24"/>
          <w:szCs w:val="24"/>
        </w:rPr>
        <w:t>.</w:t>
      </w:r>
      <w:r w:rsidRPr="00692FED">
        <w:rPr>
          <w:sz w:val="24"/>
          <w:szCs w:val="24"/>
        </w:rPr>
        <w:tab/>
      </w:r>
      <w:r w:rsidR="00FF115A" w:rsidRPr="00692FED">
        <w:rPr>
          <w:sz w:val="24"/>
          <w:szCs w:val="24"/>
        </w:rPr>
        <w:t>ITU will continue to ensure that the Union’s Accountability Framework responds to evolving circumstances and takes into account the best practices in the UN system. The goal is to have an accountability system in the Union with increased focus on the results and performance-based management giving greater flexibility and autonomy to managers in order to achieve the best results, and to emphasize transparency as an essential feature of accountability.</w:t>
      </w:r>
    </w:p>
    <w:p w:rsidR="00FF115A" w:rsidRPr="00692FED" w:rsidRDefault="00DD1313" w:rsidP="00A94A72">
      <w:pPr>
        <w:adjustRightInd w:val="0"/>
        <w:snapToGrid w:val="0"/>
        <w:spacing w:before="120" w:after="120" w:line="240" w:lineRule="auto"/>
        <w:jc w:val="both"/>
        <w:rPr>
          <w:sz w:val="24"/>
          <w:szCs w:val="24"/>
        </w:rPr>
      </w:pPr>
      <w:r w:rsidRPr="00692FED">
        <w:rPr>
          <w:sz w:val="24"/>
          <w:szCs w:val="24"/>
        </w:rPr>
        <w:t>1</w:t>
      </w:r>
      <w:r w:rsidR="00A94A72">
        <w:rPr>
          <w:sz w:val="24"/>
          <w:szCs w:val="24"/>
        </w:rPr>
        <w:t>5</w:t>
      </w:r>
      <w:r w:rsidRPr="00692FED">
        <w:rPr>
          <w:sz w:val="24"/>
          <w:szCs w:val="24"/>
        </w:rPr>
        <w:t>.</w:t>
      </w:r>
      <w:r w:rsidRPr="00692FED">
        <w:rPr>
          <w:sz w:val="24"/>
          <w:szCs w:val="24"/>
        </w:rPr>
        <w:tab/>
      </w:r>
      <w:r w:rsidR="00FF115A" w:rsidRPr="00692FED">
        <w:rPr>
          <w:sz w:val="24"/>
          <w:szCs w:val="24"/>
        </w:rPr>
        <w:t xml:space="preserve">ITU’s Accountability Framework </w:t>
      </w:r>
      <w:proofErr w:type="gramStart"/>
      <w:r w:rsidR="00FF115A" w:rsidRPr="00692FED">
        <w:rPr>
          <w:sz w:val="24"/>
          <w:szCs w:val="24"/>
        </w:rPr>
        <w:t>will be reviewed</w:t>
      </w:r>
      <w:proofErr w:type="gramEnd"/>
      <w:r w:rsidR="00FF115A" w:rsidRPr="00692FED">
        <w:rPr>
          <w:sz w:val="24"/>
          <w:szCs w:val="24"/>
        </w:rPr>
        <w:t xml:space="preserve"> periodically in order to strengthen organizational capacity and to ensure continued relevance. It will be updated to reflect new requirements or improvements arising from new initiatives or lessons learned. ITU will ensure that the Accountability Framework remains relevant to the mandate and objectives of the Union.</w:t>
      </w:r>
    </w:p>
    <w:p w:rsidR="00FF115A" w:rsidRDefault="00FF115A" w:rsidP="00372CEC">
      <w:pPr>
        <w:jc w:val="both"/>
      </w:pPr>
    </w:p>
    <w:p w:rsidR="00FF115A" w:rsidRDefault="00FF115A" w:rsidP="00372CEC">
      <w:pPr>
        <w:jc w:val="both"/>
        <w:sectPr w:rsidR="00FF115A" w:rsidSect="005E6900">
          <w:headerReference w:type="default" r:id="rId15"/>
          <w:footerReference w:type="default" r:id="rId16"/>
          <w:pgSz w:w="12240" w:h="15840"/>
          <w:pgMar w:top="1440" w:right="1440" w:bottom="1440" w:left="1440" w:header="708" w:footer="708" w:gutter="0"/>
          <w:cols w:space="708"/>
          <w:titlePg/>
          <w:docGrid w:linePitch="360"/>
        </w:sectPr>
      </w:pPr>
    </w:p>
    <w:p w:rsidR="00232AF8" w:rsidRPr="00175C46" w:rsidRDefault="00175C46" w:rsidP="00782D8E">
      <w:pPr>
        <w:jc w:val="center"/>
        <w:rPr>
          <w:rFonts w:asciiTheme="majorHAnsi" w:eastAsiaTheme="majorEastAsia" w:hAnsiTheme="majorHAnsi" w:cstheme="majorBidi"/>
          <w:sz w:val="26"/>
          <w:szCs w:val="26"/>
        </w:rPr>
      </w:pPr>
      <w:r w:rsidRPr="00175C46">
        <w:rPr>
          <w:rFonts w:asciiTheme="majorHAnsi" w:eastAsiaTheme="majorEastAsia" w:hAnsiTheme="majorHAnsi" w:cstheme="majorBidi"/>
          <w:sz w:val="26"/>
          <w:szCs w:val="26"/>
        </w:rPr>
        <w:lastRenderedPageBreak/>
        <w:t>ANNEX</w:t>
      </w:r>
    </w:p>
    <w:p w:rsidR="00FE22E1" w:rsidRPr="00D95A5D" w:rsidRDefault="00762D70" w:rsidP="00870090">
      <w:pPr>
        <w:adjustRightInd w:val="0"/>
        <w:snapToGrid w:val="0"/>
        <w:spacing w:after="120" w:line="240" w:lineRule="auto"/>
        <w:jc w:val="center"/>
        <w:rPr>
          <w:rFonts w:asciiTheme="majorHAnsi" w:eastAsiaTheme="majorEastAsia" w:hAnsiTheme="majorHAnsi" w:cstheme="majorBidi"/>
          <w:b/>
          <w:bCs/>
          <w:sz w:val="26"/>
          <w:szCs w:val="26"/>
        </w:rPr>
      </w:pPr>
      <w:r w:rsidRPr="00D95A5D">
        <w:rPr>
          <w:rFonts w:asciiTheme="majorHAnsi" w:eastAsiaTheme="majorEastAsia" w:hAnsiTheme="majorHAnsi" w:cstheme="majorBidi"/>
          <w:b/>
          <w:bCs/>
          <w:sz w:val="26"/>
          <w:szCs w:val="26"/>
        </w:rPr>
        <w:t xml:space="preserve">Progress towards the implementation of the </w:t>
      </w:r>
      <w:r w:rsidR="00FE22E1" w:rsidRPr="00D95A5D">
        <w:rPr>
          <w:rFonts w:asciiTheme="majorHAnsi" w:eastAsiaTheme="majorEastAsia" w:hAnsiTheme="majorHAnsi" w:cstheme="majorBidi"/>
          <w:b/>
          <w:bCs/>
          <w:sz w:val="26"/>
          <w:szCs w:val="26"/>
        </w:rPr>
        <w:t>JIU benchmarks</w:t>
      </w:r>
      <w:r w:rsidR="00944694" w:rsidRPr="00D95A5D">
        <w:rPr>
          <w:rFonts w:asciiTheme="majorHAnsi" w:eastAsiaTheme="majorEastAsia" w:hAnsiTheme="majorHAnsi" w:cstheme="majorBidi"/>
          <w:b/>
          <w:bCs/>
          <w:sz w:val="26"/>
          <w:szCs w:val="26"/>
        </w:rPr>
        <w:t xml:space="preserve"> for the Accountability Framework</w:t>
      </w:r>
    </w:p>
    <w:p w:rsidR="00672914" w:rsidRPr="00672914" w:rsidRDefault="00672914" w:rsidP="00870090">
      <w:pPr>
        <w:adjustRightInd w:val="0"/>
        <w:snapToGrid w:val="0"/>
        <w:spacing w:after="120" w:line="240" w:lineRule="auto"/>
        <w:rPr>
          <w:b/>
          <w:bCs/>
        </w:rPr>
      </w:pPr>
      <w:r w:rsidRPr="00672914">
        <w:rPr>
          <w:b/>
          <w:bCs/>
        </w:rPr>
        <w:t>Pillar 1</w:t>
      </w:r>
    </w:p>
    <w:tbl>
      <w:tblPr>
        <w:tblStyle w:val="TableGrid"/>
        <w:tblW w:w="14601" w:type="dxa"/>
        <w:tblInd w:w="-5" w:type="dxa"/>
        <w:tblLayout w:type="fixed"/>
        <w:tblLook w:val="04A0" w:firstRow="1" w:lastRow="0" w:firstColumn="1" w:lastColumn="0" w:noHBand="0" w:noVBand="1"/>
      </w:tblPr>
      <w:tblGrid>
        <w:gridCol w:w="2977"/>
        <w:gridCol w:w="3969"/>
        <w:gridCol w:w="1276"/>
        <w:gridCol w:w="6379"/>
      </w:tblGrid>
      <w:tr w:rsidR="00672914" w:rsidTr="00584451">
        <w:trPr>
          <w:tblHeader/>
        </w:trPr>
        <w:tc>
          <w:tcPr>
            <w:tcW w:w="2977" w:type="dxa"/>
            <w:shd w:val="clear" w:color="auto" w:fill="BDD6EE" w:themeFill="accent1" w:themeFillTint="66"/>
          </w:tcPr>
          <w:p w:rsidR="00672914" w:rsidRPr="00D638C7" w:rsidRDefault="00672914" w:rsidP="001D7C3E">
            <w:pPr>
              <w:jc w:val="center"/>
              <w:rPr>
                <w:b/>
                <w:bCs/>
              </w:rPr>
            </w:pPr>
            <w:r w:rsidRPr="00D638C7">
              <w:rPr>
                <w:b/>
                <w:bCs/>
              </w:rPr>
              <w:t>Benchmark</w:t>
            </w:r>
          </w:p>
        </w:tc>
        <w:tc>
          <w:tcPr>
            <w:tcW w:w="3969" w:type="dxa"/>
            <w:shd w:val="clear" w:color="auto" w:fill="BDD6EE" w:themeFill="accent1" w:themeFillTint="66"/>
          </w:tcPr>
          <w:p w:rsidR="00672914" w:rsidRPr="00D638C7" w:rsidRDefault="00672914" w:rsidP="001D7C3E">
            <w:pPr>
              <w:jc w:val="center"/>
              <w:rPr>
                <w:b/>
                <w:bCs/>
              </w:rPr>
            </w:pPr>
            <w:r w:rsidRPr="00D638C7">
              <w:rPr>
                <w:b/>
                <w:bCs/>
              </w:rPr>
              <w:t>Tools</w:t>
            </w:r>
          </w:p>
        </w:tc>
        <w:tc>
          <w:tcPr>
            <w:tcW w:w="1276" w:type="dxa"/>
            <w:shd w:val="clear" w:color="auto" w:fill="BDD6EE" w:themeFill="accent1" w:themeFillTint="66"/>
          </w:tcPr>
          <w:p w:rsidR="00672914" w:rsidRPr="00D638C7" w:rsidRDefault="003411F7" w:rsidP="003411F7">
            <w:pPr>
              <w:jc w:val="center"/>
              <w:rPr>
                <w:b/>
                <w:bCs/>
              </w:rPr>
            </w:pPr>
            <w:r>
              <w:rPr>
                <w:b/>
                <w:bCs/>
              </w:rPr>
              <w:t>Status</w:t>
            </w:r>
          </w:p>
        </w:tc>
        <w:tc>
          <w:tcPr>
            <w:tcW w:w="6379" w:type="dxa"/>
            <w:shd w:val="clear" w:color="auto" w:fill="BDD6EE" w:themeFill="accent1" w:themeFillTint="66"/>
          </w:tcPr>
          <w:p w:rsidR="00672914" w:rsidRPr="00D638C7" w:rsidRDefault="00672914" w:rsidP="001D7C3E">
            <w:pPr>
              <w:jc w:val="center"/>
              <w:rPr>
                <w:b/>
                <w:bCs/>
              </w:rPr>
            </w:pPr>
            <w:r w:rsidRPr="00D638C7">
              <w:rPr>
                <w:b/>
                <w:bCs/>
              </w:rPr>
              <w:t>Comment</w:t>
            </w:r>
          </w:p>
        </w:tc>
      </w:tr>
      <w:tr w:rsidR="00672914" w:rsidTr="00584451">
        <w:trPr>
          <w:trHeight w:val="255"/>
        </w:trPr>
        <w:tc>
          <w:tcPr>
            <w:tcW w:w="2977" w:type="dxa"/>
            <w:vMerge w:val="restart"/>
          </w:tcPr>
          <w:p w:rsidR="00672914" w:rsidRPr="00762D70" w:rsidRDefault="00672914" w:rsidP="001D7C3E">
            <w:pPr>
              <w:rPr>
                <w:sz w:val="18"/>
                <w:szCs w:val="18"/>
              </w:rPr>
            </w:pPr>
            <w:r w:rsidRPr="00762D70">
              <w:rPr>
                <w:sz w:val="18"/>
                <w:szCs w:val="18"/>
              </w:rPr>
              <w:t>1. A clear framework for accountability is in place, including a definition thereof and clarity of responsibility for the overall implementation of the framework, linking all components together</w:t>
            </w:r>
          </w:p>
        </w:tc>
        <w:tc>
          <w:tcPr>
            <w:tcW w:w="3969" w:type="dxa"/>
          </w:tcPr>
          <w:p w:rsidR="00672914" w:rsidRPr="00762D70" w:rsidRDefault="00672914" w:rsidP="001D7C3E">
            <w:pPr>
              <w:rPr>
                <w:sz w:val="18"/>
                <w:szCs w:val="18"/>
              </w:rPr>
            </w:pPr>
            <w:r w:rsidRPr="00762D70">
              <w:rPr>
                <w:sz w:val="18"/>
                <w:szCs w:val="18"/>
              </w:rPr>
              <w:t>Framework policy document</w:t>
            </w:r>
          </w:p>
        </w:tc>
        <w:tc>
          <w:tcPr>
            <w:tcW w:w="1276" w:type="dxa"/>
            <w:vAlign w:val="center"/>
          </w:tcPr>
          <w:p w:rsidR="00672914" w:rsidRPr="00762D70" w:rsidRDefault="00672914" w:rsidP="009D764D">
            <w:pPr>
              <w:jc w:val="center"/>
              <w:rPr>
                <w:sz w:val="18"/>
                <w:szCs w:val="18"/>
              </w:rPr>
            </w:pPr>
            <w:r w:rsidRPr="00762D70">
              <w:rPr>
                <w:sz w:val="18"/>
                <w:szCs w:val="18"/>
              </w:rPr>
              <w:sym w:font="Wingdings" w:char="F0FC"/>
            </w:r>
          </w:p>
        </w:tc>
        <w:tc>
          <w:tcPr>
            <w:tcW w:w="6379" w:type="dxa"/>
            <w:vMerge w:val="restart"/>
            <w:vAlign w:val="center"/>
          </w:tcPr>
          <w:p w:rsidR="00672914" w:rsidRPr="00762D70" w:rsidRDefault="00672914" w:rsidP="009D764D">
            <w:pPr>
              <w:rPr>
                <w:sz w:val="18"/>
                <w:szCs w:val="18"/>
              </w:rPr>
            </w:pPr>
            <w:r w:rsidRPr="00762D70">
              <w:rPr>
                <w:sz w:val="18"/>
                <w:szCs w:val="18"/>
              </w:rPr>
              <w:t>By this proposal, IT</w:t>
            </w:r>
            <w:r w:rsidR="00A87792" w:rsidRPr="00762D70">
              <w:rPr>
                <w:sz w:val="18"/>
                <w:szCs w:val="18"/>
              </w:rPr>
              <w:t>U</w:t>
            </w:r>
            <w:r w:rsidRPr="00762D70">
              <w:rPr>
                <w:sz w:val="18"/>
                <w:szCs w:val="18"/>
              </w:rPr>
              <w:t xml:space="preserve"> is putting in place such a framework. Full implementation should follow adoption by Council in 2017</w:t>
            </w:r>
            <w:r w:rsidR="009D764D">
              <w:rPr>
                <w:sz w:val="18"/>
                <w:szCs w:val="18"/>
              </w:rPr>
              <w:t>.</w:t>
            </w:r>
          </w:p>
        </w:tc>
      </w:tr>
      <w:tr w:rsidR="00672914" w:rsidTr="00584451">
        <w:trPr>
          <w:trHeight w:val="256"/>
        </w:trPr>
        <w:tc>
          <w:tcPr>
            <w:tcW w:w="2977" w:type="dxa"/>
            <w:vMerge/>
          </w:tcPr>
          <w:p w:rsidR="00672914" w:rsidRPr="00762D70" w:rsidRDefault="00672914" w:rsidP="001D7C3E">
            <w:pPr>
              <w:rPr>
                <w:sz w:val="18"/>
                <w:szCs w:val="18"/>
              </w:rPr>
            </w:pPr>
          </w:p>
        </w:tc>
        <w:tc>
          <w:tcPr>
            <w:tcW w:w="3969" w:type="dxa"/>
          </w:tcPr>
          <w:p w:rsidR="00672914" w:rsidRPr="00762D70" w:rsidRDefault="00672914" w:rsidP="001D7C3E">
            <w:pPr>
              <w:rPr>
                <w:sz w:val="18"/>
                <w:szCs w:val="18"/>
              </w:rPr>
            </w:pPr>
            <w:r w:rsidRPr="00762D70">
              <w:rPr>
                <w:sz w:val="18"/>
                <w:szCs w:val="18"/>
              </w:rPr>
              <w:t>Definition of accountability</w:t>
            </w:r>
          </w:p>
        </w:tc>
        <w:tc>
          <w:tcPr>
            <w:tcW w:w="1276" w:type="dxa"/>
            <w:vAlign w:val="center"/>
          </w:tcPr>
          <w:p w:rsidR="00672914" w:rsidRPr="00762D70" w:rsidRDefault="00672914" w:rsidP="009D764D">
            <w:pPr>
              <w:jc w:val="center"/>
              <w:rPr>
                <w:sz w:val="18"/>
                <w:szCs w:val="18"/>
              </w:rPr>
            </w:pPr>
            <w:r w:rsidRPr="00762D70">
              <w:rPr>
                <w:sz w:val="18"/>
                <w:szCs w:val="18"/>
              </w:rPr>
              <w:sym w:font="Wingdings" w:char="F0FC"/>
            </w:r>
          </w:p>
        </w:tc>
        <w:tc>
          <w:tcPr>
            <w:tcW w:w="6379" w:type="dxa"/>
            <w:vMerge/>
          </w:tcPr>
          <w:p w:rsidR="00672914" w:rsidRPr="00762D70" w:rsidRDefault="00672914" w:rsidP="001D7C3E">
            <w:pPr>
              <w:rPr>
                <w:sz w:val="18"/>
                <w:szCs w:val="18"/>
              </w:rPr>
            </w:pPr>
          </w:p>
        </w:tc>
      </w:tr>
      <w:tr w:rsidR="00672914" w:rsidTr="00584451">
        <w:trPr>
          <w:trHeight w:val="255"/>
        </w:trPr>
        <w:tc>
          <w:tcPr>
            <w:tcW w:w="2977" w:type="dxa"/>
            <w:vMerge/>
          </w:tcPr>
          <w:p w:rsidR="00672914" w:rsidRPr="00762D70" w:rsidRDefault="00672914" w:rsidP="001D7C3E">
            <w:pPr>
              <w:rPr>
                <w:sz w:val="18"/>
                <w:szCs w:val="18"/>
              </w:rPr>
            </w:pPr>
          </w:p>
        </w:tc>
        <w:tc>
          <w:tcPr>
            <w:tcW w:w="3969" w:type="dxa"/>
          </w:tcPr>
          <w:p w:rsidR="00672914" w:rsidRPr="00762D70" w:rsidRDefault="00672914" w:rsidP="001D7C3E">
            <w:pPr>
              <w:rPr>
                <w:sz w:val="18"/>
                <w:szCs w:val="18"/>
              </w:rPr>
            </w:pPr>
            <w:r w:rsidRPr="00762D70">
              <w:rPr>
                <w:sz w:val="18"/>
                <w:szCs w:val="18"/>
              </w:rPr>
              <w:t>Roles and responsibilities of senior management, line department and staff</w:t>
            </w:r>
          </w:p>
        </w:tc>
        <w:tc>
          <w:tcPr>
            <w:tcW w:w="1276" w:type="dxa"/>
            <w:vAlign w:val="center"/>
          </w:tcPr>
          <w:p w:rsidR="00672914" w:rsidRPr="00762D70" w:rsidRDefault="00672914" w:rsidP="009D764D">
            <w:pPr>
              <w:jc w:val="center"/>
              <w:rPr>
                <w:sz w:val="18"/>
                <w:szCs w:val="18"/>
              </w:rPr>
            </w:pPr>
            <w:r w:rsidRPr="00762D70">
              <w:rPr>
                <w:sz w:val="18"/>
                <w:szCs w:val="18"/>
              </w:rPr>
              <w:sym w:font="Wingdings" w:char="F0FC"/>
            </w:r>
          </w:p>
        </w:tc>
        <w:tc>
          <w:tcPr>
            <w:tcW w:w="6379" w:type="dxa"/>
            <w:vMerge/>
          </w:tcPr>
          <w:p w:rsidR="00672914" w:rsidRPr="00762D70" w:rsidRDefault="00672914" w:rsidP="001D7C3E">
            <w:pPr>
              <w:rPr>
                <w:sz w:val="18"/>
                <w:szCs w:val="18"/>
              </w:rPr>
            </w:pPr>
          </w:p>
        </w:tc>
      </w:tr>
      <w:tr w:rsidR="00672914" w:rsidTr="00584451">
        <w:trPr>
          <w:trHeight w:val="256"/>
        </w:trPr>
        <w:tc>
          <w:tcPr>
            <w:tcW w:w="2977" w:type="dxa"/>
            <w:vMerge/>
          </w:tcPr>
          <w:p w:rsidR="00672914" w:rsidRPr="00762D70" w:rsidRDefault="00672914" w:rsidP="001D7C3E">
            <w:pPr>
              <w:rPr>
                <w:sz w:val="18"/>
                <w:szCs w:val="18"/>
              </w:rPr>
            </w:pPr>
          </w:p>
        </w:tc>
        <w:tc>
          <w:tcPr>
            <w:tcW w:w="3969" w:type="dxa"/>
          </w:tcPr>
          <w:p w:rsidR="00672914" w:rsidRPr="00762D70" w:rsidRDefault="00672914" w:rsidP="001D7C3E">
            <w:pPr>
              <w:rPr>
                <w:sz w:val="18"/>
                <w:szCs w:val="18"/>
              </w:rPr>
            </w:pPr>
            <w:r w:rsidRPr="00762D70">
              <w:rPr>
                <w:sz w:val="18"/>
                <w:szCs w:val="18"/>
              </w:rPr>
              <w:t>Policy document available on the website and for staff</w:t>
            </w:r>
          </w:p>
        </w:tc>
        <w:tc>
          <w:tcPr>
            <w:tcW w:w="1276" w:type="dxa"/>
            <w:vAlign w:val="center"/>
          </w:tcPr>
          <w:p w:rsidR="00672914" w:rsidRPr="00762D70" w:rsidRDefault="00672914" w:rsidP="009D764D">
            <w:pPr>
              <w:jc w:val="center"/>
              <w:rPr>
                <w:sz w:val="18"/>
                <w:szCs w:val="18"/>
              </w:rPr>
            </w:pPr>
            <w:r w:rsidRPr="00762D70">
              <w:rPr>
                <w:sz w:val="18"/>
                <w:szCs w:val="18"/>
              </w:rPr>
              <w:t>In progress</w:t>
            </w:r>
          </w:p>
        </w:tc>
        <w:tc>
          <w:tcPr>
            <w:tcW w:w="6379" w:type="dxa"/>
            <w:vMerge/>
          </w:tcPr>
          <w:p w:rsidR="00672914" w:rsidRPr="00762D70" w:rsidRDefault="00672914" w:rsidP="001D7C3E">
            <w:pPr>
              <w:rPr>
                <w:sz w:val="18"/>
                <w:szCs w:val="18"/>
              </w:rPr>
            </w:pPr>
          </w:p>
        </w:tc>
      </w:tr>
      <w:tr w:rsidR="00672914" w:rsidTr="00584451">
        <w:trPr>
          <w:trHeight w:val="256"/>
        </w:trPr>
        <w:tc>
          <w:tcPr>
            <w:tcW w:w="2977" w:type="dxa"/>
            <w:vMerge/>
          </w:tcPr>
          <w:p w:rsidR="00672914" w:rsidRPr="00762D70" w:rsidRDefault="00672914" w:rsidP="001D7C3E">
            <w:pPr>
              <w:rPr>
                <w:sz w:val="18"/>
                <w:szCs w:val="18"/>
              </w:rPr>
            </w:pPr>
          </w:p>
        </w:tc>
        <w:tc>
          <w:tcPr>
            <w:tcW w:w="3969" w:type="dxa"/>
          </w:tcPr>
          <w:p w:rsidR="00672914" w:rsidRPr="00762D70" w:rsidRDefault="00672914" w:rsidP="001D7C3E">
            <w:pPr>
              <w:rPr>
                <w:sz w:val="18"/>
                <w:szCs w:val="18"/>
              </w:rPr>
            </w:pPr>
            <w:r w:rsidRPr="00762D70">
              <w:rPr>
                <w:sz w:val="18"/>
                <w:szCs w:val="18"/>
              </w:rPr>
              <w:t>Framework contains key components of accountability</w:t>
            </w:r>
          </w:p>
        </w:tc>
        <w:tc>
          <w:tcPr>
            <w:tcW w:w="1276" w:type="dxa"/>
            <w:vAlign w:val="center"/>
          </w:tcPr>
          <w:p w:rsidR="00672914" w:rsidRPr="00762D70" w:rsidRDefault="00672914" w:rsidP="009D764D">
            <w:pPr>
              <w:jc w:val="center"/>
              <w:rPr>
                <w:sz w:val="18"/>
                <w:szCs w:val="18"/>
              </w:rPr>
            </w:pPr>
            <w:r w:rsidRPr="00762D70">
              <w:rPr>
                <w:sz w:val="18"/>
                <w:szCs w:val="18"/>
              </w:rPr>
              <w:sym w:font="Wingdings" w:char="F0FC"/>
            </w:r>
          </w:p>
        </w:tc>
        <w:tc>
          <w:tcPr>
            <w:tcW w:w="6379" w:type="dxa"/>
            <w:vMerge/>
          </w:tcPr>
          <w:p w:rsidR="00672914" w:rsidRPr="00762D70" w:rsidRDefault="00672914" w:rsidP="001D7C3E">
            <w:pPr>
              <w:rPr>
                <w:sz w:val="18"/>
                <w:szCs w:val="18"/>
              </w:rPr>
            </w:pPr>
          </w:p>
        </w:tc>
      </w:tr>
      <w:tr w:rsidR="00672914" w:rsidTr="00584451">
        <w:trPr>
          <w:trHeight w:val="479"/>
        </w:trPr>
        <w:tc>
          <w:tcPr>
            <w:tcW w:w="2977" w:type="dxa"/>
            <w:vMerge w:val="restart"/>
          </w:tcPr>
          <w:p w:rsidR="00672914" w:rsidRPr="00762D70" w:rsidRDefault="00672914" w:rsidP="001D7C3E">
            <w:pPr>
              <w:rPr>
                <w:sz w:val="18"/>
                <w:szCs w:val="18"/>
              </w:rPr>
            </w:pPr>
            <w:r w:rsidRPr="00762D70">
              <w:rPr>
                <w:sz w:val="18"/>
                <w:szCs w:val="18"/>
              </w:rPr>
              <w:t>2. RBM is operational and coherent with organizational mandates and objectives, and cascades down into unit and personal work plans</w:t>
            </w:r>
          </w:p>
        </w:tc>
        <w:tc>
          <w:tcPr>
            <w:tcW w:w="3969" w:type="dxa"/>
          </w:tcPr>
          <w:p w:rsidR="00672914" w:rsidRPr="00762D70" w:rsidRDefault="00672914" w:rsidP="001D7C3E">
            <w:pPr>
              <w:rPr>
                <w:sz w:val="18"/>
                <w:szCs w:val="18"/>
              </w:rPr>
            </w:pPr>
            <w:r w:rsidRPr="00762D70">
              <w:rPr>
                <w:sz w:val="18"/>
                <w:szCs w:val="18"/>
              </w:rPr>
              <w:t>Strategic plans</w:t>
            </w:r>
          </w:p>
        </w:tc>
        <w:tc>
          <w:tcPr>
            <w:tcW w:w="1276" w:type="dxa"/>
            <w:vAlign w:val="center"/>
          </w:tcPr>
          <w:p w:rsidR="00672914" w:rsidRPr="00762D70" w:rsidRDefault="00672914" w:rsidP="009D764D">
            <w:pPr>
              <w:jc w:val="center"/>
              <w:rPr>
                <w:sz w:val="18"/>
                <w:szCs w:val="18"/>
              </w:rPr>
            </w:pPr>
            <w:r w:rsidRPr="00762D70">
              <w:rPr>
                <w:sz w:val="18"/>
                <w:szCs w:val="18"/>
              </w:rPr>
              <w:sym w:font="Wingdings" w:char="F0FC"/>
            </w:r>
          </w:p>
        </w:tc>
        <w:tc>
          <w:tcPr>
            <w:tcW w:w="6379" w:type="dxa"/>
            <w:vMerge w:val="restart"/>
            <w:vAlign w:val="center"/>
          </w:tcPr>
          <w:p w:rsidR="00196061" w:rsidRDefault="00196061" w:rsidP="009D764D">
            <w:pPr>
              <w:rPr>
                <w:sz w:val="18"/>
                <w:szCs w:val="18"/>
              </w:rPr>
            </w:pPr>
            <w:r w:rsidRPr="00196061">
              <w:rPr>
                <w:sz w:val="18"/>
                <w:szCs w:val="18"/>
              </w:rPr>
              <w:t>RBM is operational and coherent with the organizational mandates and objectives (strategic goals and targets, Sector and Inter-Sectoral Objectives/Outcomes, Outputs</w:t>
            </w:r>
            <w:r>
              <w:rPr>
                <w:sz w:val="18"/>
                <w:szCs w:val="18"/>
              </w:rPr>
              <w:t xml:space="preserve"> and Enablers/Support Services.</w:t>
            </w:r>
          </w:p>
          <w:p w:rsidR="00196061" w:rsidRPr="00762D70" w:rsidRDefault="00196061" w:rsidP="009D764D">
            <w:pPr>
              <w:rPr>
                <w:sz w:val="18"/>
                <w:szCs w:val="18"/>
              </w:rPr>
            </w:pPr>
            <w:r w:rsidRPr="00196061">
              <w:rPr>
                <w:sz w:val="18"/>
                <w:szCs w:val="18"/>
              </w:rPr>
              <w:t xml:space="preserve">Unit and Personal work plans are being elaborated </w:t>
            </w:r>
            <w:r>
              <w:rPr>
                <w:sz w:val="18"/>
                <w:szCs w:val="18"/>
              </w:rPr>
              <w:t xml:space="preserve">based on the </w:t>
            </w:r>
            <w:r w:rsidRPr="00196061">
              <w:rPr>
                <w:sz w:val="18"/>
                <w:szCs w:val="18"/>
              </w:rPr>
              <w:t>results-framework of the organization.</w:t>
            </w:r>
          </w:p>
        </w:tc>
      </w:tr>
      <w:tr w:rsidR="00672914" w:rsidTr="00584451">
        <w:trPr>
          <w:trHeight w:val="454"/>
        </w:trPr>
        <w:tc>
          <w:tcPr>
            <w:tcW w:w="2977" w:type="dxa"/>
            <w:vMerge/>
          </w:tcPr>
          <w:p w:rsidR="00672914" w:rsidRPr="00762D70" w:rsidRDefault="00672914" w:rsidP="001D7C3E">
            <w:pPr>
              <w:rPr>
                <w:sz w:val="18"/>
                <w:szCs w:val="18"/>
              </w:rPr>
            </w:pPr>
          </w:p>
        </w:tc>
        <w:tc>
          <w:tcPr>
            <w:tcW w:w="3969" w:type="dxa"/>
          </w:tcPr>
          <w:p w:rsidR="00672914" w:rsidRPr="00762D70" w:rsidRDefault="00672914" w:rsidP="001D7C3E">
            <w:pPr>
              <w:rPr>
                <w:sz w:val="18"/>
                <w:szCs w:val="18"/>
              </w:rPr>
            </w:pPr>
            <w:r w:rsidRPr="00762D70">
              <w:rPr>
                <w:sz w:val="18"/>
                <w:szCs w:val="18"/>
              </w:rPr>
              <w:t>Unit work plans</w:t>
            </w:r>
          </w:p>
        </w:tc>
        <w:tc>
          <w:tcPr>
            <w:tcW w:w="1276" w:type="dxa"/>
            <w:vAlign w:val="center"/>
          </w:tcPr>
          <w:p w:rsidR="00672914" w:rsidRPr="00762D70" w:rsidRDefault="00672914" w:rsidP="009D764D">
            <w:pPr>
              <w:jc w:val="center"/>
              <w:rPr>
                <w:sz w:val="18"/>
                <w:szCs w:val="18"/>
              </w:rPr>
            </w:pPr>
            <w:r w:rsidRPr="00762D70">
              <w:rPr>
                <w:sz w:val="18"/>
                <w:szCs w:val="18"/>
              </w:rPr>
              <w:t>In progress</w:t>
            </w:r>
          </w:p>
        </w:tc>
        <w:tc>
          <w:tcPr>
            <w:tcW w:w="6379" w:type="dxa"/>
            <w:vMerge/>
            <w:vAlign w:val="center"/>
          </w:tcPr>
          <w:p w:rsidR="00672914" w:rsidRPr="00762D70" w:rsidRDefault="00672914" w:rsidP="009D764D">
            <w:pPr>
              <w:rPr>
                <w:sz w:val="18"/>
                <w:szCs w:val="18"/>
              </w:rPr>
            </w:pPr>
          </w:p>
        </w:tc>
      </w:tr>
      <w:tr w:rsidR="00672914" w:rsidTr="00584451">
        <w:trPr>
          <w:trHeight w:val="287"/>
        </w:trPr>
        <w:tc>
          <w:tcPr>
            <w:tcW w:w="2977" w:type="dxa"/>
            <w:vMerge/>
          </w:tcPr>
          <w:p w:rsidR="00672914" w:rsidRPr="00762D70" w:rsidRDefault="00672914" w:rsidP="001D7C3E">
            <w:pPr>
              <w:rPr>
                <w:sz w:val="18"/>
                <w:szCs w:val="18"/>
              </w:rPr>
            </w:pPr>
          </w:p>
        </w:tc>
        <w:tc>
          <w:tcPr>
            <w:tcW w:w="3969" w:type="dxa"/>
          </w:tcPr>
          <w:p w:rsidR="00672914" w:rsidRPr="00762D70" w:rsidRDefault="00DE356C" w:rsidP="001D7C3E">
            <w:pPr>
              <w:rPr>
                <w:sz w:val="18"/>
                <w:szCs w:val="18"/>
              </w:rPr>
            </w:pPr>
            <w:r w:rsidRPr="00762D70">
              <w:rPr>
                <w:sz w:val="18"/>
                <w:szCs w:val="18"/>
              </w:rPr>
              <w:t>Personal work objectives</w:t>
            </w:r>
          </w:p>
        </w:tc>
        <w:tc>
          <w:tcPr>
            <w:tcW w:w="1276" w:type="dxa"/>
            <w:vAlign w:val="center"/>
          </w:tcPr>
          <w:p w:rsidR="00672914" w:rsidRPr="00762D70" w:rsidRDefault="00672914" w:rsidP="009D764D">
            <w:pPr>
              <w:jc w:val="center"/>
              <w:rPr>
                <w:sz w:val="18"/>
                <w:szCs w:val="18"/>
              </w:rPr>
            </w:pPr>
            <w:r w:rsidRPr="00762D70">
              <w:rPr>
                <w:sz w:val="18"/>
                <w:szCs w:val="18"/>
              </w:rPr>
              <w:t>In progress</w:t>
            </w:r>
          </w:p>
        </w:tc>
        <w:tc>
          <w:tcPr>
            <w:tcW w:w="6379" w:type="dxa"/>
            <w:vMerge/>
            <w:vAlign w:val="center"/>
          </w:tcPr>
          <w:p w:rsidR="00672914" w:rsidRPr="00762D70" w:rsidRDefault="00672914" w:rsidP="009D764D">
            <w:pPr>
              <w:rPr>
                <w:sz w:val="18"/>
                <w:szCs w:val="18"/>
              </w:rPr>
            </w:pPr>
          </w:p>
        </w:tc>
      </w:tr>
      <w:tr w:rsidR="00672914" w:rsidTr="00584451">
        <w:tc>
          <w:tcPr>
            <w:tcW w:w="2977" w:type="dxa"/>
          </w:tcPr>
          <w:p w:rsidR="00672914" w:rsidRPr="00762D70" w:rsidRDefault="00672914" w:rsidP="001D7C3E">
            <w:pPr>
              <w:rPr>
                <w:sz w:val="18"/>
                <w:szCs w:val="18"/>
              </w:rPr>
            </w:pPr>
            <w:r w:rsidRPr="00762D70">
              <w:rPr>
                <w:sz w:val="18"/>
                <w:szCs w:val="18"/>
              </w:rPr>
              <w:t>3. Organizations conduct credible, utilization-focused evaluations and communicate the findings, conclusions and recommendations to stakeholders</w:t>
            </w:r>
          </w:p>
        </w:tc>
        <w:tc>
          <w:tcPr>
            <w:tcW w:w="3969" w:type="dxa"/>
          </w:tcPr>
          <w:p w:rsidR="00672914" w:rsidRPr="00762D70" w:rsidRDefault="00672914" w:rsidP="001D7C3E">
            <w:pPr>
              <w:rPr>
                <w:sz w:val="18"/>
                <w:szCs w:val="18"/>
              </w:rPr>
            </w:pPr>
            <w:r w:rsidRPr="00762D70">
              <w:rPr>
                <w:sz w:val="18"/>
                <w:szCs w:val="18"/>
              </w:rPr>
              <w:t>Evaluation function</w:t>
            </w:r>
          </w:p>
        </w:tc>
        <w:tc>
          <w:tcPr>
            <w:tcW w:w="1276" w:type="dxa"/>
            <w:vAlign w:val="center"/>
          </w:tcPr>
          <w:p w:rsidR="00672914" w:rsidRPr="00762D70" w:rsidRDefault="00196061" w:rsidP="009D764D">
            <w:pPr>
              <w:jc w:val="center"/>
              <w:rPr>
                <w:sz w:val="18"/>
                <w:szCs w:val="18"/>
              </w:rPr>
            </w:pPr>
            <w:r w:rsidRPr="00196061">
              <w:rPr>
                <w:sz w:val="18"/>
                <w:szCs w:val="18"/>
              </w:rPr>
              <w:t>Under consideration</w:t>
            </w:r>
          </w:p>
        </w:tc>
        <w:tc>
          <w:tcPr>
            <w:tcW w:w="6379" w:type="dxa"/>
            <w:vAlign w:val="center"/>
          </w:tcPr>
          <w:p w:rsidR="00672914" w:rsidRPr="00762D70" w:rsidRDefault="00196061" w:rsidP="009D764D">
            <w:pPr>
              <w:rPr>
                <w:sz w:val="18"/>
                <w:szCs w:val="18"/>
              </w:rPr>
            </w:pPr>
            <w:r w:rsidRPr="00196061">
              <w:rPr>
                <w:sz w:val="18"/>
                <w:szCs w:val="18"/>
              </w:rPr>
              <w:t>An ITU Evaluation feasibility study is being conducted to produce: a) Brief report detailing performance identified and recommended for inclusion in evaluation process, b) Brief report detailing the evaluation needs at ITU, based on a recommended evaluation scope and objectives, and c) Evaluation policy, guidelines, work</w:t>
            </w:r>
            <w:r w:rsidR="00584451">
              <w:rPr>
                <w:sz w:val="18"/>
                <w:szCs w:val="18"/>
              </w:rPr>
              <w:t xml:space="preserve"> </w:t>
            </w:r>
            <w:r w:rsidRPr="00196061">
              <w:rPr>
                <w:sz w:val="18"/>
                <w:szCs w:val="18"/>
              </w:rPr>
              <w:t>p</w:t>
            </w:r>
            <w:r>
              <w:rPr>
                <w:sz w:val="18"/>
                <w:szCs w:val="18"/>
              </w:rPr>
              <w:t>lan and further steps document.</w:t>
            </w:r>
          </w:p>
        </w:tc>
      </w:tr>
      <w:tr w:rsidR="00672914" w:rsidTr="00584451">
        <w:trPr>
          <w:trHeight w:val="576"/>
        </w:trPr>
        <w:tc>
          <w:tcPr>
            <w:tcW w:w="2977" w:type="dxa"/>
            <w:vMerge w:val="restart"/>
          </w:tcPr>
          <w:p w:rsidR="00672914" w:rsidRPr="00762D70" w:rsidRDefault="00672914" w:rsidP="001D7C3E">
            <w:pPr>
              <w:rPr>
                <w:sz w:val="18"/>
                <w:szCs w:val="18"/>
              </w:rPr>
            </w:pPr>
            <w:r w:rsidRPr="00762D70">
              <w:rPr>
                <w:sz w:val="18"/>
                <w:szCs w:val="18"/>
              </w:rPr>
              <w:t>4. Organizations have an effectively implemented established information disclosure policy whereby the results of the organization’s activities are communicated regularly to legislative organs, member States and other stakeholders, including donors, beneficiaries and the general public</w:t>
            </w:r>
          </w:p>
        </w:tc>
        <w:tc>
          <w:tcPr>
            <w:tcW w:w="3969" w:type="dxa"/>
          </w:tcPr>
          <w:p w:rsidR="00672914" w:rsidRPr="00762D70" w:rsidRDefault="00672914" w:rsidP="001D7C3E">
            <w:pPr>
              <w:rPr>
                <w:sz w:val="18"/>
                <w:szCs w:val="18"/>
              </w:rPr>
            </w:pPr>
            <w:r w:rsidRPr="00762D70">
              <w:rPr>
                <w:sz w:val="18"/>
                <w:szCs w:val="18"/>
              </w:rPr>
              <w:t>Information disclosure policy</w:t>
            </w:r>
          </w:p>
        </w:tc>
        <w:tc>
          <w:tcPr>
            <w:tcW w:w="1276" w:type="dxa"/>
            <w:vAlign w:val="center"/>
          </w:tcPr>
          <w:p w:rsidR="00672914" w:rsidRPr="00762D70" w:rsidRDefault="00672914" w:rsidP="009D764D">
            <w:pPr>
              <w:jc w:val="center"/>
              <w:rPr>
                <w:sz w:val="18"/>
                <w:szCs w:val="18"/>
              </w:rPr>
            </w:pPr>
            <w:r w:rsidRPr="00762D70">
              <w:rPr>
                <w:sz w:val="18"/>
                <w:szCs w:val="18"/>
              </w:rPr>
              <w:sym w:font="Wingdings" w:char="F0FC"/>
            </w:r>
          </w:p>
        </w:tc>
        <w:tc>
          <w:tcPr>
            <w:tcW w:w="6379" w:type="dxa"/>
            <w:vMerge w:val="restart"/>
            <w:vAlign w:val="center"/>
          </w:tcPr>
          <w:p w:rsidR="00672914" w:rsidRPr="00762D70" w:rsidRDefault="000E1DEB" w:rsidP="009D764D">
            <w:pPr>
              <w:rPr>
                <w:sz w:val="18"/>
                <w:szCs w:val="18"/>
              </w:rPr>
            </w:pPr>
            <w:r w:rsidRPr="00762D70">
              <w:rPr>
                <w:sz w:val="18"/>
                <w:szCs w:val="18"/>
              </w:rPr>
              <w:t xml:space="preserve">As a step forward towards more transparency and accountability, ITU Council adopted at its 2016 session the </w:t>
            </w:r>
            <w:r w:rsidRPr="00762D70">
              <w:rPr>
                <w:rFonts w:ascii="Calibri" w:eastAsia="Times New Roman" w:hAnsi="Calibri"/>
                <w:sz w:val="18"/>
                <w:szCs w:val="18"/>
                <w:lang w:val="en-GB" w:eastAsia="en-US"/>
              </w:rPr>
              <w:t>ITU’s information/document access policy which “… ensures access by the public to information held, managed or generated by ITU”; this policy will enter into force on 1 January 2017 on a provisional basis.</w:t>
            </w:r>
          </w:p>
        </w:tc>
      </w:tr>
      <w:tr w:rsidR="00672914" w:rsidTr="00584451">
        <w:tc>
          <w:tcPr>
            <w:tcW w:w="2977" w:type="dxa"/>
            <w:vMerge/>
          </w:tcPr>
          <w:p w:rsidR="00672914" w:rsidRPr="00762D70" w:rsidRDefault="00672914" w:rsidP="001D7C3E">
            <w:pPr>
              <w:rPr>
                <w:sz w:val="18"/>
                <w:szCs w:val="18"/>
              </w:rPr>
            </w:pPr>
          </w:p>
        </w:tc>
        <w:tc>
          <w:tcPr>
            <w:tcW w:w="3969" w:type="dxa"/>
          </w:tcPr>
          <w:p w:rsidR="00672914" w:rsidRPr="00762D70" w:rsidRDefault="00672914" w:rsidP="001D7C3E">
            <w:pPr>
              <w:rPr>
                <w:sz w:val="18"/>
                <w:szCs w:val="18"/>
              </w:rPr>
            </w:pPr>
            <w:r w:rsidRPr="00762D70">
              <w:rPr>
                <w:sz w:val="18"/>
                <w:szCs w:val="18"/>
              </w:rPr>
              <w:t>Evaluation and audit results</w:t>
            </w:r>
          </w:p>
        </w:tc>
        <w:tc>
          <w:tcPr>
            <w:tcW w:w="1276" w:type="dxa"/>
            <w:vAlign w:val="center"/>
          </w:tcPr>
          <w:p w:rsidR="00672914" w:rsidRPr="00762D70" w:rsidRDefault="00672914" w:rsidP="009D764D">
            <w:pPr>
              <w:jc w:val="center"/>
              <w:rPr>
                <w:sz w:val="18"/>
                <w:szCs w:val="18"/>
              </w:rPr>
            </w:pPr>
            <w:r w:rsidRPr="00762D70">
              <w:rPr>
                <w:sz w:val="18"/>
                <w:szCs w:val="18"/>
              </w:rPr>
              <w:sym w:font="Wingdings" w:char="F0FC"/>
            </w:r>
          </w:p>
        </w:tc>
        <w:tc>
          <w:tcPr>
            <w:tcW w:w="6379" w:type="dxa"/>
            <w:vMerge/>
            <w:vAlign w:val="center"/>
          </w:tcPr>
          <w:p w:rsidR="00672914" w:rsidRPr="00762D70" w:rsidRDefault="00672914" w:rsidP="009D764D">
            <w:pPr>
              <w:rPr>
                <w:sz w:val="18"/>
                <w:szCs w:val="18"/>
              </w:rPr>
            </w:pPr>
          </w:p>
        </w:tc>
      </w:tr>
      <w:tr w:rsidR="00672914" w:rsidTr="00584451">
        <w:tc>
          <w:tcPr>
            <w:tcW w:w="2977" w:type="dxa"/>
            <w:vMerge/>
          </w:tcPr>
          <w:p w:rsidR="00672914" w:rsidRPr="00762D70" w:rsidRDefault="00672914" w:rsidP="001D7C3E">
            <w:pPr>
              <w:rPr>
                <w:sz w:val="18"/>
                <w:szCs w:val="18"/>
              </w:rPr>
            </w:pPr>
          </w:p>
        </w:tc>
        <w:tc>
          <w:tcPr>
            <w:tcW w:w="3969" w:type="dxa"/>
          </w:tcPr>
          <w:p w:rsidR="00672914" w:rsidRPr="00762D70" w:rsidRDefault="00672914" w:rsidP="001D7C3E">
            <w:pPr>
              <w:rPr>
                <w:sz w:val="18"/>
                <w:szCs w:val="18"/>
              </w:rPr>
            </w:pPr>
            <w:r w:rsidRPr="00762D70">
              <w:rPr>
                <w:sz w:val="18"/>
                <w:szCs w:val="18"/>
              </w:rPr>
              <w:t>Consolidated annual financial reports</w:t>
            </w:r>
          </w:p>
        </w:tc>
        <w:tc>
          <w:tcPr>
            <w:tcW w:w="1276" w:type="dxa"/>
            <w:vAlign w:val="center"/>
          </w:tcPr>
          <w:p w:rsidR="00672914" w:rsidRPr="00762D70" w:rsidRDefault="00672914" w:rsidP="009D764D">
            <w:pPr>
              <w:jc w:val="center"/>
              <w:rPr>
                <w:sz w:val="18"/>
                <w:szCs w:val="18"/>
              </w:rPr>
            </w:pPr>
            <w:r w:rsidRPr="00762D70">
              <w:rPr>
                <w:sz w:val="18"/>
                <w:szCs w:val="18"/>
              </w:rPr>
              <w:sym w:font="Wingdings" w:char="F0FC"/>
            </w:r>
          </w:p>
        </w:tc>
        <w:tc>
          <w:tcPr>
            <w:tcW w:w="6379" w:type="dxa"/>
            <w:vMerge w:val="restart"/>
            <w:vAlign w:val="center"/>
          </w:tcPr>
          <w:p w:rsidR="00672914" w:rsidRPr="00762D70" w:rsidRDefault="00672914" w:rsidP="009D764D">
            <w:pPr>
              <w:rPr>
                <w:sz w:val="18"/>
                <w:szCs w:val="18"/>
              </w:rPr>
            </w:pPr>
            <w:r w:rsidRPr="00762D70">
              <w:rPr>
                <w:sz w:val="18"/>
                <w:szCs w:val="18"/>
              </w:rPr>
              <w:t>Consolidated annual reports are presented to Council</w:t>
            </w:r>
          </w:p>
        </w:tc>
      </w:tr>
      <w:tr w:rsidR="00672914" w:rsidTr="00584451">
        <w:tc>
          <w:tcPr>
            <w:tcW w:w="2977" w:type="dxa"/>
            <w:vMerge/>
          </w:tcPr>
          <w:p w:rsidR="00672914" w:rsidRPr="00732706" w:rsidRDefault="00672914" w:rsidP="001D7C3E">
            <w:pPr>
              <w:rPr>
                <w:sz w:val="18"/>
                <w:szCs w:val="18"/>
              </w:rPr>
            </w:pPr>
          </w:p>
        </w:tc>
        <w:tc>
          <w:tcPr>
            <w:tcW w:w="3969" w:type="dxa"/>
          </w:tcPr>
          <w:p w:rsidR="00672914" w:rsidRPr="00732706" w:rsidRDefault="00672914" w:rsidP="001D7C3E">
            <w:pPr>
              <w:rPr>
                <w:sz w:val="18"/>
                <w:szCs w:val="18"/>
              </w:rPr>
            </w:pPr>
            <w:proofErr w:type="spellStart"/>
            <w:r w:rsidRPr="00732706">
              <w:rPr>
                <w:sz w:val="18"/>
                <w:szCs w:val="18"/>
              </w:rPr>
              <w:t>Programme</w:t>
            </w:r>
            <w:proofErr w:type="spellEnd"/>
            <w:r w:rsidRPr="00732706">
              <w:rPr>
                <w:sz w:val="18"/>
                <w:szCs w:val="18"/>
              </w:rPr>
              <w:t xml:space="preserve"> results</w:t>
            </w:r>
          </w:p>
        </w:tc>
        <w:tc>
          <w:tcPr>
            <w:tcW w:w="1276" w:type="dxa"/>
            <w:vAlign w:val="center"/>
          </w:tcPr>
          <w:p w:rsidR="00672914" w:rsidRPr="00732706" w:rsidRDefault="00672914" w:rsidP="009D764D">
            <w:pPr>
              <w:jc w:val="center"/>
              <w:rPr>
                <w:sz w:val="18"/>
                <w:szCs w:val="18"/>
              </w:rPr>
            </w:pPr>
            <w:r w:rsidRPr="00732706">
              <w:rPr>
                <w:sz w:val="18"/>
                <w:szCs w:val="18"/>
              </w:rPr>
              <w:sym w:font="Wingdings" w:char="F0FC"/>
            </w:r>
          </w:p>
        </w:tc>
        <w:tc>
          <w:tcPr>
            <w:tcW w:w="6379" w:type="dxa"/>
            <w:vMerge/>
          </w:tcPr>
          <w:p w:rsidR="00672914" w:rsidRPr="00732706" w:rsidRDefault="00672914" w:rsidP="001D7C3E">
            <w:pPr>
              <w:rPr>
                <w:sz w:val="18"/>
                <w:szCs w:val="18"/>
              </w:rPr>
            </w:pPr>
          </w:p>
        </w:tc>
      </w:tr>
    </w:tbl>
    <w:p w:rsidR="00672914" w:rsidRDefault="00672914">
      <w:r>
        <w:br w:type="page"/>
      </w:r>
    </w:p>
    <w:p w:rsidR="00672914" w:rsidRPr="00672914" w:rsidRDefault="00672914" w:rsidP="00672914">
      <w:pPr>
        <w:rPr>
          <w:b/>
          <w:bCs/>
        </w:rPr>
      </w:pPr>
      <w:r w:rsidRPr="00672914">
        <w:rPr>
          <w:b/>
          <w:bCs/>
        </w:rPr>
        <w:lastRenderedPageBreak/>
        <w:t>Pillar 2</w:t>
      </w:r>
    </w:p>
    <w:tbl>
      <w:tblPr>
        <w:tblStyle w:val="TableGrid"/>
        <w:tblW w:w="14602" w:type="dxa"/>
        <w:tblInd w:w="-5" w:type="dxa"/>
        <w:tblLayout w:type="fixed"/>
        <w:tblLook w:val="04A0" w:firstRow="1" w:lastRow="0" w:firstColumn="1" w:lastColumn="0" w:noHBand="0" w:noVBand="1"/>
      </w:tblPr>
      <w:tblGrid>
        <w:gridCol w:w="2977"/>
        <w:gridCol w:w="3969"/>
        <w:gridCol w:w="1134"/>
        <w:gridCol w:w="6522"/>
      </w:tblGrid>
      <w:tr w:rsidR="00672914" w:rsidTr="00584451">
        <w:trPr>
          <w:tblHeader/>
        </w:trPr>
        <w:tc>
          <w:tcPr>
            <w:tcW w:w="2977" w:type="dxa"/>
            <w:shd w:val="clear" w:color="auto" w:fill="BDD6EE" w:themeFill="accent1" w:themeFillTint="66"/>
          </w:tcPr>
          <w:p w:rsidR="00672914" w:rsidRPr="00732706" w:rsidRDefault="00672914" w:rsidP="00672914">
            <w:pPr>
              <w:rPr>
                <w:sz w:val="18"/>
                <w:szCs w:val="18"/>
              </w:rPr>
            </w:pPr>
            <w:r w:rsidRPr="00D638C7">
              <w:rPr>
                <w:b/>
                <w:bCs/>
              </w:rPr>
              <w:t>Benchmark</w:t>
            </w:r>
          </w:p>
        </w:tc>
        <w:tc>
          <w:tcPr>
            <w:tcW w:w="3969" w:type="dxa"/>
            <w:shd w:val="clear" w:color="auto" w:fill="BDD6EE" w:themeFill="accent1" w:themeFillTint="66"/>
          </w:tcPr>
          <w:p w:rsidR="00672914" w:rsidRPr="00732706" w:rsidRDefault="00672914" w:rsidP="00672914">
            <w:pPr>
              <w:rPr>
                <w:sz w:val="18"/>
                <w:szCs w:val="18"/>
              </w:rPr>
            </w:pPr>
            <w:r w:rsidRPr="00D638C7">
              <w:rPr>
                <w:b/>
                <w:bCs/>
              </w:rPr>
              <w:t>Tools</w:t>
            </w:r>
          </w:p>
        </w:tc>
        <w:tc>
          <w:tcPr>
            <w:tcW w:w="1134" w:type="dxa"/>
            <w:shd w:val="clear" w:color="auto" w:fill="BDD6EE" w:themeFill="accent1" w:themeFillTint="66"/>
          </w:tcPr>
          <w:p w:rsidR="00672914" w:rsidRPr="00732706" w:rsidRDefault="00672914" w:rsidP="003411F7">
            <w:pPr>
              <w:jc w:val="center"/>
              <w:rPr>
                <w:sz w:val="18"/>
                <w:szCs w:val="18"/>
              </w:rPr>
            </w:pPr>
            <w:r w:rsidRPr="00D638C7">
              <w:rPr>
                <w:b/>
                <w:bCs/>
              </w:rPr>
              <w:t>Status</w:t>
            </w:r>
          </w:p>
        </w:tc>
        <w:tc>
          <w:tcPr>
            <w:tcW w:w="6522" w:type="dxa"/>
            <w:shd w:val="clear" w:color="auto" w:fill="BDD6EE" w:themeFill="accent1" w:themeFillTint="66"/>
          </w:tcPr>
          <w:p w:rsidR="00672914" w:rsidRDefault="00672914" w:rsidP="00672914">
            <w:pPr>
              <w:rPr>
                <w:sz w:val="18"/>
                <w:szCs w:val="18"/>
              </w:rPr>
            </w:pPr>
            <w:r w:rsidRPr="00D638C7">
              <w:rPr>
                <w:b/>
                <w:bCs/>
              </w:rPr>
              <w:t>Comment</w:t>
            </w:r>
          </w:p>
        </w:tc>
      </w:tr>
      <w:tr w:rsidR="003411F7" w:rsidTr="00584451">
        <w:tc>
          <w:tcPr>
            <w:tcW w:w="2977" w:type="dxa"/>
            <w:vMerge w:val="restart"/>
          </w:tcPr>
          <w:p w:rsidR="003411F7" w:rsidRPr="00762D70" w:rsidRDefault="003411F7" w:rsidP="00DC128E">
            <w:pPr>
              <w:rPr>
                <w:sz w:val="18"/>
                <w:szCs w:val="18"/>
              </w:rPr>
            </w:pPr>
            <w:r w:rsidRPr="00762D70">
              <w:rPr>
                <w:sz w:val="18"/>
                <w:szCs w:val="18"/>
              </w:rPr>
              <w:t>5. Ethical conduct, standards of integrity, anti-corruption and anti-fraud</w:t>
            </w:r>
            <w:r w:rsidR="00DC128E">
              <w:rPr>
                <w:sz w:val="18"/>
                <w:szCs w:val="18"/>
              </w:rPr>
              <w:t xml:space="preserve"> </w:t>
            </w:r>
            <w:r w:rsidRPr="00762D70">
              <w:rPr>
                <w:sz w:val="18"/>
                <w:szCs w:val="18"/>
              </w:rPr>
              <w:t>policies are in place and enforced</w:t>
            </w:r>
          </w:p>
        </w:tc>
        <w:tc>
          <w:tcPr>
            <w:tcW w:w="3969" w:type="dxa"/>
          </w:tcPr>
          <w:p w:rsidR="003411F7" w:rsidRPr="00762D70" w:rsidRDefault="003411F7" w:rsidP="001D7C3E">
            <w:pPr>
              <w:rPr>
                <w:sz w:val="18"/>
                <w:szCs w:val="18"/>
              </w:rPr>
            </w:pPr>
            <w:r w:rsidRPr="00762D70">
              <w:rPr>
                <w:sz w:val="18"/>
                <w:szCs w:val="18"/>
              </w:rPr>
              <w:t xml:space="preserve">Staff regulations/code of conduct for staff members, including harassment </w:t>
            </w:r>
          </w:p>
        </w:tc>
        <w:tc>
          <w:tcPr>
            <w:tcW w:w="1134" w:type="dxa"/>
            <w:vAlign w:val="center"/>
          </w:tcPr>
          <w:p w:rsidR="003411F7" w:rsidRPr="00762D70" w:rsidRDefault="003411F7" w:rsidP="003411F7">
            <w:pPr>
              <w:jc w:val="center"/>
              <w:rPr>
                <w:sz w:val="18"/>
                <w:szCs w:val="18"/>
              </w:rPr>
            </w:pPr>
            <w:r w:rsidRPr="00762D70">
              <w:rPr>
                <w:sz w:val="18"/>
                <w:szCs w:val="18"/>
              </w:rPr>
              <w:sym w:font="Wingdings" w:char="F0FC"/>
            </w:r>
          </w:p>
        </w:tc>
        <w:tc>
          <w:tcPr>
            <w:tcW w:w="6522" w:type="dxa"/>
            <w:vMerge w:val="restart"/>
            <w:vAlign w:val="center"/>
          </w:tcPr>
          <w:p w:rsidR="003411F7" w:rsidRPr="00762D70" w:rsidRDefault="003411F7" w:rsidP="00DC128E">
            <w:pPr>
              <w:rPr>
                <w:sz w:val="18"/>
                <w:szCs w:val="18"/>
              </w:rPr>
            </w:pPr>
            <w:r w:rsidRPr="00762D70">
              <w:rPr>
                <w:sz w:val="18"/>
                <w:szCs w:val="18"/>
              </w:rPr>
              <w:t>A new Ethics Officer has been appointed on 1 November 2016</w:t>
            </w:r>
            <w:r>
              <w:rPr>
                <w:sz w:val="18"/>
                <w:szCs w:val="18"/>
              </w:rPr>
              <w:t>.</w:t>
            </w:r>
          </w:p>
        </w:tc>
      </w:tr>
      <w:tr w:rsidR="003411F7" w:rsidTr="00584451">
        <w:tc>
          <w:tcPr>
            <w:tcW w:w="2977" w:type="dxa"/>
            <w:vMerge/>
          </w:tcPr>
          <w:p w:rsidR="003411F7" w:rsidRPr="00762D70" w:rsidRDefault="003411F7" w:rsidP="007D2DA5">
            <w:pPr>
              <w:rPr>
                <w:sz w:val="18"/>
                <w:szCs w:val="18"/>
              </w:rPr>
            </w:pPr>
          </w:p>
        </w:tc>
        <w:tc>
          <w:tcPr>
            <w:tcW w:w="3969" w:type="dxa"/>
          </w:tcPr>
          <w:p w:rsidR="003411F7" w:rsidRPr="00762D70" w:rsidRDefault="003411F7" w:rsidP="007D2DA5">
            <w:pPr>
              <w:rPr>
                <w:sz w:val="18"/>
                <w:szCs w:val="18"/>
              </w:rPr>
            </w:pPr>
            <w:r w:rsidRPr="00762D70">
              <w:rPr>
                <w:sz w:val="18"/>
                <w:szCs w:val="18"/>
              </w:rPr>
              <w:t>Ethics function</w:t>
            </w:r>
          </w:p>
        </w:tc>
        <w:tc>
          <w:tcPr>
            <w:tcW w:w="1134" w:type="dxa"/>
            <w:vAlign w:val="center"/>
          </w:tcPr>
          <w:p w:rsidR="003411F7" w:rsidRPr="00762D70" w:rsidRDefault="003411F7" w:rsidP="003411F7">
            <w:pPr>
              <w:jc w:val="center"/>
              <w:rPr>
                <w:sz w:val="18"/>
                <w:szCs w:val="18"/>
              </w:rPr>
            </w:pPr>
            <w:r w:rsidRPr="00762D70">
              <w:rPr>
                <w:sz w:val="18"/>
                <w:szCs w:val="18"/>
              </w:rPr>
              <w:sym w:font="Wingdings" w:char="F0FC"/>
            </w:r>
          </w:p>
        </w:tc>
        <w:tc>
          <w:tcPr>
            <w:tcW w:w="6522" w:type="dxa"/>
            <w:vMerge/>
          </w:tcPr>
          <w:p w:rsidR="003411F7" w:rsidRPr="00762D70" w:rsidRDefault="003411F7" w:rsidP="007D2DA5">
            <w:pPr>
              <w:rPr>
                <w:sz w:val="18"/>
                <w:szCs w:val="18"/>
              </w:rPr>
            </w:pPr>
          </w:p>
        </w:tc>
      </w:tr>
      <w:tr w:rsidR="00672914" w:rsidTr="00584451">
        <w:tc>
          <w:tcPr>
            <w:tcW w:w="2977" w:type="dxa"/>
            <w:vMerge/>
          </w:tcPr>
          <w:p w:rsidR="00672914" w:rsidRPr="00762D70" w:rsidRDefault="00672914" w:rsidP="00732706">
            <w:pPr>
              <w:rPr>
                <w:sz w:val="18"/>
                <w:szCs w:val="18"/>
              </w:rPr>
            </w:pPr>
          </w:p>
        </w:tc>
        <w:tc>
          <w:tcPr>
            <w:tcW w:w="3969" w:type="dxa"/>
          </w:tcPr>
          <w:p w:rsidR="00672914" w:rsidRPr="00762D70" w:rsidRDefault="00672914" w:rsidP="00732706">
            <w:pPr>
              <w:rPr>
                <w:sz w:val="18"/>
                <w:szCs w:val="18"/>
              </w:rPr>
            </w:pPr>
            <w:r w:rsidRPr="00762D70">
              <w:rPr>
                <w:sz w:val="18"/>
                <w:szCs w:val="18"/>
              </w:rPr>
              <w:t xml:space="preserve">Gifts, </w:t>
            </w:r>
            <w:r w:rsidR="00E07E62" w:rsidRPr="00762D70">
              <w:rPr>
                <w:sz w:val="18"/>
                <w:szCs w:val="18"/>
              </w:rPr>
              <w:t>favors</w:t>
            </w:r>
            <w:r w:rsidRPr="00762D70">
              <w:rPr>
                <w:sz w:val="18"/>
                <w:szCs w:val="18"/>
              </w:rPr>
              <w:t xml:space="preserve"> and hospitality policy</w:t>
            </w:r>
          </w:p>
        </w:tc>
        <w:tc>
          <w:tcPr>
            <w:tcW w:w="1134" w:type="dxa"/>
            <w:vAlign w:val="center"/>
          </w:tcPr>
          <w:p w:rsidR="00672914" w:rsidRPr="00762D70" w:rsidRDefault="005B42A9" w:rsidP="003411F7">
            <w:pPr>
              <w:jc w:val="center"/>
              <w:rPr>
                <w:sz w:val="18"/>
                <w:szCs w:val="18"/>
              </w:rPr>
            </w:pPr>
            <w:r w:rsidRPr="00762D70">
              <w:rPr>
                <w:sz w:val="18"/>
                <w:szCs w:val="18"/>
              </w:rPr>
              <w:t>In progress</w:t>
            </w:r>
          </w:p>
        </w:tc>
        <w:tc>
          <w:tcPr>
            <w:tcW w:w="6522" w:type="dxa"/>
          </w:tcPr>
          <w:p w:rsidR="00672914" w:rsidRPr="00762D70" w:rsidRDefault="003411F7" w:rsidP="00732706">
            <w:pPr>
              <w:rPr>
                <w:sz w:val="18"/>
                <w:szCs w:val="18"/>
              </w:rPr>
            </w:pPr>
            <w:r w:rsidRPr="00762D70">
              <w:rPr>
                <w:sz w:val="18"/>
                <w:szCs w:val="18"/>
              </w:rPr>
              <w:t>An improved policy is under preparation</w:t>
            </w:r>
            <w:r>
              <w:rPr>
                <w:sz w:val="18"/>
                <w:szCs w:val="18"/>
              </w:rPr>
              <w:t>.</w:t>
            </w:r>
          </w:p>
        </w:tc>
      </w:tr>
      <w:tr w:rsidR="003411F7" w:rsidTr="00584451">
        <w:tc>
          <w:tcPr>
            <w:tcW w:w="2977" w:type="dxa"/>
            <w:vMerge/>
          </w:tcPr>
          <w:p w:rsidR="003411F7" w:rsidRPr="00762D70" w:rsidRDefault="003411F7" w:rsidP="00732706">
            <w:pPr>
              <w:rPr>
                <w:sz w:val="18"/>
                <w:szCs w:val="18"/>
              </w:rPr>
            </w:pPr>
          </w:p>
        </w:tc>
        <w:tc>
          <w:tcPr>
            <w:tcW w:w="3969" w:type="dxa"/>
          </w:tcPr>
          <w:p w:rsidR="003411F7" w:rsidRPr="00762D70" w:rsidRDefault="003411F7" w:rsidP="00732706">
            <w:pPr>
              <w:rPr>
                <w:sz w:val="18"/>
                <w:szCs w:val="18"/>
              </w:rPr>
            </w:pPr>
            <w:r w:rsidRPr="00762D70">
              <w:rPr>
                <w:sz w:val="18"/>
                <w:szCs w:val="18"/>
              </w:rPr>
              <w:t>Protection against retaliation for reporting wrongdoing (whistle-blower policy)</w:t>
            </w:r>
          </w:p>
        </w:tc>
        <w:tc>
          <w:tcPr>
            <w:tcW w:w="1134" w:type="dxa"/>
            <w:vAlign w:val="center"/>
          </w:tcPr>
          <w:p w:rsidR="003411F7" w:rsidRPr="00762D70" w:rsidRDefault="003411F7" w:rsidP="003411F7">
            <w:pPr>
              <w:jc w:val="center"/>
              <w:rPr>
                <w:sz w:val="18"/>
                <w:szCs w:val="18"/>
              </w:rPr>
            </w:pPr>
            <w:r w:rsidRPr="00762D70">
              <w:rPr>
                <w:sz w:val="18"/>
                <w:szCs w:val="18"/>
              </w:rPr>
              <w:sym w:font="Wingdings" w:char="F0FC"/>
            </w:r>
          </w:p>
        </w:tc>
        <w:tc>
          <w:tcPr>
            <w:tcW w:w="6522" w:type="dxa"/>
            <w:vMerge w:val="restart"/>
          </w:tcPr>
          <w:p w:rsidR="003411F7" w:rsidRPr="00762D70" w:rsidRDefault="003411F7" w:rsidP="00732706">
            <w:pPr>
              <w:rPr>
                <w:sz w:val="18"/>
                <w:szCs w:val="18"/>
              </w:rPr>
            </w:pPr>
          </w:p>
        </w:tc>
      </w:tr>
      <w:tr w:rsidR="003411F7" w:rsidTr="00584451">
        <w:tc>
          <w:tcPr>
            <w:tcW w:w="2977" w:type="dxa"/>
            <w:vMerge/>
          </w:tcPr>
          <w:p w:rsidR="003411F7" w:rsidRPr="00762D70" w:rsidRDefault="003411F7" w:rsidP="00732706">
            <w:pPr>
              <w:rPr>
                <w:sz w:val="18"/>
                <w:szCs w:val="18"/>
              </w:rPr>
            </w:pPr>
          </w:p>
        </w:tc>
        <w:tc>
          <w:tcPr>
            <w:tcW w:w="3969" w:type="dxa"/>
          </w:tcPr>
          <w:p w:rsidR="003411F7" w:rsidRPr="00762D70" w:rsidRDefault="003411F7" w:rsidP="00732706">
            <w:pPr>
              <w:rPr>
                <w:sz w:val="18"/>
                <w:szCs w:val="18"/>
              </w:rPr>
            </w:pPr>
            <w:r w:rsidRPr="00762D70">
              <w:rPr>
                <w:sz w:val="18"/>
                <w:szCs w:val="18"/>
              </w:rPr>
              <w:t>Outside activities policy (conflict of interest)</w:t>
            </w:r>
          </w:p>
        </w:tc>
        <w:tc>
          <w:tcPr>
            <w:tcW w:w="1134" w:type="dxa"/>
            <w:vAlign w:val="center"/>
          </w:tcPr>
          <w:p w:rsidR="003411F7" w:rsidRPr="00762D70" w:rsidRDefault="003411F7" w:rsidP="003411F7">
            <w:pPr>
              <w:jc w:val="center"/>
              <w:rPr>
                <w:sz w:val="18"/>
                <w:szCs w:val="18"/>
              </w:rPr>
            </w:pPr>
            <w:r w:rsidRPr="00762D70">
              <w:rPr>
                <w:sz w:val="18"/>
                <w:szCs w:val="18"/>
              </w:rPr>
              <w:sym w:font="Wingdings" w:char="F0FC"/>
            </w:r>
          </w:p>
        </w:tc>
        <w:tc>
          <w:tcPr>
            <w:tcW w:w="6522" w:type="dxa"/>
            <w:vMerge/>
          </w:tcPr>
          <w:p w:rsidR="003411F7" w:rsidRPr="00762D70" w:rsidRDefault="003411F7" w:rsidP="00732706">
            <w:pPr>
              <w:rPr>
                <w:sz w:val="18"/>
                <w:szCs w:val="18"/>
              </w:rPr>
            </w:pPr>
          </w:p>
        </w:tc>
      </w:tr>
      <w:tr w:rsidR="003411F7" w:rsidTr="00584451">
        <w:tc>
          <w:tcPr>
            <w:tcW w:w="2977" w:type="dxa"/>
            <w:vMerge/>
          </w:tcPr>
          <w:p w:rsidR="003411F7" w:rsidRPr="00762D70" w:rsidRDefault="003411F7" w:rsidP="00732706">
            <w:pPr>
              <w:rPr>
                <w:sz w:val="18"/>
                <w:szCs w:val="18"/>
              </w:rPr>
            </w:pPr>
          </w:p>
        </w:tc>
        <w:tc>
          <w:tcPr>
            <w:tcW w:w="3969" w:type="dxa"/>
          </w:tcPr>
          <w:p w:rsidR="003411F7" w:rsidRPr="00762D70" w:rsidRDefault="003411F7" w:rsidP="00732706">
            <w:pPr>
              <w:rPr>
                <w:sz w:val="18"/>
                <w:szCs w:val="18"/>
              </w:rPr>
            </w:pPr>
            <w:r w:rsidRPr="00762D70">
              <w:rPr>
                <w:sz w:val="18"/>
                <w:szCs w:val="18"/>
              </w:rPr>
              <w:t>Anti-fraud and anti-corruption policy</w:t>
            </w:r>
          </w:p>
        </w:tc>
        <w:tc>
          <w:tcPr>
            <w:tcW w:w="1134" w:type="dxa"/>
            <w:vAlign w:val="center"/>
          </w:tcPr>
          <w:p w:rsidR="003411F7" w:rsidRPr="00762D70" w:rsidRDefault="00A63D05" w:rsidP="003411F7">
            <w:pPr>
              <w:jc w:val="center"/>
              <w:rPr>
                <w:sz w:val="18"/>
                <w:szCs w:val="18"/>
              </w:rPr>
            </w:pPr>
            <w:r w:rsidRPr="00762D70">
              <w:rPr>
                <w:sz w:val="18"/>
                <w:szCs w:val="18"/>
              </w:rPr>
              <w:t>In progress</w:t>
            </w:r>
          </w:p>
        </w:tc>
        <w:tc>
          <w:tcPr>
            <w:tcW w:w="6522" w:type="dxa"/>
            <w:vMerge/>
          </w:tcPr>
          <w:p w:rsidR="003411F7" w:rsidRPr="00762D70" w:rsidRDefault="003411F7" w:rsidP="00732706">
            <w:pPr>
              <w:rPr>
                <w:sz w:val="18"/>
                <w:szCs w:val="18"/>
                <w:highlight w:val="yellow"/>
              </w:rPr>
            </w:pPr>
          </w:p>
        </w:tc>
      </w:tr>
      <w:tr w:rsidR="003411F7" w:rsidTr="00584451">
        <w:tc>
          <w:tcPr>
            <w:tcW w:w="2977" w:type="dxa"/>
            <w:vMerge/>
          </w:tcPr>
          <w:p w:rsidR="003411F7" w:rsidRPr="00762D70" w:rsidRDefault="003411F7" w:rsidP="00732706">
            <w:pPr>
              <w:rPr>
                <w:sz w:val="18"/>
                <w:szCs w:val="18"/>
              </w:rPr>
            </w:pPr>
          </w:p>
        </w:tc>
        <w:tc>
          <w:tcPr>
            <w:tcW w:w="3969" w:type="dxa"/>
          </w:tcPr>
          <w:p w:rsidR="003411F7" w:rsidRPr="00762D70" w:rsidRDefault="003411F7" w:rsidP="00732706">
            <w:pPr>
              <w:rPr>
                <w:sz w:val="18"/>
                <w:szCs w:val="18"/>
              </w:rPr>
            </w:pPr>
            <w:r w:rsidRPr="00762D70">
              <w:rPr>
                <w:sz w:val="18"/>
                <w:szCs w:val="18"/>
              </w:rPr>
              <w:t>Training</w:t>
            </w:r>
          </w:p>
        </w:tc>
        <w:tc>
          <w:tcPr>
            <w:tcW w:w="1134" w:type="dxa"/>
            <w:vAlign w:val="center"/>
          </w:tcPr>
          <w:p w:rsidR="003411F7" w:rsidRPr="00762D70" w:rsidRDefault="00A63D05" w:rsidP="003411F7">
            <w:pPr>
              <w:jc w:val="center"/>
              <w:rPr>
                <w:sz w:val="18"/>
                <w:szCs w:val="18"/>
              </w:rPr>
            </w:pPr>
            <w:r w:rsidRPr="00762D70">
              <w:rPr>
                <w:sz w:val="18"/>
                <w:szCs w:val="18"/>
              </w:rPr>
              <w:t>In progress</w:t>
            </w:r>
          </w:p>
        </w:tc>
        <w:tc>
          <w:tcPr>
            <w:tcW w:w="6522" w:type="dxa"/>
            <w:vMerge/>
          </w:tcPr>
          <w:p w:rsidR="003411F7" w:rsidRPr="00762D70" w:rsidRDefault="003411F7" w:rsidP="00732706">
            <w:pPr>
              <w:rPr>
                <w:sz w:val="18"/>
                <w:szCs w:val="18"/>
              </w:rPr>
            </w:pPr>
          </w:p>
        </w:tc>
      </w:tr>
      <w:tr w:rsidR="00672914" w:rsidTr="00584451">
        <w:tc>
          <w:tcPr>
            <w:tcW w:w="2977" w:type="dxa"/>
            <w:vMerge w:val="restart"/>
          </w:tcPr>
          <w:p w:rsidR="00672914" w:rsidRPr="00762D70" w:rsidRDefault="00672914" w:rsidP="001D7C3E">
            <w:pPr>
              <w:rPr>
                <w:sz w:val="18"/>
                <w:szCs w:val="18"/>
              </w:rPr>
            </w:pPr>
            <w:r w:rsidRPr="00762D70">
              <w:rPr>
                <w:sz w:val="18"/>
                <w:szCs w:val="18"/>
              </w:rPr>
              <w:t xml:space="preserve">6. Failure to comply with enforced policies/regulations results in clear consequences. Sanctions shall be clear and proportional and implemented at all levels. In addition, outstanding performance should be acknowledged by recognition/awards/rewards </w:t>
            </w:r>
          </w:p>
        </w:tc>
        <w:tc>
          <w:tcPr>
            <w:tcW w:w="3969" w:type="dxa"/>
          </w:tcPr>
          <w:p w:rsidR="00672914" w:rsidRPr="00762D70" w:rsidRDefault="00672914" w:rsidP="001D7C3E">
            <w:pPr>
              <w:rPr>
                <w:sz w:val="18"/>
                <w:szCs w:val="18"/>
              </w:rPr>
            </w:pPr>
            <w:r w:rsidRPr="00762D70">
              <w:rPr>
                <w:sz w:val="18"/>
                <w:szCs w:val="18"/>
              </w:rPr>
              <w:t>Policy documents on sanctions and disciplinary action</w:t>
            </w:r>
          </w:p>
        </w:tc>
        <w:tc>
          <w:tcPr>
            <w:tcW w:w="1134" w:type="dxa"/>
            <w:vAlign w:val="center"/>
          </w:tcPr>
          <w:p w:rsidR="00672914" w:rsidRPr="008C4035" w:rsidRDefault="006469D0" w:rsidP="003411F7">
            <w:pPr>
              <w:jc w:val="center"/>
              <w:rPr>
                <w:sz w:val="18"/>
                <w:szCs w:val="18"/>
              </w:rPr>
            </w:pPr>
            <w:r w:rsidRPr="00762D70">
              <w:rPr>
                <w:sz w:val="18"/>
                <w:szCs w:val="18"/>
              </w:rPr>
              <w:t xml:space="preserve">Not </w:t>
            </w:r>
            <w:r w:rsidR="00FA7849">
              <w:rPr>
                <w:sz w:val="18"/>
                <w:szCs w:val="18"/>
              </w:rPr>
              <w:t>applicable</w:t>
            </w:r>
          </w:p>
        </w:tc>
        <w:tc>
          <w:tcPr>
            <w:tcW w:w="6522" w:type="dxa"/>
          </w:tcPr>
          <w:p w:rsidR="00D273CB" w:rsidRPr="008C4035" w:rsidRDefault="008C4035" w:rsidP="001D7C3E">
            <w:pPr>
              <w:rPr>
                <w:sz w:val="18"/>
                <w:szCs w:val="18"/>
              </w:rPr>
            </w:pPr>
            <w:r w:rsidRPr="008C4035">
              <w:rPr>
                <w:sz w:val="18"/>
                <w:szCs w:val="18"/>
              </w:rPr>
              <w:t>Chapter X of the Staff Regulations and Staff Rules</w:t>
            </w:r>
            <w:r>
              <w:rPr>
                <w:sz w:val="18"/>
                <w:szCs w:val="18"/>
              </w:rPr>
              <w:t xml:space="preserve"> are applied.</w:t>
            </w:r>
          </w:p>
        </w:tc>
      </w:tr>
      <w:tr w:rsidR="00672914" w:rsidTr="00584451">
        <w:tc>
          <w:tcPr>
            <w:tcW w:w="2977" w:type="dxa"/>
            <w:vMerge/>
          </w:tcPr>
          <w:p w:rsidR="00672914" w:rsidRPr="00762D70" w:rsidRDefault="00672914" w:rsidP="001D7C3E">
            <w:pPr>
              <w:rPr>
                <w:sz w:val="18"/>
                <w:szCs w:val="18"/>
              </w:rPr>
            </w:pPr>
          </w:p>
        </w:tc>
        <w:tc>
          <w:tcPr>
            <w:tcW w:w="3969" w:type="dxa"/>
          </w:tcPr>
          <w:p w:rsidR="00672914" w:rsidRPr="00762D70" w:rsidRDefault="00672914" w:rsidP="001D7C3E">
            <w:pPr>
              <w:rPr>
                <w:sz w:val="18"/>
                <w:szCs w:val="18"/>
              </w:rPr>
            </w:pPr>
            <w:r w:rsidRPr="00762D70">
              <w:rPr>
                <w:sz w:val="18"/>
                <w:szCs w:val="18"/>
              </w:rPr>
              <w:t>Publication in annual reports of sanctions imposed by the Executive Head</w:t>
            </w:r>
          </w:p>
        </w:tc>
        <w:tc>
          <w:tcPr>
            <w:tcW w:w="1134" w:type="dxa"/>
            <w:vAlign w:val="center"/>
          </w:tcPr>
          <w:p w:rsidR="00672914" w:rsidRPr="00762D70" w:rsidRDefault="00672914" w:rsidP="003411F7">
            <w:pPr>
              <w:jc w:val="center"/>
              <w:rPr>
                <w:sz w:val="18"/>
                <w:szCs w:val="18"/>
              </w:rPr>
            </w:pPr>
            <w:r w:rsidRPr="00762D70">
              <w:rPr>
                <w:sz w:val="18"/>
                <w:szCs w:val="18"/>
              </w:rPr>
              <w:t xml:space="preserve">Not </w:t>
            </w:r>
            <w:r w:rsidR="003411F7">
              <w:rPr>
                <w:sz w:val="18"/>
                <w:szCs w:val="18"/>
              </w:rPr>
              <w:t>applied</w:t>
            </w:r>
          </w:p>
        </w:tc>
        <w:tc>
          <w:tcPr>
            <w:tcW w:w="6522" w:type="dxa"/>
            <w:vAlign w:val="center"/>
          </w:tcPr>
          <w:p w:rsidR="00672914" w:rsidRPr="00762D70" w:rsidRDefault="003411F7" w:rsidP="009D764D">
            <w:pPr>
              <w:rPr>
                <w:sz w:val="18"/>
                <w:szCs w:val="18"/>
              </w:rPr>
            </w:pPr>
            <w:r>
              <w:rPr>
                <w:sz w:val="18"/>
                <w:szCs w:val="18"/>
              </w:rPr>
              <w:t>Not imposed by the ITU basic instruments.</w:t>
            </w:r>
          </w:p>
        </w:tc>
      </w:tr>
      <w:tr w:rsidR="009D764D" w:rsidTr="00584451">
        <w:tc>
          <w:tcPr>
            <w:tcW w:w="2977" w:type="dxa"/>
            <w:vMerge/>
          </w:tcPr>
          <w:p w:rsidR="009D764D" w:rsidRPr="00762D70" w:rsidRDefault="009D764D" w:rsidP="001D7C3E">
            <w:pPr>
              <w:rPr>
                <w:sz w:val="18"/>
                <w:szCs w:val="18"/>
              </w:rPr>
            </w:pPr>
          </w:p>
        </w:tc>
        <w:tc>
          <w:tcPr>
            <w:tcW w:w="3969" w:type="dxa"/>
          </w:tcPr>
          <w:p w:rsidR="009D764D" w:rsidRPr="00762D70" w:rsidRDefault="009D764D" w:rsidP="001D7C3E">
            <w:pPr>
              <w:rPr>
                <w:sz w:val="18"/>
                <w:szCs w:val="18"/>
              </w:rPr>
            </w:pPr>
            <w:r w:rsidRPr="00762D70">
              <w:rPr>
                <w:sz w:val="18"/>
                <w:szCs w:val="18"/>
              </w:rPr>
              <w:t>Awards/rewards programmes decided by committees/panels based on clear criteria</w:t>
            </w:r>
          </w:p>
        </w:tc>
        <w:tc>
          <w:tcPr>
            <w:tcW w:w="1134" w:type="dxa"/>
            <w:vAlign w:val="center"/>
          </w:tcPr>
          <w:p w:rsidR="009D764D" w:rsidRPr="00762D70" w:rsidRDefault="009D764D" w:rsidP="003411F7">
            <w:pPr>
              <w:jc w:val="center"/>
              <w:rPr>
                <w:sz w:val="18"/>
                <w:szCs w:val="18"/>
              </w:rPr>
            </w:pPr>
            <w:r w:rsidRPr="00762D70">
              <w:rPr>
                <w:sz w:val="18"/>
                <w:szCs w:val="18"/>
              </w:rPr>
              <w:sym w:font="Wingdings" w:char="F0FC"/>
            </w:r>
          </w:p>
        </w:tc>
        <w:tc>
          <w:tcPr>
            <w:tcW w:w="6522" w:type="dxa"/>
            <w:vMerge w:val="restart"/>
            <w:vAlign w:val="center"/>
          </w:tcPr>
          <w:p w:rsidR="009D764D" w:rsidRPr="00762D70" w:rsidRDefault="009D764D" w:rsidP="009D764D">
            <w:pPr>
              <w:rPr>
                <w:sz w:val="18"/>
                <w:szCs w:val="18"/>
              </w:rPr>
            </w:pPr>
            <w:r w:rsidRPr="00762D70">
              <w:rPr>
                <w:sz w:val="18"/>
                <w:szCs w:val="18"/>
              </w:rPr>
              <w:t>Annual awards to outstanding performance by staff are granted and published</w:t>
            </w:r>
            <w:r>
              <w:rPr>
                <w:sz w:val="18"/>
                <w:szCs w:val="18"/>
              </w:rPr>
              <w:t>.</w:t>
            </w:r>
          </w:p>
        </w:tc>
      </w:tr>
      <w:tr w:rsidR="009D764D" w:rsidTr="00584451">
        <w:tc>
          <w:tcPr>
            <w:tcW w:w="2977" w:type="dxa"/>
            <w:vMerge/>
          </w:tcPr>
          <w:p w:rsidR="009D764D" w:rsidRPr="00762D70" w:rsidRDefault="009D764D" w:rsidP="001D7C3E">
            <w:pPr>
              <w:rPr>
                <w:sz w:val="18"/>
                <w:szCs w:val="18"/>
              </w:rPr>
            </w:pPr>
          </w:p>
        </w:tc>
        <w:tc>
          <w:tcPr>
            <w:tcW w:w="3969" w:type="dxa"/>
          </w:tcPr>
          <w:p w:rsidR="009D764D" w:rsidRPr="00762D70" w:rsidRDefault="009D764D" w:rsidP="001D7C3E">
            <w:pPr>
              <w:rPr>
                <w:sz w:val="18"/>
                <w:szCs w:val="18"/>
              </w:rPr>
            </w:pPr>
            <w:r w:rsidRPr="00762D70">
              <w:rPr>
                <w:sz w:val="18"/>
                <w:szCs w:val="18"/>
              </w:rPr>
              <w:t>Publication of the names of staff members receiving awards and rewards</w:t>
            </w:r>
          </w:p>
        </w:tc>
        <w:tc>
          <w:tcPr>
            <w:tcW w:w="1134" w:type="dxa"/>
            <w:vAlign w:val="center"/>
          </w:tcPr>
          <w:p w:rsidR="009D764D" w:rsidRPr="00762D70" w:rsidRDefault="009D764D" w:rsidP="003411F7">
            <w:pPr>
              <w:jc w:val="center"/>
              <w:rPr>
                <w:sz w:val="18"/>
                <w:szCs w:val="18"/>
              </w:rPr>
            </w:pPr>
            <w:r w:rsidRPr="00762D70">
              <w:rPr>
                <w:sz w:val="18"/>
                <w:szCs w:val="18"/>
              </w:rPr>
              <w:sym w:font="Wingdings" w:char="F0FC"/>
            </w:r>
          </w:p>
        </w:tc>
        <w:tc>
          <w:tcPr>
            <w:tcW w:w="6522" w:type="dxa"/>
            <w:vMerge/>
          </w:tcPr>
          <w:p w:rsidR="009D764D" w:rsidRPr="00762D70" w:rsidRDefault="009D764D" w:rsidP="001D7C3E">
            <w:pPr>
              <w:rPr>
                <w:sz w:val="18"/>
                <w:szCs w:val="18"/>
              </w:rPr>
            </w:pPr>
          </w:p>
        </w:tc>
      </w:tr>
      <w:tr w:rsidR="00672914" w:rsidTr="00584451">
        <w:trPr>
          <w:cantSplit/>
        </w:trPr>
        <w:tc>
          <w:tcPr>
            <w:tcW w:w="2977" w:type="dxa"/>
            <w:vMerge w:val="restart"/>
          </w:tcPr>
          <w:p w:rsidR="00672914" w:rsidRPr="00762D70" w:rsidRDefault="00672914" w:rsidP="001D7C3E">
            <w:pPr>
              <w:rPr>
                <w:sz w:val="18"/>
                <w:szCs w:val="18"/>
              </w:rPr>
            </w:pPr>
            <w:r w:rsidRPr="00762D70">
              <w:rPr>
                <w:sz w:val="18"/>
                <w:szCs w:val="18"/>
              </w:rPr>
              <w:t>7. All staff can be held accountable for their work on the basis of up-to-date written job descriptions accurately reflecting their actual work</w:t>
            </w:r>
          </w:p>
        </w:tc>
        <w:tc>
          <w:tcPr>
            <w:tcW w:w="3969" w:type="dxa"/>
          </w:tcPr>
          <w:p w:rsidR="00672914" w:rsidRPr="00762D70" w:rsidRDefault="00672914" w:rsidP="001D7C3E">
            <w:pPr>
              <w:rPr>
                <w:sz w:val="18"/>
                <w:szCs w:val="18"/>
              </w:rPr>
            </w:pPr>
            <w:r w:rsidRPr="00762D70">
              <w:rPr>
                <w:sz w:val="18"/>
                <w:szCs w:val="18"/>
              </w:rPr>
              <w:t>Job description for all staff</w:t>
            </w:r>
          </w:p>
        </w:tc>
        <w:tc>
          <w:tcPr>
            <w:tcW w:w="1134" w:type="dxa"/>
            <w:vAlign w:val="center"/>
          </w:tcPr>
          <w:p w:rsidR="00672914" w:rsidRPr="00762D70" w:rsidRDefault="00672914" w:rsidP="003411F7">
            <w:pPr>
              <w:jc w:val="center"/>
              <w:rPr>
                <w:sz w:val="18"/>
                <w:szCs w:val="18"/>
              </w:rPr>
            </w:pPr>
            <w:r w:rsidRPr="00762D70">
              <w:rPr>
                <w:sz w:val="18"/>
                <w:szCs w:val="18"/>
              </w:rPr>
              <w:sym w:font="Wingdings" w:char="F0FC"/>
            </w:r>
          </w:p>
        </w:tc>
        <w:tc>
          <w:tcPr>
            <w:tcW w:w="6522" w:type="dxa"/>
            <w:vMerge w:val="restart"/>
            <w:vAlign w:val="center"/>
          </w:tcPr>
          <w:p w:rsidR="00672914" w:rsidRPr="00762D70" w:rsidRDefault="00672914" w:rsidP="000C5552">
            <w:pPr>
              <w:rPr>
                <w:sz w:val="18"/>
                <w:szCs w:val="18"/>
              </w:rPr>
            </w:pPr>
            <w:r w:rsidRPr="00762D70">
              <w:rPr>
                <w:sz w:val="18"/>
                <w:szCs w:val="18"/>
              </w:rPr>
              <w:t>Full connection between actual work and job description not always easy to obtain</w:t>
            </w:r>
            <w:r w:rsidR="00641E83">
              <w:rPr>
                <w:sz w:val="18"/>
                <w:szCs w:val="18"/>
              </w:rPr>
              <w:t xml:space="preserve"> however annual personal performance appraisal outline the objectives and the day-to-day tasks of staff member</w:t>
            </w:r>
            <w:r w:rsidR="000C5552">
              <w:rPr>
                <w:sz w:val="18"/>
                <w:szCs w:val="18"/>
              </w:rPr>
              <w:t>s as well as their participation in statutory committees and task forces.</w:t>
            </w:r>
            <w:r w:rsidR="00D0333B">
              <w:rPr>
                <w:sz w:val="18"/>
                <w:szCs w:val="18"/>
              </w:rPr>
              <w:t>.</w:t>
            </w:r>
          </w:p>
        </w:tc>
      </w:tr>
      <w:tr w:rsidR="00672914" w:rsidTr="00584451">
        <w:trPr>
          <w:trHeight w:val="732"/>
        </w:trPr>
        <w:tc>
          <w:tcPr>
            <w:tcW w:w="2977" w:type="dxa"/>
            <w:vMerge/>
          </w:tcPr>
          <w:p w:rsidR="00672914" w:rsidRPr="00762D70" w:rsidRDefault="00672914" w:rsidP="00732706">
            <w:pPr>
              <w:rPr>
                <w:sz w:val="18"/>
                <w:szCs w:val="18"/>
              </w:rPr>
            </w:pPr>
          </w:p>
        </w:tc>
        <w:tc>
          <w:tcPr>
            <w:tcW w:w="3969" w:type="dxa"/>
          </w:tcPr>
          <w:p w:rsidR="00672914" w:rsidRPr="00762D70" w:rsidRDefault="00672914" w:rsidP="00732706">
            <w:pPr>
              <w:rPr>
                <w:sz w:val="18"/>
                <w:szCs w:val="18"/>
              </w:rPr>
            </w:pPr>
            <w:r w:rsidRPr="00762D70">
              <w:rPr>
                <w:sz w:val="18"/>
                <w:szCs w:val="18"/>
              </w:rPr>
              <w:t>Coherence between job description and day-to-day work</w:t>
            </w:r>
          </w:p>
        </w:tc>
        <w:tc>
          <w:tcPr>
            <w:tcW w:w="1134" w:type="dxa"/>
            <w:shd w:val="clear" w:color="auto" w:fill="FFFFFF" w:themeFill="background1"/>
            <w:vAlign w:val="center"/>
          </w:tcPr>
          <w:p w:rsidR="00672914" w:rsidRPr="00762D70" w:rsidRDefault="00672914" w:rsidP="003411F7">
            <w:pPr>
              <w:jc w:val="center"/>
              <w:rPr>
                <w:sz w:val="18"/>
                <w:szCs w:val="18"/>
              </w:rPr>
            </w:pPr>
            <w:r w:rsidRPr="00762D70">
              <w:rPr>
                <w:sz w:val="18"/>
                <w:szCs w:val="18"/>
              </w:rPr>
              <w:t>In progress</w:t>
            </w:r>
          </w:p>
        </w:tc>
        <w:tc>
          <w:tcPr>
            <w:tcW w:w="6522" w:type="dxa"/>
            <w:vMerge/>
          </w:tcPr>
          <w:p w:rsidR="00672914" w:rsidRPr="00762D70" w:rsidRDefault="00672914" w:rsidP="00732706">
            <w:pPr>
              <w:rPr>
                <w:sz w:val="18"/>
                <w:szCs w:val="18"/>
                <w:highlight w:val="yellow"/>
              </w:rPr>
            </w:pPr>
          </w:p>
        </w:tc>
      </w:tr>
      <w:tr w:rsidR="00026534" w:rsidTr="00584451">
        <w:trPr>
          <w:trHeight w:val="218"/>
        </w:trPr>
        <w:tc>
          <w:tcPr>
            <w:tcW w:w="2977" w:type="dxa"/>
            <w:vMerge w:val="restart"/>
          </w:tcPr>
          <w:p w:rsidR="00026534" w:rsidRPr="00762D70" w:rsidRDefault="00026534" w:rsidP="00732706">
            <w:pPr>
              <w:rPr>
                <w:sz w:val="18"/>
                <w:szCs w:val="18"/>
              </w:rPr>
            </w:pPr>
            <w:r w:rsidRPr="00762D70">
              <w:rPr>
                <w:sz w:val="18"/>
                <w:szCs w:val="18"/>
              </w:rPr>
              <w:t>8. Concretization of policies on selection, recruitment and post-employment</w:t>
            </w:r>
          </w:p>
        </w:tc>
        <w:tc>
          <w:tcPr>
            <w:tcW w:w="3969" w:type="dxa"/>
            <w:shd w:val="clear" w:color="auto" w:fill="auto"/>
          </w:tcPr>
          <w:p w:rsidR="00026534" w:rsidRPr="00762D70" w:rsidRDefault="00026534" w:rsidP="00732706">
            <w:pPr>
              <w:rPr>
                <w:sz w:val="18"/>
                <w:szCs w:val="18"/>
              </w:rPr>
            </w:pPr>
            <w:r w:rsidRPr="00762D70">
              <w:rPr>
                <w:sz w:val="18"/>
                <w:szCs w:val="18"/>
              </w:rPr>
              <w:t>Recruitment policy restricting hiring of family members and relatives</w:t>
            </w:r>
          </w:p>
        </w:tc>
        <w:tc>
          <w:tcPr>
            <w:tcW w:w="1134" w:type="dxa"/>
            <w:shd w:val="clear" w:color="auto" w:fill="auto"/>
            <w:vAlign w:val="center"/>
          </w:tcPr>
          <w:p w:rsidR="00026534" w:rsidRPr="00762D70" w:rsidRDefault="00BA124C" w:rsidP="003411F7">
            <w:pPr>
              <w:jc w:val="center"/>
              <w:rPr>
                <w:sz w:val="18"/>
                <w:szCs w:val="18"/>
              </w:rPr>
            </w:pPr>
            <w:r w:rsidRPr="00762D70">
              <w:rPr>
                <w:sz w:val="18"/>
                <w:szCs w:val="18"/>
              </w:rPr>
              <w:sym w:font="Wingdings" w:char="F0FC"/>
            </w:r>
          </w:p>
        </w:tc>
        <w:tc>
          <w:tcPr>
            <w:tcW w:w="6522" w:type="dxa"/>
            <w:shd w:val="clear" w:color="auto" w:fill="auto"/>
            <w:vAlign w:val="center"/>
          </w:tcPr>
          <w:p w:rsidR="00026534" w:rsidRPr="00762D70" w:rsidRDefault="00BA124C" w:rsidP="00BA124C">
            <w:pPr>
              <w:rPr>
                <w:sz w:val="18"/>
                <w:szCs w:val="18"/>
              </w:rPr>
            </w:pPr>
            <w:r w:rsidRPr="00BA124C">
              <w:rPr>
                <w:sz w:val="18"/>
                <w:szCs w:val="18"/>
              </w:rPr>
              <w:t>Rule 4.7.1</w:t>
            </w:r>
            <w:r>
              <w:rPr>
                <w:sz w:val="18"/>
                <w:szCs w:val="18"/>
              </w:rPr>
              <w:t xml:space="preserve"> of the Staff Regulations and Staff Rules.</w:t>
            </w:r>
          </w:p>
        </w:tc>
      </w:tr>
      <w:tr w:rsidR="00026534" w:rsidTr="00584451">
        <w:trPr>
          <w:trHeight w:val="217"/>
        </w:trPr>
        <w:tc>
          <w:tcPr>
            <w:tcW w:w="2977" w:type="dxa"/>
            <w:vMerge/>
          </w:tcPr>
          <w:p w:rsidR="00026534" w:rsidRPr="00762D70" w:rsidRDefault="00026534" w:rsidP="00732706">
            <w:pPr>
              <w:rPr>
                <w:sz w:val="18"/>
                <w:szCs w:val="18"/>
              </w:rPr>
            </w:pPr>
          </w:p>
        </w:tc>
        <w:tc>
          <w:tcPr>
            <w:tcW w:w="3969" w:type="dxa"/>
            <w:shd w:val="clear" w:color="auto" w:fill="auto"/>
          </w:tcPr>
          <w:p w:rsidR="00026534" w:rsidRPr="00762D70" w:rsidRDefault="00026534" w:rsidP="00732706">
            <w:pPr>
              <w:rPr>
                <w:sz w:val="18"/>
                <w:szCs w:val="18"/>
              </w:rPr>
            </w:pPr>
            <w:r w:rsidRPr="00762D70">
              <w:rPr>
                <w:sz w:val="18"/>
                <w:szCs w:val="18"/>
              </w:rPr>
              <w:t>Post-employment restrictions for staff who retire/resign from the organization</w:t>
            </w:r>
          </w:p>
        </w:tc>
        <w:tc>
          <w:tcPr>
            <w:tcW w:w="1134" w:type="dxa"/>
            <w:shd w:val="clear" w:color="auto" w:fill="auto"/>
            <w:vAlign w:val="center"/>
          </w:tcPr>
          <w:p w:rsidR="00026534" w:rsidRPr="00762D70" w:rsidRDefault="00D0333B" w:rsidP="003411F7">
            <w:pPr>
              <w:jc w:val="center"/>
              <w:rPr>
                <w:sz w:val="18"/>
                <w:szCs w:val="18"/>
              </w:rPr>
            </w:pPr>
            <w:r w:rsidRPr="00762D70">
              <w:rPr>
                <w:sz w:val="18"/>
                <w:szCs w:val="18"/>
              </w:rPr>
              <w:sym w:font="Wingdings" w:char="F0FC"/>
            </w:r>
          </w:p>
        </w:tc>
        <w:tc>
          <w:tcPr>
            <w:tcW w:w="6522" w:type="dxa"/>
            <w:shd w:val="clear" w:color="auto" w:fill="auto"/>
            <w:vAlign w:val="center"/>
          </w:tcPr>
          <w:p w:rsidR="00026534" w:rsidRPr="00762D70" w:rsidRDefault="00D0333B" w:rsidP="00BA124C">
            <w:pPr>
              <w:rPr>
                <w:sz w:val="18"/>
                <w:szCs w:val="18"/>
              </w:rPr>
            </w:pPr>
            <w:r>
              <w:rPr>
                <w:sz w:val="18"/>
                <w:szCs w:val="18"/>
              </w:rPr>
              <w:t xml:space="preserve">Policy already in place for retirees (ITU applies the UN limitations) and for staff members leaving the organization within an early separation </w:t>
            </w:r>
            <w:proofErr w:type="spellStart"/>
            <w:r>
              <w:rPr>
                <w:sz w:val="18"/>
                <w:szCs w:val="18"/>
              </w:rPr>
              <w:t>programme</w:t>
            </w:r>
            <w:proofErr w:type="spellEnd"/>
            <w:r>
              <w:rPr>
                <w:sz w:val="18"/>
                <w:szCs w:val="18"/>
              </w:rPr>
              <w:t>.</w:t>
            </w:r>
          </w:p>
        </w:tc>
      </w:tr>
      <w:tr w:rsidR="00672914" w:rsidTr="00584451">
        <w:tc>
          <w:tcPr>
            <w:tcW w:w="2977" w:type="dxa"/>
            <w:shd w:val="clear" w:color="auto" w:fill="FFFFFF" w:themeFill="background1"/>
          </w:tcPr>
          <w:p w:rsidR="00672914" w:rsidRPr="00762D70" w:rsidRDefault="00672914" w:rsidP="001D7C3E">
            <w:pPr>
              <w:rPr>
                <w:sz w:val="18"/>
                <w:szCs w:val="18"/>
              </w:rPr>
            </w:pPr>
            <w:r w:rsidRPr="00762D70">
              <w:rPr>
                <w:sz w:val="18"/>
                <w:szCs w:val="18"/>
              </w:rPr>
              <w:t>9. Organization has a formal policy on ERM to be implemented with a coherent methodology</w:t>
            </w:r>
          </w:p>
        </w:tc>
        <w:tc>
          <w:tcPr>
            <w:tcW w:w="3969" w:type="dxa"/>
            <w:shd w:val="clear" w:color="auto" w:fill="FFFFFF" w:themeFill="background1"/>
          </w:tcPr>
          <w:p w:rsidR="00672914" w:rsidRPr="00762D70" w:rsidRDefault="00672914" w:rsidP="00732706">
            <w:pPr>
              <w:rPr>
                <w:sz w:val="18"/>
                <w:szCs w:val="18"/>
              </w:rPr>
            </w:pPr>
            <w:r w:rsidRPr="00762D70">
              <w:rPr>
                <w:sz w:val="18"/>
                <w:szCs w:val="18"/>
              </w:rPr>
              <w:t>Risk analysis conducted for each unit/project/process and an organizational risk plan exists</w:t>
            </w:r>
          </w:p>
        </w:tc>
        <w:tc>
          <w:tcPr>
            <w:tcW w:w="1134" w:type="dxa"/>
            <w:shd w:val="clear" w:color="auto" w:fill="FFFFFF" w:themeFill="background1"/>
            <w:vAlign w:val="center"/>
          </w:tcPr>
          <w:p w:rsidR="00672914" w:rsidRPr="00762D70" w:rsidRDefault="00672914" w:rsidP="003411F7">
            <w:pPr>
              <w:jc w:val="center"/>
              <w:rPr>
                <w:sz w:val="18"/>
                <w:szCs w:val="18"/>
              </w:rPr>
            </w:pPr>
            <w:r w:rsidRPr="00762D70">
              <w:rPr>
                <w:sz w:val="18"/>
                <w:szCs w:val="18"/>
              </w:rPr>
              <w:t>In progress</w:t>
            </w:r>
          </w:p>
        </w:tc>
        <w:tc>
          <w:tcPr>
            <w:tcW w:w="6522" w:type="dxa"/>
            <w:shd w:val="clear" w:color="auto" w:fill="FFFFFF" w:themeFill="background1"/>
          </w:tcPr>
          <w:p w:rsidR="003411F7" w:rsidRPr="003411F7" w:rsidRDefault="003411F7" w:rsidP="003411F7">
            <w:pPr>
              <w:rPr>
                <w:sz w:val="18"/>
                <w:szCs w:val="18"/>
              </w:rPr>
            </w:pPr>
            <w:r w:rsidRPr="003411F7">
              <w:rPr>
                <w:sz w:val="18"/>
                <w:szCs w:val="18"/>
              </w:rPr>
              <w:t>Risk registers are maintained and reported through the Operational Plans of the Sectors and the General Secretariat.</w:t>
            </w:r>
          </w:p>
          <w:p w:rsidR="00672914" w:rsidRPr="00762D70" w:rsidRDefault="003411F7" w:rsidP="003411F7">
            <w:pPr>
              <w:rPr>
                <w:sz w:val="18"/>
                <w:szCs w:val="18"/>
              </w:rPr>
            </w:pPr>
            <w:r w:rsidRPr="003411F7">
              <w:rPr>
                <w:sz w:val="18"/>
                <w:szCs w:val="18"/>
              </w:rPr>
              <w:t>A formal Risk Management Policy and Appetite Statement will be endorsed by the 2017 Session of Council</w:t>
            </w:r>
            <w:r>
              <w:rPr>
                <w:sz w:val="18"/>
                <w:szCs w:val="18"/>
              </w:rPr>
              <w:t>.</w:t>
            </w:r>
          </w:p>
        </w:tc>
      </w:tr>
      <w:tr w:rsidR="00672914" w:rsidTr="00584451">
        <w:tc>
          <w:tcPr>
            <w:tcW w:w="2977" w:type="dxa"/>
            <w:vMerge w:val="restart"/>
            <w:shd w:val="clear" w:color="auto" w:fill="FFFFFF" w:themeFill="background1"/>
          </w:tcPr>
          <w:p w:rsidR="00672914" w:rsidRPr="00762D70" w:rsidRDefault="00672914" w:rsidP="009B4CB4">
            <w:pPr>
              <w:rPr>
                <w:sz w:val="18"/>
                <w:szCs w:val="18"/>
              </w:rPr>
            </w:pPr>
            <w:r w:rsidRPr="00762D70">
              <w:rPr>
                <w:sz w:val="18"/>
                <w:szCs w:val="18"/>
              </w:rPr>
              <w:t>10. The chain of command and delegation of authority are aligned, clear, coherent and integrated into existing enterprise resource planning (ERP) systems</w:t>
            </w:r>
          </w:p>
        </w:tc>
        <w:tc>
          <w:tcPr>
            <w:tcW w:w="3969" w:type="dxa"/>
            <w:shd w:val="clear" w:color="auto" w:fill="FFFFFF" w:themeFill="background1"/>
          </w:tcPr>
          <w:p w:rsidR="00672914" w:rsidRPr="00762D70" w:rsidRDefault="00672914" w:rsidP="00FE158C">
            <w:pPr>
              <w:rPr>
                <w:sz w:val="18"/>
                <w:szCs w:val="18"/>
              </w:rPr>
            </w:pPr>
            <w:r w:rsidRPr="00762D70">
              <w:rPr>
                <w:sz w:val="18"/>
                <w:szCs w:val="18"/>
              </w:rPr>
              <w:t>Clear definition of delegation of authority</w:t>
            </w:r>
          </w:p>
        </w:tc>
        <w:tc>
          <w:tcPr>
            <w:tcW w:w="1134" w:type="dxa"/>
            <w:shd w:val="clear" w:color="auto" w:fill="auto"/>
            <w:vAlign w:val="center"/>
          </w:tcPr>
          <w:p w:rsidR="00672914" w:rsidRPr="00762D70" w:rsidRDefault="003E6656" w:rsidP="003411F7">
            <w:pPr>
              <w:jc w:val="center"/>
              <w:rPr>
                <w:sz w:val="18"/>
                <w:szCs w:val="18"/>
              </w:rPr>
            </w:pPr>
            <w:r w:rsidRPr="00762D70">
              <w:rPr>
                <w:sz w:val="18"/>
                <w:szCs w:val="18"/>
              </w:rPr>
              <w:sym w:font="Wingdings" w:char="F0FC"/>
            </w:r>
          </w:p>
        </w:tc>
        <w:tc>
          <w:tcPr>
            <w:tcW w:w="6522" w:type="dxa"/>
            <w:shd w:val="clear" w:color="auto" w:fill="auto"/>
          </w:tcPr>
          <w:p w:rsidR="00672914" w:rsidRPr="00762D70" w:rsidRDefault="00672914" w:rsidP="00BA124C">
            <w:pPr>
              <w:rPr>
                <w:sz w:val="18"/>
                <w:szCs w:val="18"/>
              </w:rPr>
            </w:pPr>
          </w:p>
        </w:tc>
      </w:tr>
      <w:tr w:rsidR="00672914" w:rsidTr="00584451">
        <w:tc>
          <w:tcPr>
            <w:tcW w:w="2977" w:type="dxa"/>
            <w:vMerge/>
            <w:shd w:val="clear" w:color="auto" w:fill="FFFFFF" w:themeFill="background1"/>
          </w:tcPr>
          <w:p w:rsidR="00672914" w:rsidRPr="00762D70" w:rsidRDefault="00672914" w:rsidP="009B4CB4">
            <w:pPr>
              <w:rPr>
                <w:sz w:val="18"/>
                <w:szCs w:val="18"/>
              </w:rPr>
            </w:pPr>
          </w:p>
        </w:tc>
        <w:tc>
          <w:tcPr>
            <w:tcW w:w="3969" w:type="dxa"/>
            <w:shd w:val="clear" w:color="auto" w:fill="FFFFFF" w:themeFill="background1"/>
          </w:tcPr>
          <w:p w:rsidR="00672914" w:rsidRPr="00762D70" w:rsidRDefault="00672914" w:rsidP="00FE158C">
            <w:pPr>
              <w:rPr>
                <w:sz w:val="18"/>
                <w:szCs w:val="18"/>
              </w:rPr>
            </w:pPr>
            <w:r w:rsidRPr="00762D70">
              <w:rPr>
                <w:sz w:val="18"/>
                <w:szCs w:val="18"/>
              </w:rPr>
              <w:t>Coherence between management line and delegation of authority and clear reporting lines</w:t>
            </w:r>
          </w:p>
        </w:tc>
        <w:tc>
          <w:tcPr>
            <w:tcW w:w="1134" w:type="dxa"/>
            <w:shd w:val="clear" w:color="auto" w:fill="auto"/>
            <w:vAlign w:val="center"/>
          </w:tcPr>
          <w:p w:rsidR="00672914" w:rsidRPr="00762D70" w:rsidRDefault="00BA124C" w:rsidP="003411F7">
            <w:pPr>
              <w:jc w:val="center"/>
              <w:rPr>
                <w:sz w:val="18"/>
                <w:szCs w:val="18"/>
              </w:rPr>
            </w:pPr>
            <w:r w:rsidRPr="00762D70">
              <w:rPr>
                <w:sz w:val="18"/>
                <w:szCs w:val="18"/>
              </w:rPr>
              <w:sym w:font="Wingdings" w:char="F0FC"/>
            </w:r>
          </w:p>
        </w:tc>
        <w:tc>
          <w:tcPr>
            <w:tcW w:w="6522" w:type="dxa"/>
            <w:shd w:val="clear" w:color="auto" w:fill="auto"/>
          </w:tcPr>
          <w:p w:rsidR="00672914" w:rsidRPr="00762D70" w:rsidRDefault="00672914" w:rsidP="00FE158C">
            <w:pPr>
              <w:rPr>
                <w:sz w:val="18"/>
                <w:szCs w:val="18"/>
              </w:rPr>
            </w:pPr>
          </w:p>
        </w:tc>
      </w:tr>
      <w:tr w:rsidR="00672914" w:rsidTr="00584451">
        <w:tc>
          <w:tcPr>
            <w:tcW w:w="2977" w:type="dxa"/>
            <w:vMerge/>
            <w:shd w:val="clear" w:color="auto" w:fill="FFFFFF" w:themeFill="background1"/>
          </w:tcPr>
          <w:p w:rsidR="00672914" w:rsidRPr="00762D70" w:rsidRDefault="00672914" w:rsidP="009B4CB4">
            <w:pPr>
              <w:rPr>
                <w:sz w:val="18"/>
                <w:szCs w:val="18"/>
              </w:rPr>
            </w:pPr>
          </w:p>
        </w:tc>
        <w:tc>
          <w:tcPr>
            <w:tcW w:w="3969" w:type="dxa"/>
            <w:shd w:val="clear" w:color="auto" w:fill="FFFFFF" w:themeFill="background1"/>
          </w:tcPr>
          <w:p w:rsidR="00672914" w:rsidRPr="00762D70" w:rsidRDefault="00672914" w:rsidP="00FE158C">
            <w:pPr>
              <w:rPr>
                <w:sz w:val="18"/>
                <w:szCs w:val="18"/>
              </w:rPr>
            </w:pPr>
            <w:r w:rsidRPr="00762D70">
              <w:rPr>
                <w:sz w:val="18"/>
                <w:szCs w:val="18"/>
              </w:rPr>
              <w:t>Delegation of authority built into existing ERP systems</w:t>
            </w:r>
          </w:p>
        </w:tc>
        <w:tc>
          <w:tcPr>
            <w:tcW w:w="1134" w:type="dxa"/>
            <w:shd w:val="clear" w:color="auto" w:fill="auto"/>
            <w:vAlign w:val="center"/>
          </w:tcPr>
          <w:p w:rsidR="00672914" w:rsidRPr="00762D70" w:rsidRDefault="003E6656" w:rsidP="003411F7">
            <w:pPr>
              <w:jc w:val="center"/>
              <w:rPr>
                <w:sz w:val="18"/>
                <w:szCs w:val="18"/>
              </w:rPr>
            </w:pPr>
            <w:r w:rsidRPr="00762D70">
              <w:rPr>
                <w:sz w:val="18"/>
                <w:szCs w:val="18"/>
              </w:rPr>
              <w:sym w:font="Wingdings" w:char="F0FC"/>
            </w:r>
          </w:p>
        </w:tc>
        <w:tc>
          <w:tcPr>
            <w:tcW w:w="6522" w:type="dxa"/>
            <w:shd w:val="clear" w:color="auto" w:fill="auto"/>
          </w:tcPr>
          <w:p w:rsidR="00672914" w:rsidRPr="00762D70" w:rsidRDefault="003E6656" w:rsidP="003E6656">
            <w:pPr>
              <w:rPr>
                <w:sz w:val="18"/>
                <w:szCs w:val="18"/>
              </w:rPr>
            </w:pPr>
            <w:r w:rsidRPr="00762D70">
              <w:rPr>
                <w:sz w:val="18"/>
                <w:szCs w:val="18"/>
              </w:rPr>
              <w:t>Access to ERP system based on segregation of duties</w:t>
            </w:r>
          </w:p>
        </w:tc>
      </w:tr>
      <w:tr w:rsidR="00672914" w:rsidTr="00584451">
        <w:tc>
          <w:tcPr>
            <w:tcW w:w="2977" w:type="dxa"/>
            <w:vMerge w:val="restart"/>
            <w:shd w:val="clear" w:color="auto" w:fill="FFFFFF" w:themeFill="background1"/>
          </w:tcPr>
          <w:p w:rsidR="00672914" w:rsidRPr="00762D70" w:rsidRDefault="00672914" w:rsidP="009B4CB4">
            <w:pPr>
              <w:rPr>
                <w:sz w:val="18"/>
                <w:szCs w:val="18"/>
              </w:rPr>
            </w:pPr>
            <w:r w:rsidRPr="00762D70">
              <w:rPr>
                <w:sz w:val="18"/>
                <w:szCs w:val="18"/>
              </w:rPr>
              <w:t xml:space="preserve">11. Financial regulations and rules (FRR) in the United Nations system organizations should embody anti-fraud and financial misconduct </w:t>
            </w:r>
            <w:r w:rsidRPr="00762D70">
              <w:rPr>
                <w:sz w:val="18"/>
                <w:szCs w:val="18"/>
              </w:rPr>
              <w:lastRenderedPageBreak/>
              <w:t>policies and are implemented practically</w:t>
            </w:r>
          </w:p>
        </w:tc>
        <w:tc>
          <w:tcPr>
            <w:tcW w:w="3969" w:type="dxa"/>
            <w:shd w:val="clear" w:color="auto" w:fill="FFFFFF" w:themeFill="background1"/>
          </w:tcPr>
          <w:p w:rsidR="00672914" w:rsidRPr="00762D70" w:rsidRDefault="00672914" w:rsidP="00FE158C">
            <w:pPr>
              <w:rPr>
                <w:sz w:val="18"/>
                <w:szCs w:val="18"/>
              </w:rPr>
            </w:pPr>
            <w:r w:rsidRPr="00762D70">
              <w:rPr>
                <w:sz w:val="18"/>
                <w:szCs w:val="18"/>
              </w:rPr>
              <w:lastRenderedPageBreak/>
              <w:t>FRR</w:t>
            </w:r>
          </w:p>
        </w:tc>
        <w:tc>
          <w:tcPr>
            <w:tcW w:w="1134" w:type="dxa"/>
            <w:shd w:val="clear" w:color="auto" w:fill="auto"/>
            <w:vAlign w:val="center"/>
          </w:tcPr>
          <w:p w:rsidR="00672914" w:rsidRPr="00762D70" w:rsidRDefault="00672914" w:rsidP="003411F7">
            <w:pPr>
              <w:jc w:val="center"/>
              <w:rPr>
                <w:sz w:val="18"/>
                <w:szCs w:val="18"/>
              </w:rPr>
            </w:pPr>
            <w:r w:rsidRPr="00762D70">
              <w:rPr>
                <w:sz w:val="18"/>
                <w:szCs w:val="18"/>
              </w:rPr>
              <w:sym w:font="Wingdings" w:char="F0FC"/>
            </w:r>
          </w:p>
        </w:tc>
        <w:tc>
          <w:tcPr>
            <w:tcW w:w="6522" w:type="dxa"/>
            <w:shd w:val="clear" w:color="auto" w:fill="auto"/>
          </w:tcPr>
          <w:p w:rsidR="00672914" w:rsidRPr="00762D70" w:rsidRDefault="00672914" w:rsidP="00FE158C">
            <w:pPr>
              <w:rPr>
                <w:sz w:val="18"/>
                <w:szCs w:val="18"/>
              </w:rPr>
            </w:pPr>
          </w:p>
        </w:tc>
      </w:tr>
      <w:tr w:rsidR="003E6656" w:rsidTr="00584451">
        <w:tc>
          <w:tcPr>
            <w:tcW w:w="2977" w:type="dxa"/>
            <w:vMerge/>
            <w:shd w:val="clear" w:color="auto" w:fill="FFFFFF" w:themeFill="background1"/>
          </w:tcPr>
          <w:p w:rsidR="003E6656" w:rsidRPr="00762D70" w:rsidRDefault="003E6656" w:rsidP="009B4CB4">
            <w:pPr>
              <w:rPr>
                <w:sz w:val="18"/>
                <w:szCs w:val="18"/>
              </w:rPr>
            </w:pPr>
          </w:p>
        </w:tc>
        <w:tc>
          <w:tcPr>
            <w:tcW w:w="3969" w:type="dxa"/>
            <w:shd w:val="clear" w:color="auto" w:fill="FFFFFF" w:themeFill="background1"/>
          </w:tcPr>
          <w:p w:rsidR="003E6656" w:rsidRPr="00762D70" w:rsidRDefault="003E6656" w:rsidP="00FE158C">
            <w:pPr>
              <w:rPr>
                <w:sz w:val="18"/>
                <w:szCs w:val="18"/>
              </w:rPr>
            </w:pPr>
            <w:r w:rsidRPr="00762D70">
              <w:rPr>
                <w:sz w:val="18"/>
                <w:szCs w:val="18"/>
              </w:rPr>
              <w:t>Conflict of interest statements</w:t>
            </w:r>
          </w:p>
        </w:tc>
        <w:tc>
          <w:tcPr>
            <w:tcW w:w="1134" w:type="dxa"/>
            <w:shd w:val="clear" w:color="auto" w:fill="FFFFFF" w:themeFill="background1"/>
            <w:vAlign w:val="center"/>
          </w:tcPr>
          <w:p w:rsidR="003E6656" w:rsidRPr="00762D70" w:rsidRDefault="003E6656" w:rsidP="003411F7">
            <w:pPr>
              <w:jc w:val="center"/>
              <w:rPr>
                <w:sz w:val="18"/>
                <w:szCs w:val="18"/>
              </w:rPr>
            </w:pPr>
            <w:r w:rsidRPr="00762D70">
              <w:rPr>
                <w:sz w:val="18"/>
                <w:szCs w:val="18"/>
              </w:rPr>
              <w:sym w:font="Wingdings" w:char="F0FC"/>
            </w:r>
          </w:p>
        </w:tc>
        <w:tc>
          <w:tcPr>
            <w:tcW w:w="6522" w:type="dxa"/>
            <w:vMerge w:val="restart"/>
            <w:shd w:val="clear" w:color="auto" w:fill="FFFFFF" w:themeFill="background1"/>
          </w:tcPr>
          <w:p w:rsidR="003E6656" w:rsidRPr="00762D70" w:rsidRDefault="003E6656" w:rsidP="00926316">
            <w:pPr>
              <w:rPr>
                <w:sz w:val="18"/>
                <w:szCs w:val="18"/>
              </w:rPr>
            </w:pPr>
            <w:r w:rsidRPr="00762D70">
              <w:rPr>
                <w:sz w:val="18"/>
                <w:szCs w:val="18"/>
              </w:rPr>
              <w:t>ITU maintains a yearly declaration of potential conflicts of interest related to finance or procurement issues according to ethical standards</w:t>
            </w:r>
            <w:r w:rsidR="00926316">
              <w:rPr>
                <w:sz w:val="18"/>
                <w:szCs w:val="18"/>
              </w:rPr>
              <w:t>.</w:t>
            </w:r>
          </w:p>
        </w:tc>
      </w:tr>
      <w:tr w:rsidR="003E6656" w:rsidTr="00584451">
        <w:tc>
          <w:tcPr>
            <w:tcW w:w="2977" w:type="dxa"/>
            <w:vMerge/>
            <w:shd w:val="clear" w:color="auto" w:fill="FFFFFF" w:themeFill="background1"/>
          </w:tcPr>
          <w:p w:rsidR="003E6656" w:rsidRPr="00762D70" w:rsidRDefault="003E6656" w:rsidP="009B4CB4">
            <w:pPr>
              <w:rPr>
                <w:sz w:val="18"/>
                <w:szCs w:val="18"/>
              </w:rPr>
            </w:pPr>
          </w:p>
        </w:tc>
        <w:tc>
          <w:tcPr>
            <w:tcW w:w="3969" w:type="dxa"/>
            <w:shd w:val="clear" w:color="auto" w:fill="FFFFFF" w:themeFill="background1"/>
          </w:tcPr>
          <w:p w:rsidR="003E6656" w:rsidRPr="00762D70" w:rsidRDefault="003E6656" w:rsidP="00FE158C">
            <w:pPr>
              <w:rPr>
                <w:sz w:val="18"/>
                <w:szCs w:val="18"/>
              </w:rPr>
            </w:pPr>
            <w:r w:rsidRPr="00762D70">
              <w:rPr>
                <w:sz w:val="18"/>
                <w:szCs w:val="18"/>
              </w:rPr>
              <w:t>Financial disclosure statements</w:t>
            </w:r>
          </w:p>
        </w:tc>
        <w:tc>
          <w:tcPr>
            <w:tcW w:w="1134" w:type="dxa"/>
            <w:shd w:val="clear" w:color="auto" w:fill="FFFFFF" w:themeFill="background1"/>
          </w:tcPr>
          <w:p w:rsidR="003E6656" w:rsidRPr="00762D70" w:rsidRDefault="003E6656" w:rsidP="009B4CB4">
            <w:pPr>
              <w:jc w:val="center"/>
              <w:rPr>
                <w:sz w:val="18"/>
                <w:szCs w:val="18"/>
              </w:rPr>
            </w:pPr>
            <w:r w:rsidRPr="00762D70">
              <w:rPr>
                <w:sz w:val="18"/>
                <w:szCs w:val="18"/>
              </w:rPr>
              <w:sym w:font="Wingdings" w:char="F0FC"/>
            </w:r>
          </w:p>
        </w:tc>
        <w:tc>
          <w:tcPr>
            <w:tcW w:w="6522" w:type="dxa"/>
            <w:vMerge/>
            <w:shd w:val="clear" w:color="auto" w:fill="FFFFFF" w:themeFill="background1"/>
          </w:tcPr>
          <w:p w:rsidR="003E6656" w:rsidRPr="00762D70" w:rsidRDefault="003E6656" w:rsidP="00FE158C">
            <w:pPr>
              <w:rPr>
                <w:sz w:val="18"/>
                <w:szCs w:val="18"/>
              </w:rPr>
            </w:pPr>
          </w:p>
        </w:tc>
      </w:tr>
      <w:tr w:rsidR="00672914" w:rsidTr="00584451">
        <w:tc>
          <w:tcPr>
            <w:tcW w:w="2977" w:type="dxa"/>
            <w:vMerge/>
            <w:shd w:val="clear" w:color="auto" w:fill="FFFFFF" w:themeFill="background1"/>
          </w:tcPr>
          <w:p w:rsidR="00672914" w:rsidRPr="00762D70" w:rsidRDefault="00672914" w:rsidP="009B4CB4">
            <w:pPr>
              <w:rPr>
                <w:sz w:val="18"/>
                <w:szCs w:val="18"/>
              </w:rPr>
            </w:pPr>
          </w:p>
        </w:tc>
        <w:tc>
          <w:tcPr>
            <w:tcW w:w="3969" w:type="dxa"/>
            <w:shd w:val="clear" w:color="auto" w:fill="FFFFFF" w:themeFill="background1"/>
          </w:tcPr>
          <w:p w:rsidR="00672914" w:rsidRPr="00762D70" w:rsidRDefault="00672914" w:rsidP="00FE158C">
            <w:pPr>
              <w:rPr>
                <w:sz w:val="18"/>
                <w:szCs w:val="18"/>
              </w:rPr>
            </w:pPr>
            <w:r w:rsidRPr="00762D70">
              <w:rPr>
                <w:sz w:val="18"/>
                <w:szCs w:val="18"/>
              </w:rPr>
              <w:t>Anti-fraud policies</w:t>
            </w:r>
          </w:p>
        </w:tc>
        <w:tc>
          <w:tcPr>
            <w:tcW w:w="1134" w:type="dxa"/>
            <w:tcBorders>
              <w:bottom w:val="single" w:sz="4" w:space="0" w:color="auto"/>
            </w:tcBorders>
            <w:shd w:val="clear" w:color="auto" w:fill="auto"/>
          </w:tcPr>
          <w:p w:rsidR="00672914" w:rsidRPr="00762D70" w:rsidRDefault="00926316" w:rsidP="009B4CB4">
            <w:pPr>
              <w:jc w:val="center"/>
              <w:rPr>
                <w:sz w:val="18"/>
                <w:szCs w:val="18"/>
              </w:rPr>
            </w:pPr>
            <w:r>
              <w:rPr>
                <w:sz w:val="18"/>
                <w:szCs w:val="18"/>
              </w:rPr>
              <w:t>In p</w:t>
            </w:r>
            <w:r w:rsidR="00CF3055" w:rsidRPr="00762D70">
              <w:rPr>
                <w:sz w:val="18"/>
                <w:szCs w:val="18"/>
              </w:rPr>
              <w:t>rogress</w:t>
            </w:r>
          </w:p>
        </w:tc>
        <w:tc>
          <w:tcPr>
            <w:tcW w:w="6522" w:type="dxa"/>
            <w:tcBorders>
              <w:bottom w:val="single" w:sz="4" w:space="0" w:color="auto"/>
            </w:tcBorders>
            <w:shd w:val="clear" w:color="auto" w:fill="auto"/>
          </w:tcPr>
          <w:p w:rsidR="00672914" w:rsidRPr="00762D70" w:rsidRDefault="00E119E5" w:rsidP="00926316">
            <w:pPr>
              <w:rPr>
                <w:sz w:val="18"/>
                <w:szCs w:val="18"/>
              </w:rPr>
            </w:pPr>
            <w:r w:rsidRPr="00762D70">
              <w:rPr>
                <w:sz w:val="18"/>
                <w:szCs w:val="18"/>
              </w:rPr>
              <w:t xml:space="preserve">Under </w:t>
            </w:r>
            <w:r w:rsidR="00926316">
              <w:rPr>
                <w:sz w:val="18"/>
                <w:szCs w:val="18"/>
              </w:rPr>
              <w:t>consideration.</w:t>
            </w:r>
          </w:p>
        </w:tc>
      </w:tr>
      <w:tr w:rsidR="00672914" w:rsidTr="00584451">
        <w:tc>
          <w:tcPr>
            <w:tcW w:w="2977" w:type="dxa"/>
            <w:shd w:val="clear" w:color="auto" w:fill="FFFFFF" w:themeFill="background1"/>
          </w:tcPr>
          <w:p w:rsidR="00672914" w:rsidRPr="00762D70" w:rsidRDefault="00672914" w:rsidP="009B4CB4">
            <w:pPr>
              <w:rPr>
                <w:sz w:val="18"/>
                <w:szCs w:val="18"/>
              </w:rPr>
            </w:pPr>
            <w:r w:rsidRPr="00762D70">
              <w:rPr>
                <w:sz w:val="18"/>
                <w:szCs w:val="18"/>
              </w:rPr>
              <w:t>12. Managers attest to compliance with internal controls within the</w:t>
            </w:r>
          </w:p>
          <w:p w:rsidR="00672914" w:rsidRPr="00762D70" w:rsidRDefault="00672914" w:rsidP="009B4CB4">
            <w:pPr>
              <w:rPr>
                <w:sz w:val="18"/>
                <w:szCs w:val="18"/>
              </w:rPr>
            </w:pPr>
            <w:r w:rsidRPr="00762D70">
              <w:rPr>
                <w:sz w:val="18"/>
                <w:szCs w:val="18"/>
              </w:rPr>
              <w:t>framework of their delegation of authority</w:t>
            </w:r>
          </w:p>
        </w:tc>
        <w:tc>
          <w:tcPr>
            <w:tcW w:w="3969" w:type="dxa"/>
            <w:shd w:val="clear" w:color="auto" w:fill="FFFFFF" w:themeFill="background1"/>
          </w:tcPr>
          <w:p w:rsidR="00672914" w:rsidRPr="00762D70" w:rsidRDefault="00672914" w:rsidP="00FE158C">
            <w:pPr>
              <w:rPr>
                <w:sz w:val="18"/>
                <w:szCs w:val="18"/>
              </w:rPr>
            </w:pPr>
            <w:r w:rsidRPr="00762D70">
              <w:rPr>
                <w:sz w:val="18"/>
                <w:szCs w:val="18"/>
              </w:rPr>
              <w:t>Letter/form of representation/assurance/attestation submitted annually to the executive head</w:t>
            </w:r>
          </w:p>
        </w:tc>
        <w:tc>
          <w:tcPr>
            <w:tcW w:w="1134" w:type="dxa"/>
            <w:shd w:val="clear" w:color="auto" w:fill="FFFFFF" w:themeFill="background1"/>
          </w:tcPr>
          <w:p w:rsidR="005E4C65" w:rsidRPr="00762D70" w:rsidRDefault="005E4C65" w:rsidP="00926316">
            <w:pPr>
              <w:jc w:val="center"/>
              <w:rPr>
                <w:sz w:val="18"/>
                <w:szCs w:val="18"/>
              </w:rPr>
            </w:pPr>
            <w:r w:rsidRPr="00762D70">
              <w:rPr>
                <w:sz w:val="18"/>
                <w:szCs w:val="18"/>
              </w:rPr>
              <w:sym w:font="Wingdings" w:char="F0FC"/>
            </w:r>
          </w:p>
        </w:tc>
        <w:tc>
          <w:tcPr>
            <w:tcW w:w="6522" w:type="dxa"/>
            <w:shd w:val="clear" w:color="auto" w:fill="FFFFFF" w:themeFill="background1"/>
          </w:tcPr>
          <w:p w:rsidR="00672914" w:rsidRPr="00762D70" w:rsidRDefault="00A622D2" w:rsidP="008F27F5">
            <w:pPr>
              <w:rPr>
                <w:sz w:val="18"/>
                <w:szCs w:val="18"/>
              </w:rPr>
            </w:pPr>
            <w:r w:rsidRPr="00762D70">
              <w:rPr>
                <w:sz w:val="18"/>
                <w:szCs w:val="18"/>
              </w:rPr>
              <w:t>Each Elected official</w:t>
            </w:r>
            <w:r w:rsidR="008F27F5" w:rsidRPr="00762D70">
              <w:rPr>
                <w:sz w:val="18"/>
                <w:szCs w:val="18"/>
              </w:rPr>
              <w:t xml:space="preserve">, Heads of Department and Head of Unit of GS are required to submit an Internal Letter of Representation, which constitutes a written confirmation that they have duly exercised delegated financial authorities and responsibilities. </w:t>
            </w:r>
          </w:p>
        </w:tc>
      </w:tr>
      <w:tr w:rsidR="003E6656" w:rsidTr="00584451">
        <w:tc>
          <w:tcPr>
            <w:tcW w:w="2977" w:type="dxa"/>
            <w:vMerge w:val="restart"/>
            <w:shd w:val="clear" w:color="auto" w:fill="FFFFFF" w:themeFill="background1"/>
          </w:tcPr>
          <w:p w:rsidR="003E6656" w:rsidRPr="00762D70" w:rsidRDefault="003E6656" w:rsidP="003E6656">
            <w:pPr>
              <w:rPr>
                <w:sz w:val="18"/>
                <w:szCs w:val="18"/>
              </w:rPr>
            </w:pPr>
            <w:r w:rsidRPr="00762D70">
              <w:rPr>
                <w:sz w:val="18"/>
                <w:szCs w:val="18"/>
              </w:rPr>
              <w:t>13. Staff at all levels have access to relevant, reliable information that supports decision-making in line with their delegated authorities and the organization has an internal and external communication system</w:t>
            </w:r>
          </w:p>
        </w:tc>
        <w:tc>
          <w:tcPr>
            <w:tcW w:w="3969" w:type="dxa"/>
            <w:shd w:val="clear" w:color="auto" w:fill="FFFFFF" w:themeFill="background1"/>
          </w:tcPr>
          <w:p w:rsidR="003E6656" w:rsidRPr="00762D70" w:rsidRDefault="003E6656" w:rsidP="003E6656">
            <w:pPr>
              <w:rPr>
                <w:sz w:val="18"/>
                <w:szCs w:val="18"/>
              </w:rPr>
            </w:pPr>
            <w:r w:rsidRPr="00762D70">
              <w:rPr>
                <w:sz w:val="18"/>
                <w:szCs w:val="18"/>
              </w:rPr>
              <w:t>ERP system or similar in place to capture and document relevant information</w:t>
            </w:r>
          </w:p>
        </w:tc>
        <w:tc>
          <w:tcPr>
            <w:tcW w:w="1134" w:type="dxa"/>
            <w:shd w:val="clear" w:color="auto" w:fill="auto"/>
            <w:vAlign w:val="center"/>
          </w:tcPr>
          <w:p w:rsidR="003E6656" w:rsidRPr="00762D70" w:rsidRDefault="003E6656" w:rsidP="00926316">
            <w:pPr>
              <w:jc w:val="center"/>
              <w:rPr>
                <w:sz w:val="18"/>
                <w:szCs w:val="18"/>
              </w:rPr>
            </w:pPr>
            <w:r w:rsidRPr="00762D70">
              <w:rPr>
                <w:sz w:val="18"/>
                <w:szCs w:val="18"/>
              </w:rPr>
              <w:t>In progress</w:t>
            </w:r>
          </w:p>
        </w:tc>
        <w:tc>
          <w:tcPr>
            <w:tcW w:w="6522" w:type="dxa"/>
            <w:vMerge w:val="restart"/>
            <w:shd w:val="clear" w:color="auto" w:fill="auto"/>
            <w:vAlign w:val="center"/>
          </w:tcPr>
          <w:p w:rsidR="003E6656" w:rsidRPr="00762D70" w:rsidRDefault="003E6656" w:rsidP="00926316">
            <w:pPr>
              <w:rPr>
                <w:sz w:val="18"/>
                <w:szCs w:val="18"/>
              </w:rPr>
            </w:pPr>
            <w:r w:rsidRPr="00762D70">
              <w:rPr>
                <w:sz w:val="18"/>
                <w:szCs w:val="18"/>
              </w:rPr>
              <w:t xml:space="preserve">ITU manages information and knowledge through standardized </w:t>
            </w:r>
            <w:r w:rsidR="00A1658F" w:rsidRPr="00762D70">
              <w:rPr>
                <w:sz w:val="18"/>
                <w:szCs w:val="18"/>
              </w:rPr>
              <w:t xml:space="preserve">information management. </w:t>
            </w:r>
            <w:proofErr w:type="gramStart"/>
            <w:r w:rsidR="00A1658F" w:rsidRPr="00762D70">
              <w:rPr>
                <w:sz w:val="18"/>
                <w:szCs w:val="18"/>
              </w:rPr>
              <w:t>i.e</w:t>
            </w:r>
            <w:proofErr w:type="gramEnd"/>
            <w:r w:rsidR="00A1658F" w:rsidRPr="00762D70">
              <w:rPr>
                <w:sz w:val="18"/>
                <w:szCs w:val="18"/>
              </w:rPr>
              <w:t>.</w:t>
            </w:r>
            <w:r w:rsidR="009027D1" w:rsidRPr="00762D70">
              <w:rPr>
                <w:sz w:val="18"/>
                <w:szCs w:val="18"/>
              </w:rPr>
              <w:t xml:space="preserve"> </w:t>
            </w:r>
            <w:r w:rsidR="00C87967" w:rsidRPr="00762D70">
              <w:rPr>
                <w:sz w:val="18"/>
                <w:szCs w:val="18"/>
              </w:rPr>
              <w:t xml:space="preserve">ERP, </w:t>
            </w:r>
            <w:r w:rsidR="00A1658F" w:rsidRPr="00762D70">
              <w:rPr>
                <w:sz w:val="18"/>
                <w:szCs w:val="18"/>
              </w:rPr>
              <w:t>SharePoint, File repositories, BI tools</w:t>
            </w:r>
            <w:r w:rsidR="00E22D13" w:rsidRPr="00762D70">
              <w:rPr>
                <w:sz w:val="18"/>
                <w:szCs w:val="18"/>
              </w:rPr>
              <w:t>,</w:t>
            </w:r>
            <w:r w:rsidR="00A1658F" w:rsidRPr="00762D70">
              <w:rPr>
                <w:sz w:val="18"/>
                <w:szCs w:val="18"/>
              </w:rPr>
              <w:t xml:space="preserve"> </w:t>
            </w:r>
            <w:r w:rsidR="00E22D13" w:rsidRPr="00762D70">
              <w:rPr>
                <w:sz w:val="18"/>
                <w:szCs w:val="18"/>
              </w:rPr>
              <w:t xml:space="preserve">which </w:t>
            </w:r>
            <w:r w:rsidR="00A1658F" w:rsidRPr="00762D70">
              <w:rPr>
                <w:sz w:val="18"/>
                <w:szCs w:val="18"/>
              </w:rPr>
              <w:t>provide</w:t>
            </w:r>
            <w:r w:rsidR="00E22D13" w:rsidRPr="00762D70">
              <w:rPr>
                <w:sz w:val="18"/>
                <w:szCs w:val="18"/>
              </w:rPr>
              <w:t>s</w:t>
            </w:r>
            <w:r w:rsidR="00A1658F" w:rsidRPr="00762D70">
              <w:rPr>
                <w:sz w:val="18"/>
                <w:szCs w:val="18"/>
              </w:rPr>
              <w:t xml:space="preserve"> staff </w:t>
            </w:r>
            <w:r w:rsidR="00E22D13" w:rsidRPr="00762D70">
              <w:rPr>
                <w:sz w:val="18"/>
                <w:szCs w:val="18"/>
              </w:rPr>
              <w:t>access t</w:t>
            </w:r>
            <w:r w:rsidR="00C87967" w:rsidRPr="00762D70">
              <w:rPr>
                <w:sz w:val="18"/>
                <w:szCs w:val="18"/>
              </w:rPr>
              <w:t xml:space="preserve">o </w:t>
            </w:r>
            <w:r w:rsidR="00E22D13" w:rsidRPr="00762D70">
              <w:rPr>
                <w:sz w:val="18"/>
                <w:szCs w:val="18"/>
              </w:rPr>
              <w:t xml:space="preserve">information </w:t>
            </w:r>
            <w:r w:rsidR="00A1658F" w:rsidRPr="00762D70">
              <w:rPr>
                <w:sz w:val="18"/>
                <w:szCs w:val="18"/>
              </w:rPr>
              <w:t xml:space="preserve">based </w:t>
            </w:r>
            <w:r w:rsidR="00E22D13" w:rsidRPr="00762D70">
              <w:rPr>
                <w:sz w:val="18"/>
                <w:szCs w:val="18"/>
              </w:rPr>
              <w:t xml:space="preserve">on role and </w:t>
            </w:r>
            <w:r w:rsidR="00C87967" w:rsidRPr="00762D70">
              <w:rPr>
                <w:sz w:val="18"/>
                <w:szCs w:val="18"/>
              </w:rPr>
              <w:t>function</w:t>
            </w:r>
            <w:r w:rsidR="00E22D13" w:rsidRPr="00762D70">
              <w:rPr>
                <w:sz w:val="18"/>
                <w:szCs w:val="18"/>
              </w:rPr>
              <w:t>.</w:t>
            </w:r>
          </w:p>
        </w:tc>
      </w:tr>
      <w:tr w:rsidR="003E6656" w:rsidTr="00584451">
        <w:tc>
          <w:tcPr>
            <w:tcW w:w="2977" w:type="dxa"/>
            <w:vMerge/>
            <w:shd w:val="clear" w:color="auto" w:fill="FFFFFF" w:themeFill="background1"/>
          </w:tcPr>
          <w:p w:rsidR="003E6656" w:rsidRPr="00762D70" w:rsidRDefault="003E6656" w:rsidP="003E6656">
            <w:pPr>
              <w:rPr>
                <w:sz w:val="18"/>
                <w:szCs w:val="18"/>
              </w:rPr>
            </w:pPr>
          </w:p>
        </w:tc>
        <w:tc>
          <w:tcPr>
            <w:tcW w:w="3969" w:type="dxa"/>
            <w:shd w:val="clear" w:color="auto" w:fill="FFFFFF" w:themeFill="background1"/>
          </w:tcPr>
          <w:p w:rsidR="003E6656" w:rsidRPr="00762D70" w:rsidRDefault="003E6656" w:rsidP="003E6656">
            <w:pPr>
              <w:rPr>
                <w:sz w:val="18"/>
                <w:szCs w:val="18"/>
              </w:rPr>
            </w:pPr>
            <w:r w:rsidRPr="00762D70">
              <w:rPr>
                <w:sz w:val="18"/>
                <w:szCs w:val="18"/>
              </w:rPr>
              <w:t>Internal communication channels are fully exploited</w:t>
            </w:r>
          </w:p>
        </w:tc>
        <w:tc>
          <w:tcPr>
            <w:tcW w:w="1134" w:type="dxa"/>
            <w:shd w:val="clear" w:color="auto" w:fill="auto"/>
            <w:vAlign w:val="center"/>
          </w:tcPr>
          <w:p w:rsidR="003E6656" w:rsidRPr="00762D70" w:rsidRDefault="003E6656" w:rsidP="00926316">
            <w:pPr>
              <w:jc w:val="center"/>
              <w:rPr>
                <w:sz w:val="18"/>
                <w:szCs w:val="18"/>
              </w:rPr>
            </w:pPr>
            <w:r w:rsidRPr="00762D70">
              <w:rPr>
                <w:sz w:val="18"/>
                <w:szCs w:val="18"/>
              </w:rPr>
              <w:t>In progress</w:t>
            </w:r>
          </w:p>
        </w:tc>
        <w:tc>
          <w:tcPr>
            <w:tcW w:w="6522" w:type="dxa"/>
            <w:vMerge/>
            <w:shd w:val="clear" w:color="auto" w:fill="FFFF00"/>
          </w:tcPr>
          <w:p w:rsidR="003E6656" w:rsidRPr="00762D70" w:rsidRDefault="003E6656" w:rsidP="003E6656">
            <w:pPr>
              <w:rPr>
                <w:sz w:val="18"/>
                <w:szCs w:val="18"/>
              </w:rPr>
            </w:pPr>
          </w:p>
        </w:tc>
      </w:tr>
      <w:tr w:rsidR="003E6656" w:rsidTr="00584451">
        <w:tc>
          <w:tcPr>
            <w:tcW w:w="2977" w:type="dxa"/>
            <w:vMerge/>
            <w:shd w:val="clear" w:color="auto" w:fill="FFFFFF" w:themeFill="background1"/>
          </w:tcPr>
          <w:p w:rsidR="003E6656" w:rsidRPr="00762D70" w:rsidRDefault="003E6656" w:rsidP="003E6656">
            <w:pPr>
              <w:rPr>
                <w:sz w:val="18"/>
                <w:szCs w:val="18"/>
              </w:rPr>
            </w:pPr>
          </w:p>
        </w:tc>
        <w:tc>
          <w:tcPr>
            <w:tcW w:w="3969" w:type="dxa"/>
            <w:shd w:val="clear" w:color="auto" w:fill="FFFFFF" w:themeFill="background1"/>
          </w:tcPr>
          <w:p w:rsidR="003E6656" w:rsidRPr="00762D70" w:rsidRDefault="003E6656" w:rsidP="003E6656">
            <w:pPr>
              <w:rPr>
                <w:sz w:val="18"/>
                <w:szCs w:val="18"/>
              </w:rPr>
            </w:pPr>
            <w:r w:rsidRPr="00762D70">
              <w:rPr>
                <w:sz w:val="18"/>
                <w:szCs w:val="18"/>
              </w:rPr>
              <w:t>Information disclosure policy in place</w:t>
            </w:r>
          </w:p>
        </w:tc>
        <w:tc>
          <w:tcPr>
            <w:tcW w:w="1134" w:type="dxa"/>
            <w:shd w:val="clear" w:color="auto" w:fill="auto"/>
            <w:vAlign w:val="center"/>
          </w:tcPr>
          <w:p w:rsidR="003E6656" w:rsidRPr="00762D70" w:rsidRDefault="003E6656" w:rsidP="00926316">
            <w:pPr>
              <w:jc w:val="center"/>
              <w:rPr>
                <w:sz w:val="18"/>
                <w:szCs w:val="18"/>
              </w:rPr>
            </w:pPr>
            <w:r w:rsidRPr="00762D70">
              <w:rPr>
                <w:sz w:val="18"/>
                <w:szCs w:val="18"/>
              </w:rPr>
              <w:t>In progress</w:t>
            </w:r>
          </w:p>
        </w:tc>
        <w:tc>
          <w:tcPr>
            <w:tcW w:w="6522" w:type="dxa"/>
            <w:vMerge/>
            <w:shd w:val="clear" w:color="auto" w:fill="FFFF00"/>
          </w:tcPr>
          <w:p w:rsidR="003E6656" w:rsidRPr="00762D70" w:rsidRDefault="003E6656" w:rsidP="003E6656">
            <w:pPr>
              <w:rPr>
                <w:sz w:val="18"/>
                <w:szCs w:val="18"/>
              </w:rPr>
            </w:pPr>
          </w:p>
        </w:tc>
      </w:tr>
      <w:tr w:rsidR="00672914" w:rsidTr="00584451">
        <w:tc>
          <w:tcPr>
            <w:tcW w:w="2977" w:type="dxa"/>
            <w:vMerge w:val="restart"/>
            <w:shd w:val="clear" w:color="auto" w:fill="FFFFFF" w:themeFill="background1"/>
          </w:tcPr>
          <w:p w:rsidR="00672914" w:rsidRPr="00762D70" w:rsidRDefault="00672914" w:rsidP="00B25CC6">
            <w:pPr>
              <w:rPr>
                <w:sz w:val="18"/>
                <w:szCs w:val="18"/>
              </w:rPr>
            </w:pPr>
            <w:r w:rsidRPr="00762D70">
              <w:rPr>
                <w:sz w:val="18"/>
                <w:szCs w:val="18"/>
              </w:rPr>
              <w:t>14. Executive heads, senior managers and staff members’ performance is monitored and corrective action taken as necessary</w:t>
            </w:r>
          </w:p>
        </w:tc>
        <w:tc>
          <w:tcPr>
            <w:tcW w:w="3969" w:type="dxa"/>
            <w:shd w:val="clear" w:color="auto" w:fill="FFFFFF" w:themeFill="background1"/>
          </w:tcPr>
          <w:p w:rsidR="00672914" w:rsidRPr="00762D70" w:rsidRDefault="00672914" w:rsidP="00FE158C">
            <w:pPr>
              <w:rPr>
                <w:sz w:val="18"/>
                <w:szCs w:val="18"/>
              </w:rPr>
            </w:pPr>
            <w:r w:rsidRPr="00762D70">
              <w:rPr>
                <w:sz w:val="18"/>
                <w:szCs w:val="18"/>
              </w:rPr>
              <w:t>Performance assessments for all staff levels including 360-degree feedback</w:t>
            </w:r>
          </w:p>
        </w:tc>
        <w:tc>
          <w:tcPr>
            <w:tcW w:w="1134" w:type="dxa"/>
            <w:shd w:val="clear" w:color="auto" w:fill="FFFFFF" w:themeFill="background1"/>
            <w:vAlign w:val="center"/>
          </w:tcPr>
          <w:p w:rsidR="00672914" w:rsidRPr="00762D70" w:rsidRDefault="00672914" w:rsidP="00926316">
            <w:pPr>
              <w:jc w:val="center"/>
              <w:rPr>
                <w:sz w:val="18"/>
                <w:szCs w:val="18"/>
              </w:rPr>
            </w:pPr>
            <w:r w:rsidRPr="00762D70">
              <w:rPr>
                <w:sz w:val="18"/>
                <w:szCs w:val="18"/>
              </w:rPr>
              <w:t>In progress</w:t>
            </w:r>
          </w:p>
        </w:tc>
        <w:tc>
          <w:tcPr>
            <w:tcW w:w="6522" w:type="dxa"/>
            <w:shd w:val="clear" w:color="auto" w:fill="auto"/>
            <w:vAlign w:val="center"/>
          </w:tcPr>
          <w:p w:rsidR="00672914" w:rsidRPr="00762D70" w:rsidRDefault="00D013F4" w:rsidP="00D013F4">
            <w:pPr>
              <w:rPr>
                <w:sz w:val="18"/>
                <w:szCs w:val="18"/>
              </w:rPr>
            </w:pPr>
            <w:r>
              <w:rPr>
                <w:sz w:val="18"/>
                <w:szCs w:val="18"/>
              </w:rPr>
              <w:t xml:space="preserve">The new appraisal system to be implemented in the course of 2017 doesn’t include a </w:t>
            </w:r>
            <w:r w:rsidRPr="00762D70">
              <w:rPr>
                <w:sz w:val="18"/>
                <w:szCs w:val="18"/>
              </w:rPr>
              <w:t>360-degree feedback</w:t>
            </w:r>
            <w:r>
              <w:rPr>
                <w:sz w:val="18"/>
                <w:szCs w:val="18"/>
              </w:rPr>
              <w:t>.</w:t>
            </w:r>
          </w:p>
        </w:tc>
      </w:tr>
      <w:tr w:rsidR="00672914" w:rsidTr="00584451">
        <w:tc>
          <w:tcPr>
            <w:tcW w:w="2977" w:type="dxa"/>
            <w:vMerge/>
            <w:shd w:val="clear" w:color="auto" w:fill="FFFFFF" w:themeFill="background1"/>
          </w:tcPr>
          <w:p w:rsidR="00672914" w:rsidRPr="00762D70" w:rsidRDefault="00672914" w:rsidP="00B25CC6">
            <w:pPr>
              <w:rPr>
                <w:sz w:val="18"/>
                <w:szCs w:val="18"/>
              </w:rPr>
            </w:pPr>
          </w:p>
        </w:tc>
        <w:tc>
          <w:tcPr>
            <w:tcW w:w="3969" w:type="dxa"/>
            <w:shd w:val="clear" w:color="auto" w:fill="FFFFFF" w:themeFill="background1"/>
          </w:tcPr>
          <w:p w:rsidR="00672914" w:rsidRPr="00762D70" w:rsidRDefault="00672914" w:rsidP="00FE158C">
            <w:pPr>
              <w:rPr>
                <w:sz w:val="18"/>
                <w:szCs w:val="18"/>
              </w:rPr>
            </w:pPr>
            <w:r w:rsidRPr="00762D70">
              <w:rPr>
                <w:sz w:val="18"/>
                <w:szCs w:val="18"/>
              </w:rPr>
              <w:t>Senior compacts or scorecard-type tools</w:t>
            </w:r>
          </w:p>
        </w:tc>
        <w:tc>
          <w:tcPr>
            <w:tcW w:w="1134" w:type="dxa"/>
            <w:shd w:val="clear" w:color="auto" w:fill="auto"/>
            <w:vAlign w:val="center"/>
          </w:tcPr>
          <w:p w:rsidR="00672914" w:rsidRPr="00762D70" w:rsidRDefault="00D013F4" w:rsidP="00926316">
            <w:pPr>
              <w:jc w:val="center"/>
              <w:rPr>
                <w:sz w:val="18"/>
                <w:szCs w:val="18"/>
              </w:rPr>
            </w:pPr>
            <w:r>
              <w:rPr>
                <w:sz w:val="18"/>
                <w:szCs w:val="18"/>
              </w:rPr>
              <w:t>Not applied</w:t>
            </w:r>
          </w:p>
        </w:tc>
        <w:tc>
          <w:tcPr>
            <w:tcW w:w="6522" w:type="dxa"/>
            <w:shd w:val="clear" w:color="auto" w:fill="auto"/>
            <w:vAlign w:val="center"/>
          </w:tcPr>
          <w:p w:rsidR="00672914" w:rsidRPr="00762D70" w:rsidRDefault="00672914" w:rsidP="00926316">
            <w:pPr>
              <w:rPr>
                <w:sz w:val="18"/>
                <w:szCs w:val="18"/>
              </w:rPr>
            </w:pPr>
          </w:p>
        </w:tc>
      </w:tr>
      <w:tr w:rsidR="00672914" w:rsidTr="00584451">
        <w:tc>
          <w:tcPr>
            <w:tcW w:w="2977" w:type="dxa"/>
            <w:vMerge/>
            <w:shd w:val="clear" w:color="auto" w:fill="FFFFFF" w:themeFill="background1"/>
          </w:tcPr>
          <w:p w:rsidR="00672914" w:rsidRPr="00762D70" w:rsidRDefault="00672914" w:rsidP="00B25CC6">
            <w:pPr>
              <w:rPr>
                <w:sz w:val="18"/>
                <w:szCs w:val="18"/>
              </w:rPr>
            </w:pPr>
          </w:p>
        </w:tc>
        <w:tc>
          <w:tcPr>
            <w:tcW w:w="3969" w:type="dxa"/>
            <w:shd w:val="clear" w:color="auto" w:fill="FFFFFF" w:themeFill="background1"/>
          </w:tcPr>
          <w:p w:rsidR="00672914" w:rsidRPr="00762D70" w:rsidRDefault="00672914" w:rsidP="00FE158C">
            <w:pPr>
              <w:rPr>
                <w:sz w:val="18"/>
                <w:szCs w:val="18"/>
              </w:rPr>
            </w:pPr>
            <w:r w:rsidRPr="00762D70">
              <w:rPr>
                <w:sz w:val="18"/>
                <w:szCs w:val="18"/>
              </w:rPr>
              <w:t>Corrective measures for non-performing assets</w:t>
            </w:r>
          </w:p>
        </w:tc>
        <w:tc>
          <w:tcPr>
            <w:tcW w:w="1134" w:type="dxa"/>
            <w:shd w:val="clear" w:color="auto" w:fill="auto"/>
            <w:vAlign w:val="center"/>
          </w:tcPr>
          <w:p w:rsidR="00672914" w:rsidRPr="00762D70" w:rsidRDefault="00926316" w:rsidP="00926316">
            <w:pPr>
              <w:jc w:val="center"/>
              <w:rPr>
                <w:sz w:val="18"/>
                <w:szCs w:val="18"/>
              </w:rPr>
            </w:pPr>
            <w:r w:rsidRPr="00762D70">
              <w:rPr>
                <w:sz w:val="18"/>
                <w:szCs w:val="18"/>
              </w:rPr>
              <w:sym w:font="Wingdings" w:char="F0FC"/>
            </w:r>
          </w:p>
        </w:tc>
        <w:tc>
          <w:tcPr>
            <w:tcW w:w="6522" w:type="dxa"/>
            <w:shd w:val="clear" w:color="auto" w:fill="auto"/>
            <w:vAlign w:val="center"/>
          </w:tcPr>
          <w:p w:rsidR="00672914" w:rsidRPr="00762D70" w:rsidRDefault="00D013F4" w:rsidP="008802A4">
            <w:pPr>
              <w:rPr>
                <w:sz w:val="18"/>
                <w:szCs w:val="18"/>
              </w:rPr>
            </w:pPr>
            <w:r>
              <w:rPr>
                <w:sz w:val="18"/>
                <w:szCs w:val="18"/>
              </w:rPr>
              <w:t xml:space="preserve">Staff members are invited to take action through the </w:t>
            </w:r>
            <w:r w:rsidR="008802A4">
              <w:rPr>
                <w:sz w:val="18"/>
                <w:szCs w:val="18"/>
              </w:rPr>
              <w:t>establishment</w:t>
            </w:r>
            <w:r>
              <w:rPr>
                <w:sz w:val="18"/>
                <w:szCs w:val="18"/>
              </w:rPr>
              <w:t xml:space="preserve"> training pla</w:t>
            </w:r>
            <w:r w:rsidR="001E45A7">
              <w:rPr>
                <w:sz w:val="18"/>
                <w:szCs w:val="18"/>
              </w:rPr>
              <w:t xml:space="preserve">ns for redressing the situation in collaboration with their supervisors. </w:t>
            </w:r>
          </w:p>
        </w:tc>
      </w:tr>
      <w:tr w:rsidR="00672914" w:rsidTr="00584451">
        <w:tc>
          <w:tcPr>
            <w:tcW w:w="2977" w:type="dxa"/>
            <w:vMerge w:val="restart"/>
            <w:shd w:val="clear" w:color="auto" w:fill="FFFFFF" w:themeFill="background1"/>
          </w:tcPr>
          <w:p w:rsidR="00672914" w:rsidRPr="00762D70" w:rsidRDefault="00672914" w:rsidP="00B25CC6">
            <w:pPr>
              <w:rPr>
                <w:sz w:val="18"/>
                <w:szCs w:val="18"/>
              </w:rPr>
            </w:pPr>
            <w:r w:rsidRPr="00762D70">
              <w:rPr>
                <w:sz w:val="18"/>
                <w:szCs w:val="18"/>
              </w:rPr>
              <w:t>15. Recommendations of oversight bodies/internal audits and evaluations are tracked, implemented, and if not, clear justification should be provided</w:t>
            </w:r>
          </w:p>
        </w:tc>
        <w:tc>
          <w:tcPr>
            <w:tcW w:w="3969" w:type="dxa"/>
            <w:shd w:val="clear" w:color="auto" w:fill="FFFFFF" w:themeFill="background1"/>
          </w:tcPr>
          <w:p w:rsidR="00672914" w:rsidRPr="00762D70" w:rsidRDefault="00672914" w:rsidP="00FE158C">
            <w:pPr>
              <w:rPr>
                <w:sz w:val="18"/>
                <w:szCs w:val="18"/>
              </w:rPr>
            </w:pPr>
            <w:r w:rsidRPr="00762D70">
              <w:rPr>
                <w:sz w:val="18"/>
                <w:szCs w:val="18"/>
              </w:rPr>
              <w:t>Information disclosure policy</w:t>
            </w:r>
          </w:p>
        </w:tc>
        <w:tc>
          <w:tcPr>
            <w:tcW w:w="1134" w:type="dxa"/>
            <w:shd w:val="clear" w:color="auto" w:fill="auto"/>
            <w:vAlign w:val="center"/>
          </w:tcPr>
          <w:p w:rsidR="00672914" w:rsidRPr="00762D70" w:rsidRDefault="00672914" w:rsidP="00926316">
            <w:pPr>
              <w:jc w:val="center"/>
              <w:rPr>
                <w:sz w:val="18"/>
                <w:szCs w:val="18"/>
              </w:rPr>
            </w:pPr>
            <w:r w:rsidRPr="00762D70">
              <w:rPr>
                <w:sz w:val="18"/>
                <w:szCs w:val="18"/>
              </w:rPr>
              <w:t>In progress</w:t>
            </w:r>
          </w:p>
        </w:tc>
        <w:tc>
          <w:tcPr>
            <w:tcW w:w="6522" w:type="dxa"/>
            <w:shd w:val="clear" w:color="auto" w:fill="auto"/>
          </w:tcPr>
          <w:p w:rsidR="00672914" w:rsidRPr="00762D70" w:rsidRDefault="009265DE" w:rsidP="00FE158C">
            <w:pPr>
              <w:rPr>
                <w:sz w:val="18"/>
                <w:szCs w:val="18"/>
              </w:rPr>
            </w:pPr>
            <w:r w:rsidRPr="00762D70">
              <w:rPr>
                <w:sz w:val="18"/>
                <w:szCs w:val="18"/>
              </w:rPr>
              <w:t xml:space="preserve">ITU Council adopted at its 2016 session the </w:t>
            </w:r>
            <w:r w:rsidRPr="00762D70">
              <w:rPr>
                <w:rFonts w:eastAsia="Times New Roman"/>
                <w:sz w:val="18"/>
                <w:szCs w:val="18"/>
                <w:lang w:val="en-GB" w:eastAsia="en-US"/>
              </w:rPr>
              <w:t>ITU’s information/document access policy which “… ensures access by the public to information held, managed or generated by ITU”; this policy will enter into force on 1 January 2017 on a provisional basis.</w:t>
            </w:r>
          </w:p>
        </w:tc>
      </w:tr>
      <w:tr w:rsidR="00672914" w:rsidTr="00584451">
        <w:tc>
          <w:tcPr>
            <w:tcW w:w="2977" w:type="dxa"/>
            <w:vMerge/>
            <w:shd w:val="clear" w:color="auto" w:fill="FFFFFF" w:themeFill="background1"/>
          </w:tcPr>
          <w:p w:rsidR="00672914" w:rsidRPr="00762D70" w:rsidRDefault="00672914" w:rsidP="00B25CC6">
            <w:pPr>
              <w:rPr>
                <w:sz w:val="18"/>
                <w:szCs w:val="18"/>
              </w:rPr>
            </w:pPr>
          </w:p>
        </w:tc>
        <w:tc>
          <w:tcPr>
            <w:tcW w:w="3969" w:type="dxa"/>
            <w:shd w:val="clear" w:color="auto" w:fill="FFFFFF" w:themeFill="background1"/>
          </w:tcPr>
          <w:p w:rsidR="00672914" w:rsidRPr="00762D70" w:rsidRDefault="00672914" w:rsidP="00FE158C">
            <w:pPr>
              <w:rPr>
                <w:sz w:val="18"/>
                <w:szCs w:val="18"/>
              </w:rPr>
            </w:pPr>
            <w:r w:rsidRPr="00762D70">
              <w:rPr>
                <w:sz w:val="18"/>
                <w:szCs w:val="18"/>
              </w:rPr>
              <w:t>Reporting on external and internal oversight recommendations</w:t>
            </w:r>
          </w:p>
        </w:tc>
        <w:tc>
          <w:tcPr>
            <w:tcW w:w="1134" w:type="dxa"/>
            <w:shd w:val="clear" w:color="auto" w:fill="auto"/>
            <w:vAlign w:val="center"/>
          </w:tcPr>
          <w:p w:rsidR="00672914" w:rsidRPr="00762D70" w:rsidRDefault="00672914" w:rsidP="00926316">
            <w:pPr>
              <w:jc w:val="center"/>
              <w:rPr>
                <w:sz w:val="18"/>
                <w:szCs w:val="18"/>
              </w:rPr>
            </w:pPr>
            <w:r w:rsidRPr="00762D70">
              <w:rPr>
                <w:sz w:val="18"/>
                <w:szCs w:val="18"/>
              </w:rPr>
              <w:sym w:font="Wingdings" w:char="F0FC"/>
            </w:r>
          </w:p>
        </w:tc>
        <w:tc>
          <w:tcPr>
            <w:tcW w:w="6522" w:type="dxa"/>
            <w:shd w:val="clear" w:color="auto" w:fill="auto"/>
          </w:tcPr>
          <w:p w:rsidR="00672914" w:rsidRPr="00762D70" w:rsidRDefault="00F539E0" w:rsidP="000B522B">
            <w:pPr>
              <w:rPr>
                <w:sz w:val="18"/>
                <w:szCs w:val="18"/>
              </w:rPr>
            </w:pPr>
            <w:r w:rsidRPr="00762D70">
              <w:rPr>
                <w:sz w:val="18"/>
                <w:szCs w:val="18"/>
              </w:rPr>
              <w:t>The SG and IMAC receive regular updates</w:t>
            </w:r>
            <w:r w:rsidR="000B522B">
              <w:rPr>
                <w:sz w:val="18"/>
                <w:szCs w:val="18"/>
              </w:rPr>
              <w:t xml:space="preserve"> on the implementation of internal and external audit</w:t>
            </w:r>
            <w:r w:rsidRPr="00762D70">
              <w:rPr>
                <w:sz w:val="18"/>
                <w:szCs w:val="18"/>
              </w:rPr>
              <w:t xml:space="preserve"> recommendations.</w:t>
            </w:r>
          </w:p>
        </w:tc>
      </w:tr>
      <w:tr w:rsidR="00672914" w:rsidTr="00584451">
        <w:tc>
          <w:tcPr>
            <w:tcW w:w="2977" w:type="dxa"/>
            <w:vMerge/>
            <w:shd w:val="clear" w:color="auto" w:fill="FFFFFF" w:themeFill="background1"/>
          </w:tcPr>
          <w:p w:rsidR="00672914" w:rsidRPr="00762D70" w:rsidRDefault="00672914" w:rsidP="00B25CC6">
            <w:pPr>
              <w:rPr>
                <w:sz w:val="18"/>
                <w:szCs w:val="18"/>
              </w:rPr>
            </w:pPr>
          </w:p>
        </w:tc>
        <w:tc>
          <w:tcPr>
            <w:tcW w:w="3969" w:type="dxa"/>
            <w:shd w:val="clear" w:color="auto" w:fill="FFFFFF" w:themeFill="background1"/>
          </w:tcPr>
          <w:p w:rsidR="00672914" w:rsidRPr="00762D70" w:rsidRDefault="00672914" w:rsidP="00B25CC6">
            <w:pPr>
              <w:rPr>
                <w:sz w:val="18"/>
                <w:szCs w:val="18"/>
              </w:rPr>
            </w:pPr>
            <w:r w:rsidRPr="00762D70">
              <w:rPr>
                <w:sz w:val="18"/>
                <w:szCs w:val="18"/>
              </w:rPr>
              <w:t>Tracking recommendations of internal and external audit, oversight bodies and internal, independent and self-evaluations</w:t>
            </w:r>
          </w:p>
        </w:tc>
        <w:tc>
          <w:tcPr>
            <w:tcW w:w="1134" w:type="dxa"/>
            <w:shd w:val="clear" w:color="auto" w:fill="auto"/>
            <w:vAlign w:val="center"/>
          </w:tcPr>
          <w:p w:rsidR="00672914" w:rsidRPr="00762D70" w:rsidRDefault="00672914" w:rsidP="00926316">
            <w:pPr>
              <w:jc w:val="center"/>
              <w:rPr>
                <w:sz w:val="18"/>
                <w:szCs w:val="18"/>
              </w:rPr>
            </w:pPr>
            <w:r w:rsidRPr="00762D70">
              <w:rPr>
                <w:sz w:val="18"/>
                <w:szCs w:val="18"/>
              </w:rPr>
              <w:sym w:font="Wingdings" w:char="F0FC"/>
            </w:r>
          </w:p>
        </w:tc>
        <w:tc>
          <w:tcPr>
            <w:tcW w:w="6522" w:type="dxa"/>
            <w:shd w:val="clear" w:color="auto" w:fill="auto"/>
          </w:tcPr>
          <w:p w:rsidR="00672914" w:rsidRPr="00762D70" w:rsidRDefault="00423323" w:rsidP="00423323">
            <w:pPr>
              <w:rPr>
                <w:sz w:val="18"/>
                <w:szCs w:val="18"/>
              </w:rPr>
            </w:pPr>
            <w:r w:rsidRPr="00762D70">
              <w:rPr>
                <w:sz w:val="18"/>
                <w:szCs w:val="18"/>
              </w:rPr>
              <w:t xml:space="preserve">CWG-FHR is following and overseeing all the recommendations from Ext. Auditors and IMAC </w:t>
            </w:r>
          </w:p>
        </w:tc>
      </w:tr>
    </w:tbl>
    <w:p w:rsidR="00672914" w:rsidRPr="00672914" w:rsidRDefault="00672914" w:rsidP="00D80D3F">
      <w:pPr>
        <w:spacing w:before="120" w:after="120" w:line="240" w:lineRule="auto"/>
        <w:rPr>
          <w:b/>
          <w:bCs/>
        </w:rPr>
      </w:pPr>
      <w:r w:rsidRPr="00672914">
        <w:rPr>
          <w:b/>
          <w:bCs/>
        </w:rPr>
        <w:t>Pillar 3</w:t>
      </w:r>
    </w:p>
    <w:tbl>
      <w:tblPr>
        <w:tblStyle w:val="TableGrid"/>
        <w:tblW w:w="14601" w:type="dxa"/>
        <w:tblInd w:w="-5" w:type="dxa"/>
        <w:tblLayout w:type="fixed"/>
        <w:tblLook w:val="04A0" w:firstRow="1" w:lastRow="0" w:firstColumn="1" w:lastColumn="0" w:noHBand="0" w:noVBand="1"/>
      </w:tblPr>
      <w:tblGrid>
        <w:gridCol w:w="2694"/>
        <w:gridCol w:w="4252"/>
        <w:gridCol w:w="1134"/>
        <w:gridCol w:w="6521"/>
      </w:tblGrid>
      <w:tr w:rsidR="00070C6A" w:rsidTr="00584451">
        <w:tc>
          <w:tcPr>
            <w:tcW w:w="2694" w:type="dxa"/>
            <w:shd w:val="clear" w:color="auto" w:fill="BDD6EE" w:themeFill="accent1" w:themeFillTint="66"/>
          </w:tcPr>
          <w:p w:rsidR="00070C6A" w:rsidRDefault="00070C6A" w:rsidP="00672914">
            <w:pPr>
              <w:rPr>
                <w:sz w:val="18"/>
                <w:szCs w:val="18"/>
              </w:rPr>
            </w:pPr>
            <w:r w:rsidRPr="00D638C7">
              <w:rPr>
                <w:b/>
                <w:bCs/>
              </w:rPr>
              <w:t>Benchmark</w:t>
            </w:r>
          </w:p>
        </w:tc>
        <w:tc>
          <w:tcPr>
            <w:tcW w:w="4252" w:type="dxa"/>
            <w:shd w:val="clear" w:color="auto" w:fill="BDD6EE" w:themeFill="accent1" w:themeFillTint="66"/>
          </w:tcPr>
          <w:p w:rsidR="00070C6A" w:rsidRPr="00B25CC6" w:rsidRDefault="00070C6A" w:rsidP="00672914">
            <w:pPr>
              <w:rPr>
                <w:sz w:val="18"/>
                <w:szCs w:val="18"/>
              </w:rPr>
            </w:pPr>
            <w:r w:rsidRPr="00D638C7">
              <w:rPr>
                <w:b/>
                <w:bCs/>
              </w:rPr>
              <w:t>Tools</w:t>
            </w:r>
          </w:p>
        </w:tc>
        <w:tc>
          <w:tcPr>
            <w:tcW w:w="1134" w:type="dxa"/>
            <w:shd w:val="clear" w:color="auto" w:fill="BDD6EE" w:themeFill="accent1" w:themeFillTint="66"/>
          </w:tcPr>
          <w:p w:rsidR="00070C6A" w:rsidRPr="00732706" w:rsidRDefault="00070C6A" w:rsidP="003411F7">
            <w:pPr>
              <w:jc w:val="center"/>
              <w:rPr>
                <w:sz w:val="18"/>
                <w:szCs w:val="18"/>
              </w:rPr>
            </w:pPr>
            <w:r w:rsidRPr="00D638C7">
              <w:rPr>
                <w:b/>
                <w:bCs/>
              </w:rPr>
              <w:t>Status</w:t>
            </w:r>
          </w:p>
        </w:tc>
        <w:tc>
          <w:tcPr>
            <w:tcW w:w="6521" w:type="dxa"/>
            <w:shd w:val="clear" w:color="auto" w:fill="BDD6EE" w:themeFill="accent1" w:themeFillTint="66"/>
          </w:tcPr>
          <w:p w:rsidR="00070C6A" w:rsidRPr="00732706" w:rsidRDefault="00070C6A" w:rsidP="00672914">
            <w:pPr>
              <w:rPr>
                <w:sz w:val="18"/>
                <w:szCs w:val="18"/>
              </w:rPr>
            </w:pPr>
            <w:r w:rsidRPr="00D638C7">
              <w:rPr>
                <w:b/>
                <w:bCs/>
              </w:rPr>
              <w:t>Comment</w:t>
            </w:r>
          </w:p>
        </w:tc>
      </w:tr>
      <w:tr w:rsidR="00070C6A" w:rsidTr="00584451">
        <w:tc>
          <w:tcPr>
            <w:tcW w:w="2694" w:type="dxa"/>
            <w:vMerge w:val="restart"/>
            <w:shd w:val="clear" w:color="auto" w:fill="FFFFFF" w:themeFill="background1"/>
          </w:tcPr>
          <w:p w:rsidR="00070C6A" w:rsidRPr="00762D70" w:rsidRDefault="00070C6A" w:rsidP="00FE158C">
            <w:pPr>
              <w:rPr>
                <w:sz w:val="18"/>
                <w:szCs w:val="18"/>
              </w:rPr>
            </w:pPr>
            <w:r w:rsidRPr="00762D70">
              <w:rPr>
                <w:sz w:val="18"/>
                <w:szCs w:val="18"/>
              </w:rPr>
              <w:t>16. Staff members have recourse to non-formal complaints mechanisms</w:t>
            </w:r>
          </w:p>
        </w:tc>
        <w:tc>
          <w:tcPr>
            <w:tcW w:w="4252" w:type="dxa"/>
            <w:shd w:val="clear" w:color="auto" w:fill="FFFFFF" w:themeFill="background1"/>
          </w:tcPr>
          <w:p w:rsidR="00070C6A" w:rsidRPr="00762D70" w:rsidRDefault="00070C6A" w:rsidP="00B25CC6">
            <w:pPr>
              <w:rPr>
                <w:sz w:val="18"/>
                <w:szCs w:val="18"/>
              </w:rPr>
            </w:pPr>
            <w:r w:rsidRPr="00762D70">
              <w:rPr>
                <w:sz w:val="18"/>
                <w:szCs w:val="18"/>
              </w:rPr>
              <w:t>Procedures for non-formal grievances/rebuttals are outlined in a policy document and or handbook</w:t>
            </w:r>
          </w:p>
        </w:tc>
        <w:tc>
          <w:tcPr>
            <w:tcW w:w="1134" w:type="dxa"/>
            <w:shd w:val="clear" w:color="auto" w:fill="auto"/>
            <w:vAlign w:val="center"/>
          </w:tcPr>
          <w:p w:rsidR="00070C6A" w:rsidRPr="00762D70" w:rsidRDefault="00926316" w:rsidP="00926316">
            <w:pPr>
              <w:jc w:val="center"/>
              <w:rPr>
                <w:sz w:val="18"/>
                <w:szCs w:val="18"/>
              </w:rPr>
            </w:pPr>
            <w:r>
              <w:rPr>
                <w:sz w:val="18"/>
                <w:szCs w:val="18"/>
              </w:rPr>
              <w:t>Not applied</w:t>
            </w:r>
          </w:p>
        </w:tc>
        <w:tc>
          <w:tcPr>
            <w:tcW w:w="6521" w:type="dxa"/>
            <w:shd w:val="clear" w:color="auto" w:fill="auto"/>
          </w:tcPr>
          <w:p w:rsidR="00070C6A" w:rsidRPr="00762D70" w:rsidRDefault="007B5CBE" w:rsidP="00FE158C">
            <w:pPr>
              <w:rPr>
                <w:b/>
                <w:bCs/>
                <w:sz w:val="18"/>
                <w:szCs w:val="18"/>
              </w:rPr>
            </w:pPr>
            <w:r w:rsidRPr="00762D70">
              <w:rPr>
                <w:sz w:val="18"/>
                <w:szCs w:val="18"/>
              </w:rPr>
              <w:t>Each procedure is included in the relevant Service Order.</w:t>
            </w:r>
          </w:p>
        </w:tc>
      </w:tr>
      <w:tr w:rsidR="00070C6A" w:rsidTr="00584451">
        <w:tc>
          <w:tcPr>
            <w:tcW w:w="2694" w:type="dxa"/>
            <w:vMerge/>
            <w:shd w:val="clear" w:color="auto" w:fill="FFFFFF" w:themeFill="background1"/>
          </w:tcPr>
          <w:p w:rsidR="00070C6A" w:rsidRPr="00762D70" w:rsidRDefault="00070C6A" w:rsidP="00FE158C">
            <w:pPr>
              <w:rPr>
                <w:sz w:val="18"/>
                <w:szCs w:val="18"/>
              </w:rPr>
            </w:pPr>
          </w:p>
        </w:tc>
        <w:tc>
          <w:tcPr>
            <w:tcW w:w="4252" w:type="dxa"/>
            <w:shd w:val="clear" w:color="auto" w:fill="FFFFFF" w:themeFill="background1"/>
          </w:tcPr>
          <w:p w:rsidR="00070C6A" w:rsidRPr="00762D70" w:rsidRDefault="00070C6A" w:rsidP="00FE158C">
            <w:pPr>
              <w:rPr>
                <w:sz w:val="18"/>
                <w:szCs w:val="18"/>
              </w:rPr>
            </w:pPr>
            <w:r w:rsidRPr="00762D70">
              <w:rPr>
                <w:sz w:val="18"/>
                <w:szCs w:val="18"/>
              </w:rPr>
              <w:t>A mediator or ombudsperson function is in place</w:t>
            </w:r>
          </w:p>
        </w:tc>
        <w:tc>
          <w:tcPr>
            <w:tcW w:w="1134" w:type="dxa"/>
            <w:shd w:val="clear" w:color="auto" w:fill="auto"/>
            <w:vAlign w:val="center"/>
          </w:tcPr>
          <w:p w:rsidR="00070C6A" w:rsidRPr="00762D70" w:rsidRDefault="00070C6A" w:rsidP="00926316">
            <w:pPr>
              <w:jc w:val="center"/>
              <w:rPr>
                <w:sz w:val="18"/>
                <w:szCs w:val="18"/>
              </w:rPr>
            </w:pPr>
            <w:r w:rsidRPr="00762D70">
              <w:rPr>
                <w:sz w:val="18"/>
                <w:szCs w:val="18"/>
              </w:rPr>
              <w:sym w:font="Wingdings" w:char="F0FC"/>
            </w:r>
          </w:p>
        </w:tc>
        <w:tc>
          <w:tcPr>
            <w:tcW w:w="6521" w:type="dxa"/>
            <w:shd w:val="clear" w:color="auto" w:fill="auto"/>
          </w:tcPr>
          <w:p w:rsidR="00070C6A" w:rsidRPr="00762D70" w:rsidRDefault="00070C6A" w:rsidP="00FE158C">
            <w:pPr>
              <w:rPr>
                <w:sz w:val="18"/>
                <w:szCs w:val="18"/>
              </w:rPr>
            </w:pPr>
          </w:p>
        </w:tc>
      </w:tr>
      <w:tr w:rsidR="00070C6A" w:rsidTr="00584451">
        <w:tc>
          <w:tcPr>
            <w:tcW w:w="2694" w:type="dxa"/>
            <w:vMerge w:val="restart"/>
            <w:shd w:val="clear" w:color="auto" w:fill="FFFFFF" w:themeFill="background1"/>
          </w:tcPr>
          <w:p w:rsidR="00070C6A" w:rsidRPr="00762D70" w:rsidRDefault="00070C6A" w:rsidP="00B25CC6">
            <w:pPr>
              <w:rPr>
                <w:sz w:val="18"/>
                <w:szCs w:val="18"/>
              </w:rPr>
            </w:pPr>
            <w:r w:rsidRPr="00762D70">
              <w:rPr>
                <w:sz w:val="18"/>
                <w:szCs w:val="18"/>
              </w:rPr>
              <w:t>17. Staff members, consultants, non-staff, stakeholders/beneficiaries and vendors have recourse to formal complaints mechanisms and organizations have mechanisms to respond to such complaints</w:t>
            </w:r>
          </w:p>
        </w:tc>
        <w:tc>
          <w:tcPr>
            <w:tcW w:w="4252" w:type="dxa"/>
            <w:shd w:val="clear" w:color="auto" w:fill="FFFFFF" w:themeFill="background1"/>
          </w:tcPr>
          <w:p w:rsidR="00070C6A" w:rsidRPr="00762D70" w:rsidRDefault="00070C6A" w:rsidP="00FE158C">
            <w:pPr>
              <w:rPr>
                <w:sz w:val="18"/>
                <w:szCs w:val="18"/>
              </w:rPr>
            </w:pPr>
            <w:r w:rsidRPr="00762D70">
              <w:rPr>
                <w:sz w:val="18"/>
                <w:szCs w:val="18"/>
              </w:rPr>
              <w:t>Investigation function, hotlines, complaints forms etc. for staff and external</w:t>
            </w:r>
          </w:p>
        </w:tc>
        <w:tc>
          <w:tcPr>
            <w:tcW w:w="1134" w:type="dxa"/>
            <w:shd w:val="clear" w:color="auto" w:fill="auto"/>
            <w:vAlign w:val="center"/>
          </w:tcPr>
          <w:p w:rsidR="00070C6A" w:rsidRPr="00762D70" w:rsidRDefault="005A6F8A" w:rsidP="00926316">
            <w:pPr>
              <w:jc w:val="center"/>
              <w:rPr>
                <w:sz w:val="18"/>
                <w:szCs w:val="18"/>
              </w:rPr>
            </w:pPr>
            <w:r w:rsidRPr="00762D70">
              <w:rPr>
                <w:sz w:val="18"/>
                <w:szCs w:val="18"/>
              </w:rPr>
              <w:sym w:font="Wingdings" w:char="F0FC"/>
            </w:r>
          </w:p>
        </w:tc>
        <w:tc>
          <w:tcPr>
            <w:tcW w:w="6521" w:type="dxa"/>
            <w:shd w:val="clear" w:color="auto" w:fill="auto"/>
          </w:tcPr>
          <w:p w:rsidR="00070C6A" w:rsidRPr="00762D70" w:rsidRDefault="005A6F8A" w:rsidP="00926316">
            <w:pPr>
              <w:rPr>
                <w:sz w:val="18"/>
                <w:szCs w:val="18"/>
              </w:rPr>
            </w:pPr>
            <w:r w:rsidRPr="00762D70">
              <w:rPr>
                <w:sz w:val="18"/>
                <w:szCs w:val="18"/>
              </w:rPr>
              <w:t>Consultants and non-staff have not access to the ILOAT and UNAT. SSA contracts are including a provision for informal resolution of conflicts and recourse to arbitration</w:t>
            </w:r>
            <w:r w:rsidR="00926316">
              <w:rPr>
                <w:sz w:val="18"/>
                <w:szCs w:val="18"/>
              </w:rPr>
              <w:t>.</w:t>
            </w:r>
          </w:p>
        </w:tc>
      </w:tr>
      <w:tr w:rsidR="00070C6A" w:rsidTr="00584451">
        <w:tc>
          <w:tcPr>
            <w:tcW w:w="2694" w:type="dxa"/>
            <w:vMerge/>
            <w:shd w:val="clear" w:color="auto" w:fill="FFFFFF" w:themeFill="background1"/>
          </w:tcPr>
          <w:p w:rsidR="00070C6A" w:rsidRPr="00762D70" w:rsidRDefault="00070C6A" w:rsidP="00B25CC6">
            <w:pPr>
              <w:rPr>
                <w:sz w:val="18"/>
                <w:szCs w:val="18"/>
              </w:rPr>
            </w:pPr>
          </w:p>
        </w:tc>
        <w:tc>
          <w:tcPr>
            <w:tcW w:w="4252" w:type="dxa"/>
            <w:shd w:val="clear" w:color="auto" w:fill="FFFFFF" w:themeFill="background1"/>
          </w:tcPr>
          <w:p w:rsidR="00070C6A" w:rsidRPr="00762D70" w:rsidRDefault="00070C6A" w:rsidP="00FE158C">
            <w:pPr>
              <w:rPr>
                <w:sz w:val="18"/>
                <w:szCs w:val="18"/>
              </w:rPr>
            </w:pPr>
            <w:r w:rsidRPr="00762D70">
              <w:rPr>
                <w:sz w:val="18"/>
                <w:szCs w:val="18"/>
              </w:rPr>
              <w:t>Grievance mechanisms: United Nations Dispute or ILO Administrative Tribunals</w:t>
            </w:r>
          </w:p>
        </w:tc>
        <w:tc>
          <w:tcPr>
            <w:tcW w:w="1134" w:type="dxa"/>
            <w:shd w:val="clear" w:color="auto" w:fill="FFFFFF" w:themeFill="background1"/>
            <w:vAlign w:val="center"/>
          </w:tcPr>
          <w:p w:rsidR="00070C6A" w:rsidRPr="00762D70" w:rsidRDefault="00070C6A" w:rsidP="00926316">
            <w:pPr>
              <w:jc w:val="center"/>
              <w:rPr>
                <w:sz w:val="18"/>
                <w:szCs w:val="18"/>
              </w:rPr>
            </w:pPr>
            <w:r w:rsidRPr="00762D70">
              <w:rPr>
                <w:sz w:val="18"/>
                <w:szCs w:val="18"/>
              </w:rPr>
              <w:sym w:font="Wingdings" w:char="F0FC"/>
            </w:r>
          </w:p>
        </w:tc>
        <w:tc>
          <w:tcPr>
            <w:tcW w:w="6521" w:type="dxa"/>
            <w:shd w:val="clear" w:color="auto" w:fill="auto"/>
          </w:tcPr>
          <w:p w:rsidR="00070C6A" w:rsidRPr="00762D70" w:rsidRDefault="007C39BC" w:rsidP="00FE158C">
            <w:pPr>
              <w:rPr>
                <w:sz w:val="18"/>
                <w:szCs w:val="18"/>
              </w:rPr>
            </w:pPr>
            <w:r w:rsidRPr="00926316">
              <w:rPr>
                <w:sz w:val="18"/>
                <w:szCs w:val="18"/>
              </w:rPr>
              <w:t>Available for regular staff members and staff members on short term contracts, and arbitration for consultants and non-staff</w:t>
            </w:r>
            <w:r w:rsidR="00926316">
              <w:rPr>
                <w:sz w:val="18"/>
                <w:szCs w:val="18"/>
              </w:rPr>
              <w:t>.</w:t>
            </w:r>
          </w:p>
        </w:tc>
      </w:tr>
      <w:tr w:rsidR="00070C6A" w:rsidTr="00584451">
        <w:tc>
          <w:tcPr>
            <w:tcW w:w="2694" w:type="dxa"/>
            <w:vMerge/>
            <w:shd w:val="clear" w:color="auto" w:fill="FFFFFF" w:themeFill="background1"/>
          </w:tcPr>
          <w:p w:rsidR="00070C6A" w:rsidRPr="00762D70" w:rsidRDefault="00070C6A" w:rsidP="00B25CC6">
            <w:pPr>
              <w:rPr>
                <w:sz w:val="18"/>
                <w:szCs w:val="18"/>
              </w:rPr>
            </w:pPr>
          </w:p>
        </w:tc>
        <w:tc>
          <w:tcPr>
            <w:tcW w:w="4252" w:type="dxa"/>
            <w:shd w:val="clear" w:color="auto" w:fill="FFFFFF" w:themeFill="background1"/>
          </w:tcPr>
          <w:p w:rsidR="00070C6A" w:rsidRPr="00762D70" w:rsidRDefault="00070C6A" w:rsidP="00FE158C">
            <w:pPr>
              <w:rPr>
                <w:sz w:val="18"/>
                <w:szCs w:val="18"/>
              </w:rPr>
            </w:pPr>
            <w:r w:rsidRPr="00762D70">
              <w:rPr>
                <w:sz w:val="18"/>
                <w:szCs w:val="18"/>
              </w:rPr>
              <w:t>Procurement challenges</w:t>
            </w:r>
          </w:p>
        </w:tc>
        <w:tc>
          <w:tcPr>
            <w:tcW w:w="1134" w:type="dxa"/>
            <w:shd w:val="clear" w:color="auto" w:fill="FFFFFF" w:themeFill="background1"/>
            <w:vAlign w:val="center"/>
          </w:tcPr>
          <w:p w:rsidR="00070C6A" w:rsidRPr="00762D70" w:rsidRDefault="00070C6A" w:rsidP="00926316">
            <w:pPr>
              <w:jc w:val="center"/>
              <w:rPr>
                <w:sz w:val="18"/>
                <w:szCs w:val="18"/>
              </w:rPr>
            </w:pPr>
            <w:r w:rsidRPr="00762D70">
              <w:rPr>
                <w:sz w:val="18"/>
                <w:szCs w:val="18"/>
              </w:rPr>
              <w:t>In progress</w:t>
            </w:r>
          </w:p>
        </w:tc>
        <w:tc>
          <w:tcPr>
            <w:tcW w:w="6521" w:type="dxa"/>
            <w:shd w:val="clear" w:color="auto" w:fill="FFFFFF" w:themeFill="background1"/>
          </w:tcPr>
          <w:p w:rsidR="00070C6A" w:rsidRPr="00762D70" w:rsidRDefault="00C47F07" w:rsidP="00FE158C">
            <w:pPr>
              <w:rPr>
                <w:sz w:val="18"/>
                <w:szCs w:val="18"/>
              </w:rPr>
            </w:pPr>
            <w:r w:rsidRPr="00C47F07">
              <w:rPr>
                <w:sz w:val="18"/>
                <w:szCs w:val="18"/>
              </w:rPr>
              <w:t>ITU is committed to ensuring that the purchase of goods and services is conducted in a fair and transparent manner and subject to competition, where appropriate international. To address procurement challenges, ITU is considering putting in place a debrief mechanism for unsuccessful bidders for high-value solicitations.</w:t>
            </w:r>
          </w:p>
        </w:tc>
      </w:tr>
    </w:tbl>
    <w:p w:rsidR="005E6900" w:rsidRPr="005E6900" w:rsidRDefault="005E6900" w:rsidP="00175C46">
      <w:pPr>
        <w:spacing w:before="240" w:after="0"/>
        <w:jc w:val="center"/>
        <w:rPr>
          <w:sz w:val="20"/>
          <w:szCs w:val="20"/>
        </w:rPr>
      </w:pPr>
      <w:r w:rsidRPr="005E6900">
        <w:rPr>
          <w:sz w:val="20"/>
          <w:szCs w:val="20"/>
        </w:rPr>
        <w:t>____________________________</w:t>
      </w:r>
    </w:p>
    <w:sectPr w:rsidR="005E6900" w:rsidRPr="005E6900" w:rsidSect="00870090">
      <w:pgSz w:w="16839" w:h="11907" w:orient="landscape" w:code="9"/>
      <w:pgMar w:top="1134" w:right="1134" w:bottom="567" w:left="1134" w:header="709" w:footer="4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363" w:rsidRDefault="00676363" w:rsidP="00A30189">
      <w:pPr>
        <w:spacing w:after="0" w:line="240" w:lineRule="auto"/>
      </w:pPr>
      <w:r>
        <w:separator/>
      </w:r>
    </w:p>
  </w:endnote>
  <w:endnote w:type="continuationSeparator" w:id="0">
    <w:p w:rsidR="00676363" w:rsidRDefault="00676363" w:rsidP="00A30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027" w:rsidRPr="008F7EF1" w:rsidRDefault="00ED1027" w:rsidP="00D95A5D">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363" w:rsidRDefault="00676363" w:rsidP="00A30189">
      <w:pPr>
        <w:spacing w:after="0" w:line="240" w:lineRule="auto"/>
      </w:pPr>
      <w:r>
        <w:separator/>
      </w:r>
    </w:p>
  </w:footnote>
  <w:footnote w:type="continuationSeparator" w:id="0">
    <w:p w:rsidR="00676363" w:rsidRDefault="00676363" w:rsidP="00A301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E8A" w:rsidRPr="00AF2F70" w:rsidRDefault="00886E8A" w:rsidP="00886E8A">
    <w:pPr>
      <w:pStyle w:val="Header"/>
      <w:jc w:val="center"/>
      <w:rPr>
        <w:sz w:val="18"/>
        <w:szCs w:val="18"/>
      </w:rPr>
    </w:pPr>
    <w:r w:rsidRPr="00AF2F70">
      <w:rPr>
        <w:sz w:val="18"/>
        <w:szCs w:val="18"/>
      </w:rPr>
      <w:fldChar w:fldCharType="begin"/>
    </w:r>
    <w:r w:rsidRPr="00AF2F70">
      <w:rPr>
        <w:sz w:val="18"/>
        <w:szCs w:val="18"/>
      </w:rPr>
      <w:instrText>PAGE</w:instrText>
    </w:r>
    <w:r w:rsidRPr="00AF2F70">
      <w:rPr>
        <w:sz w:val="18"/>
        <w:szCs w:val="18"/>
      </w:rPr>
      <w:fldChar w:fldCharType="separate"/>
    </w:r>
    <w:r w:rsidR="00B94AF5">
      <w:rPr>
        <w:noProof/>
        <w:sz w:val="18"/>
        <w:szCs w:val="18"/>
      </w:rPr>
      <w:t>8</w:t>
    </w:r>
    <w:r w:rsidRPr="00AF2F70">
      <w:rPr>
        <w:noProof/>
        <w:sz w:val="18"/>
        <w:szCs w:val="18"/>
      </w:rPr>
      <w:fldChar w:fldCharType="end"/>
    </w:r>
    <w:r w:rsidRPr="00AF2F70">
      <w:rPr>
        <w:sz w:val="18"/>
        <w:szCs w:val="18"/>
      </w:rPr>
      <w:t>/</w:t>
    </w:r>
    <w:r w:rsidRPr="00AF2F70">
      <w:rPr>
        <w:sz w:val="18"/>
        <w:szCs w:val="18"/>
      </w:rPr>
      <w:fldChar w:fldCharType="begin"/>
    </w:r>
    <w:r w:rsidRPr="00AF2F70">
      <w:rPr>
        <w:sz w:val="18"/>
        <w:szCs w:val="18"/>
      </w:rPr>
      <w:instrText xml:space="preserve"> NUMPAGES   \* MERGEFORMAT </w:instrText>
    </w:r>
    <w:r w:rsidRPr="00AF2F70">
      <w:rPr>
        <w:sz w:val="18"/>
        <w:szCs w:val="18"/>
      </w:rPr>
      <w:fldChar w:fldCharType="separate"/>
    </w:r>
    <w:r w:rsidR="00B94AF5">
      <w:rPr>
        <w:noProof/>
        <w:sz w:val="18"/>
        <w:szCs w:val="18"/>
      </w:rPr>
      <w:t>8</w:t>
    </w:r>
    <w:r w:rsidRPr="00AF2F70">
      <w:rPr>
        <w:noProof/>
        <w:sz w:val="18"/>
        <w:szCs w:val="18"/>
      </w:rPr>
      <w:fldChar w:fldCharType="end"/>
    </w:r>
  </w:p>
  <w:p w:rsidR="00886E8A" w:rsidRPr="00AF2F70" w:rsidRDefault="00886E8A" w:rsidP="00D85639">
    <w:pPr>
      <w:pStyle w:val="Header"/>
      <w:jc w:val="center"/>
      <w:rPr>
        <w:sz w:val="18"/>
        <w:szCs w:val="18"/>
      </w:rPr>
    </w:pPr>
    <w:r w:rsidRPr="00AF2F70">
      <w:rPr>
        <w:sz w:val="18"/>
        <w:szCs w:val="18"/>
      </w:rPr>
      <w:t>C17/</w:t>
    </w:r>
    <w:r w:rsidR="00D85639" w:rsidRPr="00AF2F70">
      <w:rPr>
        <w:sz w:val="18"/>
        <w:szCs w:val="18"/>
      </w:rPr>
      <w:t>64</w:t>
    </w:r>
    <w:r w:rsidRPr="00AF2F70">
      <w:rPr>
        <w:sz w:val="18"/>
        <w:szCs w:val="18"/>
      </w:rPr>
      <w:t>-E</w:t>
    </w:r>
  </w:p>
  <w:p w:rsidR="005E6900" w:rsidRPr="00AF2F70" w:rsidRDefault="005E6900" w:rsidP="00886E8A">
    <w:pPr>
      <w:pStyle w:val="Header"/>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E72"/>
    <w:multiLevelType w:val="hybridMultilevel"/>
    <w:tmpl w:val="C1766C7E"/>
    <w:lvl w:ilvl="0" w:tplc="F326B6B6">
      <w:start w:val="1"/>
      <w:numFmt w:val="bullet"/>
      <w:lvlText w:val="-"/>
      <w:lvlJc w:val="left"/>
      <w:pPr>
        <w:ind w:left="720" w:hanging="360"/>
      </w:pPr>
      <w:rPr>
        <w:rFonts w:ascii="Times New Roman"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A5F43"/>
    <w:multiLevelType w:val="hybridMultilevel"/>
    <w:tmpl w:val="B8B6ACCA"/>
    <w:lvl w:ilvl="0" w:tplc="F326B6B6">
      <w:start w:val="1"/>
      <w:numFmt w:val="bullet"/>
      <w:lvlText w:val="-"/>
      <w:lvlJc w:val="left"/>
      <w:pPr>
        <w:ind w:left="720" w:hanging="360"/>
      </w:pPr>
      <w:rPr>
        <w:rFonts w:ascii="Times New Roman"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1007D"/>
    <w:multiLevelType w:val="hybridMultilevel"/>
    <w:tmpl w:val="F6EC4846"/>
    <w:lvl w:ilvl="0" w:tplc="F326B6B6">
      <w:start w:val="1"/>
      <w:numFmt w:val="bullet"/>
      <w:lvlText w:val="-"/>
      <w:lvlJc w:val="left"/>
      <w:pPr>
        <w:ind w:left="360" w:hanging="360"/>
      </w:pPr>
      <w:rPr>
        <w:rFonts w:ascii="Times New Roman" w:hAnsi="Times New Roman" w:cs="Times New Roman"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6214BD"/>
    <w:multiLevelType w:val="hybridMultilevel"/>
    <w:tmpl w:val="799E4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5132A6"/>
    <w:multiLevelType w:val="hybridMultilevel"/>
    <w:tmpl w:val="B48296B4"/>
    <w:lvl w:ilvl="0" w:tplc="F410A318">
      <w:start w:val="1"/>
      <w:numFmt w:val="lowerLetter"/>
      <w:lvlText w:val="%1."/>
      <w:lvlJc w:val="left"/>
      <w:pPr>
        <w:ind w:left="720" w:hanging="360"/>
      </w:pPr>
      <w:rPr>
        <w:rFonts w:hint="default"/>
        <w:sz w:val="2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B1721A"/>
    <w:multiLevelType w:val="hybridMultilevel"/>
    <w:tmpl w:val="3EB2B7FA"/>
    <w:lvl w:ilvl="0" w:tplc="07FE193A">
      <w:start w:val="1"/>
      <w:numFmt w:val="lowerLetter"/>
      <w:lvlText w:val="%1."/>
      <w:lvlJc w:val="left"/>
      <w:pPr>
        <w:ind w:left="1516" w:hanging="360"/>
      </w:pPr>
      <w:rPr>
        <w:rFonts w:hint="default"/>
      </w:rPr>
    </w:lvl>
    <w:lvl w:ilvl="1" w:tplc="04090019">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6" w15:restartNumberingAfterBreak="0">
    <w:nsid w:val="563A252B"/>
    <w:multiLevelType w:val="hybridMultilevel"/>
    <w:tmpl w:val="9C62F7A6"/>
    <w:lvl w:ilvl="0" w:tplc="632AA42A">
      <w:start w:val="1"/>
      <w:numFmt w:val="lowerLetter"/>
      <w:lvlText w:val="%1."/>
      <w:lvlJc w:val="left"/>
      <w:pPr>
        <w:ind w:left="-360" w:hanging="360"/>
      </w:pPr>
      <w:rPr>
        <w:rFonts w:hint="default"/>
        <w:sz w:val="22"/>
        <w:szCs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5B9C3C3B"/>
    <w:multiLevelType w:val="hybridMultilevel"/>
    <w:tmpl w:val="CCC0640C"/>
    <w:lvl w:ilvl="0" w:tplc="3C0E5E5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FA552E"/>
    <w:multiLevelType w:val="hybridMultilevel"/>
    <w:tmpl w:val="F92805F0"/>
    <w:lvl w:ilvl="0" w:tplc="F326B6B6">
      <w:start w:val="1"/>
      <w:numFmt w:val="bullet"/>
      <w:lvlText w:val="-"/>
      <w:lvlJc w:val="left"/>
      <w:pPr>
        <w:ind w:left="720" w:hanging="360"/>
      </w:pPr>
      <w:rPr>
        <w:rFonts w:ascii="Times New Roman"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3745D3"/>
    <w:multiLevelType w:val="hybridMultilevel"/>
    <w:tmpl w:val="74AA0F60"/>
    <w:lvl w:ilvl="0" w:tplc="BE4A8FD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6C3F7BE2"/>
    <w:multiLevelType w:val="multilevel"/>
    <w:tmpl w:val="BA64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B921EF"/>
    <w:multiLevelType w:val="hybridMultilevel"/>
    <w:tmpl w:val="0974F76C"/>
    <w:lvl w:ilvl="0" w:tplc="F326B6B6">
      <w:start w:val="1"/>
      <w:numFmt w:val="bullet"/>
      <w:lvlText w:val="-"/>
      <w:lvlJc w:val="left"/>
      <w:pPr>
        <w:ind w:left="720" w:hanging="360"/>
      </w:pPr>
      <w:rPr>
        <w:rFonts w:ascii="Times New Roman"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BB7FE0"/>
    <w:multiLevelType w:val="hybridMultilevel"/>
    <w:tmpl w:val="A3E87BCA"/>
    <w:lvl w:ilvl="0" w:tplc="59FA21C4">
      <w:start w:val="1"/>
      <w:numFmt w:val="lowerLetter"/>
      <w:lvlText w:val="%1."/>
      <w:lvlJc w:val="left"/>
      <w:pPr>
        <w:ind w:left="720" w:hanging="360"/>
      </w:pPr>
      <w:rPr>
        <w:rFonts w:hint="default"/>
        <w:sz w:val="2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165D20"/>
    <w:multiLevelType w:val="hybridMultilevel"/>
    <w:tmpl w:val="4656DFA8"/>
    <w:lvl w:ilvl="0" w:tplc="CE38CFF8">
      <w:start w:val="1"/>
      <w:numFmt w:val="lowerLetter"/>
      <w:lvlText w:val="%1."/>
      <w:lvlJc w:val="left"/>
      <w:pPr>
        <w:ind w:left="720" w:hanging="360"/>
      </w:pPr>
      <w:rPr>
        <w:rFonts w:hint="default"/>
        <w:sz w:val="2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8"/>
  </w:num>
  <w:num w:numId="4">
    <w:abstractNumId w:val="5"/>
  </w:num>
  <w:num w:numId="5">
    <w:abstractNumId w:val="0"/>
  </w:num>
  <w:num w:numId="6">
    <w:abstractNumId w:val="1"/>
  </w:num>
  <w:num w:numId="7">
    <w:abstractNumId w:val="9"/>
  </w:num>
  <w:num w:numId="8">
    <w:abstractNumId w:val="7"/>
  </w:num>
  <w:num w:numId="9">
    <w:abstractNumId w:val="10"/>
  </w:num>
  <w:num w:numId="10">
    <w:abstractNumId w:val="3"/>
  </w:num>
  <w:num w:numId="11">
    <w:abstractNumId w:val="6"/>
  </w:num>
  <w:num w:numId="12">
    <w:abstractNumId w:val="12"/>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4CD"/>
    <w:rsid w:val="000036EF"/>
    <w:rsid w:val="00005530"/>
    <w:rsid w:val="000258FA"/>
    <w:rsid w:val="00026534"/>
    <w:rsid w:val="00052D12"/>
    <w:rsid w:val="00060F6C"/>
    <w:rsid w:val="000673A3"/>
    <w:rsid w:val="00070BC0"/>
    <w:rsid w:val="00070C6A"/>
    <w:rsid w:val="00071D70"/>
    <w:rsid w:val="00071E2C"/>
    <w:rsid w:val="00077194"/>
    <w:rsid w:val="00087B86"/>
    <w:rsid w:val="000B3397"/>
    <w:rsid w:val="000B522B"/>
    <w:rsid w:val="000C5552"/>
    <w:rsid w:val="000D6898"/>
    <w:rsid w:val="000E1DEB"/>
    <w:rsid w:val="000E1F44"/>
    <w:rsid w:val="000E6443"/>
    <w:rsid w:val="000F0E51"/>
    <w:rsid w:val="000F73D4"/>
    <w:rsid w:val="00101138"/>
    <w:rsid w:val="00102B1E"/>
    <w:rsid w:val="00105594"/>
    <w:rsid w:val="00125945"/>
    <w:rsid w:val="00133370"/>
    <w:rsid w:val="00145D32"/>
    <w:rsid w:val="00152E78"/>
    <w:rsid w:val="0016664D"/>
    <w:rsid w:val="00175871"/>
    <w:rsid w:val="00175C46"/>
    <w:rsid w:val="00182266"/>
    <w:rsid w:val="001829B2"/>
    <w:rsid w:val="00190FDA"/>
    <w:rsid w:val="00193110"/>
    <w:rsid w:val="00196061"/>
    <w:rsid w:val="0019674E"/>
    <w:rsid w:val="001A2607"/>
    <w:rsid w:val="001A3824"/>
    <w:rsid w:val="001C151F"/>
    <w:rsid w:val="001C1A70"/>
    <w:rsid w:val="001D6F03"/>
    <w:rsid w:val="001D7C3E"/>
    <w:rsid w:val="001E45A7"/>
    <w:rsid w:val="001E61AF"/>
    <w:rsid w:val="001F0007"/>
    <w:rsid w:val="002020DD"/>
    <w:rsid w:val="00220402"/>
    <w:rsid w:val="002210FB"/>
    <w:rsid w:val="00232AF8"/>
    <w:rsid w:val="0023552F"/>
    <w:rsid w:val="0024335A"/>
    <w:rsid w:val="00243F58"/>
    <w:rsid w:val="00247546"/>
    <w:rsid w:val="00247B52"/>
    <w:rsid w:val="00251311"/>
    <w:rsid w:val="00252EE0"/>
    <w:rsid w:val="00257802"/>
    <w:rsid w:val="00260A8E"/>
    <w:rsid w:val="00271CF4"/>
    <w:rsid w:val="002904A0"/>
    <w:rsid w:val="00292428"/>
    <w:rsid w:val="00292BCD"/>
    <w:rsid w:val="002B2655"/>
    <w:rsid w:val="002B2B12"/>
    <w:rsid w:val="002E49B6"/>
    <w:rsid w:val="00314D5A"/>
    <w:rsid w:val="00320927"/>
    <w:rsid w:val="00321195"/>
    <w:rsid w:val="003332B2"/>
    <w:rsid w:val="003411F7"/>
    <w:rsid w:val="003451EF"/>
    <w:rsid w:val="00356E31"/>
    <w:rsid w:val="00372CEC"/>
    <w:rsid w:val="00380C11"/>
    <w:rsid w:val="0038204B"/>
    <w:rsid w:val="003834E5"/>
    <w:rsid w:val="00383950"/>
    <w:rsid w:val="003905B0"/>
    <w:rsid w:val="00396E73"/>
    <w:rsid w:val="00397612"/>
    <w:rsid w:val="003D0347"/>
    <w:rsid w:val="003E1F17"/>
    <w:rsid w:val="003E20A5"/>
    <w:rsid w:val="003E6656"/>
    <w:rsid w:val="004000A4"/>
    <w:rsid w:val="00407177"/>
    <w:rsid w:val="00416CA5"/>
    <w:rsid w:val="00423323"/>
    <w:rsid w:val="00424958"/>
    <w:rsid w:val="00431A0E"/>
    <w:rsid w:val="00436FF0"/>
    <w:rsid w:val="004370C0"/>
    <w:rsid w:val="004515B6"/>
    <w:rsid w:val="00467FB0"/>
    <w:rsid w:val="004A3406"/>
    <w:rsid w:val="004A52BE"/>
    <w:rsid w:val="004C18EE"/>
    <w:rsid w:val="004E7C73"/>
    <w:rsid w:val="004F390C"/>
    <w:rsid w:val="005111C1"/>
    <w:rsid w:val="005160C3"/>
    <w:rsid w:val="005177FD"/>
    <w:rsid w:val="00526D31"/>
    <w:rsid w:val="00526DCD"/>
    <w:rsid w:val="00537DA4"/>
    <w:rsid w:val="00541677"/>
    <w:rsid w:val="005478AC"/>
    <w:rsid w:val="00570FED"/>
    <w:rsid w:val="00572B3D"/>
    <w:rsid w:val="005746BB"/>
    <w:rsid w:val="00584451"/>
    <w:rsid w:val="00586332"/>
    <w:rsid w:val="005944CD"/>
    <w:rsid w:val="00597535"/>
    <w:rsid w:val="005A1D99"/>
    <w:rsid w:val="005A2202"/>
    <w:rsid w:val="005A53F7"/>
    <w:rsid w:val="005A6F8A"/>
    <w:rsid w:val="005B42A9"/>
    <w:rsid w:val="005E4C65"/>
    <w:rsid w:val="005E6900"/>
    <w:rsid w:val="005E7480"/>
    <w:rsid w:val="005F13C8"/>
    <w:rsid w:val="005F61EB"/>
    <w:rsid w:val="00604C0D"/>
    <w:rsid w:val="00605073"/>
    <w:rsid w:val="00617294"/>
    <w:rsid w:val="006249EC"/>
    <w:rsid w:val="00640A35"/>
    <w:rsid w:val="00641E83"/>
    <w:rsid w:val="006423C6"/>
    <w:rsid w:val="006469D0"/>
    <w:rsid w:val="00670213"/>
    <w:rsid w:val="00672914"/>
    <w:rsid w:val="00676363"/>
    <w:rsid w:val="00692FED"/>
    <w:rsid w:val="006B5361"/>
    <w:rsid w:val="006C5706"/>
    <w:rsid w:val="006D7A06"/>
    <w:rsid w:val="006E620C"/>
    <w:rsid w:val="006F03A9"/>
    <w:rsid w:val="006F7D13"/>
    <w:rsid w:val="00700E8A"/>
    <w:rsid w:val="007127E5"/>
    <w:rsid w:val="00715696"/>
    <w:rsid w:val="007201E1"/>
    <w:rsid w:val="00724AEC"/>
    <w:rsid w:val="00732706"/>
    <w:rsid w:val="0074768C"/>
    <w:rsid w:val="00750B5D"/>
    <w:rsid w:val="007525B0"/>
    <w:rsid w:val="00762D70"/>
    <w:rsid w:val="00782D8E"/>
    <w:rsid w:val="0078689D"/>
    <w:rsid w:val="00786D97"/>
    <w:rsid w:val="007A27DC"/>
    <w:rsid w:val="007A4662"/>
    <w:rsid w:val="007A54A5"/>
    <w:rsid w:val="007B5CBE"/>
    <w:rsid w:val="007C39BC"/>
    <w:rsid w:val="007C79D6"/>
    <w:rsid w:val="007D2DA5"/>
    <w:rsid w:val="007D47DE"/>
    <w:rsid w:val="007E61AE"/>
    <w:rsid w:val="007E631E"/>
    <w:rsid w:val="007F1BAB"/>
    <w:rsid w:val="008017C5"/>
    <w:rsid w:val="00804959"/>
    <w:rsid w:val="008249FE"/>
    <w:rsid w:val="00825C22"/>
    <w:rsid w:val="00831A42"/>
    <w:rsid w:val="00832093"/>
    <w:rsid w:val="00841389"/>
    <w:rsid w:val="0084433E"/>
    <w:rsid w:val="00870090"/>
    <w:rsid w:val="00872BF8"/>
    <w:rsid w:val="008802A4"/>
    <w:rsid w:val="00886E8A"/>
    <w:rsid w:val="0089064C"/>
    <w:rsid w:val="008A087C"/>
    <w:rsid w:val="008A4230"/>
    <w:rsid w:val="008B511A"/>
    <w:rsid w:val="008C4035"/>
    <w:rsid w:val="008C6DAA"/>
    <w:rsid w:val="008E5B67"/>
    <w:rsid w:val="008E78AF"/>
    <w:rsid w:val="008F27F5"/>
    <w:rsid w:val="008F7EF1"/>
    <w:rsid w:val="009008C5"/>
    <w:rsid w:val="009027D1"/>
    <w:rsid w:val="00905863"/>
    <w:rsid w:val="009133A4"/>
    <w:rsid w:val="00926316"/>
    <w:rsid w:val="009265DE"/>
    <w:rsid w:val="009376AB"/>
    <w:rsid w:val="00937B72"/>
    <w:rsid w:val="0094175F"/>
    <w:rsid w:val="00944694"/>
    <w:rsid w:val="00950856"/>
    <w:rsid w:val="00953D8C"/>
    <w:rsid w:val="00965277"/>
    <w:rsid w:val="00973014"/>
    <w:rsid w:val="00974B46"/>
    <w:rsid w:val="00975D3C"/>
    <w:rsid w:val="00980E66"/>
    <w:rsid w:val="009838C8"/>
    <w:rsid w:val="009976A7"/>
    <w:rsid w:val="009A0908"/>
    <w:rsid w:val="009B4CB4"/>
    <w:rsid w:val="009B6C96"/>
    <w:rsid w:val="009D764D"/>
    <w:rsid w:val="00A12439"/>
    <w:rsid w:val="00A1404C"/>
    <w:rsid w:val="00A1658F"/>
    <w:rsid w:val="00A24E9F"/>
    <w:rsid w:val="00A26298"/>
    <w:rsid w:val="00A30189"/>
    <w:rsid w:val="00A33AB8"/>
    <w:rsid w:val="00A622D2"/>
    <w:rsid w:val="00A63D05"/>
    <w:rsid w:val="00A80063"/>
    <w:rsid w:val="00A822A6"/>
    <w:rsid w:val="00A87792"/>
    <w:rsid w:val="00A94A72"/>
    <w:rsid w:val="00AA5F4F"/>
    <w:rsid w:val="00AB32D1"/>
    <w:rsid w:val="00AC3C02"/>
    <w:rsid w:val="00AC400F"/>
    <w:rsid w:val="00AD2FB4"/>
    <w:rsid w:val="00AE154C"/>
    <w:rsid w:val="00AE2095"/>
    <w:rsid w:val="00AE420F"/>
    <w:rsid w:val="00AF2F70"/>
    <w:rsid w:val="00B020A9"/>
    <w:rsid w:val="00B24679"/>
    <w:rsid w:val="00B24845"/>
    <w:rsid w:val="00B25CC6"/>
    <w:rsid w:val="00B25CEE"/>
    <w:rsid w:val="00B42FA8"/>
    <w:rsid w:val="00B51844"/>
    <w:rsid w:val="00B56294"/>
    <w:rsid w:val="00B61F35"/>
    <w:rsid w:val="00B70967"/>
    <w:rsid w:val="00B756DA"/>
    <w:rsid w:val="00B82A24"/>
    <w:rsid w:val="00B94850"/>
    <w:rsid w:val="00B94AF5"/>
    <w:rsid w:val="00BA124C"/>
    <w:rsid w:val="00BA47AC"/>
    <w:rsid w:val="00BB3A44"/>
    <w:rsid w:val="00BB58C7"/>
    <w:rsid w:val="00BC32D9"/>
    <w:rsid w:val="00BD2D6B"/>
    <w:rsid w:val="00BD57A8"/>
    <w:rsid w:val="00BF016A"/>
    <w:rsid w:val="00C0241F"/>
    <w:rsid w:val="00C04CE9"/>
    <w:rsid w:val="00C05E00"/>
    <w:rsid w:val="00C1443C"/>
    <w:rsid w:val="00C24893"/>
    <w:rsid w:val="00C47F07"/>
    <w:rsid w:val="00C63E74"/>
    <w:rsid w:val="00C71230"/>
    <w:rsid w:val="00C87967"/>
    <w:rsid w:val="00CA51A8"/>
    <w:rsid w:val="00CE7205"/>
    <w:rsid w:val="00CF0F38"/>
    <w:rsid w:val="00CF1209"/>
    <w:rsid w:val="00CF1493"/>
    <w:rsid w:val="00CF1B49"/>
    <w:rsid w:val="00CF3055"/>
    <w:rsid w:val="00CF7EE7"/>
    <w:rsid w:val="00D013F4"/>
    <w:rsid w:val="00D0333B"/>
    <w:rsid w:val="00D11C43"/>
    <w:rsid w:val="00D273CB"/>
    <w:rsid w:val="00D27A8F"/>
    <w:rsid w:val="00D42A07"/>
    <w:rsid w:val="00D53735"/>
    <w:rsid w:val="00D53C4B"/>
    <w:rsid w:val="00D638C7"/>
    <w:rsid w:val="00D75271"/>
    <w:rsid w:val="00D80D3F"/>
    <w:rsid w:val="00D85639"/>
    <w:rsid w:val="00D95A5D"/>
    <w:rsid w:val="00D97AC1"/>
    <w:rsid w:val="00DA5F7E"/>
    <w:rsid w:val="00DC128E"/>
    <w:rsid w:val="00DD1313"/>
    <w:rsid w:val="00DE356C"/>
    <w:rsid w:val="00E0533C"/>
    <w:rsid w:val="00E05BA9"/>
    <w:rsid w:val="00E071B7"/>
    <w:rsid w:val="00E07E62"/>
    <w:rsid w:val="00E119E5"/>
    <w:rsid w:val="00E21351"/>
    <w:rsid w:val="00E22D13"/>
    <w:rsid w:val="00E2394D"/>
    <w:rsid w:val="00E26D21"/>
    <w:rsid w:val="00E328BA"/>
    <w:rsid w:val="00E32DB9"/>
    <w:rsid w:val="00E477E3"/>
    <w:rsid w:val="00E91823"/>
    <w:rsid w:val="00E94BFB"/>
    <w:rsid w:val="00EA0305"/>
    <w:rsid w:val="00EA1EB0"/>
    <w:rsid w:val="00EA50D0"/>
    <w:rsid w:val="00EA646C"/>
    <w:rsid w:val="00EB0F8E"/>
    <w:rsid w:val="00EC1183"/>
    <w:rsid w:val="00ED1027"/>
    <w:rsid w:val="00F03229"/>
    <w:rsid w:val="00F03CB5"/>
    <w:rsid w:val="00F107E4"/>
    <w:rsid w:val="00F13902"/>
    <w:rsid w:val="00F15A40"/>
    <w:rsid w:val="00F47366"/>
    <w:rsid w:val="00F50650"/>
    <w:rsid w:val="00F539E0"/>
    <w:rsid w:val="00F552FC"/>
    <w:rsid w:val="00F63E55"/>
    <w:rsid w:val="00F669A9"/>
    <w:rsid w:val="00F72242"/>
    <w:rsid w:val="00F76951"/>
    <w:rsid w:val="00F81006"/>
    <w:rsid w:val="00F871DA"/>
    <w:rsid w:val="00F875A1"/>
    <w:rsid w:val="00F93D70"/>
    <w:rsid w:val="00FA4755"/>
    <w:rsid w:val="00FA7849"/>
    <w:rsid w:val="00FB6AF5"/>
    <w:rsid w:val="00FB77E7"/>
    <w:rsid w:val="00FC3167"/>
    <w:rsid w:val="00FD08F9"/>
    <w:rsid w:val="00FD2D15"/>
    <w:rsid w:val="00FE0240"/>
    <w:rsid w:val="00FE158C"/>
    <w:rsid w:val="00FE22E1"/>
    <w:rsid w:val="00FF11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F0EC0797-1951-4DC4-BF14-AD25EE5E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4CD"/>
  </w:style>
  <w:style w:type="paragraph" w:styleId="Heading2">
    <w:name w:val="heading 2"/>
    <w:basedOn w:val="Normal"/>
    <w:next w:val="Normal"/>
    <w:link w:val="Heading2Char"/>
    <w:uiPriority w:val="9"/>
    <w:unhideWhenUsed/>
    <w:qFormat/>
    <w:rsid w:val="005944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944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328B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44CD"/>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594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944C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5944CD"/>
    <w:pPr>
      <w:ind w:left="720"/>
      <w:contextualSpacing/>
    </w:pPr>
  </w:style>
  <w:style w:type="character" w:styleId="Strong">
    <w:name w:val="Strong"/>
    <w:basedOn w:val="DefaultParagraphFont"/>
    <w:uiPriority w:val="22"/>
    <w:qFormat/>
    <w:rsid w:val="00832093"/>
    <w:rPr>
      <w:b/>
      <w:bCs/>
    </w:rPr>
  </w:style>
  <w:style w:type="character" w:customStyle="1" w:styleId="apple-converted-space">
    <w:name w:val="apple-converted-space"/>
    <w:basedOn w:val="DefaultParagraphFont"/>
    <w:rsid w:val="00175871"/>
  </w:style>
  <w:style w:type="character" w:customStyle="1" w:styleId="ms-rtefontsize-1">
    <w:name w:val="ms-rtefontsize-1"/>
    <w:basedOn w:val="DefaultParagraphFont"/>
    <w:rsid w:val="00D53C4B"/>
  </w:style>
  <w:style w:type="character" w:styleId="Hyperlink">
    <w:name w:val="Hyperlink"/>
    <w:basedOn w:val="DefaultParagraphFont"/>
    <w:uiPriority w:val="99"/>
    <w:unhideWhenUsed/>
    <w:rsid w:val="00FC3167"/>
    <w:rPr>
      <w:color w:val="0000FF"/>
      <w:u w:val="single"/>
    </w:rPr>
  </w:style>
  <w:style w:type="paragraph" w:styleId="NormalWeb">
    <w:name w:val="Normal (Web)"/>
    <w:basedOn w:val="Normal"/>
    <w:uiPriority w:val="99"/>
    <w:semiHidden/>
    <w:unhideWhenUsed/>
    <w:rsid w:val="00CF1B4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A5F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F4F"/>
    <w:rPr>
      <w:rFonts w:ascii="Segoe UI" w:hAnsi="Segoe UI" w:cs="Segoe UI"/>
      <w:sz w:val="18"/>
      <w:szCs w:val="18"/>
    </w:rPr>
  </w:style>
  <w:style w:type="paragraph" w:styleId="Date">
    <w:name w:val="Date"/>
    <w:basedOn w:val="Normal"/>
    <w:next w:val="Normal"/>
    <w:link w:val="DateChar"/>
    <w:uiPriority w:val="99"/>
    <w:semiHidden/>
    <w:unhideWhenUsed/>
    <w:rsid w:val="00B56294"/>
  </w:style>
  <w:style w:type="character" w:customStyle="1" w:styleId="DateChar">
    <w:name w:val="Date Char"/>
    <w:basedOn w:val="DefaultParagraphFont"/>
    <w:link w:val="Date"/>
    <w:uiPriority w:val="99"/>
    <w:semiHidden/>
    <w:rsid w:val="00B56294"/>
  </w:style>
  <w:style w:type="character" w:customStyle="1" w:styleId="Heading4Char">
    <w:name w:val="Heading 4 Char"/>
    <w:basedOn w:val="DefaultParagraphFont"/>
    <w:link w:val="Heading4"/>
    <w:uiPriority w:val="9"/>
    <w:rsid w:val="00E328BA"/>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FB77E7"/>
    <w:rPr>
      <w:sz w:val="16"/>
      <w:szCs w:val="16"/>
    </w:rPr>
  </w:style>
  <w:style w:type="paragraph" w:styleId="CommentText">
    <w:name w:val="annotation text"/>
    <w:basedOn w:val="Normal"/>
    <w:link w:val="CommentTextChar"/>
    <w:uiPriority w:val="99"/>
    <w:semiHidden/>
    <w:unhideWhenUsed/>
    <w:rsid w:val="00FB77E7"/>
    <w:pPr>
      <w:spacing w:line="240" w:lineRule="auto"/>
    </w:pPr>
    <w:rPr>
      <w:sz w:val="20"/>
      <w:szCs w:val="20"/>
    </w:rPr>
  </w:style>
  <w:style w:type="character" w:customStyle="1" w:styleId="CommentTextChar">
    <w:name w:val="Comment Text Char"/>
    <w:basedOn w:val="DefaultParagraphFont"/>
    <w:link w:val="CommentText"/>
    <w:uiPriority w:val="99"/>
    <w:semiHidden/>
    <w:rsid w:val="00FB77E7"/>
    <w:rPr>
      <w:sz w:val="20"/>
      <w:szCs w:val="20"/>
    </w:rPr>
  </w:style>
  <w:style w:type="paragraph" w:styleId="CommentSubject">
    <w:name w:val="annotation subject"/>
    <w:basedOn w:val="CommentText"/>
    <w:next w:val="CommentText"/>
    <w:link w:val="CommentSubjectChar"/>
    <w:uiPriority w:val="99"/>
    <w:semiHidden/>
    <w:unhideWhenUsed/>
    <w:rsid w:val="00FB77E7"/>
    <w:rPr>
      <w:b/>
      <w:bCs/>
    </w:rPr>
  </w:style>
  <w:style w:type="character" w:customStyle="1" w:styleId="CommentSubjectChar">
    <w:name w:val="Comment Subject Char"/>
    <w:basedOn w:val="CommentTextChar"/>
    <w:link w:val="CommentSubject"/>
    <w:uiPriority w:val="99"/>
    <w:semiHidden/>
    <w:rsid w:val="00FB77E7"/>
    <w:rPr>
      <w:b/>
      <w:bCs/>
      <w:sz w:val="20"/>
      <w:szCs w:val="20"/>
    </w:rPr>
  </w:style>
  <w:style w:type="paragraph" w:styleId="Header">
    <w:name w:val="header"/>
    <w:basedOn w:val="Normal"/>
    <w:link w:val="HeaderChar"/>
    <w:unhideWhenUsed/>
    <w:rsid w:val="00A30189"/>
    <w:pPr>
      <w:tabs>
        <w:tab w:val="center" w:pos="4680"/>
        <w:tab w:val="right" w:pos="9360"/>
      </w:tabs>
      <w:spacing w:after="0" w:line="240" w:lineRule="auto"/>
    </w:pPr>
  </w:style>
  <w:style w:type="character" w:customStyle="1" w:styleId="HeaderChar">
    <w:name w:val="Header Char"/>
    <w:basedOn w:val="DefaultParagraphFont"/>
    <w:link w:val="Header"/>
    <w:rsid w:val="00A30189"/>
  </w:style>
  <w:style w:type="paragraph" w:styleId="Footer">
    <w:name w:val="footer"/>
    <w:basedOn w:val="Normal"/>
    <w:link w:val="FooterChar"/>
    <w:uiPriority w:val="99"/>
    <w:unhideWhenUsed/>
    <w:rsid w:val="00A30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189"/>
  </w:style>
  <w:style w:type="character" w:styleId="FollowedHyperlink">
    <w:name w:val="FollowedHyperlink"/>
    <w:basedOn w:val="DefaultParagraphFont"/>
    <w:uiPriority w:val="99"/>
    <w:semiHidden/>
    <w:unhideWhenUsed/>
    <w:rsid w:val="00BD57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875660">
      <w:bodyDiv w:val="1"/>
      <w:marLeft w:val="0"/>
      <w:marRight w:val="0"/>
      <w:marTop w:val="0"/>
      <w:marBottom w:val="0"/>
      <w:divBdr>
        <w:top w:val="none" w:sz="0" w:space="0" w:color="auto"/>
        <w:left w:val="none" w:sz="0" w:space="0" w:color="auto"/>
        <w:bottom w:val="none" w:sz="0" w:space="0" w:color="auto"/>
        <w:right w:val="none" w:sz="0" w:space="0" w:color="auto"/>
      </w:divBdr>
    </w:div>
    <w:div w:id="123570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jiu.org/en/reports-notes/JIU%20Products/JIU_REP_2016_1_English.pdf" TargetMode="External"/><Relationship Id="rId13" Type="http://schemas.openxmlformats.org/officeDocument/2006/relationships/hyperlink" Target="https://www.unjiu.org/en/reports-notes/JIU%20Products/JIU_REP_2016_1_English.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njiu.org/en/reports-notes/JIU%20Products/JIU_REP_2011_5_English.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org/en/ga/search/view_doc.asp?symbol=A/RES/64/25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unjiu.org/en/reports-notes/JIU%20Products/JIU_REP_2016_1_English.pdf" TargetMode="External"/><Relationship Id="rId4" Type="http://schemas.openxmlformats.org/officeDocument/2006/relationships/webSettings" Target="webSettings.xml"/><Relationship Id="rId9" Type="http://schemas.openxmlformats.org/officeDocument/2006/relationships/hyperlink" Target="https://www.unjiu.org/en/reports-notes/JIU%20Products/JIU_REP_2011_5_English.pdf" TargetMode="External"/><Relationship Id="rId14" Type="http://schemas.openxmlformats.org/officeDocument/2006/relationships/hyperlink" Target="http://www.un.org/en/ga/search/view_doc.asp?symbol=A/RES/64/2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PE_C17.dotm</Template>
  <TotalTime>0</TotalTime>
  <Pages>8</Pages>
  <Words>3080</Words>
  <Characters>17557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Accountability and transparency framework</vt:lpstr>
    </vt:vector>
  </TitlesOfParts>
  <Company>ITU</Company>
  <LinksUpToDate>false</LinksUpToDate>
  <CharactersWithSpaces>20596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Accountability and transparency framework</dc:title>
  <dc:subject>Council 2017</dc:subject>
  <dc:creator>FRMD/SPM</dc:creator>
  <cp:keywords>C2017, C17</cp:keywords>
  <dc:description/>
  <cp:lastModifiedBy>Brouard, Ricarda</cp:lastModifiedBy>
  <cp:revision>2</cp:revision>
  <cp:lastPrinted>2017-01-24T10:52:00Z</cp:lastPrinted>
  <dcterms:created xsi:type="dcterms:W3CDTF">2017-03-15T15:22:00Z</dcterms:created>
  <dcterms:modified xsi:type="dcterms:W3CDTF">2017-03-15T15:22:00Z</dcterms:modified>
  <cp:category>Conference document</cp:category>
</cp:coreProperties>
</file>