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1C3AA3" w:rsidRPr="000C6A9F">
        <w:trPr>
          <w:cantSplit/>
        </w:trPr>
        <w:tc>
          <w:tcPr>
            <w:tcW w:w="6912" w:type="dxa"/>
          </w:tcPr>
          <w:p w:rsidR="001C3AA3" w:rsidRPr="000C6A9F" w:rsidRDefault="001C3AA3" w:rsidP="001C3AA3">
            <w:pPr>
              <w:spacing w:before="360"/>
              <w:rPr>
                <w:b/>
                <w:bCs/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C6A9F">
              <w:rPr>
                <w:b/>
                <w:bCs/>
                <w:sz w:val="30"/>
                <w:szCs w:val="30"/>
              </w:rPr>
              <w:t>Consejo 2017</w:t>
            </w:r>
            <w:r w:rsidRPr="000C6A9F">
              <w:rPr>
                <w:b/>
                <w:bCs/>
                <w:sz w:val="26"/>
                <w:szCs w:val="26"/>
              </w:rPr>
              <w:br/>
            </w:r>
            <w:r w:rsidRPr="000C6A9F">
              <w:rPr>
                <w:b/>
                <w:bCs/>
                <w:szCs w:val="24"/>
              </w:rPr>
              <w:t>Ginebra, 15-25 de mayo de 2017</w:t>
            </w:r>
          </w:p>
          <w:p w:rsidR="00796124" w:rsidRPr="000C6A9F" w:rsidRDefault="00796124" w:rsidP="001C3AA3">
            <w:pPr>
              <w:spacing w:before="360"/>
              <w:rPr>
                <w:szCs w:val="24"/>
              </w:rPr>
            </w:pPr>
            <w:r w:rsidRPr="000C6A9F">
              <w:rPr>
                <w:b/>
                <w:bCs/>
                <w:szCs w:val="24"/>
              </w:rPr>
              <w:t>UNIÓN INTERNACIONAL DE TELECOMUNICACIONES</w:t>
            </w:r>
          </w:p>
        </w:tc>
        <w:tc>
          <w:tcPr>
            <w:tcW w:w="3261" w:type="dxa"/>
          </w:tcPr>
          <w:p w:rsidR="001C3AA3" w:rsidRPr="000C6A9F" w:rsidRDefault="001C3AA3" w:rsidP="001C3AA3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C6A9F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AA3" w:rsidRPr="000C6A9F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1C3AA3" w:rsidRPr="000C6A9F" w:rsidRDefault="001C3AA3" w:rsidP="00796124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1C3AA3" w:rsidRPr="000C6A9F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1C3AA3" w:rsidRPr="000C6A9F" w:rsidRDefault="001C3AA3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1C3AA3" w:rsidRPr="000C6A9F" w:rsidRDefault="001C3AA3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1C3AA3" w:rsidRPr="000C6A9F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1C3AA3" w:rsidRPr="000C6A9F" w:rsidRDefault="001C3AA3" w:rsidP="001C3AA3">
            <w:pPr>
              <w:tabs>
                <w:tab w:val="left" w:pos="1560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0C6A9F">
              <w:rPr>
                <w:rFonts w:cs="Times"/>
                <w:b/>
                <w:szCs w:val="24"/>
              </w:rPr>
              <w:t xml:space="preserve">Punto del orden del día: ADM 11 </w:t>
            </w:r>
          </w:p>
        </w:tc>
        <w:tc>
          <w:tcPr>
            <w:tcW w:w="3261" w:type="dxa"/>
          </w:tcPr>
          <w:p w:rsidR="001C3AA3" w:rsidRPr="000C6A9F" w:rsidRDefault="001C3AA3" w:rsidP="001C3AA3">
            <w:pPr>
              <w:spacing w:before="0"/>
              <w:rPr>
                <w:b/>
                <w:bCs/>
                <w:szCs w:val="24"/>
              </w:rPr>
            </w:pPr>
            <w:r w:rsidRPr="000C6A9F">
              <w:rPr>
                <w:b/>
                <w:bCs/>
                <w:szCs w:val="24"/>
              </w:rPr>
              <w:t>Documento C17/58-S</w:t>
            </w:r>
          </w:p>
        </w:tc>
      </w:tr>
      <w:tr w:rsidR="001C3AA3" w:rsidRPr="000C6A9F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1C3AA3" w:rsidRPr="000C6A9F" w:rsidRDefault="001C3AA3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1C3AA3" w:rsidRPr="000C6A9F" w:rsidRDefault="001C3AA3" w:rsidP="001C3AA3">
            <w:pPr>
              <w:spacing w:before="0"/>
              <w:rPr>
                <w:b/>
                <w:bCs/>
                <w:szCs w:val="24"/>
              </w:rPr>
            </w:pPr>
            <w:r w:rsidRPr="000C6A9F">
              <w:rPr>
                <w:b/>
                <w:bCs/>
                <w:szCs w:val="24"/>
              </w:rPr>
              <w:t>1 de febrero de 2017</w:t>
            </w:r>
          </w:p>
        </w:tc>
      </w:tr>
      <w:tr w:rsidR="001C3AA3" w:rsidRPr="000C6A9F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1C3AA3" w:rsidRPr="000C6A9F" w:rsidRDefault="001C3AA3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1C3AA3" w:rsidRPr="000C6A9F" w:rsidRDefault="001C3AA3" w:rsidP="001C3AA3">
            <w:pPr>
              <w:spacing w:before="0"/>
              <w:rPr>
                <w:b/>
                <w:bCs/>
                <w:szCs w:val="24"/>
              </w:rPr>
            </w:pPr>
            <w:r w:rsidRPr="000C6A9F">
              <w:rPr>
                <w:b/>
                <w:bCs/>
                <w:szCs w:val="24"/>
              </w:rPr>
              <w:t>Original: inglés</w:t>
            </w:r>
          </w:p>
        </w:tc>
      </w:tr>
      <w:tr w:rsidR="001C3AA3" w:rsidRPr="000C6A9F">
        <w:trPr>
          <w:cantSplit/>
        </w:trPr>
        <w:tc>
          <w:tcPr>
            <w:tcW w:w="10173" w:type="dxa"/>
            <w:gridSpan w:val="2"/>
          </w:tcPr>
          <w:p w:rsidR="001C3AA3" w:rsidRPr="000C6A9F" w:rsidRDefault="001C3AA3">
            <w:pPr>
              <w:pStyle w:val="Source"/>
            </w:pPr>
            <w:bookmarkStart w:id="7" w:name="dsource" w:colFirst="0" w:colLast="0"/>
            <w:bookmarkEnd w:id="1"/>
            <w:bookmarkEnd w:id="6"/>
            <w:r w:rsidRPr="000C6A9F">
              <w:t>Informe del Secretario General</w:t>
            </w:r>
          </w:p>
        </w:tc>
      </w:tr>
      <w:tr w:rsidR="001C3AA3" w:rsidRPr="000C6A9F">
        <w:trPr>
          <w:cantSplit/>
        </w:trPr>
        <w:tc>
          <w:tcPr>
            <w:tcW w:w="10173" w:type="dxa"/>
            <w:gridSpan w:val="2"/>
          </w:tcPr>
          <w:p w:rsidR="001C3AA3" w:rsidRPr="000C6A9F" w:rsidRDefault="001C3AA3" w:rsidP="00936333">
            <w:pPr>
              <w:pStyle w:val="Title1"/>
              <w:spacing w:after="600"/>
            </w:pPr>
            <w:bookmarkStart w:id="8" w:name="dtitle1" w:colFirst="0" w:colLast="0"/>
            <w:bookmarkEnd w:id="7"/>
            <w:r w:rsidRPr="000C6A9F">
              <w:t xml:space="preserve">renovación del mandato del Auditor Externo (Corte dei Conti) </w:t>
            </w:r>
            <w:r w:rsidRPr="000C6A9F">
              <w:br/>
              <w:t>por un periodo de dos años</w:t>
            </w:r>
          </w:p>
        </w:tc>
      </w:tr>
    </w:tbl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1C3AA3" w:rsidRPr="000C6A9F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8"/>
          <w:p w:rsidR="001C3AA3" w:rsidRPr="000C6A9F" w:rsidRDefault="001C3AA3">
            <w:pPr>
              <w:pStyle w:val="Headingb"/>
            </w:pPr>
            <w:r w:rsidRPr="000C6A9F">
              <w:t>Resumen</w:t>
            </w:r>
          </w:p>
          <w:p w:rsidR="001C3AA3" w:rsidRPr="000C6A9F" w:rsidRDefault="001C3AA3" w:rsidP="000C6A9F">
            <w:r w:rsidRPr="000C6A9F">
              <w:t xml:space="preserve">Con arreglo al Acuerdo 586, el mandato del Auditor Externo (Corte </w:t>
            </w:r>
            <w:proofErr w:type="spellStart"/>
            <w:r w:rsidRPr="000C6A9F">
              <w:t>dei</w:t>
            </w:r>
            <w:proofErr w:type="spellEnd"/>
            <w:r w:rsidRPr="000C6A9F">
              <w:t xml:space="preserve"> </w:t>
            </w:r>
            <w:proofErr w:type="spellStart"/>
            <w:r w:rsidRPr="000C6A9F">
              <w:t>Conti</w:t>
            </w:r>
            <w:proofErr w:type="spellEnd"/>
            <w:r w:rsidRPr="000C6A9F">
              <w:t xml:space="preserve">) relativo a la auditoría de los estados financieros de 2016 y 2017 finalizará el 30 de junio de 2018. De acuerdo con lo dispuesto en el párrafo 2 del Artículo 28 del Reglamento Financiero, que estipula que </w:t>
            </w:r>
            <w:r w:rsidR="000C6A9F">
              <w:t>"</w:t>
            </w:r>
            <w:r w:rsidRPr="000C6A9F">
              <w:t>…El mandato podrá renovarse sin una selección competitiva por acuerdo del Consejo por un primer periodo de dos años, y otro periodo adicional de dos años</w:t>
            </w:r>
            <w:r w:rsidR="000C6A9F">
              <w:t>"</w:t>
            </w:r>
            <w:r w:rsidRPr="000C6A9F">
              <w:t xml:space="preserve">. Se recomienda que el mandato del Auditor Externo (Corte </w:t>
            </w:r>
            <w:proofErr w:type="spellStart"/>
            <w:r w:rsidRPr="000C6A9F">
              <w:t>dei</w:t>
            </w:r>
            <w:proofErr w:type="spellEnd"/>
            <w:r w:rsidRPr="000C6A9F">
              <w:t xml:space="preserve"> </w:t>
            </w:r>
            <w:proofErr w:type="spellStart"/>
            <w:r w:rsidRPr="000C6A9F">
              <w:t>Conti</w:t>
            </w:r>
            <w:proofErr w:type="spellEnd"/>
            <w:r w:rsidRPr="000C6A9F">
              <w:t>) sea renovado por un periodo de dos años para los estados financieros de 2018 y 2019.</w:t>
            </w:r>
          </w:p>
          <w:p w:rsidR="001C3AA3" w:rsidRPr="000C6A9F" w:rsidRDefault="001C3AA3">
            <w:pPr>
              <w:pStyle w:val="Headingb"/>
            </w:pPr>
            <w:r w:rsidRPr="000C6A9F">
              <w:t>Acción solicitada</w:t>
            </w:r>
          </w:p>
          <w:p w:rsidR="001C3AA3" w:rsidRPr="000C6A9F" w:rsidRDefault="001C3AA3" w:rsidP="004915C9">
            <w:r w:rsidRPr="000C6A9F">
              <w:t xml:space="preserve">Se invita al Consejo a </w:t>
            </w:r>
            <w:r w:rsidRPr="000C6A9F">
              <w:rPr>
                <w:b/>
                <w:bCs/>
              </w:rPr>
              <w:t>aprobar</w:t>
            </w:r>
            <w:r w:rsidRPr="000C6A9F">
              <w:t xml:space="preserve"> la renovación del mandato del Auditor Externo (Corte </w:t>
            </w:r>
            <w:proofErr w:type="spellStart"/>
            <w:r w:rsidRPr="000C6A9F">
              <w:t>dei</w:t>
            </w:r>
            <w:proofErr w:type="spellEnd"/>
            <w:r w:rsidRPr="000C6A9F">
              <w:t xml:space="preserve"> </w:t>
            </w:r>
            <w:proofErr w:type="spellStart"/>
            <w:r w:rsidRPr="000C6A9F">
              <w:t>Conti</w:t>
            </w:r>
            <w:proofErr w:type="spellEnd"/>
            <w:r w:rsidRPr="000C6A9F">
              <w:t xml:space="preserve">) por un nuevo periodo de dos años, y a </w:t>
            </w:r>
            <w:r w:rsidRPr="000C6A9F">
              <w:rPr>
                <w:b/>
                <w:bCs/>
              </w:rPr>
              <w:t>adoptar</w:t>
            </w:r>
            <w:r w:rsidRPr="000C6A9F">
              <w:t xml:space="preserve"> el proyecto de Acuerdo recogido en el Anexo al presente documento.</w:t>
            </w:r>
          </w:p>
          <w:p w:rsidR="001C3AA3" w:rsidRPr="000C6A9F" w:rsidRDefault="001C3AA3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0C6A9F">
              <w:rPr>
                <w:caps w:val="0"/>
                <w:sz w:val="22"/>
                <w:lang w:val="es-ES_tradnl"/>
              </w:rPr>
              <w:t>____________</w:t>
            </w:r>
          </w:p>
          <w:p w:rsidR="001C3AA3" w:rsidRPr="000C6A9F" w:rsidRDefault="001C3AA3">
            <w:pPr>
              <w:pStyle w:val="Headingb"/>
            </w:pPr>
            <w:r w:rsidRPr="000C6A9F">
              <w:t>Referencias</w:t>
            </w:r>
          </w:p>
          <w:p w:rsidR="001C3AA3" w:rsidRPr="000C6A9F" w:rsidRDefault="00936333" w:rsidP="008F4340">
            <w:pPr>
              <w:spacing w:after="120"/>
              <w:rPr>
                <w:i/>
                <w:iCs/>
              </w:rPr>
            </w:pPr>
            <w:hyperlink r:id="rId7" w:history="1">
              <w:r w:rsidR="000C6A9F" w:rsidRPr="000C6A9F">
                <w:rPr>
                  <w:rStyle w:val="Hyperlink"/>
                  <w:i/>
                  <w:iCs/>
                </w:rPr>
                <w:t>Resolución 94 (Rev. Busán, 2014)</w:t>
              </w:r>
            </w:hyperlink>
            <w:r w:rsidR="000C6A9F">
              <w:rPr>
                <w:i/>
                <w:iCs/>
              </w:rPr>
              <w:t>,</w:t>
            </w:r>
            <w:r w:rsidR="001C3AA3" w:rsidRPr="000C6A9F">
              <w:rPr>
                <w:rStyle w:val="Hyperlink"/>
                <w:rFonts w:cs="Calibri"/>
                <w:i/>
                <w:iCs/>
                <w:szCs w:val="24"/>
              </w:rPr>
              <w:t xml:space="preserve"> </w:t>
            </w:r>
            <w:hyperlink r:id="rId8" w:history="1">
              <w:r w:rsidR="001C3AA3" w:rsidRPr="000C6A9F">
                <w:rPr>
                  <w:rStyle w:val="Hyperlink"/>
                  <w:i/>
                  <w:iCs/>
                  <w:szCs w:val="24"/>
                </w:rPr>
                <w:t>C11/71</w:t>
              </w:r>
            </w:hyperlink>
            <w:r w:rsidR="001C3AA3" w:rsidRPr="000C6A9F">
              <w:rPr>
                <w:i/>
                <w:iCs/>
                <w:szCs w:val="24"/>
                <w:u w:val="single"/>
              </w:rPr>
              <w:t>,</w:t>
            </w:r>
            <w:r w:rsidR="001C3AA3" w:rsidRPr="000C6A9F">
              <w:rPr>
                <w:i/>
                <w:iCs/>
                <w:szCs w:val="24"/>
              </w:rPr>
              <w:t xml:space="preserve"> </w:t>
            </w:r>
            <w:hyperlink r:id="rId9" w:history="1">
              <w:r w:rsidR="001C3AA3" w:rsidRPr="000C6A9F">
                <w:rPr>
                  <w:rStyle w:val="Hyperlink"/>
                  <w:i/>
                  <w:iCs/>
                  <w:szCs w:val="24"/>
                </w:rPr>
                <w:t>C15/5</w:t>
              </w:r>
            </w:hyperlink>
            <w:r w:rsidR="001C3AA3" w:rsidRPr="000C6A9F">
              <w:rPr>
                <w:rStyle w:val="Hyperlink"/>
                <w:i/>
                <w:iCs/>
                <w:szCs w:val="24"/>
              </w:rPr>
              <w:t xml:space="preserve">, </w:t>
            </w:r>
            <w:hyperlink r:id="rId10" w:history="1">
              <w:r w:rsidR="001C3AA3" w:rsidRPr="000C6A9F">
                <w:rPr>
                  <w:rStyle w:val="Hyperlink"/>
                  <w:i/>
                  <w:iCs/>
                  <w:szCs w:val="24"/>
                </w:rPr>
                <w:t>Acuerdo 566</w:t>
              </w:r>
            </w:hyperlink>
            <w:r w:rsidR="001C3AA3" w:rsidRPr="000C6A9F">
              <w:rPr>
                <w:i/>
                <w:iCs/>
                <w:szCs w:val="24"/>
              </w:rPr>
              <w:t xml:space="preserve">, </w:t>
            </w:r>
            <w:hyperlink r:id="rId11" w:history="1">
              <w:r w:rsidR="001C3AA3" w:rsidRPr="000C6A9F">
                <w:rPr>
                  <w:rStyle w:val="Hyperlink"/>
                  <w:i/>
                  <w:iCs/>
                  <w:szCs w:val="24"/>
                </w:rPr>
                <w:t>Acuerdo 586</w:t>
              </w:r>
            </w:hyperlink>
            <w:r w:rsidR="001C3AA3" w:rsidRPr="000C6A9F">
              <w:rPr>
                <w:i/>
                <w:iCs/>
                <w:szCs w:val="24"/>
              </w:rPr>
              <w:t xml:space="preserve">, </w:t>
            </w:r>
            <w:hyperlink r:id="rId12" w:history="1">
              <w:r w:rsidR="001C3AA3" w:rsidRPr="000C6A9F">
                <w:rPr>
                  <w:rStyle w:val="Hyperlink"/>
                  <w:i/>
                  <w:iCs/>
                  <w:szCs w:val="24"/>
                </w:rPr>
                <w:t>Artículo 28 del Reglamento Financiero</w:t>
              </w:r>
            </w:hyperlink>
          </w:p>
        </w:tc>
      </w:tr>
    </w:tbl>
    <w:p w:rsidR="001C3AA3" w:rsidRPr="000C6A9F" w:rsidRDefault="001C3AA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0C6A9F">
        <w:br w:type="page"/>
      </w:r>
    </w:p>
    <w:p w:rsidR="001C3AA3" w:rsidRPr="000C6A9F" w:rsidRDefault="001C3AA3" w:rsidP="00845E71">
      <w:pPr>
        <w:pStyle w:val="AnnexNo"/>
      </w:pPr>
      <w:r w:rsidRPr="000C6A9F">
        <w:lastRenderedPageBreak/>
        <w:t>ANEXO</w:t>
      </w:r>
    </w:p>
    <w:p w:rsidR="001C3AA3" w:rsidRPr="00936333" w:rsidRDefault="001C3AA3" w:rsidP="00B10F4D">
      <w:pPr>
        <w:pStyle w:val="RecNo"/>
        <w:rPr>
          <w:lang w:val="es-ES"/>
        </w:rPr>
      </w:pPr>
      <w:r w:rsidRPr="00936333">
        <w:rPr>
          <w:lang w:val="es-ES"/>
        </w:rPr>
        <w:t>PROYECTO DE ACUERDO</w:t>
      </w:r>
    </w:p>
    <w:p w:rsidR="001C3AA3" w:rsidRPr="000C6A9F" w:rsidRDefault="001C3AA3" w:rsidP="00B10F4D">
      <w:pPr>
        <w:pStyle w:val="Rectitle"/>
      </w:pPr>
      <w:r w:rsidRPr="000C6A9F">
        <w:t xml:space="preserve">Renovación del mandato del Auditor Externo (Corte </w:t>
      </w:r>
      <w:proofErr w:type="spellStart"/>
      <w:r w:rsidRPr="000C6A9F">
        <w:t>dei</w:t>
      </w:r>
      <w:proofErr w:type="spellEnd"/>
      <w:r w:rsidRPr="000C6A9F">
        <w:t xml:space="preserve"> </w:t>
      </w:r>
      <w:proofErr w:type="spellStart"/>
      <w:r w:rsidRPr="000C6A9F">
        <w:t>Conti</w:t>
      </w:r>
      <w:proofErr w:type="spellEnd"/>
      <w:r w:rsidRPr="000C6A9F">
        <w:t xml:space="preserve">) </w:t>
      </w:r>
      <w:r w:rsidRPr="000C6A9F">
        <w:br/>
        <w:t>por un periodo de dos años</w:t>
      </w:r>
    </w:p>
    <w:p w:rsidR="001C3AA3" w:rsidRPr="000C6A9F" w:rsidRDefault="001C3AA3" w:rsidP="002125DE">
      <w:pPr>
        <w:pStyle w:val="Normalaftertitle"/>
      </w:pPr>
      <w:r w:rsidRPr="000C6A9F">
        <w:t>El Consejo,</w:t>
      </w:r>
    </w:p>
    <w:p w:rsidR="001C3AA3" w:rsidRPr="000C6A9F" w:rsidRDefault="001C3AA3" w:rsidP="00492605">
      <w:pPr>
        <w:pStyle w:val="Call"/>
      </w:pPr>
      <w:proofErr w:type="gramStart"/>
      <w:r w:rsidRPr="000C6A9F">
        <w:t>habiendo</w:t>
      </w:r>
      <w:proofErr w:type="gramEnd"/>
      <w:r w:rsidRPr="000C6A9F">
        <w:t xml:space="preserve"> examinado</w:t>
      </w:r>
    </w:p>
    <w:p w:rsidR="001C3AA3" w:rsidRPr="000C6A9F" w:rsidRDefault="001C3AA3" w:rsidP="00737BCF">
      <w:proofErr w:type="gramStart"/>
      <w:r w:rsidRPr="000C6A9F">
        <w:t>el</w:t>
      </w:r>
      <w:proofErr w:type="gramEnd"/>
      <w:r w:rsidRPr="000C6A9F">
        <w:t xml:space="preserve"> Documento </w:t>
      </w:r>
      <w:hyperlink r:id="rId13" w:history="1">
        <w:r w:rsidRPr="000C6A9F">
          <w:rPr>
            <w:rStyle w:val="Hyperlink"/>
            <w:szCs w:val="24"/>
          </w:rPr>
          <w:t>C17/58</w:t>
        </w:r>
      </w:hyperlink>
      <w:r w:rsidRPr="000C6A9F">
        <w:t>,</w:t>
      </w:r>
    </w:p>
    <w:p w:rsidR="001C3AA3" w:rsidRPr="00492605" w:rsidRDefault="001C3AA3" w:rsidP="00492605">
      <w:pPr>
        <w:pStyle w:val="Call"/>
      </w:pPr>
      <w:proofErr w:type="gramStart"/>
      <w:r w:rsidRPr="00492605">
        <w:t>considerando</w:t>
      </w:r>
      <w:proofErr w:type="gramEnd"/>
    </w:p>
    <w:p w:rsidR="001C3AA3" w:rsidRPr="000C6A9F" w:rsidRDefault="001C3AA3" w:rsidP="00737BCF">
      <w:proofErr w:type="gramStart"/>
      <w:r w:rsidRPr="000C6A9F">
        <w:t>la</w:t>
      </w:r>
      <w:proofErr w:type="gramEnd"/>
      <w:r w:rsidRPr="000C6A9F">
        <w:t xml:space="preserve"> </w:t>
      </w:r>
      <w:hyperlink r:id="rId14" w:history="1">
        <w:r w:rsidRPr="000C6A9F">
          <w:rPr>
            <w:rStyle w:val="Hyperlink"/>
            <w:szCs w:val="24"/>
          </w:rPr>
          <w:t>Resolución 94</w:t>
        </w:r>
      </w:hyperlink>
      <w:r w:rsidRPr="000C6A9F">
        <w:t xml:space="preserve"> (Rev. Busán, 2014), el </w:t>
      </w:r>
      <w:hyperlink r:id="rId15" w:history="1">
        <w:r w:rsidRPr="000C6A9F">
          <w:rPr>
            <w:rStyle w:val="Hyperlink"/>
            <w:szCs w:val="24"/>
          </w:rPr>
          <w:t>Acuerdo 566</w:t>
        </w:r>
      </w:hyperlink>
      <w:r w:rsidRPr="000C6A9F">
        <w:t xml:space="preserve"> y el </w:t>
      </w:r>
      <w:hyperlink r:id="rId16" w:history="1">
        <w:r w:rsidRPr="00936333">
          <w:rPr>
            <w:rStyle w:val="Hyperlink"/>
            <w:szCs w:val="24"/>
          </w:rPr>
          <w:t>Acuerdo 586</w:t>
        </w:r>
      </w:hyperlink>
    </w:p>
    <w:p w:rsidR="001C3AA3" w:rsidRPr="00492605" w:rsidRDefault="001C3AA3" w:rsidP="00492605">
      <w:pPr>
        <w:pStyle w:val="Call"/>
      </w:pPr>
      <w:proofErr w:type="gramStart"/>
      <w:r w:rsidRPr="00492605">
        <w:t>teniendo</w:t>
      </w:r>
      <w:proofErr w:type="gramEnd"/>
      <w:r w:rsidRPr="00492605">
        <w:t xml:space="preserve"> en cuenta</w:t>
      </w:r>
    </w:p>
    <w:p w:rsidR="001C3AA3" w:rsidRPr="000C6A9F" w:rsidRDefault="001C3AA3" w:rsidP="00371A15">
      <w:proofErr w:type="gramStart"/>
      <w:r w:rsidRPr="000C6A9F">
        <w:t>el</w:t>
      </w:r>
      <w:proofErr w:type="gramEnd"/>
      <w:r w:rsidRPr="000C6A9F">
        <w:t xml:space="preserve"> </w:t>
      </w:r>
      <w:r w:rsidR="00936333">
        <w:rPr>
          <w:szCs w:val="24"/>
        </w:rPr>
        <w:fldChar w:fldCharType="begin"/>
      </w:r>
      <w:r w:rsidR="00936333">
        <w:rPr>
          <w:szCs w:val="24"/>
        </w:rPr>
        <w:instrText xml:space="preserve"> HYPERLINK "http://www.itu.int/council/groups/finregs/pd/regl-e.pdf" </w:instrText>
      </w:r>
      <w:r w:rsidR="00936333">
        <w:rPr>
          <w:szCs w:val="24"/>
        </w:rPr>
      </w:r>
      <w:r w:rsidR="00936333">
        <w:rPr>
          <w:szCs w:val="24"/>
        </w:rPr>
        <w:fldChar w:fldCharType="separate"/>
      </w:r>
      <w:r w:rsidRPr="00936333">
        <w:rPr>
          <w:rStyle w:val="Hyperlink"/>
          <w:szCs w:val="24"/>
        </w:rPr>
        <w:t xml:space="preserve">Artículo 28 </w:t>
      </w:r>
      <w:r w:rsidRPr="00936333">
        <w:rPr>
          <w:rStyle w:val="Hyperlink"/>
        </w:rPr>
        <w:t>del Reglamento Financiero</w:t>
      </w:r>
      <w:r w:rsidR="00936333">
        <w:rPr>
          <w:szCs w:val="24"/>
        </w:rPr>
        <w:fldChar w:fldCharType="end"/>
      </w:r>
      <w:r w:rsidRPr="000C6A9F">
        <w:t xml:space="preserve">, </w:t>
      </w:r>
    </w:p>
    <w:p w:rsidR="001C3AA3" w:rsidRPr="00492605" w:rsidRDefault="001C3AA3" w:rsidP="00492605">
      <w:pPr>
        <w:pStyle w:val="Call"/>
      </w:pPr>
      <w:proofErr w:type="gramStart"/>
      <w:r w:rsidRPr="00492605">
        <w:t>decide</w:t>
      </w:r>
      <w:proofErr w:type="gramEnd"/>
    </w:p>
    <w:p w:rsidR="001C3AA3" w:rsidRPr="000C6A9F" w:rsidRDefault="001C3AA3" w:rsidP="00737BCF">
      <w:proofErr w:type="gramStart"/>
      <w:r w:rsidRPr="000C6A9F">
        <w:t>renovar</w:t>
      </w:r>
      <w:proofErr w:type="gramEnd"/>
      <w:r w:rsidRPr="000C6A9F">
        <w:t xml:space="preserve"> el mandato del Auditor Externo (Corte </w:t>
      </w:r>
      <w:proofErr w:type="spellStart"/>
      <w:r w:rsidRPr="000C6A9F">
        <w:t>dei</w:t>
      </w:r>
      <w:proofErr w:type="spellEnd"/>
      <w:r w:rsidRPr="000C6A9F">
        <w:t xml:space="preserve"> </w:t>
      </w:r>
      <w:proofErr w:type="spellStart"/>
      <w:r w:rsidRPr="000C6A9F">
        <w:t>Conti</w:t>
      </w:r>
      <w:proofErr w:type="spellEnd"/>
      <w:r w:rsidRPr="000C6A9F">
        <w:t>) de la UIT por un periodo de dos años, para auditar sus estados financieros de 2018 y 2019,</w:t>
      </w:r>
    </w:p>
    <w:p w:rsidR="001C3AA3" w:rsidRPr="00492605" w:rsidRDefault="001C3AA3" w:rsidP="00492605">
      <w:pPr>
        <w:pStyle w:val="Call"/>
      </w:pPr>
      <w:proofErr w:type="gramStart"/>
      <w:r w:rsidRPr="00492605">
        <w:t>encarga</w:t>
      </w:r>
      <w:proofErr w:type="gramEnd"/>
      <w:r w:rsidRPr="00492605">
        <w:t xml:space="preserve"> al Secretario General</w:t>
      </w:r>
    </w:p>
    <w:p w:rsidR="001C3AA3" w:rsidRPr="000C6A9F" w:rsidRDefault="001C3AA3" w:rsidP="004915C9">
      <w:proofErr w:type="gramStart"/>
      <w:r w:rsidRPr="000C6A9F">
        <w:t>que</w:t>
      </w:r>
      <w:proofErr w:type="gramEnd"/>
      <w:r w:rsidRPr="000C6A9F">
        <w:t xml:space="preserve"> ponga este Acuerdo en conocimiento del Presidente de la Institución auditora suprema de Italia (Corte </w:t>
      </w:r>
      <w:proofErr w:type="spellStart"/>
      <w:r w:rsidRPr="000C6A9F">
        <w:t>dei</w:t>
      </w:r>
      <w:proofErr w:type="spellEnd"/>
      <w:r w:rsidRPr="000C6A9F">
        <w:t xml:space="preserve"> </w:t>
      </w:r>
      <w:proofErr w:type="spellStart"/>
      <w:r w:rsidRPr="000C6A9F">
        <w:t>Conti</w:t>
      </w:r>
      <w:proofErr w:type="spellEnd"/>
      <w:r w:rsidRPr="000C6A9F">
        <w:t>).</w:t>
      </w:r>
    </w:p>
    <w:p w:rsidR="00726872" w:rsidRPr="000C6A9F" w:rsidRDefault="001C3AA3" w:rsidP="00936333">
      <w:pPr>
        <w:spacing w:before="960"/>
        <w:jc w:val="center"/>
      </w:pPr>
      <w:bookmarkStart w:id="9" w:name="_GoBack"/>
      <w:bookmarkEnd w:id="9"/>
      <w:r w:rsidRPr="000C6A9F">
        <w:t>______________</w:t>
      </w:r>
    </w:p>
    <w:sectPr w:rsidR="00726872" w:rsidRPr="000C6A9F" w:rsidSect="006710F6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AA3" w:rsidRDefault="001C3AA3">
      <w:r>
        <w:separator/>
      </w:r>
    </w:p>
  </w:endnote>
  <w:endnote w:type="continuationSeparator" w:id="0">
    <w:p w:rsidR="001C3AA3" w:rsidRDefault="001C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936333" w:rsidRDefault="00B10F4D" w:rsidP="00B10F4D">
    <w:pPr>
      <w:pStyle w:val="Footer"/>
      <w:rPr>
        <w:color w:val="D9D9D9" w:themeColor="background1" w:themeShade="D9"/>
        <w:lang w:val="fr-CH"/>
      </w:rPr>
    </w:pPr>
    <w:r w:rsidRPr="00936333">
      <w:rPr>
        <w:color w:val="D9D9D9" w:themeColor="background1" w:themeShade="D9"/>
      </w:rPr>
      <w:fldChar w:fldCharType="begin"/>
    </w:r>
    <w:r w:rsidRPr="00936333">
      <w:rPr>
        <w:color w:val="D9D9D9" w:themeColor="background1" w:themeShade="D9"/>
        <w:lang w:val="fr-CH"/>
      </w:rPr>
      <w:instrText xml:space="preserve"> FILENAME \p  \* MERGEFORMAT </w:instrText>
    </w:r>
    <w:r w:rsidRPr="00936333">
      <w:rPr>
        <w:color w:val="D9D9D9" w:themeColor="background1" w:themeShade="D9"/>
      </w:rPr>
      <w:fldChar w:fldCharType="separate"/>
    </w:r>
    <w:r w:rsidR="00300DC0" w:rsidRPr="00936333">
      <w:rPr>
        <w:color w:val="D9D9D9" w:themeColor="background1" w:themeShade="D9"/>
        <w:lang w:val="fr-CH"/>
      </w:rPr>
      <w:t>P:\ESP\SG\CONSEIL\C17\000\058S.docx</w:t>
    </w:r>
    <w:r w:rsidRPr="00936333">
      <w:rPr>
        <w:color w:val="D9D9D9" w:themeColor="background1" w:themeShade="D9"/>
      </w:rPr>
      <w:fldChar w:fldCharType="end"/>
    </w:r>
    <w:r w:rsidRPr="00936333">
      <w:rPr>
        <w:color w:val="D9D9D9" w:themeColor="background1" w:themeShade="D9"/>
        <w:lang w:val="fr-CH"/>
      </w:rPr>
      <w:t xml:space="preserve"> (409508)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AA3" w:rsidRDefault="001C3AA3">
      <w:r>
        <w:t>____________________</w:t>
      </w:r>
    </w:p>
  </w:footnote>
  <w:footnote w:type="continuationSeparator" w:id="0">
    <w:p w:rsidR="001C3AA3" w:rsidRDefault="001C3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936333">
      <w:rPr>
        <w:noProof/>
      </w:rPr>
      <w:t>2</w:t>
    </w:r>
    <w:r>
      <w:rPr>
        <w:noProof/>
      </w:rPr>
      <w:fldChar w:fldCharType="end"/>
    </w:r>
  </w:p>
  <w:p w:rsidR="00760F1C" w:rsidRDefault="00760F1C" w:rsidP="00622ABE">
    <w:pPr>
      <w:pStyle w:val="Header"/>
    </w:pPr>
    <w:r>
      <w:t>C</w:t>
    </w:r>
    <w:r w:rsidR="007F350B">
      <w:t>1</w:t>
    </w:r>
    <w:r w:rsidR="00B8298E">
      <w:t>7</w:t>
    </w:r>
    <w:r>
      <w:t>/</w:t>
    </w:r>
    <w:r w:rsidR="00622ABE">
      <w:t>58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A3"/>
    <w:rsid w:val="000779B7"/>
    <w:rsid w:val="000B0D00"/>
    <w:rsid w:val="000B1EB0"/>
    <w:rsid w:val="000B7C15"/>
    <w:rsid w:val="000C6A9F"/>
    <w:rsid w:val="000D1D0F"/>
    <w:rsid w:val="000F5290"/>
    <w:rsid w:val="0010165C"/>
    <w:rsid w:val="00146BFB"/>
    <w:rsid w:val="001C3AA3"/>
    <w:rsid w:val="001F14A2"/>
    <w:rsid w:val="002801AA"/>
    <w:rsid w:val="002C4676"/>
    <w:rsid w:val="002C70B0"/>
    <w:rsid w:val="002F339F"/>
    <w:rsid w:val="002F3CC4"/>
    <w:rsid w:val="00300DC0"/>
    <w:rsid w:val="00313F43"/>
    <w:rsid w:val="004906A5"/>
    <w:rsid w:val="00492605"/>
    <w:rsid w:val="00513630"/>
    <w:rsid w:val="00540D62"/>
    <w:rsid w:val="00560125"/>
    <w:rsid w:val="00560BDC"/>
    <w:rsid w:val="00585553"/>
    <w:rsid w:val="005B34D9"/>
    <w:rsid w:val="005D0CCF"/>
    <w:rsid w:val="005F410F"/>
    <w:rsid w:val="0060149A"/>
    <w:rsid w:val="00601924"/>
    <w:rsid w:val="00622ABE"/>
    <w:rsid w:val="006447EA"/>
    <w:rsid w:val="0064731F"/>
    <w:rsid w:val="00666103"/>
    <w:rsid w:val="006710F6"/>
    <w:rsid w:val="006C1B56"/>
    <w:rsid w:val="006D4761"/>
    <w:rsid w:val="00726872"/>
    <w:rsid w:val="00760D0A"/>
    <w:rsid w:val="00760F1C"/>
    <w:rsid w:val="007657F0"/>
    <w:rsid w:val="00796124"/>
    <w:rsid w:val="007E5DD3"/>
    <w:rsid w:val="007F350B"/>
    <w:rsid w:val="00812D26"/>
    <w:rsid w:val="00820BE4"/>
    <w:rsid w:val="008451E8"/>
    <w:rsid w:val="008F4340"/>
    <w:rsid w:val="00913B9C"/>
    <w:rsid w:val="00936333"/>
    <w:rsid w:val="00956E77"/>
    <w:rsid w:val="00AA390C"/>
    <w:rsid w:val="00B0200A"/>
    <w:rsid w:val="00B10F4D"/>
    <w:rsid w:val="00B574DB"/>
    <w:rsid w:val="00B826C2"/>
    <w:rsid w:val="00B8298E"/>
    <w:rsid w:val="00BD0723"/>
    <w:rsid w:val="00BD2518"/>
    <w:rsid w:val="00BF1D1C"/>
    <w:rsid w:val="00C20C59"/>
    <w:rsid w:val="00C55B1F"/>
    <w:rsid w:val="00C67783"/>
    <w:rsid w:val="00C76CBA"/>
    <w:rsid w:val="00CF1A67"/>
    <w:rsid w:val="00D2750E"/>
    <w:rsid w:val="00D62446"/>
    <w:rsid w:val="00DA4EA2"/>
    <w:rsid w:val="00DC1DF4"/>
    <w:rsid w:val="00DC3D3E"/>
    <w:rsid w:val="00DE2C90"/>
    <w:rsid w:val="00DE3B24"/>
    <w:rsid w:val="00E06947"/>
    <w:rsid w:val="00E3592D"/>
    <w:rsid w:val="00E92DE8"/>
    <w:rsid w:val="00EB1212"/>
    <w:rsid w:val="00ED65AB"/>
    <w:rsid w:val="00EE7885"/>
    <w:rsid w:val="00EF1CCE"/>
    <w:rsid w:val="00F12850"/>
    <w:rsid w:val="00F33BF4"/>
    <w:rsid w:val="00F6006E"/>
    <w:rsid w:val="00F7105E"/>
    <w:rsid w:val="00F75F57"/>
    <w:rsid w:val="00F82FEE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60D8A9A2-3585-4F6D-A3E3-DE67DE53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1C3AA3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1-CL-C-0071/en" TargetMode="External"/><Relationship Id="rId13" Type="http://schemas.openxmlformats.org/officeDocument/2006/relationships/hyperlink" Target="http://www.itu.int/md/S17-CL-C-0058/en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itu.int/en/plenipotentiary/2014/Documents/final-acts/pp14-final-acts-es.pdf" TargetMode="External"/><Relationship Id="rId12" Type="http://schemas.openxmlformats.org/officeDocument/2006/relationships/hyperlink" Target="http://www.itu.int/council/groups/finregs/pd/regl-e.pd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itu.int/md/S15-CL-C-0121/e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tu.int/md/S15-CL-C-0121/e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tu.int/md/S11-CL-C-0110/es" TargetMode="External"/><Relationship Id="rId10" Type="http://schemas.openxmlformats.org/officeDocument/2006/relationships/hyperlink" Target="http://www.itu.int/md/S11-CL-C-0110/en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www.itu.int/md/S15-CL-C-0005/en" TargetMode="External"/><Relationship Id="rId14" Type="http://schemas.openxmlformats.org/officeDocument/2006/relationships/hyperlink" Target="http://www.itu.int/en/plenipotentiary/2014/Documents/final-acts/pp14-final-acts-es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PS_C17.dotm</Template>
  <TotalTime>0</TotalTime>
  <Pages>2</Pages>
  <Words>308</Words>
  <Characters>2334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RENOVACIÓN DEL MANDATO DEL AUDITOR EXTERNO (CORTE DEI CONTI) POR UN PERIODO DE DOS AÑOS</vt:lpstr>
    </vt:vector>
  </TitlesOfParts>
  <Manager>Secretaría General - Pool</Manager>
  <Company>Unión Internacional de Telecomunicaciones (UIT)</Company>
  <LinksUpToDate>false</LinksUpToDate>
  <CharactersWithSpaces>2637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RENOVACIÓN DEL MANDATO DEL AUDITOR EXTERNO (CORTE DEI CONTI) POR UN PERIODO DE DOS AÑOS</dc:title>
  <dc:subject>Consejo 2017</dc:subject>
  <dc:creator>Informe del Secretario General</dc:creator>
  <cp:keywords>C2017, C17</cp:keywords>
  <dc:description>Documento C17/58-S  Para: Punto del orden del día: ADM 11_x000d_Fecha del documento: 1 de febrero de 2017_x000d_Registrado por ITU51007828 a 15:28:26 el 16/03/2017</dc:description>
  <cp:lastModifiedBy>Brouard, Ricarda</cp:lastModifiedBy>
  <cp:revision>2</cp:revision>
  <cp:lastPrinted>2017-03-16T14:05:00Z</cp:lastPrinted>
  <dcterms:created xsi:type="dcterms:W3CDTF">2017-03-16T16:13:00Z</dcterms:created>
  <dcterms:modified xsi:type="dcterms:W3CDTF">2017-03-16T16:13:00Z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C17/58-S</vt:lpwstr>
  </property>
  <property fmtid="{D5CDD505-2E9C-101B-9397-08002B2CF9AE}" pid="3" name="Docdate">
    <vt:lpwstr>1 de febrero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 UNIÓN INTERNACIONAL DE TELECOMUNICACIONES</vt:lpwstr>
  </property>
  <property fmtid="{D5CDD505-2E9C-101B-9397-08002B2CF9AE}" pid="6" name="Docdest">
    <vt:lpwstr>Punto del orden del día: ADM 11</vt:lpwstr>
  </property>
  <property fmtid="{D5CDD505-2E9C-101B-9397-08002B2CF9AE}" pid="7" name="Docauthor">
    <vt:lpwstr>Informe del Secretario General</vt:lpwstr>
  </property>
</Properties>
</file>