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9B46A9" w:rsidRPr="00A83750" w:rsidTr="00B277BA">
        <w:trPr>
          <w:cantSplit/>
        </w:trPr>
        <w:tc>
          <w:tcPr>
            <w:tcW w:w="6912" w:type="dxa"/>
          </w:tcPr>
          <w:p w:rsidR="009B46A9" w:rsidRDefault="009B46A9" w:rsidP="009B46A9">
            <w:pPr>
              <w:spacing w:before="360"/>
              <w:rPr>
                <w:b/>
                <w:bCs/>
                <w:szCs w:val="24"/>
              </w:rPr>
            </w:pPr>
            <w:bookmarkStart w:id="0" w:name="dc06"/>
            <w:bookmarkEnd w:id="0"/>
            <w:r w:rsidRPr="00A83750">
              <w:rPr>
                <w:b/>
                <w:bCs/>
                <w:sz w:val="30"/>
                <w:szCs w:val="30"/>
              </w:rPr>
              <w:t>Conseil 2017</w:t>
            </w:r>
            <w:r w:rsidRPr="00A83750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Pr="00A83750">
              <w:rPr>
                <w:b/>
                <w:bCs/>
                <w:szCs w:val="24"/>
              </w:rPr>
              <w:t>Genève, 15-25 mai 2017</w:t>
            </w:r>
          </w:p>
          <w:p w:rsidR="00FC40EF" w:rsidRPr="00A83750" w:rsidRDefault="00FC40EF" w:rsidP="009B46A9">
            <w:pPr>
              <w:spacing w:before="360"/>
            </w:pPr>
            <w:r>
              <w:rPr>
                <w:b/>
                <w:bCs/>
                <w:szCs w:val="24"/>
              </w:rPr>
              <w:t>UNION INTERNATIONALE DES TELE</w:t>
            </w:r>
            <w:r w:rsidR="00893670">
              <w:rPr>
                <w:b/>
                <w:bCs/>
                <w:szCs w:val="24"/>
              </w:rPr>
              <w:t>C</w:t>
            </w:r>
            <w:r>
              <w:rPr>
                <w:b/>
                <w:bCs/>
                <w:szCs w:val="24"/>
              </w:rPr>
              <w:t>OMMUNICATIONS</w:t>
            </w:r>
          </w:p>
        </w:tc>
        <w:tc>
          <w:tcPr>
            <w:tcW w:w="3261" w:type="dxa"/>
            <w:vAlign w:val="center"/>
          </w:tcPr>
          <w:p w:rsidR="009B46A9" w:rsidRPr="00A83750" w:rsidRDefault="009B46A9" w:rsidP="00B277BA">
            <w:pPr>
              <w:spacing w:before="0"/>
            </w:pPr>
            <w:bookmarkStart w:id="1" w:name="ditulogo"/>
            <w:bookmarkEnd w:id="1"/>
            <w:r w:rsidRPr="00A83750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6A9" w:rsidRPr="00A83750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9B46A9" w:rsidRPr="00A83750" w:rsidRDefault="009B46A9" w:rsidP="004C37A9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b/>
                <w:bCs/>
              </w:rPr>
            </w:pP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9B46A9" w:rsidRPr="00A83750" w:rsidRDefault="009B46A9" w:rsidP="00DF74DD">
            <w:pPr>
              <w:spacing w:before="0"/>
              <w:rPr>
                <w:b/>
                <w:bCs/>
              </w:rPr>
            </w:pP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 w:val="restart"/>
          </w:tcPr>
          <w:p w:rsidR="009B46A9" w:rsidRPr="00A83750" w:rsidRDefault="006E35CE" w:rsidP="009D274C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>
              <w:rPr>
                <w:rFonts w:cs="Times"/>
                <w:b/>
                <w:bCs/>
                <w:szCs w:val="24"/>
              </w:rPr>
              <w:t xml:space="preserve">Point de l'ordre du </w:t>
            </w:r>
            <w:proofErr w:type="gramStart"/>
            <w:r>
              <w:rPr>
                <w:rFonts w:cs="Times"/>
                <w:b/>
                <w:bCs/>
                <w:szCs w:val="24"/>
              </w:rPr>
              <w:t>jour:</w:t>
            </w:r>
            <w:proofErr w:type="gramEnd"/>
            <w:r>
              <w:rPr>
                <w:rFonts w:cs="Times"/>
                <w:b/>
                <w:bCs/>
                <w:szCs w:val="24"/>
              </w:rPr>
              <w:t xml:space="preserve"> </w:t>
            </w:r>
            <w:r w:rsidR="00BF31CE">
              <w:rPr>
                <w:rFonts w:cs="Times"/>
                <w:b/>
                <w:bCs/>
                <w:szCs w:val="24"/>
              </w:rPr>
              <w:t xml:space="preserve">ADM </w:t>
            </w:r>
            <w:r w:rsidR="00FF6D66">
              <w:rPr>
                <w:rFonts w:cs="Times"/>
                <w:b/>
                <w:bCs/>
                <w:szCs w:val="24"/>
              </w:rPr>
              <w:t>1</w:t>
            </w:r>
            <w:r w:rsidR="00BF31CE">
              <w:rPr>
                <w:rFonts w:cs="Times"/>
                <w:b/>
                <w:bCs/>
                <w:szCs w:val="24"/>
              </w:rPr>
              <w:t>1</w:t>
            </w:r>
          </w:p>
        </w:tc>
        <w:tc>
          <w:tcPr>
            <w:tcW w:w="3261" w:type="dxa"/>
          </w:tcPr>
          <w:p w:rsidR="009B46A9" w:rsidRPr="00A83750" w:rsidRDefault="009B46A9" w:rsidP="00FF6D66">
            <w:pPr>
              <w:spacing w:before="0"/>
              <w:rPr>
                <w:b/>
                <w:bCs/>
              </w:rPr>
            </w:pPr>
            <w:r w:rsidRPr="00A83750">
              <w:rPr>
                <w:b/>
                <w:bCs/>
              </w:rPr>
              <w:t>Document C17/</w:t>
            </w:r>
            <w:r w:rsidR="00FF6D66">
              <w:rPr>
                <w:b/>
                <w:bCs/>
              </w:rPr>
              <w:t>58</w:t>
            </w:r>
            <w:r w:rsidRPr="00A83750">
              <w:rPr>
                <w:b/>
                <w:bCs/>
              </w:rPr>
              <w:t>-F</w:t>
            </w: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/>
          </w:tcPr>
          <w:p w:rsidR="009B46A9" w:rsidRPr="00A83750" w:rsidRDefault="009B46A9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9B46A9" w:rsidRPr="00A83750" w:rsidRDefault="00FF6D66" w:rsidP="00FC40EF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C40EF">
              <w:rPr>
                <w:b/>
                <w:bCs/>
              </w:rPr>
              <w:t xml:space="preserve"> </w:t>
            </w:r>
            <w:r w:rsidR="008A58DD">
              <w:rPr>
                <w:b/>
                <w:bCs/>
              </w:rPr>
              <w:t>février</w:t>
            </w:r>
            <w:r w:rsidR="009B46A9" w:rsidRPr="00A83750">
              <w:rPr>
                <w:b/>
                <w:bCs/>
              </w:rPr>
              <w:t xml:space="preserve"> 2017</w:t>
            </w:r>
          </w:p>
        </w:tc>
      </w:tr>
      <w:tr w:rsidR="009B46A9" w:rsidRPr="00A83750">
        <w:trPr>
          <w:cantSplit/>
          <w:trHeight w:val="20"/>
        </w:trPr>
        <w:tc>
          <w:tcPr>
            <w:tcW w:w="6912" w:type="dxa"/>
            <w:vMerge/>
          </w:tcPr>
          <w:p w:rsidR="009B46A9" w:rsidRPr="00A83750" w:rsidRDefault="009B46A9" w:rsidP="00DF74DD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9B46A9" w:rsidRPr="00A83750" w:rsidRDefault="009B46A9" w:rsidP="009B46A9">
            <w:pPr>
              <w:spacing w:before="0"/>
              <w:rPr>
                <w:b/>
                <w:bCs/>
              </w:rPr>
            </w:pPr>
            <w:proofErr w:type="gramStart"/>
            <w:r w:rsidRPr="00A83750">
              <w:rPr>
                <w:b/>
                <w:bCs/>
              </w:rPr>
              <w:t>Original:</w:t>
            </w:r>
            <w:proofErr w:type="gramEnd"/>
            <w:r w:rsidRPr="00A83750">
              <w:rPr>
                <w:b/>
                <w:bCs/>
              </w:rPr>
              <w:t xml:space="preserve"> anglais</w:t>
            </w:r>
          </w:p>
        </w:tc>
      </w:tr>
      <w:tr w:rsidR="009B46A9" w:rsidRPr="00A83750">
        <w:trPr>
          <w:cantSplit/>
        </w:trPr>
        <w:tc>
          <w:tcPr>
            <w:tcW w:w="10173" w:type="dxa"/>
            <w:gridSpan w:val="2"/>
          </w:tcPr>
          <w:p w:rsidR="009B46A9" w:rsidRPr="00A83750" w:rsidRDefault="009B46A9" w:rsidP="00DF74DD">
            <w:pPr>
              <w:pStyle w:val="Source"/>
            </w:pPr>
            <w:bookmarkStart w:id="6" w:name="dsource" w:colFirst="0" w:colLast="0"/>
            <w:bookmarkEnd w:id="5"/>
            <w:r w:rsidRPr="00A83750">
              <w:t>Rapport du Secrétaire général</w:t>
            </w:r>
          </w:p>
        </w:tc>
      </w:tr>
      <w:tr w:rsidR="009B46A9" w:rsidRPr="00A83750">
        <w:trPr>
          <w:cantSplit/>
        </w:trPr>
        <w:tc>
          <w:tcPr>
            <w:tcW w:w="10173" w:type="dxa"/>
            <w:gridSpan w:val="2"/>
          </w:tcPr>
          <w:p w:rsidR="009B46A9" w:rsidRPr="00A83750" w:rsidRDefault="00FF6D66" w:rsidP="006A4807">
            <w:pPr>
              <w:pStyle w:val="Title1"/>
              <w:spacing w:after="360"/>
            </w:pPr>
            <w:bookmarkStart w:id="7" w:name="dtitle1" w:colFirst="0" w:colLast="0"/>
            <w:bookmarkEnd w:id="6"/>
            <w:r w:rsidRPr="006A1F20">
              <w:t>RENOUVELLEMENT du mandat du vérificateur extérieur des comptes (CORTE DEI CONTI) pour une période de deux ans</w:t>
            </w:r>
          </w:p>
        </w:tc>
      </w:tr>
    </w:tbl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F6D66" w:rsidRPr="006A1F20" w:rsidTr="00F3271B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7"/>
          <w:p w:rsidR="00FF6D66" w:rsidRPr="006A1F20" w:rsidRDefault="00FF6D66" w:rsidP="00F3271B">
            <w:pPr>
              <w:pStyle w:val="Headingb"/>
            </w:pPr>
            <w:r w:rsidRPr="006A1F20">
              <w:t>Résumé</w:t>
            </w:r>
          </w:p>
          <w:p w:rsidR="00FF6D66" w:rsidRPr="006A1F20" w:rsidRDefault="00FC40EF" w:rsidP="00B277BA">
            <w:r w:rsidRPr="006A1F20">
              <w:t>Conformément</w:t>
            </w:r>
            <w:r w:rsidR="00D50CD2">
              <w:t xml:space="preserve"> à la Décision 5</w:t>
            </w:r>
            <w:r>
              <w:t>86</w:t>
            </w:r>
            <w:r w:rsidRPr="006A1F20">
              <w:t xml:space="preserve">, </w:t>
            </w:r>
            <w:r w:rsidR="00B277BA">
              <w:t>l</w:t>
            </w:r>
            <w:r w:rsidR="00FF6D66" w:rsidRPr="006A1F20">
              <w:t xml:space="preserve">e mandat du Vérificateur extérieur des comptes (Corte dei Conti) relatif à la vérification des états financiers pour </w:t>
            </w:r>
            <w:r w:rsidR="00595BB8">
              <w:t>2016 et 2017</w:t>
            </w:r>
            <w:r w:rsidR="00FF6D66" w:rsidRPr="006A1F20">
              <w:t xml:space="preserve"> s'achèvera le 30 juin 201</w:t>
            </w:r>
            <w:r w:rsidR="00595BB8">
              <w:t>8</w:t>
            </w:r>
            <w:r w:rsidR="00FF6D66" w:rsidRPr="006A1F20">
              <w:t xml:space="preserve">. </w:t>
            </w:r>
            <w:r w:rsidR="00893670">
              <w:t>Conformément au paragraphe 2 de l’Article </w:t>
            </w:r>
            <w:r w:rsidR="00893670" w:rsidRPr="006A1F20">
              <w:t>28 du Règlement financier</w:t>
            </w:r>
            <w:r w:rsidR="00B277BA">
              <w:t>,</w:t>
            </w:r>
            <w:r w:rsidR="00893670">
              <w:t xml:space="preserve"> selon lequel </w:t>
            </w:r>
            <w:proofErr w:type="gramStart"/>
            <w:r w:rsidR="00893670">
              <w:t>«[</w:t>
            </w:r>
            <w:proofErr w:type="gramEnd"/>
            <w:r w:rsidR="00893670">
              <w:t xml:space="preserve">…] </w:t>
            </w:r>
            <w:r w:rsidR="00B277BA">
              <w:t>C</w:t>
            </w:r>
            <w:r w:rsidR="001D76D9" w:rsidRPr="001D76D9">
              <w:t>e mandat peut être prorogé sans processus d'appel d'offres, sur décision du Conseil, pour une période de deux ans ainsi que pour une nouvelle pér</w:t>
            </w:r>
            <w:r w:rsidR="00893670">
              <w:t xml:space="preserve">iode supplémentaire de deux ans», </w:t>
            </w:r>
            <w:r w:rsidR="00FF6D66" w:rsidRPr="006A1F20">
              <w:t xml:space="preserve">il est recommandé que le mandat du Vérificateur extérieur </w:t>
            </w:r>
            <w:r w:rsidR="00FF6D66">
              <w:t xml:space="preserve">des comptes </w:t>
            </w:r>
            <w:r w:rsidR="00FF6D66" w:rsidRPr="006A1F20">
              <w:t>(Corte dei Conti) soit prorogé pour une période de deux ans en vue de la vérification des états financiers pour 201</w:t>
            </w:r>
            <w:r w:rsidR="001D76D9">
              <w:t>8</w:t>
            </w:r>
            <w:r w:rsidR="00FF6D66" w:rsidRPr="006A1F20">
              <w:t xml:space="preserve"> et 201</w:t>
            </w:r>
            <w:r w:rsidR="001D76D9">
              <w:t>9</w:t>
            </w:r>
            <w:r w:rsidR="00FF6D66" w:rsidRPr="006A1F20">
              <w:t>.</w:t>
            </w:r>
          </w:p>
          <w:p w:rsidR="00FF6D66" w:rsidRPr="006A1F20" w:rsidRDefault="00FF6D66" w:rsidP="00F3271B">
            <w:pPr>
              <w:pStyle w:val="Headingb"/>
            </w:pPr>
            <w:r w:rsidRPr="006A1F20">
              <w:t>Suite à donner</w:t>
            </w:r>
          </w:p>
          <w:p w:rsidR="00FF6D66" w:rsidRPr="006A1F20" w:rsidRDefault="00FF6D66" w:rsidP="00B277BA">
            <w:r w:rsidRPr="006A1F20">
              <w:t xml:space="preserve">Le Conseil est invité à </w:t>
            </w:r>
            <w:r w:rsidRPr="006A1F20">
              <w:rPr>
                <w:b/>
                <w:bCs/>
              </w:rPr>
              <w:t>approuver</w:t>
            </w:r>
            <w:r w:rsidRPr="006A1F20">
              <w:t xml:space="preserve"> le renouvellement du mandat du Vérificateur extérieur</w:t>
            </w:r>
            <w:r>
              <w:t xml:space="preserve"> des comptes</w:t>
            </w:r>
            <w:r w:rsidRPr="006A1F20">
              <w:t xml:space="preserve"> (Corte dei Conti) pour une </w:t>
            </w:r>
            <w:r w:rsidR="00893670">
              <w:t xml:space="preserve">nouvelle </w:t>
            </w:r>
            <w:r w:rsidRPr="006A1F20">
              <w:t xml:space="preserve">période de deux ans et à </w:t>
            </w:r>
            <w:r w:rsidRPr="006A1F20">
              <w:rPr>
                <w:b/>
                <w:bCs/>
              </w:rPr>
              <w:t>adopter</w:t>
            </w:r>
            <w:r w:rsidRPr="006A1F20">
              <w:t xml:space="preserve"> le projet de Décision reproduit dans l'Annexe du présent document.</w:t>
            </w:r>
          </w:p>
          <w:p w:rsidR="00FF6D66" w:rsidRPr="006A1F20" w:rsidRDefault="00FF6D66" w:rsidP="00F3271B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FR"/>
              </w:rPr>
            </w:pPr>
            <w:r w:rsidRPr="006A1F20">
              <w:rPr>
                <w:rFonts w:ascii="Calibri" w:hAnsi="Calibri"/>
                <w:caps w:val="0"/>
                <w:sz w:val="22"/>
                <w:lang w:val="fr-FR"/>
              </w:rPr>
              <w:t>____________</w:t>
            </w:r>
          </w:p>
          <w:p w:rsidR="00FF6D66" w:rsidRPr="006A1F20" w:rsidRDefault="00FF6D66" w:rsidP="00F3271B">
            <w:pPr>
              <w:pStyle w:val="Headingb"/>
            </w:pPr>
            <w:r w:rsidRPr="006A1F20">
              <w:t>Références</w:t>
            </w:r>
          </w:p>
          <w:p w:rsidR="00FF6D66" w:rsidRPr="006A1F20" w:rsidRDefault="006A4807" w:rsidP="00B277BA">
            <w:pPr>
              <w:spacing w:after="120"/>
              <w:rPr>
                <w:i/>
                <w:iCs/>
              </w:rPr>
            </w:pPr>
            <w:hyperlink r:id="rId8" w:history="1">
              <w:r w:rsidR="00FF6D66" w:rsidRPr="006A1F20">
                <w:rPr>
                  <w:rStyle w:val="Hyperlink"/>
                  <w:rFonts w:cs="Calibri"/>
                  <w:i/>
                  <w:iCs/>
                  <w:szCs w:val="24"/>
                </w:rPr>
                <w:t>Ré</w:t>
              </w:r>
              <w:r w:rsidR="00FF6D66">
                <w:rPr>
                  <w:rStyle w:val="Hyperlink"/>
                  <w:rFonts w:cs="Calibri"/>
                  <w:i/>
                  <w:iCs/>
                  <w:szCs w:val="24"/>
                </w:rPr>
                <w:t>solution 94 (Ré</w:t>
              </w:r>
              <w:r w:rsidR="00FF6D66" w:rsidRPr="006A1F20">
                <w:rPr>
                  <w:rStyle w:val="Hyperlink"/>
                  <w:rFonts w:cs="Calibri"/>
                  <w:i/>
                  <w:iCs/>
                  <w:szCs w:val="24"/>
                </w:rPr>
                <w:t>v. Busan, 2014)</w:t>
              </w:r>
            </w:hyperlink>
            <w:r w:rsidR="00FF6D66" w:rsidRPr="006A1F20">
              <w:rPr>
                <w:rStyle w:val="Hyperlink"/>
                <w:rFonts w:cs="Calibri"/>
                <w:i/>
                <w:iCs/>
                <w:szCs w:val="24"/>
              </w:rPr>
              <w:t xml:space="preserve"> de la Conférence de plénipotentiaires</w:t>
            </w:r>
            <w:r w:rsidR="00FF6D66">
              <w:rPr>
                <w:i/>
                <w:iCs/>
                <w:szCs w:val="24"/>
              </w:rPr>
              <w:t>,</w:t>
            </w:r>
            <w:r w:rsidR="00FF6D66" w:rsidRPr="006A1F20">
              <w:t xml:space="preserve"> </w:t>
            </w:r>
            <w:r w:rsidR="00FF6D66" w:rsidRPr="006A1F20">
              <w:rPr>
                <w:rStyle w:val="Hyperlink"/>
                <w:rFonts w:cs="Calibri"/>
                <w:i/>
                <w:iCs/>
                <w:szCs w:val="24"/>
              </w:rPr>
              <w:t>Document</w:t>
            </w:r>
            <w:r w:rsidR="00B277BA">
              <w:rPr>
                <w:rStyle w:val="Hyperlink"/>
                <w:rFonts w:cs="Calibri"/>
                <w:i/>
                <w:iCs/>
                <w:szCs w:val="24"/>
              </w:rPr>
              <w:t>s</w:t>
            </w:r>
            <w:r w:rsidR="00FF6D66" w:rsidRPr="006A1F20">
              <w:rPr>
                <w:rStyle w:val="Hyperlink"/>
                <w:rFonts w:cs="Calibri"/>
                <w:i/>
                <w:iCs/>
                <w:szCs w:val="24"/>
              </w:rPr>
              <w:t xml:space="preserve"> </w:t>
            </w:r>
            <w:hyperlink r:id="rId9" w:history="1">
              <w:r w:rsidR="00FF6D66" w:rsidRPr="006A1F20">
                <w:rPr>
                  <w:rStyle w:val="Hyperlink"/>
                  <w:i/>
                  <w:iCs/>
                  <w:szCs w:val="24"/>
                </w:rPr>
                <w:t>C11/71</w:t>
              </w:r>
            </w:hyperlink>
            <w:r w:rsidR="00FF6D66">
              <w:rPr>
                <w:i/>
                <w:iCs/>
                <w:szCs w:val="24"/>
              </w:rPr>
              <w:t>,</w:t>
            </w:r>
            <w:r w:rsidR="00FF6D66" w:rsidRPr="006A1F20">
              <w:t xml:space="preserve"> </w:t>
            </w:r>
            <w:hyperlink r:id="rId10" w:history="1">
              <w:r w:rsidR="00B277BA" w:rsidRPr="008148B2">
                <w:rPr>
                  <w:rStyle w:val="Hyperlink"/>
                  <w:i/>
                  <w:iCs/>
                  <w:szCs w:val="24"/>
                </w:rPr>
                <w:t>C15/5</w:t>
              </w:r>
            </w:hyperlink>
            <w:r w:rsidR="00C90F02">
              <w:t xml:space="preserve">, </w:t>
            </w:r>
            <w:hyperlink r:id="rId11" w:history="1">
              <w:r w:rsidR="00FF6D66" w:rsidRPr="006A1F20">
                <w:rPr>
                  <w:rStyle w:val="Hyperlink"/>
                  <w:i/>
                  <w:iCs/>
                  <w:szCs w:val="24"/>
                </w:rPr>
                <w:t>Décision 566</w:t>
              </w:r>
            </w:hyperlink>
            <w:r w:rsidR="00FF6D66" w:rsidRPr="006A1F20">
              <w:rPr>
                <w:i/>
                <w:iCs/>
                <w:szCs w:val="24"/>
              </w:rPr>
              <w:t xml:space="preserve">, </w:t>
            </w:r>
            <w:hyperlink r:id="rId12" w:history="1">
              <w:r w:rsidR="00B277BA">
                <w:rPr>
                  <w:rStyle w:val="Hyperlink"/>
                  <w:i/>
                  <w:iCs/>
                  <w:szCs w:val="24"/>
                </w:rPr>
                <w:t>Décision 586</w:t>
              </w:r>
            </w:hyperlink>
            <w:r w:rsidR="00893670">
              <w:rPr>
                <w:i/>
                <w:iCs/>
                <w:szCs w:val="24"/>
              </w:rPr>
              <w:t xml:space="preserve">, </w:t>
            </w:r>
            <w:hyperlink r:id="rId13" w:history="1">
              <w:r w:rsidR="00FF6D66" w:rsidRPr="006A1F20">
                <w:rPr>
                  <w:rStyle w:val="Hyperlink"/>
                  <w:i/>
                  <w:iCs/>
                  <w:szCs w:val="24"/>
                </w:rPr>
                <w:t>Article 28 du Règlement financier</w:t>
              </w:r>
            </w:hyperlink>
          </w:p>
        </w:tc>
        <w:bookmarkStart w:id="8" w:name="_GoBack"/>
        <w:bookmarkEnd w:id="8"/>
      </w:tr>
    </w:tbl>
    <w:p w:rsidR="00FF6D66" w:rsidRPr="006A1F20" w:rsidRDefault="00FF6D66" w:rsidP="00B277BA">
      <w:r w:rsidRPr="006A1F20">
        <w:br w:type="page"/>
      </w:r>
    </w:p>
    <w:p w:rsidR="00FF6D66" w:rsidRPr="006A1F20" w:rsidRDefault="00FF6D66" w:rsidP="00FF6D66">
      <w:pPr>
        <w:pStyle w:val="AnnexNo"/>
      </w:pPr>
      <w:r w:rsidRPr="006A1F20">
        <w:lastRenderedPageBreak/>
        <w:t>ANNEXe</w:t>
      </w:r>
    </w:p>
    <w:p w:rsidR="00FF6D66" w:rsidRPr="006A1F20" w:rsidRDefault="00FF6D66" w:rsidP="00FF6D66">
      <w:pPr>
        <w:pStyle w:val="RecNo"/>
      </w:pPr>
      <w:r w:rsidRPr="006A1F20">
        <w:t>PROJET DE DÉCISION</w:t>
      </w:r>
    </w:p>
    <w:p w:rsidR="00FF6D66" w:rsidRPr="009778F0" w:rsidRDefault="00FF6D66" w:rsidP="009778F0">
      <w:pPr>
        <w:pStyle w:val="Rectitle"/>
        <w:rPr>
          <w:rFonts w:asciiTheme="minorHAnsi" w:hAnsiTheme="minorHAnsi"/>
        </w:rPr>
      </w:pPr>
      <w:bookmarkStart w:id="9" w:name="OLE_LINK9"/>
      <w:bookmarkStart w:id="10" w:name="OLE_LINK10"/>
      <w:r w:rsidRPr="006A1F20">
        <w:t xml:space="preserve">Renouvellement du mandat du Vérificateur extérieur des comptes </w:t>
      </w:r>
      <w:r w:rsidRPr="006A1F20">
        <w:br/>
        <w:t>(Corte dei Conti)</w:t>
      </w:r>
      <w:r w:rsidR="00305A18">
        <w:t xml:space="preserve"> </w:t>
      </w:r>
      <w:r w:rsidR="00305A18" w:rsidRPr="00893670">
        <w:t>pour une période de deux ans</w:t>
      </w:r>
    </w:p>
    <w:bookmarkEnd w:id="9"/>
    <w:bookmarkEnd w:id="10"/>
    <w:p w:rsidR="00FF6D66" w:rsidRPr="006A1F20" w:rsidRDefault="00FF6D66" w:rsidP="00FF6D66">
      <w:pPr>
        <w:pStyle w:val="Normalaftertitle"/>
      </w:pPr>
      <w:r w:rsidRPr="006A1F20">
        <w:t>Le Conseil,</w:t>
      </w:r>
    </w:p>
    <w:p w:rsidR="00FF6D66" w:rsidRPr="006A1F20" w:rsidRDefault="00FF6D66" w:rsidP="00FF6D66">
      <w:pPr>
        <w:pStyle w:val="Call"/>
      </w:pPr>
      <w:proofErr w:type="gramStart"/>
      <w:r w:rsidRPr="006A1F20">
        <w:t>ayant</w:t>
      </w:r>
      <w:proofErr w:type="gramEnd"/>
      <w:r w:rsidRPr="006A1F20">
        <w:t xml:space="preserve"> examiné</w:t>
      </w:r>
    </w:p>
    <w:p w:rsidR="00FF6D66" w:rsidRPr="002F0522" w:rsidRDefault="00FF6D66" w:rsidP="009778F0">
      <w:proofErr w:type="gramStart"/>
      <w:r w:rsidRPr="002F0522">
        <w:t>le</w:t>
      </w:r>
      <w:proofErr w:type="gramEnd"/>
      <w:r w:rsidRPr="002F0522">
        <w:t xml:space="preserve"> Document </w:t>
      </w:r>
      <w:hyperlink r:id="rId14" w:history="1">
        <w:r w:rsidR="009778F0" w:rsidRPr="00A4024C">
          <w:rPr>
            <w:rStyle w:val="Hyperlink"/>
            <w:szCs w:val="24"/>
          </w:rPr>
          <w:t>C17/58</w:t>
        </w:r>
      </w:hyperlink>
      <w:r w:rsidRPr="002F0522">
        <w:t>,</w:t>
      </w:r>
    </w:p>
    <w:p w:rsidR="00FF6D66" w:rsidRPr="006A1F20" w:rsidRDefault="00FF6D66" w:rsidP="00FF6D66">
      <w:pPr>
        <w:pStyle w:val="Call"/>
      </w:pPr>
      <w:proofErr w:type="gramStart"/>
      <w:r w:rsidRPr="006A1F20">
        <w:t>considérant</w:t>
      </w:r>
      <w:proofErr w:type="gramEnd"/>
    </w:p>
    <w:p w:rsidR="00806707" w:rsidRPr="006A1F20" w:rsidRDefault="00FF6D66" w:rsidP="009778F0">
      <w:pPr>
        <w:rPr>
          <w:rFonts w:asciiTheme="minorHAnsi" w:hAnsiTheme="minorHAnsi"/>
          <w:szCs w:val="24"/>
        </w:rPr>
      </w:pPr>
      <w:proofErr w:type="gramStart"/>
      <w:r w:rsidRPr="006A1F20">
        <w:t>la</w:t>
      </w:r>
      <w:proofErr w:type="gramEnd"/>
      <w:r w:rsidRPr="006A1F20">
        <w:t xml:space="preserve"> </w:t>
      </w:r>
      <w:hyperlink r:id="rId15" w:history="1">
        <w:r w:rsidRPr="006A1F20">
          <w:rPr>
            <w:rStyle w:val="Hyperlink"/>
            <w:szCs w:val="24"/>
          </w:rPr>
          <w:t>Résolution 94</w:t>
        </w:r>
      </w:hyperlink>
      <w:r w:rsidRPr="006A1F20">
        <w:rPr>
          <w:szCs w:val="24"/>
        </w:rPr>
        <w:t xml:space="preserve"> (R</w:t>
      </w:r>
      <w:r>
        <w:rPr>
          <w:szCs w:val="24"/>
        </w:rPr>
        <w:t>é</w:t>
      </w:r>
      <w:r w:rsidRPr="006A1F20">
        <w:rPr>
          <w:szCs w:val="24"/>
        </w:rPr>
        <w:t>v. Busan, 2014) de la Co</w:t>
      </w:r>
      <w:r w:rsidR="00893670">
        <w:rPr>
          <w:szCs w:val="24"/>
        </w:rPr>
        <w:t>nférence de plénipotentiaires,</w:t>
      </w:r>
      <w:r w:rsidRPr="006A1F20">
        <w:rPr>
          <w:szCs w:val="24"/>
        </w:rPr>
        <w:t xml:space="preserve"> la </w:t>
      </w:r>
      <w:hyperlink r:id="rId16" w:history="1">
        <w:r w:rsidRPr="006A1F20">
          <w:rPr>
            <w:rStyle w:val="Hyperlink"/>
            <w:szCs w:val="24"/>
          </w:rPr>
          <w:t>Décision 566</w:t>
        </w:r>
      </w:hyperlink>
      <w:r w:rsidR="00893670">
        <w:rPr>
          <w:szCs w:val="24"/>
        </w:rPr>
        <w:t xml:space="preserve"> et la </w:t>
      </w:r>
      <w:hyperlink r:id="rId17" w:history="1">
        <w:r w:rsidR="009778F0">
          <w:rPr>
            <w:rStyle w:val="Hyperlink"/>
            <w:szCs w:val="24"/>
          </w:rPr>
          <w:t>Décision 586</w:t>
        </w:r>
      </w:hyperlink>
      <w:r w:rsidR="00893670">
        <w:rPr>
          <w:szCs w:val="24"/>
        </w:rPr>
        <w:t>,</w:t>
      </w:r>
    </w:p>
    <w:p w:rsidR="00FF6D66" w:rsidRPr="006A1F20" w:rsidRDefault="00FF6D66" w:rsidP="00FF6D66">
      <w:pPr>
        <w:pStyle w:val="Call"/>
      </w:pPr>
      <w:proofErr w:type="gramStart"/>
      <w:r w:rsidRPr="006A1F20">
        <w:t>tenant</w:t>
      </w:r>
      <w:proofErr w:type="gramEnd"/>
      <w:r w:rsidRPr="006A1F20">
        <w:t xml:space="preserve"> compte</w:t>
      </w:r>
    </w:p>
    <w:p w:rsidR="00FF6D66" w:rsidRPr="006A1F20" w:rsidRDefault="00FF6D66" w:rsidP="00FF6D66">
      <w:pPr>
        <w:rPr>
          <w:szCs w:val="24"/>
        </w:rPr>
      </w:pPr>
      <w:proofErr w:type="gramStart"/>
      <w:r w:rsidRPr="00D63B0D">
        <w:rPr>
          <w:szCs w:val="24"/>
        </w:rPr>
        <w:t>de</w:t>
      </w:r>
      <w:proofErr w:type="gramEnd"/>
      <w:r w:rsidRPr="00D63B0D">
        <w:rPr>
          <w:szCs w:val="24"/>
        </w:rPr>
        <w:t xml:space="preserve"> </w:t>
      </w:r>
      <w:hyperlink r:id="rId18" w:history="1">
        <w:r w:rsidRPr="00D63B0D">
          <w:rPr>
            <w:rStyle w:val="Hyperlink"/>
            <w:szCs w:val="24"/>
          </w:rPr>
          <w:t xml:space="preserve">l'Article 28 </w:t>
        </w:r>
        <w:r w:rsidRPr="00D63B0D">
          <w:rPr>
            <w:rStyle w:val="Hyperlink"/>
          </w:rPr>
          <w:t>du Règlement financier</w:t>
        </w:r>
      </w:hyperlink>
      <w:r w:rsidRPr="006A1F20">
        <w:rPr>
          <w:szCs w:val="24"/>
        </w:rPr>
        <w:t>,</w:t>
      </w:r>
    </w:p>
    <w:p w:rsidR="00FF6D66" w:rsidRPr="006A1F20" w:rsidRDefault="00FF6D66" w:rsidP="00FF6D66">
      <w:pPr>
        <w:pStyle w:val="Call"/>
        <w:rPr>
          <w:iCs/>
        </w:rPr>
      </w:pPr>
      <w:proofErr w:type="gramStart"/>
      <w:r w:rsidRPr="006A1F20">
        <w:t>décide</w:t>
      </w:r>
      <w:proofErr w:type="gramEnd"/>
    </w:p>
    <w:p w:rsidR="00FF6D66" w:rsidRPr="006A1F20" w:rsidRDefault="00FF6D66" w:rsidP="00806707">
      <w:pPr>
        <w:rPr>
          <w:rFonts w:asciiTheme="minorHAnsi" w:hAnsiTheme="minorHAnsi"/>
          <w:szCs w:val="24"/>
        </w:rPr>
      </w:pPr>
      <w:proofErr w:type="gramStart"/>
      <w:r w:rsidRPr="002F0522">
        <w:t>de</w:t>
      </w:r>
      <w:proofErr w:type="gramEnd"/>
      <w:r w:rsidRPr="006A1F20">
        <w:rPr>
          <w:rFonts w:asciiTheme="minorHAnsi" w:hAnsiTheme="minorHAnsi"/>
          <w:szCs w:val="24"/>
        </w:rPr>
        <w:t xml:space="preserve"> renouveler le mandat du Vérificateur extérieur des comptes </w:t>
      </w:r>
      <w:r w:rsidRPr="006A1F20">
        <w:t xml:space="preserve">(Corte dei Conti) de l'UIT pour une période de deux ans en vue de la vérification des états financiers </w:t>
      </w:r>
      <w:r w:rsidR="00893670">
        <w:t xml:space="preserve">de l’Union </w:t>
      </w:r>
      <w:r w:rsidRPr="006A1F20">
        <w:t>pour 201</w:t>
      </w:r>
      <w:r w:rsidR="00806707">
        <w:t>8</w:t>
      </w:r>
      <w:r w:rsidRPr="006A1F20">
        <w:t xml:space="preserve"> et 201</w:t>
      </w:r>
      <w:r w:rsidR="00806707">
        <w:t>9</w:t>
      </w:r>
      <w:r w:rsidRPr="006A1F20">
        <w:t>,</w:t>
      </w:r>
    </w:p>
    <w:p w:rsidR="00FF6D66" w:rsidRPr="006A1F20" w:rsidRDefault="00FF6D66" w:rsidP="00FF6D66">
      <w:pPr>
        <w:pStyle w:val="Call"/>
      </w:pPr>
      <w:proofErr w:type="gramStart"/>
      <w:r w:rsidRPr="006A1F20">
        <w:t>charge</w:t>
      </w:r>
      <w:proofErr w:type="gramEnd"/>
      <w:r w:rsidRPr="006A1F20">
        <w:t xml:space="preserve"> le Secrétaire général</w:t>
      </w:r>
    </w:p>
    <w:p w:rsidR="00FF6D66" w:rsidRPr="006A1F20" w:rsidRDefault="00FF6D66" w:rsidP="00FF6D66">
      <w:proofErr w:type="gramStart"/>
      <w:r w:rsidRPr="006A1F20">
        <w:t>de</w:t>
      </w:r>
      <w:proofErr w:type="gramEnd"/>
      <w:r w:rsidRPr="006A1F20">
        <w:t xml:space="preserve"> porter la présente Décision à la connaissance du Président de l'Institution</w:t>
      </w:r>
      <w:r w:rsidRPr="006A1F20">
        <w:rPr>
          <w:color w:val="000000"/>
        </w:rPr>
        <w:t xml:space="preserve"> supérieure de contrôle des finances publiques de l'Italie</w:t>
      </w:r>
      <w:r w:rsidRPr="006A1F20">
        <w:t xml:space="preserve"> (Corte dei Conti).</w:t>
      </w:r>
    </w:p>
    <w:p w:rsidR="00FF6D66" w:rsidRDefault="00FF6D66" w:rsidP="006A4807">
      <w:pPr>
        <w:spacing w:before="840"/>
        <w:jc w:val="center"/>
      </w:pPr>
      <w:r w:rsidRPr="006A1F20">
        <w:t>______________</w:t>
      </w:r>
    </w:p>
    <w:sectPr w:rsidR="00FF6D66" w:rsidSect="005C3890">
      <w:headerReference w:type="even" r:id="rId19"/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A9" w:rsidRDefault="009B46A9">
      <w:r>
        <w:separator/>
      </w:r>
    </w:p>
  </w:endnote>
  <w:endnote w:type="continuationSeparator" w:id="0">
    <w:p w:rsidR="009B46A9" w:rsidRDefault="009B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D87ED3" w:rsidRDefault="00D87ED3">
    <w:pPr>
      <w:pStyle w:val="Footer"/>
      <w:rPr>
        <w:lang w:val="en-US"/>
      </w:rPr>
    </w:pPr>
    <w:r>
      <w:fldChar w:fldCharType="begin"/>
    </w:r>
    <w:r w:rsidRPr="00D87ED3">
      <w:rPr>
        <w:lang w:val="en-US"/>
      </w:rPr>
      <w:instrText xml:space="preserve"> FILENAME \p \* MERGEFORMAT </w:instrText>
    </w:r>
    <w:r>
      <w:fldChar w:fldCharType="separate"/>
    </w:r>
    <w:r w:rsidR="00893670">
      <w:rPr>
        <w:lang w:val="en-US"/>
      </w:rPr>
      <w:t>P:\TRAD\F\LING\Godreau\Mars 2017\409508F.docx</w:t>
    </w:r>
    <w:r>
      <w:fldChar w:fldCharType="end"/>
    </w:r>
    <w:r w:rsidR="00732045" w:rsidRPr="00D87ED3">
      <w:rPr>
        <w:lang w:val="en-US"/>
      </w:rPr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6A4807">
      <w:t>06.03.17</w:t>
    </w:r>
    <w:r w:rsidR="002F1B76">
      <w:fldChar w:fldCharType="end"/>
    </w:r>
    <w:r w:rsidR="00732045" w:rsidRPr="00D87ED3">
      <w:rPr>
        <w:lang w:val="en-US"/>
      </w:rPr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93670">
      <w:t>03.03.17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Pr="006A4807" w:rsidRDefault="00220786" w:rsidP="009778F0">
    <w:pPr>
      <w:pStyle w:val="Footer"/>
      <w:rPr>
        <w:color w:val="D9D9D9" w:themeColor="background1" w:themeShade="D9"/>
        <w:lang w:val="fr-CH"/>
      </w:rPr>
    </w:pPr>
    <w:r w:rsidRPr="006A4807">
      <w:rPr>
        <w:color w:val="D9D9D9" w:themeColor="background1" w:themeShade="D9"/>
      </w:rPr>
      <w:fldChar w:fldCharType="begin"/>
    </w:r>
    <w:r w:rsidRPr="006A4807">
      <w:rPr>
        <w:color w:val="D9D9D9" w:themeColor="background1" w:themeShade="D9"/>
        <w:lang w:val="fr-CH"/>
      </w:rPr>
      <w:instrText xml:space="preserve"> FILENAME \p \* MERGEFORMAT </w:instrText>
    </w:r>
    <w:r w:rsidRPr="006A4807">
      <w:rPr>
        <w:color w:val="D9D9D9" w:themeColor="background1" w:themeShade="D9"/>
      </w:rPr>
      <w:fldChar w:fldCharType="separate"/>
    </w:r>
    <w:r w:rsidR="009778F0" w:rsidRPr="006A4807">
      <w:rPr>
        <w:color w:val="D9D9D9" w:themeColor="background1" w:themeShade="D9"/>
        <w:lang w:val="fr-CH"/>
      </w:rPr>
      <w:t>P:\FRA\SG\CONSEIL\C17\000\058F.docx</w:t>
    </w:r>
    <w:r w:rsidRPr="006A4807">
      <w:rPr>
        <w:color w:val="D9D9D9" w:themeColor="background1" w:themeShade="D9"/>
      </w:rPr>
      <w:fldChar w:fldCharType="end"/>
    </w:r>
    <w:r w:rsidRPr="006A4807">
      <w:rPr>
        <w:color w:val="D9D9D9" w:themeColor="background1" w:themeShade="D9"/>
        <w:lang w:val="fr-CH"/>
      </w:rPr>
      <w:t xml:space="preserve"> (40</w:t>
    </w:r>
    <w:r w:rsidR="009778F0" w:rsidRPr="006A4807">
      <w:rPr>
        <w:color w:val="D9D9D9" w:themeColor="background1" w:themeShade="D9"/>
        <w:lang w:val="fr-CH"/>
      </w:rPr>
      <w:t>9508</w:t>
    </w:r>
    <w:r w:rsidRPr="006A4807">
      <w:rPr>
        <w:color w:val="D9D9D9" w:themeColor="background1" w:themeShade="D9"/>
        <w:lang w:val="fr-CH"/>
      </w:rPr>
      <w:t>)</w:t>
    </w:r>
    <w:r w:rsidRPr="006A4807">
      <w:rPr>
        <w:color w:val="D9D9D9" w:themeColor="background1" w:themeShade="D9"/>
        <w:lang w:val="fr-CH"/>
      </w:rPr>
      <w:tab/>
    </w:r>
    <w:r w:rsidRPr="006A4807">
      <w:rPr>
        <w:color w:val="D9D9D9" w:themeColor="background1" w:themeShade="D9"/>
      </w:rPr>
      <w:fldChar w:fldCharType="begin"/>
    </w:r>
    <w:r w:rsidRPr="006A4807">
      <w:rPr>
        <w:color w:val="D9D9D9" w:themeColor="background1" w:themeShade="D9"/>
      </w:rPr>
      <w:instrText xml:space="preserve"> savedate \@ dd.MM.yy </w:instrText>
    </w:r>
    <w:r w:rsidRPr="006A4807">
      <w:rPr>
        <w:color w:val="D9D9D9" w:themeColor="background1" w:themeShade="D9"/>
      </w:rPr>
      <w:fldChar w:fldCharType="separate"/>
    </w:r>
    <w:r w:rsidR="006A4807" w:rsidRPr="006A4807">
      <w:rPr>
        <w:color w:val="D9D9D9" w:themeColor="background1" w:themeShade="D9"/>
      </w:rPr>
      <w:t>06.03.17</w:t>
    </w:r>
    <w:r w:rsidRPr="006A4807">
      <w:rPr>
        <w:color w:val="D9D9D9" w:themeColor="background1" w:themeShade="D9"/>
      </w:rPr>
      <w:fldChar w:fldCharType="end"/>
    </w:r>
    <w:r w:rsidRPr="006A4807">
      <w:rPr>
        <w:color w:val="D9D9D9" w:themeColor="background1" w:themeShade="D9"/>
        <w:lang w:val="fr-CH"/>
      </w:rPr>
      <w:tab/>
    </w:r>
    <w:r w:rsidRPr="006A4807">
      <w:rPr>
        <w:color w:val="D9D9D9" w:themeColor="background1" w:themeShade="D9"/>
      </w:rPr>
      <w:fldChar w:fldCharType="begin"/>
    </w:r>
    <w:r w:rsidRPr="006A4807">
      <w:rPr>
        <w:color w:val="D9D9D9" w:themeColor="background1" w:themeShade="D9"/>
      </w:rPr>
      <w:instrText xml:space="preserve"> printdate \@ dd.MM.yy </w:instrText>
    </w:r>
    <w:r w:rsidRPr="006A4807">
      <w:rPr>
        <w:color w:val="D9D9D9" w:themeColor="background1" w:themeShade="D9"/>
      </w:rPr>
      <w:fldChar w:fldCharType="separate"/>
    </w:r>
    <w:r w:rsidR="00893670" w:rsidRPr="006A4807">
      <w:rPr>
        <w:color w:val="D9D9D9" w:themeColor="background1" w:themeShade="D9"/>
      </w:rPr>
      <w:t>03.03.17</w:t>
    </w:r>
    <w:r w:rsidRPr="006A4807">
      <w:rPr>
        <w:color w:val="D9D9D9" w:themeColor="background1" w:themeShade="D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D63B0D" w:rsidRDefault="00D63B0D" w:rsidP="00D63B0D"/>
  <w:p w:rsidR="00732045" w:rsidRPr="006A4807" w:rsidRDefault="00D87ED3" w:rsidP="009778F0">
    <w:pPr>
      <w:pStyle w:val="Footer"/>
      <w:rPr>
        <w:color w:val="D9D9D9" w:themeColor="background1" w:themeShade="D9"/>
        <w:lang w:val="fr-CH"/>
      </w:rPr>
    </w:pPr>
    <w:r w:rsidRPr="006A4807">
      <w:rPr>
        <w:color w:val="D9D9D9" w:themeColor="background1" w:themeShade="D9"/>
      </w:rPr>
      <w:fldChar w:fldCharType="begin"/>
    </w:r>
    <w:r w:rsidRPr="006A4807">
      <w:rPr>
        <w:color w:val="D9D9D9" w:themeColor="background1" w:themeShade="D9"/>
        <w:lang w:val="fr-CH"/>
      </w:rPr>
      <w:instrText xml:space="preserve"> FILENAME \p \* MERGEFORMAT </w:instrText>
    </w:r>
    <w:r w:rsidRPr="006A4807">
      <w:rPr>
        <w:color w:val="D9D9D9" w:themeColor="background1" w:themeShade="D9"/>
      </w:rPr>
      <w:fldChar w:fldCharType="separate"/>
    </w:r>
    <w:r w:rsidR="009778F0" w:rsidRPr="006A4807">
      <w:rPr>
        <w:color w:val="D9D9D9" w:themeColor="background1" w:themeShade="D9"/>
        <w:lang w:val="fr-CH"/>
      </w:rPr>
      <w:t>P:\FRA\SG\CONSEIL\C17\000\058F.docx</w:t>
    </w:r>
    <w:r w:rsidRPr="006A4807">
      <w:rPr>
        <w:color w:val="D9D9D9" w:themeColor="background1" w:themeShade="D9"/>
      </w:rPr>
      <w:fldChar w:fldCharType="end"/>
    </w:r>
    <w:r w:rsidR="00D22152" w:rsidRPr="006A4807">
      <w:rPr>
        <w:color w:val="D9D9D9" w:themeColor="background1" w:themeShade="D9"/>
        <w:lang w:val="fr-CH"/>
      </w:rPr>
      <w:t xml:space="preserve"> (40</w:t>
    </w:r>
    <w:r w:rsidR="009778F0" w:rsidRPr="006A4807">
      <w:rPr>
        <w:color w:val="D9D9D9" w:themeColor="background1" w:themeShade="D9"/>
        <w:lang w:val="fr-CH"/>
      </w:rPr>
      <w:t>9508</w:t>
    </w:r>
    <w:r w:rsidR="00D22152" w:rsidRPr="006A4807">
      <w:rPr>
        <w:color w:val="D9D9D9" w:themeColor="background1" w:themeShade="D9"/>
        <w:lang w:val="fr-CH"/>
      </w:rPr>
      <w:t>)</w:t>
    </w:r>
    <w:r w:rsidR="00D22152" w:rsidRPr="006A4807">
      <w:rPr>
        <w:color w:val="D9D9D9" w:themeColor="background1" w:themeShade="D9"/>
        <w:lang w:val="fr-CH"/>
      </w:rPr>
      <w:tab/>
    </w:r>
    <w:r w:rsidR="00D22152" w:rsidRPr="006A4807">
      <w:rPr>
        <w:color w:val="D9D9D9" w:themeColor="background1" w:themeShade="D9"/>
      </w:rPr>
      <w:fldChar w:fldCharType="begin"/>
    </w:r>
    <w:r w:rsidR="00D22152" w:rsidRPr="006A4807">
      <w:rPr>
        <w:color w:val="D9D9D9" w:themeColor="background1" w:themeShade="D9"/>
      </w:rPr>
      <w:instrText xml:space="preserve"> savedate \@ dd.MM.yy </w:instrText>
    </w:r>
    <w:r w:rsidR="00D22152" w:rsidRPr="006A4807">
      <w:rPr>
        <w:color w:val="D9D9D9" w:themeColor="background1" w:themeShade="D9"/>
      </w:rPr>
      <w:fldChar w:fldCharType="separate"/>
    </w:r>
    <w:r w:rsidR="006A4807" w:rsidRPr="006A4807">
      <w:rPr>
        <w:color w:val="D9D9D9" w:themeColor="background1" w:themeShade="D9"/>
      </w:rPr>
      <w:t>06.03.17</w:t>
    </w:r>
    <w:r w:rsidR="00D22152" w:rsidRPr="006A4807">
      <w:rPr>
        <w:color w:val="D9D9D9" w:themeColor="background1" w:themeShade="D9"/>
      </w:rPr>
      <w:fldChar w:fldCharType="end"/>
    </w:r>
    <w:r w:rsidR="00D22152" w:rsidRPr="006A4807">
      <w:rPr>
        <w:color w:val="D9D9D9" w:themeColor="background1" w:themeShade="D9"/>
        <w:lang w:val="fr-CH"/>
      </w:rPr>
      <w:tab/>
    </w:r>
    <w:r w:rsidR="00D22152" w:rsidRPr="006A4807">
      <w:rPr>
        <w:color w:val="D9D9D9" w:themeColor="background1" w:themeShade="D9"/>
      </w:rPr>
      <w:fldChar w:fldCharType="begin"/>
    </w:r>
    <w:r w:rsidR="00D22152" w:rsidRPr="006A4807">
      <w:rPr>
        <w:color w:val="D9D9D9" w:themeColor="background1" w:themeShade="D9"/>
      </w:rPr>
      <w:instrText xml:space="preserve"> printdate \@ dd.MM.yy </w:instrText>
    </w:r>
    <w:r w:rsidR="00D22152" w:rsidRPr="006A4807">
      <w:rPr>
        <w:color w:val="D9D9D9" w:themeColor="background1" w:themeShade="D9"/>
      </w:rPr>
      <w:fldChar w:fldCharType="separate"/>
    </w:r>
    <w:r w:rsidR="00893670" w:rsidRPr="006A4807">
      <w:rPr>
        <w:color w:val="D9D9D9" w:themeColor="background1" w:themeShade="D9"/>
      </w:rPr>
      <w:t>03.03.17</w:t>
    </w:r>
    <w:r w:rsidR="00D22152" w:rsidRPr="006A480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A9" w:rsidRDefault="009B46A9">
      <w:r>
        <w:t>____________________</w:t>
      </w:r>
    </w:p>
  </w:footnote>
  <w:footnote w:type="continuationSeparator" w:id="0">
    <w:p w:rsidR="009B46A9" w:rsidRDefault="009B4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6A4807">
      <w:rPr>
        <w:noProof/>
      </w:rPr>
      <w:t>2</w:t>
    </w:r>
    <w:r>
      <w:rPr>
        <w:noProof/>
      </w:rPr>
      <w:fldChar w:fldCharType="end"/>
    </w:r>
  </w:p>
  <w:p w:rsidR="00732045" w:rsidRDefault="00732045" w:rsidP="009778F0">
    <w:pPr>
      <w:pStyle w:val="Header"/>
    </w:pPr>
    <w:r>
      <w:t>C1</w:t>
    </w:r>
    <w:r w:rsidR="0093234A">
      <w:t>7</w:t>
    </w:r>
    <w:r>
      <w:t>/</w:t>
    </w:r>
    <w:r w:rsidR="009778F0">
      <w:t>58</w:t>
    </w:r>
    <w: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A9"/>
    <w:rsid w:val="00055158"/>
    <w:rsid w:val="00074916"/>
    <w:rsid w:val="000D0D0A"/>
    <w:rsid w:val="00103163"/>
    <w:rsid w:val="00115D93"/>
    <w:rsid w:val="001247A8"/>
    <w:rsid w:val="001378C0"/>
    <w:rsid w:val="0018694A"/>
    <w:rsid w:val="001A3287"/>
    <w:rsid w:val="001D4C31"/>
    <w:rsid w:val="001D76D9"/>
    <w:rsid w:val="001E4D21"/>
    <w:rsid w:val="00207CD1"/>
    <w:rsid w:val="00220786"/>
    <w:rsid w:val="002477A2"/>
    <w:rsid w:val="00263A51"/>
    <w:rsid w:val="00267E02"/>
    <w:rsid w:val="002A5D44"/>
    <w:rsid w:val="002E0BC4"/>
    <w:rsid w:val="002F1B76"/>
    <w:rsid w:val="002F1F00"/>
    <w:rsid w:val="00305A18"/>
    <w:rsid w:val="00355FF5"/>
    <w:rsid w:val="00361350"/>
    <w:rsid w:val="00396A91"/>
    <w:rsid w:val="004038CB"/>
    <w:rsid w:val="0040546F"/>
    <w:rsid w:val="0042404A"/>
    <w:rsid w:val="0044618F"/>
    <w:rsid w:val="0046769A"/>
    <w:rsid w:val="00475FB3"/>
    <w:rsid w:val="00495A24"/>
    <w:rsid w:val="004C37A9"/>
    <w:rsid w:val="004F259E"/>
    <w:rsid w:val="00511F1D"/>
    <w:rsid w:val="00537CC1"/>
    <w:rsid w:val="00540615"/>
    <w:rsid w:val="00540A6D"/>
    <w:rsid w:val="00571EEA"/>
    <w:rsid w:val="00575417"/>
    <w:rsid w:val="005768E1"/>
    <w:rsid w:val="00595BB8"/>
    <w:rsid w:val="005B52F3"/>
    <w:rsid w:val="005C3890"/>
    <w:rsid w:val="005F7BFE"/>
    <w:rsid w:val="00600017"/>
    <w:rsid w:val="006235CA"/>
    <w:rsid w:val="0064230E"/>
    <w:rsid w:val="006643AB"/>
    <w:rsid w:val="00692862"/>
    <w:rsid w:val="006A4807"/>
    <w:rsid w:val="006E35CE"/>
    <w:rsid w:val="007210CD"/>
    <w:rsid w:val="00722DE7"/>
    <w:rsid w:val="00732045"/>
    <w:rsid w:val="007369DB"/>
    <w:rsid w:val="00736C0E"/>
    <w:rsid w:val="007956C2"/>
    <w:rsid w:val="007A187E"/>
    <w:rsid w:val="007C72C2"/>
    <w:rsid w:val="007D4436"/>
    <w:rsid w:val="007F257A"/>
    <w:rsid w:val="007F3665"/>
    <w:rsid w:val="00800037"/>
    <w:rsid w:val="00806707"/>
    <w:rsid w:val="00861D73"/>
    <w:rsid w:val="00893670"/>
    <w:rsid w:val="008A4E87"/>
    <w:rsid w:val="008A58DD"/>
    <w:rsid w:val="008C44A4"/>
    <w:rsid w:val="008D76E6"/>
    <w:rsid w:val="0092392D"/>
    <w:rsid w:val="0093234A"/>
    <w:rsid w:val="009478B9"/>
    <w:rsid w:val="009635F6"/>
    <w:rsid w:val="00977283"/>
    <w:rsid w:val="009778F0"/>
    <w:rsid w:val="009B46A9"/>
    <w:rsid w:val="009C307F"/>
    <w:rsid w:val="009D274C"/>
    <w:rsid w:val="00A2113E"/>
    <w:rsid w:val="00A23A51"/>
    <w:rsid w:val="00A24607"/>
    <w:rsid w:val="00A25CD3"/>
    <w:rsid w:val="00A6394A"/>
    <w:rsid w:val="00A82767"/>
    <w:rsid w:val="00A83750"/>
    <w:rsid w:val="00AA332F"/>
    <w:rsid w:val="00AA7BBB"/>
    <w:rsid w:val="00AB64A8"/>
    <w:rsid w:val="00AC0266"/>
    <w:rsid w:val="00AD24EC"/>
    <w:rsid w:val="00B277BA"/>
    <w:rsid w:val="00B309F9"/>
    <w:rsid w:val="00B32B60"/>
    <w:rsid w:val="00B51EFD"/>
    <w:rsid w:val="00B61619"/>
    <w:rsid w:val="00B6635B"/>
    <w:rsid w:val="00BB4545"/>
    <w:rsid w:val="00BD5873"/>
    <w:rsid w:val="00BD7130"/>
    <w:rsid w:val="00BF31CE"/>
    <w:rsid w:val="00C04BE3"/>
    <w:rsid w:val="00C25D29"/>
    <w:rsid w:val="00C27A7C"/>
    <w:rsid w:val="00C831E9"/>
    <w:rsid w:val="00C85783"/>
    <w:rsid w:val="00C90F02"/>
    <w:rsid w:val="00CA08ED"/>
    <w:rsid w:val="00CA2D83"/>
    <w:rsid w:val="00CB2774"/>
    <w:rsid w:val="00CF0749"/>
    <w:rsid w:val="00CF183B"/>
    <w:rsid w:val="00D22152"/>
    <w:rsid w:val="00D375CD"/>
    <w:rsid w:val="00D50CD2"/>
    <w:rsid w:val="00D553A2"/>
    <w:rsid w:val="00D63B0D"/>
    <w:rsid w:val="00D63FB6"/>
    <w:rsid w:val="00D774D3"/>
    <w:rsid w:val="00D87ED3"/>
    <w:rsid w:val="00D904E8"/>
    <w:rsid w:val="00DA08C3"/>
    <w:rsid w:val="00DB5A3E"/>
    <w:rsid w:val="00DC22AA"/>
    <w:rsid w:val="00DF74DD"/>
    <w:rsid w:val="00E25AD0"/>
    <w:rsid w:val="00EB6350"/>
    <w:rsid w:val="00ED5D15"/>
    <w:rsid w:val="00F15B57"/>
    <w:rsid w:val="00F427DB"/>
    <w:rsid w:val="00FA5EB1"/>
    <w:rsid w:val="00FA7439"/>
    <w:rsid w:val="00FC40EF"/>
    <w:rsid w:val="00FC4EC0"/>
    <w:rsid w:val="00FF0181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F429365-5A1B-487A-8978-20AA4ADE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9B46A9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Body">
    <w:name w:val="Body"/>
    <w:rsid w:val="00CF0749"/>
    <w:rPr>
      <w:rFonts w:ascii="Helvetica" w:eastAsia="ヒラギノ角ゴ Pro W3" w:hAnsi="Helvetica"/>
      <w:color w:val="000000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D87E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87ED3"/>
    <w:rPr>
      <w:rFonts w:ascii="Segoe UI" w:hAnsi="Segoe UI" w:cs="Segoe UI"/>
      <w:sz w:val="18"/>
      <w:szCs w:val="18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FF6D66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plenipotentiary/2014/Documents/final-acts/pp14-final-acts-fr.pdf" TargetMode="External"/><Relationship Id="rId13" Type="http://schemas.openxmlformats.org/officeDocument/2006/relationships/hyperlink" Target="http://www.itu.int/council/groups/finregs/pd/regl-e.pdf" TargetMode="External"/><Relationship Id="rId18" Type="http://schemas.openxmlformats.org/officeDocument/2006/relationships/hyperlink" Target="http://www.itu.int/council/groups/finregs/pd/regl-e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://www.itu.int/md/S15-CL-C-0121/en" TargetMode="External"/><Relationship Id="rId17" Type="http://schemas.openxmlformats.org/officeDocument/2006/relationships/hyperlink" Target="http://www.itu.int/md/S15-CL-C-0121/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md/S11-CL-C-0110/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tu.int/md/S11-CL-C-0110/e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tu.int/en/plenipotentiary/2014/Documents/final-acts/pp14-final-acts-fr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md/S15-CL-C-0005/e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S11-CL-C-0071/en" TargetMode="External"/><Relationship Id="rId14" Type="http://schemas.openxmlformats.org/officeDocument/2006/relationships/hyperlink" Target="http://www.itu.int/md/S17-CL-C-0058/en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27A7-E03C-464E-9B45-D374A3DD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PF_C17.dotm</Template>
  <TotalTime>0</TotalTime>
  <Pages>2</Pages>
  <Words>336</Words>
  <Characters>2579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DATES ET DURÉE PROPOSÉES POUR LES SESSIONS DE 2018, 2019 ET 2020 DU CONSEIL</vt:lpstr>
    </vt:vector>
  </TitlesOfParts>
  <Manager>Secrétariat général - Pool</Manager>
  <Company>Union internationale des télécommunications (UIT)</Company>
  <LinksUpToDate>false</LinksUpToDate>
  <CharactersWithSpaces>2910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Renouvellement du mandat du vérificateur extérieur des comptes (Corte dei conti) pour une période de deux ans</dc:title>
  <dc:subject>Conseil 2017</dc:subject>
  <dc:creator>Rapport du Secrétaire général</dc:creator>
  <cp:keywords>C2017, C17</cp:keywords>
  <dc:description/>
  <cp:lastModifiedBy>Brouard, Ricarda</cp:lastModifiedBy>
  <cp:revision>2</cp:revision>
  <cp:lastPrinted>2017-03-03T11:28:00Z</cp:lastPrinted>
  <dcterms:created xsi:type="dcterms:W3CDTF">2017-03-07T14:41:00Z</dcterms:created>
  <dcterms:modified xsi:type="dcterms:W3CDTF">2017-03-07T14:41:00Z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C17/2-F</vt:lpwstr>
  </property>
  <property fmtid="{D5CDD505-2E9C-101B-9397-08002B2CF9AE}" pid="3" name="Docdate">
    <vt:lpwstr>24 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>Point de l'ordre du jour: PL 2.3</vt:lpwstr>
  </property>
  <property fmtid="{D5CDD505-2E9C-101B-9397-08002B2CF9AE}" pid="7" name="Docauthor">
    <vt:lpwstr>Rapport du Secrétaire général</vt:lpwstr>
  </property>
</Properties>
</file>