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44AD1" w:rsidRPr="00813E5E" w:rsidTr="000B7AC3">
        <w:trPr>
          <w:cantSplit/>
          <w:trHeight w:val="1276"/>
        </w:trPr>
        <w:tc>
          <w:tcPr>
            <w:tcW w:w="6911" w:type="dxa"/>
          </w:tcPr>
          <w:p w:rsidR="00744AD1" w:rsidRPr="00813E5E" w:rsidRDefault="00744AD1" w:rsidP="009811F9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GoBack"/>
            <w:bookmarkEnd w:id="0"/>
            <w:bookmarkEnd w:id="1"/>
            <w:r w:rsidRPr="00E378C5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>
              <w:rPr>
                <w:b/>
                <w:bCs/>
                <w:position w:val="6"/>
                <w:sz w:val="30"/>
                <w:szCs w:val="30"/>
              </w:rPr>
              <w:t>7</w:t>
            </w:r>
            <w:r w:rsidRPr="00E378C5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378C5">
              <w:rPr>
                <w:b/>
                <w:bCs/>
                <w:position w:val="6"/>
                <w:szCs w:val="24"/>
              </w:rPr>
              <w:t xml:space="preserve">Geneva, </w:t>
            </w:r>
            <w:r>
              <w:rPr>
                <w:b/>
                <w:bCs/>
                <w:position w:val="6"/>
                <w:szCs w:val="24"/>
              </w:rPr>
              <w:t>15</w:t>
            </w:r>
            <w:r w:rsidR="009811F9">
              <w:rPr>
                <w:b/>
                <w:bCs/>
                <w:position w:val="6"/>
                <w:szCs w:val="24"/>
              </w:rPr>
              <w:t xml:space="preserve"> - </w:t>
            </w:r>
            <w:r>
              <w:rPr>
                <w:b/>
                <w:bCs/>
                <w:position w:val="6"/>
                <w:szCs w:val="24"/>
              </w:rPr>
              <w:t xml:space="preserve">25 May </w:t>
            </w:r>
            <w:r w:rsidRPr="003B25F1">
              <w:rPr>
                <w:b/>
                <w:bCs/>
                <w:position w:val="6"/>
                <w:szCs w:val="24"/>
              </w:rPr>
              <w:t>201</w:t>
            </w:r>
            <w:r>
              <w:rPr>
                <w:b/>
                <w:bCs/>
                <w:position w:val="6"/>
                <w:szCs w:val="24"/>
              </w:rPr>
              <w:t>7</w:t>
            </w:r>
          </w:p>
        </w:tc>
        <w:tc>
          <w:tcPr>
            <w:tcW w:w="3120" w:type="dxa"/>
          </w:tcPr>
          <w:p w:rsidR="00744AD1" w:rsidRPr="00813E5E" w:rsidRDefault="00744AD1" w:rsidP="000B7AC3"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7A495AD0" wp14:editId="6B2DD66B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AD1" w:rsidRPr="00813E5E" w:rsidTr="000B7AC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44AD1" w:rsidRPr="00813E5E" w:rsidRDefault="00744AD1" w:rsidP="000B7AC3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44AD1" w:rsidRPr="00813E5E" w:rsidRDefault="00744AD1" w:rsidP="000B7AC3">
            <w:pPr>
              <w:spacing w:before="0" w:line="240" w:lineRule="atLeast"/>
              <w:rPr>
                <w:szCs w:val="24"/>
              </w:rPr>
            </w:pPr>
          </w:p>
        </w:tc>
      </w:tr>
      <w:tr w:rsidR="00744AD1" w:rsidRPr="00813E5E" w:rsidTr="000B7AC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44AD1" w:rsidRPr="00813E5E" w:rsidRDefault="00744AD1" w:rsidP="000B7AC3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44AD1" w:rsidRPr="00813E5E" w:rsidRDefault="00744AD1" w:rsidP="000B7AC3">
            <w:pPr>
              <w:spacing w:before="0" w:line="240" w:lineRule="atLeast"/>
              <w:rPr>
                <w:szCs w:val="24"/>
              </w:rPr>
            </w:pPr>
          </w:p>
        </w:tc>
      </w:tr>
      <w:tr w:rsidR="00744AD1" w:rsidRPr="00813E5E" w:rsidTr="000B7AC3">
        <w:trPr>
          <w:cantSplit/>
          <w:trHeight w:val="23"/>
        </w:trPr>
        <w:tc>
          <w:tcPr>
            <w:tcW w:w="6911" w:type="dxa"/>
            <w:vMerge w:val="restart"/>
          </w:tcPr>
          <w:p w:rsidR="00744AD1" w:rsidRPr="00E378C5" w:rsidRDefault="00744AD1" w:rsidP="000B7AC3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  <w:r>
              <w:rPr>
                <w:b/>
              </w:rPr>
              <w:t>Agenda item</w:t>
            </w:r>
            <w:r w:rsidRPr="000F5DC8">
              <w:rPr>
                <w:b/>
              </w:rPr>
              <w:t xml:space="preserve">: </w:t>
            </w:r>
            <w:r w:rsidR="000074FB">
              <w:rPr>
                <w:b/>
              </w:rPr>
              <w:t>ADM 11</w:t>
            </w:r>
          </w:p>
        </w:tc>
        <w:tc>
          <w:tcPr>
            <w:tcW w:w="3120" w:type="dxa"/>
          </w:tcPr>
          <w:p w:rsidR="00744AD1" w:rsidRPr="00E378C5" w:rsidRDefault="00744AD1" w:rsidP="000F5DC8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C17/</w:t>
            </w:r>
            <w:r w:rsidR="000F5DC8">
              <w:rPr>
                <w:b/>
              </w:rPr>
              <w:t>58</w:t>
            </w:r>
            <w:r>
              <w:rPr>
                <w:b/>
              </w:rPr>
              <w:t>-E</w:t>
            </w:r>
          </w:p>
        </w:tc>
      </w:tr>
      <w:tr w:rsidR="00744AD1" w:rsidRPr="00813E5E" w:rsidTr="000B7AC3">
        <w:trPr>
          <w:cantSplit/>
          <w:trHeight w:val="23"/>
        </w:trPr>
        <w:tc>
          <w:tcPr>
            <w:tcW w:w="6911" w:type="dxa"/>
            <w:vMerge/>
          </w:tcPr>
          <w:p w:rsidR="00744AD1" w:rsidRPr="00813E5E" w:rsidRDefault="00744AD1" w:rsidP="000B7AC3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744AD1" w:rsidRPr="00E378C5" w:rsidRDefault="00366CF0" w:rsidP="00366CF0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</w:t>
            </w:r>
            <w:r w:rsidR="00744AD1" w:rsidRPr="00501584">
              <w:rPr>
                <w:b/>
              </w:rPr>
              <w:t xml:space="preserve"> </w:t>
            </w:r>
            <w:r w:rsidR="00B50218" w:rsidRPr="00501584">
              <w:rPr>
                <w:b/>
              </w:rPr>
              <w:t xml:space="preserve">February </w:t>
            </w:r>
            <w:r w:rsidR="00744AD1" w:rsidRPr="00501584">
              <w:rPr>
                <w:b/>
              </w:rPr>
              <w:t>2017</w:t>
            </w:r>
          </w:p>
        </w:tc>
      </w:tr>
      <w:tr w:rsidR="00744AD1" w:rsidRPr="00813E5E" w:rsidTr="000B7AC3">
        <w:trPr>
          <w:cantSplit/>
          <w:trHeight w:val="23"/>
        </w:trPr>
        <w:tc>
          <w:tcPr>
            <w:tcW w:w="6911" w:type="dxa"/>
            <w:vMerge/>
          </w:tcPr>
          <w:p w:rsidR="00744AD1" w:rsidRPr="00813E5E" w:rsidRDefault="00744AD1" w:rsidP="000B7AC3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744AD1" w:rsidRPr="00E378C5" w:rsidRDefault="00744AD1" w:rsidP="000B7AC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744AD1" w:rsidRPr="00813E5E" w:rsidTr="000B7AC3">
        <w:trPr>
          <w:cantSplit/>
        </w:trPr>
        <w:tc>
          <w:tcPr>
            <w:tcW w:w="10031" w:type="dxa"/>
            <w:gridSpan w:val="2"/>
          </w:tcPr>
          <w:p w:rsidR="00744AD1" w:rsidRPr="00813E5E" w:rsidRDefault="00744AD1" w:rsidP="000B7AC3">
            <w:pPr>
              <w:pStyle w:val="Source"/>
            </w:pPr>
            <w:bookmarkStart w:id="7" w:name="dsource" w:colFirst="0" w:colLast="0"/>
            <w:bookmarkEnd w:id="6"/>
            <w:r>
              <w:t>Report by the Secretary-General</w:t>
            </w:r>
          </w:p>
        </w:tc>
      </w:tr>
      <w:tr w:rsidR="00744AD1" w:rsidRPr="00813E5E" w:rsidTr="000B7AC3">
        <w:trPr>
          <w:cantSplit/>
        </w:trPr>
        <w:tc>
          <w:tcPr>
            <w:tcW w:w="10031" w:type="dxa"/>
            <w:gridSpan w:val="2"/>
          </w:tcPr>
          <w:p w:rsidR="00744AD1" w:rsidRPr="00813E5E" w:rsidRDefault="00AD7F65" w:rsidP="00AD7F65">
            <w:pPr>
              <w:pStyle w:val="Title1"/>
            </w:pPr>
            <w:bookmarkStart w:id="8" w:name="dtitle1" w:colFirst="0" w:colLast="0"/>
            <w:bookmarkEnd w:id="7"/>
            <w:r>
              <w:t>RENEWAL OF THE MANDATE OF THE EXTERNAL AUDITOR (corte dei conti)</w:t>
            </w:r>
            <w:r>
              <w:br/>
              <w:t>for a period of two years</w:t>
            </w:r>
          </w:p>
        </w:tc>
      </w:tr>
      <w:bookmarkEnd w:id="8"/>
    </w:tbl>
    <w:p w:rsidR="00A65E12" w:rsidRDefault="00A65E12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A65E12" w:rsidRPr="00813E5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E12" w:rsidRPr="00813E5E" w:rsidRDefault="00A65E12">
            <w:pPr>
              <w:pStyle w:val="Headingb"/>
            </w:pPr>
            <w:r w:rsidRPr="00813E5E">
              <w:t>Summary</w:t>
            </w:r>
          </w:p>
          <w:p w:rsidR="00A65E12" w:rsidRPr="00813E5E" w:rsidRDefault="00C44E1A" w:rsidP="00531270">
            <w:pPr>
              <w:jc w:val="both"/>
            </w:pPr>
            <w:r>
              <w:t>In conformity with Decision 586, t</w:t>
            </w:r>
            <w:r w:rsidR="008F1E7C">
              <w:t xml:space="preserve">he mandate of the External Auditor </w:t>
            </w:r>
            <w:r w:rsidR="0064144F">
              <w:t xml:space="preserve">(Corte </w:t>
            </w:r>
            <w:proofErr w:type="spellStart"/>
            <w:r w:rsidR="0064144F">
              <w:t>dei</w:t>
            </w:r>
            <w:proofErr w:type="spellEnd"/>
            <w:r w:rsidR="0064144F">
              <w:t xml:space="preserve"> Conti) </w:t>
            </w:r>
            <w:r w:rsidR="007A141C">
              <w:t xml:space="preserve">relating to the auditing of the </w:t>
            </w:r>
            <w:r>
              <w:t xml:space="preserve">2016 and 2017 </w:t>
            </w:r>
            <w:r w:rsidR="007A141C">
              <w:t xml:space="preserve">financial statements will </w:t>
            </w:r>
            <w:r w:rsidR="0064144F">
              <w:t>end</w:t>
            </w:r>
            <w:r w:rsidR="007A141C">
              <w:t xml:space="preserve"> on</w:t>
            </w:r>
            <w:r w:rsidR="004F1070">
              <w:t xml:space="preserve"> </w:t>
            </w:r>
            <w:r w:rsidR="007A141C">
              <w:t>30</w:t>
            </w:r>
            <w:r w:rsidR="00531270">
              <w:t> </w:t>
            </w:r>
            <w:r w:rsidR="007A141C">
              <w:t>June</w:t>
            </w:r>
            <w:r w:rsidR="00A925B2">
              <w:t> </w:t>
            </w:r>
            <w:r w:rsidR="00015010">
              <w:t>201</w:t>
            </w:r>
            <w:r>
              <w:t>8</w:t>
            </w:r>
            <w:r w:rsidR="00015010">
              <w:t xml:space="preserve">. </w:t>
            </w:r>
            <w:r w:rsidR="007A141C">
              <w:t>Pursuant to paragraph 2 of Article 28 of the Financial Regulations</w:t>
            </w:r>
            <w:r w:rsidR="00AF7E12">
              <w:t xml:space="preserve"> which stipulates that “… The term may be renewed without a competitive selection process by the decision of Council for a period of two years and a further period of two years.”</w:t>
            </w:r>
            <w:r w:rsidR="007A141C">
              <w:t xml:space="preserve"> it is </w:t>
            </w:r>
            <w:r w:rsidR="0064144F">
              <w:t xml:space="preserve">recommended </w:t>
            </w:r>
            <w:r w:rsidR="001E7C40">
              <w:t xml:space="preserve">that </w:t>
            </w:r>
            <w:r w:rsidR="0064144F">
              <w:t xml:space="preserve">the mandate </w:t>
            </w:r>
            <w:r w:rsidR="00CF3C17">
              <w:t xml:space="preserve">of the External Auditor (Corte </w:t>
            </w:r>
            <w:proofErr w:type="spellStart"/>
            <w:r w:rsidR="00CF3C17">
              <w:t>dei</w:t>
            </w:r>
            <w:proofErr w:type="spellEnd"/>
            <w:r w:rsidR="00CF3C17">
              <w:t xml:space="preserve"> Conti) </w:t>
            </w:r>
            <w:r w:rsidR="001E7C40">
              <w:t xml:space="preserve">be renewed </w:t>
            </w:r>
            <w:r w:rsidR="0064144F">
              <w:t>for a period of two years</w:t>
            </w:r>
            <w:r w:rsidR="007B76CF">
              <w:t xml:space="preserve"> </w:t>
            </w:r>
            <w:r w:rsidR="0064144F">
              <w:t>for the auditing of the 201</w:t>
            </w:r>
            <w:r w:rsidR="008148B2">
              <w:t>8</w:t>
            </w:r>
            <w:r w:rsidR="0064144F">
              <w:t xml:space="preserve"> and 201</w:t>
            </w:r>
            <w:r w:rsidR="008148B2">
              <w:t>9</w:t>
            </w:r>
            <w:r w:rsidR="0064144F">
              <w:t xml:space="preserve"> financial statements.</w:t>
            </w:r>
          </w:p>
          <w:p w:rsidR="00A65E12" w:rsidRPr="00813E5E" w:rsidRDefault="00A65E12" w:rsidP="0068618C">
            <w:pPr>
              <w:pStyle w:val="Headingb"/>
              <w:jc w:val="both"/>
            </w:pPr>
            <w:r w:rsidRPr="00813E5E">
              <w:t>Action required</w:t>
            </w:r>
          </w:p>
          <w:p w:rsidR="00A65E12" w:rsidRPr="00813E5E" w:rsidRDefault="0064144F" w:rsidP="0068618C">
            <w:pPr>
              <w:jc w:val="both"/>
            </w:pPr>
            <w:r>
              <w:t xml:space="preserve">The Council is invited to </w:t>
            </w:r>
            <w:r w:rsidRPr="00CF3C17">
              <w:rPr>
                <w:b/>
                <w:bCs/>
              </w:rPr>
              <w:t>approve</w:t>
            </w:r>
            <w:r>
              <w:t xml:space="preserve"> the renewal of the mandate of the External Auditor (Corte </w:t>
            </w:r>
            <w:proofErr w:type="spellStart"/>
            <w:r>
              <w:t>dei</w:t>
            </w:r>
            <w:proofErr w:type="spellEnd"/>
            <w:r>
              <w:t xml:space="preserve"> Conti) for a </w:t>
            </w:r>
            <w:r w:rsidR="00882875">
              <w:t xml:space="preserve">new </w:t>
            </w:r>
            <w:r w:rsidR="00A925B2">
              <w:t xml:space="preserve">period </w:t>
            </w:r>
            <w:r w:rsidR="00CF3C17">
              <w:t xml:space="preserve">of two years and to </w:t>
            </w:r>
            <w:r w:rsidR="00CF3C17">
              <w:rPr>
                <w:b/>
                <w:bCs/>
              </w:rPr>
              <w:t>adopt</w:t>
            </w:r>
            <w:r w:rsidR="00CF3C17">
              <w:t xml:space="preserve"> the draft Decision contained in the Annex to this document.</w:t>
            </w:r>
          </w:p>
          <w:p w:rsidR="00A65E12" w:rsidRPr="00813E5E" w:rsidRDefault="00A65E12" w:rsidP="0068618C">
            <w:pPr>
              <w:pStyle w:val="Table"/>
              <w:keepNext w:val="0"/>
              <w:spacing w:before="0" w:after="0"/>
              <w:jc w:val="both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A65E12" w:rsidRPr="00813E5E" w:rsidRDefault="00A65E12" w:rsidP="0068618C">
            <w:pPr>
              <w:pStyle w:val="Headingb"/>
              <w:jc w:val="both"/>
            </w:pPr>
            <w:r w:rsidRPr="00813E5E">
              <w:t>References</w:t>
            </w:r>
          </w:p>
          <w:p w:rsidR="00A65E12" w:rsidRPr="00175476" w:rsidRDefault="00E45D3E" w:rsidP="005D6ABC">
            <w:pPr>
              <w:jc w:val="both"/>
              <w:rPr>
                <w:i/>
                <w:iCs/>
                <w:szCs w:val="24"/>
              </w:rPr>
            </w:pPr>
            <w:hyperlink r:id="rId9" w:history="1">
              <w:r w:rsidR="00E01FDA" w:rsidRPr="00015010">
                <w:rPr>
                  <w:rStyle w:val="Hyperlink"/>
                  <w:rFonts w:cs="Calibri"/>
                  <w:i/>
                  <w:iCs/>
                  <w:szCs w:val="24"/>
                </w:rPr>
                <w:t xml:space="preserve">Resolution 94 (Rev. </w:t>
              </w:r>
              <w:r w:rsidR="00015010" w:rsidRPr="00015010">
                <w:rPr>
                  <w:rStyle w:val="Hyperlink"/>
                  <w:rFonts w:cs="Calibri"/>
                  <w:i/>
                  <w:iCs/>
                  <w:szCs w:val="24"/>
                </w:rPr>
                <w:t>Busan, 2014</w:t>
              </w:r>
              <w:r w:rsidR="00E01FDA" w:rsidRPr="00015010">
                <w:rPr>
                  <w:rStyle w:val="Hyperlink"/>
                  <w:rFonts w:cs="Calibri"/>
                  <w:i/>
                  <w:iCs/>
                  <w:szCs w:val="24"/>
                </w:rPr>
                <w:t>)</w:t>
              </w:r>
            </w:hyperlink>
            <w:r w:rsidR="00E01FDA" w:rsidRPr="00175476">
              <w:rPr>
                <w:rStyle w:val="Hyperlink"/>
                <w:rFonts w:cs="Calibri"/>
                <w:i/>
                <w:iCs/>
                <w:szCs w:val="24"/>
              </w:rPr>
              <w:t>,</w:t>
            </w:r>
            <w:r w:rsidR="00E01FDA" w:rsidRPr="00175476">
              <w:rPr>
                <w:rStyle w:val="Hyperlink"/>
                <w:rFonts w:cs="Calibri"/>
                <w:i/>
                <w:iCs/>
                <w:szCs w:val="24"/>
                <w:u w:val="none"/>
              </w:rPr>
              <w:t xml:space="preserve"> </w:t>
            </w:r>
            <w:hyperlink r:id="rId10" w:history="1">
              <w:r w:rsidR="00E01FDA" w:rsidRPr="00175476">
                <w:rPr>
                  <w:rStyle w:val="Hyperlink"/>
                  <w:i/>
                  <w:iCs/>
                  <w:szCs w:val="24"/>
                </w:rPr>
                <w:t>C11/71</w:t>
              </w:r>
            </w:hyperlink>
            <w:r w:rsidR="00E01FDA" w:rsidRPr="00175476">
              <w:rPr>
                <w:i/>
                <w:iCs/>
                <w:szCs w:val="24"/>
                <w:u w:val="single"/>
              </w:rPr>
              <w:t>,</w:t>
            </w:r>
            <w:r w:rsidR="00E01FDA" w:rsidRPr="00175476">
              <w:rPr>
                <w:i/>
                <w:iCs/>
                <w:szCs w:val="24"/>
              </w:rPr>
              <w:t xml:space="preserve"> </w:t>
            </w:r>
            <w:hyperlink r:id="rId11" w:history="1">
              <w:r w:rsidR="008148B2" w:rsidRPr="008148B2">
                <w:rPr>
                  <w:rStyle w:val="Hyperlink"/>
                  <w:i/>
                  <w:iCs/>
                  <w:szCs w:val="24"/>
                </w:rPr>
                <w:t>C15/5</w:t>
              </w:r>
            </w:hyperlink>
            <w:r w:rsidR="008148B2">
              <w:rPr>
                <w:i/>
                <w:iCs/>
                <w:szCs w:val="24"/>
              </w:rPr>
              <w:t xml:space="preserve">, </w:t>
            </w:r>
            <w:hyperlink r:id="rId12" w:history="1">
              <w:r w:rsidR="003306CB" w:rsidRPr="003306CB">
                <w:rPr>
                  <w:rStyle w:val="Hyperlink"/>
                  <w:i/>
                  <w:iCs/>
                  <w:szCs w:val="24"/>
                </w:rPr>
                <w:t>Decision 566</w:t>
              </w:r>
            </w:hyperlink>
            <w:r w:rsidR="00E01FDA" w:rsidRPr="00175476">
              <w:rPr>
                <w:i/>
                <w:iCs/>
                <w:szCs w:val="24"/>
              </w:rPr>
              <w:t xml:space="preserve">, </w:t>
            </w:r>
            <w:hyperlink r:id="rId13" w:history="1">
              <w:r w:rsidR="005D6ABC" w:rsidRPr="005D6ABC">
                <w:rPr>
                  <w:rStyle w:val="Hyperlink"/>
                  <w:i/>
                  <w:iCs/>
                  <w:szCs w:val="24"/>
                </w:rPr>
                <w:t>Decision 586</w:t>
              </w:r>
            </w:hyperlink>
            <w:r w:rsidR="005D6ABC">
              <w:rPr>
                <w:i/>
                <w:iCs/>
                <w:szCs w:val="24"/>
              </w:rPr>
              <w:t xml:space="preserve">, </w:t>
            </w:r>
            <w:hyperlink r:id="rId14" w:history="1">
              <w:r w:rsidR="00E01FDA" w:rsidRPr="00175476">
                <w:rPr>
                  <w:rStyle w:val="Hyperlink"/>
                  <w:i/>
                  <w:iCs/>
                  <w:szCs w:val="24"/>
                </w:rPr>
                <w:t>Article 28 of the Financial Regulations</w:t>
              </w:r>
            </w:hyperlink>
          </w:p>
        </w:tc>
      </w:tr>
    </w:tbl>
    <w:p w:rsidR="00A65E12" w:rsidRDefault="00A65E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9" w:name="dstart"/>
      <w:bookmarkStart w:id="10" w:name="dbreak"/>
      <w:bookmarkEnd w:id="9"/>
      <w:bookmarkEnd w:id="10"/>
      <w:r>
        <w:br w:type="page"/>
      </w:r>
    </w:p>
    <w:p w:rsidR="003C3FA2" w:rsidRPr="003C3FA2" w:rsidRDefault="003C3FA2" w:rsidP="005861D1">
      <w:pPr>
        <w:pStyle w:val="AnnexNo"/>
      </w:pPr>
      <w:r w:rsidRPr="003C3FA2">
        <w:lastRenderedPageBreak/>
        <w:t>ANNEX</w:t>
      </w:r>
    </w:p>
    <w:p w:rsidR="00E01FDA" w:rsidRPr="003D0E1D" w:rsidRDefault="005861D1" w:rsidP="00E01FDA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DRAFT DECISION</w:t>
      </w:r>
    </w:p>
    <w:p w:rsidR="005834FC" w:rsidRDefault="005834FC" w:rsidP="005861D1">
      <w:pPr>
        <w:pStyle w:val="Annextitle"/>
        <w:rPr>
          <w:rFonts w:asciiTheme="minorHAnsi" w:hAnsiTheme="minorHAnsi"/>
        </w:rPr>
      </w:pPr>
      <w:bookmarkStart w:id="11" w:name="OLE_LINK9"/>
      <w:bookmarkStart w:id="12" w:name="OLE_LINK10"/>
      <w:r>
        <w:t>Renewal of the mandate of the External Auditor</w:t>
      </w:r>
      <w:r w:rsidR="009F53D4">
        <w:t xml:space="preserve"> (Corte </w:t>
      </w:r>
      <w:proofErr w:type="spellStart"/>
      <w:r w:rsidR="009F53D4">
        <w:t>dei</w:t>
      </w:r>
      <w:proofErr w:type="spellEnd"/>
      <w:r w:rsidR="009F53D4">
        <w:t xml:space="preserve"> Conti</w:t>
      </w:r>
      <w:proofErr w:type="gramStart"/>
      <w:r w:rsidR="009F53D4">
        <w:t>)</w:t>
      </w:r>
      <w:proofErr w:type="gramEnd"/>
      <w:r w:rsidR="009F53D4">
        <w:br/>
        <w:t>for a period of two years</w:t>
      </w:r>
    </w:p>
    <w:bookmarkEnd w:id="11"/>
    <w:bookmarkEnd w:id="12"/>
    <w:p w:rsidR="00E01FDA" w:rsidRPr="005861D1" w:rsidRDefault="00E01FDA" w:rsidP="005861D1">
      <w:pPr>
        <w:pStyle w:val="Normalaftertitle"/>
      </w:pPr>
      <w:r w:rsidRPr="005861D1">
        <w:t>The Council,</w:t>
      </w:r>
    </w:p>
    <w:p w:rsidR="00175476" w:rsidRPr="00175476" w:rsidRDefault="00531270" w:rsidP="005834FC">
      <w:pPr>
        <w:pStyle w:val="Call"/>
        <w:snapToGrid w:val="0"/>
        <w:spacing w:before="120" w:after="120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szCs w:val="24"/>
        </w:rPr>
        <w:t>h</w:t>
      </w:r>
      <w:r w:rsidR="00175476" w:rsidRPr="00175476">
        <w:rPr>
          <w:rFonts w:asciiTheme="minorHAnsi" w:hAnsiTheme="minorHAnsi"/>
          <w:szCs w:val="24"/>
        </w:rPr>
        <w:t>aving</w:t>
      </w:r>
      <w:proofErr w:type="gramEnd"/>
      <w:r w:rsidR="00175476" w:rsidRPr="00175476">
        <w:rPr>
          <w:rFonts w:asciiTheme="minorHAnsi" w:hAnsiTheme="minorHAnsi"/>
          <w:szCs w:val="24"/>
        </w:rPr>
        <w:t xml:space="preserve"> examined</w:t>
      </w:r>
    </w:p>
    <w:p w:rsidR="00175476" w:rsidRPr="00175476" w:rsidRDefault="00175476" w:rsidP="00A4024C">
      <w:pPr>
        <w:snapToGrid w:val="0"/>
        <w:spacing w:after="120"/>
        <w:rPr>
          <w:szCs w:val="24"/>
        </w:rPr>
      </w:pPr>
      <w:r w:rsidRPr="00175476">
        <w:rPr>
          <w:szCs w:val="24"/>
        </w:rPr>
        <w:t xml:space="preserve">Document </w:t>
      </w:r>
      <w:hyperlink r:id="rId15" w:history="1">
        <w:r w:rsidRPr="00A4024C">
          <w:rPr>
            <w:rStyle w:val="Hyperlink"/>
            <w:szCs w:val="24"/>
          </w:rPr>
          <w:t>C1</w:t>
        </w:r>
        <w:r w:rsidR="00FF489A" w:rsidRPr="00A4024C">
          <w:rPr>
            <w:rStyle w:val="Hyperlink"/>
            <w:szCs w:val="24"/>
          </w:rPr>
          <w:t>7</w:t>
        </w:r>
        <w:r w:rsidRPr="00A4024C">
          <w:rPr>
            <w:rStyle w:val="Hyperlink"/>
            <w:szCs w:val="24"/>
          </w:rPr>
          <w:t>/</w:t>
        </w:r>
        <w:r w:rsidR="00A4024C" w:rsidRPr="00A4024C">
          <w:rPr>
            <w:rStyle w:val="Hyperlink"/>
            <w:szCs w:val="24"/>
          </w:rPr>
          <w:t>58</w:t>
        </w:r>
      </w:hyperlink>
      <w:r w:rsidRPr="00A4024C">
        <w:rPr>
          <w:szCs w:val="24"/>
        </w:rPr>
        <w:t>,</w:t>
      </w:r>
    </w:p>
    <w:p w:rsidR="00E01FDA" w:rsidRPr="00175476" w:rsidRDefault="00E01FDA" w:rsidP="005834FC">
      <w:pPr>
        <w:pStyle w:val="Call"/>
        <w:snapToGrid w:val="0"/>
        <w:spacing w:before="120" w:after="120"/>
        <w:rPr>
          <w:rFonts w:asciiTheme="minorHAnsi" w:hAnsiTheme="minorHAnsi"/>
          <w:szCs w:val="24"/>
        </w:rPr>
      </w:pPr>
      <w:proofErr w:type="gramStart"/>
      <w:r w:rsidRPr="00175476">
        <w:rPr>
          <w:rFonts w:asciiTheme="minorHAnsi" w:hAnsiTheme="minorHAnsi"/>
          <w:szCs w:val="24"/>
        </w:rPr>
        <w:t>considering</w:t>
      </w:r>
      <w:proofErr w:type="gramEnd"/>
    </w:p>
    <w:p w:rsidR="00E01FDA" w:rsidRPr="00882875" w:rsidRDefault="00E45D3E" w:rsidP="00531270">
      <w:pPr>
        <w:snapToGrid w:val="0"/>
        <w:spacing w:after="120"/>
        <w:rPr>
          <w:rFonts w:asciiTheme="minorHAnsi" w:hAnsiTheme="minorHAnsi"/>
          <w:szCs w:val="24"/>
        </w:rPr>
      </w:pPr>
      <w:hyperlink r:id="rId16" w:history="1">
        <w:r w:rsidR="00E01FDA" w:rsidRPr="00015010">
          <w:rPr>
            <w:rStyle w:val="Hyperlink"/>
            <w:szCs w:val="24"/>
          </w:rPr>
          <w:t>Resolution 94</w:t>
        </w:r>
      </w:hyperlink>
      <w:r w:rsidR="00175476" w:rsidRPr="00175476">
        <w:rPr>
          <w:szCs w:val="24"/>
        </w:rPr>
        <w:t xml:space="preserve"> (Rev. </w:t>
      </w:r>
      <w:r w:rsidR="007B2C6D">
        <w:rPr>
          <w:szCs w:val="24"/>
        </w:rPr>
        <w:t>Busan, 2014</w:t>
      </w:r>
      <w:r w:rsidR="00175476" w:rsidRPr="00175476">
        <w:rPr>
          <w:szCs w:val="24"/>
        </w:rPr>
        <w:t>)</w:t>
      </w:r>
      <w:r w:rsidR="00882875">
        <w:rPr>
          <w:szCs w:val="24"/>
        </w:rPr>
        <w:t xml:space="preserve">, </w:t>
      </w:r>
      <w:hyperlink r:id="rId17" w:history="1">
        <w:r w:rsidR="00175476" w:rsidRPr="00175476">
          <w:rPr>
            <w:rStyle w:val="Hyperlink"/>
            <w:szCs w:val="24"/>
          </w:rPr>
          <w:t>Decision 566</w:t>
        </w:r>
      </w:hyperlink>
      <w:r w:rsidR="00882875">
        <w:rPr>
          <w:szCs w:val="24"/>
        </w:rPr>
        <w:t xml:space="preserve"> and </w:t>
      </w:r>
      <w:hyperlink r:id="rId18" w:history="1">
        <w:r w:rsidR="00882875" w:rsidRPr="00882875">
          <w:rPr>
            <w:rStyle w:val="Hyperlink"/>
            <w:szCs w:val="24"/>
          </w:rPr>
          <w:t>Decision 586</w:t>
        </w:r>
      </w:hyperlink>
      <w:r w:rsidR="00882875">
        <w:rPr>
          <w:szCs w:val="24"/>
        </w:rPr>
        <w:t>,</w:t>
      </w:r>
    </w:p>
    <w:p w:rsidR="00E01FDA" w:rsidRPr="00175476" w:rsidRDefault="00E01FDA" w:rsidP="005834FC">
      <w:pPr>
        <w:pStyle w:val="Call"/>
        <w:keepNext w:val="0"/>
        <w:keepLines w:val="0"/>
        <w:snapToGrid w:val="0"/>
        <w:spacing w:before="120" w:after="120"/>
        <w:rPr>
          <w:rFonts w:asciiTheme="minorHAnsi" w:hAnsiTheme="minorHAnsi"/>
          <w:szCs w:val="24"/>
        </w:rPr>
      </w:pPr>
      <w:proofErr w:type="gramStart"/>
      <w:r w:rsidRPr="00175476">
        <w:rPr>
          <w:rFonts w:asciiTheme="minorHAnsi" w:hAnsiTheme="minorHAnsi"/>
          <w:szCs w:val="24"/>
        </w:rPr>
        <w:t>taking</w:t>
      </w:r>
      <w:proofErr w:type="gramEnd"/>
      <w:r w:rsidRPr="00175476">
        <w:rPr>
          <w:rFonts w:asciiTheme="minorHAnsi" w:hAnsiTheme="minorHAnsi"/>
          <w:szCs w:val="24"/>
        </w:rPr>
        <w:t xml:space="preserve"> into account</w:t>
      </w:r>
    </w:p>
    <w:p w:rsidR="00E01FDA" w:rsidRPr="00175476" w:rsidRDefault="00E45D3E" w:rsidP="00531270">
      <w:pPr>
        <w:snapToGrid w:val="0"/>
        <w:spacing w:after="120"/>
        <w:rPr>
          <w:szCs w:val="24"/>
        </w:rPr>
      </w:pPr>
      <w:hyperlink r:id="rId19" w:history="1">
        <w:r w:rsidR="005834FC" w:rsidRPr="005834FC">
          <w:rPr>
            <w:rStyle w:val="Hyperlink"/>
            <w:szCs w:val="24"/>
          </w:rPr>
          <w:t>Article 28 of the</w:t>
        </w:r>
        <w:r w:rsidR="00E01FDA" w:rsidRPr="005834FC">
          <w:rPr>
            <w:rStyle w:val="Hyperlink"/>
            <w:szCs w:val="24"/>
          </w:rPr>
          <w:t xml:space="preserve"> Financial Regulations</w:t>
        </w:r>
      </w:hyperlink>
      <w:r w:rsidR="005834FC">
        <w:rPr>
          <w:szCs w:val="24"/>
        </w:rPr>
        <w:t>,</w:t>
      </w:r>
    </w:p>
    <w:p w:rsidR="00E01FDA" w:rsidRPr="00175476" w:rsidRDefault="00E01FDA" w:rsidP="005834FC">
      <w:pPr>
        <w:pStyle w:val="Call"/>
        <w:keepNext w:val="0"/>
        <w:keepLines w:val="0"/>
        <w:snapToGrid w:val="0"/>
        <w:spacing w:before="120" w:after="120"/>
        <w:rPr>
          <w:rFonts w:asciiTheme="minorHAnsi" w:hAnsiTheme="minorHAnsi"/>
          <w:i w:val="0"/>
          <w:iCs/>
          <w:szCs w:val="24"/>
        </w:rPr>
      </w:pPr>
      <w:proofErr w:type="gramStart"/>
      <w:r w:rsidRPr="00175476">
        <w:rPr>
          <w:rFonts w:asciiTheme="minorHAnsi" w:hAnsiTheme="minorHAnsi"/>
          <w:szCs w:val="24"/>
        </w:rPr>
        <w:t>decides</w:t>
      </w:r>
      <w:proofErr w:type="gramEnd"/>
    </w:p>
    <w:p w:rsidR="00E01FDA" w:rsidRPr="00175476" w:rsidRDefault="00E01FDA" w:rsidP="00FF489A">
      <w:pPr>
        <w:snapToGrid w:val="0"/>
        <w:spacing w:after="120"/>
        <w:rPr>
          <w:rFonts w:asciiTheme="minorHAnsi" w:hAnsiTheme="minorHAnsi"/>
          <w:szCs w:val="24"/>
        </w:rPr>
      </w:pPr>
      <w:r w:rsidRPr="00175476">
        <w:rPr>
          <w:rFonts w:asciiTheme="minorHAnsi" w:hAnsiTheme="minorHAnsi"/>
          <w:szCs w:val="24"/>
        </w:rPr>
        <w:t xml:space="preserve">to </w:t>
      </w:r>
      <w:r w:rsidR="005834FC">
        <w:rPr>
          <w:rFonts w:asciiTheme="minorHAnsi" w:hAnsiTheme="minorHAnsi"/>
          <w:szCs w:val="24"/>
        </w:rPr>
        <w:t xml:space="preserve">renew the mandate of the </w:t>
      </w:r>
      <w:r w:rsidR="005834FC">
        <w:t xml:space="preserve">External Auditor (Corte </w:t>
      </w:r>
      <w:proofErr w:type="spellStart"/>
      <w:r w:rsidR="005834FC">
        <w:t>dei</w:t>
      </w:r>
      <w:proofErr w:type="spellEnd"/>
      <w:r w:rsidR="005834FC">
        <w:t xml:space="preserve"> Conti)</w:t>
      </w:r>
      <w:r w:rsidR="003306CB">
        <w:t xml:space="preserve"> of the ITU</w:t>
      </w:r>
      <w:r w:rsidR="005834FC">
        <w:t xml:space="preserve"> for a </w:t>
      </w:r>
      <w:r w:rsidR="00A925B2">
        <w:t xml:space="preserve">period </w:t>
      </w:r>
      <w:r w:rsidR="005834FC">
        <w:t xml:space="preserve">of two years for auditing </w:t>
      </w:r>
      <w:r w:rsidR="003306CB">
        <w:t xml:space="preserve">its </w:t>
      </w:r>
      <w:r w:rsidR="005834FC">
        <w:t>201</w:t>
      </w:r>
      <w:r w:rsidR="00FF489A">
        <w:t>8</w:t>
      </w:r>
      <w:r w:rsidR="005834FC">
        <w:t xml:space="preserve"> and 201</w:t>
      </w:r>
      <w:r w:rsidR="00FF489A">
        <w:t>9</w:t>
      </w:r>
      <w:r w:rsidR="005834FC">
        <w:t xml:space="preserve"> financial statements</w:t>
      </w:r>
      <w:r w:rsidR="005834FC">
        <w:rPr>
          <w:rFonts w:asciiTheme="minorHAnsi" w:hAnsiTheme="minorHAnsi"/>
          <w:szCs w:val="24"/>
        </w:rPr>
        <w:t>,</w:t>
      </w:r>
    </w:p>
    <w:p w:rsidR="00E01FDA" w:rsidRPr="00175476" w:rsidRDefault="00E01FDA" w:rsidP="005834FC">
      <w:pPr>
        <w:pStyle w:val="Call"/>
        <w:keepNext w:val="0"/>
        <w:keepLines w:val="0"/>
        <w:snapToGrid w:val="0"/>
        <w:spacing w:before="120" w:after="120"/>
        <w:rPr>
          <w:rFonts w:asciiTheme="minorHAnsi" w:hAnsiTheme="minorHAnsi"/>
          <w:szCs w:val="24"/>
        </w:rPr>
      </w:pPr>
      <w:proofErr w:type="gramStart"/>
      <w:r w:rsidRPr="00175476">
        <w:rPr>
          <w:rFonts w:asciiTheme="minorHAnsi" w:hAnsiTheme="minorHAnsi"/>
          <w:szCs w:val="24"/>
        </w:rPr>
        <w:t>instructs</w:t>
      </w:r>
      <w:proofErr w:type="gramEnd"/>
      <w:r w:rsidRPr="00175476">
        <w:rPr>
          <w:rFonts w:asciiTheme="minorHAnsi" w:hAnsiTheme="minorHAnsi"/>
          <w:szCs w:val="24"/>
        </w:rPr>
        <w:t xml:space="preserve"> the Secretary-General</w:t>
      </w:r>
    </w:p>
    <w:p w:rsidR="00E01FDA" w:rsidRPr="00175476" w:rsidRDefault="00E01FDA" w:rsidP="003306CB">
      <w:pPr>
        <w:tabs>
          <w:tab w:val="left" w:pos="0"/>
        </w:tabs>
        <w:snapToGrid w:val="0"/>
        <w:spacing w:after="120"/>
        <w:ind w:firstLine="567"/>
        <w:rPr>
          <w:rFonts w:asciiTheme="minorHAnsi" w:hAnsiTheme="minorHAnsi"/>
          <w:szCs w:val="24"/>
        </w:rPr>
      </w:pPr>
      <w:proofErr w:type="gramStart"/>
      <w:r w:rsidRPr="00175476">
        <w:rPr>
          <w:rFonts w:asciiTheme="minorHAnsi" w:hAnsiTheme="minorHAnsi"/>
          <w:szCs w:val="24"/>
        </w:rPr>
        <w:t>to</w:t>
      </w:r>
      <w:proofErr w:type="gramEnd"/>
      <w:r w:rsidRPr="00175476">
        <w:rPr>
          <w:rFonts w:asciiTheme="minorHAnsi" w:hAnsiTheme="minorHAnsi"/>
          <w:szCs w:val="24"/>
        </w:rPr>
        <w:t xml:space="preserve"> bring this Decision to the notice of the </w:t>
      </w:r>
      <w:r w:rsidR="003306CB">
        <w:rPr>
          <w:rFonts w:asciiTheme="minorHAnsi" w:hAnsiTheme="minorHAnsi"/>
          <w:szCs w:val="24"/>
        </w:rPr>
        <w:t xml:space="preserve">President of the Italian supreme audit institution </w:t>
      </w:r>
      <w:r w:rsidR="005834FC">
        <w:rPr>
          <w:rFonts w:asciiTheme="minorHAnsi" w:hAnsiTheme="minorHAnsi"/>
          <w:szCs w:val="24"/>
        </w:rPr>
        <w:t xml:space="preserve">(Corte </w:t>
      </w:r>
      <w:proofErr w:type="spellStart"/>
      <w:r w:rsidR="00C02180">
        <w:rPr>
          <w:rFonts w:asciiTheme="minorHAnsi" w:hAnsiTheme="minorHAnsi"/>
          <w:szCs w:val="24"/>
        </w:rPr>
        <w:t>d</w:t>
      </w:r>
      <w:r w:rsidR="005834FC">
        <w:rPr>
          <w:rFonts w:asciiTheme="minorHAnsi" w:hAnsiTheme="minorHAnsi"/>
          <w:szCs w:val="24"/>
        </w:rPr>
        <w:t>ei</w:t>
      </w:r>
      <w:proofErr w:type="spellEnd"/>
      <w:r w:rsidR="005834FC">
        <w:rPr>
          <w:rFonts w:asciiTheme="minorHAnsi" w:hAnsiTheme="minorHAnsi"/>
          <w:szCs w:val="24"/>
        </w:rPr>
        <w:t xml:space="preserve"> Conti).</w:t>
      </w:r>
    </w:p>
    <w:p w:rsidR="003C3FA2" w:rsidRPr="00015010" w:rsidRDefault="00E01FDA" w:rsidP="00015010">
      <w:pPr>
        <w:spacing w:before="840"/>
        <w:jc w:val="center"/>
        <w:rPr>
          <w:rFonts w:asciiTheme="minorHAnsi" w:hAnsiTheme="minorHAnsi"/>
          <w:szCs w:val="24"/>
          <w:u w:val="single"/>
        </w:rPr>
      </w:pPr>
      <w:r w:rsidRPr="00175476">
        <w:rPr>
          <w:rFonts w:asciiTheme="minorHAnsi" w:hAnsiTheme="minorHAnsi"/>
          <w:szCs w:val="24"/>
          <w:u w:val="single"/>
        </w:rPr>
        <w:t>                                    </w:t>
      </w:r>
    </w:p>
    <w:sectPr w:rsidR="003C3FA2" w:rsidRPr="00015010" w:rsidSect="004D1851">
      <w:head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D4B" w:rsidRDefault="003D1D4B">
      <w:r>
        <w:separator/>
      </w:r>
    </w:p>
  </w:endnote>
  <w:endnote w:type="continuationSeparator" w:id="0">
    <w:p w:rsidR="003D1D4B" w:rsidRDefault="003D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D4B" w:rsidRDefault="003D1D4B">
      <w:r>
        <w:t>____________________</w:t>
      </w:r>
    </w:p>
  </w:footnote>
  <w:footnote w:type="continuationSeparator" w:id="0">
    <w:p w:rsidR="003D1D4B" w:rsidRDefault="003D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E45D3E">
      <w:rPr>
        <w:noProof/>
      </w:rPr>
      <w:t>2</w:t>
    </w:r>
    <w:r>
      <w:rPr>
        <w:noProof/>
      </w:rPr>
      <w:fldChar w:fldCharType="end"/>
    </w:r>
  </w:p>
  <w:p w:rsidR="00322D0D" w:rsidRDefault="00A65E12" w:rsidP="00A4024C">
    <w:pPr>
      <w:pStyle w:val="Header"/>
    </w:pPr>
    <w:r w:rsidRPr="00A4024C">
      <w:t>C1</w:t>
    </w:r>
    <w:r w:rsidR="00FF489A" w:rsidRPr="00A4024C">
      <w:t>7</w:t>
    </w:r>
    <w:r w:rsidRPr="00A4024C">
      <w:t>/</w:t>
    </w:r>
    <w:r w:rsidR="00A4024C" w:rsidRPr="00A4024C">
      <w:t>58</w:t>
    </w:r>
    <w:r w:rsidR="00FF489A" w:rsidRPr="00A4024C">
      <w:t>-</w:t>
    </w:r>
    <w:r w:rsidRPr="00A4024C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991AD7"/>
    <w:multiLevelType w:val="hybridMultilevel"/>
    <w:tmpl w:val="1EE223D0"/>
    <w:lvl w:ilvl="0" w:tplc="CEAEA396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3E68561D"/>
    <w:multiLevelType w:val="hybridMultilevel"/>
    <w:tmpl w:val="AEBC1892"/>
    <w:lvl w:ilvl="0" w:tplc="BD9EDF1C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12"/>
    <w:rsid w:val="000074FB"/>
    <w:rsid w:val="00015010"/>
    <w:rsid w:val="000611AA"/>
    <w:rsid w:val="00063016"/>
    <w:rsid w:val="00076AF6"/>
    <w:rsid w:val="00085CF2"/>
    <w:rsid w:val="000B1705"/>
    <w:rsid w:val="000C5DE2"/>
    <w:rsid w:val="000D75B2"/>
    <w:rsid w:val="000F5DC8"/>
    <w:rsid w:val="001121F5"/>
    <w:rsid w:val="00117BEC"/>
    <w:rsid w:val="00140CE1"/>
    <w:rsid w:val="0017539C"/>
    <w:rsid w:val="00175476"/>
    <w:rsid w:val="00175AC2"/>
    <w:rsid w:val="0017609F"/>
    <w:rsid w:val="001C628E"/>
    <w:rsid w:val="001E0CEC"/>
    <w:rsid w:val="001E0F7B"/>
    <w:rsid w:val="001E7C40"/>
    <w:rsid w:val="001F6BAA"/>
    <w:rsid w:val="002119FD"/>
    <w:rsid w:val="002130E0"/>
    <w:rsid w:val="00265875"/>
    <w:rsid w:val="0027303B"/>
    <w:rsid w:val="0028109B"/>
    <w:rsid w:val="002B1F58"/>
    <w:rsid w:val="002C1C7A"/>
    <w:rsid w:val="0030160F"/>
    <w:rsid w:val="00322D0D"/>
    <w:rsid w:val="003306CB"/>
    <w:rsid w:val="00366CF0"/>
    <w:rsid w:val="003942D4"/>
    <w:rsid w:val="003958A8"/>
    <w:rsid w:val="003B0FB9"/>
    <w:rsid w:val="003C2533"/>
    <w:rsid w:val="003C3FA2"/>
    <w:rsid w:val="003D1D4B"/>
    <w:rsid w:val="0040435A"/>
    <w:rsid w:val="00416A24"/>
    <w:rsid w:val="00431D9E"/>
    <w:rsid w:val="00433CE8"/>
    <w:rsid w:val="00434A5C"/>
    <w:rsid w:val="0045391D"/>
    <w:rsid w:val="004544D9"/>
    <w:rsid w:val="00490E72"/>
    <w:rsid w:val="004921C8"/>
    <w:rsid w:val="004D1851"/>
    <w:rsid w:val="004D599D"/>
    <w:rsid w:val="004E2EA5"/>
    <w:rsid w:val="004E3AEB"/>
    <w:rsid w:val="004F1070"/>
    <w:rsid w:val="00501584"/>
    <w:rsid w:val="0050223C"/>
    <w:rsid w:val="005243FF"/>
    <w:rsid w:val="00531270"/>
    <w:rsid w:val="00564FBC"/>
    <w:rsid w:val="00582442"/>
    <w:rsid w:val="005834FC"/>
    <w:rsid w:val="005861D1"/>
    <w:rsid w:val="005D6ABC"/>
    <w:rsid w:val="0064144F"/>
    <w:rsid w:val="006503FC"/>
    <w:rsid w:val="006535F1"/>
    <w:rsid w:val="0065557D"/>
    <w:rsid w:val="00662984"/>
    <w:rsid w:val="006716BB"/>
    <w:rsid w:val="0068618C"/>
    <w:rsid w:val="006B6DCC"/>
    <w:rsid w:val="00702B95"/>
    <w:rsid w:val="00744AD1"/>
    <w:rsid w:val="0075051B"/>
    <w:rsid w:val="00780436"/>
    <w:rsid w:val="00794D34"/>
    <w:rsid w:val="007A141C"/>
    <w:rsid w:val="007B2C6D"/>
    <w:rsid w:val="007B76CF"/>
    <w:rsid w:val="00813E5E"/>
    <w:rsid w:val="008148B2"/>
    <w:rsid w:val="0083581B"/>
    <w:rsid w:val="00864AFF"/>
    <w:rsid w:val="00882875"/>
    <w:rsid w:val="008B4A6A"/>
    <w:rsid w:val="008C7E27"/>
    <w:rsid w:val="008F1E7C"/>
    <w:rsid w:val="009173EF"/>
    <w:rsid w:val="00927192"/>
    <w:rsid w:val="00932906"/>
    <w:rsid w:val="00961B0B"/>
    <w:rsid w:val="00976E48"/>
    <w:rsid w:val="009811F9"/>
    <w:rsid w:val="009B38C3"/>
    <w:rsid w:val="009E17BD"/>
    <w:rsid w:val="009F53D4"/>
    <w:rsid w:val="00A04CEC"/>
    <w:rsid w:val="00A27F92"/>
    <w:rsid w:val="00A32257"/>
    <w:rsid w:val="00A36D20"/>
    <w:rsid w:val="00A4024C"/>
    <w:rsid w:val="00A55622"/>
    <w:rsid w:val="00A65E12"/>
    <w:rsid w:val="00A83502"/>
    <w:rsid w:val="00A925B2"/>
    <w:rsid w:val="00A96816"/>
    <w:rsid w:val="00AB581C"/>
    <w:rsid w:val="00AD7F65"/>
    <w:rsid w:val="00AF6E49"/>
    <w:rsid w:val="00AF7E12"/>
    <w:rsid w:val="00B04A67"/>
    <w:rsid w:val="00B0583C"/>
    <w:rsid w:val="00B40A81"/>
    <w:rsid w:val="00B44910"/>
    <w:rsid w:val="00B50218"/>
    <w:rsid w:val="00B72267"/>
    <w:rsid w:val="00B76EB6"/>
    <w:rsid w:val="00B824C8"/>
    <w:rsid w:val="00BC251A"/>
    <w:rsid w:val="00BD032B"/>
    <w:rsid w:val="00BE2640"/>
    <w:rsid w:val="00C01189"/>
    <w:rsid w:val="00C02180"/>
    <w:rsid w:val="00C374DE"/>
    <w:rsid w:val="00C44E1A"/>
    <w:rsid w:val="00C47AD4"/>
    <w:rsid w:val="00C528CC"/>
    <w:rsid w:val="00C52D81"/>
    <w:rsid w:val="00C55198"/>
    <w:rsid w:val="00CA6393"/>
    <w:rsid w:val="00CB18FF"/>
    <w:rsid w:val="00CD0C08"/>
    <w:rsid w:val="00CE03FB"/>
    <w:rsid w:val="00CE433C"/>
    <w:rsid w:val="00CF33F3"/>
    <w:rsid w:val="00CF3C17"/>
    <w:rsid w:val="00D06183"/>
    <w:rsid w:val="00D22C42"/>
    <w:rsid w:val="00D34880"/>
    <w:rsid w:val="00D4393D"/>
    <w:rsid w:val="00D468F2"/>
    <w:rsid w:val="00D65041"/>
    <w:rsid w:val="00DC1270"/>
    <w:rsid w:val="00E01FDA"/>
    <w:rsid w:val="00E10E80"/>
    <w:rsid w:val="00E124F0"/>
    <w:rsid w:val="00E45D3E"/>
    <w:rsid w:val="00E60F04"/>
    <w:rsid w:val="00E845E7"/>
    <w:rsid w:val="00EA1255"/>
    <w:rsid w:val="00EB0D6F"/>
    <w:rsid w:val="00EB2232"/>
    <w:rsid w:val="00EC5337"/>
    <w:rsid w:val="00F2150A"/>
    <w:rsid w:val="00F231D8"/>
    <w:rsid w:val="00F336A7"/>
    <w:rsid w:val="00F46C5F"/>
    <w:rsid w:val="00F84000"/>
    <w:rsid w:val="00F94A63"/>
    <w:rsid w:val="00FB7596"/>
    <w:rsid w:val="00FE4077"/>
    <w:rsid w:val="00FE77D2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6DBAD554-0876-4298-B2D3-7440B507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NormalaftertitleChar">
    <w:name w:val="Normal after title Char"/>
    <w:basedOn w:val="DefaultParagraphFont"/>
    <w:link w:val="Normalaftertitle"/>
    <w:rsid w:val="00E01FDA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E01FD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1E7C4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E7C4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S15-CL-C-0121/en" TargetMode="External"/><Relationship Id="rId18" Type="http://schemas.openxmlformats.org/officeDocument/2006/relationships/hyperlink" Target="http://www.itu.int/md/S15-CL-C-0121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1-CL-C-0110/en" TargetMode="External"/><Relationship Id="rId17" Type="http://schemas.openxmlformats.org/officeDocument/2006/relationships/hyperlink" Target="http://www.itu.int/md/S11-CL-C-0110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plenipotentiary/2014/Documents/final-acts/pp14-final-acts-en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5-CL-C-0005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7-CL-C-0058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md/S11-CL-C-0071/en" TargetMode="External"/><Relationship Id="rId19" Type="http://schemas.openxmlformats.org/officeDocument/2006/relationships/hyperlink" Target="http://www.itu.int/council/groups/finregs/pd/regl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plenipotentiary/2014/Documents/final-acts/pp14-final-acts-en.pdf" TargetMode="External"/><Relationship Id="rId14" Type="http://schemas.openxmlformats.org/officeDocument/2006/relationships/hyperlink" Target="http://www.itu.int/council/groups/finregs/pd/regl-e.pd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8230-DCEB-43B5-8D66-69707F5E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PE_C17.dotm</Template>
  <TotalTime>4</TotalTime>
  <Pages>2</Pages>
  <Words>305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 of the mandate of the External Auditors</vt:lpstr>
    </vt:vector>
  </TitlesOfParts>
  <Manager>General Secretariat - Pool</Manager>
  <Company>International Telecommunication Union (ITU)</Company>
  <LinksUpToDate>false</LinksUpToDate>
  <CharactersWithSpaces>2630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of the mandate of the External Auditors</dc:title>
  <dc:subject>Council 2017</dc:subject>
  <dc:creator>Fabry-Fredriksen, Marianne</dc:creator>
  <cp:keywords>C2017, C17</cp:keywords>
  <cp:lastModifiedBy>Brouard, Ricarda</cp:lastModifiedBy>
  <cp:revision>2</cp:revision>
  <cp:lastPrinted>2017-01-12T15:26:00Z</cp:lastPrinted>
  <dcterms:created xsi:type="dcterms:W3CDTF">2017-02-28T10:50:00Z</dcterms:created>
  <dcterms:modified xsi:type="dcterms:W3CDTF">2017-02-28T10:50:00Z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