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025798" w:rsidRPr="007F4B7E">
        <w:trPr>
          <w:cantSplit/>
        </w:trPr>
        <w:tc>
          <w:tcPr>
            <w:tcW w:w="6912" w:type="dxa"/>
          </w:tcPr>
          <w:p w:rsidR="00025798" w:rsidRPr="007F4B7E" w:rsidRDefault="00025798" w:rsidP="000610D6">
            <w:pPr>
              <w:spacing w:before="360"/>
            </w:pPr>
            <w:bookmarkStart w:id="0" w:name="dc06"/>
            <w:bookmarkEnd w:id="0"/>
            <w:r w:rsidRPr="007F4B7E">
              <w:rPr>
                <w:b/>
                <w:bCs/>
                <w:sz w:val="30"/>
                <w:szCs w:val="30"/>
              </w:rPr>
              <w:t>Conseil 2017</w:t>
            </w:r>
            <w:r w:rsidRPr="007F4B7E">
              <w:rPr>
                <w:rFonts w:ascii="Verdana" w:hAnsi="Verdana"/>
                <w:b/>
                <w:bCs/>
                <w:sz w:val="26"/>
                <w:szCs w:val="26"/>
              </w:rPr>
              <w:br/>
            </w:r>
            <w:r w:rsidRPr="007F4B7E">
              <w:rPr>
                <w:b/>
                <w:bCs/>
                <w:szCs w:val="24"/>
              </w:rPr>
              <w:t>Genève, 15-25 mai 2017</w:t>
            </w:r>
          </w:p>
        </w:tc>
        <w:tc>
          <w:tcPr>
            <w:tcW w:w="3261" w:type="dxa"/>
          </w:tcPr>
          <w:p w:rsidR="00025798" w:rsidRPr="007F4B7E" w:rsidRDefault="00025798" w:rsidP="000610D6">
            <w:pPr>
              <w:spacing w:before="0"/>
              <w:jc w:val="right"/>
            </w:pPr>
            <w:bookmarkStart w:id="1" w:name="ditulogo"/>
            <w:bookmarkEnd w:id="1"/>
            <w:r w:rsidRPr="007F4B7E">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025798" w:rsidRPr="007F4B7E" w:rsidTr="00FA0F9E">
        <w:trPr>
          <w:cantSplit/>
          <w:trHeight w:val="20"/>
        </w:trPr>
        <w:tc>
          <w:tcPr>
            <w:tcW w:w="6912" w:type="dxa"/>
            <w:tcBorders>
              <w:bottom w:val="single" w:sz="12" w:space="0" w:color="auto"/>
            </w:tcBorders>
            <w:vAlign w:val="center"/>
          </w:tcPr>
          <w:p w:rsidR="00025798" w:rsidRPr="007F4B7E" w:rsidRDefault="00025798" w:rsidP="000610D6">
            <w:pPr>
              <w:spacing w:before="0"/>
              <w:rPr>
                <w:b/>
                <w:bCs/>
                <w:sz w:val="26"/>
                <w:szCs w:val="26"/>
              </w:rPr>
            </w:pPr>
          </w:p>
        </w:tc>
        <w:tc>
          <w:tcPr>
            <w:tcW w:w="3261" w:type="dxa"/>
            <w:tcBorders>
              <w:bottom w:val="single" w:sz="12" w:space="0" w:color="auto"/>
            </w:tcBorders>
          </w:tcPr>
          <w:p w:rsidR="00025798" w:rsidRPr="007F4B7E" w:rsidRDefault="00025798" w:rsidP="000610D6">
            <w:pPr>
              <w:spacing w:before="0"/>
              <w:rPr>
                <w:b/>
                <w:bCs/>
              </w:rPr>
            </w:pPr>
          </w:p>
        </w:tc>
      </w:tr>
      <w:tr w:rsidR="00025798" w:rsidRPr="007F4B7E">
        <w:trPr>
          <w:cantSplit/>
          <w:trHeight w:val="20"/>
        </w:trPr>
        <w:tc>
          <w:tcPr>
            <w:tcW w:w="6912" w:type="dxa"/>
            <w:tcBorders>
              <w:top w:val="single" w:sz="12" w:space="0" w:color="auto"/>
            </w:tcBorders>
          </w:tcPr>
          <w:p w:rsidR="00025798" w:rsidRPr="007F4B7E" w:rsidRDefault="00025798" w:rsidP="000610D6">
            <w:pPr>
              <w:spacing w:before="0"/>
              <w:rPr>
                <w:smallCaps/>
                <w:sz w:val="22"/>
              </w:rPr>
            </w:pPr>
          </w:p>
        </w:tc>
        <w:tc>
          <w:tcPr>
            <w:tcW w:w="3261" w:type="dxa"/>
            <w:tcBorders>
              <w:top w:val="single" w:sz="12" w:space="0" w:color="auto"/>
            </w:tcBorders>
          </w:tcPr>
          <w:p w:rsidR="00025798" w:rsidRPr="007F4B7E" w:rsidRDefault="00025798" w:rsidP="000610D6">
            <w:pPr>
              <w:spacing w:before="0"/>
              <w:rPr>
                <w:b/>
                <w:bCs/>
              </w:rPr>
            </w:pPr>
          </w:p>
        </w:tc>
      </w:tr>
      <w:tr w:rsidR="00025798" w:rsidRPr="007F4B7E">
        <w:trPr>
          <w:cantSplit/>
          <w:trHeight w:val="20"/>
        </w:trPr>
        <w:tc>
          <w:tcPr>
            <w:tcW w:w="6912" w:type="dxa"/>
            <w:vMerge w:val="restart"/>
          </w:tcPr>
          <w:p w:rsidR="00025798" w:rsidRPr="007F4B7E" w:rsidRDefault="00025798" w:rsidP="000610D6">
            <w:pPr>
              <w:spacing w:before="0"/>
              <w:rPr>
                <w:rFonts w:cs="Times"/>
                <w:b/>
                <w:bCs/>
                <w:szCs w:val="24"/>
              </w:rPr>
            </w:pPr>
            <w:bookmarkStart w:id="2" w:name="dnum" w:colFirst="1" w:colLast="1"/>
            <w:bookmarkStart w:id="3" w:name="dmeeting" w:colFirst="0" w:colLast="0"/>
            <w:r w:rsidRPr="007F4B7E">
              <w:rPr>
                <w:rFonts w:cs="Times"/>
                <w:b/>
                <w:bCs/>
                <w:szCs w:val="24"/>
              </w:rPr>
              <w:t xml:space="preserve">Point de l'ordre du </w:t>
            </w:r>
            <w:proofErr w:type="gramStart"/>
            <w:r w:rsidRPr="007F4B7E">
              <w:rPr>
                <w:rFonts w:cs="Times"/>
                <w:b/>
                <w:bCs/>
                <w:szCs w:val="24"/>
              </w:rPr>
              <w:t>jour:</w:t>
            </w:r>
            <w:proofErr w:type="gramEnd"/>
            <w:r w:rsidRPr="007F4B7E">
              <w:rPr>
                <w:rFonts w:cs="Times"/>
                <w:b/>
                <w:bCs/>
                <w:szCs w:val="24"/>
              </w:rPr>
              <w:t xml:space="preserve"> ADM 1</w:t>
            </w:r>
          </w:p>
        </w:tc>
        <w:tc>
          <w:tcPr>
            <w:tcW w:w="3261" w:type="dxa"/>
          </w:tcPr>
          <w:p w:rsidR="00025798" w:rsidRPr="007F4B7E" w:rsidRDefault="00025798" w:rsidP="000610D6">
            <w:pPr>
              <w:spacing w:before="0"/>
              <w:rPr>
                <w:b/>
                <w:bCs/>
              </w:rPr>
            </w:pPr>
            <w:r w:rsidRPr="007F4B7E">
              <w:rPr>
                <w:b/>
                <w:bCs/>
              </w:rPr>
              <w:t>Document C17/57-F</w:t>
            </w:r>
          </w:p>
        </w:tc>
      </w:tr>
      <w:tr w:rsidR="00025798" w:rsidRPr="007F4B7E">
        <w:trPr>
          <w:cantSplit/>
          <w:trHeight w:val="20"/>
        </w:trPr>
        <w:tc>
          <w:tcPr>
            <w:tcW w:w="6912" w:type="dxa"/>
            <w:vMerge/>
          </w:tcPr>
          <w:p w:rsidR="00025798" w:rsidRPr="007F4B7E" w:rsidRDefault="00025798" w:rsidP="000610D6">
            <w:pPr>
              <w:shd w:val="solid" w:color="FFFFFF" w:fill="FFFFFF"/>
              <w:spacing w:before="180"/>
              <w:rPr>
                <w:smallCaps/>
              </w:rPr>
            </w:pPr>
            <w:bookmarkStart w:id="4" w:name="ddate" w:colFirst="1" w:colLast="1"/>
            <w:bookmarkEnd w:id="2"/>
            <w:bookmarkEnd w:id="3"/>
          </w:p>
        </w:tc>
        <w:tc>
          <w:tcPr>
            <w:tcW w:w="3261" w:type="dxa"/>
          </w:tcPr>
          <w:p w:rsidR="00025798" w:rsidRPr="007F4B7E" w:rsidRDefault="00025798" w:rsidP="000610D6">
            <w:pPr>
              <w:spacing w:before="0"/>
              <w:rPr>
                <w:b/>
                <w:bCs/>
              </w:rPr>
            </w:pPr>
            <w:r w:rsidRPr="007F4B7E">
              <w:rPr>
                <w:b/>
                <w:bCs/>
              </w:rPr>
              <w:t>31 mars 2017</w:t>
            </w:r>
          </w:p>
        </w:tc>
      </w:tr>
      <w:tr w:rsidR="00025798" w:rsidRPr="007F4B7E">
        <w:trPr>
          <w:cantSplit/>
          <w:trHeight w:val="20"/>
        </w:trPr>
        <w:tc>
          <w:tcPr>
            <w:tcW w:w="6912" w:type="dxa"/>
            <w:vMerge/>
          </w:tcPr>
          <w:p w:rsidR="00025798" w:rsidRPr="007F4B7E" w:rsidRDefault="00025798" w:rsidP="000610D6">
            <w:pPr>
              <w:shd w:val="solid" w:color="FFFFFF" w:fill="FFFFFF"/>
              <w:spacing w:before="180"/>
              <w:rPr>
                <w:smallCaps/>
              </w:rPr>
            </w:pPr>
            <w:bookmarkStart w:id="5" w:name="dorlang" w:colFirst="1" w:colLast="1"/>
            <w:bookmarkEnd w:id="4"/>
          </w:p>
        </w:tc>
        <w:tc>
          <w:tcPr>
            <w:tcW w:w="3261" w:type="dxa"/>
          </w:tcPr>
          <w:p w:rsidR="00025798" w:rsidRPr="007F4B7E" w:rsidRDefault="00025798" w:rsidP="000610D6">
            <w:pPr>
              <w:spacing w:before="0"/>
              <w:rPr>
                <w:b/>
                <w:bCs/>
              </w:rPr>
            </w:pPr>
            <w:proofErr w:type="gramStart"/>
            <w:r w:rsidRPr="007F4B7E">
              <w:rPr>
                <w:b/>
                <w:bCs/>
              </w:rPr>
              <w:t>Original:</w:t>
            </w:r>
            <w:proofErr w:type="gramEnd"/>
            <w:r w:rsidRPr="007F4B7E">
              <w:rPr>
                <w:b/>
                <w:bCs/>
              </w:rPr>
              <w:t xml:space="preserve"> anglais</w:t>
            </w:r>
          </w:p>
        </w:tc>
      </w:tr>
      <w:tr w:rsidR="00025798" w:rsidRPr="007F4B7E">
        <w:trPr>
          <w:cantSplit/>
        </w:trPr>
        <w:tc>
          <w:tcPr>
            <w:tcW w:w="10173" w:type="dxa"/>
            <w:gridSpan w:val="2"/>
          </w:tcPr>
          <w:p w:rsidR="00025798" w:rsidRPr="007F4B7E" w:rsidRDefault="00025798" w:rsidP="000610D6">
            <w:pPr>
              <w:pStyle w:val="Source"/>
            </w:pPr>
            <w:bookmarkStart w:id="6" w:name="dsource" w:colFirst="0" w:colLast="0"/>
            <w:bookmarkEnd w:id="5"/>
            <w:r w:rsidRPr="007F4B7E">
              <w:t>Rapport du Secrétaire général</w:t>
            </w:r>
          </w:p>
        </w:tc>
      </w:tr>
      <w:tr w:rsidR="00025798" w:rsidRPr="007F4B7E">
        <w:trPr>
          <w:cantSplit/>
        </w:trPr>
        <w:tc>
          <w:tcPr>
            <w:tcW w:w="10173" w:type="dxa"/>
            <w:gridSpan w:val="2"/>
          </w:tcPr>
          <w:p w:rsidR="00025798" w:rsidRPr="007F4B7E" w:rsidRDefault="001D4D1E" w:rsidP="000610D6">
            <w:pPr>
              <w:pStyle w:val="Title1"/>
            </w:pPr>
            <w:bookmarkStart w:id="7" w:name="lt_pId013"/>
            <w:bookmarkStart w:id="8" w:name="dtitle1" w:colFirst="0" w:colLast="0"/>
            <w:bookmarkEnd w:id="6"/>
            <w:r w:rsidRPr="007F4B7E">
              <w:t>Montant préliminaire de l</w:t>
            </w:r>
            <w:r w:rsidR="000610D6" w:rsidRPr="007F4B7E">
              <w:t>'</w:t>
            </w:r>
            <w:r w:rsidRPr="007F4B7E">
              <w:t xml:space="preserve">unité contributive </w:t>
            </w:r>
            <w:bookmarkEnd w:id="7"/>
          </w:p>
        </w:tc>
      </w:tr>
      <w:bookmarkEnd w:id="8"/>
    </w:tbl>
    <w:p w:rsidR="00025798" w:rsidRPr="007F4B7E" w:rsidRDefault="00025798" w:rsidP="000610D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25798" w:rsidRPr="00705B88">
        <w:trPr>
          <w:trHeight w:val="3372"/>
        </w:trPr>
        <w:tc>
          <w:tcPr>
            <w:tcW w:w="8080" w:type="dxa"/>
            <w:tcBorders>
              <w:top w:val="single" w:sz="12" w:space="0" w:color="auto"/>
              <w:left w:val="single" w:sz="12" w:space="0" w:color="auto"/>
              <w:bottom w:val="single" w:sz="12" w:space="0" w:color="auto"/>
              <w:right w:val="single" w:sz="12" w:space="0" w:color="auto"/>
            </w:tcBorders>
          </w:tcPr>
          <w:p w:rsidR="00025798" w:rsidRPr="007F4B7E" w:rsidRDefault="00025798" w:rsidP="000610D6">
            <w:pPr>
              <w:pStyle w:val="Headingb"/>
            </w:pPr>
            <w:r w:rsidRPr="007F4B7E">
              <w:t>Résumé</w:t>
            </w:r>
          </w:p>
          <w:p w:rsidR="0047688A" w:rsidRPr="007F4B7E" w:rsidRDefault="0047688A" w:rsidP="000610D6">
            <w:pPr>
              <w:rPr>
                <w:rFonts w:eastAsia="SimSun"/>
                <w:lang w:eastAsia="zh-CN"/>
              </w:rPr>
            </w:pPr>
            <w:r w:rsidRPr="007F4B7E">
              <w:rPr>
                <w:rFonts w:eastAsia="SimSun"/>
                <w:lang w:eastAsia="zh-CN"/>
              </w:rPr>
              <w:t xml:space="preserve">Le Secrétaire général a l'intention de proposer que le montant de l'unité contributive soit maintenu au niveau actuel, à savoir 318 000 CHF. </w:t>
            </w:r>
          </w:p>
          <w:p w:rsidR="0047688A" w:rsidRPr="007F4B7E" w:rsidRDefault="0047688A" w:rsidP="000610D6">
            <w:pPr>
              <w:rPr>
                <w:rFonts w:eastAsia="SimSun"/>
                <w:lang w:eastAsia="zh-CN"/>
              </w:rPr>
            </w:pPr>
            <w:r w:rsidRPr="007F4B7E">
              <w:rPr>
                <w:rFonts w:eastAsia="SimSun"/>
                <w:lang w:eastAsia="zh-CN"/>
              </w:rPr>
              <w:t xml:space="preserve">Tous les </w:t>
            </w:r>
            <w:r w:rsidR="008B42F5" w:rsidRPr="007F4B7E">
              <w:rPr>
                <w:rFonts w:eastAsia="SimSun"/>
                <w:lang w:eastAsia="zh-CN"/>
              </w:rPr>
              <w:t xml:space="preserve">Etats </w:t>
            </w:r>
            <w:r w:rsidR="008B42F5" w:rsidRPr="007F4B7E">
              <w:rPr>
                <w:rFonts w:eastAsia="SimSun"/>
              </w:rPr>
              <w:t>M</w:t>
            </w:r>
            <w:r w:rsidRPr="007F4B7E">
              <w:rPr>
                <w:rFonts w:eastAsia="SimSun"/>
                <w:lang w:eastAsia="zh-CN"/>
              </w:rPr>
              <w:t>embres auront ainsi, comme lors de la dernière Conférence de plénipotentiaires, une bonne base pour examiner le Plan financier et se préparer comme il convient en vue de la Conférence de plénipotentiaires de 201</w:t>
            </w:r>
            <w:r w:rsidR="008B42F5" w:rsidRPr="007F4B7E">
              <w:rPr>
                <w:rFonts w:eastAsia="SimSun"/>
                <w:lang w:eastAsia="zh-CN"/>
              </w:rPr>
              <w:t>8</w:t>
            </w:r>
            <w:r w:rsidRPr="007F4B7E">
              <w:rPr>
                <w:rFonts w:eastAsia="SimSun"/>
                <w:lang w:eastAsia="zh-CN"/>
              </w:rPr>
              <w:t>.</w:t>
            </w:r>
          </w:p>
          <w:p w:rsidR="00025798" w:rsidRPr="007F4B7E" w:rsidRDefault="00025798" w:rsidP="000610D6">
            <w:pPr>
              <w:pStyle w:val="Headingb"/>
            </w:pPr>
            <w:r w:rsidRPr="007F4B7E">
              <w:t>Suite à donner</w:t>
            </w:r>
            <w:bookmarkStart w:id="9" w:name="_GoBack"/>
            <w:bookmarkEnd w:id="9"/>
          </w:p>
          <w:p w:rsidR="00025798" w:rsidRPr="007F4B7E" w:rsidRDefault="001D4D1E" w:rsidP="000610D6">
            <w:bookmarkStart w:id="10" w:name="lt_pId018"/>
            <w:r w:rsidRPr="007F4B7E">
              <w:t xml:space="preserve">Le Conseil est invité à </w:t>
            </w:r>
            <w:r w:rsidRPr="007F4B7E">
              <w:rPr>
                <w:b/>
                <w:bCs/>
              </w:rPr>
              <w:t xml:space="preserve">examiner </w:t>
            </w:r>
            <w:r w:rsidRPr="007F4B7E">
              <w:t xml:space="preserve">et à </w:t>
            </w:r>
            <w:r w:rsidRPr="007F4B7E">
              <w:rPr>
                <w:b/>
                <w:bCs/>
              </w:rPr>
              <w:t>approuve</w:t>
            </w:r>
            <w:r w:rsidRPr="007F4B7E">
              <w:t>r cette proposition.</w:t>
            </w:r>
            <w:bookmarkEnd w:id="10"/>
          </w:p>
          <w:p w:rsidR="00025798" w:rsidRPr="007F4B7E" w:rsidRDefault="00025798" w:rsidP="000610D6">
            <w:pPr>
              <w:pStyle w:val="Table"/>
              <w:keepNext w:val="0"/>
              <w:spacing w:before="0" w:after="0"/>
              <w:rPr>
                <w:rFonts w:ascii="Calibri" w:hAnsi="Calibri"/>
                <w:caps w:val="0"/>
                <w:sz w:val="22"/>
                <w:lang w:val="fr-FR"/>
              </w:rPr>
            </w:pPr>
            <w:r w:rsidRPr="007F4B7E">
              <w:rPr>
                <w:rFonts w:ascii="Calibri" w:hAnsi="Calibri"/>
                <w:caps w:val="0"/>
                <w:sz w:val="22"/>
                <w:lang w:val="fr-FR"/>
              </w:rPr>
              <w:t>____________</w:t>
            </w:r>
          </w:p>
          <w:p w:rsidR="00025798" w:rsidRPr="007F4B7E" w:rsidRDefault="00025798" w:rsidP="000610D6">
            <w:pPr>
              <w:pStyle w:val="Headingb"/>
            </w:pPr>
            <w:r w:rsidRPr="007F4B7E">
              <w:t>Références</w:t>
            </w:r>
          </w:p>
          <w:p w:rsidR="00025798" w:rsidRPr="00705B88" w:rsidRDefault="0047688A" w:rsidP="00E63FB8">
            <w:pPr>
              <w:spacing w:after="120"/>
              <w:rPr>
                <w:i/>
                <w:iCs/>
                <w:lang w:val="en-US"/>
              </w:rPr>
            </w:pPr>
            <w:bookmarkStart w:id="11" w:name="lt_pId021"/>
            <w:r w:rsidRPr="00705B88">
              <w:rPr>
                <w:bCs/>
                <w:i/>
                <w:iCs/>
                <w:szCs w:val="24"/>
                <w:lang w:val="en-US"/>
              </w:rPr>
              <w:t>CS/Art. 8, CS/Art. 28, CS/Art. 33;</w:t>
            </w:r>
            <w:bookmarkEnd w:id="11"/>
            <w:r w:rsidRPr="00705B88">
              <w:rPr>
                <w:bCs/>
                <w:i/>
                <w:iCs/>
                <w:szCs w:val="24"/>
                <w:lang w:val="en-US"/>
              </w:rPr>
              <w:t xml:space="preserve"> </w:t>
            </w:r>
            <w:bookmarkStart w:id="12" w:name="lt_pId022"/>
            <w:r w:rsidRPr="007F4B7E">
              <w:fldChar w:fldCharType="begin"/>
            </w:r>
            <w:r w:rsidRPr="00705B88">
              <w:rPr>
                <w:lang w:val="en-US"/>
              </w:rPr>
              <w:instrText xml:space="preserve"> HYPERLINK "http://www.itu.int/pub/S-CONF-ACTF-2014" </w:instrText>
            </w:r>
            <w:r w:rsidRPr="007F4B7E">
              <w:fldChar w:fldCharType="separate"/>
            </w:r>
            <w:proofErr w:type="spellStart"/>
            <w:r w:rsidRPr="00705B88">
              <w:rPr>
                <w:bCs/>
                <w:i/>
                <w:iCs/>
                <w:color w:val="0000FF"/>
                <w:szCs w:val="24"/>
                <w:u w:val="single"/>
                <w:lang w:val="en-US"/>
              </w:rPr>
              <w:t>Décision</w:t>
            </w:r>
            <w:proofErr w:type="spellEnd"/>
            <w:r w:rsidRPr="00705B88">
              <w:rPr>
                <w:bCs/>
                <w:i/>
                <w:iCs/>
                <w:color w:val="0000FF"/>
                <w:szCs w:val="24"/>
                <w:u w:val="single"/>
                <w:lang w:val="en-US"/>
              </w:rPr>
              <w:t xml:space="preserve"> 5</w:t>
            </w:r>
            <w:r w:rsidRPr="007F4B7E">
              <w:fldChar w:fldCharType="end"/>
            </w:r>
            <w:r w:rsidRPr="00705B88">
              <w:rPr>
                <w:bCs/>
                <w:i/>
                <w:iCs/>
                <w:szCs w:val="24"/>
                <w:lang w:val="en-US"/>
              </w:rPr>
              <w:t xml:space="preserve"> (Rév.</w:t>
            </w:r>
            <w:r w:rsidR="00E63FB8" w:rsidRPr="00705B88">
              <w:rPr>
                <w:bCs/>
                <w:i/>
                <w:iCs/>
                <w:szCs w:val="24"/>
                <w:lang w:val="en-US"/>
              </w:rPr>
              <w:t xml:space="preserve"> </w:t>
            </w:r>
            <w:r w:rsidRPr="00705B88">
              <w:rPr>
                <w:bCs/>
                <w:i/>
                <w:iCs/>
                <w:szCs w:val="24"/>
                <w:lang w:val="en-US"/>
              </w:rPr>
              <w:t>Busan, 2014)</w:t>
            </w:r>
            <w:bookmarkEnd w:id="12"/>
          </w:p>
        </w:tc>
      </w:tr>
    </w:tbl>
    <w:p w:rsidR="00571EEA" w:rsidRPr="007F4B7E" w:rsidRDefault="0047688A" w:rsidP="000610D6">
      <w:pPr>
        <w:pStyle w:val="Headingb"/>
      </w:pPr>
      <w:r w:rsidRPr="007F4B7E">
        <w:t>Proposition</w:t>
      </w:r>
    </w:p>
    <w:p w:rsidR="0047688A" w:rsidRPr="007F4B7E" w:rsidRDefault="0047688A" w:rsidP="000610D6">
      <w:pPr>
        <w:rPr>
          <w:rFonts w:eastAsia="SimSun"/>
        </w:rPr>
      </w:pPr>
      <w:r w:rsidRPr="007F4B7E">
        <w:rPr>
          <w:rFonts w:eastAsia="SimSun"/>
        </w:rPr>
        <w:t>1</w:t>
      </w:r>
      <w:r w:rsidRPr="007F4B7E">
        <w:rPr>
          <w:rFonts w:eastAsia="SimSun"/>
        </w:rPr>
        <w:tab/>
      </w:r>
      <w:bookmarkStart w:id="13" w:name="lt_pId025"/>
      <w:r w:rsidR="001D4D1E" w:rsidRPr="007F4B7E">
        <w:rPr>
          <w:rFonts w:eastAsia="SimSun"/>
        </w:rPr>
        <w:t xml:space="preserve">Le projet de Plan financier pour la période </w:t>
      </w:r>
      <w:r w:rsidRPr="007F4B7E">
        <w:rPr>
          <w:rFonts w:eastAsia="SimSun"/>
        </w:rPr>
        <w:t xml:space="preserve">2020-2023 </w:t>
      </w:r>
      <w:r w:rsidR="001D4D1E" w:rsidRPr="007F4B7E">
        <w:rPr>
          <w:rFonts w:eastAsia="SimSun"/>
        </w:rPr>
        <w:t>a pour objet de donner à la Conférence de plénipotentiaires de 2018 une référence pour établir les bases du budget de l</w:t>
      </w:r>
      <w:r w:rsidR="000610D6" w:rsidRPr="007F4B7E">
        <w:rPr>
          <w:rFonts w:eastAsia="SimSun"/>
        </w:rPr>
        <w:t>'</w:t>
      </w:r>
      <w:r w:rsidR="001D4D1E" w:rsidRPr="007F4B7E">
        <w:rPr>
          <w:rFonts w:eastAsia="SimSun"/>
        </w:rPr>
        <w:t>Union et fixer les limites financières correspondantes pour la période allant jusqu</w:t>
      </w:r>
      <w:r w:rsidR="000610D6" w:rsidRPr="007F4B7E">
        <w:rPr>
          <w:rFonts w:eastAsia="SimSun"/>
        </w:rPr>
        <w:t>'</w:t>
      </w:r>
      <w:r w:rsidR="001D4D1E" w:rsidRPr="007F4B7E">
        <w:rPr>
          <w:rFonts w:eastAsia="SimSun"/>
        </w:rPr>
        <w:t>à la Conférence de plénipotentiaires suivante, après avoir examiné tous les aspects pertinents de l</w:t>
      </w:r>
      <w:r w:rsidR="000610D6" w:rsidRPr="007F4B7E">
        <w:rPr>
          <w:rFonts w:eastAsia="SimSun"/>
        </w:rPr>
        <w:t>'</w:t>
      </w:r>
      <w:r w:rsidR="001D4D1E" w:rsidRPr="007F4B7E">
        <w:rPr>
          <w:rFonts w:eastAsia="SimSun"/>
        </w:rPr>
        <w:t>activité de l</w:t>
      </w:r>
      <w:r w:rsidR="000610D6" w:rsidRPr="007F4B7E">
        <w:rPr>
          <w:rFonts w:eastAsia="SimSun"/>
        </w:rPr>
        <w:t>'</w:t>
      </w:r>
      <w:r w:rsidR="001D4D1E" w:rsidRPr="007F4B7E">
        <w:rPr>
          <w:rFonts w:eastAsia="SimSun"/>
        </w:rPr>
        <w:t xml:space="preserve">Union durant cette </w:t>
      </w:r>
      <w:r w:rsidR="008B42F5" w:rsidRPr="007F4B7E">
        <w:rPr>
          <w:rFonts w:eastAsia="SimSun"/>
        </w:rPr>
        <w:t xml:space="preserve">période </w:t>
      </w:r>
      <w:r w:rsidR="00E63FB8">
        <w:rPr>
          <w:rFonts w:eastAsia="SimSun"/>
        </w:rPr>
        <w:t>(</w:t>
      </w:r>
      <w:r w:rsidR="007E23FE">
        <w:rPr>
          <w:rFonts w:eastAsia="SimSun"/>
        </w:rPr>
        <w:t>A</w:t>
      </w:r>
      <w:r w:rsidRPr="007F4B7E">
        <w:rPr>
          <w:rFonts w:eastAsia="SimSun"/>
        </w:rPr>
        <w:t xml:space="preserve">rticle 8, </w:t>
      </w:r>
      <w:r w:rsidR="001D4D1E" w:rsidRPr="007F4B7E">
        <w:rPr>
          <w:rFonts w:eastAsia="SimSun"/>
        </w:rPr>
        <w:t>numéro</w:t>
      </w:r>
      <w:r w:rsidRPr="007F4B7E">
        <w:rPr>
          <w:rFonts w:eastAsia="SimSun"/>
        </w:rPr>
        <w:t xml:space="preserve"> 51</w:t>
      </w:r>
      <w:r w:rsidR="001D4D1E" w:rsidRPr="007F4B7E">
        <w:rPr>
          <w:rFonts w:eastAsia="SimSun"/>
        </w:rPr>
        <w:t xml:space="preserve"> de la </w:t>
      </w:r>
      <w:r w:rsidRPr="007F4B7E">
        <w:rPr>
          <w:rFonts w:eastAsia="SimSun"/>
        </w:rPr>
        <w:t>Constitution).</w:t>
      </w:r>
      <w:bookmarkEnd w:id="13"/>
    </w:p>
    <w:p w:rsidR="0047688A" w:rsidRPr="007F4B7E" w:rsidRDefault="0047688A" w:rsidP="000610D6">
      <w:pPr>
        <w:rPr>
          <w:rFonts w:eastAsia="SimSun"/>
          <w:lang w:eastAsia="zh-CN"/>
        </w:rPr>
      </w:pPr>
      <w:r w:rsidRPr="007F4B7E">
        <w:t>2</w:t>
      </w:r>
      <w:r w:rsidRPr="007F4B7E">
        <w:tab/>
      </w:r>
      <w:r w:rsidRPr="007F4B7E">
        <w:rPr>
          <w:rFonts w:eastAsia="SimSun"/>
          <w:lang w:eastAsia="zh-CN"/>
        </w:rPr>
        <w:t>Conformément au numéro 161B (</w:t>
      </w:r>
      <w:r w:rsidR="007E23FE" w:rsidRPr="007F4B7E">
        <w:rPr>
          <w:rFonts w:eastAsia="SimSun"/>
        </w:rPr>
        <w:t>A</w:t>
      </w:r>
      <w:r w:rsidRPr="007F4B7E">
        <w:rPr>
          <w:rFonts w:eastAsia="SimSun"/>
          <w:lang w:eastAsia="zh-CN"/>
        </w:rPr>
        <w:t xml:space="preserve">rticle 28) de la Constitution, le Conseil, lors de sa session précédant la Conférence de plénipotentiaires, fixe le montant provisoire de l'unité contributive sur </w:t>
      </w:r>
      <w:proofErr w:type="gramStart"/>
      <w:r w:rsidRPr="007F4B7E">
        <w:rPr>
          <w:rFonts w:eastAsia="SimSun"/>
          <w:lang w:eastAsia="zh-CN"/>
        </w:rPr>
        <w:t>la</w:t>
      </w:r>
      <w:proofErr w:type="gramEnd"/>
      <w:r w:rsidRPr="007F4B7E">
        <w:rPr>
          <w:rFonts w:eastAsia="SimSun"/>
          <w:lang w:eastAsia="zh-CN"/>
        </w:rPr>
        <w:t xml:space="preserve"> base du projet de Plan financier pour la période correspondante et du nombre total d'unités contributives.</w:t>
      </w:r>
    </w:p>
    <w:p w:rsidR="0047688A" w:rsidRPr="007F4B7E" w:rsidRDefault="0047688A" w:rsidP="000610D6">
      <w:pPr>
        <w:rPr>
          <w:rFonts w:eastAsia="SimSun"/>
          <w:lang w:eastAsia="zh-CN"/>
        </w:rPr>
      </w:pPr>
      <w:r w:rsidRPr="007F4B7E">
        <w:rPr>
          <w:rFonts w:eastAsia="SimSun"/>
        </w:rPr>
        <w:t>3</w:t>
      </w:r>
      <w:r w:rsidRPr="007F4B7E">
        <w:rPr>
          <w:rFonts w:eastAsia="SimSun"/>
        </w:rPr>
        <w:tab/>
      </w:r>
      <w:bookmarkStart w:id="14" w:name="lt_pId029"/>
      <w:r w:rsidR="008B42F5" w:rsidRPr="007F4B7E">
        <w:rPr>
          <w:rFonts w:eastAsia="SimSun"/>
        </w:rPr>
        <w:t>A cet égard</w:t>
      </w:r>
      <w:r w:rsidR="001D4D1E" w:rsidRPr="007F4B7E">
        <w:rPr>
          <w:rFonts w:eastAsia="SimSun"/>
        </w:rPr>
        <w:t>, conformément à la Dé</w:t>
      </w:r>
      <w:r w:rsidR="000610D6" w:rsidRPr="007F4B7E">
        <w:rPr>
          <w:rFonts w:eastAsia="SimSun"/>
        </w:rPr>
        <w:t>cision 5 (Ré</w:t>
      </w:r>
      <w:r w:rsidRPr="007F4B7E">
        <w:rPr>
          <w:rFonts w:eastAsia="SimSun"/>
        </w:rPr>
        <w:t>v. Busan, 2014)</w:t>
      </w:r>
      <w:r w:rsidR="001D4D1E" w:rsidRPr="007F4B7E">
        <w:rPr>
          <w:rFonts w:eastAsia="SimSun"/>
        </w:rPr>
        <w:t xml:space="preserve"> de la Conférence de plénipotentiaires, </w:t>
      </w:r>
      <w:r w:rsidR="001D4D1E" w:rsidRPr="007F4B7E">
        <w:rPr>
          <w:rFonts w:eastAsia="SimSun"/>
          <w:i/>
          <w:iCs/>
        </w:rPr>
        <w:t>le Conseil est invité</w:t>
      </w:r>
      <w:r w:rsidRPr="007F4B7E">
        <w:rPr>
          <w:rFonts w:eastAsia="SimSun"/>
        </w:rPr>
        <w:t xml:space="preserve"> </w:t>
      </w:r>
      <w:r w:rsidR="001D4D1E" w:rsidRPr="007F4B7E">
        <w:rPr>
          <w:rFonts w:eastAsia="SimSun"/>
        </w:rPr>
        <w:t>à fixer, dans la mesure du possible, le montant préliminaire de l</w:t>
      </w:r>
      <w:r w:rsidR="000610D6" w:rsidRPr="007F4B7E">
        <w:rPr>
          <w:rFonts w:eastAsia="SimSun"/>
        </w:rPr>
        <w:t>'</w:t>
      </w:r>
      <w:r w:rsidR="001D4D1E" w:rsidRPr="007F4B7E">
        <w:rPr>
          <w:rFonts w:eastAsia="SimSun"/>
        </w:rPr>
        <w:t>unité co</w:t>
      </w:r>
      <w:r w:rsidR="000610D6" w:rsidRPr="007F4B7E">
        <w:rPr>
          <w:rFonts w:eastAsia="SimSun"/>
        </w:rPr>
        <w:t>ntributive pour la période 2020-</w:t>
      </w:r>
      <w:r w:rsidR="001D4D1E" w:rsidRPr="007F4B7E">
        <w:rPr>
          <w:rFonts w:eastAsia="SimSun"/>
        </w:rPr>
        <w:t xml:space="preserve">2023 à sa session ordinaire de 2017 et </w:t>
      </w:r>
      <w:r w:rsidR="001D4D1E" w:rsidRPr="007F4B7E">
        <w:rPr>
          <w:rFonts w:eastAsia="SimSun"/>
          <w:i/>
          <w:iCs/>
        </w:rPr>
        <w:t xml:space="preserve">les </w:t>
      </w:r>
      <w:r w:rsidR="008B42F5" w:rsidRPr="007F4B7E">
        <w:rPr>
          <w:rFonts w:eastAsia="SimSun"/>
          <w:i/>
          <w:iCs/>
        </w:rPr>
        <w:t>E</w:t>
      </w:r>
      <w:r w:rsidR="001D4D1E" w:rsidRPr="007F4B7E">
        <w:rPr>
          <w:rFonts w:eastAsia="SimSun"/>
          <w:i/>
          <w:iCs/>
        </w:rPr>
        <w:t>tats Membres sont invités</w:t>
      </w:r>
      <w:r w:rsidR="001D4D1E" w:rsidRPr="007F4B7E">
        <w:rPr>
          <w:rFonts w:eastAsia="SimSun"/>
        </w:rPr>
        <w:t xml:space="preserve"> à annoncer leur classe de contribution </w:t>
      </w:r>
      <w:r w:rsidR="000610D6" w:rsidRPr="007F4B7E">
        <w:rPr>
          <w:rFonts w:eastAsia="SimSun"/>
        </w:rPr>
        <w:t>provisoire pour la période 2020-</w:t>
      </w:r>
      <w:r w:rsidR="001D4D1E" w:rsidRPr="007F4B7E">
        <w:rPr>
          <w:rFonts w:eastAsia="SimSun"/>
        </w:rPr>
        <w:t>2023 avant la fin de l</w:t>
      </w:r>
      <w:r w:rsidR="000610D6" w:rsidRPr="007F4B7E">
        <w:rPr>
          <w:rFonts w:eastAsia="SimSun"/>
        </w:rPr>
        <w:t>'</w:t>
      </w:r>
      <w:r w:rsidR="001D4D1E" w:rsidRPr="007F4B7E">
        <w:rPr>
          <w:rFonts w:eastAsia="SimSun"/>
        </w:rPr>
        <w:t>année calendaire 2017</w:t>
      </w:r>
      <w:r w:rsidRPr="007F4B7E">
        <w:rPr>
          <w:rFonts w:eastAsia="SimSun"/>
        </w:rPr>
        <w:t>.</w:t>
      </w:r>
      <w:bookmarkEnd w:id="14"/>
    </w:p>
    <w:p w:rsidR="0047688A" w:rsidRPr="007F4B7E" w:rsidRDefault="0047688A" w:rsidP="000610D6">
      <w:pPr>
        <w:rPr>
          <w:rFonts w:eastAsia="SimSun"/>
          <w:bCs/>
          <w:szCs w:val="24"/>
        </w:rPr>
      </w:pPr>
      <w:r w:rsidRPr="007F4B7E">
        <w:rPr>
          <w:rFonts w:eastAsia="SimSun"/>
          <w:lang w:eastAsia="zh-CN"/>
        </w:rPr>
        <w:lastRenderedPageBreak/>
        <w:t>4</w:t>
      </w:r>
      <w:r w:rsidRPr="007F4B7E">
        <w:rPr>
          <w:rFonts w:eastAsia="SimSun"/>
          <w:lang w:eastAsia="zh-CN"/>
        </w:rPr>
        <w:tab/>
        <w:t xml:space="preserve">Le Secrétaire général a l'intention de proposer que le montant de l'unité contributive soit maintenu au niveau actuel, à savoir 318 000 CHF. Tous les </w:t>
      </w:r>
      <w:r w:rsidR="008B42F5" w:rsidRPr="007F4B7E">
        <w:rPr>
          <w:rFonts w:eastAsia="SimSun"/>
          <w:lang w:eastAsia="zh-CN"/>
        </w:rPr>
        <w:t>Etats M</w:t>
      </w:r>
      <w:r w:rsidRPr="007F4B7E">
        <w:rPr>
          <w:rFonts w:eastAsia="SimSun"/>
          <w:lang w:eastAsia="zh-CN"/>
        </w:rPr>
        <w:t>embres auront ainsi, comme lors de la dernière Conférence de plénipotentiaires, une bonne base pour examiner le Plan financier et se préparer comme il convient en vue de la Conférence de plénipotentiaires de 201</w:t>
      </w:r>
      <w:r w:rsidR="008B42F5" w:rsidRPr="007F4B7E">
        <w:rPr>
          <w:rFonts w:eastAsia="SimSun"/>
          <w:lang w:eastAsia="zh-CN"/>
        </w:rPr>
        <w:t>8</w:t>
      </w:r>
      <w:r w:rsidRPr="007F4B7E">
        <w:rPr>
          <w:rFonts w:eastAsia="SimSun"/>
          <w:lang w:eastAsia="zh-CN"/>
        </w:rPr>
        <w:t>.</w:t>
      </w:r>
      <w:bookmarkStart w:id="15" w:name="lt_pId033"/>
      <w:r w:rsidRPr="007F4B7E">
        <w:rPr>
          <w:rFonts w:cs="Arial"/>
        </w:rPr>
        <w:t xml:space="preserve"> </w:t>
      </w:r>
      <w:r w:rsidR="001D4D1E" w:rsidRPr="007F4B7E">
        <w:rPr>
          <w:rFonts w:cs="Arial"/>
        </w:rPr>
        <w:t>Le montant de l</w:t>
      </w:r>
      <w:r w:rsidR="000610D6" w:rsidRPr="007F4B7E">
        <w:rPr>
          <w:rFonts w:cs="Arial"/>
        </w:rPr>
        <w:t>'</w:t>
      </w:r>
      <w:r w:rsidR="001D4D1E" w:rsidRPr="007F4B7E">
        <w:rPr>
          <w:rFonts w:cs="Arial"/>
        </w:rPr>
        <w:t>unité contributive a été maintenu à 318</w:t>
      </w:r>
      <w:r w:rsidR="008B42F5" w:rsidRPr="007F4B7E">
        <w:rPr>
          <w:rFonts w:cs="Arial"/>
        </w:rPr>
        <w:t> </w:t>
      </w:r>
      <w:r w:rsidR="001D4D1E" w:rsidRPr="007F4B7E">
        <w:rPr>
          <w:rFonts w:cs="Arial"/>
        </w:rPr>
        <w:t>000</w:t>
      </w:r>
      <w:r w:rsidR="008B42F5" w:rsidRPr="007F4B7E">
        <w:rPr>
          <w:rFonts w:cs="Arial"/>
        </w:rPr>
        <w:t xml:space="preserve"> CHF</w:t>
      </w:r>
      <w:r w:rsidR="001D4D1E" w:rsidRPr="007F4B7E">
        <w:rPr>
          <w:rFonts w:cs="Arial"/>
        </w:rPr>
        <w:t xml:space="preserve">, conformément à la Décision </w:t>
      </w:r>
      <w:r w:rsidR="000610D6" w:rsidRPr="007F4B7E">
        <w:rPr>
          <w:rFonts w:cs="Arial"/>
        </w:rPr>
        <w:t>5 (Ré</w:t>
      </w:r>
      <w:r w:rsidRPr="007F4B7E">
        <w:rPr>
          <w:rFonts w:cs="Arial"/>
        </w:rPr>
        <w:t xml:space="preserve">v. Busan, 2014), </w:t>
      </w:r>
      <w:r w:rsidR="001D4D1E" w:rsidRPr="007F4B7E">
        <w:rPr>
          <w:rFonts w:cs="Arial"/>
        </w:rPr>
        <w:t>soit une croissance nominale zéro depuis l</w:t>
      </w:r>
      <w:r w:rsidR="000610D6" w:rsidRPr="007F4B7E">
        <w:rPr>
          <w:rFonts w:cs="Arial"/>
        </w:rPr>
        <w:t>'</w:t>
      </w:r>
      <w:r w:rsidR="001D4D1E" w:rsidRPr="007F4B7E">
        <w:rPr>
          <w:rFonts w:cs="Arial"/>
        </w:rPr>
        <w:t>année 2006.</w:t>
      </w:r>
      <w:bookmarkEnd w:id="15"/>
    </w:p>
    <w:p w:rsidR="0047688A" w:rsidRPr="007F4B7E" w:rsidRDefault="0047688A" w:rsidP="000610D6">
      <w:pPr>
        <w:rPr>
          <w:rFonts w:cs="Courier New"/>
          <w:color w:val="212121"/>
        </w:rPr>
      </w:pPr>
      <w:r w:rsidRPr="007F4B7E">
        <w:rPr>
          <w:rFonts w:eastAsia="SimSun"/>
        </w:rPr>
        <w:t>5</w:t>
      </w:r>
      <w:r w:rsidRPr="007F4B7E">
        <w:rPr>
          <w:rFonts w:eastAsia="SimSun"/>
        </w:rPr>
        <w:tab/>
      </w:r>
      <w:bookmarkStart w:id="16" w:name="lt_pId035"/>
      <w:r w:rsidR="001D4D1E" w:rsidRPr="007F4B7E">
        <w:rPr>
          <w:rFonts w:eastAsia="SimSun"/>
        </w:rPr>
        <w:t>Une fois que le Conseil aura approuvé le montant préliminaire de l</w:t>
      </w:r>
      <w:r w:rsidR="000610D6" w:rsidRPr="007F4B7E">
        <w:rPr>
          <w:rFonts w:eastAsia="SimSun"/>
        </w:rPr>
        <w:t>'</w:t>
      </w:r>
      <w:r w:rsidR="001D4D1E" w:rsidRPr="007F4B7E">
        <w:rPr>
          <w:rFonts w:eastAsia="SimSun"/>
        </w:rPr>
        <w:t>unité contributive, le Secrétaire général enverra une lettre à tous</w:t>
      </w:r>
      <w:r w:rsidR="000610D6" w:rsidRPr="007F4B7E">
        <w:rPr>
          <w:rFonts w:eastAsia="SimSun"/>
        </w:rPr>
        <w:t xml:space="preserve"> les E</w:t>
      </w:r>
      <w:r w:rsidR="001D4D1E" w:rsidRPr="007F4B7E">
        <w:rPr>
          <w:rFonts w:eastAsia="SimSun"/>
        </w:rPr>
        <w:t xml:space="preserve">tats Membres les invitant à annoncer </w:t>
      </w:r>
      <w:r w:rsidR="003A2BDF" w:rsidRPr="007F4B7E">
        <w:rPr>
          <w:rFonts w:eastAsia="SimSun"/>
        </w:rPr>
        <w:t>leur classe de contribution provisoire</w:t>
      </w:r>
      <w:r w:rsidR="008B42F5" w:rsidRPr="007F4B7E">
        <w:rPr>
          <w:rFonts w:eastAsia="SimSun"/>
        </w:rPr>
        <w:t xml:space="preserve"> pour</w:t>
      </w:r>
      <w:r w:rsidR="000610D6" w:rsidRPr="007F4B7E">
        <w:rPr>
          <w:rFonts w:eastAsia="SimSun"/>
        </w:rPr>
        <w:t xml:space="preserve"> la période 2020-</w:t>
      </w:r>
      <w:r w:rsidR="003A2BDF" w:rsidRPr="007F4B7E">
        <w:rPr>
          <w:rFonts w:eastAsia="SimSun"/>
        </w:rPr>
        <w:t>2023 avant le 31 décembre 2017.</w:t>
      </w:r>
      <w:bookmarkEnd w:id="16"/>
    </w:p>
    <w:p w:rsidR="0047688A" w:rsidRPr="007F4B7E" w:rsidRDefault="006203A3" w:rsidP="000610D6">
      <w:pPr>
        <w:rPr>
          <w:rFonts w:eastAsia="SimSun"/>
          <w:lang w:eastAsia="zh-CN"/>
        </w:rPr>
      </w:pPr>
      <w:r w:rsidRPr="007F4B7E">
        <w:rPr>
          <w:rFonts w:eastAsia="SimSun"/>
          <w:lang w:eastAsia="zh-CN"/>
        </w:rPr>
        <w:t>6</w:t>
      </w:r>
      <w:r w:rsidRPr="007F4B7E">
        <w:rPr>
          <w:rFonts w:eastAsia="SimSun"/>
          <w:lang w:eastAsia="zh-CN"/>
        </w:rPr>
        <w:tab/>
        <w:t>Il est prévu que la Conférence de plénipotentiaires de 2018 établisse le cadre et les directives sur la base desquels les deux budgets biennaux seront élaborés pour les exercices 2020</w:t>
      </w:r>
      <w:r w:rsidRPr="007F4B7E">
        <w:rPr>
          <w:rFonts w:eastAsia="SimSun"/>
          <w:lang w:eastAsia="zh-CN"/>
        </w:rPr>
        <w:noBreakHyphen/>
        <w:t>2021 et 2022</w:t>
      </w:r>
      <w:r w:rsidRPr="007F4B7E">
        <w:rPr>
          <w:rFonts w:eastAsia="SimSun"/>
          <w:lang w:eastAsia="zh-CN"/>
        </w:rPr>
        <w:noBreakHyphen/>
        <w:t>2023.</w:t>
      </w:r>
    </w:p>
    <w:p w:rsidR="0047688A" w:rsidRPr="007F4B7E" w:rsidRDefault="006203A3" w:rsidP="000610D6">
      <w:pPr>
        <w:rPr>
          <w:rFonts w:eastAsia="SimSun"/>
          <w:lang w:eastAsia="zh-CN"/>
        </w:rPr>
      </w:pPr>
      <w:r w:rsidRPr="007F4B7E">
        <w:rPr>
          <w:rFonts w:eastAsia="SimSun" w:cs="Calibri"/>
        </w:rPr>
        <w:t>7</w:t>
      </w:r>
      <w:r w:rsidRPr="007F4B7E">
        <w:rPr>
          <w:rFonts w:eastAsia="SimSun" w:cs="Calibri"/>
        </w:rPr>
        <w:tab/>
      </w:r>
      <w:bookmarkStart w:id="17" w:name="lt_pId039"/>
      <w:r w:rsidR="001D3714" w:rsidRPr="007F4B7E">
        <w:rPr>
          <w:rFonts w:eastAsia="SimSun" w:cs="Calibri"/>
        </w:rPr>
        <w:t>Le projet</w:t>
      </w:r>
      <w:r w:rsidR="003A2BDF" w:rsidRPr="007F4B7E">
        <w:rPr>
          <w:rFonts w:eastAsia="SimSun" w:cs="Calibri"/>
        </w:rPr>
        <w:t xml:space="preserve"> de Plan financier pour la période </w:t>
      </w:r>
      <w:r w:rsidRPr="007F4B7E">
        <w:rPr>
          <w:rFonts w:eastAsia="SimSun"/>
        </w:rPr>
        <w:t>2020-</w:t>
      </w:r>
      <w:r w:rsidRPr="007F4B7E">
        <w:rPr>
          <w:rFonts w:eastAsia="SimSun" w:cs="Calibri"/>
        </w:rPr>
        <w:t>2023</w:t>
      </w:r>
      <w:r w:rsidRPr="007F4B7E">
        <w:rPr>
          <w:rFonts w:eastAsia="SimSun"/>
        </w:rPr>
        <w:t xml:space="preserve"> </w:t>
      </w:r>
      <w:r w:rsidR="003A2BDF" w:rsidRPr="007F4B7E">
        <w:rPr>
          <w:rFonts w:eastAsia="SimSun"/>
        </w:rPr>
        <w:t>sera présenté et examiné à la prochai</w:t>
      </w:r>
      <w:r w:rsidR="001D3714" w:rsidRPr="007F4B7E">
        <w:rPr>
          <w:rFonts w:eastAsia="SimSun"/>
        </w:rPr>
        <w:t>ne réunion du Groupe de travail</w:t>
      </w:r>
      <w:r w:rsidR="003A2BDF" w:rsidRPr="007F4B7E">
        <w:rPr>
          <w:rFonts w:eastAsia="SimSun"/>
        </w:rPr>
        <w:t xml:space="preserve"> du Conseil sur les ressources financières et les ressources humaines en 2018.</w:t>
      </w:r>
      <w:bookmarkEnd w:id="17"/>
    </w:p>
    <w:p w:rsidR="0047688A" w:rsidRPr="007F4B7E" w:rsidRDefault="006203A3" w:rsidP="000610D6">
      <w:pPr>
        <w:rPr>
          <w:rFonts w:eastAsia="SimSun"/>
          <w:lang w:eastAsia="zh-CN"/>
        </w:rPr>
      </w:pPr>
      <w:r w:rsidRPr="007F4B7E">
        <w:rPr>
          <w:rFonts w:eastAsia="SimSun"/>
          <w:lang w:eastAsia="zh-CN"/>
        </w:rPr>
        <w:t>8</w:t>
      </w:r>
      <w:r w:rsidRPr="007F4B7E">
        <w:rPr>
          <w:rFonts w:eastAsia="SimSun"/>
          <w:lang w:eastAsia="zh-CN"/>
        </w:rPr>
        <w:tab/>
      </w:r>
      <w:r w:rsidR="00D76ECF" w:rsidRPr="007F4B7E">
        <w:t>On trouvera à l'Annexe 1 un tableau comparatif des classes de contribution choisies par les Etats Membres.</w:t>
      </w:r>
    </w:p>
    <w:p w:rsidR="0047688A" w:rsidRPr="007F4B7E" w:rsidRDefault="006203A3" w:rsidP="000610D6">
      <w:pPr>
        <w:rPr>
          <w:rFonts w:eastAsia="SimSun"/>
          <w:lang w:eastAsia="zh-CN"/>
        </w:rPr>
      </w:pPr>
      <w:r w:rsidRPr="007F4B7E">
        <w:rPr>
          <w:rFonts w:eastAsia="SimSun"/>
          <w:lang w:eastAsia="zh-CN"/>
        </w:rPr>
        <w:t>9</w:t>
      </w:r>
      <w:r w:rsidRPr="007F4B7E">
        <w:rPr>
          <w:rFonts w:eastAsia="SimSun"/>
          <w:lang w:eastAsia="zh-CN"/>
        </w:rPr>
        <w:tab/>
      </w:r>
      <w:r w:rsidR="00D76ECF" w:rsidRPr="007F4B7E">
        <w:t>L</w:t>
      </w:r>
      <w:r w:rsidR="000610D6" w:rsidRPr="007F4B7E">
        <w:t>'</w:t>
      </w:r>
      <w:r w:rsidR="00D76ECF" w:rsidRPr="007F4B7E">
        <w:t>Annexe 2 montre l</w:t>
      </w:r>
      <w:r w:rsidR="000610D6" w:rsidRPr="007F4B7E">
        <w:t>'</w:t>
      </w:r>
      <w:r w:rsidR="00D76ECF" w:rsidRPr="007F4B7E">
        <w:t>évolution des unités contributives choisies par les Membres des Secteurs ainsi que l</w:t>
      </w:r>
      <w:r w:rsidR="000610D6" w:rsidRPr="007F4B7E">
        <w:t>'</w:t>
      </w:r>
      <w:r w:rsidR="00D76ECF" w:rsidRPr="007F4B7E">
        <w:t xml:space="preserve">évolution du nombre des Associés et des </w:t>
      </w:r>
      <w:r w:rsidR="001D3714" w:rsidRPr="007F4B7E">
        <w:t>é</w:t>
      </w:r>
      <w:r w:rsidR="00D76ECF" w:rsidRPr="007F4B7E">
        <w:t>tablissements universitaires entre la Conférence de plénipotentiaires de Busan, 2014 (PP-14)</w:t>
      </w:r>
      <w:r w:rsidR="000610D6" w:rsidRPr="007F4B7E">
        <w:t xml:space="preserve"> et aujourd'hui</w:t>
      </w:r>
      <w:r w:rsidR="00D76ECF" w:rsidRPr="007F4B7E">
        <w:t>.</w:t>
      </w:r>
    </w:p>
    <w:p w:rsidR="0047688A" w:rsidRPr="007F4B7E" w:rsidRDefault="006203A3" w:rsidP="00705B88">
      <w:pPr>
        <w:spacing w:before="720"/>
        <w:rPr>
          <w:rFonts w:eastAsia="SimSun"/>
          <w:lang w:eastAsia="zh-CN"/>
        </w:rPr>
      </w:pPr>
      <w:proofErr w:type="gramStart"/>
      <w:r w:rsidRPr="007F4B7E">
        <w:rPr>
          <w:rFonts w:eastAsia="SimSun"/>
          <w:b/>
          <w:bCs/>
          <w:lang w:eastAsia="zh-CN"/>
        </w:rPr>
        <w:t>Annexes:</w:t>
      </w:r>
      <w:proofErr w:type="gramEnd"/>
      <w:r w:rsidRPr="007F4B7E">
        <w:rPr>
          <w:rFonts w:eastAsia="SimSun"/>
          <w:lang w:eastAsia="zh-CN"/>
        </w:rPr>
        <w:t xml:space="preserve"> 2</w:t>
      </w:r>
    </w:p>
    <w:p w:rsidR="00D76ECF" w:rsidRPr="007F4B7E" w:rsidRDefault="00D76ECF" w:rsidP="000610D6">
      <w:pPr>
        <w:tabs>
          <w:tab w:val="clear" w:pos="567"/>
          <w:tab w:val="clear" w:pos="1134"/>
          <w:tab w:val="clear" w:pos="1701"/>
          <w:tab w:val="clear" w:pos="2268"/>
          <w:tab w:val="clear" w:pos="2835"/>
        </w:tabs>
        <w:overflowPunct/>
        <w:autoSpaceDE/>
        <w:autoSpaceDN/>
        <w:adjustRightInd/>
        <w:spacing w:before="0"/>
        <w:textAlignment w:val="auto"/>
      </w:pPr>
      <w:r w:rsidRPr="007F4B7E">
        <w:br w:type="page"/>
      </w:r>
    </w:p>
    <w:p w:rsidR="0047688A" w:rsidRPr="007F4B7E" w:rsidRDefault="00D76ECF" w:rsidP="000610D6">
      <w:pPr>
        <w:pStyle w:val="AnnexNo"/>
        <w:spacing w:after="360"/>
      </w:pPr>
      <w:r w:rsidRPr="007F4B7E">
        <w:lastRenderedPageBreak/>
        <w:t>ANNEXE 1</w:t>
      </w:r>
    </w:p>
    <w:tbl>
      <w:tblPr>
        <w:tblW w:w="7508" w:type="dxa"/>
        <w:jc w:val="center"/>
        <w:tblLook w:val="04A0" w:firstRow="1" w:lastRow="0" w:firstColumn="1" w:lastColumn="0" w:noHBand="0" w:noVBand="1"/>
      </w:tblPr>
      <w:tblGrid>
        <w:gridCol w:w="4390"/>
        <w:gridCol w:w="3118"/>
      </w:tblGrid>
      <w:tr w:rsidR="00D76ECF" w:rsidRPr="007F4B7E" w:rsidTr="0014030C">
        <w:trPr>
          <w:trHeight w:val="859"/>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ECF" w:rsidRPr="007F4B7E" w:rsidRDefault="00D76ECF" w:rsidP="004C647D">
            <w:pPr>
              <w:pStyle w:val="Tablehead"/>
            </w:pPr>
            <w:r w:rsidRPr="007F4B7E">
              <w:t>ETATS MEMBRES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76ECF" w:rsidRPr="007F4B7E" w:rsidRDefault="00D76ECF" w:rsidP="004C647D">
            <w:pPr>
              <w:pStyle w:val="Tablehead"/>
            </w:pPr>
            <w:r w:rsidRPr="007F4B7E">
              <w:t>Nombre d'unité</w:t>
            </w:r>
            <w:r w:rsidR="004C647D" w:rsidRPr="007F4B7E">
              <w:t>s</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Afghanistan</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1/16</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Albanie</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Algérie</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Andorre</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Angola</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Antigua-et-Barbuda</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1/16</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Argentine</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1/2</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Arménie</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 xml:space="preserve">Australie </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13</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Autriche</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Azerbaïdjan</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 xml:space="preserve">Bahamas </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Bahreïn</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Bangladesh</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1/8</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 xml:space="preserve">Barbade </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proofErr w:type="spellStart"/>
            <w:r w:rsidRPr="007F4B7E">
              <w:rPr>
                <w:b/>
                <w:bCs/>
                <w:lang w:eastAsia="zh-CN"/>
              </w:rPr>
              <w:t>Bélarus</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 xml:space="preserve">Belgique </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rPr>
                <w:b/>
                <w:bCs/>
              </w:rPr>
            </w:pPr>
            <w:r w:rsidRPr="007F4B7E">
              <w:rPr>
                <w:b/>
                <w:bCs/>
              </w:rPr>
              <w:t>2 ½</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 xml:space="preserve">Belize </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1/8</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Bénin</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Bhoutan</w:t>
            </w:r>
            <w:r w:rsidR="004C647D" w:rsidRPr="007F4B7E">
              <w:rPr>
                <w:b/>
                <w:bCs/>
                <w:lang w:eastAsia="zh-CN"/>
              </w:rPr>
              <w:t xml:space="preserve"> </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1/8</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Bolivie (Etat plurinational de)</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 xml:space="preserve">Bosnie-Herzégovine </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1/16</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Botswana</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1/2</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Brésil</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3</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proofErr w:type="spellStart"/>
            <w:r w:rsidRPr="007F4B7E">
              <w:rPr>
                <w:b/>
                <w:bCs/>
                <w:lang w:eastAsia="zh-CN"/>
              </w:rPr>
              <w:t>Brunéi</w:t>
            </w:r>
            <w:proofErr w:type="spellEnd"/>
            <w:r w:rsidRPr="007F4B7E">
              <w:rPr>
                <w:b/>
                <w:bCs/>
                <w:lang w:eastAsia="zh-CN"/>
              </w:rPr>
              <w:t xml:space="preserve"> Darussalam </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1/2</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Bulgarie</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Burkina Faso</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1/4</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Burundi</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1/16</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Cambodge</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1/16</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 xml:space="preserve">Cameroun </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Canada</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rPr>
                <w:b/>
                <w:bCs/>
              </w:rPr>
            </w:pPr>
            <w:r w:rsidRPr="007F4B7E">
              <w:rPr>
                <w:b/>
                <w:bCs/>
              </w:rPr>
              <w:t>13</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tcPr>
          <w:p w:rsidR="0014030C" w:rsidRPr="007F4B7E" w:rsidRDefault="0014030C" w:rsidP="004C647D">
            <w:pPr>
              <w:pStyle w:val="Tabletext"/>
              <w:spacing w:before="40"/>
              <w:rPr>
                <w:b/>
                <w:bCs/>
                <w:lang w:eastAsia="zh-CN"/>
              </w:rPr>
            </w:pPr>
            <w:r w:rsidRPr="007F4B7E">
              <w:rPr>
                <w:b/>
                <w:bCs/>
                <w:lang w:eastAsia="zh-CN"/>
              </w:rPr>
              <w:t>Cap</w:t>
            </w:r>
            <w:r w:rsidR="005E36B5" w:rsidRPr="007F4B7E">
              <w:rPr>
                <w:b/>
                <w:bCs/>
                <w:lang w:eastAsia="zh-CN"/>
              </w:rPr>
              <w:t>o Verde</w:t>
            </w:r>
          </w:p>
        </w:tc>
        <w:tc>
          <w:tcPr>
            <w:tcW w:w="3118" w:type="dxa"/>
            <w:tcBorders>
              <w:top w:val="nil"/>
              <w:left w:val="single" w:sz="4" w:space="0" w:color="auto"/>
              <w:bottom w:val="nil"/>
              <w:right w:val="single" w:sz="4" w:space="0" w:color="auto"/>
            </w:tcBorders>
            <w:shd w:val="clear" w:color="auto" w:fill="auto"/>
            <w:noWrap/>
            <w:vAlign w:val="bottom"/>
          </w:tcPr>
          <w:p w:rsidR="0014030C" w:rsidRPr="007F4B7E" w:rsidRDefault="0014030C" w:rsidP="004C647D">
            <w:pPr>
              <w:pStyle w:val="Tabletext"/>
              <w:spacing w:before="40"/>
              <w:jc w:val="center"/>
            </w:pPr>
            <w:r w:rsidRPr="007F4B7E">
              <w:t>1/16</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Centrafricaine (</w:t>
            </w:r>
            <w:proofErr w:type="spellStart"/>
            <w:r w:rsidRPr="007F4B7E">
              <w:rPr>
                <w:b/>
                <w:bCs/>
                <w:lang w:eastAsia="zh-CN"/>
              </w:rPr>
              <w:t>Rép</w:t>
            </w:r>
            <w:proofErr w:type="spellEnd"/>
            <w:r w:rsidRPr="007F4B7E">
              <w:rPr>
                <w:b/>
                <w:bCs/>
                <w:lang w:eastAsia="zh-CN"/>
              </w:rPr>
              <w:t>.)</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1/16</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lastRenderedPageBreak/>
              <w:t>Tchad</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1/16</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Chili</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Chine</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E23FE" w:rsidRDefault="0014030C" w:rsidP="004C647D">
            <w:pPr>
              <w:pStyle w:val="Tabletext"/>
              <w:spacing w:before="40"/>
              <w:jc w:val="center"/>
              <w:rPr>
                <w:b/>
                <w:bCs/>
              </w:rPr>
            </w:pPr>
            <w:r w:rsidRPr="007E23FE">
              <w:rPr>
                <w:b/>
                <w:bCs/>
              </w:rPr>
              <w:t>14</w:t>
            </w:r>
          </w:p>
        </w:tc>
      </w:tr>
      <w:tr w:rsidR="0014030C" w:rsidRPr="007F4B7E" w:rsidTr="00FA0F9E">
        <w:trPr>
          <w:trHeight w:val="300"/>
          <w:jc w:val="center"/>
        </w:trPr>
        <w:tc>
          <w:tcPr>
            <w:tcW w:w="4390" w:type="dxa"/>
            <w:tcBorders>
              <w:top w:val="nil"/>
              <w:left w:val="single" w:sz="4" w:space="0" w:color="auto"/>
              <w:right w:val="single" w:sz="4" w:space="0" w:color="auto"/>
            </w:tcBorders>
            <w:shd w:val="clear" w:color="000000" w:fill="FFFFFF"/>
            <w:vAlign w:val="bottom"/>
            <w:hideMark/>
          </w:tcPr>
          <w:p w:rsidR="0014030C" w:rsidRPr="007F4B7E" w:rsidRDefault="0014030C" w:rsidP="004C647D">
            <w:pPr>
              <w:pStyle w:val="Tabletext"/>
              <w:spacing w:before="40"/>
              <w:rPr>
                <w:b/>
                <w:bCs/>
                <w:lang w:eastAsia="zh-CN"/>
              </w:rPr>
            </w:pPr>
            <w:r w:rsidRPr="007F4B7E">
              <w:rPr>
                <w:b/>
                <w:bCs/>
                <w:lang w:eastAsia="zh-CN"/>
              </w:rPr>
              <w:t>Colombie</w:t>
            </w:r>
          </w:p>
        </w:tc>
        <w:tc>
          <w:tcPr>
            <w:tcW w:w="3118" w:type="dxa"/>
            <w:tcBorders>
              <w:top w:val="nil"/>
              <w:left w:val="single" w:sz="4" w:space="0" w:color="auto"/>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w:t>
            </w:r>
          </w:p>
        </w:tc>
      </w:tr>
      <w:tr w:rsidR="0014030C"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noWrap/>
            <w:vAlign w:val="bottom"/>
            <w:hideMark/>
          </w:tcPr>
          <w:p w:rsidR="0014030C" w:rsidRPr="007F4B7E" w:rsidRDefault="0014030C" w:rsidP="004C647D">
            <w:pPr>
              <w:pStyle w:val="Tabletext"/>
              <w:spacing w:before="40"/>
              <w:rPr>
                <w:b/>
                <w:bCs/>
                <w:lang w:eastAsia="zh-CN"/>
              </w:rPr>
            </w:pPr>
            <w:r w:rsidRPr="007F4B7E">
              <w:rPr>
                <w:b/>
                <w:bCs/>
                <w:lang w:eastAsia="zh-CN"/>
              </w:rPr>
              <w:t>Comores</w:t>
            </w:r>
          </w:p>
        </w:tc>
        <w:tc>
          <w:tcPr>
            <w:tcW w:w="3118" w:type="dxa"/>
            <w:tcBorders>
              <w:top w:val="nil"/>
              <w:left w:val="single" w:sz="4" w:space="0" w:color="auto"/>
              <w:bottom w:val="nil"/>
              <w:right w:val="single" w:sz="4" w:space="0" w:color="auto"/>
            </w:tcBorders>
            <w:shd w:val="clear" w:color="auto" w:fill="auto"/>
            <w:noWrap/>
            <w:vAlign w:val="bottom"/>
            <w:hideMark/>
          </w:tcPr>
          <w:p w:rsidR="0014030C" w:rsidRPr="007F4B7E" w:rsidRDefault="0014030C" w:rsidP="004C647D">
            <w:pPr>
              <w:pStyle w:val="Tabletext"/>
              <w:spacing w:before="40"/>
              <w:jc w:val="center"/>
            </w:pPr>
            <w:r w:rsidRPr="007F4B7E">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Congo (</w:t>
            </w:r>
            <w:proofErr w:type="spellStart"/>
            <w:r w:rsidRPr="007F4B7E">
              <w:rPr>
                <w:rFonts w:cs="Arial"/>
                <w:b/>
                <w:bCs/>
                <w:sz w:val="22"/>
                <w:szCs w:val="22"/>
                <w:lang w:eastAsia="zh-CN"/>
              </w:rPr>
              <w:t>Rép</w:t>
            </w:r>
            <w:proofErr w:type="spellEnd"/>
            <w:r w:rsidRPr="007F4B7E">
              <w:rPr>
                <w:rFonts w:cs="Arial"/>
                <w:b/>
                <w:bCs/>
                <w:sz w:val="22"/>
                <w:szCs w:val="22"/>
                <w:lang w:eastAsia="zh-CN"/>
              </w:rPr>
              <w:t>. du)</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 xml:space="preserve">Costa Rica </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Côte d'Ivoire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Croatie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 xml:space="preserve">Cuba </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Chypre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proofErr w:type="spellStart"/>
            <w:r w:rsidRPr="007F4B7E">
              <w:rPr>
                <w:rFonts w:cs="Arial"/>
                <w:b/>
                <w:bCs/>
                <w:sz w:val="22"/>
                <w:szCs w:val="22"/>
                <w:lang w:eastAsia="zh-CN"/>
              </w:rPr>
              <w:t>Rép</w:t>
            </w:r>
            <w:proofErr w:type="spellEnd"/>
            <w:r w:rsidRPr="007F4B7E">
              <w:rPr>
                <w:rFonts w:cs="Arial"/>
                <w:b/>
                <w:bCs/>
                <w:sz w:val="22"/>
                <w:szCs w:val="22"/>
                <w:lang w:eastAsia="zh-CN"/>
              </w:rPr>
              <w:t>. tchèque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proofErr w:type="spellStart"/>
            <w:r w:rsidRPr="007F4B7E">
              <w:rPr>
                <w:rFonts w:cs="Arial"/>
                <w:b/>
                <w:bCs/>
                <w:sz w:val="22"/>
                <w:szCs w:val="22"/>
                <w:lang w:eastAsia="zh-CN"/>
              </w:rPr>
              <w:t>Rép</w:t>
            </w:r>
            <w:proofErr w:type="spellEnd"/>
            <w:r w:rsidRPr="007F4B7E">
              <w:rPr>
                <w:rFonts w:cs="Arial"/>
                <w:b/>
                <w:bCs/>
                <w:sz w:val="22"/>
                <w:szCs w:val="22"/>
                <w:lang w:eastAsia="zh-CN"/>
              </w:rPr>
              <w:t xml:space="preserve">. </w:t>
            </w:r>
            <w:proofErr w:type="spellStart"/>
            <w:r w:rsidRPr="007F4B7E">
              <w:rPr>
                <w:rFonts w:cs="Arial"/>
                <w:b/>
                <w:bCs/>
                <w:sz w:val="22"/>
                <w:szCs w:val="22"/>
                <w:lang w:eastAsia="zh-CN"/>
              </w:rPr>
              <w:t>dém</w:t>
            </w:r>
            <w:proofErr w:type="spellEnd"/>
            <w:r w:rsidRPr="007F4B7E">
              <w:rPr>
                <w:rFonts w:cs="Arial"/>
                <w:b/>
                <w:bCs/>
                <w:sz w:val="22"/>
                <w:szCs w:val="22"/>
                <w:lang w:eastAsia="zh-CN"/>
              </w:rPr>
              <w:t>. du Congo</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proofErr w:type="spellStart"/>
            <w:r w:rsidRPr="007F4B7E">
              <w:rPr>
                <w:rFonts w:cs="Arial"/>
                <w:b/>
                <w:bCs/>
                <w:sz w:val="22"/>
                <w:szCs w:val="22"/>
                <w:lang w:eastAsia="zh-CN"/>
              </w:rPr>
              <w:t>Rép</w:t>
            </w:r>
            <w:proofErr w:type="spellEnd"/>
            <w:r w:rsidRPr="007F4B7E">
              <w:rPr>
                <w:rFonts w:cs="Arial"/>
                <w:b/>
                <w:bCs/>
                <w:sz w:val="22"/>
                <w:szCs w:val="22"/>
                <w:lang w:eastAsia="zh-CN"/>
              </w:rPr>
              <w:t xml:space="preserve">. pop. </w:t>
            </w:r>
            <w:proofErr w:type="spellStart"/>
            <w:r w:rsidRPr="007F4B7E">
              <w:rPr>
                <w:rFonts w:cs="Arial"/>
                <w:b/>
                <w:bCs/>
                <w:sz w:val="22"/>
                <w:szCs w:val="22"/>
                <w:lang w:eastAsia="zh-CN"/>
              </w:rPr>
              <w:t>dém</w:t>
            </w:r>
            <w:proofErr w:type="spellEnd"/>
            <w:r w:rsidRPr="007F4B7E">
              <w:rPr>
                <w:rFonts w:cs="Arial"/>
                <w:b/>
                <w:bCs/>
                <w:sz w:val="22"/>
                <w:szCs w:val="22"/>
                <w:lang w:eastAsia="zh-CN"/>
              </w:rPr>
              <w:t>. de Corée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Danemark</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1 ½</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Djibouti</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Dominique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Dominicaine (</w:t>
            </w:r>
            <w:proofErr w:type="spellStart"/>
            <w:r w:rsidRPr="007F4B7E">
              <w:rPr>
                <w:rFonts w:cs="Arial"/>
                <w:b/>
                <w:bCs/>
                <w:sz w:val="22"/>
                <w:szCs w:val="22"/>
                <w:lang w:eastAsia="zh-CN"/>
              </w:rPr>
              <w:t>Rép</w:t>
            </w:r>
            <w:proofErr w:type="spellEnd"/>
            <w:r w:rsidRPr="007F4B7E">
              <w:rPr>
                <w:rFonts w:cs="Arial"/>
                <w:b/>
                <w:bCs/>
                <w:sz w:val="22"/>
                <w:szCs w:val="22"/>
                <w:lang w:eastAsia="zh-CN"/>
              </w:rPr>
              <w:t>.)</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 xml:space="preserve">Equateur </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Egypte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El Salvador</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Guinée équatoriale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Erythrée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Estonie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Ethiopie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Saint-Kitts-et-Nevis</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Fidji</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Finlande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France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21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Gabon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Gambie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Géorgie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Allemagne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25</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Ghana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Grèce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lastRenderedPageBreak/>
              <w:t>Grenade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Guatemala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Guinée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Guinée-Bissau</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Guyana</w:t>
            </w:r>
            <w:r w:rsidR="004C647D" w:rsidRPr="007F4B7E">
              <w:rPr>
                <w:rFonts w:cs="Arial"/>
                <w:b/>
                <w:bCs/>
                <w:sz w:val="22"/>
                <w:szCs w:val="22"/>
                <w:lang w:eastAsia="zh-CN"/>
              </w:rPr>
              <w:t xml:space="preserve"> </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Haïti</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Honduras</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Hongrie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Islande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Inde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10</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Indonésie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Iran (</w:t>
            </w:r>
            <w:proofErr w:type="spellStart"/>
            <w:r w:rsidRPr="007F4B7E">
              <w:rPr>
                <w:rFonts w:cs="Arial"/>
                <w:b/>
                <w:bCs/>
                <w:sz w:val="22"/>
                <w:szCs w:val="22"/>
                <w:lang w:eastAsia="zh-CN"/>
              </w:rPr>
              <w:t>Rép</w:t>
            </w:r>
            <w:proofErr w:type="spellEnd"/>
            <w:r w:rsidRPr="007F4B7E">
              <w:rPr>
                <w:rFonts w:cs="Arial"/>
                <w:b/>
                <w:bCs/>
                <w:sz w:val="22"/>
                <w:szCs w:val="22"/>
                <w:lang w:eastAsia="zh-CN"/>
              </w:rPr>
              <w:t>. islamique d</w:t>
            </w:r>
            <w:r w:rsidR="000610D6" w:rsidRPr="007F4B7E">
              <w:rPr>
                <w:rFonts w:cs="Arial"/>
                <w:b/>
                <w:bCs/>
                <w:sz w:val="22"/>
                <w:szCs w:val="22"/>
                <w:lang w:eastAsia="zh-CN"/>
              </w:rPr>
              <w:t>'</w:t>
            </w:r>
            <w:r w:rsidRPr="007F4B7E">
              <w:rPr>
                <w:rFonts w:cs="Arial"/>
                <w:b/>
                <w:bCs/>
                <w:sz w:val="22"/>
                <w:szCs w:val="22"/>
                <w:lang w:eastAsia="zh-CN"/>
              </w:rPr>
              <w:t>)</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Iraq</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 xml:space="preserve">Irlande </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2</w:t>
            </w:r>
          </w:p>
        </w:tc>
      </w:tr>
      <w:tr w:rsidR="0078661A"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Israël</w:t>
            </w:r>
          </w:p>
        </w:tc>
        <w:tc>
          <w:tcPr>
            <w:tcW w:w="3118" w:type="dxa"/>
            <w:tcBorders>
              <w:top w:val="nil"/>
              <w:left w:val="single" w:sz="4" w:space="0" w:color="auto"/>
              <w:bottom w:val="nil"/>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Italie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15</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Jamaïque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Japon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30</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Jordanie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Kazakhstan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Kenya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Kiribati</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Corée (</w:t>
            </w:r>
            <w:proofErr w:type="spellStart"/>
            <w:r w:rsidRPr="007F4B7E">
              <w:rPr>
                <w:rFonts w:cs="Arial"/>
                <w:b/>
                <w:bCs/>
                <w:sz w:val="22"/>
                <w:szCs w:val="22"/>
                <w:lang w:eastAsia="zh-CN"/>
              </w:rPr>
              <w:t>Rép</w:t>
            </w:r>
            <w:proofErr w:type="spellEnd"/>
            <w:r w:rsidRPr="007F4B7E">
              <w:rPr>
                <w:rFonts w:cs="Arial"/>
                <w:b/>
                <w:bCs/>
                <w:sz w:val="22"/>
                <w:szCs w:val="22"/>
                <w:lang w:eastAsia="zh-CN"/>
              </w:rPr>
              <w:t>. de)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10</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Koweït</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3</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Kirghizistan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Lao (R. d. p.)</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Lettonie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 xml:space="preserve">Liban </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Lesotho</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Libéria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Libye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Liechtenstein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Lituanie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Luxembourg</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L</w:t>
            </w:r>
            <w:r w:rsidR="000610D6" w:rsidRPr="007F4B7E">
              <w:rPr>
                <w:rFonts w:cs="Arial"/>
                <w:b/>
                <w:bCs/>
                <w:sz w:val="22"/>
                <w:szCs w:val="22"/>
                <w:lang w:eastAsia="zh-CN"/>
              </w:rPr>
              <w:t>'</w:t>
            </w:r>
            <w:r w:rsidRPr="007F4B7E">
              <w:rPr>
                <w:rFonts w:cs="Arial"/>
                <w:b/>
                <w:bCs/>
                <w:sz w:val="22"/>
                <w:szCs w:val="22"/>
                <w:lang w:eastAsia="zh-CN"/>
              </w:rPr>
              <w:t>ex-</w:t>
            </w:r>
            <w:proofErr w:type="spellStart"/>
            <w:r w:rsidRPr="007F4B7E">
              <w:rPr>
                <w:rFonts w:cs="Arial"/>
                <w:b/>
                <w:bCs/>
                <w:sz w:val="22"/>
                <w:szCs w:val="22"/>
                <w:lang w:eastAsia="zh-CN"/>
              </w:rPr>
              <w:t>Rép</w:t>
            </w:r>
            <w:proofErr w:type="spellEnd"/>
            <w:r w:rsidRPr="007F4B7E">
              <w:rPr>
                <w:rFonts w:cs="Arial"/>
                <w:b/>
                <w:bCs/>
                <w:sz w:val="22"/>
                <w:szCs w:val="22"/>
                <w:lang w:eastAsia="zh-CN"/>
              </w:rPr>
              <w:t>. yougoslave de Macédoine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lastRenderedPageBreak/>
              <w:t>Madagascar</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 xml:space="preserve">Malawi </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Malaisie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Maldives</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Mali</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Malte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Marshall (Iles)</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Mauritanie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Maurice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Mexique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3</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Micronésie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Moldova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Monaco</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Mongolie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Monténégro</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Maroc</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Mozambique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Myanmar</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Namibie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Nauru</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Népal (République du)</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Pays-Bas</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5</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Nouvelle-Zélande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2</w:t>
            </w:r>
          </w:p>
        </w:tc>
      </w:tr>
      <w:tr w:rsidR="0078661A"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Nicaragua</w:t>
            </w:r>
          </w:p>
        </w:tc>
        <w:tc>
          <w:tcPr>
            <w:tcW w:w="3118" w:type="dxa"/>
            <w:tcBorders>
              <w:top w:val="nil"/>
              <w:left w:val="single" w:sz="4" w:space="0" w:color="auto"/>
              <w:bottom w:val="nil"/>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keepNext/>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Niger</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keepNext/>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Nigéria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keepNext/>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Norvège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5</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Oman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Pakistan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Panama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Papouasie-Nouvelle-Guinée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Paraguay</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Pérou</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Philippines</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Pologne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lastRenderedPageBreak/>
              <w:t>Portugal</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1 ½</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Qatar</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Roumanie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Fédération de Russie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15</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Rwanda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Sainte-Lucie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Saint-Vincent-et-les-Grenadines</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Samoa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Saint-Marin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Sao Tomé-et-Principe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Arabie saoudite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13</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Sénégal</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Serbie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 xml:space="preserve">Seychelles </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Sierra Leone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Singapour</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Slovaquie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Slovénie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Salomon (Iles)</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Somalie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proofErr w:type="spellStart"/>
            <w:r w:rsidRPr="007F4B7E">
              <w:rPr>
                <w:rFonts w:cs="Arial"/>
                <w:b/>
                <w:bCs/>
                <w:sz w:val="22"/>
                <w:szCs w:val="22"/>
                <w:lang w:eastAsia="zh-CN"/>
              </w:rPr>
              <w:t>Sudafricaine</w:t>
            </w:r>
            <w:proofErr w:type="spellEnd"/>
            <w:r w:rsidRPr="007F4B7E">
              <w:rPr>
                <w:rFonts w:cs="Arial"/>
                <w:b/>
                <w:bCs/>
                <w:sz w:val="22"/>
                <w:szCs w:val="22"/>
                <w:lang w:eastAsia="zh-CN"/>
              </w:rPr>
              <w:t xml:space="preserve"> (</w:t>
            </w:r>
            <w:proofErr w:type="spellStart"/>
            <w:r w:rsidRPr="007F4B7E">
              <w:rPr>
                <w:rFonts w:cs="Arial"/>
                <w:b/>
                <w:bCs/>
                <w:sz w:val="22"/>
                <w:szCs w:val="22"/>
                <w:lang w:eastAsia="zh-CN"/>
              </w:rPr>
              <w:t>Rép</w:t>
            </w:r>
            <w:proofErr w:type="spellEnd"/>
            <w:r w:rsidRPr="007F4B7E">
              <w:rPr>
                <w:rFonts w:cs="Arial"/>
                <w:b/>
                <w:bCs/>
                <w:sz w:val="22"/>
                <w:szCs w:val="22"/>
                <w:lang w:eastAsia="zh-CN"/>
              </w:rPr>
              <w:t>.)</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Soudan du Sud</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 xml:space="preserve">Espagne </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Sri Lanka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Soudan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Suriname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Swaziland</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Suède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Suisse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10</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proofErr w:type="spellStart"/>
            <w:r w:rsidRPr="007F4B7E">
              <w:rPr>
                <w:rFonts w:cs="Arial"/>
                <w:b/>
                <w:bCs/>
                <w:sz w:val="22"/>
                <w:szCs w:val="22"/>
                <w:lang w:eastAsia="zh-CN"/>
              </w:rPr>
              <w:t>Rép</w:t>
            </w:r>
            <w:proofErr w:type="spellEnd"/>
            <w:r w:rsidRPr="007F4B7E">
              <w:rPr>
                <w:rFonts w:cs="Arial"/>
                <w:b/>
                <w:bCs/>
                <w:sz w:val="22"/>
                <w:szCs w:val="22"/>
                <w:lang w:eastAsia="zh-CN"/>
              </w:rPr>
              <w:t>. arabe syrienne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Tadjikistan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Tanzanie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Thaïlande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r w:rsidR="004C647D" w:rsidRPr="007F4B7E">
              <w:rPr>
                <w:lang w:eastAsia="zh-CN"/>
              </w:rPr>
              <w:t xml:space="preserve"> </w:t>
            </w:r>
            <w:r w:rsidRPr="007F4B7E">
              <w:rPr>
                <w:lang w:eastAsia="zh-CN"/>
              </w:rPr>
              <w:t>1/2</w:t>
            </w:r>
          </w:p>
        </w:tc>
      </w:tr>
      <w:tr w:rsidR="0078661A" w:rsidRPr="007F4B7E" w:rsidTr="00FA0F9E">
        <w:trPr>
          <w:trHeight w:val="300"/>
          <w:jc w:val="center"/>
        </w:trPr>
        <w:tc>
          <w:tcPr>
            <w:tcW w:w="4390" w:type="dxa"/>
            <w:tcBorders>
              <w:top w:val="nil"/>
              <w:left w:val="single" w:sz="4" w:space="0" w:color="auto"/>
              <w:bottom w:val="nil"/>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Timor-Leste</w:t>
            </w:r>
          </w:p>
        </w:tc>
        <w:tc>
          <w:tcPr>
            <w:tcW w:w="3118" w:type="dxa"/>
            <w:tcBorders>
              <w:top w:val="nil"/>
              <w:left w:val="single" w:sz="4" w:space="0" w:color="auto"/>
              <w:bottom w:val="nil"/>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Togo</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lastRenderedPageBreak/>
              <w:t>Tonga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Trinité-et-Tobago</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Tunisie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Turquie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Turkménistan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Tuvalu</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Ouganda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Ukraine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b/>
                <w:bCs/>
                <w:lang w:eastAsia="zh-CN"/>
              </w:rPr>
            </w:pPr>
            <w:r w:rsidRPr="007F4B7E">
              <w:rPr>
                <w:b/>
                <w:bCs/>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Emirats arabes unis</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3</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Royaume-Uni</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10</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Etats-Unis</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30</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Uruguay</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Ouzbékistan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Vanuatu</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1/16</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Vatican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1/4</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Venezuela</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Viet Nam</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Yémen</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FA0F9E">
        <w:trPr>
          <w:trHeight w:val="300"/>
          <w:jc w:val="center"/>
        </w:trPr>
        <w:tc>
          <w:tcPr>
            <w:tcW w:w="4390" w:type="dxa"/>
            <w:tcBorders>
              <w:top w:val="nil"/>
              <w:left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Zambie</w:t>
            </w:r>
          </w:p>
        </w:tc>
        <w:tc>
          <w:tcPr>
            <w:tcW w:w="3118" w:type="dxa"/>
            <w:tcBorders>
              <w:top w:val="nil"/>
              <w:left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1/8</w:t>
            </w:r>
          </w:p>
        </w:tc>
      </w:tr>
      <w:tr w:rsidR="0078661A" w:rsidRPr="007F4B7E" w:rsidTr="0078661A">
        <w:trPr>
          <w:trHeight w:val="300"/>
          <w:jc w:val="center"/>
        </w:trPr>
        <w:tc>
          <w:tcPr>
            <w:tcW w:w="4390" w:type="dxa"/>
            <w:tcBorders>
              <w:top w:val="nil"/>
              <w:left w:val="single" w:sz="4" w:space="0" w:color="auto"/>
              <w:bottom w:val="single" w:sz="4" w:space="0" w:color="auto"/>
              <w:right w:val="single" w:sz="4" w:space="0" w:color="auto"/>
            </w:tcBorders>
            <w:shd w:val="clear" w:color="000000" w:fill="FFFFFF"/>
            <w:noWrap/>
            <w:vAlign w:val="bottom"/>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Zimbabwe</w:t>
            </w:r>
          </w:p>
        </w:tc>
        <w:tc>
          <w:tcPr>
            <w:tcW w:w="3118" w:type="dxa"/>
            <w:tcBorders>
              <w:top w:val="nil"/>
              <w:left w:val="single" w:sz="4" w:space="0" w:color="auto"/>
              <w:bottom w:val="single" w:sz="4" w:space="0" w:color="auto"/>
              <w:right w:val="single" w:sz="4" w:space="0" w:color="auto"/>
            </w:tcBorders>
            <w:shd w:val="clear" w:color="auto" w:fill="auto"/>
            <w:noWrap/>
            <w:vAlign w:val="bottom"/>
          </w:tcPr>
          <w:p w:rsidR="0078661A" w:rsidRPr="007F4B7E" w:rsidRDefault="0078661A" w:rsidP="004C647D">
            <w:pPr>
              <w:pStyle w:val="Tabletext"/>
              <w:spacing w:before="40"/>
              <w:jc w:val="center"/>
              <w:rPr>
                <w:lang w:eastAsia="zh-CN"/>
              </w:rPr>
            </w:pPr>
            <w:r w:rsidRPr="007F4B7E">
              <w:rPr>
                <w:lang w:eastAsia="zh-CN"/>
              </w:rPr>
              <w:t>1/2</w:t>
            </w:r>
          </w:p>
        </w:tc>
      </w:tr>
      <w:tr w:rsidR="0078661A" w:rsidRPr="007F4B7E" w:rsidTr="0078661A">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661A" w:rsidRPr="007F4B7E" w:rsidRDefault="004C647D" w:rsidP="004C647D">
            <w:pPr>
              <w:tabs>
                <w:tab w:val="clear" w:pos="567"/>
                <w:tab w:val="clear" w:pos="1134"/>
                <w:tab w:val="clear" w:pos="1701"/>
                <w:tab w:val="clear" w:pos="2268"/>
                <w:tab w:val="clear" w:pos="2835"/>
              </w:tabs>
              <w:overflowPunct/>
              <w:autoSpaceDE/>
              <w:autoSpaceDN/>
              <w:adjustRightInd/>
              <w:spacing w:before="40"/>
              <w:textAlignment w:val="auto"/>
              <w:rPr>
                <w:rFonts w:cs="Arial"/>
                <w:b/>
                <w:bCs/>
                <w:sz w:val="22"/>
                <w:szCs w:val="22"/>
                <w:lang w:eastAsia="zh-CN"/>
              </w:rPr>
            </w:pPr>
            <w:r w:rsidRPr="007F4B7E">
              <w:rPr>
                <w:rFonts w:cs="Arial"/>
                <w:b/>
                <w:bCs/>
                <w:sz w:val="22"/>
                <w:szCs w:val="22"/>
                <w:lang w:eastAsia="zh-CN"/>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61A" w:rsidRPr="007F4B7E" w:rsidRDefault="0078661A" w:rsidP="004C647D">
            <w:pPr>
              <w:tabs>
                <w:tab w:val="clear" w:pos="567"/>
                <w:tab w:val="clear" w:pos="1134"/>
                <w:tab w:val="clear" w:pos="1701"/>
                <w:tab w:val="clear" w:pos="2268"/>
                <w:tab w:val="clear" w:pos="2835"/>
              </w:tabs>
              <w:overflowPunct/>
              <w:autoSpaceDE/>
              <w:autoSpaceDN/>
              <w:adjustRightInd/>
              <w:spacing w:before="40"/>
              <w:jc w:val="center"/>
              <w:textAlignment w:val="auto"/>
              <w:rPr>
                <w:rFonts w:cs="Arial"/>
                <w:b/>
                <w:bCs/>
                <w:sz w:val="22"/>
                <w:szCs w:val="22"/>
                <w:lang w:eastAsia="zh-CN"/>
              </w:rPr>
            </w:pPr>
            <w:r w:rsidRPr="007F4B7E">
              <w:rPr>
                <w:rFonts w:cs="Arial"/>
                <w:b/>
                <w:bCs/>
                <w:sz w:val="22"/>
                <w:szCs w:val="22"/>
                <w:lang w:eastAsia="zh-CN"/>
              </w:rPr>
              <w:t xml:space="preserve">334 1/4 </w:t>
            </w:r>
          </w:p>
        </w:tc>
      </w:tr>
    </w:tbl>
    <w:p w:rsidR="00D76ECF" w:rsidRPr="007F4B7E" w:rsidRDefault="00D76ECF" w:rsidP="000610D6"/>
    <w:p w:rsidR="00982236" w:rsidRPr="007F4B7E" w:rsidRDefault="00982236" w:rsidP="000610D6">
      <w:pPr>
        <w:tabs>
          <w:tab w:val="clear" w:pos="567"/>
          <w:tab w:val="clear" w:pos="1134"/>
          <w:tab w:val="clear" w:pos="1701"/>
          <w:tab w:val="clear" w:pos="2268"/>
          <w:tab w:val="clear" w:pos="2835"/>
        </w:tabs>
        <w:overflowPunct/>
        <w:autoSpaceDE/>
        <w:autoSpaceDN/>
        <w:adjustRightInd/>
        <w:spacing w:before="0"/>
        <w:textAlignment w:val="auto"/>
      </w:pPr>
      <w:r w:rsidRPr="007F4B7E">
        <w:br w:type="page"/>
      </w:r>
    </w:p>
    <w:p w:rsidR="00094061" w:rsidRPr="007F4B7E" w:rsidRDefault="00094061" w:rsidP="000610D6">
      <w:pPr>
        <w:pStyle w:val="AnnexNo"/>
        <w:spacing w:after="240"/>
      </w:pPr>
      <w:r w:rsidRPr="007F4B7E">
        <w:lastRenderedPageBreak/>
        <w:t>aNNEXe 2</w:t>
      </w:r>
    </w:p>
    <w:tbl>
      <w:tblPr>
        <w:tblW w:w="9440" w:type="dxa"/>
        <w:jc w:val="center"/>
        <w:tblLook w:val="04A0" w:firstRow="1" w:lastRow="0" w:firstColumn="1" w:lastColumn="0" w:noHBand="0" w:noVBand="1"/>
      </w:tblPr>
      <w:tblGrid>
        <w:gridCol w:w="4422"/>
        <w:gridCol w:w="1240"/>
        <w:gridCol w:w="1298"/>
        <w:gridCol w:w="1240"/>
        <w:gridCol w:w="1240"/>
      </w:tblGrid>
      <w:tr w:rsidR="00094061" w:rsidRPr="007F4B7E" w:rsidTr="005A7FE8">
        <w:trPr>
          <w:trHeight w:val="1065"/>
          <w:jc w:val="center"/>
        </w:trPr>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Nombre d'unités par Secteur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Nombre d'unités</w:t>
            </w:r>
            <w:r w:rsidR="004C647D" w:rsidRPr="007F4B7E">
              <w:rPr>
                <w:lang w:eastAsia="zh-CN"/>
              </w:rPr>
              <w:br/>
            </w:r>
            <w:r w:rsidRPr="007F4B7E">
              <w:rPr>
                <w:lang w:eastAsia="zh-CN"/>
              </w:rPr>
              <w:t>PP-14</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Nombre d'unités</w:t>
            </w:r>
            <w:r w:rsidR="004C647D" w:rsidRPr="007F4B7E">
              <w:rPr>
                <w:lang w:eastAsia="zh-CN"/>
              </w:rPr>
              <w:br/>
            </w:r>
            <w:r w:rsidRPr="007F4B7E">
              <w:rPr>
                <w:lang w:eastAsia="zh-CN"/>
              </w:rPr>
              <w:t>au 31/01/2017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Différence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Différence en %</w:t>
            </w:r>
          </w:p>
        </w:tc>
      </w:tr>
      <w:tr w:rsidR="005A7FE8" w:rsidRPr="007F4B7E" w:rsidTr="005A7FE8">
        <w:trPr>
          <w:trHeight w:val="402"/>
          <w:jc w:val="center"/>
        </w:trPr>
        <w:tc>
          <w:tcPr>
            <w:tcW w:w="4422" w:type="dxa"/>
            <w:tcBorders>
              <w:top w:val="nil"/>
              <w:left w:val="single" w:sz="4" w:space="0" w:color="auto"/>
              <w:bottom w:val="single" w:sz="4" w:space="0" w:color="auto"/>
              <w:right w:val="single" w:sz="4" w:space="0" w:color="auto"/>
            </w:tcBorders>
            <w:shd w:val="clear" w:color="000000" w:fill="FFFFFF"/>
            <w:vAlign w:val="bottom"/>
            <w:hideMark/>
          </w:tcPr>
          <w:p w:rsidR="005A7FE8" w:rsidRPr="007F4B7E" w:rsidRDefault="005A7FE8" w:rsidP="004C647D">
            <w:pPr>
              <w:pStyle w:val="Tabletext"/>
              <w:rPr>
                <w:lang w:eastAsia="zh-CN"/>
              </w:rPr>
            </w:pPr>
            <w:r w:rsidRPr="007F4B7E">
              <w:rPr>
                <w:lang w:eastAsia="zh-CN"/>
              </w:rPr>
              <w:t xml:space="preserve">Membres </w:t>
            </w:r>
            <w:r w:rsidR="003A2BDF" w:rsidRPr="007F4B7E">
              <w:rPr>
                <w:lang w:eastAsia="zh-CN"/>
              </w:rPr>
              <w:t>de Secteur,</w:t>
            </w:r>
            <w:r w:rsidRPr="007F4B7E">
              <w:rPr>
                <w:lang w:eastAsia="zh-CN"/>
              </w:rPr>
              <w:t xml:space="preserve"> UIT-R</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100 ½</w:t>
            </w:r>
          </w:p>
        </w:tc>
        <w:tc>
          <w:tcPr>
            <w:tcW w:w="1298"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100 3/16</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7F4B7E" w:rsidP="004C647D">
            <w:pPr>
              <w:pStyle w:val="Tabletext"/>
              <w:jc w:val="center"/>
              <w:rPr>
                <w:lang w:eastAsia="zh-CN"/>
              </w:rPr>
            </w:pPr>
            <w:r>
              <w:rPr>
                <w:lang w:eastAsia="zh-CN"/>
              </w:rPr>
              <w:t>–</w:t>
            </w:r>
            <w:r w:rsidR="005A7FE8" w:rsidRPr="007F4B7E">
              <w:rPr>
                <w:lang w:eastAsia="zh-CN"/>
              </w:rPr>
              <w:t>5/16</w:t>
            </w:r>
          </w:p>
        </w:tc>
        <w:tc>
          <w:tcPr>
            <w:tcW w:w="1240" w:type="dxa"/>
            <w:tcBorders>
              <w:top w:val="nil"/>
              <w:left w:val="nil"/>
              <w:bottom w:val="single" w:sz="4" w:space="0" w:color="auto"/>
              <w:right w:val="single" w:sz="4" w:space="0" w:color="auto"/>
            </w:tcBorders>
            <w:shd w:val="clear" w:color="auto" w:fill="auto"/>
            <w:noWrap/>
            <w:vAlign w:val="bottom"/>
            <w:hideMark/>
          </w:tcPr>
          <w:p w:rsidR="005A7FE8" w:rsidRPr="007F4B7E" w:rsidRDefault="005A7FE8" w:rsidP="004C647D">
            <w:pPr>
              <w:pStyle w:val="Tabletext"/>
              <w:jc w:val="center"/>
              <w:rPr>
                <w:lang w:eastAsia="zh-CN"/>
              </w:rPr>
            </w:pPr>
            <w:r w:rsidRPr="007F4B7E">
              <w:rPr>
                <w:lang w:eastAsia="zh-CN"/>
              </w:rPr>
              <w:t>&lt;1%</w:t>
            </w:r>
          </w:p>
        </w:tc>
      </w:tr>
      <w:tr w:rsidR="005A7FE8" w:rsidRPr="007F4B7E" w:rsidTr="005A7FE8">
        <w:trPr>
          <w:trHeight w:val="402"/>
          <w:jc w:val="center"/>
        </w:trPr>
        <w:tc>
          <w:tcPr>
            <w:tcW w:w="4422" w:type="dxa"/>
            <w:tcBorders>
              <w:top w:val="nil"/>
              <w:left w:val="single" w:sz="4" w:space="0" w:color="auto"/>
              <w:bottom w:val="single" w:sz="4" w:space="0" w:color="auto"/>
              <w:right w:val="single" w:sz="4" w:space="0" w:color="auto"/>
            </w:tcBorders>
            <w:shd w:val="clear" w:color="000000" w:fill="FFFFFF"/>
            <w:vAlign w:val="bottom"/>
            <w:hideMark/>
          </w:tcPr>
          <w:p w:rsidR="005A7FE8" w:rsidRPr="007F4B7E" w:rsidRDefault="005A7FE8" w:rsidP="004C647D">
            <w:pPr>
              <w:pStyle w:val="Tabletext"/>
              <w:rPr>
                <w:lang w:eastAsia="zh-CN"/>
              </w:rPr>
            </w:pPr>
            <w:r w:rsidRPr="007F4B7E">
              <w:rPr>
                <w:lang w:eastAsia="zh-CN"/>
              </w:rPr>
              <w:t xml:space="preserve">Membres </w:t>
            </w:r>
            <w:r w:rsidR="003A2BDF" w:rsidRPr="007F4B7E">
              <w:rPr>
                <w:lang w:eastAsia="zh-CN"/>
              </w:rPr>
              <w:t>de Secteur,</w:t>
            </w:r>
            <w:r w:rsidRPr="007F4B7E">
              <w:rPr>
                <w:lang w:eastAsia="zh-CN"/>
              </w:rPr>
              <w:t xml:space="preserve"> UIT-T</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105 3/16</w:t>
            </w:r>
          </w:p>
        </w:tc>
        <w:tc>
          <w:tcPr>
            <w:tcW w:w="1298"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97 3/8</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7F4B7E" w:rsidP="004C647D">
            <w:pPr>
              <w:pStyle w:val="Tabletext"/>
              <w:jc w:val="center"/>
              <w:rPr>
                <w:lang w:eastAsia="zh-CN"/>
              </w:rPr>
            </w:pPr>
            <w:r>
              <w:rPr>
                <w:lang w:eastAsia="zh-CN"/>
              </w:rPr>
              <w:t>–</w:t>
            </w:r>
            <w:r w:rsidR="005A7FE8" w:rsidRPr="007F4B7E">
              <w:rPr>
                <w:lang w:eastAsia="zh-CN"/>
              </w:rPr>
              <w:t>7 13/16</w:t>
            </w:r>
          </w:p>
        </w:tc>
        <w:tc>
          <w:tcPr>
            <w:tcW w:w="1240" w:type="dxa"/>
            <w:tcBorders>
              <w:top w:val="nil"/>
              <w:left w:val="nil"/>
              <w:bottom w:val="single" w:sz="4" w:space="0" w:color="auto"/>
              <w:right w:val="single" w:sz="4" w:space="0" w:color="auto"/>
            </w:tcBorders>
            <w:shd w:val="clear" w:color="auto" w:fill="auto"/>
            <w:noWrap/>
            <w:vAlign w:val="bottom"/>
            <w:hideMark/>
          </w:tcPr>
          <w:p w:rsidR="005A7FE8" w:rsidRPr="007F4B7E" w:rsidRDefault="007F4B7E" w:rsidP="004C647D">
            <w:pPr>
              <w:pStyle w:val="Tabletext"/>
              <w:jc w:val="center"/>
              <w:rPr>
                <w:lang w:eastAsia="zh-CN"/>
              </w:rPr>
            </w:pPr>
            <w:r>
              <w:rPr>
                <w:lang w:eastAsia="zh-CN"/>
              </w:rPr>
              <w:t>–</w:t>
            </w:r>
            <w:r w:rsidR="005A7FE8" w:rsidRPr="007F4B7E">
              <w:rPr>
                <w:lang w:eastAsia="zh-CN"/>
              </w:rPr>
              <w:t>7%</w:t>
            </w:r>
          </w:p>
        </w:tc>
      </w:tr>
      <w:tr w:rsidR="005A7FE8" w:rsidRPr="007F4B7E" w:rsidTr="005A7FE8">
        <w:trPr>
          <w:trHeight w:val="402"/>
          <w:jc w:val="center"/>
        </w:trPr>
        <w:tc>
          <w:tcPr>
            <w:tcW w:w="4422" w:type="dxa"/>
            <w:tcBorders>
              <w:top w:val="nil"/>
              <w:left w:val="single" w:sz="4" w:space="0" w:color="auto"/>
              <w:bottom w:val="single" w:sz="4" w:space="0" w:color="auto"/>
              <w:right w:val="single" w:sz="4" w:space="0" w:color="auto"/>
            </w:tcBorders>
            <w:shd w:val="clear" w:color="000000" w:fill="FFFFFF"/>
            <w:vAlign w:val="bottom"/>
            <w:hideMark/>
          </w:tcPr>
          <w:p w:rsidR="005A7FE8" w:rsidRPr="007F4B7E" w:rsidRDefault="005A7FE8" w:rsidP="004C647D">
            <w:pPr>
              <w:pStyle w:val="Tabletext"/>
              <w:rPr>
                <w:lang w:eastAsia="zh-CN"/>
              </w:rPr>
            </w:pPr>
            <w:r w:rsidRPr="007F4B7E">
              <w:rPr>
                <w:lang w:eastAsia="zh-CN"/>
              </w:rPr>
              <w:t xml:space="preserve">Membres </w:t>
            </w:r>
            <w:r w:rsidR="003A2BDF" w:rsidRPr="007F4B7E">
              <w:rPr>
                <w:lang w:eastAsia="zh-CN"/>
              </w:rPr>
              <w:t>de Secteur,</w:t>
            </w:r>
            <w:r w:rsidRPr="007F4B7E">
              <w:rPr>
                <w:lang w:eastAsia="zh-CN"/>
              </w:rPr>
              <w:t xml:space="preserve"> UIT-D</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25 11/16</w:t>
            </w:r>
          </w:p>
        </w:tc>
        <w:tc>
          <w:tcPr>
            <w:tcW w:w="1298"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24 13/16</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7F4B7E" w:rsidP="004C647D">
            <w:pPr>
              <w:pStyle w:val="Tabletext"/>
              <w:jc w:val="center"/>
              <w:rPr>
                <w:lang w:eastAsia="zh-CN"/>
              </w:rPr>
            </w:pPr>
            <w:r>
              <w:rPr>
                <w:lang w:eastAsia="zh-CN"/>
              </w:rPr>
              <w:t>–</w:t>
            </w:r>
            <w:r w:rsidR="005A7FE8" w:rsidRPr="007F4B7E">
              <w:rPr>
                <w:lang w:eastAsia="zh-CN"/>
              </w:rPr>
              <w:t>7/8</w:t>
            </w:r>
          </w:p>
        </w:tc>
        <w:tc>
          <w:tcPr>
            <w:tcW w:w="1240" w:type="dxa"/>
            <w:tcBorders>
              <w:top w:val="nil"/>
              <w:left w:val="nil"/>
              <w:bottom w:val="single" w:sz="4" w:space="0" w:color="auto"/>
              <w:right w:val="single" w:sz="4" w:space="0" w:color="auto"/>
            </w:tcBorders>
            <w:shd w:val="clear" w:color="auto" w:fill="auto"/>
            <w:noWrap/>
            <w:vAlign w:val="bottom"/>
            <w:hideMark/>
          </w:tcPr>
          <w:p w:rsidR="005A7FE8" w:rsidRPr="007F4B7E" w:rsidRDefault="007F4B7E" w:rsidP="004C647D">
            <w:pPr>
              <w:pStyle w:val="Tabletext"/>
              <w:jc w:val="center"/>
              <w:rPr>
                <w:lang w:eastAsia="zh-CN"/>
              </w:rPr>
            </w:pPr>
            <w:r>
              <w:rPr>
                <w:lang w:eastAsia="zh-CN"/>
              </w:rPr>
              <w:t>–</w:t>
            </w:r>
            <w:r w:rsidR="005A7FE8" w:rsidRPr="007F4B7E">
              <w:rPr>
                <w:lang w:eastAsia="zh-CN"/>
              </w:rPr>
              <w:t>3%</w:t>
            </w:r>
          </w:p>
        </w:tc>
      </w:tr>
      <w:tr w:rsidR="005A7FE8" w:rsidRPr="007F4B7E" w:rsidTr="005A7FE8">
        <w:trPr>
          <w:trHeight w:val="402"/>
          <w:jc w:val="center"/>
        </w:trPr>
        <w:tc>
          <w:tcPr>
            <w:tcW w:w="4422" w:type="dxa"/>
            <w:tcBorders>
              <w:top w:val="nil"/>
              <w:left w:val="single" w:sz="4" w:space="0" w:color="auto"/>
              <w:bottom w:val="single" w:sz="4" w:space="0" w:color="auto"/>
              <w:right w:val="single" w:sz="4" w:space="0" w:color="auto"/>
            </w:tcBorders>
            <w:shd w:val="clear" w:color="000000" w:fill="FFFFFF"/>
            <w:vAlign w:val="bottom"/>
            <w:hideMark/>
          </w:tcPr>
          <w:p w:rsidR="005A7FE8" w:rsidRPr="007F4B7E" w:rsidRDefault="005A7FE8" w:rsidP="004C647D">
            <w:pPr>
              <w:pStyle w:val="Tabletext"/>
              <w:rPr>
                <w:b/>
                <w:bCs/>
                <w:lang w:eastAsia="zh-CN"/>
              </w:rPr>
            </w:pPr>
            <w:r w:rsidRPr="007F4B7E">
              <w:rPr>
                <w:b/>
                <w:bCs/>
                <w:lang w:eastAsia="zh-CN"/>
              </w:rPr>
              <w:t>Total</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b/>
                <w:bCs/>
                <w:lang w:eastAsia="zh-CN"/>
              </w:rPr>
            </w:pPr>
            <w:r w:rsidRPr="007F4B7E">
              <w:rPr>
                <w:b/>
                <w:bCs/>
                <w:lang w:eastAsia="zh-CN"/>
              </w:rPr>
              <w:t>231 3/8</w:t>
            </w:r>
          </w:p>
        </w:tc>
        <w:tc>
          <w:tcPr>
            <w:tcW w:w="1298"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b/>
                <w:bCs/>
                <w:lang w:eastAsia="zh-CN"/>
              </w:rPr>
            </w:pPr>
            <w:r w:rsidRPr="007F4B7E">
              <w:rPr>
                <w:b/>
                <w:bCs/>
                <w:lang w:eastAsia="zh-CN"/>
              </w:rPr>
              <w:t>222 3/8</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7F4B7E" w:rsidP="004C647D">
            <w:pPr>
              <w:pStyle w:val="Tabletext"/>
              <w:jc w:val="center"/>
              <w:rPr>
                <w:b/>
                <w:bCs/>
                <w:lang w:eastAsia="zh-CN"/>
              </w:rPr>
            </w:pPr>
            <w:r w:rsidRPr="007F4B7E">
              <w:rPr>
                <w:b/>
                <w:bCs/>
                <w:lang w:eastAsia="zh-CN"/>
              </w:rPr>
              <w:t>–</w:t>
            </w:r>
            <w:r w:rsidR="005A7FE8" w:rsidRPr="007F4B7E">
              <w:rPr>
                <w:b/>
                <w:bCs/>
                <w:lang w:eastAsia="zh-CN"/>
              </w:rPr>
              <w:t>9</w:t>
            </w:r>
          </w:p>
        </w:tc>
        <w:tc>
          <w:tcPr>
            <w:tcW w:w="1240" w:type="dxa"/>
            <w:tcBorders>
              <w:top w:val="nil"/>
              <w:left w:val="nil"/>
              <w:bottom w:val="single" w:sz="4" w:space="0" w:color="auto"/>
              <w:right w:val="single" w:sz="4" w:space="0" w:color="auto"/>
            </w:tcBorders>
            <w:shd w:val="clear" w:color="auto" w:fill="auto"/>
            <w:noWrap/>
            <w:vAlign w:val="bottom"/>
            <w:hideMark/>
          </w:tcPr>
          <w:p w:rsidR="005A7FE8" w:rsidRPr="007F4B7E" w:rsidRDefault="007F4B7E" w:rsidP="004C647D">
            <w:pPr>
              <w:pStyle w:val="Tabletext"/>
              <w:jc w:val="center"/>
              <w:rPr>
                <w:b/>
                <w:bCs/>
                <w:lang w:eastAsia="zh-CN"/>
              </w:rPr>
            </w:pPr>
            <w:r w:rsidRPr="007F4B7E">
              <w:rPr>
                <w:b/>
                <w:bCs/>
                <w:lang w:eastAsia="zh-CN"/>
              </w:rPr>
              <w:t>–</w:t>
            </w:r>
            <w:r w:rsidR="005A7FE8" w:rsidRPr="007F4B7E">
              <w:rPr>
                <w:b/>
                <w:bCs/>
                <w:lang w:eastAsia="zh-CN"/>
              </w:rPr>
              <w:t>4%</w:t>
            </w:r>
          </w:p>
        </w:tc>
      </w:tr>
      <w:tr w:rsidR="00094061" w:rsidRPr="007F4B7E" w:rsidTr="005A7FE8">
        <w:trPr>
          <w:trHeight w:val="435"/>
          <w:jc w:val="center"/>
        </w:trPr>
        <w:tc>
          <w:tcPr>
            <w:tcW w:w="4422" w:type="dxa"/>
            <w:tcBorders>
              <w:top w:val="nil"/>
              <w:left w:val="nil"/>
              <w:bottom w:val="nil"/>
              <w:right w:val="nil"/>
            </w:tcBorders>
            <w:shd w:val="clear" w:color="000000" w:fill="FFFFFF"/>
            <w:vAlign w:val="bottom"/>
            <w:hideMark/>
          </w:tcPr>
          <w:p w:rsidR="00094061" w:rsidRPr="007F4B7E" w:rsidRDefault="00094061" w:rsidP="000610D6">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F4B7E">
              <w:rPr>
                <w:rFonts w:cs="Arial"/>
                <w:b/>
                <w:bCs/>
                <w:sz w:val="22"/>
                <w:szCs w:val="22"/>
                <w:lang w:eastAsia="zh-CN"/>
              </w:rPr>
              <w:t> </w:t>
            </w:r>
          </w:p>
        </w:tc>
        <w:tc>
          <w:tcPr>
            <w:tcW w:w="1240" w:type="dxa"/>
            <w:tcBorders>
              <w:top w:val="nil"/>
              <w:left w:val="nil"/>
              <w:bottom w:val="nil"/>
              <w:right w:val="nil"/>
            </w:tcBorders>
            <w:shd w:val="clear" w:color="000000" w:fill="FFFFFF"/>
            <w:noWrap/>
            <w:vAlign w:val="bottom"/>
            <w:hideMark/>
          </w:tcPr>
          <w:p w:rsidR="00094061" w:rsidRPr="007F4B7E" w:rsidRDefault="00094061" w:rsidP="000610D6">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F4B7E">
              <w:rPr>
                <w:rFonts w:cs="Arial"/>
                <w:b/>
                <w:bCs/>
                <w:sz w:val="22"/>
                <w:szCs w:val="22"/>
                <w:lang w:eastAsia="zh-CN"/>
              </w:rPr>
              <w:t> </w:t>
            </w:r>
          </w:p>
        </w:tc>
        <w:tc>
          <w:tcPr>
            <w:tcW w:w="1298" w:type="dxa"/>
            <w:tcBorders>
              <w:top w:val="nil"/>
              <w:left w:val="nil"/>
              <w:bottom w:val="nil"/>
              <w:right w:val="nil"/>
            </w:tcBorders>
            <w:shd w:val="clear" w:color="000000" w:fill="FFFFFF"/>
            <w:noWrap/>
            <w:vAlign w:val="bottom"/>
            <w:hideMark/>
          </w:tcPr>
          <w:p w:rsidR="00094061" w:rsidRPr="007F4B7E" w:rsidRDefault="00094061" w:rsidP="000610D6">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F4B7E">
              <w:rPr>
                <w:rFonts w:cs="Arial"/>
                <w:b/>
                <w:bCs/>
                <w:sz w:val="22"/>
                <w:szCs w:val="22"/>
                <w:lang w:eastAsia="zh-CN"/>
              </w:rPr>
              <w:t> </w:t>
            </w:r>
          </w:p>
        </w:tc>
        <w:tc>
          <w:tcPr>
            <w:tcW w:w="1240" w:type="dxa"/>
            <w:tcBorders>
              <w:top w:val="nil"/>
              <w:left w:val="nil"/>
              <w:bottom w:val="nil"/>
              <w:right w:val="nil"/>
            </w:tcBorders>
            <w:shd w:val="clear" w:color="000000" w:fill="FFFFFF"/>
            <w:noWrap/>
            <w:vAlign w:val="bottom"/>
            <w:hideMark/>
          </w:tcPr>
          <w:p w:rsidR="00094061" w:rsidRPr="007F4B7E" w:rsidRDefault="00094061" w:rsidP="000610D6">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F4B7E">
              <w:rPr>
                <w:rFonts w:cs="Arial"/>
                <w:b/>
                <w:bCs/>
                <w:sz w:val="22"/>
                <w:szCs w:val="22"/>
                <w:lang w:eastAsia="zh-CN"/>
              </w:rPr>
              <w:t> </w:t>
            </w:r>
          </w:p>
        </w:tc>
        <w:tc>
          <w:tcPr>
            <w:tcW w:w="1240" w:type="dxa"/>
            <w:tcBorders>
              <w:top w:val="nil"/>
              <w:left w:val="nil"/>
              <w:bottom w:val="nil"/>
              <w:right w:val="nil"/>
            </w:tcBorders>
            <w:shd w:val="clear" w:color="000000" w:fill="FFFFFF"/>
            <w:noWrap/>
            <w:vAlign w:val="bottom"/>
            <w:hideMark/>
          </w:tcPr>
          <w:p w:rsidR="00094061" w:rsidRPr="007F4B7E" w:rsidRDefault="00094061" w:rsidP="000610D6">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F4B7E">
              <w:rPr>
                <w:rFonts w:cs="Arial"/>
                <w:b/>
                <w:bCs/>
                <w:sz w:val="22"/>
                <w:szCs w:val="22"/>
                <w:lang w:eastAsia="zh-CN"/>
              </w:rPr>
              <w:t> </w:t>
            </w:r>
          </w:p>
        </w:tc>
      </w:tr>
      <w:tr w:rsidR="00094061" w:rsidRPr="007F4B7E" w:rsidTr="005A7FE8">
        <w:trPr>
          <w:trHeight w:val="1065"/>
          <w:jc w:val="center"/>
        </w:trPr>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Nombre d'Associés par Secteur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Nombre</w:t>
            </w:r>
            <w:r w:rsidR="004C647D" w:rsidRPr="007F4B7E">
              <w:rPr>
                <w:lang w:eastAsia="zh-CN"/>
              </w:rPr>
              <w:br/>
            </w:r>
            <w:r w:rsidRPr="007F4B7E">
              <w:rPr>
                <w:lang w:eastAsia="zh-CN"/>
              </w:rPr>
              <w:t>PP-1</w:t>
            </w:r>
            <w:r w:rsidR="007F4B7E" w:rsidRPr="007F4B7E">
              <w:rPr>
                <w:lang w:eastAsia="zh-CN"/>
              </w:rPr>
              <w:t>4</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Nombre</w:t>
            </w:r>
            <w:r w:rsidR="004C647D" w:rsidRPr="007F4B7E">
              <w:rPr>
                <w:lang w:eastAsia="zh-CN"/>
              </w:rPr>
              <w:br/>
            </w:r>
            <w:r w:rsidRPr="007F4B7E">
              <w:rPr>
                <w:lang w:eastAsia="zh-CN"/>
              </w:rPr>
              <w:t>au 31/01/2017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Différence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Différence en %</w:t>
            </w:r>
          </w:p>
        </w:tc>
      </w:tr>
      <w:tr w:rsidR="005A7FE8" w:rsidRPr="007F4B7E" w:rsidTr="005A7FE8">
        <w:trPr>
          <w:trHeight w:val="402"/>
          <w:jc w:val="center"/>
        </w:trPr>
        <w:tc>
          <w:tcPr>
            <w:tcW w:w="4422" w:type="dxa"/>
            <w:tcBorders>
              <w:top w:val="nil"/>
              <w:left w:val="single" w:sz="4" w:space="0" w:color="auto"/>
              <w:bottom w:val="single" w:sz="4" w:space="0" w:color="auto"/>
              <w:right w:val="single" w:sz="4" w:space="0" w:color="auto"/>
            </w:tcBorders>
            <w:shd w:val="clear" w:color="000000" w:fill="FFFFFF"/>
            <w:vAlign w:val="bottom"/>
            <w:hideMark/>
          </w:tcPr>
          <w:p w:rsidR="005A7FE8" w:rsidRPr="007F4B7E" w:rsidRDefault="005A7FE8" w:rsidP="004C647D">
            <w:pPr>
              <w:pStyle w:val="Tabletext"/>
              <w:rPr>
                <w:lang w:eastAsia="zh-CN"/>
              </w:rPr>
            </w:pPr>
            <w:r w:rsidRPr="007F4B7E">
              <w:rPr>
                <w:lang w:eastAsia="zh-CN"/>
              </w:rPr>
              <w:t>Associés UIT-R</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15</w:t>
            </w:r>
          </w:p>
        </w:tc>
        <w:tc>
          <w:tcPr>
            <w:tcW w:w="1298"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22</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7</w:t>
            </w:r>
          </w:p>
        </w:tc>
        <w:tc>
          <w:tcPr>
            <w:tcW w:w="1240" w:type="dxa"/>
            <w:tcBorders>
              <w:top w:val="nil"/>
              <w:left w:val="nil"/>
              <w:bottom w:val="single" w:sz="4" w:space="0" w:color="auto"/>
              <w:right w:val="single" w:sz="4" w:space="0" w:color="auto"/>
            </w:tcBorders>
            <w:shd w:val="clear" w:color="auto" w:fill="auto"/>
            <w:noWrap/>
            <w:vAlign w:val="bottom"/>
            <w:hideMark/>
          </w:tcPr>
          <w:p w:rsidR="005A7FE8" w:rsidRPr="007F4B7E" w:rsidRDefault="005A7FE8" w:rsidP="004C647D">
            <w:pPr>
              <w:pStyle w:val="Tabletext"/>
              <w:jc w:val="center"/>
              <w:rPr>
                <w:lang w:eastAsia="zh-CN"/>
              </w:rPr>
            </w:pPr>
            <w:r w:rsidRPr="007F4B7E">
              <w:rPr>
                <w:lang w:eastAsia="zh-CN"/>
              </w:rPr>
              <w:t>46%</w:t>
            </w:r>
          </w:p>
        </w:tc>
      </w:tr>
      <w:tr w:rsidR="005A7FE8" w:rsidRPr="007F4B7E" w:rsidTr="001D4D1E">
        <w:trPr>
          <w:trHeight w:val="402"/>
          <w:jc w:val="center"/>
        </w:trPr>
        <w:tc>
          <w:tcPr>
            <w:tcW w:w="4422" w:type="dxa"/>
            <w:tcBorders>
              <w:top w:val="nil"/>
              <w:left w:val="single" w:sz="4" w:space="0" w:color="auto"/>
              <w:bottom w:val="single" w:sz="4" w:space="0" w:color="auto"/>
              <w:right w:val="single" w:sz="4" w:space="0" w:color="auto"/>
            </w:tcBorders>
            <w:shd w:val="clear" w:color="000000" w:fill="FFFFFF"/>
            <w:vAlign w:val="bottom"/>
            <w:hideMark/>
          </w:tcPr>
          <w:p w:rsidR="005A7FE8" w:rsidRPr="007F4B7E" w:rsidRDefault="005A7FE8" w:rsidP="004C647D">
            <w:pPr>
              <w:pStyle w:val="Tabletext"/>
              <w:rPr>
                <w:lang w:eastAsia="zh-CN"/>
              </w:rPr>
            </w:pPr>
            <w:r w:rsidRPr="007F4B7E">
              <w:rPr>
                <w:lang w:eastAsia="zh-CN"/>
              </w:rPr>
              <w:t>Associés UIT-T</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129</w:t>
            </w:r>
          </w:p>
        </w:tc>
        <w:tc>
          <w:tcPr>
            <w:tcW w:w="1298"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125</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7F4B7E" w:rsidP="004C647D">
            <w:pPr>
              <w:pStyle w:val="Tabletext"/>
              <w:jc w:val="center"/>
              <w:rPr>
                <w:lang w:eastAsia="zh-CN"/>
              </w:rPr>
            </w:pPr>
            <w:r>
              <w:rPr>
                <w:lang w:eastAsia="zh-CN"/>
              </w:rPr>
              <w:t>–</w:t>
            </w:r>
            <w:r w:rsidR="005A7FE8" w:rsidRPr="007F4B7E">
              <w:rPr>
                <w:lang w:eastAsia="zh-CN"/>
              </w:rPr>
              <w:t>4</w:t>
            </w:r>
          </w:p>
        </w:tc>
        <w:tc>
          <w:tcPr>
            <w:tcW w:w="1240" w:type="dxa"/>
            <w:tcBorders>
              <w:top w:val="nil"/>
              <w:left w:val="nil"/>
              <w:bottom w:val="single" w:sz="4" w:space="0" w:color="auto"/>
              <w:right w:val="single" w:sz="4" w:space="0" w:color="auto"/>
            </w:tcBorders>
            <w:shd w:val="clear" w:color="auto" w:fill="auto"/>
            <w:noWrap/>
            <w:vAlign w:val="bottom"/>
            <w:hideMark/>
          </w:tcPr>
          <w:p w:rsidR="005A7FE8" w:rsidRPr="007F4B7E" w:rsidRDefault="007F4B7E" w:rsidP="004C647D">
            <w:pPr>
              <w:pStyle w:val="Tabletext"/>
              <w:jc w:val="center"/>
              <w:rPr>
                <w:lang w:eastAsia="zh-CN"/>
              </w:rPr>
            </w:pPr>
            <w:r>
              <w:rPr>
                <w:lang w:eastAsia="zh-CN"/>
              </w:rPr>
              <w:t>–</w:t>
            </w:r>
            <w:r w:rsidR="005A7FE8" w:rsidRPr="007F4B7E">
              <w:rPr>
                <w:lang w:eastAsia="zh-CN"/>
              </w:rPr>
              <w:t>3%</w:t>
            </w:r>
          </w:p>
        </w:tc>
      </w:tr>
      <w:tr w:rsidR="005A7FE8" w:rsidRPr="007F4B7E" w:rsidTr="005A7FE8">
        <w:trPr>
          <w:trHeight w:val="402"/>
          <w:jc w:val="center"/>
        </w:trPr>
        <w:tc>
          <w:tcPr>
            <w:tcW w:w="4422" w:type="dxa"/>
            <w:tcBorders>
              <w:top w:val="nil"/>
              <w:left w:val="single" w:sz="4" w:space="0" w:color="auto"/>
              <w:bottom w:val="single" w:sz="4" w:space="0" w:color="auto"/>
              <w:right w:val="single" w:sz="4" w:space="0" w:color="auto"/>
            </w:tcBorders>
            <w:shd w:val="clear" w:color="000000" w:fill="FFFFFF"/>
            <w:vAlign w:val="bottom"/>
            <w:hideMark/>
          </w:tcPr>
          <w:p w:rsidR="005A7FE8" w:rsidRPr="007F4B7E" w:rsidRDefault="005A7FE8" w:rsidP="004C647D">
            <w:pPr>
              <w:pStyle w:val="Tabletext"/>
              <w:rPr>
                <w:lang w:eastAsia="zh-CN"/>
              </w:rPr>
            </w:pPr>
            <w:r w:rsidRPr="007F4B7E">
              <w:rPr>
                <w:lang w:eastAsia="zh-CN"/>
              </w:rPr>
              <w:t>Associés UIT-D</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8</w:t>
            </w:r>
          </w:p>
        </w:tc>
        <w:tc>
          <w:tcPr>
            <w:tcW w:w="1298"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9</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lang w:eastAsia="zh-CN"/>
              </w:rPr>
            </w:pPr>
            <w:r w:rsidRPr="007F4B7E">
              <w:rPr>
                <w:lang w:eastAsia="zh-CN"/>
              </w:rPr>
              <w:t>1</w:t>
            </w:r>
          </w:p>
        </w:tc>
        <w:tc>
          <w:tcPr>
            <w:tcW w:w="1240" w:type="dxa"/>
            <w:tcBorders>
              <w:top w:val="nil"/>
              <w:left w:val="nil"/>
              <w:bottom w:val="single" w:sz="4" w:space="0" w:color="auto"/>
              <w:right w:val="single" w:sz="4" w:space="0" w:color="auto"/>
            </w:tcBorders>
            <w:shd w:val="clear" w:color="auto" w:fill="auto"/>
            <w:noWrap/>
            <w:vAlign w:val="bottom"/>
            <w:hideMark/>
          </w:tcPr>
          <w:p w:rsidR="005A7FE8" w:rsidRPr="007F4B7E" w:rsidRDefault="005A7FE8" w:rsidP="004C647D">
            <w:pPr>
              <w:pStyle w:val="Tabletext"/>
              <w:jc w:val="center"/>
              <w:rPr>
                <w:lang w:eastAsia="zh-CN"/>
              </w:rPr>
            </w:pPr>
            <w:r w:rsidRPr="007F4B7E">
              <w:rPr>
                <w:lang w:eastAsia="zh-CN"/>
              </w:rPr>
              <w:t>12%</w:t>
            </w:r>
          </w:p>
        </w:tc>
      </w:tr>
      <w:tr w:rsidR="005A7FE8" w:rsidRPr="007F4B7E" w:rsidTr="005A7FE8">
        <w:trPr>
          <w:trHeight w:val="402"/>
          <w:jc w:val="center"/>
        </w:trPr>
        <w:tc>
          <w:tcPr>
            <w:tcW w:w="4422" w:type="dxa"/>
            <w:tcBorders>
              <w:top w:val="nil"/>
              <w:left w:val="single" w:sz="4" w:space="0" w:color="auto"/>
              <w:bottom w:val="single" w:sz="4" w:space="0" w:color="auto"/>
              <w:right w:val="single" w:sz="4" w:space="0" w:color="auto"/>
            </w:tcBorders>
            <w:shd w:val="clear" w:color="000000" w:fill="FFFFFF"/>
            <w:vAlign w:val="bottom"/>
            <w:hideMark/>
          </w:tcPr>
          <w:p w:rsidR="005A7FE8" w:rsidRPr="007F4B7E" w:rsidRDefault="005A7FE8" w:rsidP="004C647D">
            <w:pPr>
              <w:pStyle w:val="Tabletext"/>
              <w:rPr>
                <w:b/>
                <w:bCs/>
                <w:lang w:eastAsia="zh-CN"/>
              </w:rPr>
            </w:pPr>
            <w:r w:rsidRPr="007F4B7E">
              <w:rPr>
                <w:b/>
                <w:bCs/>
                <w:lang w:eastAsia="zh-CN"/>
              </w:rPr>
              <w:t>Total</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b/>
                <w:bCs/>
                <w:lang w:eastAsia="zh-CN"/>
              </w:rPr>
            </w:pPr>
            <w:r w:rsidRPr="007F4B7E">
              <w:rPr>
                <w:b/>
                <w:bCs/>
                <w:lang w:eastAsia="zh-CN"/>
              </w:rPr>
              <w:t>152</w:t>
            </w:r>
          </w:p>
        </w:tc>
        <w:tc>
          <w:tcPr>
            <w:tcW w:w="1298"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b/>
                <w:bCs/>
                <w:lang w:eastAsia="zh-CN"/>
              </w:rPr>
            </w:pPr>
            <w:r w:rsidRPr="007F4B7E">
              <w:rPr>
                <w:b/>
                <w:bCs/>
                <w:lang w:eastAsia="zh-CN"/>
              </w:rPr>
              <w:t>156</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b/>
                <w:bCs/>
                <w:lang w:eastAsia="zh-CN"/>
              </w:rPr>
            </w:pPr>
            <w:r w:rsidRPr="007F4B7E">
              <w:rPr>
                <w:b/>
                <w:bCs/>
                <w:lang w:eastAsia="zh-CN"/>
              </w:rPr>
              <w:t>4</w:t>
            </w:r>
          </w:p>
        </w:tc>
        <w:tc>
          <w:tcPr>
            <w:tcW w:w="1240" w:type="dxa"/>
            <w:tcBorders>
              <w:top w:val="nil"/>
              <w:left w:val="nil"/>
              <w:bottom w:val="single" w:sz="4" w:space="0" w:color="auto"/>
              <w:right w:val="single" w:sz="4" w:space="0" w:color="auto"/>
            </w:tcBorders>
            <w:shd w:val="clear" w:color="auto" w:fill="auto"/>
            <w:noWrap/>
            <w:vAlign w:val="bottom"/>
            <w:hideMark/>
          </w:tcPr>
          <w:p w:rsidR="005A7FE8" w:rsidRPr="007F4B7E" w:rsidRDefault="005A7FE8" w:rsidP="004C647D">
            <w:pPr>
              <w:pStyle w:val="Tabletext"/>
              <w:jc w:val="center"/>
              <w:rPr>
                <w:b/>
                <w:bCs/>
                <w:lang w:eastAsia="zh-CN"/>
              </w:rPr>
            </w:pPr>
            <w:r w:rsidRPr="007F4B7E">
              <w:rPr>
                <w:b/>
                <w:bCs/>
                <w:lang w:eastAsia="zh-CN"/>
              </w:rPr>
              <w:t>3%</w:t>
            </w:r>
          </w:p>
        </w:tc>
      </w:tr>
      <w:tr w:rsidR="00094061" w:rsidRPr="007F4B7E" w:rsidTr="005A7FE8">
        <w:trPr>
          <w:trHeight w:val="435"/>
          <w:jc w:val="center"/>
        </w:trPr>
        <w:tc>
          <w:tcPr>
            <w:tcW w:w="4422" w:type="dxa"/>
            <w:tcBorders>
              <w:top w:val="nil"/>
              <w:left w:val="nil"/>
              <w:bottom w:val="nil"/>
              <w:right w:val="nil"/>
            </w:tcBorders>
            <w:shd w:val="clear" w:color="000000" w:fill="FFFFFF"/>
            <w:vAlign w:val="center"/>
            <w:hideMark/>
          </w:tcPr>
          <w:p w:rsidR="00094061" w:rsidRPr="007F4B7E" w:rsidRDefault="00094061" w:rsidP="000610D6">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r w:rsidRPr="007F4B7E">
              <w:rPr>
                <w:rFonts w:cs="Arial"/>
                <w:sz w:val="22"/>
                <w:szCs w:val="22"/>
                <w:lang w:eastAsia="zh-CN"/>
              </w:rPr>
              <w:t> </w:t>
            </w:r>
          </w:p>
        </w:tc>
        <w:tc>
          <w:tcPr>
            <w:tcW w:w="1240" w:type="dxa"/>
            <w:tcBorders>
              <w:top w:val="nil"/>
              <w:left w:val="nil"/>
              <w:bottom w:val="nil"/>
              <w:right w:val="nil"/>
            </w:tcBorders>
            <w:shd w:val="clear" w:color="000000" w:fill="FFFFFF"/>
            <w:noWrap/>
            <w:vAlign w:val="center"/>
            <w:hideMark/>
          </w:tcPr>
          <w:p w:rsidR="00094061" w:rsidRPr="007F4B7E" w:rsidRDefault="00094061" w:rsidP="000610D6">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7F4B7E">
              <w:rPr>
                <w:rFonts w:cs="Arial"/>
                <w:b/>
                <w:bCs/>
                <w:sz w:val="22"/>
                <w:szCs w:val="22"/>
                <w:lang w:eastAsia="zh-CN"/>
              </w:rPr>
              <w:t> </w:t>
            </w:r>
          </w:p>
        </w:tc>
        <w:tc>
          <w:tcPr>
            <w:tcW w:w="1298" w:type="dxa"/>
            <w:tcBorders>
              <w:top w:val="nil"/>
              <w:left w:val="nil"/>
              <w:bottom w:val="nil"/>
              <w:right w:val="nil"/>
            </w:tcBorders>
            <w:shd w:val="clear" w:color="000000" w:fill="FFFFFF"/>
            <w:noWrap/>
            <w:vAlign w:val="center"/>
            <w:hideMark/>
          </w:tcPr>
          <w:p w:rsidR="00094061" w:rsidRPr="007F4B7E" w:rsidRDefault="00094061" w:rsidP="000610D6">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7F4B7E">
              <w:rPr>
                <w:rFonts w:cs="Arial"/>
                <w:b/>
                <w:bCs/>
                <w:sz w:val="22"/>
                <w:szCs w:val="22"/>
                <w:lang w:eastAsia="zh-CN"/>
              </w:rPr>
              <w:t> </w:t>
            </w:r>
          </w:p>
        </w:tc>
        <w:tc>
          <w:tcPr>
            <w:tcW w:w="1240" w:type="dxa"/>
            <w:tcBorders>
              <w:top w:val="nil"/>
              <w:left w:val="nil"/>
              <w:bottom w:val="nil"/>
              <w:right w:val="nil"/>
            </w:tcBorders>
            <w:shd w:val="clear" w:color="000000" w:fill="FFFFFF"/>
            <w:noWrap/>
            <w:vAlign w:val="center"/>
            <w:hideMark/>
          </w:tcPr>
          <w:p w:rsidR="00094061" w:rsidRPr="007F4B7E" w:rsidRDefault="00094061" w:rsidP="000610D6">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2"/>
                <w:szCs w:val="22"/>
                <w:lang w:eastAsia="zh-CN"/>
              </w:rPr>
            </w:pPr>
            <w:r w:rsidRPr="007F4B7E">
              <w:rPr>
                <w:rFonts w:cs="Arial"/>
                <w:b/>
                <w:bCs/>
                <w:sz w:val="22"/>
                <w:szCs w:val="22"/>
                <w:lang w:eastAsia="zh-CN"/>
              </w:rPr>
              <w:t> </w:t>
            </w:r>
          </w:p>
        </w:tc>
        <w:tc>
          <w:tcPr>
            <w:tcW w:w="1240" w:type="dxa"/>
            <w:tcBorders>
              <w:top w:val="nil"/>
              <w:left w:val="nil"/>
              <w:bottom w:val="nil"/>
              <w:right w:val="nil"/>
            </w:tcBorders>
            <w:shd w:val="clear" w:color="auto" w:fill="auto"/>
            <w:noWrap/>
            <w:vAlign w:val="bottom"/>
            <w:hideMark/>
          </w:tcPr>
          <w:p w:rsidR="00094061" w:rsidRPr="007F4B7E" w:rsidRDefault="00094061" w:rsidP="000610D6">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p>
        </w:tc>
      </w:tr>
      <w:tr w:rsidR="00094061" w:rsidRPr="007F4B7E" w:rsidTr="005A7FE8">
        <w:trPr>
          <w:trHeight w:val="630"/>
          <w:jc w:val="center"/>
        </w:trPr>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Nombre d'Etablissements universitaires (Résolution 169 (Rév. Busan, 2014))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Nombre</w:t>
            </w:r>
            <w:r w:rsidR="004C647D" w:rsidRPr="007F4B7E">
              <w:rPr>
                <w:lang w:eastAsia="zh-CN"/>
              </w:rPr>
              <w:br/>
            </w:r>
            <w:r w:rsidRPr="007F4B7E">
              <w:rPr>
                <w:lang w:eastAsia="zh-CN"/>
              </w:rPr>
              <w:t>PP-10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Nombre</w:t>
            </w:r>
            <w:r w:rsidR="004C647D" w:rsidRPr="007F4B7E">
              <w:rPr>
                <w:lang w:eastAsia="zh-CN"/>
              </w:rPr>
              <w:br/>
            </w:r>
            <w:r w:rsidRPr="007F4B7E">
              <w:rPr>
                <w:lang w:eastAsia="zh-CN"/>
              </w:rPr>
              <w:t>au 31/01/2017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Différence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4061" w:rsidRPr="007F4B7E" w:rsidRDefault="00094061" w:rsidP="004C647D">
            <w:pPr>
              <w:pStyle w:val="Tablehead"/>
              <w:rPr>
                <w:lang w:eastAsia="zh-CN"/>
              </w:rPr>
            </w:pPr>
            <w:r w:rsidRPr="007F4B7E">
              <w:rPr>
                <w:lang w:eastAsia="zh-CN"/>
              </w:rPr>
              <w:t>Différence en %</w:t>
            </w:r>
          </w:p>
        </w:tc>
      </w:tr>
      <w:tr w:rsidR="005A7FE8" w:rsidRPr="007F4B7E" w:rsidTr="005A7FE8">
        <w:trPr>
          <w:trHeight w:val="390"/>
          <w:jc w:val="center"/>
        </w:trPr>
        <w:tc>
          <w:tcPr>
            <w:tcW w:w="4422" w:type="dxa"/>
            <w:tcBorders>
              <w:top w:val="nil"/>
              <w:left w:val="single" w:sz="4" w:space="0" w:color="auto"/>
              <w:bottom w:val="single" w:sz="4" w:space="0" w:color="auto"/>
              <w:right w:val="single" w:sz="4" w:space="0" w:color="auto"/>
            </w:tcBorders>
            <w:shd w:val="clear" w:color="000000" w:fill="FFFFFF"/>
            <w:vAlign w:val="bottom"/>
            <w:hideMark/>
          </w:tcPr>
          <w:p w:rsidR="005A7FE8" w:rsidRPr="007F4B7E" w:rsidRDefault="005A7FE8" w:rsidP="004C647D">
            <w:pPr>
              <w:pStyle w:val="Tabletext"/>
              <w:rPr>
                <w:lang w:eastAsia="zh-CN"/>
              </w:rPr>
            </w:pPr>
            <w:r w:rsidRPr="007F4B7E">
              <w:rPr>
                <w:lang w:eastAsia="zh-CN"/>
              </w:rPr>
              <w:t xml:space="preserve">Etablissements universitaires </w:t>
            </w:r>
            <w:r w:rsidR="007F4B7E" w:rsidRPr="007F4B7E">
              <w:rPr>
                <w:lang w:eastAsia="zh-CN"/>
              </w:rPr>
              <w:t xml:space="preserve">participant aux travaux </w:t>
            </w:r>
            <w:r w:rsidRPr="007F4B7E">
              <w:rPr>
                <w:lang w:eastAsia="zh-CN"/>
              </w:rPr>
              <w:t>de l'Union</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b/>
                <w:bCs/>
                <w:lang w:eastAsia="zh-CN"/>
              </w:rPr>
            </w:pPr>
            <w:r w:rsidRPr="007F4B7E">
              <w:rPr>
                <w:b/>
                <w:bCs/>
                <w:lang w:eastAsia="zh-CN"/>
              </w:rPr>
              <w:t>83</w:t>
            </w:r>
          </w:p>
        </w:tc>
        <w:tc>
          <w:tcPr>
            <w:tcW w:w="1298"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b/>
                <w:bCs/>
                <w:lang w:eastAsia="zh-CN"/>
              </w:rPr>
            </w:pPr>
            <w:r w:rsidRPr="007F4B7E">
              <w:rPr>
                <w:b/>
                <w:bCs/>
                <w:lang w:eastAsia="zh-CN"/>
              </w:rPr>
              <w:t>126</w:t>
            </w:r>
          </w:p>
        </w:tc>
        <w:tc>
          <w:tcPr>
            <w:tcW w:w="1240" w:type="dxa"/>
            <w:tcBorders>
              <w:top w:val="nil"/>
              <w:left w:val="nil"/>
              <w:bottom w:val="single" w:sz="4" w:space="0" w:color="auto"/>
              <w:right w:val="single" w:sz="4" w:space="0" w:color="auto"/>
            </w:tcBorders>
            <w:shd w:val="clear" w:color="000000" w:fill="FFFFFF"/>
            <w:noWrap/>
            <w:vAlign w:val="bottom"/>
            <w:hideMark/>
          </w:tcPr>
          <w:p w:rsidR="005A7FE8" w:rsidRPr="007F4B7E" w:rsidRDefault="005A7FE8" w:rsidP="004C647D">
            <w:pPr>
              <w:pStyle w:val="Tabletext"/>
              <w:jc w:val="center"/>
              <w:rPr>
                <w:b/>
                <w:bCs/>
                <w:lang w:eastAsia="zh-CN"/>
              </w:rPr>
            </w:pPr>
            <w:r w:rsidRPr="007F4B7E">
              <w:rPr>
                <w:b/>
                <w:bCs/>
                <w:lang w:eastAsia="zh-CN"/>
              </w:rPr>
              <w:t>43</w:t>
            </w:r>
          </w:p>
        </w:tc>
        <w:tc>
          <w:tcPr>
            <w:tcW w:w="1240" w:type="dxa"/>
            <w:tcBorders>
              <w:top w:val="nil"/>
              <w:left w:val="nil"/>
              <w:bottom w:val="single" w:sz="4" w:space="0" w:color="auto"/>
              <w:right w:val="single" w:sz="4" w:space="0" w:color="auto"/>
            </w:tcBorders>
            <w:shd w:val="clear" w:color="auto" w:fill="auto"/>
            <w:noWrap/>
            <w:vAlign w:val="bottom"/>
            <w:hideMark/>
          </w:tcPr>
          <w:p w:rsidR="005A7FE8" w:rsidRPr="007F4B7E" w:rsidRDefault="005A7FE8" w:rsidP="004C647D">
            <w:pPr>
              <w:pStyle w:val="Tabletext"/>
              <w:jc w:val="center"/>
              <w:rPr>
                <w:b/>
                <w:bCs/>
                <w:lang w:eastAsia="zh-CN"/>
              </w:rPr>
            </w:pPr>
            <w:r w:rsidRPr="007F4B7E">
              <w:rPr>
                <w:b/>
                <w:bCs/>
                <w:lang w:eastAsia="zh-CN"/>
              </w:rPr>
              <w:t>52%</w:t>
            </w:r>
          </w:p>
        </w:tc>
      </w:tr>
    </w:tbl>
    <w:p w:rsidR="0047688A" w:rsidRPr="007F4B7E" w:rsidRDefault="00094061" w:rsidP="00705B88">
      <w:pPr>
        <w:spacing w:before="840"/>
        <w:jc w:val="center"/>
      </w:pPr>
      <w:r w:rsidRPr="007F4B7E">
        <w:t>______________</w:t>
      </w:r>
    </w:p>
    <w:sectPr w:rsidR="0047688A" w:rsidRPr="007F4B7E"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F5" w:rsidRDefault="008B42F5">
      <w:r>
        <w:separator/>
      </w:r>
    </w:p>
  </w:endnote>
  <w:endnote w:type="continuationSeparator" w:id="0">
    <w:p w:rsidR="008B42F5" w:rsidRDefault="008B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F5" w:rsidRDefault="00705B88">
    <w:pPr>
      <w:pStyle w:val="Footer"/>
    </w:pPr>
    <w:r>
      <w:fldChar w:fldCharType="begin"/>
    </w:r>
    <w:r>
      <w:instrText xml:space="preserve"> FILENAME \p \* MERGEFORMAT </w:instrText>
    </w:r>
    <w:r>
      <w:fldChar w:fldCharType="separate"/>
    </w:r>
    <w:r w:rsidR="008B42F5">
      <w:t>Document1</w:t>
    </w:r>
    <w:r>
      <w:fldChar w:fldCharType="end"/>
    </w:r>
    <w:r w:rsidR="008B42F5">
      <w:tab/>
    </w:r>
    <w:r w:rsidR="008B42F5">
      <w:fldChar w:fldCharType="begin"/>
    </w:r>
    <w:r w:rsidR="008B42F5">
      <w:instrText xml:space="preserve"> savedate \@ dd.MM.yy </w:instrText>
    </w:r>
    <w:r w:rsidR="008B42F5">
      <w:fldChar w:fldCharType="separate"/>
    </w:r>
    <w:r>
      <w:t>20.04.17</w:t>
    </w:r>
    <w:r w:rsidR="008B42F5">
      <w:fldChar w:fldCharType="end"/>
    </w:r>
    <w:r w:rsidR="008B42F5">
      <w:tab/>
    </w:r>
    <w:r w:rsidR="008B42F5">
      <w:fldChar w:fldCharType="begin"/>
    </w:r>
    <w:r w:rsidR="008B42F5">
      <w:instrText xml:space="preserve"> printdate \@ dd.MM.yy </w:instrText>
    </w:r>
    <w:r w:rsidR="008B42F5">
      <w:fldChar w:fldCharType="separate"/>
    </w:r>
    <w:r w:rsidR="008B42F5">
      <w:t>18.07.00</w:t>
    </w:r>
    <w:r w:rsidR="008B42F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F5" w:rsidRPr="00705B88" w:rsidRDefault="00705B88" w:rsidP="00982236">
    <w:pPr>
      <w:pStyle w:val="Footer"/>
      <w:rPr>
        <w:color w:val="D9D9D9" w:themeColor="background1" w:themeShade="D9"/>
      </w:rPr>
    </w:pPr>
    <w:r w:rsidRPr="00705B88">
      <w:rPr>
        <w:color w:val="D9D9D9" w:themeColor="background1" w:themeShade="D9"/>
      </w:rPr>
      <w:fldChar w:fldCharType="begin"/>
    </w:r>
    <w:r w:rsidRPr="00705B88">
      <w:rPr>
        <w:color w:val="D9D9D9" w:themeColor="background1" w:themeShade="D9"/>
      </w:rPr>
      <w:instrText xml:space="preserve"> FILENAME \p  \* MERGEFORMAT </w:instrText>
    </w:r>
    <w:r w:rsidRPr="00705B88">
      <w:rPr>
        <w:color w:val="D9D9D9" w:themeColor="background1" w:themeShade="D9"/>
      </w:rPr>
      <w:fldChar w:fldCharType="separate"/>
    </w:r>
    <w:r w:rsidR="007F4B7E" w:rsidRPr="00705B88">
      <w:rPr>
        <w:color w:val="D9D9D9" w:themeColor="background1" w:themeShade="D9"/>
      </w:rPr>
      <w:t>P:\FRA\SG\CONSEIL\C17\000\057F.docx</w:t>
    </w:r>
    <w:r w:rsidRPr="00705B88">
      <w:rPr>
        <w:color w:val="D9D9D9" w:themeColor="background1" w:themeShade="D9"/>
      </w:rPr>
      <w:fldChar w:fldCharType="end"/>
    </w:r>
    <w:r w:rsidR="008B42F5" w:rsidRPr="00705B88">
      <w:rPr>
        <w:color w:val="D9D9D9" w:themeColor="background1" w:themeShade="D9"/>
      </w:rPr>
      <w:t xml:space="preserve"> (409507)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F5" w:rsidRDefault="008B42F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F5" w:rsidRDefault="008B42F5">
      <w:r>
        <w:t>____________________</w:t>
      </w:r>
    </w:p>
  </w:footnote>
  <w:footnote w:type="continuationSeparator" w:id="0">
    <w:p w:rsidR="008B42F5" w:rsidRDefault="008B4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F5" w:rsidRDefault="008B42F5">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B42F5" w:rsidRDefault="008B42F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F5" w:rsidRDefault="008B42F5" w:rsidP="00475FB3">
    <w:pPr>
      <w:pStyle w:val="Header"/>
    </w:pPr>
    <w:r>
      <w:fldChar w:fldCharType="begin"/>
    </w:r>
    <w:r>
      <w:instrText>PAGE</w:instrText>
    </w:r>
    <w:r>
      <w:fldChar w:fldCharType="separate"/>
    </w:r>
    <w:r w:rsidR="00705B88">
      <w:rPr>
        <w:noProof/>
      </w:rPr>
      <w:t>2</w:t>
    </w:r>
    <w:r>
      <w:rPr>
        <w:noProof/>
      </w:rPr>
      <w:fldChar w:fldCharType="end"/>
    </w:r>
  </w:p>
  <w:p w:rsidR="008B42F5" w:rsidRDefault="008B42F5" w:rsidP="0093234A">
    <w:pPr>
      <w:pStyle w:val="Header"/>
    </w:pPr>
    <w:r>
      <w:t>C17/57-F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2FE296-C6F4-4C8A-B53B-7A01A65F1295}"/>
    <w:docVar w:name="dgnword-eventsink" w:val="456190640"/>
  </w:docVars>
  <w:rsids>
    <w:rsidRoot w:val="00025798"/>
    <w:rsid w:val="00025798"/>
    <w:rsid w:val="000610D6"/>
    <w:rsid w:val="00094061"/>
    <w:rsid w:val="000D0D0A"/>
    <w:rsid w:val="00103163"/>
    <w:rsid w:val="00115D93"/>
    <w:rsid w:val="001247A8"/>
    <w:rsid w:val="001378C0"/>
    <w:rsid w:val="0014017D"/>
    <w:rsid w:val="0014030C"/>
    <w:rsid w:val="0018694A"/>
    <w:rsid w:val="001A3287"/>
    <w:rsid w:val="001D3714"/>
    <w:rsid w:val="001D4C31"/>
    <w:rsid w:val="001D4D1E"/>
    <w:rsid w:val="001E4D21"/>
    <w:rsid w:val="00207CD1"/>
    <w:rsid w:val="002477A2"/>
    <w:rsid w:val="00263A51"/>
    <w:rsid w:val="00267E02"/>
    <w:rsid w:val="002A5D44"/>
    <w:rsid w:val="002E0BC4"/>
    <w:rsid w:val="002F1B76"/>
    <w:rsid w:val="00355FF5"/>
    <w:rsid w:val="00361350"/>
    <w:rsid w:val="003A2BDF"/>
    <w:rsid w:val="004038CB"/>
    <w:rsid w:val="0040546F"/>
    <w:rsid w:val="0042404A"/>
    <w:rsid w:val="0044618F"/>
    <w:rsid w:val="0046769A"/>
    <w:rsid w:val="00475FB3"/>
    <w:rsid w:val="0047688A"/>
    <w:rsid w:val="004C37A9"/>
    <w:rsid w:val="004C647D"/>
    <w:rsid w:val="004F259E"/>
    <w:rsid w:val="00511F1D"/>
    <w:rsid w:val="00540615"/>
    <w:rsid w:val="00540A6D"/>
    <w:rsid w:val="00571EEA"/>
    <w:rsid w:val="00575417"/>
    <w:rsid w:val="005768E1"/>
    <w:rsid w:val="005A7FE8"/>
    <w:rsid w:val="005C3890"/>
    <w:rsid w:val="005E36B5"/>
    <w:rsid w:val="005F7BFE"/>
    <w:rsid w:val="00600017"/>
    <w:rsid w:val="006203A3"/>
    <w:rsid w:val="006235CA"/>
    <w:rsid w:val="006479D6"/>
    <w:rsid w:val="006643AB"/>
    <w:rsid w:val="006A6D70"/>
    <w:rsid w:val="00705B88"/>
    <w:rsid w:val="007210CD"/>
    <w:rsid w:val="00732045"/>
    <w:rsid w:val="007369DB"/>
    <w:rsid w:val="0078661A"/>
    <w:rsid w:val="007956C2"/>
    <w:rsid w:val="007A187E"/>
    <w:rsid w:val="007B181B"/>
    <w:rsid w:val="007C72C2"/>
    <w:rsid w:val="007D4436"/>
    <w:rsid w:val="007E23FE"/>
    <w:rsid w:val="007F257A"/>
    <w:rsid w:val="007F3665"/>
    <w:rsid w:val="007F4B7E"/>
    <w:rsid w:val="00800037"/>
    <w:rsid w:val="00861D73"/>
    <w:rsid w:val="008A4E87"/>
    <w:rsid w:val="008B42F5"/>
    <w:rsid w:val="008D76E6"/>
    <w:rsid w:val="0092392D"/>
    <w:rsid w:val="0093234A"/>
    <w:rsid w:val="00982236"/>
    <w:rsid w:val="009C307F"/>
    <w:rsid w:val="00A2113E"/>
    <w:rsid w:val="00A23A51"/>
    <w:rsid w:val="00A24607"/>
    <w:rsid w:val="00A25CD3"/>
    <w:rsid w:val="00A82767"/>
    <w:rsid w:val="00AA332F"/>
    <w:rsid w:val="00AA7BBB"/>
    <w:rsid w:val="00AB64A8"/>
    <w:rsid w:val="00AC0266"/>
    <w:rsid w:val="00AD24EC"/>
    <w:rsid w:val="00AE5728"/>
    <w:rsid w:val="00B309F9"/>
    <w:rsid w:val="00B32B60"/>
    <w:rsid w:val="00B61619"/>
    <w:rsid w:val="00BB4545"/>
    <w:rsid w:val="00BD5873"/>
    <w:rsid w:val="00C04BE3"/>
    <w:rsid w:val="00C25D29"/>
    <w:rsid w:val="00C27A7C"/>
    <w:rsid w:val="00CA08ED"/>
    <w:rsid w:val="00CF183B"/>
    <w:rsid w:val="00D375CD"/>
    <w:rsid w:val="00D553A2"/>
    <w:rsid w:val="00D76ECF"/>
    <w:rsid w:val="00D774D3"/>
    <w:rsid w:val="00D8670E"/>
    <w:rsid w:val="00D904E8"/>
    <w:rsid w:val="00DA08C3"/>
    <w:rsid w:val="00DB5A3E"/>
    <w:rsid w:val="00DC22AA"/>
    <w:rsid w:val="00DF74DD"/>
    <w:rsid w:val="00E019E4"/>
    <w:rsid w:val="00E25AD0"/>
    <w:rsid w:val="00E63FB8"/>
    <w:rsid w:val="00EB6350"/>
    <w:rsid w:val="00F15B57"/>
    <w:rsid w:val="00F427DB"/>
    <w:rsid w:val="00FA0F9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177A7CC-14A4-4F5A-BDE9-1E1AC5EA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02579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1125</Words>
  <Characters>6223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PRELIMINARY AMOUNT OF THE CONTRIBUTORY UNIT</vt:lpstr>
    </vt:vector>
  </TitlesOfParts>
  <Manager>Secrétariat général - Pool</Manager>
  <Company>Union internationale des télécommunications (UIT)</Company>
  <LinksUpToDate>false</LinksUpToDate>
  <CharactersWithSpaces>7334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Montant préliminaire de l'Unité contributive</dc:title>
  <dc:subject>Conseil 2017</dc:subject>
  <dc:creator>Rapport du Secrétaire général</dc:creator>
  <cp:keywords>C2017, C17</cp:keywords>
  <dc:description>Document C17/57-F  Pour: Point de l'ordre du jour: ADM 1_x000d_Date du document: 31 mars 2017_x000d_Enregistré par ITU51007810 à 14:05:09 le 06/04/2017</dc:description>
  <cp:lastModifiedBy>Brouard, Ricarda</cp:lastModifiedBy>
  <cp:revision>2</cp:revision>
  <cp:lastPrinted>2000-07-18T08:55:00Z</cp:lastPrinted>
  <dcterms:created xsi:type="dcterms:W3CDTF">2017-04-21T08:03:00Z</dcterms:created>
  <dcterms:modified xsi:type="dcterms:W3CDTF">2017-04-21T08:03:00Z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C17/57-F</vt:lpwstr>
  </property>
  <property fmtid="{D5CDD505-2E9C-101B-9397-08002B2CF9AE}" pid="3" name="Docdate">
    <vt:lpwstr>31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1</vt:lpwstr>
  </property>
  <property fmtid="{D5CDD505-2E9C-101B-9397-08002B2CF9AE}" pid="7" name="Docauthor">
    <vt:lpwstr>Rapport du Secrétaire général</vt:lpwstr>
  </property>
</Properties>
</file>