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2C190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  <w:r w:rsidRPr="004D609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0961B8">
              <w:rPr>
                <w:b/>
              </w:rPr>
              <w:t>ADM</w:t>
            </w:r>
            <w:r w:rsidR="002C1908">
              <w:rPr>
                <w:b/>
              </w:rPr>
              <w:t> </w:t>
            </w:r>
            <w:r w:rsidR="000961B8">
              <w:rPr>
                <w:b/>
              </w:rPr>
              <w:t>14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0961B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0961B8">
              <w:rPr>
                <w:rFonts w:eastAsiaTheme="minorEastAsia"/>
                <w:b/>
                <w:bCs/>
                <w:lang w:eastAsia="zh-CN" w:bidi="ar-SY"/>
              </w:rPr>
              <w:t>54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481CF1" w:rsidP="000961B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31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961B8">
              <w:rPr>
                <w:rFonts w:eastAsiaTheme="minorEastAsia" w:hint="cs"/>
                <w:b/>
                <w:bCs/>
                <w:rtl/>
                <w:lang w:eastAsia="zh-CN" w:bidi="ar-EG"/>
              </w:rPr>
              <w:t>مارس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0961B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0961B8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6F0300" w:rsidP="000E4FF0">
            <w:pPr>
              <w:pStyle w:val="Source"/>
              <w:rPr>
                <w:rFonts w:eastAsiaTheme="minorEastAsia"/>
                <w:rtl/>
                <w:lang w:eastAsia="zh-CN"/>
              </w:rPr>
            </w:pPr>
            <w:r w:rsidRPr="00DC0FB9">
              <w:rPr>
                <w:rFonts w:hint="cs"/>
                <w:rtl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6F0300" w:rsidP="00EE26DB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DC0FB9">
              <w:rPr>
                <w:rFonts w:hint="eastAsia"/>
                <w:rtl/>
              </w:rPr>
              <w:t>تغييرات</w:t>
            </w:r>
            <w:r w:rsidRPr="00DC0FB9">
              <w:rPr>
                <w:rtl/>
              </w:rPr>
              <w:t xml:space="preserve"> </w:t>
            </w:r>
            <w:r w:rsidRPr="00DC0FB9">
              <w:rPr>
                <w:rFonts w:hint="eastAsia"/>
                <w:rtl/>
              </w:rPr>
              <w:t>في</w:t>
            </w:r>
            <w:r w:rsidRPr="00DC0FB9">
              <w:rPr>
                <w:rtl/>
              </w:rPr>
              <w:t xml:space="preserve"> </w:t>
            </w:r>
            <w:r w:rsidRPr="00DC0FB9">
              <w:rPr>
                <w:rFonts w:hint="eastAsia"/>
                <w:rtl/>
              </w:rPr>
              <w:t>شروط</w:t>
            </w:r>
            <w:r w:rsidRPr="00DC0FB9">
              <w:rPr>
                <w:rtl/>
              </w:rPr>
              <w:t xml:space="preserve"> </w:t>
            </w:r>
            <w:r w:rsidRPr="00DC0FB9">
              <w:rPr>
                <w:rFonts w:hint="cs"/>
                <w:rtl/>
              </w:rPr>
              <w:t>ال‍خدمة</w:t>
            </w:r>
            <w:r w:rsidR="00EE26DB">
              <w:rPr>
                <w:rtl/>
              </w:rPr>
              <w:br/>
            </w:r>
            <w:r w:rsidRPr="00DC0FB9">
              <w:rPr>
                <w:rFonts w:hint="eastAsia"/>
                <w:rtl/>
              </w:rPr>
              <w:t>في</w:t>
            </w:r>
            <w:r w:rsidRPr="00DC0FB9">
              <w:rPr>
                <w:rtl/>
              </w:rPr>
              <w:t xml:space="preserve"> </w:t>
            </w:r>
            <w:r w:rsidRPr="00DC0FB9">
              <w:rPr>
                <w:rFonts w:hint="eastAsia"/>
                <w:rtl/>
              </w:rPr>
              <w:t>النظام</w:t>
            </w:r>
            <w:r w:rsidRPr="00DC0FB9">
              <w:rPr>
                <w:rtl/>
              </w:rPr>
              <w:t xml:space="preserve"> </w:t>
            </w:r>
            <w:r w:rsidRPr="00DC0FB9">
              <w:rPr>
                <w:rFonts w:hint="cs"/>
                <w:rtl/>
              </w:rPr>
              <w:t>ال‍موحد</w:t>
            </w:r>
            <w:r w:rsidRPr="00DC0FB9">
              <w:rPr>
                <w:rtl/>
              </w:rPr>
              <w:t xml:space="preserve"> </w:t>
            </w:r>
            <w:r w:rsidRPr="00DC0FB9">
              <w:rPr>
                <w:rFonts w:hint="eastAsia"/>
                <w:rtl/>
              </w:rPr>
              <w:t>للأمم</w:t>
            </w:r>
            <w:r w:rsidRPr="00DC0FB9">
              <w:rPr>
                <w:rtl/>
              </w:rPr>
              <w:t xml:space="preserve"> </w:t>
            </w:r>
            <w:r w:rsidRPr="00DC0FB9">
              <w:rPr>
                <w:rFonts w:hint="cs"/>
                <w:rtl/>
              </w:rPr>
              <w:t>ال‍متحدة</w:t>
            </w: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E4FF0" w:rsidRPr="000E4FF0" w:rsidTr="004270DC">
        <w:trPr>
          <w:jc w:val="center"/>
        </w:trPr>
        <w:tc>
          <w:tcPr>
            <w:tcW w:w="723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0E4FF0" w:rsidRPr="000E4FF0" w:rsidRDefault="006F0300" w:rsidP="004D60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DC0FB9">
              <w:rPr>
                <w:rFonts w:hint="cs"/>
                <w:rtl/>
              </w:rPr>
              <w:t>هذا تقرير عن القرارات التي اتخذتها الجمعية العامة للأمم المتحدة</w:t>
            </w:r>
            <w:r w:rsidRPr="00DC0FB9">
              <w:rPr>
                <w:rFonts w:hint="eastAsia"/>
                <w:rtl/>
              </w:rPr>
              <w:t> </w:t>
            </w:r>
            <w:r w:rsidRPr="00DC0FB9">
              <w:rPr>
                <w:lang w:bidi="ar-SY"/>
              </w:rPr>
              <w:t>(UNGA)</w:t>
            </w:r>
            <w:r w:rsidRPr="00DC0FB9">
              <w:rPr>
                <w:rFonts w:hint="cs"/>
                <w:rtl/>
              </w:rPr>
              <w:t xml:space="preserve"> في دورتها </w:t>
            </w:r>
            <w:r w:rsidR="004D6096" w:rsidRPr="004D6096">
              <w:rPr>
                <w:rFonts w:hint="cs"/>
                <w:rtl/>
              </w:rPr>
              <w:t>الحادية</w:t>
            </w:r>
            <w:r w:rsidR="00C956AD" w:rsidRPr="004D6096">
              <w:rPr>
                <w:rFonts w:hint="cs"/>
                <w:rtl/>
              </w:rPr>
              <w:t xml:space="preserve"> و</w:t>
            </w:r>
            <w:r w:rsidRPr="004D6096">
              <w:rPr>
                <w:rFonts w:hint="cs"/>
                <w:rtl/>
              </w:rPr>
              <w:t>السبعين</w:t>
            </w:r>
            <w:r w:rsidRPr="00DC0FB9">
              <w:rPr>
                <w:rFonts w:hint="eastAsia"/>
                <w:rtl/>
              </w:rPr>
              <w:t> </w:t>
            </w:r>
            <w:r w:rsidRPr="00DC0FB9">
              <w:rPr>
                <w:lang w:bidi="ar-SY"/>
              </w:rPr>
              <w:t>(201</w:t>
            </w:r>
            <w:r w:rsidR="00C956AD">
              <w:rPr>
                <w:lang w:bidi="ar-SY"/>
              </w:rPr>
              <w:t>6</w:t>
            </w:r>
            <w:r w:rsidRPr="00DC0FB9">
              <w:rPr>
                <w:lang w:bidi="ar-SY"/>
              </w:rPr>
              <w:t>)</w:t>
            </w:r>
            <w:r w:rsidRPr="00DC0FB9">
              <w:rPr>
                <w:rFonts w:hint="cs"/>
                <w:rtl/>
              </w:rPr>
              <w:t xml:space="preserve"> بشأن شروط الخدمة في النظام الموحد للأمم المتحدة.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C956AD" w:rsidRPr="00DC0FB9" w:rsidRDefault="00C956AD" w:rsidP="00BD0838">
            <w:pPr>
              <w:rPr>
                <w:rtl/>
              </w:rPr>
            </w:pPr>
            <w:r w:rsidRPr="00DC0FB9">
              <w:rPr>
                <w:rFonts w:hint="cs"/>
                <w:rtl/>
              </w:rPr>
              <w:t xml:space="preserve">يُدعى المجلس </w:t>
            </w:r>
            <w:r w:rsidRPr="0036577D">
              <w:rPr>
                <w:rFonts w:hint="cs"/>
                <w:rtl/>
              </w:rPr>
              <w:t>إلى</w:t>
            </w:r>
            <w:r w:rsidRPr="00DC0FB9">
              <w:rPr>
                <w:rFonts w:hint="cs"/>
                <w:b/>
                <w:bCs/>
                <w:rtl/>
              </w:rPr>
              <w:t xml:space="preserve"> الإحاطة علماً </w:t>
            </w:r>
            <w:r w:rsidRPr="00DC0FB9">
              <w:rPr>
                <w:rFonts w:hint="cs"/>
                <w:rtl/>
              </w:rPr>
              <w:t xml:space="preserve">بالتغييرات التي طرأت على الأحكام ذات الصلة من النظام الأساسي </w:t>
            </w:r>
            <w:r w:rsidR="00BD0838">
              <w:rPr>
                <w:rFonts w:hint="cs"/>
                <w:rtl/>
              </w:rPr>
              <w:t>للموظفين</w:t>
            </w:r>
            <w:r w:rsidRPr="00DC0FB9">
              <w:rPr>
                <w:rFonts w:hint="cs"/>
                <w:rtl/>
              </w:rPr>
              <w:t xml:space="preserve"> المعينين، بما فيها تلك التي نفذها الأمين العام وفقاً للقرار</w:t>
            </w:r>
            <w:r>
              <w:rPr>
                <w:rFonts w:hint="eastAsia"/>
                <w:rtl/>
              </w:rPr>
              <w:t> </w:t>
            </w:r>
            <w:r w:rsidRPr="00DC0FB9">
              <w:rPr>
                <w:lang w:bidi="ar-SY"/>
              </w:rPr>
              <w:t>647</w:t>
            </w:r>
            <w:r w:rsidRPr="00DC0FB9">
              <w:rPr>
                <w:rFonts w:hint="cs"/>
                <w:rtl/>
              </w:rPr>
              <w:t xml:space="preserve"> </w:t>
            </w:r>
            <w:r w:rsidRPr="00DC0FB9">
              <w:rPr>
                <w:rFonts w:hint="cs"/>
                <w:rtl/>
                <w:lang w:bidi="ar-EG"/>
              </w:rPr>
              <w:t>(</w:t>
            </w:r>
            <w:r w:rsidR="002C1908">
              <w:rPr>
                <w:rFonts w:hint="cs"/>
                <w:rtl/>
                <w:lang w:bidi="ar-EG"/>
              </w:rPr>
              <w:t>المعدل</w:t>
            </w:r>
            <w:r w:rsidRPr="00DC0FB9">
              <w:rPr>
                <w:rFonts w:hint="cs"/>
                <w:rtl/>
                <w:lang w:bidi="ar-EG"/>
              </w:rPr>
              <w:t>)</w:t>
            </w:r>
            <w:r>
              <w:rPr>
                <w:lang w:bidi="ar-EG"/>
              </w:rPr>
              <w:t xml:space="preserve"> </w:t>
            </w:r>
            <w:r>
              <w:rPr>
                <w:rFonts w:hint="cs"/>
                <w:rtl/>
                <w:lang w:val="ru-RU" w:bidi="ar-EG"/>
              </w:rPr>
              <w:t>الصادر عن المجلس</w:t>
            </w:r>
            <w:r w:rsidRPr="00DC0FB9">
              <w:rPr>
                <w:rFonts w:hint="cs"/>
                <w:rtl/>
              </w:rPr>
              <w:t>.</w:t>
            </w:r>
          </w:p>
          <w:p w:rsidR="000E4FF0" w:rsidRPr="000E4FF0" w:rsidRDefault="00C956AD" w:rsidP="00C956A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DC0FB9">
              <w:rPr>
                <w:rFonts w:hint="cs"/>
                <w:rtl/>
              </w:rPr>
              <w:t>ووفقاً للقرار</w:t>
            </w:r>
            <w:r>
              <w:rPr>
                <w:rFonts w:hint="eastAsia"/>
                <w:rtl/>
              </w:rPr>
              <w:t> </w:t>
            </w:r>
            <w:r w:rsidRPr="00DC0FB9">
              <w:rPr>
                <w:lang w:bidi="ar-SY"/>
              </w:rPr>
              <w:t>46</w:t>
            </w:r>
            <w:r w:rsidRPr="00DC0FB9">
              <w:rPr>
                <w:rFonts w:hint="cs"/>
                <w:rtl/>
              </w:rPr>
              <w:t xml:space="preserve"> (كيوتو، </w:t>
            </w:r>
            <w:r w:rsidRPr="00DC0FB9">
              <w:rPr>
                <w:lang w:bidi="ar-SY"/>
              </w:rPr>
              <w:t>1994</w:t>
            </w:r>
            <w:r w:rsidRPr="00DC0FB9">
              <w:rPr>
                <w:rFonts w:hint="cs"/>
                <w:rtl/>
              </w:rPr>
              <w:t xml:space="preserve">)، يُدعى المجلس </w:t>
            </w:r>
            <w:r w:rsidRPr="00DC0FB9">
              <w:rPr>
                <w:rFonts w:hint="cs"/>
                <w:b/>
                <w:bCs/>
                <w:rtl/>
              </w:rPr>
              <w:t>إلى الموافقة</w:t>
            </w:r>
            <w:r w:rsidRPr="00DC0FB9">
              <w:rPr>
                <w:rFonts w:hint="cs"/>
                <w:rtl/>
              </w:rPr>
              <w:t xml:space="preserve"> على جدول المرتبات المطبق على الموظفين المنتخبين، حسبما يرد في مشروع القرار الوارد في ملحق هذه الوثيقة</w:t>
            </w:r>
            <w:r w:rsidRPr="00DC0FB9">
              <w:rPr>
                <w:rFonts w:hint="cs"/>
                <w:rtl/>
                <w:lang w:bidi="ar-SY"/>
              </w:rPr>
              <w:t>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0E4FF0" w:rsidRPr="000E4FF0" w:rsidRDefault="00DB2AF4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i/>
                <w:iCs/>
                <w:rtl/>
                <w:lang w:eastAsia="zh-CN" w:bidi="ar-EG"/>
              </w:rPr>
            </w:pPr>
            <w:hyperlink r:id="rId11" w:anchor="res46" w:history="1">
              <w:r w:rsidR="00C26614" w:rsidRPr="0036577D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C26614" w:rsidRPr="0036577D">
                <w:rPr>
                  <w:rStyle w:val="Hyperlink"/>
                  <w:i/>
                  <w:iCs/>
                  <w:lang w:val="en-GB" w:bidi="ar-SY"/>
                </w:rPr>
                <w:t>46</w:t>
              </w:r>
            </w:hyperlink>
            <w:r w:rsidR="00C26614" w:rsidRPr="00DC0FB9">
              <w:rPr>
                <w:rFonts w:hint="cs"/>
                <w:i/>
                <w:iCs/>
                <w:rtl/>
              </w:rPr>
              <w:t xml:space="preserve"> (كيوتو، </w:t>
            </w:r>
            <w:r w:rsidR="00C26614" w:rsidRPr="00DC0FB9">
              <w:rPr>
                <w:i/>
                <w:iCs/>
                <w:lang w:bidi="ar-SY"/>
              </w:rPr>
              <w:t>1994</w:t>
            </w:r>
            <w:r w:rsidR="00C26614" w:rsidRPr="00DC0FB9">
              <w:rPr>
                <w:rFonts w:hint="cs"/>
                <w:i/>
                <w:iCs/>
                <w:rtl/>
              </w:rPr>
              <w:t>)</w:t>
            </w:r>
            <w:r w:rsidR="00C26614">
              <w:rPr>
                <w:rFonts w:hint="cs"/>
                <w:i/>
                <w:iCs/>
                <w:rtl/>
              </w:rPr>
              <w:t xml:space="preserve"> الصادر عن مؤتمر المندوبين المفوضين</w:t>
            </w:r>
            <w:r w:rsidR="00C26614" w:rsidRPr="00DC0FB9">
              <w:rPr>
                <w:rFonts w:hint="cs"/>
                <w:i/>
                <w:iCs/>
                <w:rtl/>
              </w:rPr>
              <w:t>؛</w:t>
            </w:r>
            <w:r w:rsidR="00C26614">
              <w:rPr>
                <w:i/>
                <w:iCs/>
                <w:rtl/>
              </w:rPr>
              <w:tab/>
            </w:r>
            <w:r w:rsidR="00C26614">
              <w:rPr>
                <w:i/>
                <w:iCs/>
                <w:rtl/>
              </w:rPr>
              <w:br/>
            </w:r>
            <w:r w:rsidR="00C26614" w:rsidRPr="0036577D">
              <w:rPr>
                <w:rFonts w:hint="cs"/>
                <w:i/>
                <w:iCs/>
                <w:rtl/>
              </w:rPr>
              <w:t>و</w:t>
            </w:r>
            <w:hyperlink r:id="rId12" w:anchor="r647" w:history="1">
              <w:r w:rsidR="00C26614" w:rsidRPr="0036577D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C26614" w:rsidRPr="0036577D">
                <w:rPr>
                  <w:rStyle w:val="Hyperlink"/>
                  <w:i/>
                  <w:iCs/>
                  <w:lang w:bidi="ar-SY"/>
                </w:rPr>
                <w:t>647</w:t>
              </w:r>
            </w:hyperlink>
            <w:r w:rsidR="00C26614" w:rsidRPr="00DC0FB9">
              <w:rPr>
                <w:rFonts w:hint="cs"/>
                <w:i/>
                <w:iCs/>
                <w:rtl/>
              </w:rPr>
              <w:t xml:space="preserve"> (المعدل) الصادر عن المجلس</w:t>
            </w:r>
            <w:r w:rsidR="00C26614">
              <w:rPr>
                <w:rFonts w:hint="cs"/>
                <w:i/>
                <w:iCs/>
                <w:rtl/>
                <w:lang w:bidi="ar-EG"/>
              </w:rPr>
              <w:t>.</w:t>
            </w:r>
          </w:p>
        </w:tc>
      </w:tr>
    </w:tbl>
    <w:p w:rsidR="00BA3E54" w:rsidRPr="00580D62" w:rsidRDefault="00BA3E54" w:rsidP="00BA3E54">
      <w:pPr>
        <w:pStyle w:val="Heading1"/>
        <w:pageBreakBefore/>
        <w:rPr>
          <w:rtl/>
        </w:rPr>
      </w:pPr>
      <w:bookmarkStart w:id="1" w:name="_GoBack"/>
      <w:bookmarkEnd w:id="1"/>
      <w:r w:rsidRPr="00580D62">
        <w:rPr>
          <w:rFonts w:hint="cs"/>
          <w:rtl/>
        </w:rPr>
        <w:lastRenderedPageBreak/>
        <w:t>أولاً</w:t>
      </w:r>
      <w:r w:rsidRPr="00580D62">
        <w:rPr>
          <w:rFonts w:hint="cs"/>
          <w:rtl/>
        </w:rPr>
        <w:tab/>
        <w:t>شروط خدمة الموظفين المعينين</w:t>
      </w:r>
    </w:p>
    <w:p w:rsidR="00BA3E54" w:rsidRPr="00580D62" w:rsidRDefault="00BA3E54" w:rsidP="00BA3E54">
      <w:pPr>
        <w:pStyle w:val="Headingb0"/>
        <w:rPr>
          <w:rtl/>
          <w:lang w:bidi="ar-SY"/>
        </w:rPr>
      </w:pPr>
      <w:r w:rsidRPr="00580D62">
        <w:rPr>
          <w:rFonts w:hint="cs"/>
          <w:rtl/>
          <w:lang w:bidi="ar-SY"/>
        </w:rPr>
        <w:t>ألف</w:t>
      </w:r>
      <w:r w:rsidRPr="00580D62">
        <w:rPr>
          <w:rFonts w:hint="cs"/>
          <w:rtl/>
          <w:lang w:bidi="ar-SY"/>
        </w:rPr>
        <w:tab/>
        <w:t>موظفو الفئتين الفنية والعليا</w:t>
      </w:r>
    </w:p>
    <w:p w:rsidR="00BA3E54" w:rsidRPr="00580D62" w:rsidRDefault="00BA3E54" w:rsidP="005B3982">
      <w:pPr>
        <w:rPr>
          <w:rtl/>
          <w:lang w:bidi="ar-EG"/>
        </w:rPr>
      </w:pPr>
      <w:r w:rsidRPr="00580D62">
        <w:rPr>
          <w:lang w:bidi="ar-SY"/>
        </w:rPr>
        <w:t>1</w:t>
      </w:r>
      <w:r w:rsidRPr="00580D62">
        <w:rPr>
          <w:rFonts w:hint="cs"/>
          <w:rtl/>
          <w:lang w:bidi="ar-EG"/>
        </w:rPr>
        <w:tab/>
        <w:t>بناءً على التوصيات المقدمة من لجنة الخدمة المدنية الدولية</w:t>
      </w:r>
      <w:r w:rsidRPr="00580D62">
        <w:rPr>
          <w:rFonts w:hint="eastAsia"/>
          <w:rtl/>
          <w:lang w:bidi="ar-EG"/>
        </w:rPr>
        <w:t> </w:t>
      </w:r>
      <w:r w:rsidRPr="00580D62">
        <w:rPr>
          <w:lang w:bidi="ar-SY"/>
        </w:rPr>
        <w:t>(ICSC)</w:t>
      </w:r>
      <w:r w:rsidRPr="00580D62">
        <w:rPr>
          <w:rFonts w:hint="cs"/>
          <w:rtl/>
          <w:lang w:bidi="ar-EG"/>
        </w:rPr>
        <w:t xml:space="preserve"> عن </w:t>
      </w:r>
      <w:r>
        <w:rPr>
          <w:rFonts w:hint="cs"/>
          <w:rtl/>
          <w:lang w:bidi="ar-EG"/>
        </w:rPr>
        <w:t>عام</w:t>
      </w:r>
      <w:r w:rsidRPr="00580D62">
        <w:rPr>
          <w:rFonts w:hint="cs"/>
          <w:rtl/>
          <w:lang w:bidi="ar-EG"/>
        </w:rPr>
        <w:t xml:space="preserve"> </w:t>
      </w:r>
      <w:r w:rsidRPr="00580D62">
        <w:rPr>
          <w:lang w:bidi="ar-SY"/>
        </w:rPr>
        <w:t>201</w:t>
      </w:r>
      <w:r w:rsidR="00A16811">
        <w:rPr>
          <w:lang w:bidi="ar-SY"/>
        </w:rPr>
        <w:t>6</w:t>
      </w:r>
      <w:r w:rsidRPr="00580D62">
        <w:rPr>
          <w:rFonts w:hint="cs"/>
          <w:rtl/>
          <w:lang w:bidi="ar-EG"/>
        </w:rPr>
        <w:t>، اعتمدت الجمعية العامة للأمم المتحدة</w:t>
      </w:r>
      <w:r w:rsidRPr="00580D62">
        <w:rPr>
          <w:rFonts w:hint="eastAsia"/>
          <w:rtl/>
          <w:lang w:bidi="ar-EG"/>
        </w:rPr>
        <w:t> </w:t>
      </w:r>
      <w:r w:rsidRPr="00580D62">
        <w:rPr>
          <w:rFonts w:hint="cs"/>
          <w:rtl/>
          <w:lang w:bidi="ar-EG"/>
        </w:rPr>
        <w:t xml:space="preserve">بموجب قرارها </w:t>
      </w:r>
      <w:r w:rsidRPr="00580D62">
        <w:rPr>
          <w:lang w:bidi="ar-SY"/>
        </w:rPr>
        <w:t>7</w:t>
      </w:r>
      <w:r w:rsidR="00A16811">
        <w:rPr>
          <w:lang w:bidi="ar-SY"/>
        </w:rPr>
        <w:t>1</w:t>
      </w:r>
      <w:r w:rsidRPr="00580D62">
        <w:rPr>
          <w:lang w:bidi="ar-SY"/>
        </w:rPr>
        <w:t>/2</w:t>
      </w:r>
      <w:r w:rsidR="00A16811">
        <w:rPr>
          <w:lang w:bidi="ar-SY"/>
        </w:rPr>
        <w:t>6</w:t>
      </w:r>
      <w:r w:rsidRPr="00580D62">
        <w:rPr>
          <w:lang w:bidi="ar-SY"/>
        </w:rPr>
        <w:t>4</w:t>
      </w:r>
      <w:r w:rsidRPr="00580D62">
        <w:rPr>
          <w:rFonts w:hint="cs"/>
          <w:rtl/>
          <w:lang w:bidi="ar-EG"/>
        </w:rPr>
        <w:t xml:space="preserve"> المؤرخ </w:t>
      </w:r>
      <w:r w:rsidRPr="00580D62">
        <w:rPr>
          <w:lang w:bidi="ar-SY"/>
        </w:rPr>
        <w:t>23</w:t>
      </w:r>
      <w:r w:rsidRPr="00580D62">
        <w:rPr>
          <w:rFonts w:hint="cs"/>
          <w:rtl/>
          <w:lang w:bidi="ar-EG"/>
        </w:rPr>
        <w:t xml:space="preserve"> ديسمبر </w:t>
      </w:r>
      <w:r w:rsidRPr="00580D62">
        <w:rPr>
          <w:lang w:bidi="ar-SY"/>
        </w:rPr>
        <w:t>201</w:t>
      </w:r>
      <w:r w:rsidR="005B3982">
        <w:rPr>
          <w:lang w:bidi="ar-SY"/>
        </w:rPr>
        <w:t>6</w:t>
      </w:r>
      <w:r w:rsidRPr="00580D62">
        <w:rPr>
          <w:rFonts w:hint="cs"/>
          <w:rtl/>
          <w:lang w:bidi="ar-EG"/>
        </w:rPr>
        <w:t>، قرارات بشأن شروط خدمة موظفي الفئتين الفنية والعليا.</w:t>
      </w:r>
    </w:p>
    <w:p w:rsidR="00BA3E54" w:rsidRPr="00873F4B" w:rsidRDefault="00BA3E54" w:rsidP="00BA3E54">
      <w:pPr>
        <w:pStyle w:val="Headingb0"/>
        <w:rPr>
          <w:rtl/>
          <w:lang w:bidi="ar-EG"/>
        </w:rPr>
      </w:pPr>
      <w:r w:rsidRPr="00873F4B">
        <w:rPr>
          <w:rFonts w:hint="cs"/>
          <w:rtl/>
        </w:rPr>
        <w:t>جدول المرتبات الأساسية/الدنيا</w:t>
      </w:r>
    </w:p>
    <w:p w:rsidR="00BA3E54" w:rsidRPr="00873F4B" w:rsidRDefault="00BA3E54" w:rsidP="00E70F63">
      <w:pPr>
        <w:rPr>
          <w:rtl/>
          <w:lang w:bidi="ar-EG"/>
        </w:rPr>
      </w:pPr>
      <w:r w:rsidRPr="00873F4B">
        <w:rPr>
          <w:lang w:bidi="ar-SY"/>
        </w:rPr>
        <w:t>2</w:t>
      </w:r>
      <w:r w:rsidRPr="00873F4B">
        <w:rPr>
          <w:rFonts w:hint="cs"/>
          <w:rtl/>
          <w:lang w:bidi="ar-EG"/>
        </w:rPr>
        <w:tab/>
        <w:t xml:space="preserve">تم تعديل جدول المرتبات الأساسية/الدنيا الذي يبين المرتبات الإجمالية السنوية والمرتبات الصافية المقابلة لها بعد تطبيق الاقتطاعات الإلزامية، وذلك بزيادة قدرها </w:t>
      </w:r>
      <w:r w:rsidRPr="00873F4B">
        <w:rPr>
          <w:lang w:bidi="ar-SY"/>
        </w:rPr>
        <w:t>1</w:t>
      </w:r>
      <w:proofErr w:type="gramStart"/>
      <w:r w:rsidRPr="00873F4B">
        <w:rPr>
          <w:lang w:bidi="ar-SY"/>
        </w:rPr>
        <w:t>,0</w:t>
      </w:r>
      <w:r w:rsidR="00E70F63">
        <w:rPr>
          <w:lang w:bidi="ar-SY"/>
        </w:rPr>
        <w:t>2</w:t>
      </w:r>
      <w:proofErr w:type="gramEnd"/>
      <w:r w:rsidRPr="00873F4B">
        <w:rPr>
          <w:rFonts w:hint="cs"/>
          <w:rtl/>
          <w:lang w:bidi="ar-EG"/>
        </w:rPr>
        <w:t xml:space="preserve"> في المائة اعتباراً من </w:t>
      </w:r>
      <w:r w:rsidRPr="00873F4B">
        <w:rPr>
          <w:lang w:bidi="ar-SY"/>
        </w:rPr>
        <w:t>1</w:t>
      </w:r>
      <w:r w:rsidRPr="00873F4B">
        <w:rPr>
          <w:rFonts w:hint="cs"/>
          <w:rtl/>
          <w:lang w:bidi="ar-EG"/>
        </w:rPr>
        <w:t xml:space="preserve"> يناير</w:t>
      </w:r>
      <w:r w:rsidRPr="00873F4B">
        <w:rPr>
          <w:rFonts w:hint="eastAsia"/>
          <w:rtl/>
          <w:lang w:bidi="ar-EG"/>
        </w:rPr>
        <w:t> </w:t>
      </w:r>
      <w:r w:rsidRPr="00873F4B">
        <w:rPr>
          <w:lang w:bidi="ar-SY"/>
        </w:rPr>
        <w:t>201</w:t>
      </w:r>
      <w:r w:rsidR="00E70F63">
        <w:rPr>
          <w:lang w:bidi="ar-SY"/>
        </w:rPr>
        <w:t>7</w:t>
      </w:r>
      <w:r w:rsidRPr="00873F4B">
        <w:rPr>
          <w:rFonts w:hint="cs"/>
          <w:rtl/>
          <w:lang w:bidi="ar-EG"/>
        </w:rPr>
        <w:t>.</w:t>
      </w:r>
    </w:p>
    <w:p w:rsidR="00BA3E54" w:rsidRPr="00016612" w:rsidRDefault="00BA3E54" w:rsidP="00016612">
      <w:pPr>
        <w:rPr>
          <w:rtl/>
          <w:lang w:bidi="ar-EG"/>
        </w:rPr>
      </w:pPr>
      <w:r w:rsidRPr="00016612">
        <w:rPr>
          <w:lang w:bidi="ar-SY"/>
        </w:rPr>
        <w:t>3</w:t>
      </w:r>
      <w:r w:rsidRPr="00016612">
        <w:rPr>
          <w:rFonts w:hint="cs"/>
          <w:rtl/>
          <w:lang w:bidi="ar-EG"/>
        </w:rPr>
        <w:tab/>
        <w:t>ووفقاً للممارسة المتبعة، جرى تنفيذ جدول المرتبات الأساسية/الدنيا المنقح على أساس "لا</w:t>
      </w:r>
      <w:r w:rsidR="00CA6223" w:rsidRPr="00016612">
        <w:rPr>
          <w:rFonts w:hint="eastAsia"/>
          <w:rtl/>
          <w:lang w:bidi="ar-EG"/>
        </w:rPr>
        <w:t> </w:t>
      </w:r>
      <w:r w:rsidRPr="00016612">
        <w:rPr>
          <w:rFonts w:hint="cs"/>
          <w:rtl/>
          <w:lang w:bidi="ar-EG"/>
        </w:rPr>
        <w:t>خسارة ولا</w:t>
      </w:r>
      <w:r w:rsidR="00CA6223" w:rsidRPr="00016612">
        <w:rPr>
          <w:rFonts w:hint="eastAsia"/>
          <w:rtl/>
          <w:lang w:bidi="ar-EG"/>
        </w:rPr>
        <w:t> </w:t>
      </w:r>
      <w:r w:rsidRPr="00016612">
        <w:rPr>
          <w:rFonts w:hint="cs"/>
          <w:rtl/>
          <w:lang w:bidi="ar-EG"/>
        </w:rPr>
        <w:t xml:space="preserve">كسب". وبالتالي، فبالتزامن مع العمل بجدول المرتبات الأساسية/الدنيا المنقح في </w:t>
      </w:r>
      <w:r w:rsidRPr="00016612">
        <w:rPr>
          <w:lang w:bidi="ar-SY"/>
        </w:rPr>
        <w:t>1</w:t>
      </w:r>
      <w:r w:rsidRPr="00016612">
        <w:rPr>
          <w:rFonts w:hint="cs"/>
          <w:rtl/>
          <w:lang w:bidi="ar-EG"/>
        </w:rPr>
        <w:t xml:space="preserve"> يناير </w:t>
      </w:r>
      <w:r w:rsidRPr="00016612">
        <w:rPr>
          <w:lang w:bidi="ar-SY"/>
        </w:rPr>
        <w:t>201</w:t>
      </w:r>
      <w:r w:rsidR="00E143C4" w:rsidRPr="00016612">
        <w:rPr>
          <w:lang w:bidi="ar-SY"/>
        </w:rPr>
        <w:t>7</w:t>
      </w:r>
      <w:r w:rsidRPr="00016612">
        <w:rPr>
          <w:rFonts w:hint="cs"/>
          <w:rtl/>
          <w:lang w:bidi="ar-EG"/>
        </w:rPr>
        <w:t>، جرى تخفيض مضاعفات تسوية مقر</w:t>
      </w:r>
      <w:r w:rsidRPr="00016612">
        <w:rPr>
          <w:rFonts w:hint="eastAsia"/>
          <w:rtl/>
          <w:lang w:bidi="ar-EG"/>
        </w:rPr>
        <w:t> </w:t>
      </w:r>
      <w:r w:rsidRPr="00016612">
        <w:rPr>
          <w:rFonts w:hint="cs"/>
          <w:rtl/>
          <w:lang w:bidi="ar-EG"/>
        </w:rPr>
        <w:t xml:space="preserve">العمل المطبقة في جميع مراكز العمل بنسبة </w:t>
      </w:r>
      <w:r w:rsidRPr="00016612">
        <w:rPr>
          <w:lang w:bidi="ar-SY"/>
        </w:rPr>
        <w:t>1,0</w:t>
      </w:r>
      <w:r w:rsidR="00E143C4" w:rsidRPr="00016612">
        <w:rPr>
          <w:lang w:bidi="ar-SY"/>
        </w:rPr>
        <w:t>2</w:t>
      </w:r>
      <w:r w:rsidRPr="00016612">
        <w:rPr>
          <w:rFonts w:hint="cs"/>
          <w:rtl/>
          <w:lang w:bidi="ar-EG"/>
        </w:rPr>
        <w:t xml:space="preserve"> في المائة. وعليه، في حين زاد جزء المرتب الأساسي من الأجر الصافي بنسبة</w:t>
      </w:r>
      <w:r w:rsidR="008D0A76" w:rsidRPr="00016612">
        <w:rPr>
          <w:rFonts w:hint="eastAsia"/>
          <w:rtl/>
          <w:lang w:bidi="ar-EG"/>
        </w:rPr>
        <w:t> </w:t>
      </w:r>
      <w:r w:rsidRPr="00016612">
        <w:rPr>
          <w:lang w:bidi="ar-SY"/>
        </w:rPr>
        <w:t>1,0</w:t>
      </w:r>
      <w:r w:rsidR="00E143C4" w:rsidRPr="00016612">
        <w:rPr>
          <w:lang w:bidi="ar-SY"/>
        </w:rPr>
        <w:t>2</w:t>
      </w:r>
      <w:r w:rsidR="00016612">
        <w:rPr>
          <w:rFonts w:hint="eastAsia"/>
          <w:rtl/>
          <w:lang w:bidi="ar-EG"/>
        </w:rPr>
        <w:t> </w:t>
      </w:r>
      <w:r w:rsidRPr="00016612">
        <w:rPr>
          <w:rFonts w:hint="cs"/>
          <w:rtl/>
          <w:lang w:bidi="ar-EG"/>
        </w:rPr>
        <w:t>في</w:t>
      </w:r>
      <w:r w:rsidR="00E143C4" w:rsidRPr="00016612">
        <w:rPr>
          <w:rFonts w:hint="eastAsia"/>
          <w:rtl/>
          <w:lang w:bidi="ar-EG"/>
        </w:rPr>
        <w:t> </w:t>
      </w:r>
      <w:r w:rsidRPr="00016612">
        <w:rPr>
          <w:rFonts w:hint="cs"/>
          <w:rtl/>
          <w:lang w:bidi="ar-EG"/>
        </w:rPr>
        <w:t>المائة، فقد</w:t>
      </w:r>
      <w:r w:rsidRPr="00016612">
        <w:rPr>
          <w:rFonts w:hint="eastAsia"/>
          <w:rtl/>
          <w:lang w:bidi="ar-EG"/>
        </w:rPr>
        <w:t> </w:t>
      </w:r>
      <w:r w:rsidRPr="00016612">
        <w:rPr>
          <w:rFonts w:hint="cs"/>
          <w:rtl/>
          <w:lang w:bidi="ar-EG"/>
        </w:rPr>
        <w:t>جرى تخفيض عنصر</w:t>
      </w:r>
      <w:r w:rsidRPr="00016612">
        <w:rPr>
          <w:rFonts w:hint="eastAsia"/>
          <w:rtl/>
          <w:lang w:bidi="ar-EG"/>
        </w:rPr>
        <w:t xml:space="preserve"> </w:t>
      </w:r>
      <w:r w:rsidRPr="00016612">
        <w:rPr>
          <w:rFonts w:hint="cs"/>
          <w:rtl/>
          <w:lang w:bidi="ar-EG"/>
        </w:rPr>
        <w:t>تسوية</w:t>
      </w:r>
      <w:r w:rsidRPr="00016612">
        <w:rPr>
          <w:rtl/>
          <w:lang w:bidi="ar-EG"/>
        </w:rPr>
        <w:t xml:space="preserve"> </w:t>
      </w:r>
      <w:r w:rsidRPr="00016612">
        <w:rPr>
          <w:rFonts w:hint="eastAsia"/>
          <w:rtl/>
          <w:lang w:bidi="ar-EG"/>
        </w:rPr>
        <w:t>مقر</w:t>
      </w:r>
      <w:r w:rsidRPr="00016612">
        <w:rPr>
          <w:rtl/>
          <w:lang w:bidi="ar-EG"/>
        </w:rPr>
        <w:t xml:space="preserve"> </w:t>
      </w:r>
      <w:r w:rsidRPr="00016612">
        <w:rPr>
          <w:rFonts w:hint="cs"/>
          <w:rtl/>
          <w:lang w:bidi="ar-EG"/>
        </w:rPr>
        <w:t>العمل بنفس النسبة المئوية، وظل إجمالي مبلغ الأجر بدون تغيير (المرتب الأساسي زائداً تسوية مقر العمل) بالعملة المحلية، رهناً بتغييرات بسيطة جداً نتيجة تقريب الأرقام.</w:t>
      </w:r>
    </w:p>
    <w:p w:rsidR="00BA3E54" w:rsidRPr="00873F4B" w:rsidRDefault="00BA3E54" w:rsidP="00E143C4">
      <w:pPr>
        <w:rPr>
          <w:rtl/>
          <w:lang w:bidi="ar-EG"/>
        </w:rPr>
      </w:pPr>
      <w:r w:rsidRPr="00873F4B">
        <w:rPr>
          <w:lang w:bidi="ar-SY"/>
        </w:rPr>
        <w:t>4</w:t>
      </w:r>
      <w:r w:rsidRPr="00873F4B">
        <w:rPr>
          <w:rFonts w:hint="cs"/>
          <w:rtl/>
          <w:lang w:bidi="ar-EG"/>
        </w:rPr>
        <w:tab/>
        <w:t>ويستعمل جدول المرتبات الأساسية/الدنيا أيضاً لحساب بعض استحقاقات نهاية الخدمة (منحة العودة إلى الوطن وتعويض إنهاء الخدمة ومنحة الوفاة، حسب الحالة). وسيستفيد الموظفون الذين سيتركون الخدمة في الاتحاد اعتباراً من</w:t>
      </w:r>
      <w:r w:rsidRPr="00873F4B">
        <w:rPr>
          <w:rFonts w:hint="eastAsia"/>
          <w:rtl/>
          <w:lang w:bidi="ar-EG"/>
        </w:rPr>
        <w:t> </w:t>
      </w:r>
      <w:r w:rsidRPr="00873F4B">
        <w:rPr>
          <w:lang w:bidi="ar-SY"/>
        </w:rPr>
        <w:t>1</w:t>
      </w:r>
      <w:r w:rsidRPr="00873F4B">
        <w:rPr>
          <w:rFonts w:hint="eastAsia"/>
          <w:rtl/>
          <w:lang w:bidi="ar-EG"/>
        </w:rPr>
        <w:t> </w:t>
      </w:r>
      <w:r w:rsidRPr="00873F4B">
        <w:rPr>
          <w:rFonts w:hint="cs"/>
          <w:rtl/>
          <w:lang w:bidi="ar-EG"/>
        </w:rPr>
        <w:t>يناير</w:t>
      </w:r>
      <w:r w:rsidRPr="00873F4B">
        <w:rPr>
          <w:rFonts w:hint="eastAsia"/>
          <w:rtl/>
          <w:lang w:bidi="ar-EG"/>
        </w:rPr>
        <w:t> </w:t>
      </w:r>
      <w:r w:rsidRPr="00873F4B">
        <w:rPr>
          <w:lang w:bidi="ar-SY"/>
        </w:rPr>
        <w:t>201</w:t>
      </w:r>
      <w:r w:rsidR="00E143C4">
        <w:rPr>
          <w:lang w:bidi="ar-SY"/>
        </w:rPr>
        <w:t>7</w:t>
      </w:r>
      <w:r w:rsidRPr="00873F4B">
        <w:rPr>
          <w:rFonts w:hint="cs"/>
          <w:rtl/>
          <w:lang w:bidi="ar-EG"/>
        </w:rPr>
        <w:t xml:space="preserve"> والمستحقون لهذه الاستحقاقات من التعديل المدخل على هذا الجدول.</w:t>
      </w:r>
    </w:p>
    <w:p w:rsidR="00BA3E54" w:rsidRPr="00873F4B" w:rsidRDefault="00BA3E54" w:rsidP="00BA3E54">
      <w:pPr>
        <w:pStyle w:val="Headingb0"/>
        <w:rPr>
          <w:rtl/>
          <w:lang w:bidi="ar-SY"/>
        </w:rPr>
      </w:pPr>
      <w:r w:rsidRPr="00873F4B">
        <w:rPr>
          <w:rFonts w:hint="cs"/>
          <w:rtl/>
          <w:lang w:bidi="ar-SY"/>
        </w:rPr>
        <w:t>باء</w:t>
      </w:r>
      <w:r w:rsidRPr="00873F4B">
        <w:rPr>
          <w:rFonts w:hint="cs"/>
          <w:rtl/>
          <w:lang w:bidi="ar-SY"/>
        </w:rPr>
        <w:tab/>
        <w:t>موظفو فئة الخدمات العامة</w:t>
      </w:r>
    </w:p>
    <w:p w:rsidR="009B78FC" w:rsidRPr="00006D85" w:rsidRDefault="00BA3E54" w:rsidP="006E4990">
      <w:pPr>
        <w:rPr>
          <w:rtl/>
          <w:lang w:bidi="ar-EG"/>
        </w:rPr>
      </w:pPr>
      <w:r w:rsidRPr="00873F4B">
        <w:rPr>
          <w:lang w:bidi="ar-SY"/>
        </w:rPr>
        <w:t>5</w:t>
      </w:r>
      <w:r w:rsidRPr="00873F4B">
        <w:rPr>
          <w:rFonts w:hint="cs"/>
          <w:rtl/>
          <w:lang w:bidi="ar-EG"/>
        </w:rPr>
        <w:tab/>
      </w:r>
      <w:r w:rsidR="001F24D3">
        <w:rPr>
          <w:rFonts w:hint="cs"/>
          <w:rtl/>
          <w:lang w:bidi="ar-EG"/>
        </w:rPr>
        <w:t xml:space="preserve">وفقاً للتوصيات المقدمة من </w:t>
      </w:r>
      <w:r w:rsidR="001F24D3" w:rsidRPr="00580D62">
        <w:rPr>
          <w:rFonts w:hint="cs"/>
          <w:rtl/>
          <w:lang w:bidi="ar-EG"/>
        </w:rPr>
        <w:t>لجنة الخدمة المدنية الدولية</w:t>
      </w:r>
      <w:r w:rsidR="001F24D3" w:rsidRPr="00580D62">
        <w:rPr>
          <w:rFonts w:hint="eastAsia"/>
          <w:rtl/>
          <w:lang w:bidi="ar-EG"/>
        </w:rPr>
        <w:t> </w:t>
      </w:r>
      <w:r w:rsidR="001F24D3">
        <w:rPr>
          <w:lang w:bidi="ar-EG"/>
        </w:rPr>
        <w:t>(ICSC</w:t>
      </w:r>
      <w:proofErr w:type="gramStart"/>
      <w:r w:rsidR="001F24D3">
        <w:rPr>
          <w:lang w:bidi="ar-EG"/>
        </w:rPr>
        <w:t>)</w:t>
      </w:r>
      <w:r w:rsidR="001F24D3">
        <w:rPr>
          <w:rFonts w:hint="cs"/>
          <w:rtl/>
          <w:lang w:bidi="ar-EG"/>
        </w:rPr>
        <w:t>،</w:t>
      </w:r>
      <w:proofErr w:type="gramEnd"/>
      <w:r w:rsidR="001F24D3">
        <w:rPr>
          <w:rFonts w:hint="cs"/>
          <w:rtl/>
          <w:lang w:bidi="ar-EG"/>
        </w:rPr>
        <w:t xml:space="preserve"> </w:t>
      </w:r>
      <w:r w:rsidR="002D5F01">
        <w:rPr>
          <w:rFonts w:hint="cs"/>
          <w:rtl/>
          <w:lang w:bidi="ar-EG"/>
        </w:rPr>
        <w:t>و</w:t>
      </w:r>
      <w:r w:rsidR="009B78FC">
        <w:rPr>
          <w:rFonts w:hint="cs"/>
          <w:rtl/>
          <w:lang w:bidi="ar-EG"/>
        </w:rPr>
        <w:t>است</w:t>
      </w:r>
      <w:r w:rsidR="00A953B1">
        <w:rPr>
          <w:rFonts w:hint="cs"/>
          <w:rtl/>
          <w:lang w:bidi="ar-EG"/>
        </w:rPr>
        <w:t>ناداً إلى نتائج استقصاء أجري في</w:t>
      </w:r>
      <w:r w:rsidR="00A953B1">
        <w:rPr>
          <w:rFonts w:hint="eastAsia"/>
          <w:rtl/>
          <w:lang w:bidi="ar-EG"/>
        </w:rPr>
        <w:t> </w:t>
      </w:r>
      <w:r w:rsidR="009B78FC">
        <w:rPr>
          <w:rFonts w:hint="cs"/>
          <w:rtl/>
          <w:lang w:bidi="ar-EG"/>
        </w:rPr>
        <w:t>جنيف، ووفقاً للقرار</w:t>
      </w:r>
      <w:r w:rsidR="000168B5">
        <w:rPr>
          <w:rFonts w:hint="eastAsia"/>
          <w:rtl/>
          <w:lang w:bidi="ar-EG"/>
        </w:rPr>
        <w:t> </w:t>
      </w:r>
      <w:r w:rsidR="009B78FC">
        <w:rPr>
          <w:lang w:bidi="ar-EG"/>
        </w:rPr>
        <w:t>647</w:t>
      </w:r>
      <w:r w:rsidR="009B78FC">
        <w:rPr>
          <w:rFonts w:hint="cs"/>
          <w:rtl/>
          <w:lang w:bidi="ar-EG"/>
        </w:rPr>
        <w:t xml:space="preserve"> الصادر عن المجلس، </w:t>
      </w:r>
      <w:r w:rsidR="00770DF7">
        <w:rPr>
          <w:rFonts w:hint="cs"/>
          <w:rtl/>
          <w:lang w:bidi="ar-EG"/>
        </w:rPr>
        <w:t>جرى تعديل</w:t>
      </w:r>
      <w:r w:rsidR="0023224A">
        <w:rPr>
          <w:rFonts w:hint="cs"/>
          <w:rtl/>
          <w:lang w:bidi="ar-EG"/>
        </w:rPr>
        <w:t xml:space="preserve"> جدول المرتبات </w:t>
      </w:r>
      <w:r w:rsidR="002D5F01">
        <w:rPr>
          <w:rFonts w:hint="cs"/>
          <w:rtl/>
          <w:lang w:bidi="ar-EG"/>
        </w:rPr>
        <w:t>لموظفي</w:t>
      </w:r>
      <w:r w:rsidR="0023224A">
        <w:rPr>
          <w:rFonts w:hint="cs"/>
          <w:rtl/>
          <w:lang w:bidi="ar-EG"/>
        </w:rPr>
        <w:t xml:space="preserve"> </w:t>
      </w:r>
      <w:r w:rsidR="00770DF7">
        <w:rPr>
          <w:rFonts w:hint="cs"/>
          <w:rtl/>
          <w:lang w:bidi="ar-EG"/>
        </w:rPr>
        <w:t xml:space="preserve">الخدمات العامة في جنيف </w:t>
      </w:r>
      <w:r w:rsidR="00006D85">
        <w:rPr>
          <w:rFonts w:hint="cs"/>
          <w:rtl/>
          <w:lang w:bidi="ar-EG"/>
        </w:rPr>
        <w:t>بتخفيض</w:t>
      </w:r>
      <w:r w:rsidR="00770DF7">
        <w:rPr>
          <w:rFonts w:hint="cs"/>
          <w:rtl/>
          <w:lang w:bidi="ar-EG"/>
        </w:rPr>
        <w:t xml:space="preserve"> بنسبة </w:t>
      </w:r>
      <w:r w:rsidR="00770DF7">
        <w:rPr>
          <w:lang w:bidi="ar-EG"/>
        </w:rPr>
        <w:t>1,8</w:t>
      </w:r>
      <w:r w:rsidR="00FB0A47">
        <w:rPr>
          <w:rFonts w:hint="eastAsia"/>
          <w:rtl/>
          <w:lang w:bidi="ar-EG"/>
        </w:rPr>
        <w:t> </w:t>
      </w:r>
      <w:r w:rsidR="00770DF7">
        <w:rPr>
          <w:rFonts w:hint="cs"/>
          <w:rtl/>
          <w:lang w:bidi="ar-EG"/>
        </w:rPr>
        <w:t xml:space="preserve">في المائة مقارنةً بالجدول السابق، اعتباراً من </w:t>
      </w:r>
      <w:r w:rsidR="00770DF7">
        <w:rPr>
          <w:lang w:bidi="ar-EG"/>
        </w:rPr>
        <w:t>1</w:t>
      </w:r>
      <w:r w:rsidR="00770DF7">
        <w:rPr>
          <w:rFonts w:hint="cs"/>
          <w:rtl/>
          <w:lang w:bidi="ar-EG"/>
        </w:rPr>
        <w:t xml:space="preserve"> يونيو </w:t>
      </w:r>
      <w:r w:rsidR="00770DF7">
        <w:rPr>
          <w:lang w:bidi="ar-EG"/>
        </w:rPr>
        <w:t>2016</w:t>
      </w:r>
      <w:r w:rsidR="00770DF7">
        <w:rPr>
          <w:rFonts w:hint="cs"/>
          <w:rtl/>
          <w:lang w:bidi="ar-EG"/>
        </w:rPr>
        <w:t xml:space="preserve">، </w:t>
      </w:r>
      <w:r w:rsidR="00D72B77">
        <w:rPr>
          <w:rFonts w:hint="cs"/>
          <w:rtl/>
          <w:lang w:bidi="ar-EG"/>
        </w:rPr>
        <w:t>وينطبق هذا الان</w:t>
      </w:r>
      <w:r w:rsidR="00056657">
        <w:rPr>
          <w:rFonts w:hint="cs"/>
          <w:rtl/>
          <w:lang w:bidi="ar-EG"/>
        </w:rPr>
        <w:t>خ</w:t>
      </w:r>
      <w:r w:rsidR="00D72B77">
        <w:rPr>
          <w:rFonts w:hint="cs"/>
          <w:rtl/>
          <w:lang w:bidi="ar-EG"/>
        </w:rPr>
        <w:t>فاض</w:t>
      </w:r>
      <w:r w:rsidR="00770DF7">
        <w:rPr>
          <w:rFonts w:hint="cs"/>
          <w:rtl/>
          <w:lang w:bidi="ar-EG"/>
        </w:rPr>
        <w:t xml:space="preserve"> على جميع موظفي الخدمات العامة المعيّنين في الاتحاد في</w:t>
      </w:r>
      <w:r w:rsidR="000168B5">
        <w:rPr>
          <w:rFonts w:hint="eastAsia"/>
          <w:rtl/>
          <w:lang w:bidi="ar-EG"/>
        </w:rPr>
        <w:t> </w:t>
      </w:r>
      <w:r w:rsidR="00770DF7">
        <w:rPr>
          <w:rFonts w:hint="cs"/>
          <w:rtl/>
          <w:lang w:bidi="ar-EG"/>
        </w:rPr>
        <w:t>هذا</w:t>
      </w:r>
      <w:r w:rsidR="000168B5">
        <w:rPr>
          <w:rFonts w:hint="eastAsia"/>
          <w:rtl/>
          <w:lang w:bidi="ar-EG"/>
        </w:rPr>
        <w:t> </w:t>
      </w:r>
      <w:r w:rsidR="00770DF7">
        <w:rPr>
          <w:rFonts w:hint="cs"/>
          <w:rtl/>
          <w:lang w:bidi="ar-EG"/>
        </w:rPr>
        <w:t>التاريخ أو بعده.</w:t>
      </w:r>
      <w:r w:rsidR="00006D85">
        <w:rPr>
          <w:rFonts w:hint="cs"/>
          <w:rtl/>
          <w:lang w:bidi="ar-EG"/>
        </w:rPr>
        <w:t xml:space="preserve"> وتم الإبقاء على جدول المرتبات السابق لموظفي الخدمات العامة </w:t>
      </w:r>
      <w:r w:rsidR="00856B7E">
        <w:rPr>
          <w:rFonts w:hint="cs"/>
          <w:rtl/>
          <w:lang w:bidi="ar-EG"/>
        </w:rPr>
        <w:t xml:space="preserve">الموجودين </w:t>
      </w:r>
      <w:r w:rsidR="00006D85">
        <w:rPr>
          <w:rFonts w:hint="cs"/>
          <w:rtl/>
          <w:lang w:bidi="ar-EG"/>
        </w:rPr>
        <w:t>في الخ</w:t>
      </w:r>
      <w:r w:rsidR="00BB0A59">
        <w:rPr>
          <w:rFonts w:hint="cs"/>
          <w:rtl/>
          <w:lang w:bidi="ar-EG"/>
        </w:rPr>
        <w:t>د</w:t>
      </w:r>
      <w:r w:rsidR="00006D85">
        <w:rPr>
          <w:rFonts w:hint="cs"/>
          <w:rtl/>
          <w:lang w:bidi="ar-EG"/>
        </w:rPr>
        <w:t xml:space="preserve">مة قبل </w:t>
      </w:r>
      <w:r w:rsidR="00006D85">
        <w:rPr>
          <w:lang w:bidi="ar-EG"/>
        </w:rPr>
        <w:t>1</w:t>
      </w:r>
      <w:r w:rsidR="006E4990">
        <w:rPr>
          <w:rFonts w:hint="eastAsia"/>
          <w:rtl/>
          <w:lang w:bidi="ar-EG"/>
        </w:rPr>
        <w:t> </w:t>
      </w:r>
      <w:r w:rsidR="00994D59">
        <w:rPr>
          <w:rFonts w:hint="cs"/>
          <w:rtl/>
          <w:lang w:bidi="ar-EG"/>
        </w:rPr>
        <w:t>يونيو</w:t>
      </w:r>
      <w:r w:rsidR="000168B5">
        <w:rPr>
          <w:rFonts w:hint="eastAsia"/>
          <w:rtl/>
          <w:lang w:bidi="ar-EG"/>
        </w:rPr>
        <w:t> </w:t>
      </w:r>
      <w:r w:rsidR="00006D85">
        <w:rPr>
          <w:lang w:bidi="ar-EG"/>
        </w:rPr>
        <w:t>2016</w:t>
      </w:r>
      <w:r w:rsidR="00006D85">
        <w:rPr>
          <w:rFonts w:hint="cs"/>
          <w:rtl/>
          <w:lang w:bidi="ar-EG"/>
        </w:rPr>
        <w:t xml:space="preserve"> إلى </w:t>
      </w:r>
      <w:r w:rsidR="00BB0A59">
        <w:rPr>
          <w:rFonts w:hint="cs"/>
          <w:rtl/>
          <w:lang w:bidi="ar-EG"/>
        </w:rPr>
        <w:t>حين</w:t>
      </w:r>
      <w:r w:rsidR="00006D85">
        <w:rPr>
          <w:rFonts w:hint="cs"/>
          <w:rtl/>
          <w:lang w:bidi="ar-EG"/>
        </w:rPr>
        <w:t xml:space="preserve"> مواءمته مع الجدول المنقح.</w:t>
      </w:r>
    </w:p>
    <w:p w:rsidR="003C0567" w:rsidRPr="003C0567" w:rsidRDefault="00961F74" w:rsidP="002D5F01">
      <w:pPr>
        <w:rPr>
          <w:rtl/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 w:rsidR="00FD3B80">
        <w:rPr>
          <w:rFonts w:hint="cs"/>
          <w:rtl/>
          <w:lang w:bidi="ar-EG"/>
        </w:rPr>
        <w:t xml:space="preserve">بيد أن </w:t>
      </w:r>
      <w:r w:rsidRPr="00FD3B80">
        <w:rPr>
          <w:rFonts w:hint="cs"/>
          <w:rtl/>
        </w:rPr>
        <w:t>الإجراء ا</w:t>
      </w:r>
      <w:r w:rsidR="00FD3B80">
        <w:rPr>
          <w:rFonts w:hint="cs"/>
          <w:rtl/>
        </w:rPr>
        <w:t>لمتعلق بإدخال تعديلات مؤقتة على جدول</w:t>
      </w:r>
      <w:r w:rsidRPr="00FD3B80">
        <w:rPr>
          <w:rFonts w:hint="cs"/>
          <w:rtl/>
        </w:rPr>
        <w:t xml:space="preserve"> المرتبات </w:t>
      </w:r>
      <w:r w:rsidR="002D5F01">
        <w:rPr>
          <w:rFonts w:hint="cs"/>
          <w:rtl/>
        </w:rPr>
        <w:t>لموظفي</w:t>
      </w:r>
      <w:r w:rsidR="003C6D49">
        <w:rPr>
          <w:rFonts w:hint="cs"/>
          <w:rtl/>
        </w:rPr>
        <w:t xml:space="preserve"> فئة</w:t>
      </w:r>
      <w:r w:rsidRPr="00FD3B80">
        <w:rPr>
          <w:rFonts w:hint="cs"/>
          <w:rtl/>
        </w:rPr>
        <w:t xml:space="preserve"> الخدمات العامة في جنيف يستدعي التعديل في المرتب</w:t>
      </w:r>
      <w:r w:rsidR="003C6D49">
        <w:rPr>
          <w:rFonts w:hint="cs"/>
          <w:rtl/>
        </w:rPr>
        <w:t>ات</w:t>
      </w:r>
      <w:r w:rsidRPr="00FD3B80">
        <w:rPr>
          <w:rFonts w:hint="cs"/>
          <w:rtl/>
        </w:rPr>
        <w:t xml:space="preserve"> الصافي</w:t>
      </w:r>
      <w:r w:rsidR="003C6D49">
        <w:rPr>
          <w:rFonts w:hint="cs"/>
          <w:rtl/>
        </w:rPr>
        <w:t>ة</w:t>
      </w:r>
      <w:r w:rsidRPr="00FD3B80">
        <w:rPr>
          <w:rFonts w:hint="cs"/>
          <w:rtl/>
        </w:rPr>
        <w:t xml:space="preserve"> لهؤلاء الموظفين</w:t>
      </w:r>
      <w:r w:rsidR="00997AC8">
        <w:rPr>
          <w:rFonts w:hint="cs"/>
          <w:rtl/>
        </w:rPr>
        <w:t xml:space="preserve"> كلما </w:t>
      </w:r>
      <w:r w:rsidR="00EC7A6F">
        <w:rPr>
          <w:rFonts w:hint="cs"/>
          <w:rtl/>
        </w:rPr>
        <w:t>تطور</w:t>
      </w:r>
      <w:r w:rsidR="00997AC8">
        <w:rPr>
          <w:rFonts w:hint="cs"/>
          <w:rtl/>
        </w:rPr>
        <w:t xml:space="preserve"> مؤشر أسعار </w:t>
      </w:r>
      <w:r w:rsidR="00EC7A6F">
        <w:rPr>
          <w:rFonts w:hint="cs"/>
          <w:rtl/>
        </w:rPr>
        <w:t>الاستهلاك</w:t>
      </w:r>
      <w:r w:rsidR="00997AC8">
        <w:rPr>
          <w:rFonts w:hint="cs"/>
          <w:rtl/>
        </w:rPr>
        <w:t xml:space="preserve"> </w:t>
      </w:r>
      <w:r w:rsidR="00997AC8">
        <w:t>(CPI)</w:t>
      </w:r>
      <w:r w:rsidRPr="00FD3B80">
        <w:rPr>
          <w:rFonts w:hint="cs"/>
          <w:rtl/>
        </w:rPr>
        <w:t xml:space="preserve"> </w:t>
      </w:r>
      <w:r w:rsidR="001E6704">
        <w:rPr>
          <w:rFonts w:hint="cs"/>
          <w:rtl/>
        </w:rPr>
        <w:t xml:space="preserve">لجنيف </w:t>
      </w:r>
      <w:r w:rsidRPr="00FD3B80">
        <w:rPr>
          <w:rFonts w:hint="cs"/>
          <w:rtl/>
        </w:rPr>
        <w:t xml:space="preserve">بنسبة </w:t>
      </w:r>
      <w:r w:rsidR="00997AC8">
        <w:t>5</w:t>
      </w:r>
      <w:r w:rsidR="00997AC8">
        <w:rPr>
          <w:rFonts w:hint="cs"/>
          <w:rtl/>
        </w:rPr>
        <w:t xml:space="preserve"> في المائة بالإحالة إلى المؤشر المستخدم في وقت التعديل السابق أو </w:t>
      </w:r>
      <w:r w:rsidR="00A57A4D">
        <w:rPr>
          <w:rFonts w:hint="cs"/>
          <w:rtl/>
        </w:rPr>
        <w:t xml:space="preserve">في </w:t>
      </w:r>
      <w:r w:rsidR="00997AC8">
        <w:rPr>
          <w:rFonts w:hint="cs"/>
          <w:rtl/>
        </w:rPr>
        <w:t xml:space="preserve">كل </w:t>
      </w:r>
      <w:r w:rsidR="003C0567">
        <w:t>12</w:t>
      </w:r>
      <w:r w:rsidR="003C0567">
        <w:rPr>
          <w:rFonts w:hint="cs"/>
          <w:rtl/>
          <w:lang w:bidi="ar-EG"/>
        </w:rPr>
        <w:t xml:space="preserve"> شهراً، أيهما </w:t>
      </w:r>
      <w:r w:rsidR="006A706B">
        <w:rPr>
          <w:rFonts w:hint="cs"/>
          <w:rtl/>
          <w:lang w:bidi="ar-EG"/>
        </w:rPr>
        <w:t>أسبق</w:t>
      </w:r>
      <w:r w:rsidR="003C0567">
        <w:rPr>
          <w:rFonts w:hint="cs"/>
          <w:rtl/>
          <w:lang w:bidi="ar-EG"/>
        </w:rPr>
        <w:t>.</w:t>
      </w:r>
    </w:p>
    <w:p w:rsidR="00961F74" w:rsidRPr="00D54E92" w:rsidRDefault="00961F74" w:rsidP="008352EC">
      <w:pPr>
        <w:rPr>
          <w:rtl/>
          <w:lang w:bidi="ar-EG"/>
        </w:rPr>
      </w:pPr>
      <w:r>
        <w:t>7</w:t>
      </w:r>
      <w:r>
        <w:rPr>
          <w:rtl/>
          <w:lang w:bidi="ar-EG"/>
        </w:rPr>
        <w:tab/>
      </w:r>
      <w:r w:rsidR="000568AA">
        <w:rPr>
          <w:rFonts w:hint="cs"/>
          <w:rtl/>
          <w:lang w:bidi="ar-EG"/>
        </w:rPr>
        <w:t>ويبرز</w:t>
      </w:r>
      <w:r w:rsidR="00EC7A6F">
        <w:rPr>
          <w:rFonts w:hint="cs"/>
          <w:rtl/>
          <w:lang w:bidi="ar-EG"/>
        </w:rPr>
        <w:t xml:space="preserve"> تطور مؤشر أسعار الاستهلاك</w:t>
      </w:r>
      <w:r w:rsidR="001E6704">
        <w:rPr>
          <w:rFonts w:hint="cs"/>
          <w:rtl/>
          <w:lang w:bidi="ar-EG"/>
        </w:rPr>
        <w:t xml:space="preserve"> </w:t>
      </w:r>
      <w:r w:rsidR="000568AA">
        <w:rPr>
          <w:rFonts w:hint="cs"/>
          <w:rtl/>
          <w:lang w:bidi="ar-EG"/>
        </w:rPr>
        <w:t xml:space="preserve">في جنيف </w:t>
      </w:r>
      <w:r w:rsidR="004229F9">
        <w:rPr>
          <w:rFonts w:hint="cs"/>
          <w:rtl/>
          <w:lang w:bidi="ar-EG"/>
        </w:rPr>
        <w:t xml:space="preserve">من </w:t>
      </w:r>
      <w:r w:rsidR="001E6704">
        <w:rPr>
          <w:rFonts w:hint="cs"/>
          <w:rtl/>
          <w:lang w:bidi="ar-EG"/>
        </w:rPr>
        <w:t xml:space="preserve">سبتمبر </w:t>
      </w:r>
      <w:r w:rsidR="001E6704">
        <w:rPr>
          <w:lang w:bidi="ar-EG"/>
        </w:rPr>
        <w:t>2015</w:t>
      </w:r>
      <w:r w:rsidR="001E6704">
        <w:rPr>
          <w:rFonts w:hint="cs"/>
          <w:rtl/>
          <w:lang w:bidi="ar-EG"/>
        </w:rPr>
        <w:t xml:space="preserve"> إلى سبتمبر </w:t>
      </w:r>
      <w:r w:rsidR="001E6704">
        <w:rPr>
          <w:lang w:bidi="ar-EG"/>
        </w:rPr>
        <w:t>2016</w:t>
      </w:r>
      <w:r w:rsidR="001E6704">
        <w:rPr>
          <w:rFonts w:hint="cs"/>
          <w:rtl/>
          <w:lang w:bidi="ar-EG"/>
        </w:rPr>
        <w:t xml:space="preserve"> زيادة بنسبة </w:t>
      </w:r>
      <w:r w:rsidR="001E6704">
        <w:rPr>
          <w:lang w:bidi="ar-EG"/>
        </w:rPr>
        <w:t>0</w:t>
      </w:r>
      <w:proofErr w:type="gramStart"/>
      <w:r w:rsidR="001E6704">
        <w:rPr>
          <w:lang w:bidi="ar-EG"/>
        </w:rPr>
        <w:t>,2</w:t>
      </w:r>
      <w:proofErr w:type="gramEnd"/>
      <w:r w:rsidR="001E6704">
        <w:rPr>
          <w:rFonts w:hint="cs"/>
          <w:rtl/>
          <w:lang w:bidi="ar-EG"/>
        </w:rPr>
        <w:t xml:space="preserve"> في المائة.</w:t>
      </w:r>
      <w:r w:rsidR="00730E84">
        <w:rPr>
          <w:rFonts w:hint="cs"/>
          <w:rtl/>
          <w:lang w:bidi="ar-EG"/>
        </w:rPr>
        <w:t xml:space="preserve"> وبعد مراعاة عامل الضرائب المحلية، </w:t>
      </w:r>
      <w:r w:rsidR="00905E1B">
        <w:rPr>
          <w:rFonts w:hint="cs"/>
          <w:rtl/>
          <w:lang w:bidi="ar-EG"/>
        </w:rPr>
        <w:t>تصل</w:t>
      </w:r>
      <w:r w:rsidR="00730E84">
        <w:rPr>
          <w:rFonts w:hint="cs"/>
          <w:rtl/>
          <w:lang w:bidi="ar-EG"/>
        </w:rPr>
        <w:t xml:space="preserve"> </w:t>
      </w:r>
      <w:r w:rsidR="00954C81">
        <w:rPr>
          <w:rFonts w:hint="cs"/>
          <w:rtl/>
          <w:lang w:bidi="ar-EG"/>
        </w:rPr>
        <w:t>الزيادة الصافية</w:t>
      </w:r>
      <w:r w:rsidR="00730E84">
        <w:rPr>
          <w:rFonts w:hint="cs"/>
          <w:rtl/>
          <w:lang w:bidi="ar-EG"/>
        </w:rPr>
        <w:t xml:space="preserve"> الناجمة في جدول المرتبات إلى </w:t>
      </w:r>
      <w:r w:rsidR="00730E84">
        <w:rPr>
          <w:lang w:bidi="ar-EG"/>
        </w:rPr>
        <w:t>0,18</w:t>
      </w:r>
      <w:r w:rsidR="00730E84">
        <w:rPr>
          <w:rFonts w:hint="cs"/>
          <w:rtl/>
          <w:lang w:bidi="ar-EG"/>
        </w:rPr>
        <w:t xml:space="preserve"> في المائة.</w:t>
      </w:r>
      <w:r w:rsidR="00954C81">
        <w:rPr>
          <w:rFonts w:hint="cs"/>
          <w:rtl/>
          <w:lang w:bidi="ar-EG"/>
        </w:rPr>
        <w:t xml:space="preserve"> وبالتالي، تطبيقاً للإجراء المذكور </w:t>
      </w:r>
      <w:r w:rsidR="00954C81" w:rsidRPr="008352EC">
        <w:rPr>
          <w:rFonts w:hint="cs"/>
          <w:spacing w:val="-4"/>
          <w:rtl/>
          <w:lang w:bidi="ar-EG"/>
        </w:rPr>
        <w:t xml:space="preserve">أعلاه، جرى تعديل المرتبات الصافية لموظفي فئة الخدمات العامة المعينين في </w:t>
      </w:r>
      <w:r w:rsidR="00954C81" w:rsidRPr="008352EC">
        <w:rPr>
          <w:spacing w:val="-4"/>
          <w:lang w:bidi="ar-EG"/>
        </w:rPr>
        <w:t>1</w:t>
      </w:r>
      <w:r w:rsidR="00730E84" w:rsidRPr="008352EC">
        <w:rPr>
          <w:rFonts w:hint="cs"/>
          <w:spacing w:val="-4"/>
          <w:rtl/>
          <w:lang w:bidi="ar-EG"/>
        </w:rPr>
        <w:t xml:space="preserve"> </w:t>
      </w:r>
      <w:r w:rsidR="00954C81" w:rsidRPr="008352EC">
        <w:rPr>
          <w:rFonts w:hint="cs"/>
          <w:spacing w:val="-4"/>
          <w:rtl/>
          <w:lang w:bidi="ar-EG"/>
        </w:rPr>
        <w:t xml:space="preserve">يونيو </w:t>
      </w:r>
      <w:r w:rsidR="00954C81" w:rsidRPr="008352EC">
        <w:rPr>
          <w:spacing w:val="-4"/>
          <w:lang w:bidi="ar-EG"/>
        </w:rPr>
        <w:t>2016</w:t>
      </w:r>
      <w:r w:rsidR="00954C81" w:rsidRPr="008352EC">
        <w:rPr>
          <w:rFonts w:hint="cs"/>
          <w:spacing w:val="-4"/>
          <w:rtl/>
          <w:lang w:bidi="ar-EG"/>
        </w:rPr>
        <w:t xml:space="preserve"> أو بعد</w:t>
      </w:r>
      <w:r w:rsidR="000568AA" w:rsidRPr="008352EC">
        <w:rPr>
          <w:rFonts w:hint="cs"/>
          <w:spacing w:val="-4"/>
          <w:rtl/>
          <w:lang w:bidi="ar-EG"/>
        </w:rPr>
        <w:t xml:space="preserve"> ذلك </w:t>
      </w:r>
      <w:r w:rsidR="00954C81" w:rsidRPr="008352EC">
        <w:rPr>
          <w:rFonts w:hint="cs"/>
          <w:spacing w:val="-4"/>
          <w:rtl/>
          <w:lang w:bidi="ar-EG"/>
        </w:rPr>
        <w:t>بتخفيض بن</w:t>
      </w:r>
      <w:r w:rsidR="000D7E23" w:rsidRPr="008352EC">
        <w:rPr>
          <w:rFonts w:hint="cs"/>
          <w:spacing w:val="-4"/>
          <w:rtl/>
          <w:lang w:bidi="ar-EG"/>
        </w:rPr>
        <w:t>سب</w:t>
      </w:r>
      <w:r w:rsidR="00954C81" w:rsidRPr="008352EC">
        <w:rPr>
          <w:rFonts w:hint="cs"/>
          <w:spacing w:val="-4"/>
          <w:rtl/>
          <w:lang w:bidi="ar-EG"/>
        </w:rPr>
        <w:t xml:space="preserve">ة </w:t>
      </w:r>
      <w:r w:rsidR="00954C81" w:rsidRPr="008352EC">
        <w:rPr>
          <w:spacing w:val="-4"/>
          <w:lang w:bidi="ar-EG"/>
        </w:rPr>
        <w:t>1,08</w:t>
      </w:r>
      <w:r w:rsidR="007D36E8" w:rsidRPr="008352EC">
        <w:rPr>
          <w:rFonts w:hint="cs"/>
          <w:spacing w:val="-4"/>
          <w:rtl/>
          <w:lang w:bidi="ar-EG"/>
        </w:rPr>
        <w:t xml:space="preserve"> في</w:t>
      </w:r>
      <w:r w:rsidR="008352EC" w:rsidRPr="008352EC">
        <w:rPr>
          <w:rFonts w:hint="eastAsia"/>
          <w:spacing w:val="-4"/>
          <w:rtl/>
          <w:lang w:bidi="ar-EG"/>
        </w:rPr>
        <w:t> </w:t>
      </w:r>
      <w:r w:rsidR="007D36E8" w:rsidRPr="008352EC">
        <w:rPr>
          <w:rFonts w:hint="cs"/>
          <w:spacing w:val="-4"/>
          <w:rtl/>
          <w:lang w:bidi="ar-EG"/>
        </w:rPr>
        <w:t>المائة</w:t>
      </w:r>
      <w:r w:rsidR="007D36E8">
        <w:rPr>
          <w:rFonts w:hint="cs"/>
          <w:rtl/>
          <w:lang w:bidi="ar-EG"/>
        </w:rPr>
        <w:t xml:space="preserve">، اعتباراً من </w:t>
      </w:r>
      <w:r w:rsidR="007D36E8">
        <w:rPr>
          <w:lang w:bidi="ar-EG"/>
        </w:rPr>
        <w:t>1</w:t>
      </w:r>
      <w:r w:rsidR="007D36E8">
        <w:rPr>
          <w:rFonts w:hint="cs"/>
          <w:rtl/>
          <w:lang w:bidi="ar-EG"/>
        </w:rPr>
        <w:t xml:space="preserve"> سبتمبر </w:t>
      </w:r>
      <w:r w:rsidR="007D36E8">
        <w:rPr>
          <w:lang w:bidi="ar-EG"/>
        </w:rPr>
        <w:t>2016</w:t>
      </w:r>
      <w:r w:rsidR="007D36E8">
        <w:rPr>
          <w:rFonts w:hint="cs"/>
          <w:rtl/>
          <w:lang w:bidi="ar-EG"/>
        </w:rPr>
        <w:t xml:space="preserve">. </w:t>
      </w:r>
      <w:r w:rsidR="000A71A4">
        <w:rPr>
          <w:rFonts w:hint="cs"/>
          <w:rtl/>
          <w:lang w:bidi="ar-EG"/>
        </w:rPr>
        <w:t>ويظل</w:t>
      </w:r>
      <w:r w:rsidR="00D54E92">
        <w:rPr>
          <w:rFonts w:hint="cs"/>
          <w:rtl/>
          <w:lang w:bidi="ar-EG"/>
        </w:rPr>
        <w:t xml:space="preserve"> جدول المرتبات </w:t>
      </w:r>
      <w:r w:rsidR="000A71A4">
        <w:rPr>
          <w:rFonts w:hint="cs"/>
          <w:rtl/>
          <w:lang w:bidi="ar-EG"/>
        </w:rPr>
        <w:t>ساري المفعول</w:t>
      </w:r>
      <w:r w:rsidR="00D54E92">
        <w:rPr>
          <w:rFonts w:hint="cs"/>
          <w:rtl/>
          <w:lang w:bidi="ar-EG"/>
        </w:rPr>
        <w:t xml:space="preserve"> قبل </w:t>
      </w:r>
      <w:r w:rsidR="00D54E92">
        <w:rPr>
          <w:lang w:bidi="ar-EG"/>
        </w:rPr>
        <w:t>1</w:t>
      </w:r>
      <w:r w:rsidR="00D54E92">
        <w:rPr>
          <w:rFonts w:hint="cs"/>
          <w:rtl/>
          <w:lang w:bidi="ar-EG"/>
        </w:rPr>
        <w:t xml:space="preserve"> يونيو </w:t>
      </w:r>
      <w:r w:rsidR="00D54E92">
        <w:rPr>
          <w:lang w:bidi="ar-EG"/>
        </w:rPr>
        <w:t>2016</w:t>
      </w:r>
      <w:r w:rsidR="00D54E92">
        <w:rPr>
          <w:rFonts w:hint="cs"/>
          <w:rtl/>
          <w:lang w:bidi="ar-EG"/>
        </w:rPr>
        <w:t xml:space="preserve"> </w:t>
      </w:r>
      <w:r w:rsidR="000A71A4">
        <w:rPr>
          <w:rFonts w:hint="cs"/>
          <w:rtl/>
          <w:lang w:bidi="ar-EG"/>
        </w:rPr>
        <w:t>سارياً</w:t>
      </w:r>
      <w:r w:rsidR="00D54E92">
        <w:rPr>
          <w:rFonts w:hint="cs"/>
          <w:rtl/>
          <w:lang w:bidi="ar-EG"/>
        </w:rPr>
        <w:t xml:space="preserve"> على الموظفين المعينين قبل هذا التاريخ.</w:t>
      </w:r>
    </w:p>
    <w:p w:rsidR="00BA3E54" w:rsidRPr="00873F4B" w:rsidRDefault="00BA3E54" w:rsidP="00BA3E54">
      <w:pPr>
        <w:pStyle w:val="Heading1"/>
        <w:rPr>
          <w:rtl/>
          <w:lang w:bidi="ar-SY"/>
        </w:rPr>
      </w:pPr>
      <w:r w:rsidRPr="00873F4B">
        <w:rPr>
          <w:rFonts w:hint="cs"/>
          <w:rtl/>
          <w:lang w:bidi="ar-SY"/>
        </w:rPr>
        <w:t>ثانياً</w:t>
      </w:r>
      <w:r w:rsidRPr="00873F4B">
        <w:rPr>
          <w:rtl/>
          <w:lang w:bidi="ar-SY"/>
        </w:rPr>
        <w:tab/>
        <w:t>شروط خدمة الموظفين المنتخبين</w:t>
      </w:r>
    </w:p>
    <w:p w:rsidR="00BA3E54" w:rsidRPr="00873F4B" w:rsidRDefault="00961F74" w:rsidP="00BA3E54">
      <w:pPr>
        <w:rPr>
          <w:rtl/>
          <w:lang w:bidi="ar-EG"/>
        </w:rPr>
      </w:pPr>
      <w:r>
        <w:rPr>
          <w:lang w:bidi="ar-SY"/>
        </w:rPr>
        <w:t>8</w:t>
      </w:r>
      <w:r w:rsidR="00BA3E54" w:rsidRPr="00873F4B">
        <w:rPr>
          <w:rtl/>
          <w:lang w:bidi="ar-EG"/>
        </w:rPr>
        <w:tab/>
      </w:r>
      <w:r w:rsidR="00BA3E54" w:rsidRPr="00873F4B">
        <w:rPr>
          <w:rFonts w:hint="cs"/>
          <w:rtl/>
          <w:lang w:bidi="ar-EG"/>
        </w:rPr>
        <w:t xml:space="preserve">وفقاً للقرار </w:t>
      </w:r>
      <w:r w:rsidR="00BA3E54" w:rsidRPr="00873F4B">
        <w:rPr>
          <w:lang w:bidi="ar-SY"/>
        </w:rPr>
        <w:t>46</w:t>
      </w:r>
      <w:r w:rsidR="00BA3E54" w:rsidRPr="00873F4B">
        <w:rPr>
          <w:rFonts w:hint="cs"/>
          <w:rtl/>
          <w:lang w:bidi="ar-EG"/>
        </w:rPr>
        <w:t xml:space="preserve"> (كيوتو، </w:t>
      </w:r>
      <w:r w:rsidR="00BA3E54" w:rsidRPr="00873F4B">
        <w:rPr>
          <w:lang w:bidi="ar-SY"/>
        </w:rPr>
        <w:t>1994</w:t>
      </w:r>
      <w:r w:rsidR="00BA3E54" w:rsidRPr="00873F4B">
        <w:rPr>
          <w:rFonts w:hint="cs"/>
          <w:rtl/>
          <w:lang w:bidi="ar-EG"/>
        </w:rPr>
        <w:t xml:space="preserve">) الصادر عن مؤتمر المندوبين المفوضين، فإن الأجر الذي يتلقاه الموظفون المنتخبون يحدد على أساس أعلى مرتب يدفع للموظفين المعينين بتطبيق النسب المئوية المحددة في هذا القرار. وبالتالي، يقتضي الأمر تعديل </w:t>
      </w:r>
      <w:r w:rsidR="00BA3E54" w:rsidRPr="00024164">
        <w:rPr>
          <w:rFonts w:hint="cs"/>
          <w:spacing w:val="-4"/>
          <w:rtl/>
          <w:lang w:bidi="ar-EG"/>
        </w:rPr>
        <w:t>أجور الموظفين المنتخبين نتيجة لزيادة مستوى أجور الموظفين المعينين التي وافقت عليها الجمعية العامة للأمم المتحدة</w:t>
      </w:r>
      <w:r w:rsidR="00BA3E54" w:rsidRPr="00024164">
        <w:rPr>
          <w:rFonts w:hint="cs"/>
          <w:spacing w:val="-4"/>
          <w:rtl/>
        </w:rPr>
        <w:t xml:space="preserve"> في دورتها الأخيرة</w:t>
      </w:r>
      <w:r w:rsidR="00BA3E54" w:rsidRPr="00024164">
        <w:rPr>
          <w:rFonts w:hint="cs"/>
          <w:spacing w:val="-4"/>
          <w:rtl/>
          <w:lang w:bidi="ar-EG"/>
        </w:rPr>
        <w:t>.</w:t>
      </w:r>
    </w:p>
    <w:p w:rsidR="00BA3E54" w:rsidRDefault="00961F74" w:rsidP="00225EE1">
      <w:pPr>
        <w:rPr>
          <w:rtl/>
          <w:lang w:bidi="ar-EG"/>
        </w:rPr>
      </w:pPr>
      <w:r>
        <w:rPr>
          <w:lang w:bidi="ar-EG"/>
        </w:rPr>
        <w:lastRenderedPageBreak/>
        <w:t>9</w:t>
      </w:r>
      <w:r>
        <w:rPr>
          <w:lang w:bidi="ar-EG"/>
        </w:rPr>
        <w:tab/>
      </w:r>
      <w:r w:rsidR="00225EE1" w:rsidRPr="00225EE1">
        <w:rPr>
          <w:rFonts w:hint="cs"/>
          <w:rtl/>
          <w:lang w:bidi="ar-EG"/>
        </w:rPr>
        <w:t xml:space="preserve">ووافق المجلس بموجب مقرره </w:t>
      </w:r>
      <w:r w:rsidR="00225EE1" w:rsidRPr="00225EE1">
        <w:rPr>
          <w:lang w:bidi="ar-EG"/>
        </w:rPr>
        <w:t>593</w:t>
      </w:r>
      <w:r w:rsidR="00225EE1" w:rsidRPr="00225EE1">
        <w:rPr>
          <w:rFonts w:hint="cs"/>
          <w:rtl/>
          <w:lang w:bidi="ar-EG"/>
        </w:rPr>
        <w:t xml:space="preserve"> على تنفيذ </w:t>
      </w:r>
      <w:r w:rsidR="00225EE1">
        <w:rPr>
          <w:color w:val="000000"/>
          <w:rtl/>
        </w:rPr>
        <w:t>مجموعة التعويضات الجديدة</w:t>
      </w:r>
      <w:r w:rsidR="00225EE1" w:rsidRPr="00225EE1">
        <w:rPr>
          <w:rFonts w:hint="cs"/>
          <w:rtl/>
          <w:lang w:bidi="ar-EG"/>
        </w:rPr>
        <w:t xml:space="preserve"> </w:t>
      </w:r>
      <w:r w:rsidR="00413B10" w:rsidRPr="00225EE1">
        <w:rPr>
          <w:rFonts w:hint="cs"/>
          <w:rtl/>
          <w:lang w:bidi="ar-EG"/>
        </w:rPr>
        <w:t>لموظفي</w:t>
      </w:r>
      <w:r w:rsidR="00225EE1" w:rsidRPr="00225EE1">
        <w:rPr>
          <w:rFonts w:hint="cs"/>
          <w:rtl/>
          <w:lang w:bidi="ar-EG"/>
        </w:rPr>
        <w:t xml:space="preserve"> الفئتين الفنية والعليا على النحو الذي اقترحته لجنة الخدمة المدنية الدولية واعتمدته الجمعية العامة للأمم المتحدة في </w:t>
      </w:r>
      <w:r w:rsidRPr="00225EE1">
        <w:rPr>
          <w:rFonts w:hint="cs"/>
          <w:rtl/>
          <w:lang w:bidi="ar-EG"/>
        </w:rPr>
        <w:t>قرار</w:t>
      </w:r>
      <w:r w:rsidR="00225EE1" w:rsidRPr="00225EE1">
        <w:rPr>
          <w:rFonts w:hint="cs"/>
          <w:rtl/>
          <w:lang w:bidi="ar-EG"/>
        </w:rPr>
        <w:t>ها</w:t>
      </w:r>
      <w:r w:rsidRPr="00225EE1">
        <w:rPr>
          <w:rFonts w:hint="cs"/>
          <w:rtl/>
          <w:lang w:bidi="ar-EG"/>
        </w:rPr>
        <w:t xml:space="preserve"> </w:t>
      </w:r>
      <w:r w:rsidRPr="00225EE1">
        <w:rPr>
          <w:lang w:val="en-GB" w:bidi="ar-SY"/>
        </w:rPr>
        <w:t>70</w:t>
      </w:r>
      <w:r w:rsidRPr="00225EE1">
        <w:rPr>
          <w:lang w:bidi="ar-SY"/>
        </w:rPr>
        <w:t>/</w:t>
      </w:r>
      <w:r w:rsidRPr="00225EE1">
        <w:rPr>
          <w:lang w:val="en-GB" w:bidi="ar-SY"/>
        </w:rPr>
        <w:t>244</w:t>
      </w:r>
      <w:r w:rsidRPr="00225EE1">
        <w:rPr>
          <w:rFonts w:hint="cs"/>
          <w:rtl/>
          <w:lang w:bidi="ar-EG"/>
        </w:rPr>
        <w:t xml:space="preserve"> </w:t>
      </w:r>
      <w:r w:rsidR="00413B10" w:rsidRPr="00225EE1">
        <w:rPr>
          <w:rFonts w:hint="cs"/>
          <w:rtl/>
          <w:lang w:bidi="ar-EG"/>
        </w:rPr>
        <w:t>المؤرخ</w:t>
      </w:r>
      <w:r w:rsidRPr="00225EE1">
        <w:rPr>
          <w:rFonts w:hint="cs"/>
          <w:rtl/>
          <w:lang w:bidi="ar-EG"/>
        </w:rPr>
        <w:t xml:space="preserve"> </w:t>
      </w:r>
      <w:r w:rsidRPr="00225EE1">
        <w:rPr>
          <w:lang w:val="en-GB" w:bidi="ar-SY"/>
        </w:rPr>
        <w:t>23</w:t>
      </w:r>
      <w:r w:rsidRPr="00225EE1">
        <w:rPr>
          <w:rFonts w:hint="cs"/>
          <w:rtl/>
          <w:lang w:bidi="ar-EG"/>
        </w:rPr>
        <w:t xml:space="preserve"> ديسمبر </w:t>
      </w:r>
      <w:r w:rsidRPr="00225EE1">
        <w:rPr>
          <w:lang w:val="en-GB" w:bidi="ar-SY"/>
        </w:rPr>
        <w:t>2015</w:t>
      </w:r>
      <w:r w:rsidR="00931A72">
        <w:rPr>
          <w:rFonts w:hint="cs"/>
          <w:rtl/>
          <w:lang w:bidi="ar-EG"/>
        </w:rPr>
        <w:t>.</w:t>
      </w:r>
    </w:p>
    <w:p w:rsidR="00961F74" w:rsidRPr="00873F4B" w:rsidRDefault="00961F74" w:rsidP="001932EB">
      <w:pPr>
        <w:rPr>
          <w:rtl/>
          <w:lang w:bidi="ar-EG"/>
        </w:rPr>
      </w:pPr>
      <w:r>
        <w:rPr>
          <w:lang w:bidi="ar-EG"/>
        </w:rPr>
        <w:t>10</w:t>
      </w:r>
      <w:r>
        <w:rPr>
          <w:rtl/>
          <w:lang w:bidi="ar-EG"/>
        </w:rPr>
        <w:tab/>
      </w:r>
      <w:r w:rsidR="00EA4556">
        <w:rPr>
          <w:rFonts w:hint="cs"/>
          <w:rtl/>
          <w:lang w:bidi="ar-EG"/>
        </w:rPr>
        <w:t xml:space="preserve">تنطبق مجموعة التعويضات الجديدة هذه، مع إجراء التعديلات اللازمة، على المسؤولين المنتخبين </w:t>
      </w:r>
      <w:r w:rsidR="006E4990">
        <w:rPr>
          <w:rFonts w:hint="cs"/>
          <w:rtl/>
          <w:lang w:bidi="ar-EG"/>
        </w:rPr>
        <w:t>فيما</w:t>
      </w:r>
      <w:r w:rsidR="006E4990">
        <w:rPr>
          <w:rFonts w:hint="eastAsia"/>
          <w:rtl/>
          <w:lang w:bidi="ar-EG"/>
        </w:rPr>
        <w:t> </w:t>
      </w:r>
      <w:r w:rsidR="001D1445">
        <w:rPr>
          <w:rFonts w:hint="cs"/>
          <w:rtl/>
          <w:lang w:bidi="ar-EG"/>
        </w:rPr>
        <w:t>يتعلق</w:t>
      </w:r>
      <w:r w:rsidR="00EA4556">
        <w:rPr>
          <w:rFonts w:hint="cs"/>
          <w:rtl/>
          <w:lang w:bidi="ar-EG"/>
        </w:rPr>
        <w:t xml:space="preserve"> </w:t>
      </w:r>
      <w:r w:rsidR="001D1445">
        <w:rPr>
          <w:rFonts w:hint="cs"/>
          <w:rtl/>
          <w:lang w:bidi="ar-EG"/>
        </w:rPr>
        <w:t>با</w:t>
      </w:r>
      <w:r w:rsidR="00036287">
        <w:rPr>
          <w:rFonts w:hint="cs"/>
          <w:rtl/>
          <w:lang w:bidi="ar-EG"/>
        </w:rPr>
        <w:t xml:space="preserve">لمزايا والاستحقاقات </w:t>
      </w:r>
      <w:r w:rsidR="001B7FBA">
        <w:rPr>
          <w:rFonts w:hint="cs"/>
          <w:rtl/>
          <w:lang w:bidi="ar-EG"/>
        </w:rPr>
        <w:t>المؤهلين</w:t>
      </w:r>
      <w:r w:rsidR="00036287">
        <w:rPr>
          <w:rFonts w:hint="cs"/>
          <w:rtl/>
          <w:lang w:bidi="ar-EG"/>
        </w:rPr>
        <w:t xml:space="preserve"> بموجب </w:t>
      </w:r>
      <w:r w:rsidR="00036287">
        <w:rPr>
          <w:color w:val="000000"/>
          <w:rtl/>
        </w:rPr>
        <w:t xml:space="preserve">النظام الأساسي والنظام الإداري </w:t>
      </w:r>
      <w:r w:rsidR="00036287">
        <w:rPr>
          <w:rFonts w:hint="cs"/>
          <w:color w:val="000000"/>
          <w:rtl/>
        </w:rPr>
        <w:t>المطبقي</w:t>
      </w:r>
      <w:r w:rsidR="001B7FBA">
        <w:rPr>
          <w:rFonts w:hint="cs"/>
          <w:color w:val="000000"/>
          <w:rtl/>
        </w:rPr>
        <w:t>ْ</w:t>
      </w:r>
      <w:r w:rsidR="00036287">
        <w:rPr>
          <w:rFonts w:hint="cs"/>
          <w:color w:val="000000"/>
          <w:rtl/>
        </w:rPr>
        <w:t>ن على المسؤولين المنتخبين، على النحو المنصوص عليه في</w:t>
      </w:r>
      <w:r w:rsidR="00822852">
        <w:rPr>
          <w:rFonts w:hint="eastAsia"/>
          <w:color w:val="000000"/>
          <w:rtl/>
        </w:rPr>
        <w:t> </w:t>
      </w:r>
      <w:r w:rsidR="00036287">
        <w:rPr>
          <w:rFonts w:hint="cs"/>
          <w:color w:val="000000"/>
          <w:rtl/>
        </w:rPr>
        <w:t>مشروع القرار المرفق.</w:t>
      </w:r>
      <w:r w:rsidR="00197CEF">
        <w:rPr>
          <w:rtl/>
          <w:lang w:bidi="ar-EG"/>
        </w:rPr>
        <w:t xml:space="preserve"> </w:t>
      </w:r>
      <w:r w:rsidR="002B5BB1">
        <w:rPr>
          <w:rFonts w:hint="cs"/>
          <w:rtl/>
          <w:lang w:bidi="ar-EG"/>
        </w:rPr>
        <w:t>ونتيجة</w:t>
      </w:r>
      <w:r w:rsidR="00B54AC8">
        <w:rPr>
          <w:rFonts w:hint="cs"/>
          <w:rtl/>
          <w:lang w:bidi="ar-EG"/>
        </w:rPr>
        <w:t>ً</w:t>
      </w:r>
      <w:r w:rsidR="002B5BB1">
        <w:rPr>
          <w:rFonts w:hint="cs"/>
          <w:rtl/>
          <w:lang w:bidi="ar-EG"/>
        </w:rPr>
        <w:t xml:space="preserve"> لذلك، </w:t>
      </w:r>
      <w:r w:rsidR="007604A1">
        <w:rPr>
          <w:rFonts w:hint="cs"/>
          <w:rtl/>
          <w:lang w:bidi="ar-EG"/>
        </w:rPr>
        <w:t>يتعين تعديل النظامين الأساسي والإداري للموظفين تبعاً لذلك لإبراز</w:t>
      </w:r>
      <w:r w:rsidR="00F41347">
        <w:rPr>
          <w:rFonts w:hint="cs"/>
          <w:rtl/>
          <w:lang w:bidi="ar-EG"/>
        </w:rPr>
        <w:t xml:space="preserve"> مجموعة التعويضات الجديدة هذه. ويكلف مشروع القرار المرفق الأمين العام بالمضي قدماً في هذا التنقيح لعرضه على المجلس في دورته القادمة.</w:t>
      </w:r>
    </w:p>
    <w:p w:rsidR="00BA3E54" w:rsidRDefault="00BA3E54" w:rsidP="00BA3E54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:rsidR="00BA3E54" w:rsidRPr="00F005BC" w:rsidRDefault="00BA3E54" w:rsidP="00BA3E54">
      <w:pPr>
        <w:pStyle w:val="AnnexNo0"/>
        <w:rPr>
          <w:rtl/>
        </w:rPr>
      </w:pPr>
      <w:r w:rsidRPr="00F005BC">
        <w:rPr>
          <w:rFonts w:hint="cs"/>
          <w:rtl/>
        </w:rPr>
        <w:lastRenderedPageBreak/>
        <w:t>الملحـق</w:t>
      </w:r>
    </w:p>
    <w:p w:rsidR="00BA3E54" w:rsidRPr="00F005BC" w:rsidRDefault="00BA3E54" w:rsidP="00BA3E54">
      <w:pPr>
        <w:pStyle w:val="ResolutionNo"/>
        <w:rPr>
          <w:rtl/>
        </w:rPr>
      </w:pPr>
      <w:r w:rsidRPr="00F005BC">
        <w:rPr>
          <w:rFonts w:hint="cs"/>
          <w:rtl/>
        </w:rPr>
        <w:t>مشـروع قـرار</w:t>
      </w:r>
    </w:p>
    <w:p w:rsidR="00BA3E54" w:rsidRPr="00F005BC" w:rsidRDefault="00BA3E54" w:rsidP="007A0B60">
      <w:pPr>
        <w:pStyle w:val="Resolutiontitle"/>
        <w:spacing w:before="240"/>
        <w:rPr>
          <w:rtl/>
        </w:rPr>
      </w:pPr>
      <w:r w:rsidRPr="00F005BC">
        <w:rPr>
          <w:rFonts w:hint="cs"/>
          <w:rtl/>
        </w:rPr>
        <w:t>شروط خدمة الموظفين المنتخبين في الاتحاد</w:t>
      </w:r>
    </w:p>
    <w:p w:rsidR="00BA3E54" w:rsidRPr="00F005BC" w:rsidRDefault="00BA3E54" w:rsidP="00BA3E54">
      <w:pPr>
        <w:pStyle w:val="Normalaftertitle"/>
        <w:rPr>
          <w:rtl/>
        </w:rPr>
      </w:pPr>
      <w:r w:rsidRPr="00F005BC">
        <w:rPr>
          <w:rFonts w:hint="cs"/>
          <w:rtl/>
        </w:rPr>
        <w:t>إن المجلس،</w:t>
      </w:r>
    </w:p>
    <w:p w:rsidR="00BA3E54" w:rsidRPr="00F005BC" w:rsidRDefault="00BA3E54" w:rsidP="00BA3E54">
      <w:pPr>
        <w:pStyle w:val="Call"/>
        <w:rPr>
          <w:rtl/>
          <w:lang w:bidi="ar-EG"/>
        </w:rPr>
      </w:pPr>
      <w:r w:rsidRPr="00F005BC">
        <w:rPr>
          <w:rFonts w:hint="cs"/>
          <w:rtl/>
          <w:lang w:bidi="ar-EG"/>
        </w:rPr>
        <w:t>إذ يأخذ بعين الاعتبار</w:t>
      </w:r>
    </w:p>
    <w:p w:rsidR="00BA3E54" w:rsidRPr="00F005BC" w:rsidRDefault="00BA3E54" w:rsidP="00BA3E54">
      <w:pPr>
        <w:rPr>
          <w:rtl/>
          <w:lang w:bidi="ar-EG"/>
        </w:rPr>
      </w:pPr>
      <w:r w:rsidRPr="00F005BC">
        <w:rPr>
          <w:rFonts w:hint="cs"/>
          <w:rtl/>
          <w:lang w:bidi="ar-EG"/>
        </w:rPr>
        <w:t xml:space="preserve">القرار </w:t>
      </w:r>
      <w:r w:rsidRPr="00F005BC">
        <w:rPr>
          <w:lang w:bidi="ar-SY"/>
        </w:rPr>
        <w:t>46</w:t>
      </w:r>
      <w:r w:rsidRPr="00F005BC">
        <w:rPr>
          <w:rFonts w:hint="cs"/>
          <w:rtl/>
          <w:lang w:bidi="ar-EG"/>
        </w:rPr>
        <w:t xml:space="preserve"> (كيوتو، </w:t>
      </w:r>
      <w:r w:rsidRPr="00F005BC">
        <w:rPr>
          <w:lang w:bidi="ar-SY"/>
        </w:rPr>
        <w:t>1994</w:t>
      </w:r>
      <w:r w:rsidRPr="00F005BC">
        <w:rPr>
          <w:rFonts w:hint="cs"/>
          <w:rtl/>
          <w:lang w:bidi="ar-EG"/>
        </w:rPr>
        <w:t>) الذي اعتمده مؤتمر المندوبين المفوضين،</w:t>
      </w:r>
    </w:p>
    <w:p w:rsidR="00BA3E54" w:rsidRPr="00F005BC" w:rsidRDefault="00BA3E54" w:rsidP="00BA3E54">
      <w:pPr>
        <w:pStyle w:val="Call"/>
        <w:rPr>
          <w:rtl/>
          <w:lang w:bidi="ar-EG"/>
        </w:rPr>
      </w:pPr>
      <w:r w:rsidRPr="00F005BC">
        <w:rPr>
          <w:rFonts w:hint="cs"/>
          <w:rtl/>
          <w:lang w:bidi="ar-EG"/>
        </w:rPr>
        <w:t>وقد نظر</w:t>
      </w:r>
    </w:p>
    <w:p w:rsidR="00BA3E54" w:rsidRPr="00F005BC" w:rsidRDefault="00BA3E54" w:rsidP="00ED3A98">
      <w:pPr>
        <w:rPr>
          <w:rtl/>
          <w:lang w:bidi="ar-EG"/>
        </w:rPr>
      </w:pPr>
      <w:r w:rsidRPr="00F005BC">
        <w:rPr>
          <w:rFonts w:hint="cs"/>
          <w:rtl/>
          <w:lang w:bidi="ar-EG"/>
        </w:rPr>
        <w:t xml:space="preserve">في تقرير الأمين العام بشأن التدابير المتخذة داخل النظام الموحد للأمم المتحدة نتيجة للقرارات التي اتخذتها الجمعية العامة للأمم المتحدة في دورتها </w:t>
      </w:r>
      <w:r w:rsidR="00ED3A98">
        <w:rPr>
          <w:rFonts w:hint="cs"/>
          <w:rtl/>
          <w:lang w:bidi="ar-EG"/>
        </w:rPr>
        <w:t>الحادية والسبعين</w:t>
      </w:r>
      <w:r w:rsidRPr="00F005BC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فيما يخص</w:t>
      </w:r>
      <w:r w:rsidRPr="00F005BC">
        <w:rPr>
          <w:rFonts w:hint="cs"/>
          <w:rtl/>
          <w:lang w:bidi="ar-EG"/>
        </w:rPr>
        <w:t xml:space="preserve"> شروط الخدمة (القرار </w:t>
      </w:r>
      <w:r w:rsidR="00973CC5">
        <w:rPr>
          <w:lang w:bidi="ar-EG"/>
        </w:rPr>
        <w:t>7</w:t>
      </w:r>
      <w:r w:rsidR="0064016A">
        <w:rPr>
          <w:lang w:bidi="ar-SY"/>
        </w:rPr>
        <w:t>1</w:t>
      </w:r>
      <w:r w:rsidRPr="00F005BC">
        <w:rPr>
          <w:lang w:bidi="ar-SY"/>
        </w:rPr>
        <w:t>/2</w:t>
      </w:r>
      <w:r w:rsidR="0064016A">
        <w:rPr>
          <w:lang w:bidi="ar-SY"/>
        </w:rPr>
        <w:t>6</w:t>
      </w:r>
      <w:r w:rsidRPr="00F005BC">
        <w:rPr>
          <w:lang w:bidi="ar-SY"/>
        </w:rPr>
        <w:t>4</w:t>
      </w:r>
      <w:r w:rsidRPr="00F005BC">
        <w:rPr>
          <w:rFonts w:hint="cs"/>
          <w:rtl/>
          <w:lang w:bidi="ar-EG"/>
        </w:rPr>
        <w:t xml:space="preserve"> المؤرخ </w:t>
      </w:r>
      <w:r w:rsidRPr="00F005BC">
        <w:rPr>
          <w:lang w:bidi="ar-SY"/>
        </w:rPr>
        <w:t>23</w:t>
      </w:r>
      <w:r w:rsidRPr="00F005BC">
        <w:rPr>
          <w:rFonts w:hint="cs"/>
          <w:rtl/>
          <w:lang w:bidi="ar-EG"/>
        </w:rPr>
        <w:t xml:space="preserve"> ديسمبر </w:t>
      </w:r>
      <w:r w:rsidRPr="00F005BC">
        <w:rPr>
          <w:lang w:bidi="ar-SY"/>
        </w:rPr>
        <w:t>201</w:t>
      </w:r>
      <w:r w:rsidR="0064016A">
        <w:rPr>
          <w:lang w:bidi="ar-SY"/>
        </w:rPr>
        <w:t>6</w:t>
      </w:r>
      <w:r w:rsidRPr="00F005BC">
        <w:rPr>
          <w:rFonts w:hint="cs"/>
          <w:rtl/>
          <w:lang w:bidi="ar-EG"/>
        </w:rPr>
        <w:t>)،</w:t>
      </w:r>
    </w:p>
    <w:p w:rsidR="00BA3E54" w:rsidRPr="00F005BC" w:rsidRDefault="00BA3E54" w:rsidP="00BA3E54">
      <w:pPr>
        <w:pStyle w:val="Call"/>
        <w:rPr>
          <w:rtl/>
          <w:lang w:bidi="ar-EG"/>
        </w:rPr>
      </w:pPr>
      <w:r w:rsidRPr="00F005BC">
        <w:rPr>
          <w:rFonts w:hint="cs"/>
          <w:rtl/>
          <w:lang w:bidi="ar-EG"/>
        </w:rPr>
        <w:t>يقـرر</w:t>
      </w:r>
    </w:p>
    <w:p w:rsidR="00BA3E54" w:rsidRPr="00F005BC" w:rsidRDefault="00BA3E54" w:rsidP="00DE0B7C">
      <w:pPr>
        <w:spacing w:after="120"/>
        <w:rPr>
          <w:rtl/>
          <w:lang w:bidi="ar-EG"/>
        </w:rPr>
      </w:pPr>
      <w:r w:rsidRPr="00F005BC">
        <w:rPr>
          <w:rFonts w:hint="cs"/>
          <w:rtl/>
          <w:lang w:bidi="ar-EG"/>
        </w:rPr>
        <w:t xml:space="preserve">الموافقة على المرتبات التالية اعتباراً من </w:t>
      </w:r>
      <w:r w:rsidRPr="00F005BC">
        <w:rPr>
          <w:lang w:bidi="ar-SY"/>
        </w:rPr>
        <w:t>1</w:t>
      </w:r>
      <w:r w:rsidRPr="00F005BC">
        <w:rPr>
          <w:rFonts w:hint="cs"/>
          <w:rtl/>
          <w:lang w:bidi="ar-EG"/>
        </w:rPr>
        <w:t xml:space="preserve"> يناير </w:t>
      </w:r>
      <w:r w:rsidRPr="00F005BC">
        <w:rPr>
          <w:lang w:bidi="ar-SY"/>
        </w:rPr>
        <w:t>201</w:t>
      </w:r>
      <w:r w:rsidR="00DE0B7C">
        <w:rPr>
          <w:lang w:bidi="ar-SY"/>
        </w:rPr>
        <w:t>7</w:t>
      </w:r>
      <w:r w:rsidRPr="00F005BC">
        <w:rPr>
          <w:rFonts w:hint="cs"/>
          <w:rtl/>
          <w:lang w:bidi="ar-EG"/>
        </w:rPr>
        <w:t xml:space="preserve"> للموظفين المنتخبين في الاتحاد:</w:t>
      </w:r>
    </w:p>
    <w:tbl>
      <w:tblPr>
        <w:bidiVisual/>
        <w:tblW w:w="96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3455"/>
        <w:gridCol w:w="3119"/>
      </w:tblGrid>
      <w:tr w:rsidR="00BA3E54" w:rsidRPr="00961212" w:rsidTr="00657AE4">
        <w:trPr>
          <w:jc w:val="center"/>
        </w:trPr>
        <w:tc>
          <w:tcPr>
            <w:tcW w:w="3067" w:type="dxa"/>
            <w:vMerge w:val="restart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54" w:rsidRPr="00961212" w:rsidRDefault="00BA3E54" w:rsidP="002862F9">
            <w:pPr>
              <w:spacing w:before="60" w:after="60" w:line="260" w:lineRule="exact"/>
              <w:rPr>
                <w:b/>
                <w:bCs/>
                <w:sz w:val="20"/>
                <w:szCs w:val="26"/>
                <w:lang w:val="fr-CH" w:bidi="ar-SY"/>
              </w:rPr>
            </w:pPr>
          </w:p>
        </w:tc>
        <w:tc>
          <w:tcPr>
            <w:tcW w:w="6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54" w:rsidRPr="00961212" w:rsidRDefault="00BA3E54" w:rsidP="002862F9">
            <w:pPr>
              <w:pStyle w:val="TableHead0"/>
              <w:rPr>
                <w:lang w:val="es-ES_tradnl" w:bidi="ar-SY"/>
              </w:rPr>
            </w:pPr>
            <w:r w:rsidRPr="00961212">
              <w:rPr>
                <w:rFonts w:hint="cs"/>
                <w:rtl/>
              </w:rPr>
              <w:t>دولار أمريكي سنوياً</w:t>
            </w:r>
          </w:p>
        </w:tc>
      </w:tr>
      <w:tr w:rsidR="00526E16" w:rsidRPr="00961212" w:rsidTr="00657AE4">
        <w:trPr>
          <w:jc w:val="center"/>
        </w:trPr>
        <w:tc>
          <w:tcPr>
            <w:tcW w:w="3067" w:type="dxa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16" w:rsidRPr="00961212" w:rsidRDefault="00526E16" w:rsidP="002862F9">
            <w:pPr>
              <w:spacing w:before="60" w:after="60" w:line="260" w:lineRule="exact"/>
              <w:rPr>
                <w:b/>
                <w:bCs/>
                <w:sz w:val="20"/>
                <w:szCs w:val="26"/>
                <w:lang w:val="es-ES_tradnl" w:bidi="ar-SY"/>
              </w:rPr>
            </w:pPr>
          </w:p>
        </w:tc>
        <w:tc>
          <w:tcPr>
            <w:tcW w:w="34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16" w:rsidRPr="00961212" w:rsidRDefault="00526E16" w:rsidP="002862F9">
            <w:pPr>
              <w:pStyle w:val="TableHead0"/>
              <w:rPr>
                <w:lang w:val="es-ES_tradnl" w:bidi="ar-SY"/>
              </w:rPr>
            </w:pPr>
            <w:r w:rsidRPr="00961212">
              <w:rPr>
                <w:rFonts w:hint="cs"/>
                <w:rtl/>
              </w:rPr>
              <w:t>المرتب الإجمالي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16" w:rsidRPr="00961212" w:rsidRDefault="00526E16" w:rsidP="008E216C">
            <w:pPr>
              <w:pStyle w:val="TableHead0"/>
              <w:rPr>
                <w:rtl/>
                <w:lang w:val="es-ES_tradnl" w:bidi="ar-EG"/>
              </w:rPr>
            </w:pPr>
            <w:r w:rsidRPr="00BF21BA">
              <w:rPr>
                <w:rFonts w:hint="cs"/>
                <w:rtl/>
              </w:rPr>
              <w:t>المرتب الصافي</w:t>
            </w:r>
          </w:p>
        </w:tc>
      </w:tr>
      <w:tr w:rsidR="00526E16" w:rsidRPr="00961212" w:rsidTr="00657AE4">
        <w:trPr>
          <w:jc w:val="center"/>
        </w:trPr>
        <w:tc>
          <w:tcPr>
            <w:tcW w:w="3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16" w:rsidRPr="00961212" w:rsidRDefault="00526E16" w:rsidP="00852E40">
            <w:pPr>
              <w:pStyle w:val="Tabletext"/>
              <w:jc w:val="left"/>
            </w:pPr>
            <w:r w:rsidRPr="00961212">
              <w:rPr>
                <w:rFonts w:hint="cs"/>
                <w:rtl/>
              </w:rPr>
              <w:t>الأمين العام</w:t>
            </w:r>
          </w:p>
        </w:tc>
        <w:tc>
          <w:tcPr>
            <w:tcW w:w="34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16" w:rsidRPr="00961212" w:rsidRDefault="00526E16" w:rsidP="00B66D94">
            <w:pPr>
              <w:pStyle w:val="Tabletext"/>
              <w:rPr>
                <w:lang w:val="en-GB" w:bidi="ar-SY"/>
              </w:rPr>
            </w:pPr>
            <w:r>
              <w:rPr>
                <w:lang w:val="en-GB" w:bidi="ar-SY"/>
              </w:rPr>
              <w:t>233</w:t>
            </w:r>
            <w:r w:rsidRPr="00961212">
              <w:rPr>
                <w:lang w:val="en-GB" w:bidi="ar-SY"/>
              </w:rPr>
              <w:t> </w:t>
            </w:r>
            <w:r>
              <w:rPr>
                <w:lang w:val="en-GB" w:bidi="ar-SY"/>
              </w:rPr>
              <w:t>024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16" w:rsidRPr="00961212" w:rsidRDefault="00526E16" w:rsidP="00B66D94">
            <w:pPr>
              <w:pStyle w:val="Tabletext"/>
              <w:rPr>
                <w:lang w:val="en-GB" w:bidi="ar-SY"/>
              </w:rPr>
            </w:pPr>
            <w:r w:rsidRPr="00961212">
              <w:rPr>
                <w:lang w:val="en-GB" w:bidi="ar-SY"/>
              </w:rPr>
              <w:t>16</w:t>
            </w:r>
            <w:r w:rsidR="008E216C">
              <w:rPr>
                <w:lang w:val="en-GB" w:bidi="ar-SY"/>
              </w:rPr>
              <w:t>9</w:t>
            </w:r>
            <w:r w:rsidRPr="00961212">
              <w:rPr>
                <w:lang w:val="en-GB" w:bidi="ar-SY"/>
              </w:rPr>
              <w:t> </w:t>
            </w:r>
            <w:r w:rsidR="008E216C">
              <w:rPr>
                <w:lang w:val="en-GB" w:bidi="ar-SY"/>
              </w:rPr>
              <w:t>296</w:t>
            </w:r>
          </w:p>
        </w:tc>
      </w:tr>
      <w:tr w:rsidR="00526E16" w:rsidRPr="00961212" w:rsidTr="00657AE4">
        <w:trPr>
          <w:jc w:val="center"/>
        </w:trPr>
        <w:tc>
          <w:tcPr>
            <w:tcW w:w="3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16" w:rsidRPr="00961212" w:rsidRDefault="00526E16" w:rsidP="00852E40">
            <w:pPr>
              <w:pStyle w:val="Tabletext"/>
              <w:jc w:val="left"/>
              <w:rPr>
                <w:rtl/>
              </w:rPr>
            </w:pPr>
            <w:r w:rsidRPr="00961212">
              <w:rPr>
                <w:rFonts w:hint="cs"/>
                <w:rtl/>
              </w:rPr>
              <w:t>نائب الأمين العام ومديرو المكاتب</w:t>
            </w:r>
          </w:p>
        </w:tc>
        <w:tc>
          <w:tcPr>
            <w:tcW w:w="34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16" w:rsidRPr="00961212" w:rsidRDefault="00526E16" w:rsidP="00B66D94">
            <w:pPr>
              <w:pStyle w:val="Tabletext"/>
              <w:rPr>
                <w:lang w:val="en-GB" w:bidi="ar-SY"/>
              </w:rPr>
            </w:pPr>
            <w:r w:rsidRPr="00961212">
              <w:rPr>
                <w:lang w:val="en-GB" w:bidi="ar-SY"/>
              </w:rPr>
              <w:t>2</w:t>
            </w:r>
            <w:r>
              <w:rPr>
                <w:lang w:val="en-GB" w:bidi="ar-SY"/>
              </w:rPr>
              <w:t>1</w:t>
            </w:r>
            <w:r w:rsidRPr="00961212">
              <w:rPr>
                <w:lang w:val="en-GB" w:bidi="ar-SY"/>
              </w:rPr>
              <w:t>1 </w:t>
            </w:r>
            <w:r>
              <w:rPr>
                <w:lang w:val="en-GB" w:bidi="ar-SY"/>
              </w:rPr>
              <w:t>967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E16" w:rsidRPr="00961212" w:rsidRDefault="00526E16" w:rsidP="00B66D94">
            <w:pPr>
              <w:pStyle w:val="Tabletext"/>
              <w:rPr>
                <w:lang w:val="en-GB" w:bidi="ar-SY"/>
              </w:rPr>
            </w:pPr>
            <w:r w:rsidRPr="00961212">
              <w:rPr>
                <w:lang w:val="en-GB" w:bidi="ar-SY"/>
              </w:rPr>
              <w:t>15</w:t>
            </w:r>
            <w:r w:rsidR="008E216C">
              <w:rPr>
                <w:lang w:val="en-GB" w:bidi="ar-SY"/>
              </w:rPr>
              <w:t>5</w:t>
            </w:r>
            <w:r w:rsidRPr="00961212">
              <w:rPr>
                <w:lang w:val="en-GB" w:bidi="ar-SY"/>
              </w:rPr>
              <w:t> </w:t>
            </w:r>
            <w:r w:rsidR="008E216C">
              <w:rPr>
                <w:lang w:val="en-GB" w:bidi="ar-SY"/>
              </w:rPr>
              <w:t>398</w:t>
            </w:r>
          </w:p>
        </w:tc>
      </w:tr>
    </w:tbl>
    <w:p w:rsidR="000E4FF0" w:rsidRPr="00305EF6" w:rsidRDefault="00BF21BA" w:rsidP="00305EF6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يقرر كذلك</w:t>
      </w:r>
    </w:p>
    <w:p w:rsidR="00CF352E" w:rsidRDefault="00CF352E" w:rsidP="00113FF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أن </w:t>
      </w:r>
      <w:r w:rsidR="006941AB">
        <w:rPr>
          <w:rFonts w:hint="cs"/>
          <w:rtl/>
          <w:lang w:bidi="ar-EG"/>
        </w:rPr>
        <w:t>تُطبق</w:t>
      </w:r>
      <w:r>
        <w:rPr>
          <w:rFonts w:hint="cs"/>
          <w:rtl/>
          <w:lang w:bidi="ar-EG"/>
        </w:rPr>
        <w:t xml:space="preserve"> على المسؤولين المنتخبين عناصر مجموعة التعويضات الجديدة للموظفين في</w:t>
      </w:r>
      <w:r w:rsidR="00305EF6" w:rsidRPr="00CF352E">
        <w:rPr>
          <w:rFonts w:hint="cs"/>
          <w:rtl/>
          <w:lang w:bidi="ar-EG"/>
        </w:rPr>
        <w:t xml:space="preserve"> الفئتين الفنية والعليا </w:t>
      </w:r>
      <w:r>
        <w:rPr>
          <w:rFonts w:hint="cs"/>
          <w:rtl/>
          <w:lang w:bidi="ar-EG"/>
        </w:rPr>
        <w:t xml:space="preserve">التي اعتمدها المجلس بموجب مقرره </w:t>
      </w:r>
      <w:r>
        <w:rPr>
          <w:lang w:bidi="ar-EG"/>
        </w:rPr>
        <w:t>593</w:t>
      </w:r>
      <w:r>
        <w:rPr>
          <w:rFonts w:hint="cs"/>
          <w:rtl/>
          <w:lang w:bidi="ar-EG"/>
        </w:rPr>
        <w:t xml:space="preserve"> </w:t>
      </w:r>
      <w:r w:rsidRPr="00225EE1">
        <w:rPr>
          <w:rFonts w:hint="cs"/>
          <w:rtl/>
          <w:lang w:bidi="ar-EG"/>
        </w:rPr>
        <w:t>على النحو الذي اقترحته لجنة الخدمة المدنية الدولية واعتمدته الجمعية العامة للأمم المتحدة في قرارها</w:t>
      </w:r>
      <w:r w:rsidR="00B83B4B">
        <w:rPr>
          <w:rFonts w:hint="eastAsia"/>
          <w:rtl/>
          <w:lang w:bidi="ar-EG"/>
        </w:rPr>
        <w:t> </w:t>
      </w:r>
      <w:r w:rsidRPr="00225EE1">
        <w:rPr>
          <w:lang w:val="en-GB" w:bidi="ar-SY"/>
        </w:rPr>
        <w:t>70</w:t>
      </w:r>
      <w:r w:rsidRPr="00225EE1">
        <w:rPr>
          <w:lang w:bidi="ar-SY"/>
        </w:rPr>
        <w:t>/</w:t>
      </w:r>
      <w:r w:rsidRPr="00225EE1">
        <w:rPr>
          <w:lang w:val="en-GB" w:bidi="ar-SY"/>
        </w:rPr>
        <w:t>244</w:t>
      </w:r>
      <w:r w:rsidRPr="00225EE1">
        <w:rPr>
          <w:rFonts w:hint="cs"/>
          <w:rtl/>
          <w:lang w:bidi="ar-EG"/>
        </w:rPr>
        <w:t xml:space="preserve"> المؤرخ </w:t>
      </w:r>
      <w:r w:rsidRPr="00225EE1">
        <w:rPr>
          <w:lang w:val="en-GB" w:bidi="ar-SY"/>
        </w:rPr>
        <w:t>23</w:t>
      </w:r>
      <w:r w:rsidR="00113FF6">
        <w:rPr>
          <w:rFonts w:hint="eastAsia"/>
          <w:rtl/>
          <w:lang w:bidi="ar-EG"/>
        </w:rPr>
        <w:t> </w:t>
      </w:r>
      <w:r w:rsidRPr="00225EE1">
        <w:rPr>
          <w:rFonts w:hint="cs"/>
          <w:rtl/>
          <w:lang w:bidi="ar-EG"/>
        </w:rPr>
        <w:t>ديسمبر</w:t>
      </w:r>
      <w:r w:rsidR="00113FF6">
        <w:rPr>
          <w:rFonts w:hint="eastAsia"/>
          <w:rtl/>
          <w:lang w:bidi="ar-EG"/>
        </w:rPr>
        <w:t> </w:t>
      </w:r>
      <w:r w:rsidRPr="00225EE1">
        <w:rPr>
          <w:lang w:val="en-GB" w:bidi="ar-SY"/>
        </w:rPr>
        <w:t>2015</w:t>
      </w:r>
      <w:r>
        <w:rPr>
          <w:rFonts w:hint="cs"/>
          <w:rtl/>
          <w:lang w:bidi="ar-EG"/>
        </w:rPr>
        <w:t>.</w:t>
      </w:r>
    </w:p>
    <w:p w:rsidR="00305EF6" w:rsidRDefault="005749DD" w:rsidP="005749DD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يكلف الأمين العام</w:t>
      </w:r>
    </w:p>
    <w:p w:rsidR="00305EF6" w:rsidRPr="00305EF6" w:rsidRDefault="006941AB" w:rsidP="00D863D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بأن </w:t>
      </w:r>
      <w:r w:rsidR="00D863DA">
        <w:rPr>
          <w:rFonts w:hint="cs"/>
          <w:rtl/>
          <w:lang w:bidi="ar-EG"/>
        </w:rPr>
        <w:t>يقوم بتنقيح</w:t>
      </w:r>
      <w:r>
        <w:rPr>
          <w:rFonts w:hint="cs"/>
          <w:rtl/>
          <w:lang w:bidi="ar-EG"/>
        </w:rPr>
        <w:t xml:space="preserve"> النظام الأساسي والنظام الإداري</w:t>
      </w:r>
      <w:r w:rsidR="00071C8A">
        <w:rPr>
          <w:rFonts w:hint="cs"/>
          <w:rtl/>
          <w:lang w:bidi="ar-EG"/>
        </w:rPr>
        <w:t xml:space="preserve"> للموظفين</w:t>
      </w:r>
      <w:r>
        <w:rPr>
          <w:rFonts w:hint="cs"/>
          <w:rtl/>
          <w:lang w:bidi="ar-EG"/>
        </w:rPr>
        <w:t xml:space="preserve"> المطبقين على المسؤولين المنتخبين تبعاً لذلك من أجل </w:t>
      </w:r>
      <w:r w:rsidR="00D863DA">
        <w:rPr>
          <w:rFonts w:hint="cs"/>
          <w:rtl/>
          <w:lang w:bidi="ar-EG"/>
        </w:rPr>
        <w:t>عرض هذا التنقيح</w:t>
      </w:r>
      <w:r>
        <w:rPr>
          <w:rFonts w:hint="cs"/>
          <w:rtl/>
          <w:lang w:bidi="ar-EG"/>
        </w:rPr>
        <w:t xml:space="preserve"> على المجلس في دورته القادمة.</w:t>
      </w:r>
    </w:p>
    <w:p w:rsidR="000E4FF0" w:rsidRDefault="00944C06" w:rsidP="000B491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E4FF0" w:rsidSect="008B5B5D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09" w:rsidRDefault="00407009" w:rsidP="00E07379">
      <w:pPr>
        <w:spacing w:before="0" w:line="240" w:lineRule="auto"/>
      </w:pPr>
      <w:r>
        <w:separator/>
      </w:r>
    </w:p>
  </w:endnote>
  <w:endnote w:type="continuationSeparator" w:id="0">
    <w:p w:rsidR="00407009" w:rsidRDefault="0040700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DB2AF4" w:rsidRDefault="000E4FF0" w:rsidP="00EC2A64">
    <w:pPr>
      <w:pStyle w:val="Footer"/>
      <w:tabs>
        <w:tab w:val="clear" w:pos="5812"/>
        <w:tab w:val="right" w:pos="5670"/>
      </w:tabs>
      <w:rPr>
        <w:color w:val="D9D9D9" w:themeColor="background1" w:themeShade="D9"/>
        <w:lang w:val="fr-CH"/>
      </w:rPr>
    </w:pPr>
    <w:r w:rsidRPr="00DB2AF4">
      <w:rPr>
        <w:color w:val="D9D9D9" w:themeColor="background1" w:themeShade="D9"/>
      </w:rPr>
      <w:fldChar w:fldCharType="begin"/>
    </w:r>
    <w:r w:rsidRPr="00DB2AF4">
      <w:rPr>
        <w:color w:val="D9D9D9" w:themeColor="background1" w:themeShade="D9"/>
        <w:lang w:val="fr-CH"/>
      </w:rPr>
      <w:instrText xml:space="preserve"> FILENAME \p \* MERGEFORMAT </w:instrText>
    </w:r>
    <w:r w:rsidRPr="00DB2AF4">
      <w:rPr>
        <w:color w:val="D9D9D9" w:themeColor="background1" w:themeShade="D9"/>
      </w:rPr>
      <w:fldChar w:fldCharType="separate"/>
    </w:r>
    <w:r w:rsidR="00B06382" w:rsidRPr="00DB2AF4">
      <w:rPr>
        <w:noProof/>
        <w:color w:val="D9D9D9" w:themeColor="background1" w:themeShade="D9"/>
        <w:lang w:val="fr-CH"/>
      </w:rPr>
      <w:t>P:\ARA\SG\CONSEIL\C17\000\054A.docx</w:t>
    </w:r>
    <w:r w:rsidRPr="00DB2AF4">
      <w:rPr>
        <w:noProof/>
        <w:color w:val="D9D9D9" w:themeColor="background1" w:themeShade="D9"/>
      </w:rPr>
      <w:fldChar w:fldCharType="end"/>
    </w:r>
    <w:r w:rsidR="00EC2A64" w:rsidRPr="00DB2AF4">
      <w:rPr>
        <w:color w:val="D9D9D9" w:themeColor="background1" w:themeShade="D9"/>
        <w:lang w:val="fr-CH"/>
      </w:rPr>
      <w:t>   </w:t>
    </w:r>
    <w:r w:rsidR="00BD0C50" w:rsidRPr="00DB2AF4">
      <w:rPr>
        <w:color w:val="D9D9D9" w:themeColor="background1" w:themeShade="D9"/>
        <w:lang w:val="fr-CH"/>
      </w:rPr>
      <w:t>(</w:t>
    </w:r>
    <w:r w:rsidR="000961B8" w:rsidRPr="00DB2AF4">
      <w:rPr>
        <w:color w:val="D9D9D9" w:themeColor="background1" w:themeShade="D9"/>
        <w:lang w:val="fr-CH"/>
      </w:rPr>
      <w:t>409504</w:t>
    </w:r>
    <w:r w:rsidR="00BD0C50" w:rsidRPr="00DB2AF4">
      <w:rPr>
        <w:color w:val="D9D9D9" w:themeColor="background1" w:themeShade="D9"/>
        <w:lang w:val="fr-CH"/>
      </w:rPr>
      <w:t>)</w:t>
    </w:r>
    <w:r w:rsidR="00BD0C50" w:rsidRPr="00DB2AF4">
      <w:rPr>
        <w:color w:val="D9D9D9" w:themeColor="background1" w:themeShade="D9"/>
        <w:lang w:val="fr-CH"/>
      </w:rPr>
      <w:tab/>
    </w:r>
    <w:r w:rsidR="00BD0C50" w:rsidRPr="00DB2AF4">
      <w:rPr>
        <w:color w:val="D9D9D9" w:themeColor="background1" w:themeShade="D9"/>
      </w:rPr>
      <w:fldChar w:fldCharType="begin"/>
    </w:r>
    <w:r w:rsidR="00BD0C50" w:rsidRPr="00DB2AF4">
      <w:rPr>
        <w:color w:val="D9D9D9" w:themeColor="background1" w:themeShade="D9"/>
      </w:rPr>
      <w:instrText xml:space="preserve"> savedate \@ dd.MM.yy </w:instrText>
    </w:r>
    <w:r w:rsidR="00BD0C50" w:rsidRPr="00DB2AF4">
      <w:rPr>
        <w:color w:val="D9D9D9" w:themeColor="background1" w:themeShade="D9"/>
      </w:rPr>
      <w:fldChar w:fldCharType="separate"/>
    </w:r>
    <w:r w:rsidR="00DB2AF4" w:rsidRPr="00DB2AF4">
      <w:rPr>
        <w:noProof/>
        <w:color w:val="D9D9D9" w:themeColor="background1" w:themeShade="D9"/>
      </w:rPr>
      <w:t>27.04.17</w:t>
    </w:r>
    <w:r w:rsidR="00BD0C50" w:rsidRPr="00DB2AF4">
      <w:rPr>
        <w:color w:val="D9D9D9" w:themeColor="background1" w:themeShade="D9"/>
      </w:rPr>
      <w:fldChar w:fldCharType="end"/>
    </w:r>
    <w:r w:rsidR="00BD0C50" w:rsidRPr="00DB2AF4">
      <w:rPr>
        <w:color w:val="D9D9D9" w:themeColor="background1" w:themeShade="D9"/>
        <w:lang w:val="fr-CH"/>
      </w:rPr>
      <w:tab/>
    </w:r>
    <w:r w:rsidR="00BD0C50" w:rsidRPr="00DB2AF4">
      <w:rPr>
        <w:color w:val="D9D9D9" w:themeColor="background1" w:themeShade="D9"/>
      </w:rPr>
      <w:fldChar w:fldCharType="begin"/>
    </w:r>
    <w:r w:rsidR="00BD0C50" w:rsidRPr="00DB2AF4">
      <w:rPr>
        <w:color w:val="D9D9D9" w:themeColor="background1" w:themeShade="D9"/>
      </w:rPr>
      <w:instrText xml:space="preserve"> printdate \@ dd.MM.yy </w:instrText>
    </w:r>
    <w:r w:rsidR="00BD0C50" w:rsidRPr="00DB2AF4">
      <w:rPr>
        <w:color w:val="D9D9D9" w:themeColor="background1" w:themeShade="D9"/>
      </w:rPr>
      <w:fldChar w:fldCharType="separate"/>
    </w:r>
    <w:r w:rsidR="00B06382" w:rsidRPr="00DB2AF4">
      <w:rPr>
        <w:noProof/>
        <w:color w:val="D9D9D9" w:themeColor="background1" w:themeShade="D9"/>
      </w:rPr>
      <w:t>07.06.16</w:t>
    </w:r>
    <w:r w:rsidR="00BD0C50" w:rsidRPr="00DB2AF4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DB2AF4" w:rsidRDefault="000E4FF0" w:rsidP="00EC2A64">
    <w:pPr>
      <w:pStyle w:val="Footer"/>
      <w:tabs>
        <w:tab w:val="center" w:pos="5529"/>
      </w:tabs>
      <w:rPr>
        <w:rFonts w:cs="Calibri"/>
        <w:vanish/>
        <w:color w:val="D9D9D9" w:themeColor="background1" w:themeShade="D9"/>
        <w:lang w:val="fr-FR"/>
      </w:rPr>
    </w:pPr>
    <w:r w:rsidRPr="00DB2AF4">
      <w:rPr>
        <w:rFonts w:cs="Calibri"/>
        <w:vanish/>
        <w:color w:val="D9D9D9" w:themeColor="background1" w:themeShade="D9"/>
        <w:lang w:val="fr-FR"/>
      </w:rPr>
      <w:fldChar w:fldCharType="begin"/>
    </w:r>
    <w:r w:rsidRPr="00DB2AF4">
      <w:rPr>
        <w:rFonts w:cs="Calibri"/>
        <w:vanish/>
        <w:color w:val="D9D9D9" w:themeColor="background1" w:themeShade="D9"/>
        <w:lang w:val="fr-FR"/>
      </w:rPr>
      <w:instrText xml:space="preserve"> FILENAME \p \* MERGEFORMAT </w:instrText>
    </w:r>
    <w:r w:rsidRPr="00DB2AF4">
      <w:rPr>
        <w:rFonts w:cs="Calibri"/>
        <w:vanish/>
        <w:color w:val="D9D9D9" w:themeColor="background1" w:themeShade="D9"/>
        <w:lang w:val="fr-FR"/>
      </w:rPr>
      <w:fldChar w:fldCharType="separate"/>
    </w:r>
    <w:r w:rsidR="00B06382" w:rsidRPr="00DB2AF4">
      <w:rPr>
        <w:rFonts w:cs="Calibri"/>
        <w:noProof/>
        <w:vanish/>
        <w:color w:val="D9D9D9" w:themeColor="background1" w:themeShade="D9"/>
        <w:lang w:val="fr-FR"/>
      </w:rPr>
      <w:t>P:\ARA\SG\CONSEIL\C17\000\054A.docx</w:t>
    </w:r>
    <w:r w:rsidRPr="00DB2AF4">
      <w:rPr>
        <w:rFonts w:cs="Calibri"/>
        <w:vanish/>
        <w:color w:val="D9D9D9" w:themeColor="background1" w:themeShade="D9"/>
      </w:rPr>
      <w:fldChar w:fldCharType="end"/>
    </w:r>
    <w:r w:rsidR="00EC2A64" w:rsidRPr="00DB2AF4">
      <w:rPr>
        <w:rFonts w:cs="Calibri"/>
        <w:vanish/>
        <w:color w:val="D9D9D9" w:themeColor="background1" w:themeShade="D9"/>
        <w:lang w:val="fr-CH"/>
      </w:rPr>
      <w:t>   </w:t>
    </w:r>
    <w:r w:rsidRPr="00DB2AF4">
      <w:rPr>
        <w:rFonts w:cs="Calibri"/>
        <w:vanish/>
        <w:color w:val="D9D9D9" w:themeColor="background1" w:themeShade="D9"/>
        <w:lang w:val="fr-FR"/>
      </w:rPr>
      <w:t>(</w:t>
    </w:r>
    <w:r w:rsidR="000961B8" w:rsidRPr="00DB2AF4">
      <w:rPr>
        <w:rFonts w:cs="Calibri"/>
        <w:vanish/>
        <w:color w:val="D9D9D9" w:themeColor="background1" w:themeShade="D9"/>
        <w:lang w:val="fr-FR"/>
      </w:rPr>
      <w:t>409504</w:t>
    </w:r>
    <w:r w:rsidRPr="00DB2AF4">
      <w:rPr>
        <w:rFonts w:cs="Calibri"/>
        <w:vanish/>
        <w:color w:val="D9D9D9" w:themeColor="background1" w:themeShade="D9"/>
        <w:lang w:val="fr-FR"/>
      </w:rPr>
      <w:t>)</w:t>
    </w:r>
    <w:r w:rsidRPr="00DB2AF4">
      <w:rPr>
        <w:rFonts w:cs="Calibri"/>
        <w:vanish/>
        <w:color w:val="D9D9D9" w:themeColor="background1" w:themeShade="D9"/>
        <w:lang w:val="fr-FR"/>
      </w:rPr>
      <w:tab/>
    </w:r>
    <w:r w:rsidRPr="00DB2AF4">
      <w:rPr>
        <w:rFonts w:cs="Calibri"/>
        <w:vanish/>
        <w:color w:val="D9D9D9" w:themeColor="background1" w:themeShade="D9"/>
        <w:lang w:val="fr-FR"/>
      </w:rPr>
      <w:fldChar w:fldCharType="begin"/>
    </w:r>
    <w:r w:rsidRPr="00DB2AF4">
      <w:rPr>
        <w:rFonts w:cs="Calibri"/>
        <w:vanish/>
        <w:color w:val="D9D9D9" w:themeColor="background1" w:themeShade="D9"/>
        <w:lang w:val="fr-FR"/>
      </w:rPr>
      <w:instrText xml:space="preserve"> savedate \@ dd.MM.yy </w:instrText>
    </w:r>
    <w:r w:rsidRPr="00DB2AF4">
      <w:rPr>
        <w:rFonts w:cs="Calibri"/>
        <w:vanish/>
        <w:color w:val="D9D9D9" w:themeColor="background1" w:themeShade="D9"/>
        <w:lang w:val="fr-FR"/>
      </w:rPr>
      <w:fldChar w:fldCharType="separate"/>
    </w:r>
    <w:r w:rsidR="00DB2AF4" w:rsidRPr="00DB2AF4">
      <w:rPr>
        <w:rFonts w:cs="Calibri"/>
        <w:noProof/>
        <w:vanish/>
        <w:color w:val="D9D9D9" w:themeColor="background1" w:themeShade="D9"/>
        <w:lang w:val="fr-FR"/>
      </w:rPr>
      <w:t>27.04.17</w:t>
    </w:r>
    <w:r w:rsidRPr="00DB2AF4">
      <w:rPr>
        <w:rFonts w:cs="Calibri"/>
        <w:vanish/>
        <w:color w:val="D9D9D9" w:themeColor="background1" w:themeShade="D9"/>
      </w:rPr>
      <w:fldChar w:fldCharType="end"/>
    </w:r>
    <w:r w:rsidRPr="00DB2AF4">
      <w:rPr>
        <w:rFonts w:cs="Calibri"/>
        <w:vanish/>
        <w:color w:val="D9D9D9" w:themeColor="background1" w:themeShade="D9"/>
        <w:lang w:val="fr-FR"/>
      </w:rPr>
      <w:tab/>
    </w:r>
    <w:r w:rsidRPr="00DB2AF4">
      <w:rPr>
        <w:rFonts w:cs="Calibri"/>
        <w:vanish/>
        <w:color w:val="D9D9D9" w:themeColor="background1" w:themeShade="D9"/>
        <w:lang w:val="fr-FR"/>
      </w:rPr>
      <w:fldChar w:fldCharType="begin"/>
    </w:r>
    <w:r w:rsidRPr="00DB2AF4">
      <w:rPr>
        <w:rFonts w:cs="Calibri"/>
        <w:vanish/>
        <w:color w:val="D9D9D9" w:themeColor="background1" w:themeShade="D9"/>
        <w:lang w:val="fr-FR"/>
      </w:rPr>
      <w:instrText xml:space="preserve"> printdate \@ dd.MM.yy </w:instrText>
    </w:r>
    <w:r w:rsidRPr="00DB2AF4">
      <w:rPr>
        <w:rFonts w:cs="Calibri"/>
        <w:vanish/>
        <w:color w:val="D9D9D9" w:themeColor="background1" w:themeShade="D9"/>
        <w:lang w:val="fr-FR"/>
      </w:rPr>
      <w:fldChar w:fldCharType="separate"/>
    </w:r>
    <w:r w:rsidR="00B06382" w:rsidRPr="00DB2AF4">
      <w:rPr>
        <w:rFonts w:cs="Calibri"/>
        <w:noProof/>
        <w:vanish/>
        <w:color w:val="D9D9D9" w:themeColor="background1" w:themeShade="D9"/>
        <w:lang w:val="fr-FR"/>
      </w:rPr>
      <w:t>07.06.16</w:t>
    </w:r>
    <w:r w:rsidRPr="00DB2AF4">
      <w:rPr>
        <w:rFonts w:cs="Calibri"/>
        <w:vanish/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09" w:rsidRDefault="00407009" w:rsidP="00E07379">
      <w:pPr>
        <w:spacing w:before="0" w:line="240" w:lineRule="auto"/>
      </w:pPr>
      <w:r>
        <w:separator/>
      </w:r>
    </w:p>
  </w:footnote>
  <w:footnote w:type="continuationSeparator" w:id="0">
    <w:p w:rsidR="00407009" w:rsidRDefault="0040700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DB2AF4" w:rsidP="00EC2A64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0961B8">
          <w:rPr>
            <w:rFonts w:eastAsiaTheme="minorEastAsia" w:cs="Calibri"/>
            <w:noProof/>
            <w:sz w:val="20"/>
            <w:szCs w:val="20"/>
            <w:lang w:eastAsia="zh-CN"/>
          </w:rPr>
          <w:t>54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09"/>
    <w:rsid w:val="00006D85"/>
    <w:rsid w:val="000124CC"/>
    <w:rsid w:val="00016612"/>
    <w:rsid w:val="000168B5"/>
    <w:rsid w:val="00024164"/>
    <w:rsid w:val="00036287"/>
    <w:rsid w:val="00041F8B"/>
    <w:rsid w:val="00046444"/>
    <w:rsid w:val="00056657"/>
    <w:rsid w:val="000568AA"/>
    <w:rsid w:val="0006023B"/>
    <w:rsid w:val="00071C8A"/>
    <w:rsid w:val="0008638B"/>
    <w:rsid w:val="00090574"/>
    <w:rsid w:val="00092FC2"/>
    <w:rsid w:val="000961B8"/>
    <w:rsid w:val="000A1677"/>
    <w:rsid w:val="000A71A4"/>
    <w:rsid w:val="000B407F"/>
    <w:rsid w:val="000B4912"/>
    <w:rsid w:val="000C13C2"/>
    <w:rsid w:val="000D4C64"/>
    <w:rsid w:val="000D7E23"/>
    <w:rsid w:val="000E4FF0"/>
    <w:rsid w:val="000E613B"/>
    <w:rsid w:val="000F0B1C"/>
    <w:rsid w:val="000F1D42"/>
    <w:rsid w:val="000F4D07"/>
    <w:rsid w:val="00102A03"/>
    <w:rsid w:val="001040A3"/>
    <w:rsid w:val="00113FF6"/>
    <w:rsid w:val="001226A4"/>
    <w:rsid w:val="001472A6"/>
    <w:rsid w:val="00173915"/>
    <w:rsid w:val="0019202F"/>
    <w:rsid w:val="001932EB"/>
    <w:rsid w:val="00197CEF"/>
    <w:rsid w:val="001B7FBA"/>
    <w:rsid w:val="001D1445"/>
    <w:rsid w:val="001E6704"/>
    <w:rsid w:val="001F24D3"/>
    <w:rsid w:val="0022345D"/>
    <w:rsid w:val="00225854"/>
    <w:rsid w:val="00225EE1"/>
    <w:rsid w:val="0023224A"/>
    <w:rsid w:val="0023283D"/>
    <w:rsid w:val="00252E0C"/>
    <w:rsid w:val="00276881"/>
    <w:rsid w:val="00286505"/>
    <w:rsid w:val="002916BE"/>
    <w:rsid w:val="00297765"/>
    <w:rsid w:val="002978F4"/>
    <w:rsid w:val="002B028D"/>
    <w:rsid w:val="002B435E"/>
    <w:rsid w:val="002B5BB1"/>
    <w:rsid w:val="002C1908"/>
    <w:rsid w:val="002C4DAE"/>
    <w:rsid w:val="002D5F01"/>
    <w:rsid w:val="002D6669"/>
    <w:rsid w:val="002E6541"/>
    <w:rsid w:val="002F5560"/>
    <w:rsid w:val="0030486B"/>
    <w:rsid w:val="00305EF6"/>
    <w:rsid w:val="00315781"/>
    <w:rsid w:val="003231B9"/>
    <w:rsid w:val="003275AC"/>
    <w:rsid w:val="00333D29"/>
    <w:rsid w:val="003409F4"/>
    <w:rsid w:val="00357185"/>
    <w:rsid w:val="00396CBC"/>
    <w:rsid w:val="003C0567"/>
    <w:rsid w:val="003C106D"/>
    <w:rsid w:val="003C475F"/>
    <w:rsid w:val="003C6D49"/>
    <w:rsid w:val="003E4132"/>
    <w:rsid w:val="003F678F"/>
    <w:rsid w:val="00407009"/>
    <w:rsid w:val="00413B10"/>
    <w:rsid w:val="004229F9"/>
    <w:rsid w:val="0042686F"/>
    <w:rsid w:val="004367CE"/>
    <w:rsid w:val="00443869"/>
    <w:rsid w:val="004712C6"/>
    <w:rsid w:val="00481CF1"/>
    <w:rsid w:val="00483FBB"/>
    <w:rsid w:val="00497703"/>
    <w:rsid w:val="004D6096"/>
    <w:rsid w:val="004F0F06"/>
    <w:rsid w:val="00501E0E"/>
    <w:rsid w:val="005204D7"/>
    <w:rsid w:val="00526E16"/>
    <w:rsid w:val="00530420"/>
    <w:rsid w:val="005426EA"/>
    <w:rsid w:val="00552BC5"/>
    <w:rsid w:val="0055516A"/>
    <w:rsid w:val="0056374C"/>
    <w:rsid w:val="0056614F"/>
    <w:rsid w:val="005749DD"/>
    <w:rsid w:val="0057656F"/>
    <w:rsid w:val="00576731"/>
    <w:rsid w:val="0059285F"/>
    <w:rsid w:val="005A24B1"/>
    <w:rsid w:val="005B3982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4016A"/>
    <w:rsid w:val="0065591D"/>
    <w:rsid w:val="00657AE4"/>
    <w:rsid w:val="00662C5A"/>
    <w:rsid w:val="00670AF5"/>
    <w:rsid w:val="0069397A"/>
    <w:rsid w:val="0069415B"/>
    <w:rsid w:val="006941AB"/>
    <w:rsid w:val="006A706B"/>
    <w:rsid w:val="006C1556"/>
    <w:rsid w:val="006C7533"/>
    <w:rsid w:val="006E4990"/>
    <w:rsid w:val="006F0300"/>
    <w:rsid w:val="006F267F"/>
    <w:rsid w:val="006F63F7"/>
    <w:rsid w:val="006F6F03"/>
    <w:rsid w:val="00706D7A"/>
    <w:rsid w:val="00726AEC"/>
    <w:rsid w:val="00726CC7"/>
    <w:rsid w:val="00730E84"/>
    <w:rsid w:val="007530CA"/>
    <w:rsid w:val="007604A1"/>
    <w:rsid w:val="00770DF7"/>
    <w:rsid w:val="0079553D"/>
    <w:rsid w:val="007A0B60"/>
    <w:rsid w:val="007B01CC"/>
    <w:rsid w:val="007D36E8"/>
    <w:rsid w:val="007D4F32"/>
    <w:rsid w:val="007E7C6C"/>
    <w:rsid w:val="007F1F2F"/>
    <w:rsid w:val="007F6238"/>
    <w:rsid w:val="007F646C"/>
    <w:rsid w:val="00801FCD"/>
    <w:rsid w:val="00803D7E"/>
    <w:rsid w:val="00803F08"/>
    <w:rsid w:val="00822852"/>
    <w:rsid w:val="008235CD"/>
    <w:rsid w:val="00823A07"/>
    <w:rsid w:val="008352EC"/>
    <w:rsid w:val="00835FEC"/>
    <w:rsid w:val="008513CB"/>
    <w:rsid w:val="00852E40"/>
    <w:rsid w:val="00856B7E"/>
    <w:rsid w:val="00871DC3"/>
    <w:rsid w:val="00874D9C"/>
    <w:rsid w:val="008A1810"/>
    <w:rsid w:val="008B5B5D"/>
    <w:rsid w:val="008D0A76"/>
    <w:rsid w:val="008E216C"/>
    <w:rsid w:val="008F0794"/>
    <w:rsid w:val="00905E1B"/>
    <w:rsid w:val="00917694"/>
    <w:rsid w:val="009263CD"/>
    <w:rsid w:val="00930E6D"/>
    <w:rsid w:val="00931A72"/>
    <w:rsid w:val="00944C06"/>
    <w:rsid w:val="00946B45"/>
    <w:rsid w:val="00954C81"/>
    <w:rsid w:val="00961F74"/>
    <w:rsid w:val="00972CA2"/>
    <w:rsid w:val="00973CC5"/>
    <w:rsid w:val="00982B28"/>
    <w:rsid w:val="00984EA5"/>
    <w:rsid w:val="009922F0"/>
    <w:rsid w:val="00992593"/>
    <w:rsid w:val="00994D59"/>
    <w:rsid w:val="00997AC8"/>
    <w:rsid w:val="009B78FC"/>
    <w:rsid w:val="009C17E1"/>
    <w:rsid w:val="009C35ED"/>
    <w:rsid w:val="009F1C12"/>
    <w:rsid w:val="00A124CB"/>
    <w:rsid w:val="00A16811"/>
    <w:rsid w:val="00A2167A"/>
    <w:rsid w:val="00A25A43"/>
    <w:rsid w:val="00A3295B"/>
    <w:rsid w:val="00A42AE5"/>
    <w:rsid w:val="00A52B61"/>
    <w:rsid w:val="00A57A4D"/>
    <w:rsid w:val="00A64820"/>
    <w:rsid w:val="00A71DD6"/>
    <w:rsid w:val="00A723C7"/>
    <w:rsid w:val="00A80E11"/>
    <w:rsid w:val="00A953B1"/>
    <w:rsid w:val="00A97F94"/>
    <w:rsid w:val="00AB1309"/>
    <w:rsid w:val="00AC2C52"/>
    <w:rsid w:val="00AD1503"/>
    <w:rsid w:val="00AD2C90"/>
    <w:rsid w:val="00AE7244"/>
    <w:rsid w:val="00AF3FEE"/>
    <w:rsid w:val="00B02F46"/>
    <w:rsid w:val="00B06382"/>
    <w:rsid w:val="00B2000C"/>
    <w:rsid w:val="00B20ADE"/>
    <w:rsid w:val="00B23C4B"/>
    <w:rsid w:val="00B54AC8"/>
    <w:rsid w:val="00B66B9A"/>
    <w:rsid w:val="00B66D94"/>
    <w:rsid w:val="00B82089"/>
    <w:rsid w:val="00B83B4B"/>
    <w:rsid w:val="00B970AE"/>
    <w:rsid w:val="00BA1427"/>
    <w:rsid w:val="00BA3E54"/>
    <w:rsid w:val="00BB0A59"/>
    <w:rsid w:val="00BD0838"/>
    <w:rsid w:val="00BD0C50"/>
    <w:rsid w:val="00BE49D0"/>
    <w:rsid w:val="00BF21BA"/>
    <w:rsid w:val="00BF2C38"/>
    <w:rsid w:val="00C121DA"/>
    <w:rsid w:val="00C21FB3"/>
    <w:rsid w:val="00C23331"/>
    <w:rsid w:val="00C265DA"/>
    <w:rsid w:val="00C26614"/>
    <w:rsid w:val="00C442F2"/>
    <w:rsid w:val="00C674FE"/>
    <w:rsid w:val="00C7297D"/>
    <w:rsid w:val="00C75633"/>
    <w:rsid w:val="00C8242E"/>
    <w:rsid w:val="00C82615"/>
    <w:rsid w:val="00C867DB"/>
    <w:rsid w:val="00C956AD"/>
    <w:rsid w:val="00CA0956"/>
    <w:rsid w:val="00CA2A38"/>
    <w:rsid w:val="00CA50FF"/>
    <w:rsid w:val="00CA6223"/>
    <w:rsid w:val="00CC3CD2"/>
    <w:rsid w:val="00CC43BE"/>
    <w:rsid w:val="00CD123C"/>
    <w:rsid w:val="00CD2085"/>
    <w:rsid w:val="00CE2EE1"/>
    <w:rsid w:val="00CF352E"/>
    <w:rsid w:val="00CF3FFD"/>
    <w:rsid w:val="00CF5ED3"/>
    <w:rsid w:val="00D0494C"/>
    <w:rsid w:val="00D14BEB"/>
    <w:rsid w:val="00D212B4"/>
    <w:rsid w:val="00D21C89"/>
    <w:rsid w:val="00D44AF1"/>
    <w:rsid w:val="00D45542"/>
    <w:rsid w:val="00D54E92"/>
    <w:rsid w:val="00D67D3C"/>
    <w:rsid w:val="00D72B77"/>
    <w:rsid w:val="00D77D0F"/>
    <w:rsid w:val="00D863DA"/>
    <w:rsid w:val="00DA1CF0"/>
    <w:rsid w:val="00DB2271"/>
    <w:rsid w:val="00DB2AF4"/>
    <w:rsid w:val="00DB5659"/>
    <w:rsid w:val="00DC24B4"/>
    <w:rsid w:val="00DD7A05"/>
    <w:rsid w:val="00DE0B7C"/>
    <w:rsid w:val="00DF16DC"/>
    <w:rsid w:val="00DF5361"/>
    <w:rsid w:val="00E009A1"/>
    <w:rsid w:val="00E00D15"/>
    <w:rsid w:val="00E071BE"/>
    <w:rsid w:val="00E07379"/>
    <w:rsid w:val="00E143C4"/>
    <w:rsid w:val="00E14494"/>
    <w:rsid w:val="00E17033"/>
    <w:rsid w:val="00E22744"/>
    <w:rsid w:val="00E32189"/>
    <w:rsid w:val="00E34AC0"/>
    <w:rsid w:val="00E418C5"/>
    <w:rsid w:val="00E45211"/>
    <w:rsid w:val="00E70F63"/>
    <w:rsid w:val="00E7380C"/>
    <w:rsid w:val="00E74BE7"/>
    <w:rsid w:val="00E86CC9"/>
    <w:rsid w:val="00E96624"/>
    <w:rsid w:val="00EA4556"/>
    <w:rsid w:val="00EC2A64"/>
    <w:rsid w:val="00EC7A6F"/>
    <w:rsid w:val="00ED3A98"/>
    <w:rsid w:val="00EE26DB"/>
    <w:rsid w:val="00F126F1"/>
    <w:rsid w:val="00F2106A"/>
    <w:rsid w:val="00F23B8B"/>
    <w:rsid w:val="00F36D8B"/>
    <w:rsid w:val="00F401D0"/>
    <w:rsid w:val="00F41347"/>
    <w:rsid w:val="00F45F2B"/>
    <w:rsid w:val="00F57AE4"/>
    <w:rsid w:val="00F67150"/>
    <w:rsid w:val="00F84366"/>
    <w:rsid w:val="00F85089"/>
    <w:rsid w:val="00F85564"/>
    <w:rsid w:val="00F86CFA"/>
    <w:rsid w:val="00FB0A47"/>
    <w:rsid w:val="00FD2867"/>
    <w:rsid w:val="00FD3B80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8E212E6-FBD3-4067-BBB3-17E68F8F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BA3E54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TableHead0">
    <w:name w:val="Table Head"/>
    <w:basedOn w:val="Normal"/>
    <w:qFormat/>
    <w:rsid w:val="00BA3E54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eastAsiaTheme="minorEastAsia"/>
      <w:b/>
      <w:bCs/>
      <w:sz w:val="20"/>
      <w:szCs w:val="26"/>
      <w:lang w:eastAsia="zh-CN"/>
    </w:rPr>
  </w:style>
  <w:style w:type="paragraph" w:customStyle="1" w:styleId="Tabletexte">
    <w:name w:val="Table texte"/>
    <w:basedOn w:val="Normal"/>
    <w:qFormat/>
    <w:rsid w:val="00BA3E54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ResolutionNo">
    <w:name w:val="Resolution No"/>
    <w:basedOn w:val="Normal"/>
    <w:qFormat/>
    <w:rsid w:val="00BA3E54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BA3E54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Headingb0">
    <w:name w:val="Heading b"/>
    <w:basedOn w:val="Normal"/>
    <w:qFormat/>
    <w:rsid w:val="00BA3E54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  <w:ind w:left="794" w:hanging="794"/>
    </w:pPr>
    <w:rPr>
      <w:rFonts w:eastAsiaTheme="minorEastAsi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council/pd/council-res-dec-e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council/Basic-Texts/ResDecRec-PP10-e.doc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true"/>
    <DPM_x0020_File_x0020_name xmlns="de10a323-94a9-4e93-88b4-ea964576960d" xsi:nil="true"/>
    <DPM_x0020_Version xmlns="de10a323-94a9-4e93-88b4-ea964576960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de10a323-94a9-4e93-88b4-ea964576960d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E653949-41D5-4FB6-8A65-11B82437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865</Words>
  <Characters>4937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Decisions of the UNGA on the conditions of service under the UN common system</dc:title>
  <dc:subject>Council 2017</dc:subject>
  <dc:creator>Gergis, Mina</dc:creator>
  <cp:keywords>C2017, C17</cp:keywords>
  <dc:description/>
  <cp:lastModifiedBy>Brouard, Ricarda</cp:lastModifiedBy>
  <cp:revision>2</cp:revision>
  <cp:lastPrinted>2016-06-07T13:25:00Z</cp:lastPrinted>
  <dcterms:created xsi:type="dcterms:W3CDTF">2017-04-27T15:01:00Z</dcterms:created>
  <dcterms:modified xsi:type="dcterms:W3CDTF">2017-04-27T15:01:00Z</dcterms:modified>
  <cp:category>Conference document</cp:category>
</cp:coreProperties>
</file>