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94A2F" w:rsidTr="00AE5DA1">
        <w:trPr>
          <w:cantSplit/>
        </w:trPr>
        <w:tc>
          <w:tcPr>
            <w:tcW w:w="6911" w:type="dxa"/>
          </w:tcPr>
          <w:p w:rsidR="00BC7BC0" w:rsidRPr="00894A2F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r>
              <w:rPr>
                <w:b/>
                <w:smallCaps/>
                <w:sz w:val="28"/>
              </w:rPr>
              <w:t>СОВЕТ 2017</w:t>
            </w:r>
            <w:r>
              <w:rPr>
                <w:b/>
                <w:smallCaps/>
                <w:sz w:val="24"/>
                <w:szCs w:val="24"/>
              </w:rPr>
              <w:br/>
            </w:r>
            <w:r>
              <w:rPr>
                <w:b/>
              </w:rPr>
              <w:t>Женева, 15–25 мая 2017 года</w:t>
            </w:r>
          </w:p>
        </w:tc>
        <w:tc>
          <w:tcPr>
            <w:tcW w:w="3120" w:type="dxa"/>
          </w:tcPr>
          <w:p w:rsidR="00BC7BC0" w:rsidRPr="00894A2F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>
              <w:rPr>
                <w:noProof/>
                <w:lang w:val="en-US" w:eastAsia="zh-CN" w:bidi="ar-SA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94A2F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894A2F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94A2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>
              <w:rPr>
                <w:b/>
              </w:rPr>
              <w:t>Пункт повестки дня: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PL 1.2</w:t>
            </w:r>
          </w:p>
        </w:tc>
        <w:tc>
          <w:tcPr>
            <w:tcW w:w="3120" w:type="dxa"/>
          </w:tcPr>
          <w:p w:rsidR="00BC7BC0" w:rsidRPr="00894A2F" w:rsidRDefault="00BC7BC0" w:rsidP="002E2DB1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</w:rPr>
              <w:t>Документ C17/47-R</w:t>
            </w: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894A2F" w:rsidRDefault="008E4FD8" w:rsidP="001B34F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</w:rPr>
              <w:t>14 марта 2017 года</w:t>
            </w:r>
          </w:p>
        </w:tc>
      </w:tr>
      <w:tr w:rsidR="00BC7BC0" w:rsidRPr="00894A2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894A2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894A2F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</w:rPr>
              <w:t>Оригинал: английский</w:t>
            </w:r>
          </w:p>
        </w:tc>
      </w:tr>
      <w:tr w:rsidR="00BC7BC0" w:rsidRPr="00894A2F" w:rsidTr="00AE5DA1">
        <w:trPr>
          <w:cantSplit/>
        </w:trPr>
        <w:tc>
          <w:tcPr>
            <w:tcW w:w="10031" w:type="dxa"/>
            <w:gridSpan w:val="2"/>
          </w:tcPr>
          <w:p w:rsidR="00BC7BC0" w:rsidRPr="00894A2F" w:rsidRDefault="009324B7" w:rsidP="00AE5DA1">
            <w:pPr>
              <w:pStyle w:val="Source"/>
              <w:rPr>
                <w:szCs w:val="22"/>
              </w:rPr>
            </w:pPr>
            <w:bookmarkStart w:id="1" w:name="dtitle2"/>
            <w:r>
              <w:t>Отчет Генерального секретаря</w:t>
            </w:r>
          </w:p>
        </w:tc>
      </w:tr>
      <w:tr w:rsidR="00BC7BC0" w:rsidRPr="000D2E5C" w:rsidTr="00AE5DA1">
        <w:trPr>
          <w:cantSplit/>
        </w:trPr>
        <w:tc>
          <w:tcPr>
            <w:tcW w:w="10031" w:type="dxa"/>
            <w:gridSpan w:val="2"/>
          </w:tcPr>
          <w:p w:rsidR="00BC7BC0" w:rsidRPr="000D2E5C" w:rsidRDefault="000D2E5C" w:rsidP="00AE5DA1">
            <w:pPr>
              <w:pStyle w:val="Title1"/>
            </w:pPr>
            <w:bookmarkStart w:id="2" w:name="lt_pId010"/>
            <w:bookmarkStart w:id="3" w:name="dtitle3"/>
            <w:bookmarkEnd w:id="1"/>
            <w:r>
              <w:t>развернутый отчет о деятельности, предпринятых действиях и участии Союза в мероприятиях в контексте</w:t>
            </w:r>
            <w:bookmarkEnd w:id="2"/>
            <w:r>
              <w:t xml:space="preserve"> </w:t>
            </w:r>
            <w:r>
              <w:br/>
            </w:r>
            <w:bookmarkStart w:id="4" w:name="lt_pId011"/>
            <w:r>
              <w:t>выполнения решений ВВУИО и Повестки дня в области устойчивого развития на период до 2030 года</w:t>
            </w:r>
            <w:bookmarkEnd w:id="4"/>
          </w:p>
        </w:tc>
      </w:tr>
      <w:bookmarkEnd w:id="3"/>
    </w:tbl>
    <w:p w:rsidR="002D2F57" w:rsidRPr="000D2E5C" w:rsidRDefault="002D2F57" w:rsidP="00CE798C">
      <w:pPr>
        <w:pStyle w:val="Normalaftertitle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0D2E5C" w:rsidTr="00D74F9E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94A2F" w:rsidRDefault="002D2F57" w:rsidP="00244F30">
            <w:pPr>
              <w:pStyle w:val="Headingb"/>
              <w:jc w:val="both"/>
            </w:pPr>
            <w:r>
              <w:t>Резюме</w:t>
            </w:r>
          </w:p>
          <w:p w:rsidR="008E4FD8" w:rsidRPr="000D2E5C" w:rsidRDefault="000D2E5C" w:rsidP="00244F30">
            <w:pPr>
              <w:jc w:val="both"/>
            </w:pPr>
            <w:bookmarkStart w:id="5" w:name="lt_pId013"/>
            <w:r>
              <w:t>В настоящем отчете приводится 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</w:t>
            </w:r>
            <w:bookmarkEnd w:id="5"/>
          </w:p>
          <w:p w:rsidR="008E4FD8" w:rsidRPr="00894A2F" w:rsidRDefault="008E4FD8" w:rsidP="008E4FD8">
            <w:pPr>
              <w:pStyle w:val="Headingb"/>
            </w:pPr>
            <w:r>
              <w:t>Необходимые действия</w:t>
            </w:r>
          </w:p>
          <w:p w:rsidR="008E4FD8" w:rsidRPr="000D2E5C" w:rsidRDefault="000D2E5C" w:rsidP="00B72A95">
            <w:bookmarkStart w:id="6" w:name="lt_pId015"/>
            <w:r w:rsidRPr="009D6FF9">
              <w:t xml:space="preserve">Совету предлагается </w:t>
            </w:r>
            <w:r w:rsidR="00B72A95">
              <w:rPr>
                <w:b/>
              </w:rPr>
              <w:t xml:space="preserve">рассмотреть </w:t>
            </w:r>
            <w:r w:rsidR="00B72A95">
              <w:t>настоящий о</w:t>
            </w:r>
            <w:r w:rsidRPr="009D6FF9">
              <w:t>тчет.</w:t>
            </w:r>
            <w:bookmarkEnd w:id="6"/>
          </w:p>
          <w:p w:rsidR="008E4FD8" w:rsidRPr="00894A2F" w:rsidRDefault="008E4FD8" w:rsidP="008E4FD8">
            <w:pPr>
              <w:jc w:val="center"/>
              <w:rPr>
                <w:caps/>
              </w:rPr>
            </w:pPr>
            <w:r>
              <w:t>____________</w:t>
            </w:r>
          </w:p>
          <w:p w:rsidR="008E4FD8" w:rsidRPr="00894A2F" w:rsidRDefault="008E4FD8" w:rsidP="008E4FD8">
            <w:pPr>
              <w:pStyle w:val="Headingb"/>
            </w:pPr>
            <w:r>
              <w:t>Справочные материалы</w:t>
            </w:r>
          </w:p>
          <w:p w:rsidR="002D2F57" w:rsidRPr="000D2E5C" w:rsidRDefault="000D2E5C" w:rsidP="00244F30">
            <w:pPr>
              <w:spacing w:after="120"/>
              <w:jc w:val="both"/>
            </w:pPr>
            <w:bookmarkStart w:id="7" w:name="lt_pId018"/>
            <w:r>
              <w:rPr>
                <w:i/>
              </w:rPr>
              <w:t xml:space="preserve">Резолюции 70/125, A/70/1, A/71/212, A/70/299 и A/70/684 ГА ООН; Резолюция E/RES/2016/22 ЭКОСОС ООН, </w:t>
            </w:r>
            <w:hyperlink r:id="rId9">
              <w:r>
                <w:rPr>
                  <w:rStyle w:val="Hyperlink"/>
                  <w:i/>
                </w:rPr>
                <w:t>Резолюции 140</w:t>
              </w:r>
            </w:hyperlink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Пусан</w:t>
            </w:r>
            <w:proofErr w:type="spellEnd"/>
            <w:r>
              <w:rPr>
                <w:i/>
              </w:rPr>
              <w:t xml:space="preserve">, 2014 г.) и </w:t>
            </w:r>
            <w:r w:rsidR="00244F30" w:rsidRPr="00244F30">
              <w:rPr>
                <w:i/>
              </w:rPr>
              <w:t xml:space="preserve">                     </w:t>
            </w:r>
            <w:hyperlink r:id="rId10">
              <w:r>
                <w:rPr>
                  <w:rStyle w:val="Hyperlink"/>
                  <w:i/>
                </w:rPr>
                <w:t>172</w:t>
              </w:r>
            </w:hyperlink>
            <w:r>
              <w:rPr>
                <w:i/>
              </w:rPr>
              <w:t xml:space="preserve"> (Гвадалахара, 2010 г.) Полномочной конференции; Резолюции </w:t>
            </w:r>
            <w:hyperlink r:id="rId11">
              <w:r>
                <w:rPr>
                  <w:rStyle w:val="Hyperlink"/>
                  <w:i/>
                </w:rPr>
                <w:t>1332</w:t>
              </w:r>
            </w:hyperlink>
            <w:r>
              <w:rPr>
                <w:i/>
              </w:rPr>
              <w:t xml:space="preserve"> и</w:t>
            </w:r>
            <w:r w:rsidR="00244F30" w:rsidRPr="00244F30">
              <w:rPr>
                <w:i/>
              </w:rPr>
              <w:t xml:space="preserve">                           </w:t>
            </w:r>
            <w:r>
              <w:rPr>
                <w:i/>
              </w:rPr>
              <w:t xml:space="preserve"> </w:t>
            </w:r>
            <w:hyperlink r:id="rId12">
              <w:r>
                <w:rPr>
                  <w:rStyle w:val="Hyperlink"/>
                  <w:i/>
                </w:rPr>
                <w:t>1336</w:t>
              </w:r>
            </w:hyperlink>
            <w:r>
              <w:rPr>
                <w:rStyle w:val="Hyperlink"/>
                <w:i/>
                <w:u w:val="none"/>
              </w:rPr>
              <w:t xml:space="preserve"> </w:t>
            </w:r>
            <w:r>
              <w:rPr>
                <w:i/>
              </w:rPr>
              <w:t xml:space="preserve">Совета; Резолюция </w:t>
            </w:r>
            <w:hyperlink r:id="rId13">
              <w:r>
                <w:rPr>
                  <w:rStyle w:val="Hyperlink"/>
                  <w:i/>
                </w:rPr>
                <w:t>75</w:t>
              </w:r>
            </w:hyperlink>
            <w:r>
              <w:rPr>
                <w:i/>
              </w:rPr>
              <w:t xml:space="preserve"> ВАСЭ-16; отчеты о 18-м, 19-м, 20-м, 21-м, 22-м, 23-м, 24-м, 25-м, 26-м, 27-м, 28-м, 29-м и 30-м собраниях РГС-ВВУИО; Заявление ВВУИО+10 о выполнении решений ВВУИО; </w:t>
            </w:r>
            <w:r>
              <w:rPr>
                <w:i/>
                <w:color w:val="000000"/>
              </w:rPr>
              <w:t>разработанная ВВУИО+10 Концепция ВВУИО на период после 2015 года</w:t>
            </w:r>
            <w:r>
              <w:rPr>
                <w:i/>
              </w:rPr>
              <w:t xml:space="preserve">; заключительный обзор целевых показателей ВВУИО; отчет ВВУИО+10: Вклад МСЭ в выполнение решений ВВУИО за десятилетний период и последующие меры (2005−2014 гг.), </w:t>
            </w:r>
            <w:r w:rsidR="00B72A95">
              <w:rPr>
                <w:i/>
              </w:rPr>
              <w:t xml:space="preserve">ежегодные </w:t>
            </w:r>
            <w:r>
              <w:rPr>
                <w:i/>
              </w:rPr>
              <w:t>отчеты (за 2010–2016 годы) о вкладе МСЭ в выполнение решений ВВУИО.</w:t>
            </w:r>
            <w:bookmarkEnd w:id="7"/>
          </w:p>
        </w:tc>
      </w:tr>
    </w:tbl>
    <w:p w:rsidR="008E4FD8" w:rsidRPr="000D2E5C" w:rsidRDefault="000D2E5C" w:rsidP="008E4FD8">
      <w:pPr>
        <w:pStyle w:val="Heading1"/>
      </w:pPr>
      <w:r>
        <w:t>1</w:t>
      </w:r>
      <w:r>
        <w:tab/>
        <w:t>Введение</w:t>
      </w:r>
    </w:p>
    <w:p w:rsidR="000D2E5C" w:rsidRDefault="00C93C90" w:rsidP="00B72A95">
      <w:pPr>
        <w:jc w:val="both"/>
        <w:rPr>
          <w:rFonts w:asciiTheme="minorHAnsi" w:hAnsiTheme="minorHAnsi"/>
        </w:rPr>
      </w:pPr>
      <w:r>
        <w:rPr>
          <w:color w:val="000000"/>
        </w:rPr>
        <w:t xml:space="preserve">2015 год явился важной вехой в процессе </w:t>
      </w:r>
      <w:r>
        <w:t xml:space="preserve">ВВУИО и обсуждении на мировом уровне роли ИКТ для устойчивого развития. </w:t>
      </w:r>
      <w:bookmarkStart w:id="8" w:name="lt_pId022"/>
      <w:r>
        <w:t>В ходе проводимого ГА ООН Общего обзора выполнения решений ВВУИО (резолюция A/70/125) было решено продолжить процесс ВВУИО после 2015 года, установив, при этом, новые приоритеты по выполнению решений ВВУИО к 2025 году</w:t>
      </w:r>
      <w:r>
        <w:rPr>
          <w:rFonts w:asciiTheme="minorHAnsi" w:hAnsiTheme="minorHAnsi"/>
        </w:rPr>
        <w:t>.</w:t>
      </w:r>
      <w:bookmarkStart w:id="9" w:name="lt_pId023"/>
      <w:bookmarkStart w:id="10" w:name="lt_pId024"/>
      <w:bookmarkEnd w:id="8"/>
      <w:bookmarkEnd w:id="9"/>
      <w:r w:rsidR="00B72A95">
        <w:rPr>
          <w:rFonts w:asciiTheme="minorHAnsi" w:hAnsiTheme="minorHAnsi"/>
        </w:rPr>
        <w:t xml:space="preserve"> </w:t>
      </w:r>
      <w:r>
        <w:t>Помимо этого, в 2015 году Саммит ООН по устойчивому развитию принял Повестку дня в области устойчивого развития на период до 2030</w:t>
      </w:r>
      <w:r w:rsidR="00B72A95">
        <w:t> </w:t>
      </w:r>
      <w:r>
        <w:t xml:space="preserve">года, где признается важный вклад, </w:t>
      </w:r>
      <w:r>
        <w:rPr>
          <w:color w:val="000000"/>
        </w:rPr>
        <w:t xml:space="preserve">который могут внести ИКТ в достижение ожидаемых, преобразующих и универсальных контрольных показателей программы на период после 2015 года, а также в достижение 17 целей в области устойчивого развития (ЦУР). </w:t>
      </w:r>
      <w:r>
        <w:t xml:space="preserve">В соответствии с призывом ГА ООН </w:t>
      </w:r>
      <w:r>
        <w:lastRenderedPageBreak/>
        <w:t>о тесном согласовании процессов ВВУИО и ЦУР, Совет-16 постановил использовать формат ВВУИО как основ</w:t>
      </w:r>
      <w:r w:rsidR="00B72A95">
        <w:t>у</w:t>
      </w:r>
      <w:r>
        <w:t>, посредством которой МСЭ способствует выполнению Повестки дня на период до 2030 года.</w:t>
      </w:r>
      <w:bookmarkEnd w:id="10"/>
      <w:r>
        <w:rPr>
          <w:rFonts w:asciiTheme="minorHAnsi" w:hAnsiTheme="minorHAnsi"/>
        </w:rPr>
        <w:t xml:space="preserve"> </w:t>
      </w:r>
    </w:p>
    <w:p w:rsidR="00B72A95" w:rsidRDefault="00B72A95" w:rsidP="00B72A95">
      <w:pPr>
        <w:jc w:val="both"/>
        <w:rPr>
          <w:rFonts w:asciiTheme="minorHAnsi" w:hAnsiTheme="minorHAnsi"/>
        </w:rPr>
      </w:pPr>
      <w:r w:rsidRPr="00B72A95">
        <w:rPr>
          <w:rFonts w:asciiTheme="minorHAnsi" w:hAnsiTheme="minorHAnsi"/>
        </w:rPr>
        <w:t>В настоящем отчете приводится информация о деятельности, предпринятых действиях и участии Союза в мероприятиях в контексте выполнения решений ВВУИО и Повестки дня в области устойчивого развития на период до 2030 года.</w:t>
      </w:r>
    </w:p>
    <w:p w:rsidR="000D2E5C" w:rsidRPr="000D2E5C" w:rsidRDefault="000D2E5C" w:rsidP="00244F30">
      <w:pPr>
        <w:pStyle w:val="Heading1"/>
        <w:jc w:val="both"/>
        <w:rPr>
          <w:b w:val="0"/>
          <w:bCs/>
          <w:szCs w:val="24"/>
        </w:rPr>
      </w:pPr>
      <w:r>
        <w:t>2</w:t>
      </w:r>
      <w:r>
        <w:tab/>
      </w:r>
      <w:bookmarkStart w:id="11" w:name="lt_pId027"/>
      <w:r>
        <w:t>Деятельность МСЭ в отношении выполнения решений ВВУИО</w:t>
      </w:r>
      <w:bookmarkEnd w:id="11"/>
      <w:r>
        <w:t xml:space="preserve"> </w:t>
      </w:r>
    </w:p>
    <w:p w:rsidR="000D2E5C" w:rsidRPr="00BB3C5D" w:rsidRDefault="000D2E5C" w:rsidP="00B72A95">
      <w:pPr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/>
          <w:bCs/>
          <w:szCs w:val="24"/>
        </w:rPr>
      </w:pPr>
      <w:bookmarkStart w:id="12" w:name="lt_pId028"/>
      <w:r>
        <w:rPr>
          <w:rFonts w:asciiTheme="minorHAnsi" w:hAnsiTheme="minorHAnsi"/>
        </w:rPr>
        <w:t>Согласно Резолюции 1332 (измененн</w:t>
      </w:r>
      <w:r w:rsidR="00B72A95">
        <w:rPr>
          <w:rFonts w:asciiTheme="minorHAnsi" w:hAnsiTheme="minorHAnsi"/>
        </w:rPr>
        <w:t>ой,</w:t>
      </w:r>
      <w:r>
        <w:rPr>
          <w:rFonts w:asciiTheme="minorHAnsi" w:hAnsiTheme="minorHAnsi"/>
        </w:rPr>
        <w:t xml:space="preserve"> 2016 г</w:t>
      </w:r>
      <w:r w:rsidR="00B72A9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) МСЭ, на ежегодной основе, разрабатывает развернутый отчет о </w:t>
      </w:r>
      <w:r>
        <w:rPr>
          <w:i/>
        </w:rPr>
        <w:t>вкладе МСЭ</w:t>
      </w:r>
      <w:r>
        <w:t xml:space="preserve"> в </w:t>
      </w:r>
      <w:r>
        <w:rPr>
          <w:i/>
        </w:rPr>
        <w:t>выполнение решений ВВУИО</w:t>
      </w:r>
      <w:r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</w:rPr>
        <w:t>предоставляя обзор деятельности МСЭ и проектов, исполняемых в контексте выполнения решений ВВУИО, а также связанных с Повесткой дня в области устойчивого развития на период до 2030 года.</w:t>
      </w:r>
      <w:bookmarkStart w:id="13" w:name="_GoBack"/>
      <w:bookmarkEnd w:id="12"/>
      <w:bookmarkEnd w:id="13"/>
      <w:r>
        <w:rPr>
          <w:rFonts w:asciiTheme="minorHAnsi" w:hAnsiTheme="minorHAnsi"/>
        </w:rPr>
        <w:t xml:space="preserve"> </w:t>
      </w:r>
      <w:bookmarkStart w:id="14" w:name="lt_pId029"/>
      <w:r>
        <w:rPr>
          <w:rFonts w:asciiTheme="minorHAnsi" w:hAnsiTheme="minorHAnsi"/>
        </w:rPr>
        <w:t>В редакции 2016</w:t>
      </w:r>
      <w:r w:rsidR="00B72A95">
        <w:rPr>
          <w:rFonts w:asciiTheme="minorHAnsi" w:hAnsiTheme="minorHAnsi"/>
        </w:rPr>
        <w:t> </w:t>
      </w:r>
      <w:r>
        <w:rPr>
          <w:rFonts w:asciiTheme="minorHAnsi" w:hAnsiTheme="minorHAnsi"/>
        </w:rPr>
        <w:t>года отчет предлагает подробную информацию по ключевым инициативам и действиям, связанным с ВВУИО, проводимым тремя секторами Союза (стандартизации, радиосвязи и развития) и Генеральным секретариатом на операционном и политическом уровне, охватывающую все предоставленные полномочия со ссылкой на процесс ВВУИО, в частности:</w:t>
      </w:r>
      <w:bookmarkEnd w:id="14"/>
    </w:p>
    <w:p w:rsidR="000D2E5C" w:rsidRPr="006A56DB" w:rsidRDefault="001A3046" w:rsidP="00244F30">
      <w:pPr>
        <w:pStyle w:val="enumlev1"/>
        <w:jc w:val="both"/>
        <w:rPr>
          <w:rFonts w:asciiTheme="minorHAnsi" w:hAnsiTheme="minorHAnsi"/>
          <w:bCs/>
          <w:szCs w:val="24"/>
          <w:highlight w:val="yellow"/>
        </w:rPr>
      </w:pPr>
      <w:r>
        <w:t>•</w:t>
      </w:r>
      <w:r>
        <w:tab/>
        <w:t>ведущей содействующей организации (наряду с ЮНЕСКО и ПРООН), координирующей деятельность по выполнению Женевского плана действий с участием многих заинтересованных сторон;</w:t>
      </w:r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</w:rPr>
      </w:pPr>
      <w:bookmarkStart w:id="15" w:name="lt_pId031"/>
      <w:r>
        <w:t>•</w:t>
      </w:r>
      <w:r>
        <w:tab/>
      </w:r>
      <w:r>
        <w:rPr>
          <w:rFonts w:asciiTheme="minorHAnsi" w:hAnsiTheme="minorHAnsi"/>
        </w:rPr>
        <w:t>ведущего координатора и организатора Форума ВВУИО, включая Собрание по содействию реализации направления деятельности ВВУИО;</w:t>
      </w:r>
      <w:bookmarkEnd w:id="15"/>
    </w:p>
    <w:p w:rsidR="000D2E5C" w:rsidRPr="00B72A95" w:rsidRDefault="001A3046" w:rsidP="00B72A95">
      <w:pPr>
        <w:pStyle w:val="enumlev1"/>
        <w:jc w:val="both"/>
        <w:rPr>
          <w:rFonts w:asciiTheme="minorHAnsi" w:hAnsiTheme="minorHAnsi"/>
          <w:bCs/>
          <w:szCs w:val="22"/>
          <w:highlight w:val="green"/>
        </w:rPr>
      </w:pPr>
      <w:bookmarkStart w:id="16" w:name="lt_pId032"/>
      <w:r w:rsidRPr="00B72A95">
        <w:rPr>
          <w:rFonts w:asciiTheme="minorHAnsi" w:hAnsiTheme="minorHAnsi"/>
          <w:szCs w:val="22"/>
        </w:rPr>
        <w:t>•</w:t>
      </w:r>
      <w:r w:rsidRPr="00B72A95">
        <w:rPr>
          <w:rFonts w:asciiTheme="minorHAnsi" w:hAnsiTheme="minorHAnsi"/>
          <w:szCs w:val="22"/>
        </w:rPr>
        <w:tab/>
        <w:t>содействующей организации по Направлениям деятельности C2 (Информационная и коммуникационная инфраструктура), C5 (Укрепление доверия и безопасности при использовании ИКТ); по просьбе ПРООН МСЭ взял на себя роль содействующей организации по Направлению деятельности C6 (Благоприятная среда);</w:t>
      </w:r>
      <w:bookmarkEnd w:id="16"/>
      <w:r w:rsidRPr="00B72A95">
        <w:rPr>
          <w:rFonts w:asciiTheme="minorHAnsi" w:hAnsiTheme="minorHAnsi"/>
          <w:szCs w:val="22"/>
        </w:rPr>
        <w:t xml:space="preserve"> </w:t>
      </w:r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</w:rPr>
      </w:pPr>
      <w:bookmarkStart w:id="17" w:name="lt_pId033"/>
      <w:r>
        <w:t>•</w:t>
      </w:r>
      <w:r>
        <w:tab/>
      </w:r>
      <w:bookmarkEnd w:id="17"/>
      <w:r>
        <w:t>одной из содействующих организаций по Направлениям деятельности C1, C3, C4, C7 и C11 и партнера по Направлениям деятельности C8 и C9;</w:t>
      </w:r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  <w:highlight w:val="yellow"/>
        </w:rPr>
      </w:pPr>
      <w:bookmarkStart w:id="18" w:name="lt_pId034"/>
      <w:r>
        <w:t>•</w:t>
      </w:r>
      <w:r>
        <w:tab/>
      </w:r>
      <w:bookmarkEnd w:id="18"/>
      <w:r>
        <w:t>председателя Группы Организации Объединенных Наций по информационному обществу (ГИО ООН), функции которого он выполняет по принципу ротации;</w:t>
      </w:r>
    </w:p>
    <w:p w:rsidR="000D2E5C" w:rsidRPr="001A3046" w:rsidRDefault="001A3046" w:rsidP="00C90101">
      <w:pPr>
        <w:pStyle w:val="enumlev1"/>
        <w:jc w:val="both"/>
        <w:rPr>
          <w:rFonts w:asciiTheme="minorHAnsi" w:hAnsiTheme="minorHAnsi"/>
          <w:bCs/>
          <w:szCs w:val="24"/>
          <w:highlight w:val="green"/>
        </w:rPr>
      </w:pPr>
      <w:bookmarkStart w:id="19" w:name="lt_pId035"/>
      <w:r>
        <w:t>•</w:t>
      </w:r>
      <w:r>
        <w:tab/>
      </w:r>
      <w:bookmarkEnd w:id="19"/>
      <w:r w:rsidR="00C90101">
        <w:t xml:space="preserve">лидера и </w:t>
      </w:r>
      <w:r>
        <w:t>члена руководящего комитета Партнерства по измерению ИКТ в целях измерения;</w:t>
      </w:r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</w:rPr>
      </w:pPr>
      <w:bookmarkStart w:id="20" w:name="lt_pId036"/>
      <w:r>
        <w:t>•</w:t>
      </w:r>
      <w:r>
        <w:tab/>
        <w:t>содействующей организации в процессе анализа выполнения решений ВВУИО;</w:t>
      </w:r>
      <w:bookmarkEnd w:id="20"/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</w:rPr>
      </w:pPr>
      <w:bookmarkStart w:id="21" w:name="lt_pId037"/>
      <w:r>
        <w:t>•</w:t>
      </w:r>
      <w:r>
        <w:tab/>
        <w:t>инициатора и содействующей организации по присуждению награды за проекты, связанные с ВВУИО;</w:t>
      </w:r>
      <w:bookmarkEnd w:id="21"/>
    </w:p>
    <w:p w:rsidR="000D2E5C" w:rsidRPr="001A3046" w:rsidRDefault="001A3046" w:rsidP="00244F30">
      <w:pPr>
        <w:pStyle w:val="enumlev1"/>
        <w:jc w:val="both"/>
        <w:rPr>
          <w:rFonts w:asciiTheme="minorHAnsi" w:hAnsiTheme="minorHAnsi"/>
          <w:bCs/>
          <w:szCs w:val="24"/>
        </w:rPr>
      </w:pPr>
      <w:bookmarkStart w:id="22" w:name="lt_pId038"/>
      <w:r>
        <w:t>•</w:t>
      </w:r>
      <w:r>
        <w:tab/>
        <w:t>организации, участвующей в выполнении других решений ВВУИО.</w:t>
      </w:r>
      <w:bookmarkEnd w:id="22"/>
    </w:p>
    <w:p w:rsidR="000D2E5C" w:rsidRPr="000D2E5C" w:rsidRDefault="000D2E5C" w:rsidP="00244F30">
      <w:pPr>
        <w:jc w:val="both"/>
        <w:rPr>
          <w:rFonts w:asciiTheme="minorHAnsi" w:hAnsiTheme="minorHAnsi"/>
          <w:bCs/>
          <w:szCs w:val="24"/>
        </w:rPr>
      </w:pPr>
      <w:bookmarkStart w:id="23" w:name="lt_pId039"/>
      <w:r>
        <w:t>Чтобы подчеркнуть важность Направлений деятельности ВВУИО C2 (Информационная и коммуникационная инфраструктура), C5 (Укрепление доверия и безопасности при использовании ИКТ) и C6 (Благоприятная среда), в которых МСЭ выполняет роль единственной содействующей организации и исполнителя, и их вклад в достижение ЦУР в 2016 году были обновлены Дорожные карты по Направлениям деятельности ВВУИО.</w:t>
      </w:r>
      <w:hyperlink r:id="rId14"/>
      <w:bookmarkEnd w:id="23"/>
      <w:r>
        <w:rPr>
          <w:rFonts w:asciiTheme="minorHAnsi" w:hAnsiTheme="minorHAnsi"/>
        </w:rPr>
        <w:t xml:space="preserve"> </w:t>
      </w:r>
      <w:bookmarkStart w:id="24" w:name="lt_pId040"/>
      <w:r>
        <w:t>Они представляют широкое видение и детальный обзор действий, планируемых в рамках полномочий Союза, также демонстрируя очевидные связи с ЦУР</w:t>
      </w:r>
      <w:r>
        <w:rPr>
          <w:rFonts w:asciiTheme="minorHAnsi" w:hAnsiTheme="minorHAnsi"/>
        </w:rPr>
        <w:t>.</w:t>
      </w:r>
      <w:bookmarkEnd w:id="24"/>
      <w:r>
        <w:rPr>
          <w:rFonts w:asciiTheme="minorHAnsi" w:hAnsiTheme="minorHAnsi"/>
        </w:rPr>
        <w:t xml:space="preserve"> </w:t>
      </w:r>
      <w:bookmarkStart w:id="25" w:name="lt_pId041"/>
      <w:r>
        <w:t>Эти Дорожные карты разрабатываются на основании оперативных планов секторов и служат быстрыми руководствами и направляющим инструментом усилий МСЭ по Направлениям деятельности ВВУИО как содействующей организации и исполнителя.</w:t>
      </w:r>
      <w:bookmarkEnd w:id="25"/>
      <w:r>
        <w:rPr>
          <w:rFonts w:asciiTheme="minorHAnsi" w:hAnsiTheme="minorHAnsi"/>
        </w:rPr>
        <w:t xml:space="preserve"> </w:t>
      </w:r>
      <w:bookmarkStart w:id="26" w:name="lt_pId042"/>
      <w:r>
        <w:rPr>
          <w:rFonts w:asciiTheme="minorHAnsi" w:hAnsiTheme="minorHAnsi"/>
        </w:rPr>
        <w:t>Они позволяют выделить прямые связи между деятельностью и стратегическими целями и соответствующие резолюции, программы и инициативы МСЭ, а также ясно отражают связи с ЦУР.</w:t>
      </w:r>
      <w:bookmarkEnd w:id="26"/>
      <w:r>
        <w:rPr>
          <w:rFonts w:asciiTheme="minorHAnsi" w:hAnsiTheme="minorHAnsi"/>
        </w:rPr>
        <w:t xml:space="preserve"> </w:t>
      </w:r>
      <w:bookmarkStart w:id="27" w:name="lt_pId043"/>
      <w:r>
        <w:rPr>
          <w:rFonts w:asciiTheme="minorHAnsi" w:hAnsiTheme="minorHAnsi"/>
        </w:rPr>
        <w:t xml:space="preserve">Дорожные карты МСЭ по Направлениям деятельности ВВУИО C2, C5 и C6 размещены по адресу </w:t>
      </w:r>
      <w:hyperlink r:id="rId15">
        <w:r>
          <w:rPr>
            <w:rStyle w:val="Hyperlink"/>
          </w:rPr>
          <w:t>http://www.itu.int/en/itu-wsis/Pages/Roadmaps.aspx</w:t>
        </w:r>
      </w:hyperlink>
      <w:bookmarkEnd w:id="27"/>
      <w:r>
        <w:rPr>
          <w:rFonts w:asciiTheme="minorHAnsi" w:hAnsiTheme="minorHAnsi"/>
        </w:rPr>
        <w:t>.</w:t>
      </w:r>
    </w:p>
    <w:p w:rsidR="000D2E5C" w:rsidRPr="000D2E5C" w:rsidRDefault="000D2E5C" w:rsidP="00C90101">
      <w:pPr>
        <w:jc w:val="both"/>
        <w:rPr>
          <w:rFonts w:asciiTheme="minorHAnsi" w:hAnsiTheme="minorHAnsi"/>
          <w:bCs/>
          <w:szCs w:val="24"/>
        </w:rPr>
      </w:pPr>
      <w:bookmarkStart w:id="28" w:name="lt_pId044"/>
      <w:r>
        <w:rPr>
          <w:rFonts w:asciiTheme="minorHAnsi" w:hAnsiTheme="minorHAnsi"/>
        </w:rPr>
        <w:lastRenderedPageBreak/>
        <w:t xml:space="preserve">Ежегодные отчеты по </w:t>
      </w:r>
      <w:r>
        <w:rPr>
          <w:rFonts w:asciiTheme="minorHAnsi" w:hAnsiTheme="minorHAnsi"/>
          <w:i/>
        </w:rPr>
        <w:t xml:space="preserve">Вкладу МСЭ в выполнение решений ВВУИО </w:t>
      </w:r>
      <w:r>
        <w:rPr>
          <w:rFonts w:asciiTheme="minorHAnsi" w:hAnsiTheme="minorHAnsi"/>
        </w:rPr>
        <w:t xml:space="preserve">были направлены Рабочей группе Совета по ВВУИО (РГС-ВВУИО) для информации и считаются официальным представлением МСЭ для различных внутренних и внешних собраний, связанных с процессом ВВУИО, включая Комиссию ООН по </w:t>
      </w:r>
      <w:r w:rsidR="00C90101">
        <w:rPr>
          <w:color w:val="000000"/>
        </w:rPr>
        <w:t>науке и технике в целях развития</w:t>
      </w:r>
      <w:r>
        <w:rPr>
          <w:rFonts w:asciiTheme="minorHAnsi" w:hAnsiTheme="minorHAnsi"/>
        </w:rPr>
        <w:t>.</w:t>
      </w:r>
      <w:bookmarkEnd w:id="28"/>
      <w:r>
        <w:rPr>
          <w:rFonts w:asciiTheme="minorHAnsi" w:hAnsiTheme="minorHAnsi"/>
        </w:rPr>
        <w:t xml:space="preserve"> </w:t>
      </w:r>
    </w:p>
    <w:p w:rsidR="000D2E5C" w:rsidRPr="000D2E5C" w:rsidRDefault="009D6FF9" w:rsidP="00C90101">
      <w:pPr>
        <w:jc w:val="both"/>
        <w:rPr>
          <w:rFonts w:asciiTheme="minorHAnsi" w:hAnsiTheme="minorHAnsi"/>
          <w:bCs/>
          <w:szCs w:val="24"/>
        </w:rPr>
      </w:pPr>
      <w:bookmarkStart w:id="29" w:name="lt_pId045"/>
      <w:r>
        <w:rPr>
          <w:rFonts w:asciiTheme="minorHAnsi" w:hAnsiTheme="minorHAnsi"/>
        </w:rPr>
        <w:t xml:space="preserve">Отчет за 2016 год, а также </w:t>
      </w:r>
      <w:r w:rsidR="000D2E5C">
        <w:rPr>
          <w:rFonts w:asciiTheme="minorHAnsi" w:hAnsiTheme="minorHAnsi"/>
        </w:rPr>
        <w:t>прежние</w:t>
      </w:r>
      <w:r w:rsidR="000D2E5C">
        <w:rPr>
          <w:rFonts w:asciiTheme="minorHAnsi" w:hAnsiTheme="minorHAnsi"/>
          <w:i/>
        </w:rPr>
        <w:t xml:space="preserve"> </w:t>
      </w:r>
      <w:r w:rsidR="000D2E5C">
        <w:rPr>
          <w:rFonts w:asciiTheme="minorHAnsi" w:hAnsiTheme="minorHAnsi"/>
        </w:rPr>
        <w:t>редакции отчетов по</w:t>
      </w:r>
      <w:r w:rsidR="000D2E5C">
        <w:rPr>
          <w:rFonts w:asciiTheme="minorHAnsi" w:hAnsiTheme="minorHAnsi"/>
          <w:i/>
        </w:rPr>
        <w:t xml:space="preserve"> Вкладу МСЭ в выполнение решений ВВУИО </w:t>
      </w:r>
      <w:r w:rsidR="000D2E5C">
        <w:rPr>
          <w:rFonts w:asciiTheme="minorHAnsi" w:hAnsiTheme="minorHAnsi"/>
        </w:rPr>
        <w:t>размещены по адресу</w:t>
      </w:r>
      <w:bookmarkEnd w:id="29"/>
      <w:r w:rsidR="000D2E5C">
        <w:rPr>
          <w:rFonts w:asciiTheme="minorHAnsi" w:hAnsiTheme="minorHAnsi"/>
        </w:rPr>
        <w:t xml:space="preserve"> </w:t>
      </w:r>
      <w:hyperlink r:id="rId16">
        <w:bookmarkStart w:id="30" w:name="lt_pId046"/>
        <w:r w:rsidR="000D2E5C">
          <w:rPr>
            <w:rStyle w:val="Hyperlink"/>
            <w:rFonts w:asciiTheme="minorHAnsi" w:hAnsiTheme="minorHAnsi"/>
          </w:rPr>
          <w:t>http://www.itu.int/en/itu-wsis/Pages/Contribution.aspx</w:t>
        </w:r>
        <w:bookmarkEnd w:id="30"/>
      </w:hyperlink>
      <w:r w:rsidR="000D2E5C">
        <w:rPr>
          <w:rFonts w:asciiTheme="minorHAnsi" w:hAnsiTheme="minorHAnsi"/>
        </w:rPr>
        <w:t xml:space="preserve">. </w:t>
      </w:r>
    </w:p>
    <w:p w:rsidR="000D2E5C" w:rsidRPr="000D2E5C" w:rsidRDefault="000D2E5C" w:rsidP="00C90101">
      <w:pPr>
        <w:jc w:val="both"/>
        <w:rPr>
          <w:rFonts w:asciiTheme="minorHAnsi" w:hAnsiTheme="minorHAnsi"/>
          <w:bCs/>
          <w:szCs w:val="24"/>
        </w:rPr>
      </w:pPr>
      <w:bookmarkStart w:id="31" w:name="lt_pId047"/>
      <w:r>
        <w:t>Совет-16 постановил использовать формат ВВУИО как основ</w:t>
      </w:r>
      <w:r w:rsidR="00C90101">
        <w:t>у</w:t>
      </w:r>
      <w:r>
        <w:t>, посредством которо</w:t>
      </w:r>
      <w:r w:rsidR="00C90101">
        <w:t>й</w:t>
      </w:r>
      <w:r>
        <w:t xml:space="preserve"> МСЭ способствует выполнению Повестки дня на период до 2030 года в рамках мандата МСЭ и в пределах ресурсов, выделенных в финансовом плане и двухгодичном бюджете, учитывая матрицу ВВУИО-ЦУР, разработанную учреждениями ООН, работая через РГС-ВВУИО.</w:t>
      </w:r>
      <w:bookmarkEnd w:id="31"/>
      <w:r>
        <w:rPr>
          <w:rFonts w:asciiTheme="minorHAnsi" w:hAnsiTheme="minorHAnsi"/>
        </w:rPr>
        <w:t xml:space="preserve"> </w:t>
      </w:r>
    </w:p>
    <w:p w:rsidR="000D2E5C" w:rsidRPr="000D2E5C" w:rsidRDefault="000D2E5C" w:rsidP="00244F30">
      <w:pPr>
        <w:jc w:val="both"/>
        <w:rPr>
          <w:szCs w:val="24"/>
        </w:rPr>
      </w:pPr>
      <w:bookmarkStart w:id="32" w:name="lt_pId048"/>
      <w:r>
        <w:rPr>
          <w:rFonts w:asciiTheme="minorHAnsi" w:hAnsiTheme="minorHAnsi"/>
        </w:rPr>
        <w:t>В этом ключе направляемая МСЭ деятельность ВВУИО, включая Форум ВВУИО, анализ выполнения ВВУИО, награды ВВУИО, были согласованы с ЦУР.</w:t>
      </w:r>
      <w:bookmarkEnd w:id="32"/>
      <w:r>
        <w:rPr>
          <w:rFonts w:asciiTheme="minorHAnsi" w:hAnsiTheme="minorHAnsi"/>
        </w:rPr>
        <w:t xml:space="preserve"> </w:t>
      </w:r>
      <w:bookmarkStart w:id="33" w:name="lt_pId049"/>
      <w:r>
        <w:rPr>
          <w:rFonts w:asciiTheme="minorHAnsi" w:hAnsiTheme="minorHAnsi"/>
        </w:rPr>
        <w:t>Кроме того, МСЭ</w:t>
      </w:r>
      <w:r>
        <w:t xml:space="preserve"> продолжает координировать</w:t>
      </w:r>
      <w:r w:rsidR="009D6FF9">
        <w:t xml:space="preserve"> </w:t>
      </w:r>
      <w:r>
        <w:rPr>
          <w:i/>
        </w:rPr>
        <w:t>Направления деятельности ВВУИО и матрицу ЦУР</w:t>
      </w:r>
      <w:r>
        <w:rPr>
          <w:b/>
        </w:rPr>
        <w:t xml:space="preserve"> </w:t>
      </w:r>
      <w:r>
        <w:t>(</w:t>
      </w:r>
      <w:hyperlink r:id="rId17">
        <w:r>
          <w:rPr>
            <w:rStyle w:val="Hyperlink"/>
          </w:rPr>
          <w:t>www.wsis.org/sdgs</w:t>
        </w:r>
      </w:hyperlink>
      <w:r>
        <w:t>) – инструмент, разработанный рядом учреждений ООН для определения того, как ИКТ могут содействовать выполнению ЦУР.</w:t>
      </w:r>
      <w:bookmarkEnd w:id="33"/>
      <w:r>
        <w:t xml:space="preserve"> </w:t>
      </w:r>
      <w:bookmarkStart w:id="34" w:name="lt_pId050"/>
      <w:r>
        <w:t>Матрица служит простым справочным средством для заинтересованных сторон, участвующих в формировании будущего как ЦУР, так и процесса ВВУИО помимо 2015 года и Повестки дня в области устойчивого развития на период до 2030 года.</w:t>
      </w:r>
      <w:bookmarkEnd w:id="34"/>
      <w:r>
        <w:t xml:space="preserve"> </w:t>
      </w:r>
    </w:p>
    <w:p w:rsidR="000D2E5C" w:rsidRPr="00BB3C5D" w:rsidRDefault="000D2E5C" w:rsidP="00244F30">
      <w:pPr>
        <w:jc w:val="both"/>
        <w:rPr>
          <w:szCs w:val="24"/>
        </w:rPr>
      </w:pPr>
      <w:bookmarkStart w:id="35" w:name="lt_pId051"/>
      <w:r>
        <w:t>В рамках процесса анализа выполнения решений ВВУИО (</w:t>
      </w:r>
      <w:hyperlink r:id="rId18">
        <w:r>
          <w:rPr>
            <w:rStyle w:val="Hyperlink"/>
          </w:rPr>
          <w:t>www.wsis.org/stocktaking</w:t>
        </w:r>
      </w:hyperlink>
      <w:r>
        <w:t>) продолжается сбор информации о действиях, проектах, программах и инициативах, проводимых всеми заинтересованными сторонами в связи с ВВУИО и ЦУР, предоставляя при этом конкретные подтверждения воздействия определенных Направлений деятельности ВВУИО по ЦУР, преобразуя матрицу ВВУИО-ЦУР в основанное на фактах политическое руководство для всех заинтересованных сторон ВВУИО.</w:t>
      </w:r>
      <w:bookmarkEnd w:id="35"/>
      <w:r>
        <w:t xml:space="preserve"> </w:t>
      </w:r>
      <w:bookmarkStart w:id="36" w:name="lt_pId052"/>
      <w:r>
        <w:t>Форум ВВУИО основывается на матрице ВВУИО-ЦУР, соединяя ее повестку дня и результаты с ЦУР (</w:t>
      </w:r>
      <w:hyperlink r:id="rId19">
        <w:r>
          <w:rPr>
            <w:rStyle w:val="Hyperlink"/>
          </w:rPr>
          <w:t>www.wsis.org/forum</w:t>
        </w:r>
      </w:hyperlink>
      <w:r>
        <w:t>), тем самым обеспечивая охватывающий множество заинтересованных сторон вклад в работу Политического форума ООН высокого уровня.</w:t>
      </w:r>
      <w:bookmarkEnd w:id="36"/>
      <w:r>
        <w:t xml:space="preserve"> </w:t>
      </w:r>
    </w:p>
    <w:p w:rsidR="000D2E5C" w:rsidRPr="000D2E5C" w:rsidRDefault="005D4E6F" w:rsidP="00244F30">
      <w:pPr>
        <w:pStyle w:val="Heading1"/>
        <w:jc w:val="both"/>
      </w:pPr>
      <w:r>
        <w:t>3</w:t>
      </w:r>
      <w:r>
        <w:tab/>
        <w:t>Деятельность МСЭ в связи с Повесткой дня в области устойчивого развития на период до 2030 года</w:t>
      </w:r>
    </w:p>
    <w:p w:rsidR="000D2E5C" w:rsidRPr="000D2E5C" w:rsidRDefault="000D2E5C" w:rsidP="00C90101">
      <w:pPr>
        <w:jc w:val="both"/>
        <w:rPr>
          <w:rFonts w:asciiTheme="minorHAnsi" w:hAnsiTheme="minorHAnsi"/>
          <w:bCs/>
          <w:szCs w:val="24"/>
        </w:rPr>
      </w:pPr>
      <w:bookmarkStart w:id="37" w:name="_Toc424563282"/>
      <w:bookmarkStart w:id="38" w:name="lt_pId055"/>
      <w:r>
        <w:rPr>
          <w:rFonts w:asciiTheme="minorHAnsi" w:hAnsiTheme="minorHAnsi"/>
        </w:rPr>
        <w:t>Согласно Резолюции 1332 (измененн</w:t>
      </w:r>
      <w:r w:rsidR="00C90101">
        <w:rPr>
          <w:rFonts w:asciiTheme="minorHAnsi" w:hAnsiTheme="minorHAnsi"/>
        </w:rPr>
        <w:t xml:space="preserve">ой, </w:t>
      </w:r>
      <w:r>
        <w:rPr>
          <w:rFonts w:asciiTheme="minorHAnsi" w:hAnsiTheme="minorHAnsi"/>
        </w:rPr>
        <w:t>2016 г</w:t>
      </w:r>
      <w:r w:rsidR="00C9010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) и принимая </w:t>
      </w:r>
      <w:bookmarkEnd w:id="37"/>
      <w:r>
        <w:rPr>
          <w:rFonts w:asciiTheme="minorHAnsi" w:hAnsiTheme="minorHAnsi"/>
        </w:rPr>
        <w:t>во внимание общие полномочия МСЭ и его роль как специализированного учреждения ООН по ИКТ, была разработана Дорожная карта по действиям МСЭ в связи с ЦУР, которая служит действующим документом, определяющим направление действий МСЭ по выполнению Повестки дня на период до 2030 года и ЦУР.</w:t>
      </w:r>
      <w:bookmarkEnd w:id="38"/>
      <w:r>
        <w:rPr>
          <w:rFonts w:asciiTheme="minorHAnsi" w:hAnsiTheme="minorHAnsi"/>
        </w:rPr>
        <w:t xml:space="preserve"> </w:t>
      </w:r>
      <w:bookmarkStart w:id="39" w:name="lt_pId056"/>
      <w:r>
        <w:rPr>
          <w:rFonts w:asciiTheme="minorHAnsi" w:hAnsiTheme="minorHAnsi"/>
        </w:rPr>
        <w:t>После разработки Дорожной карты и предоставления Членам руководящих указаний на 29-м и 30-м Собраниях РГС-ВВУИО, проведенных после Совета-16, был выполнен ряд действий.</w:t>
      </w:r>
      <w:bookmarkEnd w:id="39"/>
      <w:r>
        <w:rPr>
          <w:rFonts w:asciiTheme="minorHAnsi" w:hAnsiTheme="minorHAnsi"/>
        </w:rPr>
        <w:t xml:space="preserve"> </w:t>
      </w:r>
    </w:p>
    <w:p w:rsidR="000D2E5C" w:rsidRPr="000D2E5C" w:rsidRDefault="000D2E5C" w:rsidP="00244F30">
      <w:pPr>
        <w:jc w:val="both"/>
        <w:rPr>
          <w:rFonts w:asciiTheme="minorHAnsi" w:hAnsiTheme="minorHAnsi"/>
          <w:bCs/>
          <w:szCs w:val="24"/>
        </w:rPr>
      </w:pPr>
      <w:bookmarkStart w:id="40" w:name="lt_pId057"/>
      <w:r>
        <w:rPr>
          <w:rFonts w:asciiTheme="minorHAnsi" w:hAnsiTheme="minorHAnsi"/>
        </w:rPr>
        <w:t>Был обновлен круг ведения Целевой группы ВВУИО.</w:t>
      </w:r>
      <w:bookmarkEnd w:id="40"/>
      <w:r>
        <w:rPr>
          <w:rFonts w:asciiTheme="minorHAnsi" w:hAnsiTheme="minorHAnsi"/>
        </w:rPr>
        <w:t xml:space="preserve"> </w:t>
      </w:r>
      <w:bookmarkStart w:id="41" w:name="lt_pId058"/>
      <w:r>
        <w:rPr>
          <w:rFonts w:asciiTheme="minorHAnsi" w:hAnsiTheme="minorHAnsi"/>
        </w:rPr>
        <w:t>Целевая группа ВВУИО под руководством Консультативного комитета содействует координации политики, стратегии и деятельности секретариата МСЭ в отношении Повестки дня в области устойчивого развития на период до 2030 года, ВВУИО, Повестки дня "Соединим к 2020 году" и выполнения Резолюции Совета 1332 в соответствии с его мандатом в рамках установленной политики и процедур, а также в пределах ресурсов, выделенных в финансовом плане и двухгодичном бюджете.</w:t>
      </w:r>
      <w:hyperlink r:id="rId20"/>
      <w:r>
        <w:rPr>
          <w:rFonts w:asciiTheme="minorHAnsi" w:hAnsiTheme="minorHAnsi"/>
        </w:rPr>
        <w:t>.</w:t>
      </w:r>
      <w:bookmarkEnd w:id="41"/>
    </w:p>
    <w:p w:rsidR="005D4E6F" w:rsidRPr="00FB6571" w:rsidRDefault="005D4E6F" w:rsidP="00244F30">
      <w:pPr>
        <w:jc w:val="both"/>
      </w:pPr>
      <w:bookmarkStart w:id="42" w:name="lt_pId061"/>
      <w:r>
        <w:t xml:space="preserve">1 декабря 2015 года было разослано циркулярное письмо Генерального секретаря, посвященное </w:t>
      </w:r>
      <w:r>
        <w:rPr>
          <w:i/>
        </w:rPr>
        <w:t>ИКТ в деле продвижения вперед Повестки дня в области устойчивого развития на период до 2030 года</w:t>
      </w:r>
      <w:r>
        <w:t xml:space="preserve"> (CL-15/46). Специальный </w:t>
      </w:r>
      <w:hyperlink r:id="rId21">
        <w:r>
          <w:rPr>
            <w:rStyle w:val="Hyperlink"/>
          </w:rPr>
          <w:t>веб-сайт</w:t>
        </w:r>
      </w:hyperlink>
      <w:r>
        <w:t xml:space="preserve">, содержащий </w:t>
      </w:r>
      <w:hyperlink r:id="rId22">
        <w:r>
          <w:rPr>
            <w:rStyle w:val="Hyperlink"/>
          </w:rPr>
          <w:t>видеоматериалы</w:t>
        </w:r>
      </w:hyperlink>
      <w:r>
        <w:t xml:space="preserve">, </w:t>
      </w:r>
      <w:hyperlink r:id="rId23">
        <w:r>
          <w:rPr>
            <w:rStyle w:val="Hyperlink"/>
          </w:rPr>
          <w:t>блоги</w:t>
        </w:r>
      </w:hyperlink>
      <w:r>
        <w:t xml:space="preserve">, </w:t>
      </w:r>
      <w:hyperlink r:id="rId24" w:anchor="ICT4SDG&amp;src=typd">
        <w:r>
          <w:rPr>
            <w:rStyle w:val="Hyperlink"/>
          </w:rPr>
          <w:t>социальные сети</w:t>
        </w:r>
      </w:hyperlink>
      <w:r>
        <w:t xml:space="preserve"> и </w:t>
      </w:r>
      <w:hyperlink r:id="rId25">
        <w:r>
          <w:rPr>
            <w:rStyle w:val="Hyperlink"/>
          </w:rPr>
          <w:t>исследования конкретных ситуаций</w:t>
        </w:r>
      </w:hyperlink>
      <w:r>
        <w:t xml:space="preserve">, освещающие роль ИКТ в ЦУР, представлены по адресу </w:t>
      </w:r>
      <w:hyperlink r:id="rId26">
        <w:r>
          <w:rPr>
            <w:rStyle w:val="Hyperlink"/>
          </w:rPr>
          <w:t>http://www.itu.int/ict4sdg</w:t>
        </w:r>
      </w:hyperlink>
      <w:r>
        <w:t>.</w:t>
      </w:r>
    </w:p>
    <w:p w:rsidR="005D4E6F" w:rsidRPr="00FB6571" w:rsidRDefault="005D4E6F" w:rsidP="00C90101">
      <w:pPr>
        <w:jc w:val="both"/>
      </w:pPr>
      <w:bookmarkStart w:id="43" w:name="lt_pId063"/>
      <w:bookmarkEnd w:id="42"/>
      <w:r>
        <w:lastRenderedPageBreak/>
        <w:t xml:space="preserve">Консультативные группы Секторов </w:t>
      </w:r>
      <w:r w:rsidR="00C90101">
        <w:t xml:space="preserve">продолжили </w:t>
      </w:r>
      <w:r>
        <w:t>обсуждение вкладов Секторов МСЭ в достижение ЦУР, в том числе представл</w:t>
      </w:r>
      <w:r w:rsidR="00C90101">
        <w:t xml:space="preserve">ение </w:t>
      </w:r>
      <w:r>
        <w:t>информаци</w:t>
      </w:r>
      <w:r w:rsidR="00C90101">
        <w:t>и</w:t>
      </w:r>
      <w:r>
        <w:t xml:space="preserve"> о деятельности Секторов </w:t>
      </w:r>
      <w:r w:rsidR="00C90101">
        <w:t xml:space="preserve">для </w:t>
      </w:r>
      <w:r>
        <w:t>достижени</w:t>
      </w:r>
      <w:r w:rsidR="00C90101">
        <w:t>я</w:t>
      </w:r>
      <w:r>
        <w:t xml:space="preserve"> ЦУР. К Совету</w:t>
      </w:r>
      <w:r w:rsidR="00C90101">
        <w:t xml:space="preserve">-16 </w:t>
      </w:r>
      <w:r>
        <w:t>консультативным группам соответствующих Секторов б</w:t>
      </w:r>
      <w:r w:rsidR="00C90101">
        <w:t xml:space="preserve">ыл </w:t>
      </w:r>
      <w:r>
        <w:t xml:space="preserve">представлен </w:t>
      </w:r>
      <w:r w:rsidR="00C90101">
        <w:t xml:space="preserve">первый </w:t>
      </w:r>
      <w:r>
        <w:t>проект документа с информацией о включении ЦУР в программы работы МСЭ-T, МСЭ-D и МСЭ-R.</w:t>
      </w:r>
    </w:p>
    <w:p w:rsidR="005D4E6F" w:rsidRDefault="005D4E6F" w:rsidP="00C90101">
      <w:pPr>
        <w:jc w:val="both"/>
      </w:pPr>
      <w:bookmarkStart w:id="44" w:name="lt_pId064"/>
      <w:bookmarkEnd w:id="43"/>
      <w:r>
        <w:t xml:space="preserve">В рамках реализации стратегического и оперативного планов МСЭ Союз </w:t>
      </w:r>
      <w:r w:rsidR="00C90101">
        <w:t xml:space="preserve">продолжил </w:t>
      </w:r>
      <w:r>
        <w:t>взаимодейств</w:t>
      </w:r>
      <w:r w:rsidR="00C90101">
        <w:t>ие</w:t>
      </w:r>
      <w:r>
        <w:t xml:space="preserve"> со всеми заинтересованными сторонами, включая международные организации, частный сектор, гражданское общество и академические организации, предпринимая при этом инициативы, содействующие достижению ЦУР. </w:t>
      </w:r>
    </w:p>
    <w:p w:rsidR="005D4E6F" w:rsidRPr="00FB6571" w:rsidRDefault="005D4E6F" w:rsidP="001054D9">
      <w:pPr>
        <w:jc w:val="both"/>
      </w:pPr>
      <w:bookmarkStart w:id="45" w:name="lt_pId065"/>
      <w:bookmarkEnd w:id="44"/>
      <w:r>
        <w:t>Секретариат МСЭ создал</w:t>
      </w:r>
      <w:r w:rsidR="009D6FF9">
        <w:t xml:space="preserve"> </w:t>
      </w:r>
      <w:hyperlink r:id="rId27" w:anchor="/home/home-page" w:history="1">
        <w:r w:rsidR="009D6FF9">
          <w:rPr>
            <w:rStyle w:val="Hyperlink"/>
            <w:rFonts w:asciiTheme="minorHAnsi" w:hAnsiTheme="minorHAnsi" w:cstheme="majorBidi"/>
            <w:szCs w:val="24"/>
          </w:rPr>
          <w:t>Инструмент построения соответствий ЦУР</w:t>
        </w:r>
      </w:hyperlink>
      <w:r>
        <w:t xml:space="preserve"> с целью инвентаризации всех инициатив и </w:t>
      </w:r>
      <w:r w:rsidR="001054D9">
        <w:t xml:space="preserve">видов </w:t>
      </w:r>
      <w:r>
        <w:t>деятельности, связанных с ЦУР, с учетом существующих рамок, предусмотренных Направлениями деятельности ВВУИО для всей экосистемы ИКТ и Повестки дня "Соединим к 2020 году".</w:t>
      </w:r>
    </w:p>
    <w:p w:rsidR="005D4E6F" w:rsidRDefault="000D2E5C" w:rsidP="00244F30">
      <w:pPr>
        <w:jc w:val="both"/>
      </w:pPr>
      <w:r>
        <w:rPr>
          <w:rFonts w:asciiTheme="minorHAnsi" w:hAnsiTheme="minorHAnsi"/>
        </w:rPr>
        <w:t xml:space="preserve">МСЭ остается задействованным в обсуждениях по ЦУР в рамках различных механизмов координирования в системе ООН , в частности в составе Координационного Совета руководителей системы ООН (КСР) и его дочерних подразделений, а также специализированных групп по вопросам Повестки дня на период до 2030 года, таких как </w:t>
      </w:r>
      <w:proofErr w:type="spellStart"/>
      <w:r>
        <w:t>Межучрежденческая</w:t>
      </w:r>
      <w:proofErr w:type="spellEnd"/>
      <w:r>
        <w:t xml:space="preserve"> целевая группа по науке, технике и инновациям (являющаяся частью Механизма содействия развитию технологий, которой поручена организация ежегодного Форума STI и разработка онлайновой платформы)</w:t>
      </w:r>
      <w:r>
        <w:rPr>
          <w:rFonts w:asciiTheme="minorHAnsi" w:hAnsiTheme="minorHAnsi"/>
        </w:rPr>
        <w:t xml:space="preserve"> и </w:t>
      </w:r>
      <w:bookmarkStart w:id="46" w:name="lt_pId066"/>
      <w:bookmarkEnd w:id="45"/>
      <w:proofErr w:type="spellStart"/>
      <w:r>
        <w:t>Межучрежденческая</w:t>
      </w:r>
      <w:proofErr w:type="spellEnd"/>
      <w:r>
        <w:t xml:space="preserve"> целевая группа по финансированию развития. </w:t>
      </w:r>
    </w:p>
    <w:p w:rsidR="000D2E5C" w:rsidRPr="005D4E6F" w:rsidRDefault="005D4E6F" w:rsidP="001054D9">
      <w:pPr>
        <w:jc w:val="both"/>
        <w:rPr>
          <w:szCs w:val="24"/>
        </w:rPr>
      </w:pPr>
      <w:bookmarkStart w:id="47" w:name="lt_pId067"/>
      <w:bookmarkEnd w:id="46"/>
      <w:r>
        <w:t>В рамках контроля и проверки выполнения Повестки дня на период до 2030 года МСЭ вноси</w:t>
      </w:r>
      <w:r w:rsidR="001054D9">
        <w:t>л</w:t>
      </w:r>
      <w:r>
        <w:t xml:space="preserve"> свой вклад в различные доклады Генерального секретаря ООН (в том числе ежегодный доклад о ходе работы в области достижения ЦУР, доклад по глобальному устойчивому развитию и отчет об активном продвижении устойчивого развития среди прочих тематических отчетов). </w:t>
      </w:r>
      <w:r>
        <w:rPr>
          <w:rFonts w:asciiTheme="minorHAnsi" w:hAnsiTheme="minorHAnsi" w:cstheme="majorBidi"/>
        </w:rPr>
        <w:t>В 2016 году МСЭ также принял участи в Политическом форуме высокого уровня (HLPF) по устойчивому развитию и прочих связанных с ECOSOC собраниями, форумами и мероприятиями, в том числе посредством вкладов МСЭ в работу HLPF, запрошенных Президентом ECOSOC, и путем проведения тематических сопутствующих мероприятий в сотрудничестве с партнерами и другими заинтересованными сторонами.</w:t>
      </w:r>
      <w:bookmarkEnd w:id="47"/>
      <w:r>
        <w:rPr>
          <w:rFonts w:asciiTheme="minorHAnsi" w:hAnsiTheme="minorHAnsi" w:cstheme="majorBidi"/>
        </w:rPr>
        <w:t xml:space="preserve"> </w:t>
      </w:r>
    </w:p>
    <w:p w:rsidR="000D2E5C" w:rsidRPr="000D2E5C" w:rsidRDefault="000D2E5C" w:rsidP="00244F30">
      <w:pPr>
        <w:jc w:val="both"/>
        <w:rPr>
          <w:rFonts w:asciiTheme="minorHAnsi" w:hAnsiTheme="minorHAnsi" w:cstheme="majorBidi"/>
          <w:szCs w:val="24"/>
        </w:rPr>
      </w:pPr>
      <w:bookmarkStart w:id="48" w:name="lt_pId068"/>
      <w:r>
        <w:t>Для HLPF 2017 года и по приглашению Президента ECOSOC, распространяющегося на Совет МСЭ, готовится вклад в документы редакции этого года под руководством членов Союза.</w:t>
      </w:r>
      <w:bookmarkEnd w:id="48"/>
      <w:r>
        <w:t xml:space="preserve"> </w:t>
      </w:r>
      <w:bookmarkStart w:id="49" w:name="lt_pId069"/>
      <w:r>
        <w:t xml:space="preserve">Проекты и окончательные варианты размещены по адресу </w:t>
      </w:r>
      <w:hyperlink r:id="rId28">
        <w:r>
          <w:rPr>
            <w:rStyle w:val="Hyperlink"/>
          </w:rPr>
          <w:t>www.itu.int/wg-wsis</w:t>
        </w:r>
      </w:hyperlink>
      <w:r>
        <w:rPr>
          <w:color w:val="1F497D"/>
        </w:rPr>
        <w:t>.</w:t>
      </w:r>
      <w:bookmarkEnd w:id="49"/>
      <w:r>
        <w:rPr>
          <w:color w:val="1F497D"/>
        </w:rPr>
        <w:t xml:space="preserve"> </w:t>
      </w:r>
      <w:bookmarkStart w:id="50" w:name="lt_pId070"/>
      <w:r>
        <w:t>МСЭ также будет продолжать участвовать в различных механизмах последующего контроля в системе ООН и планирует сотрудничество с партнерами в возможных сопутствующих мероприятиях.</w:t>
      </w:r>
      <w:bookmarkEnd w:id="50"/>
    </w:p>
    <w:p w:rsidR="005D4E6F" w:rsidRDefault="005D4E6F" w:rsidP="00244F30">
      <w:pPr>
        <w:jc w:val="both"/>
      </w:pPr>
      <w:bookmarkStart w:id="51" w:name="lt_pId072"/>
      <w:r>
        <w:t xml:space="preserve">МСЭ предоставил информацию и статистические данные по ИКТ для мониторинга и отслеживания показателей ИКТ, касающихся ЦУР. </w:t>
      </w:r>
    </w:p>
    <w:p w:rsidR="000D2E5C" w:rsidRPr="005D4E6F" w:rsidRDefault="000D2E5C" w:rsidP="00244F30">
      <w:pPr>
        <w:jc w:val="both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</w:rPr>
        <w:t>Помимо того, стартовала коммуникационная кампания, посвященная ЦУР.</w:t>
      </w:r>
      <w:bookmarkEnd w:id="51"/>
      <w:r>
        <w:rPr>
          <w:rFonts w:asciiTheme="minorHAnsi" w:hAnsiTheme="minorHAnsi" w:cstheme="majorBidi"/>
        </w:rPr>
        <w:t xml:space="preserve"> </w:t>
      </w:r>
      <w:bookmarkStart w:id="52" w:name="lt_pId073"/>
      <w:r>
        <w:t>Была разработана онлайновая платформа для Членов МСЭ для освещения их вклада в достижение ЦУР.</w:t>
      </w:r>
      <w:bookmarkEnd w:id="52"/>
      <w:r>
        <w:rPr>
          <w:rFonts w:asciiTheme="minorHAnsi" w:hAnsiTheme="minorHAnsi" w:cstheme="majorBidi"/>
        </w:rPr>
        <w:t xml:space="preserve"> </w:t>
      </w:r>
      <w:bookmarkStart w:id="53" w:name="lt_pId074"/>
      <w:r>
        <w:t>Были разработаны обоснованные данные о вкладе МСЭ в достижение ЦУР.</w:t>
      </w:r>
      <w:bookmarkEnd w:id="53"/>
      <w:r>
        <w:rPr>
          <w:rFonts w:asciiTheme="minorHAnsi" w:hAnsiTheme="minorHAnsi" w:cstheme="majorBidi"/>
        </w:rPr>
        <w:t xml:space="preserve"> </w:t>
      </w:r>
      <w:bookmarkStart w:id="54" w:name="lt_pId075"/>
      <w:r>
        <w:t>Была проведена работа по подбору исследований конкретных ситуаций и разработке кампаний по освещению успешных историй, показывающих значение ICT4SDG.</w:t>
      </w:r>
      <w:bookmarkStart w:id="55" w:name="lt_pId076"/>
      <w:bookmarkEnd w:id="54"/>
      <w:r>
        <w:rPr>
          <w:rFonts w:asciiTheme="minorHAnsi" w:hAnsiTheme="minorHAnsi" w:cstheme="majorBidi"/>
        </w:rPr>
        <w:t xml:space="preserve"> Была запущена широкая рекламная и мотивационная кампания в социальных сетях, охватывающая миллионы заинтересованных лиц на глобальном уровне.</w:t>
      </w:r>
      <w:bookmarkEnd w:id="55"/>
      <w:r>
        <w:rPr>
          <w:rFonts w:asciiTheme="minorHAnsi" w:hAnsiTheme="minorHAnsi" w:cstheme="majorBidi"/>
        </w:rPr>
        <w:t xml:space="preserve"> </w:t>
      </w:r>
    </w:p>
    <w:p w:rsidR="000D2E5C" w:rsidRPr="000D2E5C" w:rsidRDefault="000D2E5C" w:rsidP="00244F30">
      <w:pPr>
        <w:jc w:val="both"/>
        <w:rPr>
          <w:rFonts w:asciiTheme="minorHAnsi" w:hAnsiTheme="minorHAnsi" w:cstheme="majorBidi"/>
          <w:szCs w:val="24"/>
        </w:rPr>
      </w:pPr>
      <w:bookmarkStart w:id="56" w:name="lt_pId077"/>
      <w:r>
        <w:rPr>
          <w:rFonts w:asciiTheme="minorHAnsi" w:hAnsiTheme="minorHAnsi" w:cstheme="majorBidi"/>
        </w:rPr>
        <w:t>МСЭ тесно сотрудничает с ЮНИДО по ряду мероприятий/презентаций ЦУР 9, которые будут интегрированы в работу Форума ВВУИО.</w:t>
      </w:r>
      <w:bookmarkEnd w:id="56"/>
      <w:r>
        <w:rPr>
          <w:rFonts w:asciiTheme="minorHAnsi" w:hAnsiTheme="minorHAnsi" w:cstheme="majorBidi"/>
        </w:rPr>
        <w:t xml:space="preserve"> </w:t>
      </w:r>
      <w:bookmarkStart w:id="57" w:name="lt_pId078"/>
      <w:r>
        <w:rPr>
          <w:rFonts w:asciiTheme="minorHAnsi" w:hAnsiTheme="minorHAnsi" w:cstheme="majorBidi"/>
        </w:rPr>
        <w:t>Действия под рабочим названием SDG9@WSIS будут сосредоточены вокруг каталитического эффекта ИКТ в рамках ЦУР 9 для обеспечения возможности достижения всех остальных целей.</w:t>
      </w:r>
      <w:bookmarkEnd w:id="57"/>
    </w:p>
    <w:p w:rsidR="000D2E5C" w:rsidRPr="000D2E5C" w:rsidRDefault="000D2E5C" w:rsidP="00244F30">
      <w:pPr>
        <w:jc w:val="both"/>
        <w:rPr>
          <w:color w:val="1F497D"/>
          <w:szCs w:val="24"/>
        </w:rPr>
      </w:pPr>
      <w:bookmarkStart w:id="58" w:name="lt_pId079"/>
      <w:r>
        <w:rPr>
          <w:rFonts w:asciiTheme="minorHAnsi" w:hAnsiTheme="minorHAnsi" w:cstheme="majorBidi"/>
        </w:rPr>
        <w:t xml:space="preserve">Кампания МСЭ #ICT4SDG, имеющая в основе своей ЦУР 9, но выделяющая каталитическую роль ИКТ в достижении всех ЦУР, является коммуникационной кампанией, ориентированной на Членов и партнеров, в рамках которой партнерство со всеми соответствующими заинтересованными сторонами </w:t>
      </w:r>
      <w:r>
        <w:rPr>
          <w:rFonts w:asciiTheme="minorHAnsi" w:hAnsiTheme="minorHAnsi" w:cstheme="majorBidi"/>
        </w:rPr>
        <w:lastRenderedPageBreak/>
        <w:t>послужит стимулом для директивных органов и основных агентов влияния к тому, чтобы ИКТ заняли важное место в повестке дня глобального развития.</w:t>
      </w:r>
      <w:bookmarkEnd w:id="58"/>
      <w:r>
        <w:rPr>
          <w:rFonts w:asciiTheme="minorHAnsi" w:hAnsiTheme="minorHAnsi" w:cstheme="majorBidi"/>
        </w:rPr>
        <w:t xml:space="preserve"> </w:t>
      </w:r>
      <w:bookmarkStart w:id="59" w:name="lt_pId080"/>
      <w:r>
        <w:rPr>
          <w:rFonts w:asciiTheme="minorHAnsi" w:hAnsiTheme="minorHAnsi" w:cstheme="majorBidi"/>
        </w:rPr>
        <w:t>Информация была доведена до сведения членов МСЭ посредством циркулярного письма (</w:t>
      </w:r>
      <w:hyperlink r:id="rId29">
        <w:r>
          <w:rPr>
            <w:rStyle w:val="Hyperlink"/>
            <w:rFonts w:asciiTheme="minorHAnsi" w:hAnsiTheme="minorHAnsi" w:cstheme="majorBidi"/>
          </w:rPr>
          <w:t>CL-16/62</w:t>
        </w:r>
      </w:hyperlink>
      <w:r>
        <w:rPr>
          <w:rFonts w:asciiTheme="minorHAnsi" w:hAnsiTheme="minorHAnsi" w:cstheme="majorBidi"/>
        </w:rPr>
        <w:t>).</w:t>
      </w:r>
      <w:bookmarkEnd w:id="59"/>
      <w:r>
        <w:rPr>
          <w:rFonts w:asciiTheme="minorHAnsi" w:hAnsiTheme="minorHAnsi" w:cstheme="majorBidi"/>
        </w:rPr>
        <w:t xml:space="preserve"> </w:t>
      </w:r>
      <w:bookmarkStart w:id="60" w:name="lt_pId081"/>
      <w:r>
        <w:rPr>
          <w:rFonts w:asciiTheme="minorHAnsi" w:hAnsiTheme="minorHAnsi" w:cstheme="majorBidi"/>
        </w:rPr>
        <w:t>Постоянно обновляется контент на сайте, посвященном ICT4SDG (</w:t>
      </w:r>
      <w:hyperlink r:id="rId30">
        <w:r>
          <w:rPr>
            <w:rStyle w:val="Hyperlink"/>
            <w:rFonts w:asciiTheme="minorHAnsi" w:hAnsiTheme="minorHAnsi" w:cstheme="majorBidi"/>
          </w:rPr>
          <w:t>www.itu.int/ict4sdg</w:t>
        </w:r>
      </w:hyperlink>
      <w:r>
        <w:rPr>
          <w:color w:val="1F497D"/>
        </w:rPr>
        <w:t>).</w:t>
      </w:r>
      <w:bookmarkEnd w:id="60"/>
    </w:p>
    <w:p w:rsidR="000D2E5C" w:rsidRPr="005D4E6F" w:rsidRDefault="000D2E5C" w:rsidP="00244F30">
      <w:pPr>
        <w:pStyle w:val="Heading1"/>
        <w:jc w:val="both"/>
      </w:pPr>
      <w:r>
        <w:t>4</w:t>
      </w:r>
      <w:r>
        <w:tab/>
      </w:r>
      <w:bookmarkStart w:id="61" w:name="lt_pId083"/>
      <w:r>
        <w:t>Выводы</w:t>
      </w:r>
      <w:bookmarkEnd w:id="61"/>
      <w:r>
        <w:t xml:space="preserve"> </w:t>
      </w:r>
    </w:p>
    <w:p w:rsidR="00E73548" w:rsidRPr="000D2E5C" w:rsidRDefault="000D2E5C" w:rsidP="001054D9">
      <w:pPr>
        <w:jc w:val="both"/>
      </w:pPr>
      <w:bookmarkStart w:id="62" w:name="lt_pId084"/>
      <w:r>
        <w:t xml:space="preserve">МСЭ, </w:t>
      </w:r>
      <w:r w:rsidR="001054D9">
        <w:t>являясь</w:t>
      </w:r>
      <w:r>
        <w:t xml:space="preserve"> учреждением ООН по вопросам ИКТ, играет важную роль в выполнении решений ВВУИО и Повестки дня в области устойчивого развития на период до 2030 года.</w:t>
      </w:r>
      <w:bookmarkEnd w:id="62"/>
      <w:r>
        <w:t xml:space="preserve"> </w:t>
      </w:r>
      <w:bookmarkStart w:id="63" w:name="lt_pId085"/>
      <w:r>
        <w:t xml:space="preserve">Согласно информации, приведенной в настоящем документе, и придерживаясь руководящих указаний Членов МСЭ, Секторами и Генеральным секретариатом предпринимаются дальнейшие усилия по использованию </w:t>
      </w:r>
      <w:r w:rsidR="001054D9">
        <w:t xml:space="preserve">роли ИКТ, </w:t>
      </w:r>
      <w:r>
        <w:t xml:space="preserve">благоприятствующей </w:t>
      </w:r>
      <w:r w:rsidR="001054D9">
        <w:t>достижению</w:t>
      </w:r>
      <w:r>
        <w:t xml:space="preserve"> ЦУР.</w:t>
      </w:r>
      <w:bookmarkEnd w:id="63"/>
    </w:p>
    <w:p w:rsidR="00A95B82" w:rsidRPr="00894A2F" w:rsidRDefault="00A95B82" w:rsidP="00A95B82">
      <w:pPr>
        <w:spacing w:before="720"/>
        <w:jc w:val="center"/>
      </w:pPr>
      <w:r>
        <w:t>______________</w:t>
      </w:r>
    </w:p>
    <w:sectPr w:rsidR="00A95B82" w:rsidRPr="00894A2F" w:rsidSect="00CF629C">
      <w:headerReference w:type="default" r:id="rId31"/>
      <w:footerReference w:type="default" r:id="rId32"/>
      <w:footerReference w:type="first" r:id="rId3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D2" w:rsidRDefault="004A32D2">
      <w:r>
        <w:separator/>
      </w:r>
    </w:p>
  </w:endnote>
  <w:endnote w:type="continuationSeparator" w:id="0">
    <w:p w:rsidR="004A32D2" w:rsidRDefault="004A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Pr="00E72505" w:rsidRDefault="004A32D2" w:rsidP="001B34F4">
    <w:pPr>
      <w:pStyle w:val="Footer"/>
      <w:rPr>
        <w:color w:val="D9D9D9" w:themeColor="background1" w:themeShade="D9"/>
        <w:lang w:val="fr-CH"/>
      </w:rPr>
    </w:pPr>
    <w:r w:rsidRPr="00E72505">
      <w:rPr>
        <w:color w:val="D9D9D9" w:themeColor="background1" w:themeShade="D9"/>
      </w:rPr>
      <w:fldChar w:fldCharType="begin"/>
    </w:r>
    <w:r w:rsidRPr="00E72505">
      <w:rPr>
        <w:color w:val="D9D9D9" w:themeColor="background1" w:themeShade="D9"/>
        <w:lang w:val="fr-CH"/>
      </w:rPr>
      <w:instrText xml:space="preserve"> FILENAME \p  \* MERGEFORMAT </w:instrText>
    </w:r>
    <w:r w:rsidRPr="00E72505">
      <w:rPr>
        <w:color w:val="D9D9D9" w:themeColor="background1" w:themeShade="D9"/>
      </w:rPr>
      <w:fldChar w:fldCharType="separate"/>
    </w:r>
    <w:r w:rsidR="001B34F4" w:rsidRPr="00E72505">
      <w:rPr>
        <w:color w:val="D9D9D9" w:themeColor="background1" w:themeShade="D9"/>
        <w:lang w:val="fr-CH"/>
      </w:rPr>
      <w:t>P:\RUS\SG\CONSEIL\C17\000\047R.docx</w:t>
    </w:r>
    <w:r w:rsidRPr="00E72505">
      <w:rPr>
        <w:color w:val="D9D9D9" w:themeColor="background1" w:themeShade="D9"/>
      </w:rPr>
      <w:fldChar w:fldCharType="end"/>
    </w:r>
    <w:r w:rsidR="001B34F4" w:rsidRPr="00E72505">
      <w:rPr>
        <w:color w:val="D9D9D9" w:themeColor="background1" w:themeShade="D9"/>
        <w:lang w:val="fr-CH"/>
      </w:rPr>
      <w:t xml:space="preserve"> (409497)</w:t>
    </w:r>
    <w:r w:rsidR="001B34F4" w:rsidRPr="00E72505">
      <w:rPr>
        <w:color w:val="D9D9D9" w:themeColor="background1" w:themeShade="D9"/>
        <w:lang w:val="fr-CH"/>
      </w:rPr>
      <w:tab/>
    </w:r>
    <w:r w:rsidR="001B34F4" w:rsidRPr="00E72505">
      <w:rPr>
        <w:color w:val="D9D9D9" w:themeColor="background1" w:themeShade="D9"/>
      </w:rPr>
      <w:fldChar w:fldCharType="begin"/>
    </w:r>
    <w:r w:rsidR="001B34F4" w:rsidRPr="00E72505">
      <w:rPr>
        <w:color w:val="D9D9D9" w:themeColor="background1" w:themeShade="D9"/>
      </w:rPr>
      <w:instrText xml:space="preserve"> SAVEDATE \@ DD.MM.YY </w:instrText>
    </w:r>
    <w:r w:rsidR="001B34F4" w:rsidRPr="00E72505">
      <w:rPr>
        <w:color w:val="D9D9D9" w:themeColor="background1" w:themeShade="D9"/>
      </w:rPr>
      <w:fldChar w:fldCharType="separate"/>
    </w:r>
    <w:r w:rsidR="00E72505" w:rsidRPr="00E72505">
      <w:rPr>
        <w:color w:val="D9D9D9" w:themeColor="background1" w:themeShade="D9"/>
      </w:rPr>
      <w:t>07.05.17</w:t>
    </w:r>
    <w:r w:rsidR="001B34F4" w:rsidRPr="00E72505">
      <w:rPr>
        <w:color w:val="D9D9D9" w:themeColor="background1" w:themeShade="D9"/>
      </w:rPr>
      <w:fldChar w:fldCharType="end"/>
    </w:r>
    <w:r w:rsidR="001B34F4" w:rsidRPr="00E72505">
      <w:rPr>
        <w:color w:val="D9D9D9" w:themeColor="background1" w:themeShade="D9"/>
        <w:lang w:val="fr-CH"/>
      </w:rPr>
      <w:tab/>
    </w:r>
    <w:r w:rsidR="001B34F4" w:rsidRPr="00E72505">
      <w:rPr>
        <w:color w:val="D9D9D9" w:themeColor="background1" w:themeShade="D9"/>
      </w:rPr>
      <w:fldChar w:fldCharType="begin"/>
    </w:r>
    <w:r w:rsidR="001B34F4" w:rsidRPr="00E72505">
      <w:rPr>
        <w:color w:val="D9D9D9" w:themeColor="background1" w:themeShade="D9"/>
      </w:rPr>
      <w:instrText xml:space="preserve"> PRINTDATE \@ DD.MM.YY </w:instrText>
    </w:r>
    <w:r w:rsidR="001B34F4" w:rsidRPr="00E72505">
      <w:rPr>
        <w:color w:val="D9D9D9" w:themeColor="background1" w:themeShade="D9"/>
      </w:rPr>
      <w:fldChar w:fldCharType="separate"/>
    </w:r>
    <w:r w:rsidR="001B34F4" w:rsidRPr="00E72505">
      <w:rPr>
        <w:color w:val="D9D9D9" w:themeColor="background1" w:themeShade="D9"/>
      </w:rPr>
      <w:t>14.02.17</w:t>
    </w:r>
    <w:r w:rsidR="001B34F4" w:rsidRPr="00E7250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>
    <w:pPr>
      <w:spacing w:after="120"/>
      <w:jc w:val="center"/>
    </w:pPr>
    <w:r>
      <w:t xml:space="preserve">• </w:t>
    </w:r>
    <w:hyperlink r:id="rId1">
      <w:r>
        <w:rPr>
          <w:rStyle w:val="Hyperlink"/>
        </w:rPr>
        <w:t>http://www.itu.int/council</w:t>
      </w:r>
    </w:hyperlink>
    <w:r>
      <w:t xml:space="preserve"> •</w:t>
    </w:r>
  </w:p>
  <w:p w:rsidR="004F250D" w:rsidRPr="00E72505" w:rsidRDefault="0087041B" w:rsidP="001B34F4">
    <w:pPr>
      <w:pStyle w:val="Footer"/>
      <w:rPr>
        <w:color w:val="D9D9D9" w:themeColor="background1" w:themeShade="D9"/>
        <w:lang w:val="fr-CH"/>
      </w:rPr>
    </w:pPr>
    <w:r w:rsidRPr="00E72505">
      <w:rPr>
        <w:color w:val="D9D9D9" w:themeColor="background1" w:themeShade="D9"/>
      </w:rPr>
      <w:fldChar w:fldCharType="begin"/>
    </w:r>
    <w:r w:rsidRPr="00E72505">
      <w:rPr>
        <w:color w:val="D9D9D9" w:themeColor="background1" w:themeShade="D9"/>
        <w:lang w:val="fr-CH"/>
      </w:rPr>
      <w:instrText xml:space="preserve"> FILENAME \p  \* MERGEFORMAT </w:instrText>
    </w:r>
    <w:r w:rsidRPr="00E72505">
      <w:rPr>
        <w:color w:val="D9D9D9" w:themeColor="background1" w:themeShade="D9"/>
      </w:rPr>
      <w:fldChar w:fldCharType="separate"/>
    </w:r>
    <w:r w:rsidR="001B34F4" w:rsidRPr="00E72505">
      <w:rPr>
        <w:color w:val="D9D9D9" w:themeColor="background1" w:themeShade="D9"/>
        <w:lang w:val="fr-CH"/>
      </w:rPr>
      <w:t>P:\RUS\SG\CONSEIL\C17\000\047R.docx</w:t>
    </w:r>
    <w:r w:rsidRPr="00E72505">
      <w:rPr>
        <w:color w:val="D9D9D9" w:themeColor="background1" w:themeShade="D9"/>
      </w:rPr>
      <w:fldChar w:fldCharType="end"/>
    </w:r>
    <w:r w:rsidRPr="00E72505">
      <w:rPr>
        <w:color w:val="D9D9D9" w:themeColor="background1" w:themeShade="D9"/>
        <w:lang w:val="fr-CH"/>
      </w:rPr>
      <w:t xml:space="preserve"> (409497)</w:t>
    </w:r>
    <w:r w:rsidRPr="00E72505">
      <w:rPr>
        <w:color w:val="D9D9D9" w:themeColor="background1" w:themeShade="D9"/>
        <w:lang w:val="fr-CH"/>
      </w:rPr>
      <w:tab/>
    </w:r>
    <w:r w:rsidR="004F250D" w:rsidRPr="00E72505">
      <w:rPr>
        <w:color w:val="D9D9D9" w:themeColor="background1" w:themeShade="D9"/>
      </w:rPr>
      <w:fldChar w:fldCharType="begin"/>
    </w:r>
    <w:r w:rsidR="004F250D" w:rsidRPr="00E72505">
      <w:rPr>
        <w:color w:val="D9D9D9" w:themeColor="background1" w:themeShade="D9"/>
      </w:rPr>
      <w:instrText xml:space="preserve"> SAVEDATE \@ DD.MM.YY </w:instrText>
    </w:r>
    <w:r w:rsidR="004F250D" w:rsidRPr="00E72505">
      <w:rPr>
        <w:color w:val="D9D9D9" w:themeColor="background1" w:themeShade="D9"/>
      </w:rPr>
      <w:fldChar w:fldCharType="separate"/>
    </w:r>
    <w:r w:rsidR="00E72505" w:rsidRPr="00E72505">
      <w:rPr>
        <w:color w:val="D9D9D9" w:themeColor="background1" w:themeShade="D9"/>
      </w:rPr>
      <w:t>07.05.17</w:t>
    </w:r>
    <w:r w:rsidR="004F250D" w:rsidRPr="00E72505">
      <w:rPr>
        <w:color w:val="D9D9D9" w:themeColor="background1" w:themeShade="D9"/>
      </w:rPr>
      <w:fldChar w:fldCharType="end"/>
    </w:r>
    <w:r w:rsidRPr="00E72505">
      <w:rPr>
        <w:color w:val="D9D9D9" w:themeColor="background1" w:themeShade="D9"/>
        <w:lang w:val="fr-CH"/>
      </w:rPr>
      <w:tab/>
    </w:r>
    <w:r w:rsidR="004F250D" w:rsidRPr="00E72505">
      <w:rPr>
        <w:color w:val="D9D9D9" w:themeColor="background1" w:themeShade="D9"/>
      </w:rPr>
      <w:fldChar w:fldCharType="begin"/>
    </w:r>
    <w:r w:rsidR="004F250D" w:rsidRPr="00E72505">
      <w:rPr>
        <w:color w:val="D9D9D9" w:themeColor="background1" w:themeShade="D9"/>
      </w:rPr>
      <w:instrText xml:space="preserve"> PRINTDATE \@ DD.MM.YY </w:instrText>
    </w:r>
    <w:r w:rsidR="004F250D" w:rsidRPr="00E72505">
      <w:rPr>
        <w:color w:val="D9D9D9" w:themeColor="background1" w:themeShade="D9"/>
      </w:rPr>
      <w:fldChar w:fldCharType="separate"/>
    </w:r>
    <w:r w:rsidR="001B34F4" w:rsidRPr="00E72505">
      <w:rPr>
        <w:color w:val="D9D9D9" w:themeColor="background1" w:themeShade="D9"/>
      </w:rPr>
      <w:t>14.02.17</w:t>
    </w:r>
    <w:r w:rsidR="004F250D" w:rsidRPr="00E7250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D2" w:rsidRDefault="004A32D2">
      <w:r>
        <w:t>____________________</w:t>
      </w:r>
    </w:p>
  </w:footnote>
  <w:footnote w:type="continuationSeparator" w:id="0">
    <w:p w:rsidR="004A32D2" w:rsidRDefault="004A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0D" w:rsidRDefault="004F250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72505">
      <w:rPr>
        <w:noProof/>
      </w:rPr>
      <w:t>5</w:t>
    </w:r>
    <w:r>
      <w:rPr>
        <w:noProof/>
      </w:rPr>
      <w:fldChar w:fldCharType="end"/>
    </w:r>
  </w:p>
  <w:p w:rsidR="004F250D" w:rsidRDefault="004F250D" w:rsidP="001B34F4">
    <w:pPr>
      <w:pStyle w:val="Header"/>
      <w:spacing w:after="480"/>
    </w:pPr>
    <w:r>
      <w:t>C17/47-R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1538F8"/>
    <w:multiLevelType w:val="hybridMultilevel"/>
    <w:tmpl w:val="1C36A32C"/>
    <w:lvl w:ilvl="0" w:tplc="C15676CE">
      <w:numFmt w:val="bullet"/>
      <w:lvlText w:val="•"/>
      <w:lvlJc w:val="left"/>
      <w:pPr>
        <w:ind w:left="1210" w:hanging="502"/>
      </w:pPr>
      <w:rPr>
        <w:rFonts w:asciiTheme="minorHAnsi" w:eastAsia="Times New Roman" w:hAnsiTheme="minorHAnsi" w:cs="Times New Roman" w:hint="default"/>
      </w:rPr>
    </w:lvl>
    <w:lvl w:ilvl="1" w:tplc="629E9D3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3FA09A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9CB272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1CCC23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1C86A9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2FCAEF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D9AEF8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92CC08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2183E"/>
    <w:rsid w:val="000465EA"/>
    <w:rsid w:val="000569B4"/>
    <w:rsid w:val="00080E82"/>
    <w:rsid w:val="000D2E5C"/>
    <w:rsid w:val="000E568E"/>
    <w:rsid w:val="000F0E9C"/>
    <w:rsid w:val="001054D9"/>
    <w:rsid w:val="0014734F"/>
    <w:rsid w:val="0015710D"/>
    <w:rsid w:val="00163A32"/>
    <w:rsid w:val="00164C9A"/>
    <w:rsid w:val="00192B41"/>
    <w:rsid w:val="001A3046"/>
    <w:rsid w:val="001B34F4"/>
    <w:rsid w:val="001B7B09"/>
    <w:rsid w:val="001D3CF4"/>
    <w:rsid w:val="001E6719"/>
    <w:rsid w:val="00225368"/>
    <w:rsid w:val="00227FF0"/>
    <w:rsid w:val="00244F30"/>
    <w:rsid w:val="00271F78"/>
    <w:rsid w:val="002840FF"/>
    <w:rsid w:val="00291EB6"/>
    <w:rsid w:val="002D2F57"/>
    <w:rsid w:val="002D48C5"/>
    <w:rsid w:val="002E2DB1"/>
    <w:rsid w:val="00311F5A"/>
    <w:rsid w:val="00324F07"/>
    <w:rsid w:val="00337164"/>
    <w:rsid w:val="003B5527"/>
    <w:rsid w:val="003F099E"/>
    <w:rsid w:val="003F235E"/>
    <w:rsid w:val="004023E0"/>
    <w:rsid w:val="00403DD8"/>
    <w:rsid w:val="0045686C"/>
    <w:rsid w:val="00462A03"/>
    <w:rsid w:val="004918C4"/>
    <w:rsid w:val="004A32D2"/>
    <w:rsid w:val="004A45B5"/>
    <w:rsid w:val="004D0129"/>
    <w:rsid w:val="004F250D"/>
    <w:rsid w:val="0052226D"/>
    <w:rsid w:val="005A64D5"/>
    <w:rsid w:val="005D4E6F"/>
    <w:rsid w:val="00601994"/>
    <w:rsid w:val="00603453"/>
    <w:rsid w:val="00613129"/>
    <w:rsid w:val="00684300"/>
    <w:rsid w:val="00690F6F"/>
    <w:rsid w:val="006E2D42"/>
    <w:rsid w:val="00703676"/>
    <w:rsid w:val="00707304"/>
    <w:rsid w:val="00732269"/>
    <w:rsid w:val="00750043"/>
    <w:rsid w:val="0077267A"/>
    <w:rsid w:val="00785ABD"/>
    <w:rsid w:val="0079331A"/>
    <w:rsid w:val="007A0B3C"/>
    <w:rsid w:val="007A2DD4"/>
    <w:rsid w:val="007D37E3"/>
    <w:rsid w:val="007D38B5"/>
    <w:rsid w:val="007E7EA0"/>
    <w:rsid w:val="00807255"/>
    <w:rsid w:val="0081023E"/>
    <w:rsid w:val="00812D3B"/>
    <w:rsid w:val="008173AA"/>
    <w:rsid w:val="00840A14"/>
    <w:rsid w:val="008634B6"/>
    <w:rsid w:val="0087041B"/>
    <w:rsid w:val="00894A2F"/>
    <w:rsid w:val="008965C9"/>
    <w:rsid w:val="008B0EBD"/>
    <w:rsid w:val="008B3EA4"/>
    <w:rsid w:val="008D2D7B"/>
    <w:rsid w:val="008D57DE"/>
    <w:rsid w:val="008E0737"/>
    <w:rsid w:val="008E4FD8"/>
    <w:rsid w:val="008F37FB"/>
    <w:rsid w:val="008F7C2C"/>
    <w:rsid w:val="009324B7"/>
    <w:rsid w:val="00940E96"/>
    <w:rsid w:val="00976521"/>
    <w:rsid w:val="009B0BAE"/>
    <w:rsid w:val="009C1C89"/>
    <w:rsid w:val="009D6FF9"/>
    <w:rsid w:val="00A341F7"/>
    <w:rsid w:val="00A50BAB"/>
    <w:rsid w:val="00A71773"/>
    <w:rsid w:val="00A95B82"/>
    <w:rsid w:val="00AC55C2"/>
    <w:rsid w:val="00AE2C85"/>
    <w:rsid w:val="00AE5DA1"/>
    <w:rsid w:val="00B12A37"/>
    <w:rsid w:val="00B27578"/>
    <w:rsid w:val="00B63EF2"/>
    <w:rsid w:val="00B65230"/>
    <w:rsid w:val="00B72A95"/>
    <w:rsid w:val="00BA5750"/>
    <w:rsid w:val="00BB23D9"/>
    <w:rsid w:val="00BC0D39"/>
    <w:rsid w:val="00BC0D6B"/>
    <w:rsid w:val="00BC7BC0"/>
    <w:rsid w:val="00BD57B7"/>
    <w:rsid w:val="00BE63E2"/>
    <w:rsid w:val="00C12870"/>
    <w:rsid w:val="00C71B9D"/>
    <w:rsid w:val="00C90101"/>
    <w:rsid w:val="00C93C90"/>
    <w:rsid w:val="00CD2009"/>
    <w:rsid w:val="00CE798C"/>
    <w:rsid w:val="00CF629C"/>
    <w:rsid w:val="00D10F3C"/>
    <w:rsid w:val="00D74F9E"/>
    <w:rsid w:val="00D838EC"/>
    <w:rsid w:val="00D92EEA"/>
    <w:rsid w:val="00DA5D4E"/>
    <w:rsid w:val="00DB6EE6"/>
    <w:rsid w:val="00DC2A28"/>
    <w:rsid w:val="00E049D6"/>
    <w:rsid w:val="00E07EAF"/>
    <w:rsid w:val="00E176BA"/>
    <w:rsid w:val="00E2577F"/>
    <w:rsid w:val="00E41948"/>
    <w:rsid w:val="00E423EC"/>
    <w:rsid w:val="00E72505"/>
    <w:rsid w:val="00E73548"/>
    <w:rsid w:val="00EC6BC5"/>
    <w:rsid w:val="00EE3DA5"/>
    <w:rsid w:val="00EF4396"/>
    <w:rsid w:val="00F1250A"/>
    <w:rsid w:val="00F35898"/>
    <w:rsid w:val="00F5225B"/>
    <w:rsid w:val="00F941D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A95B8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0D2E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D2E5C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pub/T-RES-T.75-2016" TargetMode="External"/><Relationship Id="rId18" Type="http://schemas.openxmlformats.org/officeDocument/2006/relationships/hyperlink" Target="http://www.wsis.org/stocktaking" TargetMode="External"/><Relationship Id="rId26" Type="http://schemas.openxmlformats.org/officeDocument/2006/relationships/hyperlink" Target="http://www.itu.int/ict4sd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en/sustainable-world/Pages/default.asp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113/en" TargetMode="External"/><Relationship Id="rId17" Type="http://schemas.openxmlformats.org/officeDocument/2006/relationships/hyperlink" Target="http://www.wsis.org/sdgs" TargetMode="External"/><Relationship Id="rId25" Type="http://schemas.openxmlformats.org/officeDocument/2006/relationships/hyperlink" Target="http://www.itu.int/en/sustainable-world/Pages/goal1.aspx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wsis/Pages/Contribution.aspx" TargetMode="External"/><Relationship Id="rId20" Type="http://schemas.openxmlformats.org/officeDocument/2006/relationships/hyperlink" Target="http://web.itu.int/md/S16-CL-C-0127/en" TargetMode="External"/><Relationship Id="rId29" Type="http://schemas.openxmlformats.org/officeDocument/2006/relationships/hyperlink" Target="https://www.itu.int/md/S16-SG-CIR-006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7/en" TargetMode="External"/><Relationship Id="rId24" Type="http://schemas.openxmlformats.org/officeDocument/2006/relationships/hyperlink" Target="https://twitter.com/search?q=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wsis/Pages/Roadmaps.aspx" TargetMode="External"/><Relationship Id="rId23" Type="http://schemas.openxmlformats.org/officeDocument/2006/relationships/hyperlink" Target="https://itu4u.wordpress.com/category/sustainable-development-goals-sdgs/" TargetMode="External"/><Relationship Id="rId28" Type="http://schemas.openxmlformats.org/officeDocument/2006/relationships/hyperlink" Target="http://www.itu.int/wg-wsis" TargetMode="External"/><Relationship Id="rId10" Type="http://schemas.openxmlformats.org/officeDocument/2006/relationships/hyperlink" Target="http://www.itu.int/council/groups/wsis/docs/resolutions/PP10-Res-172.pdf" TargetMode="External"/><Relationship Id="rId19" Type="http://schemas.openxmlformats.org/officeDocument/2006/relationships/hyperlink" Target="http://www.wsis.org/foru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cwg-wsis/Documents/ITUPP14_RESOLUTION_140.pdf" TargetMode="External"/><Relationship Id="rId14" Type="http://schemas.openxmlformats.org/officeDocument/2006/relationships/hyperlink" Target="http://web.itu.int/md/S16-CL-C-0127/en" TargetMode="External"/><Relationship Id="rId22" Type="http://schemas.openxmlformats.org/officeDocument/2006/relationships/hyperlink" Target="https://www.youtube.com/watch?v=4764_NwlLAw" TargetMode="External"/><Relationship Id="rId27" Type="http://schemas.openxmlformats.org/officeDocument/2006/relationships/hyperlink" Target="https://www.itu.int/net4/CRM/SDG/" TargetMode="External"/><Relationship Id="rId30" Type="http://schemas.openxmlformats.org/officeDocument/2006/relationships/hyperlink" Target="http://www.itu.int/ict4sdg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A193-7A79-4106-B7DD-AD7E3FC2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5</Pages>
  <Words>1816</Words>
  <Characters>13380</Characters>
  <Application>Microsoft Office Word</Application>
  <DocSecurity>4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15166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report detailing the activities, actions, and engagements that the Union is undertaking in context to the WSIS Implementation and 2030 Agenda for Sustainable Development</dc:title>
  <dc:subject>Council 2017</dc:subject>
  <dc:creator>Olga Komissarova</dc:creator>
  <cp:keywords>C2017, C17</cp:keywords>
  <dc:description/>
  <cp:lastModifiedBy>Brouard, Ricarda</cp:lastModifiedBy>
  <cp:revision>2</cp:revision>
  <cp:lastPrinted>2017-02-14T10:49:00Z</cp:lastPrinted>
  <dcterms:created xsi:type="dcterms:W3CDTF">2017-05-08T14:01:00Z</dcterms:created>
  <dcterms:modified xsi:type="dcterms:W3CDTF">2017-05-08T14:01:00Z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