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85F54" w:rsidRPr="0092392D" w14:paraId="1E91507B" w14:textId="77777777">
        <w:trPr>
          <w:cantSplit/>
        </w:trPr>
        <w:tc>
          <w:tcPr>
            <w:tcW w:w="6912" w:type="dxa"/>
          </w:tcPr>
          <w:p w14:paraId="33E356B4" w14:textId="77777777" w:rsidR="00B85F54" w:rsidRPr="0092392D" w:rsidRDefault="00B85F54" w:rsidP="00B85F54">
            <w:pPr>
              <w:spacing w:before="360"/>
              <w:rPr>
                <w:lang w:val="fr-CH"/>
              </w:rPr>
            </w:pPr>
            <w:bookmarkStart w:id="0" w:name="dc06"/>
            <w:bookmarkEnd w:id="0"/>
            <w:r w:rsidRPr="00B85F54">
              <w:rPr>
                <w:b/>
                <w:bCs/>
                <w:sz w:val="30"/>
                <w:szCs w:val="30"/>
                <w:lang w:val="fr-CH"/>
              </w:rPr>
              <w:t>Conseil 2017</w:t>
            </w:r>
            <w:r w:rsidRPr="00B85F54">
              <w:rPr>
                <w:rFonts w:ascii="Verdana" w:hAnsi="Verdana"/>
                <w:b/>
                <w:bCs/>
                <w:sz w:val="26"/>
                <w:szCs w:val="26"/>
                <w:lang w:val="fr-CH"/>
              </w:rPr>
              <w:br/>
            </w:r>
            <w:r w:rsidRPr="00B85F54">
              <w:rPr>
                <w:b/>
                <w:bCs/>
                <w:szCs w:val="24"/>
                <w:lang w:val="fr-CH"/>
              </w:rPr>
              <w:t>Gen</w:t>
            </w:r>
            <w:r w:rsidRPr="00B85F54">
              <w:rPr>
                <w:b/>
                <w:bCs/>
                <w:szCs w:val="24"/>
                <w:lang w:val="en-US"/>
              </w:rPr>
              <w:t>ève</w:t>
            </w:r>
            <w:r w:rsidRPr="00B85F54">
              <w:rPr>
                <w:b/>
                <w:bCs/>
                <w:szCs w:val="24"/>
                <w:lang w:val="fr-CH"/>
              </w:rPr>
              <w:t>, 15-25 mai 2017</w:t>
            </w:r>
          </w:p>
        </w:tc>
        <w:tc>
          <w:tcPr>
            <w:tcW w:w="3261" w:type="dxa"/>
          </w:tcPr>
          <w:p w14:paraId="3382089D" w14:textId="77777777" w:rsidR="00B85F54" w:rsidRPr="0092392D" w:rsidRDefault="00B85F54" w:rsidP="00B85F54">
            <w:pPr>
              <w:spacing w:before="0"/>
              <w:jc w:val="right"/>
              <w:rPr>
                <w:lang w:val="fr-CH"/>
              </w:rPr>
            </w:pPr>
            <w:bookmarkStart w:id="1" w:name="ditulogo"/>
            <w:bookmarkEnd w:id="1"/>
            <w:r w:rsidRPr="00B85F54">
              <w:rPr>
                <w:rFonts w:cstheme="minorHAnsi"/>
                <w:b/>
                <w:bCs/>
                <w:noProof/>
                <w:lang w:val="en-US" w:eastAsia="zh-CN"/>
              </w:rPr>
              <w:drawing>
                <wp:inline distT="0" distB="0" distL="0" distR="0" wp14:anchorId="14F1C13A" wp14:editId="198E8824">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85F54" w:rsidRPr="0092392D" w14:paraId="0F547499" w14:textId="77777777" w:rsidTr="00EF41DD">
        <w:trPr>
          <w:cantSplit/>
          <w:trHeight w:val="20"/>
        </w:trPr>
        <w:tc>
          <w:tcPr>
            <w:tcW w:w="6912" w:type="dxa"/>
            <w:tcBorders>
              <w:bottom w:val="single" w:sz="12" w:space="0" w:color="auto"/>
            </w:tcBorders>
            <w:vAlign w:val="center"/>
          </w:tcPr>
          <w:p w14:paraId="47C94DEC" w14:textId="77777777" w:rsidR="00B85F54" w:rsidRPr="00361350" w:rsidRDefault="00B85F54" w:rsidP="004C37A9">
            <w:pPr>
              <w:spacing w:before="0"/>
              <w:rPr>
                <w:b/>
                <w:bCs/>
                <w:sz w:val="26"/>
                <w:szCs w:val="26"/>
                <w:lang w:val="fr-CH"/>
              </w:rPr>
            </w:pPr>
          </w:p>
        </w:tc>
        <w:tc>
          <w:tcPr>
            <w:tcW w:w="3261" w:type="dxa"/>
            <w:tcBorders>
              <w:bottom w:val="single" w:sz="12" w:space="0" w:color="auto"/>
            </w:tcBorders>
          </w:tcPr>
          <w:p w14:paraId="10BF20A8" w14:textId="77777777" w:rsidR="00B85F54" w:rsidRPr="0092392D" w:rsidRDefault="00B85F54" w:rsidP="00DF74DD">
            <w:pPr>
              <w:spacing w:before="0"/>
              <w:rPr>
                <w:b/>
                <w:bCs/>
              </w:rPr>
            </w:pPr>
          </w:p>
        </w:tc>
      </w:tr>
      <w:tr w:rsidR="00B85F54" w:rsidRPr="0092392D" w14:paraId="1DF97DE7" w14:textId="77777777">
        <w:trPr>
          <w:cantSplit/>
          <w:trHeight w:val="20"/>
        </w:trPr>
        <w:tc>
          <w:tcPr>
            <w:tcW w:w="6912" w:type="dxa"/>
            <w:tcBorders>
              <w:top w:val="single" w:sz="12" w:space="0" w:color="auto"/>
            </w:tcBorders>
          </w:tcPr>
          <w:p w14:paraId="3609C176" w14:textId="77777777" w:rsidR="00B85F54" w:rsidRPr="0092392D" w:rsidRDefault="00B85F54" w:rsidP="00DF74DD">
            <w:pPr>
              <w:spacing w:before="0"/>
              <w:rPr>
                <w:smallCaps/>
                <w:sz w:val="22"/>
                <w:lang w:val="fr-CH"/>
              </w:rPr>
            </w:pPr>
          </w:p>
        </w:tc>
        <w:tc>
          <w:tcPr>
            <w:tcW w:w="3261" w:type="dxa"/>
            <w:tcBorders>
              <w:top w:val="single" w:sz="12" w:space="0" w:color="auto"/>
            </w:tcBorders>
          </w:tcPr>
          <w:p w14:paraId="2F4FA854" w14:textId="77777777" w:rsidR="00B85F54" w:rsidRPr="0092392D" w:rsidRDefault="00B85F54" w:rsidP="00DF74DD">
            <w:pPr>
              <w:spacing w:before="0"/>
              <w:rPr>
                <w:b/>
                <w:bCs/>
              </w:rPr>
            </w:pPr>
          </w:p>
        </w:tc>
      </w:tr>
      <w:tr w:rsidR="00B85F54" w:rsidRPr="0092392D" w14:paraId="3D23DC62" w14:textId="77777777">
        <w:trPr>
          <w:cantSplit/>
          <w:trHeight w:val="20"/>
        </w:trPr>
        <w:tc>
          <w:tcPr>
            <w:tcW w:w="6912" w:type="dxa"/>
            <w:vMerge w:val="restart"/>
          </w:tcPr>
          <w:p w14:paraId="075FC32A" w14:textId="77777777" w:rsidR="00B85F54" w:rsidRPr="00B85F54" w:rsidRDefault="00B85F54" w:rsidP="003D3D8D">
            <w:pPr>
              <w:spacing w:before="0"/>
              <w:rPr>
                <w:rFonts w:cs="Times"/>
                <w:b/>
                <w:bCs/>
                <w:szCs w:val="24"/>
                <w:lang w:val="fr-CH"/>
              </w:rPr>
            </w:pPr>
            <w:bookmarkStart w:id="2" w:name="dnum" w:colFirst="1" w:colLast="1"/>
            <w:bookmarkStart w:id="3" w:name="dmeeting" w:colFirst="0" w:colLast="0"/>
            <w:r>
              <w:rPr>
                <w:rFonts w:cs="Times"/>
                <w:b/>
                <w:bCs/>
                <w:szCs w:val="24"/>
                <w:lang w:val="fr-CH"/>
              </w:rPr>
              <w:t>Point de l</w:t>
            </w:r>
            <w:r w:rsidR="00CC08A3">
              <w:rPr>
                <w:rFonts w:cs="Times"/>
                <w:b/>
                <w:bCs/>
                <w:szCs w:val="24"/>
                <w:lang w:val="fr-CH"/>
              </w:rPr>
              <w:t>'</w:t>
            </w:r>
            <w:r>
              <w:rPr>
                <w:rFonts w:cs="Times"/>
                <w:b/>
                <w:bCs/>
                <w:szCs w:val="24"/>
                <w:lang w:val="fr-CH"/>
              </w:rPr>
              <w:t xml:space="preserve">ordre du jour: </w:t>
            </w:r>
            <w:r w:rsidR="003D3D8D">
              <w:rPr>
                <w:rFonts w:cs="Times"/>
                <w:b/>
                <w:bCs/>
                <w:szCs w:val="24"/>
                <w:lang w:val="fr-CH"/>
              </w:rPr>
              <w:t>ADM 16</w:t>
            </w:r>
          </w:p>
        </w:tc>
        <w:tc>
          <w:tcPr>
            <w:tcW w:w="3261" w:type="dxa"/>
          </w:tcPr>
          <w:p w14:paraId="7FCED73B" w14:textId="77777777" w:rsidR="00B85F54" w:rsidRPr="00B85F54" w:rsidRDefault="00B85F54" w:rsidP="003D3D8D">
            <w:pPr>
              <w:spacing w:before="0"/>
              <w:rPr>
                <w:b/>
                <w:bCs/>
              </w:rPr>
            </w:pPr>
            <w:r>
              <w:rPr>
                <w:b/>
                <w:bCs/>
              </w:rPr>
              <w:t>Document C17/</w:t>
            </w:r>
            <w:r w:rsidR="003D3D8D">
              <w:rPr>
                <w:b/>
                <w:bCs/>
              </w:rPr>
              <w:t>46</w:t>
            </w:r>
            <w:r>
              <w:rPr>
                <w:b/>
                <w:bCs/>
              </w:rPr>
              <w:t>-F</w:t>
            </w:r>
          </w:p>
        </w:tc>
      </w:tr>
      <w:tr w:rsidR="00B85F54" w:rsidRPr="0092392D" w14:paraId="46CD1858" w14:textId="77777777">
        <w:trPr>
          <w:cantSplit/>
          <w:trHeight w:val="20"/>
        </w:trPr>
        <w:tc>
          <w:tcPr>
            <w:tcW w:w="6912" w:type="dxa"/>
            <w:vMerge/>
          </w:tcPr>
          <w:p w14:paraId="23CA6F73" w14:textId="77777777" w:rsidR="00B85F54" w:rsidRPr="0092392D" w:rsidRDefault="00B85F54" w:rsidP="00DF74DD">
            <w:pPr>
              <w:shd w:val="solid" w:color="FFFFFF" w:fill="FFFFFF"/>
              <w:spacing w:before="180"/>
              <w:rPr>
                <w:smallCaps/>
                <w:lang w:val="fr-CH"/>
              </w:rPr>
            </w:pPr>
            <w:bookmarkStart w:id="4" w:name="ddate" w:colFirst="1" w:colLast="1"/>
            <w:bookmarkEnd w:id="2"/>
            <w:bookmarkEnd w:id="3"/>
          </w:p>
        </w:tc>
        <w:tc>
          <w:tcPr>
            <w:tcW w:w="3261" w:type="dxa"/>
          </w:tcPr>
          <w:p w14:paraId="28224C12" w14:textId="77777777" w:rsidR="00B85F54" w:rsidRPr="00B85F54" w:rsidRDefault="003D3D8D" w:rsidP="00B85F54">
            <w:pPr>
              <w:spacing w:before="0"/>
              <w:rPr>
                <w:b/>
                <w:bCs/>
              </w:rPr>
            </w:pPr>
            <w:r>
              <w:rPr>
                <w:b/>
                <w:bCs/>
              </w:rPr>
              <w:t>31 mars</w:t>
            </w:r>
            <w:r w:rsidR="00B85F54">
              <w:rPr>
                <w:b/>
                <w:bCs/>
              </w:rPr>
              <w:t xml:space="preserve"> 2017</w:t>
            </w:r>
          </w:p>
        </w:tc>
      </w:tr>
      <w:tr w:rsidR="00B85F54" w:rsidRPr="0092392D" w14:paraId="11E2C21B" w14:textId="77777777">
        <w:trPr>
          <w:cantSplit/>
          <w:trHeight w:val="20"/>
        </w:trPr>
        <w:tc>
          <w:tcPr>
            <w:tcW w:w="6912" w:type="dxa"/>
            <w:vMerge/>
          </w:tcPr>
          <w:p w14:paraId="452BBE96" w14:textId="77777777" w:rsidR="00B85F54" w:rsidRPr="0092392D" w:rsidRDefault="00B85F54" w:rsidP="00DF74DD">
            <w:pPr>
              <w:shd w:val="solid" w:color="FFFFFF" w:fill="FFFFFF"/>
              <w:spacing w:before="180"/>
              <w:rPr>
                <w:smallCaps/>
                <w:lang w:val="fr-CH"/>
              </w:rPr>
            </w:pPr>
            <w:bookmarkStart w:id="5" w:name="dorlang" w:colFirst="1" w:colLast="1"/>
            <w:bookmarkEnd w:id="4"/>
          </w:p>
        </w:tc>
        <w:tc>
          <w:tcPr>
            <w:tcW w:w="3261" w:type="dxa"/>
          </w:tcPr>
          <w:p w14:paraId="3A3B596F" w14:textId="77777777" w:rsidR="00B85F54" w:rsidRPr="00B85F54" w:rsidRDefault="00B85F54" w:rsidP="00B85F54">
            <w:pPr>
              <w:spacing w:before="0"/>
              <w:rPr>
                <w:b/>
                <w:bCs/>
              </w:rPr>
            </w:pPr>
            <w:r>
              <w:rPr>
                <w:b/>
                <w:bCs/>
              </w:rPr>
              <w:t>Original: anglais</w:t>
            </w:r>
          </w:p>
        </w:tc>
      </w:tr>
      <w:tr w:rsidR="00B85F54" w:rsidRPr="0092392D" w14:paraId="2063A4D4" w14:textId="77777777">
        <w:trPr>
          <w:cantSplit/>
        </w:trPr>
        <w:tc>
          <w:tcPr>
            <w:tcW w:w="10173" w:type="dxa"/>
            <w:gridSpan w:val="2"/>
          </w:tcPr>
          <w:p w14:paraId="433D43ED" w14:textId="77777777" w:rsidR="00B85F54" w:rsidRPr="0092392D" w:rsidRDefault="0065474B" w:rsidP="00DF74DD">
            <w:pPr>
              <w:pStyle w:val="Source"/>
            </w:pPr>
            <w:bookmarkStart w:id="6" w:name="dsource" w:colFirst="0" w:colLast="0"/>
            <w:bookmarkEnd w:id="5"/>
            <w:r w:rsidRPr="004131F5">
              <w:t>Rapport du Secrétaire général</w:t>
            </w:r>
          </w:p>
        </w:tc>
      </w:tr>
      <w:tr w:rsidR="00B85F54" w:rsidRPr="0092392D" w14:paraId="729FDED1" w14:textId="77777777">
        <w:trPr>
          <w:cantSplit/>
        </w:trPr>
        <w:tc>
          <w:tcPr>
            <w:tcW w:w="10173" w:type="dxa"/>
            <w:gridSpan w:val="2"/>
          </w:tcPr>
          <w:p w14:paraId="29B728AB" w14:textId="77777777" w:rsidR="00B85F54" w:rsidRPr="0092392D" w:rsidRDefault="003D3D8D" w:rsidP="003D3D8D">
            <w:pPr>
              <w:pStyle w:val="Title1"/>
            </w:pPr>
            <w:bookmarkStart w:id="7" w:name="dtitle1" w:colFirst="0" w:colLast="0"/>
            <w:bookmarkEnd w:id="6"/>
            <w:r>
              <w:rPr>
                <w:caps w:val="0"/>
              </w:rPr>
              <w:t>PASSIFS DE L'ASSURANCE MALADIE APRÈS LA CESSATION DE SERVICE (ASHI)</w:t>
            </w:r>
          </w:p>
        </w:tc>
      </w:tr>
      <w:bookmarkEnd w:id="7"/>
    </w:tbl>
    <w:p w14:paraId="7A33E8B1" w14:textId="77777777" w:rsidR="003D3D8D" w:rsidRPr="0092392D" w:rsidRDefault="003D3D8D" w:rsidP="003D3D8D">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D3D8D" w:rsidRPr="0092392D" w14:paraId="0FF50BC7" w14:textId="77777777" w:rsidTr="00EA4804">
        <w:trPr>
          <w:trHeight w:val="3372"/>
        </w:trPr>
        <w:tc>
          <w:tcPr>
            <w:tcW w:w="8080" w:type="dxa"/>
            <w:tcBorders>
              <w:top w:val="single" w:sz="12" w:space="0" w:color="auto"/>
              <w:left w:val="single" w:sz="12" w:space="0" w:color="auto"/>
              <w:bottom w:val="single" w:sz="12" w:space="0" w:color="auto"/>
              <w:right w:val="single" w:sz="12" w:space="0" w:color="auto"/>
            </w:tcBorders>
          </w:tcPr>
          <w:p w14:paraId="3472B661" w14:textId="77777777" w:rsidR="003D3D8D" w:rsidRPr="0092392D" w:rsidRDefault="003D3D8D" w:rsidP="00EA4804">
            <w:pPr>
              <w:pStyle w:val="Headingb"/>
              <w:rPr>
                <w:lang w:val="fr-CH"/>
              </w:rPr>
            </w:pPr>
            <w:r w:rsidRPr="0092392D">
              <w:rPr>
                <w:lang w:val="fr-CH"/>
              </w:rPr>
              <w:t>Résumé</w:t>
            </w:r>
          </w:p>
          <w:p w14:paraId="2FCB6641" w14:textId="77777777" w:rsidR="003D3D8D" w:rsidRPr="0092392D" w:rsidRDefault="003D3D8D" w:rsidP="003D3D8D">
            <w:pPr>
              <w:rPr>
                <w:lang w:val="fr-CH"/>
              </w:rPr>
            </w:pPr>
            <w:bookmarkStart w:id="8" w:name="_GoBack"/>
            <w:r w:rsidRPr="0044520D">
              <w:rPr>
                <w:lang w:val="fr-CH"/>
              </w:rPr>
              <w:t>Le présent document fait le point sur la situation concernant les passifs de l</w:t>
            </w:r>
            <w:r>
              <w:rPr>
                <w:lang w:val="fr-CH"/>
              </w:rPr>
              <w:t>'A</w:t>
            </w:r>
            <w:r w:rsidRPr="0044520D">
              <w:rPr>
                <w:lang w:val="fr-CH"/>
              </w:rPr>
              <w:t>ssurance maladie après la cessation de service (ASHI) au 31 décembre 201</w:t>
            </w:r>
            <w:r>
              <w:rPr>
                <w:lang w:val="fr-CH"/>
              </w:rPr>
              <w:t>6</w:t>
            </w:r>
            <w:r w:rsidRPr="0044520D">
              <w:rPr>
                <w:lang w:val="fr-CH"/>
              </w:rPr>
              <w:t>, conformément à une demande formulée par le Conseil à sa session de 2014 pour que l</w:t>
            </w:r>
            <w:r>
              <w:rPr>
                <w:lang w:val="fr-CH"/>
              </w:rPr>
              <w:t>'</w:t>
            </w:r>
            <w:r w:rsidRPr="0044520D">
              <w:rPr>
                <w:lang w:val="fr-CH"/>
              </w:rPr>
              <w:t xml:space="preserve">UIT lui soumette des rapports annuels sur les </w:t>
            </w:r>
            <w:r>
              <w:rPr>
                <w:lang w:val="fr-CH"/>
              </w:rPr>
              <w:t xml:space="preserve">passifs </w:t>
            </w:r>
            <w:r w:rsidRPr="0044520D">
              <w:rPr>
                <w:lang w:val="fr-CH"/>
              </w:rPr>
              <w:t>de l</w:t>
            </w:r>
            <w:r>
              <w:rPr>
                <w:lang w:val="fr-CH"/>
              </w:rPr>
              <w:t>'</w:t>
            </w:r>
            <w:r w:rsidRPr="0044520D">
              <w:rPr>
                <w:lang w:val="fr-CH"/>
              </w:rPr>
              <w:t xml:space="preserve">ASHI et présente des propositions chiffrées pour financer une partie de ces </w:t>
            </w:r>
            <w:r>
              <w:rPr>
                <w:lang w:val="fr-CH"/>
              </w:rPr>
              <w:t>passifs</w:t>
            </w:r>
            <w:r w:rsidRPr="0044520D">
              <w:rPr>
                <w:lang w:val="fr-CH"/>
              </w:rPr>
              <w:t xml:space="preserve">, conformément à la Recommandation 6 formulée par le Vérificateur extérieur des comptes dans ses rapports sur les comptes </w:t>
            </w:r>
            <w:r>
              <w:rPr>
                <w:lang w:val="fr-CH"/>
              </w:rPr>
              <w:t>pour</w:t>
            </w:r>
            <w:r w:rsidRPr="0044520D">
              <w:rPr>
                <w:lang w:val="fr-CH"/>
              </w:rPr>
              <w:t xml:space="preserve"> l</w:t>
            </w:r>
            <w:r>
              <w:rPr>
                <w:lang w:val="fr-CH"/>
              </w:rPr>
              <w:t>'</w:t>
            </w:r>
            <w:r w:rsidRPr="0044520D">
              <w:rPr>
                <w:lang w:val="fr-CH"/>
              </w:rPr>
              <w:t>exercice 2012.</w:t>
            </w:r>
          </w:p>
          <w:bookmarkEnd w:id="8"/>
          <w:p w14:paraId="291E9C3D" w14:textId="77777777" w:rsidR="003D3D8D" w:rsidRPr="0092392D" w:rsidRDefault="003D3D8D" w:rsidP="00EA4804">
            <w:pPr>
              <w:pStyle w:val="Headingb"/>
              <w:rPr>
                <w:lang w:val="fr-CH"/>
              </w:rPr>
            </w:pPr>
            <w:r w:rsidRPr="0092392D">
              <w:rPr>
                <w:lang w:val="fr-CH"/>
              </w:rPr>
              <w:t>Suite à donner</w:t>
            </w:r>
          </w:p>
          <w:p w14:paraId="165C94B9" w14:textId="77777777" w:rsidR="003D3D8D" w:rsidRPr="0092392D" w:rsidRDefault="003D3D8D" w:rsidP="00EA4804">
            <w:pPr>
              <w:rPr>
                <w:lang w:val="fr-CH"/>
              </w:rPr>
            </w:pPr>
            <w:r w:rsidRPr="004D15B9">
              <w:t xml:space="preserve">Le Conseil est invité à </w:t>
            </w:r>
            <w:r>
              <w:rPr>
                <w:b/>
                <w:bCs/>
              </w:rPr>
              <w:t xml:space="preserve">prendre note </w:t>
            </w:r>
            <w:r>
              <w:t>du présent document.</w:t>
            </w:r>
          </w:p>
          <w:p w14:paraId="78C23866" w14:textId="77777777" w:rsidR="003D3D8D" w:rsidRPr="0092392D" w:rsidRDefault="003D3D8D" w:rsidP="00EA4804">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14:paraId="4DFA8DED" w14:textId="77777777" w:rsidR="003D3D8D" w:rsidRPr="0092392D" w:rsidRDefault="003D3D8D" w:rsidP="00EA4804">
            <w:pPr>
              <w:pStyle w:val="Headingb"/>
              <w:rPr>
                <w:lang w:val="fr-CH"/>
              </w:rPr>
            </w:pPr>
            <w:r w:rsidRPr="0092392D">
              <w:rPr>
                <w:lang w:val="fr-CH"/>
              </w:rPr>
              <w:t>Références</w:t>
            </w:r>
          </w:p>
          <w:p w14:paraId="20239417" w14:textId="77777777" w:rsidR="003D3D8D" w:rsidRPr="003733B9" w:rsidRDefault="003D3D8D" w:rsidP="003D3D8D">
            <w:pPr>
              <w:spacing w:after="60"/>
              <w:rPr>
                <w:i/>
                <w:iCs/>
                <w:lang w:val="fr-CH"/>
              </w:rPr>
            </w:pPr>
            <w:r w:rsidRPr="003733B9">
              <w:rPr>
                <w:i/>
                <w:iCs/>
              </w:rPr>
              <w:t>Documen</w:t>
            </w:r>
            <w:r w:rsidRPr="003733B9">
              <w:rPr>
                <w:i/>
                <w:iCs/>
                <w:szCs w:val="24"/>
                <w:lang w:val="fr-CH"/>
              </w:rPr>
              <w:t xml:space="preserve">t </w:t>
            </w:r>
            <w:hyperlink r:id="rId8" w:history="1">
              <w:r w:rsidRPr="003733B9">
                <w:rPr>
                  <w:rStyle w:val="Hyperlink"/>
                  <w:i/>
                  <w:iCs/>
                </w:rPr>
                <w:t>C</w:t>
              </w:r>
              <w:r w:rsidRPr="0004704F">
                <w:rPr>
                  <w:rStyle w:val="Hyperlink"/>
                  <w:i/>
                  <w:iCs/>
                  <w:lang w:val="fr-CH"/>
                </w:rPr>
                <w:t>1</w:t>
              </w:r>
              <w:r>
                <w:rPr>
                  <w:rStyle w:val="Hyperlink"/>
                  <w:i/>
                  <w:iCs/>
                  <w:lang w:val="fr-CH"/>
                </w:rPr>
                <w:t>6</w:t>
              </w:r>
              <w:r w:rsidRPr="0004704F">
                <w:rPr>
                  <w:rStyle w:val="Hyperlink"/>
                  <w:i/>
                  <w:iCs/>
                  <w:lang w:val="fr-CH"/>
                </w:rPr>
                <w:t>/</w:t>
              </w:r>
              <w:r>
                <w:rPr>
                  <w:rStyle w:val="Hyperlink"/>
                  <w:i/>
                  <w:iCs/>
                  <w:lang w:val="fr-CH"/>
                </w:rPr>
                <w:t>46</w:t>
              </w:r>
            </w:hyperlink>
            <w:r w:rsidRPr="0004704F">
              <w:rPr>
                <w:i/>
                <w:iCs/>
                <w:lang w:val="fr-CH"/>
              </w:rPr>
              <w:t xml:space="preserve"> </w:t>
            </w:r>
            <w:r w:rsidRPr="003733B9">
              <w:rPr>
                <w:i/>
                <w:iCs/>
              </w:rPr>
              <w:t>et</w:t>
            </w:r>
            <w:r w:rsidRPr="003733B9">
              <w:rPr>
                <w:i/>
                <w:iCs/>
                <w:szCs w:val="24"/>
                <w:lang w:val="fr-CH"/>
              </w:rPr>
              <w:t xml:space="preserve"> </w:t>
            </w:r>
            <w:hyperlink r:id="rId9" w:history="1">
              <w:r w:rsidRPr="003733B9">
                <w:rPr>
                  <w:rStyle w:val="Hyperlink"/>
                  <w:i/>
                  <w:iCs/>
                  <w:szCs w:val="24"/>
                  <w:lang w:val="fr-CH"/>
                </w:rPr>
                <w:t>Décision 5</w:t>
              </w:r>
            </w:hyperlink>
            <w:r w:rsidRPr="003733B9">
              <w:rPr>
                <w:i/>
                <w:iCs/>
              </w:rPr>
              <w:t xml:space="preserve"> (Rév. Busan, 2014) de la Conférence de plénipotentiaires</w:t>
            </w:r>
          </w:p>
        </w:tc>
      </w:tr>
    </w:tbl>
    <w:p w14:paraId="46D18777" w14:textId="77777777" w:rsidR="003D3D8D" w:rsidRPr="00F72BF7" w:rsidRDefault="003D3D8D" w:rsidP="003D3D8D">
      <w:pPr>
        <w:pStyle w:val="Heading1"/>
        <w:rPr>
          <w:lang w:val="fr-CH"/>
        </w:rPr>
      </w:pPr>
      <w:r w:rsidRPr="00F72BF7">
        <w:rPr>
          <w:lang w:val="fr-CH"/>
        </w:rPr>
        <w:t>1</w:t>
      </w:r>
      <w:r w:rsidRPr="00F72BF7">
        <w:rPr>
          <w:lang w:val="fr-CH"/>
        </w:rPr>
        <w:tab/>
        <w:t>Introduction</w:t>
      </w:r>
    </w:p>
    <w:p w14:paraId="6F46C694" w14:textId="77777777" w:rsidR="003D3D8D" w:rsidRPr="0044520D" w:rsidRDefault="003D3D8D" w:rsidP="003D3D8D">
      <w:pPr>
        <w:rPr>
          <w:lang w:val="fr-CH"/>
        </w:rPr>
      </w:pPr>
      <w:r w:rsidRPr="0044520D">
        <w:rPr>
          <w:lang w:val="fr-CH"/>
        </w:rPr>
        <w:t>1.1</w:t>
      </w:r>
      <w:r w:rsidRPr="0044520D">
        <w:rPr>
          <w:lang w:val="fr-CH"/>
        </w:rPr>
        <w:tab/>
        <w:t>L</w:t>
      </w:r>
      <w:r>
        <w:rPr>
          <w:lang w:val="fr-CH"/>
        </w:rPr>
        <w:t>'</w:t>
      </w:r>
      <w:r w:rsidRPr="0044520D">
        <w:rPr>
          <w:lang w:val="fr-CH"/>
        </w:rPr>
        <w:t>actif net de l</w:t>
      </w:r>
      <w:r>
        <w:rPr>
          <w:lang w:val="fr-CH"/>
        </w:rPr>
        <w:t>'</w:t>
      </w:r>
      <w:r w:rsidRPr="0044520D">
        <w:rPr>
          <w:lang w:val="fr-CH"/>
        </w:rPr>
        <w:t>UIT est passé d</w:t>
      </w:r>
      <w:r>
        <w:rPr>
          <w:lang w:val="fr-CH"/>
        </w:rPr>
        <w:t>'</w:t>
      </w:r>
      <w:r w:rsidRPr="0044520D">
        <w:rPr>
          <w:lang w:val="fr-CH"/>
        </w:rPr>
        <w:t xml:space="preserve">un solde positif à un solde négatif en raison du traitement des engagements </w:t>
      </w:r>
      <w:r>
        <w:rPr>
          <w:lang w:val="fr-CH"/>
        </w:rPr>
        <w:t>concernant</w:t>
      </w:r>
      <w:r w:rsidRPr="0044520D">
        <w:rPr>
          <w:lang w:val="fr-CH"/>
        </w:rPr>
        <w:t xml:space="preserve"> l</w:t>
      </w:r>
      <w:r>
        <w:rPr>
          <w:lang w:val="fr-CH"/>
        </w:rPr>
        <w:t>'</w:t>
      </w:r>
      <w:r w:rsidRPr="0044520D">
        <w:rPr>
          <w:lang w:val="fr-CH"/>
        </w:rPr>
        <w:t xml:space="preserve">assurance maladie après la cessation de service </w:t>
      </w:r>
      <w:r>
        <w:rPr>
          <w:lang w:val="fr-CH"/>
        </w:rPr>
        <w:t>(</w:t>
      </w:r>
      <w:r w:rsidRPr="0044520D">
        <w:rPr>
          <w:lang w:val="fr-CH"/>
        </w:rPr>
        <w:t>ASHI</w:t>
      </w:r>
      <w:r>
        <w:rPr>
          <w:lang w:val="fr-CH"/>
        </w:rPr>
        <w:t>)</w:t>
      </w:r>
      <w:r w:rsidRPr="0044520D">
        <w:rPr>
          <w:lang w:val="fr-CH"/>
        </w:rPr>
        <w:t xml:space="preserve"> conformément aux normes comptables pour le secteur public international </w:t>
      </w:r>
      <w:r>
        <w:rPr>
          <w:lang w:val="fr-CH"/>
        </w:rPr>
        <w:t>(</w:t>
      </w:r>
      <w:r w:rsidRPr="0044520D">
        <w:rPr>
          <w:lang w:val="fr-CH"/>
        </w:rPr>
        <w:t>IPSAS</w:t>
      </w:r>
      <w:r>
        <w:rPr>
          <w:lang w:val="fr-CH"/>
        </w:rPr>
        <w:t>)</w:t>
      </w:r>
      <w:r w:rsidRPr="0044520D">
        <w:rPr>
          <w:lang w:val="fr-CH"/>
        </w:rPr>
        <w:t>, entraînant l</w:t>
      </w:r>
      <w:r>
        <w:rPr>
          <w:lang w:val="fr-CH"/>
        </w:rPr>
        <w:t>'obligation de comptabiliser</w:t>
      </w:r>
      <w:r w:rsidRPr="0044520D">
        <w:rPr>
          <w:lang w:val="fr-CH"/>
        </w:rPr>
        <w:t xml:space="preserve"> la valeur actuelle des engagements futurs liés à </w:t>
      </w:r>
      <w:r>
        <w:rPr>
          <w:lang w:val="fr-CH"/>
        </w:rPr>
        <w:t>l'</w:t>
      </w:r>
      <w:r w:rsidRPr="0044520D">
        <w:rPr>
          <w:lang w:val="fr-CH"/>
        </w:rPr>
        <w:t>ASHI.</w:t>
      </w:r>
    </w:p>
    <w:p w14:paraId="093D209E" w14:textId="77777777" w:rsidR="003D3D8D" w:rsidRPr="0044520D" w:rsidRDefault="003D3D8D" w:rsidP="003D3D8D">
      <w:pPr>
        <w:rPr>
          <w:lang w:val="fr-CH"/>
        </w:rPr>
      </w:pPr>
      <w:r w:rsidRPr="0044520D">
        <w:rPr>
          <w:lang w:val="fr-CH"/>
        </w:rPr>
        <w:t>1.2</w:t>
      </w:r>
      <w:r w:rsidRPr="0044520D">
        <w:rPr>
          <w:lang w:val="fr-CH"/>
        </w:rPr>
        <w:tab/>
        <w:t>Le programme ASHI</w:t>
      </w:r>
      <w:r>
        <w:rPr>
          <w:lang w:val="fr-CH"/>
        </w:rPr>
        <w:t>,</w:t>
      </w:r>
      <w:r w:rsidRPr="0044520D">
        <w:rPr>
          <w:lang w:val="fr-CH"/>
        </w:rPr>
        <w:t xml:space="preserve"> programme autofinancé assurant le maintien de l</w:t>
      </w:r>
      <w:r>
        <w:rPr>
          <w:lang w:val="fr-CH"/>
        </w:rPr>
        <w:t>'</w:t>
      </w:r>
      <w:r w:rsidRPr="0044520D">
        <w:rPr>
          <w:lang w:val="fr-CH"/>
        </w:rPr>
        <w:t xml:space="preserve">assurance maladie après le départ à la retraite </w:t>
      </w:r>
      <w:r>
        <w:rPr>
          <w:lang w:val="fr-CH"/>
        </w:rPr>
        <w:t>pour les</w:t>
      </w:r>
      <w:r w:rsidRPr="0044520D">
        <w:rPr>
          <w:lang w:val="fr-CH"/>
        </w:rPr>
        <w:t xml:space="preserve"> fonctionnaires remplissant les conditions, a été créé en 1967. </w:t>
      </w:r>
      <w:r w:rsidRPr="00F72BF7">
        <w:rPr>
          <w:lang w:val="fr-CH"/>
        </w:rPr>
        <w:t>Depuis</w:t>
      </w:r>
      <w:r w:rsidRPr="0044520D">
        <w:rPr>
          <w:lang w:val="fr-CH"/>
        </w:rPr>
        <w:t>, les coûts correspondants répartis entre l</w:t>
      </w:r>
      <w:r>
        <w:rPr>
          <w:lang w:val="fr-CH"/>
        </w:rPr>
        <w:t>'</w:t>
      </w:r>
      <w:r w:rsidRPr="0044520D">
        <w:rPr>
          <w:lang w:val="fr-CH"/>
        </w:rPr>
        <w:t>Union et les fonctionnaires ont considérablement augmenté en raison de la hausse du nombre de retraités couverts et de l</w:t>
      </w:r>
      <w:r>
        <w:rPr>
          <w:lang w:val="fr-CH"/>
        </w:rPr>
        <w:t>'</w:t>
      </w:r>
      <w:r w:rsidRPr="0044520D">
        <w:rPr>
          <w:lang w:val="fr-CH"/>
        </w:rPr>
        <w:t xml:space="preserve">augmentation des </w:t>
      </w:r>
      <w:r>
        <w:rPr>
          <w:lang w:val="fr-CH"/>
        </w:rPr>
        <w:t xml:space="preserve">frais </w:t>
      </w:r>
      <w:r w:rsidRPr="0044520D">
        <w:rPr>
          <w:lang w:val="fr-CH"/>
        </w:rPr>
        <w:t>médicaux.</w:t>
      </w:r>
    </w:p>
    <w:p w14:paraId="091902D3" w14:textId="77777777" w:rsidR="003D3D8D" w:rsidRPr="0044520D" w:rsidRDefault="003D3D8D" w:rsidP="003D3D8D">
      <w:pPr>
        <w:rPr>
          <w:lang w:val="fr-CH"/>
        </w:rPr>
      </w:pPr>
      <w:r w:rsidRPr="0044520D">
        <w:rPr>
          <w:lang w:val="fr-CH"/>
        </w:rPr>
        <w:t>1.3</w:t>
      </w:r>
      <w:r w:rsidRPr="0044520D">
        <w:rPr>
          <w:lang w:val="fr-CH"/>
        </w:rPr>
        <w:tab/>
      </w:r>
      <w:r>
        <w:rPr>
          <w:lang w:val="fr-CH"/>
        </w:rPr>
        <w:t>La situation faisait déjà l'objet d'une grande attention a</w:t>
      </w:r>
      <w:r w:rsidRPr="0044520D">
        <w:rPr>
          <w:lang w:val="fr-CH"/>
        </w:rPr>
        <w:t xml:space="preserve">vant la mise en </w:t>
      </w:r>
      <w:r>
        <w:rPr>
          <w:lang w:val="fr-CH"/>
        </w:rPr>
        <w:t xml:space="preserve">oeuvre des normes </w:t>
      </w:r>
      <w:r w:rsidRPr="0044520D">
        <w:rPr>
          <w:lang w:val="fr-CH"/>
        </w:rPr>
        <w:t>IPSAS: dans le cadre des normes comptables des Nations Unies (UNSAS) appliquées jusqu</w:t>
      </w:r>
      <w:r>
        <w:rPr>
          <w:lang w:val="fr-CH"/>
        </w:rPr>
        <w:t>'</w:t>
      </w:r>
      <w:r w:rsidRPr="0044520D">
        <w:rPr>
          <w:lang w:val="fr-CH"/>
        </w:rPr>
        <w:t xml:space="preserve">en 2009, la situation était présentée en détail dans une note annexée aux états financiers. Les engagements </w:t>
      </w:r>
      <w:r w:rsidRPr="0044520D">
        <w:rPr>
          <w:lang w:val="fr-CH"/>
        </w:rPr>
        <w:lastRenderedPageBreak/>
        <w:t>non financés au 31</w:t>
      </w:r>
      <w:r>
        <w:rPr>
          <w:lang w:val="fr-CH"/>
        </w:rPr>
        <w:t> </w:t>
      </w:r>
      <w:r w:rsidRPr="0044520D">
        <w:rPr>
          <w:lang w:val="fr-CH"/>
        </w:rPr>
        <w:t>décembre 2009 s</w:t>
      </w:r>
      <w:r>
        <w:rPr>
          <w:lang w:val="fr-CH"/>
        </w:rPr>
        <w:t>'</w:t>
      </w:r>
      <w:r w:rsidRPr="0044520D">
        <w:rPr>
          <w:lang w:val="fr-CH"/>
        </w:rPr>
        <w:t>élevaient à 181</w:t>
      </w:r>
      <w:r>
        <w:rPr>
          <w:lang w:val="fr-CH"/>
        </w:rPr>
        <w:t> millions</w:t>
      </w:r>
      <w:r w:rsidRPr="0044520D">
        <w:rPr>
          <w:lang w:val="fr-CH"/>
        </w:rPr>
        <w:t xml:space="preserve"> USD. Tout</w:t>
      </w:r>
      <w:r>
        <w:rPr>
          <w:lang w:val="fr-CH"/>
        </w:rPr>
        <w:t xml:space="preserve">efois, conformément aux normes </w:t>
      </w:r>
      <w:r w:rsidRPr="0044520D">
        <w:rPr>
          <w:lang w:val="fr-CH"/>
        </w:rPr>
        <w:t xml:space="preserve">IPSAS, </w:t>
      </w:r>
      <w:r>
        <w:rPr>
          <w:lang w:val="fr-CH"/>
        </w:rPr>
        <w:t>un passif doit apparaître afin de rendre compte</w:t>
      </w:r>
      <w:r w:rsidRPr="0044520D">
        <w:rPr>
          <w:lang w:val="fr-CH"/>
        </w:rPr>
        <w:t xml:space="preserve"> à la date de clôture de la valeur actuelle de ce que l</w:t>
      </w:r>
      <w:r>
        <w:rPr>
          <w:lang w:val="fr-CH"/>
        </w:rPr>
        <w:t>'</w:t>
      </w:r>
      <w:r w:rsidRPr="0044520D">
        <w:rPr>
          <w:lang w:val="fr-CH"/>
        </w:rPr>
        <w:t>UIT devrait payer aujourd</w:t>
      </w:r>
      <w:r>
        <w:rPr>
          <w:lang w:val="fr-CH"/>
        </w:rPr>
        <w:t>'</w:t>
      </w:r>
      <w:r w:rsidRPr="0044520D">
        <w:rPr>
          <w:lang w:val="fr-CH"/>
        </w:rPr>
        <w:t xml:space="preserve">hui </w:t>
      </w:r>
      <w:r>
        <w:rPr>
          <w:lang w:val="fr-CH"/>
        </w:rPr>
        <w:t>–</w:t>
      </w:r>
      <w:r w:rsidRPr="0044520D">
        <w:rPr>
          <w:lang w:val="fr-CH"/>
        </w:rPr>
        <w:t xml:space="preserve"> dans l</w:t>
      </w:r>
      <w:r>
        <w:rPr>
          <w:lang w:val="fr-CH"/>
        </w:rPr>
        <w:t>'</w:t>
      </w:r>
      <w:r w:rsidRPr="0044520D">
        <w:rPr>
          <w:lang w:val="fr-CH"/>
        </w:rPr>
        <w:t>éventualité d</w:t>
      </w:r>
      <w:r>
        <w:rPr>
          <w:lang w:val="fr-CH"/>
        </w:rPr>
        <w:t>'</w:t>
      </w:r>
      <w:r w:rsidRPr="0044520D">
        <w:rPr>
          <w:lang w:val="fr-CH"/>
        </w:rPr>
        <w:t>une cessation d</w:t>
      </w:r>
      <w:r>
        <w:rPr>
          <w:lang w:val="fr-CH"/>
        </w:rPr>
        <w:t>'</w:t>
      </w:r>
      <w:r w:rsidRPr="0044520D">
        <w:rPr>
          <w:lang w:val="fr-CH"/>
        </w:rPr>
        <w:t xml:space="preserve">activité </w:t>
      </w:r>
      <w:r>
        <w:rPr>
          <w:lang w:val="fr-CH"/>
        </w:rPr>
        <w:t>–</w:t>
      </w:r>
      <w:r w:rsidRPr="0044520D">
        <w:rPr>
          <w:lang w:val="fr-CH"/>
        </w:rPr>
        <w:t xml:space="preserve"> au titre des dépenses non couvertes </w:t>
      </w:r>
      <w:r>
        <w:rPr>
          <w:lang w:val="fr-CH"/>
        </w:rPr>
        <w:t>par l'actif</w:t>
      </w:r>
      <w:r w:rsidRPr="0044520D">
        <w:rPr>
          <w:lang w:val="fr-CH"/>
        </w:rPr>
        <w:t xml:space="preserve"> du fonds ASHI, jusqu</w:t>
      </w:r>
      <w:r>
        <w:rPr>
          <w:lang w:val="fr-CH"/>
        </w:rPr>
        <w:t>'</w:t>
      </w:r>
      <w:r w:rsidRPr="0044520D">
        <w:rPr>
          <w:lang w:val="fr-CH"/>
        </w:rPr>
        <w:t xml:space="preserve">à </w:t>
      </w:r>
      <w:r>
        <w:rPr>
          <w:lang w:val="fr-CH"/>
        </w:rPr>
        <w:t>ce qu'il n'y ait plus d'anciens fonctionnaires couverts</w:t>
      </w:r>
      <w:r w:rsidRPr="0044520D">
        <w:rPr>
          <w:lang w:val="fr-CH"/>
        </w:rPr>
        <w:t xml:space="preserve"> par le plan.</w:t>
      </w:r>
    </w:p>
    <w:p w14:paraId="1F8E1FB0" w14:textId="77777777" w:rsidR="003D3D8D" w:rsidRPr="0044520D" w:rsidRDefault="003D3D8D" w:rsidP="003D3D8D">
      <w:pPr>
        <w:rPr>
          <w:lang w:val="fr-CH"/>
        </w:rPr>
      </w:pPr>
      <w:r w:rsidRPr="0044520D">
        <w:rPr>
          <w:lang w:val="fr-CH"/>
        </w:rPr>
        <w:t>1.4</w:t>
      </w:r>
      <w:r w:rsidRPr="0044520D">
        <w:rPr>
          <w:lang w:val="fr-CH"/>
        </w:rPr>
        <w:tab/>
        <w:t>Bien qu</w:t>
      </w:r>
      <w:r>
        <w:rPr>
          <w:lang w:val="fr-CH"/>
        </w:rPr>
        <w:t>'il soit très peu probable que cette situation se produise</w:t>
      </w:r>
      <w:r w:rsidRPr="0044520D">
        <w:rPr>
          <w:lang w:val="fr-CH"/>
        </w:rPr>
        <w:t>, l</w:t>
      </w:r>
      <w:r>
        <w:rPr>
          <w:lang w:val="fr-CH"/>
        </w:rPr>
        <w:t>'</w:t>
      </w:r>
      <w:r w:rsidRPr="0044520D">
        <w:rPr>
          <w:lang w:val="fr-CH"/>
        </w:rPr>
        <w:t xml:space="preserve">Union cherche à accroître </w:t>
      </w:r>
      <w:r>
        <w:rPr>
          <w:lang w:val="fr-CH"/>
        </w:rPr>
        <w:t>les actifs</w:t>
      </w:r>
      <w:r w:rsidRPr="0044520D">
        <w:rPr>
          <w:lang w:val="fr-CH"/>
        </w:rPr>
        <w:t xml:space="preserve"> de ce fonds et, ainsi, à réduire les engagements correspondants. Des mesures ont été prises </w:t>
      </w:r>
      <w:r>
        <w:rPr>
          <w:lang w:val="fr-CH"/>
        </w:rPr>
        <w:t>pour</w:t>
      </w:r>
      <w:r w:rsidRPr="0044520D">
        <w:rPr>
          <w:lang w:val="fr-CH"/>
        </w:rPr>
        <w:t xml:space="preserve"> revenir à une situation où le régime d</w:t>
      </w:r>
      <w:r>
        <w:rPr>
          <w:lang w:val="fr-CH"/>
        </w:rPr>
        <w:t>'</w:t>
      </w:r>
      <w:r w:rsidRPr="0044520D">
        <w:rPr>
          <w:lang w:val="fr-CH"/>
        </w:rPr>
        <w:t>assurance</w:t>
      </w:r>
      <w:r>
        <w:rPr>
          <w:lang w:val="fr-CH"/>
        </w:rPr>
        <w:t xml:space="preserve"> </w:t>
      </w:r>
      <w:r w:rsidRPr="0044520D">
        <w:rPr>
          <w:lang w:val="fr-CH"/>
        </w:rPr>
        <w:t>maladie serait excédentaire afin de garantir la couverture par répartition et de</w:t>
      </w:r>
      <w:r>
        <w:rPr>
          <w:lang w:val="fr-CH"/>
        </w:rPr>
        <w:t xml:space="preserve"> dégager des</w:t>
      </w:r>
      <w:r w:rsidRPr="0044520D">
        <w:rPr>
          <w:lang w:val="fr-CH"/>
        </w:rPr>
        <w:t xml:space="preserve"> ressources pour financer les passifs actuariels.</w:t>
      </w:r>
    </w:p>
    <w:p w14:paraId="556E052A" w14:textId="0C74FD8B" w:rsidR="003D3D8D" w:rsidRPr="0044520D" w:rsidRDefault="003D3D8D" w:rsidP="009543E7">
      <w:pPr>
        <w:rPr>
          <w:lang w:val="fr-CH"/>
        </w:rPr>
      </w:pPr>
      <w:r w:rsidRPr="0044520D">
        <w:rPr>
          <w:lang w:val="fr-CH"/>
        </w:rPr>
        <w:t>1.5</w:t>
      </w:r>
      <w:r w:rsidRPr="0044520D">
        <w:rPr>
          <w:lang w:val="fr-CH"/>
        </w:rPr>
        <w:tab/>
        <w:t>Les engagements au titre de l</w:t>
      </w:r>
      <w:r>
        <w:rPr>
          <w:lang w:val="fr-CH"/>
        </w:rPr>
        <w:t>'</w:t>
      </w:r>
      <w:r w:rsidRPr="0044520D">
        <w:rPr>
          <w:lang w:val="fr-CH"/>
        </w:rPr>
        <w:t>ASHI au 31 décembre 201</w:t>
      </w:r>
      <w:r w:rsidR="0068523B">
        <w:rPr>
          <w:lang w:val="fr-CH"/>
        </w:rPr>
        <w:t>6</w:t>
      </w:r>
      <w:r w:rsidRPr="0044520D">
        <w:rPr>
          <w:lang w:val="fr-CH"/>
        </w:rPr>
        <w:t xml:space="preserve"> s</w:t>
      </w:r>
      <w:r>
        <w:rPr>
          <w:lang w:val="fr-CH"/>
        </w:rPr>
        <w:t>'</w:t>
      </w:r>
      <w:r w:rsidRPr="0044520D">
        <w:rPr>
          <w:lang w:val="fr-CH"/>
        </w:rPr>
        <w:t xml:space="preserve">élèvent à </w:t>
      </w:r>
      <w:r w:rsidR="0068523B">
        <w:rPr>
          <w:lang w:val="fr-CH"/>
        </w:rPr>
        <w:t>551</w:t>
      </w:r>
      <w:r>
        <w:rPr>
          <w:lang w:val="fr-CH"/>
        </w:rPr>
        <w:t>,</w:t>
      </w:r>
      <w:r w:rsidR="0068523B">
        <w:rPr>
          <w:lang w:val="fr-CH"/>
        </w:rPr>
        <w:t>9</w:t>
      </w:r>
      <w:r>
        <w:rPr>
          <w:lang w:val="fr-CH"/>
        </w:rPr>
        <w:t xml:space="preserve"> millions </w:t>
      </w:r>
      <w:r w:rsidRPr="0044520D">
        <w:rPr>
          <w:lang w:val="fr-CH"/>
        </w:rPr>
        <w:t>CHF Cette forte</w:t>
      </w:r>
      <w:r w:rsidR="00B53DDE">
        <w:rPr>
          <w:lang w:val="fr-CH"/>
        </w:rPr>
        <w:t xml:space="preserve"> augmentation</w:t>
      </w:r>
      <w:r w:rsidRPr="0044520D">
        <w:rPr>
          <w:lang w:val="fr-CH"/>
        </w:rPr>
        <w:t xml:space="preserve"> par rapport à fin 201</w:t>
      </w:r>
      <w:r w:rsidR="0068523B">
        <w:rPr>
          <w:lang w:val="fr-CH"/>
        </w:rPr>
        <w:t>5</w:t>
      </w:r>
      <w:r>
        <w:rPr>
          <w:lang w:val="fr-CH"/>
        </w:rPr>
        <w:t>, où le montant des engagements s'établissait à </w:t>
      </w:r>
      <w:r w:rsidR="0068523B">
        <w:rPr>
          <w:lang w:val="fr-CH"/>
        </w:rPr>
        <w:t>472</w:t>
      </w:r>
      <w:r>
        <w:rPr>
          <w:lang w:val="fr-CH"/>
        </w:rPr>
        <w:t>,</w:t>
      </w:r>
      <w:r w:rsidR="0068523B">
        <w:rPr>
          <w:lang w:val="fr-CH"/>
        </w:rPr>
        <w:t>8</w:t>
      </w:r>
      <w:r>
        <w:rPr>
          <w:lang w:val="fr-CH"/>
        </w:rPr>
        <w:t> </w:t>
      </w:r>
      <w:r w:rsidRPr="0044520D">
        <w:rPr>
          <w:lang w:val="fr-CH"/>
        </w:rPr>
        <w:t>millions CHF</w:t>
      </w:r>
      <w:r>
        <w:rPr>
          <w:lang w:val="fr-CH"/>
        </w:rPr>
        <w:t>,</w:t>
      </w:r>
      <w:r w:rsidRPr="0044520D">
        <w:rPr>
          <w:lang w:val="fr-CH"/>
        </w:rPr>
        <w:t xml:space="preserve"> tient principalement à la baisse du taux d</w:t>
      </w:r>
      <w:r>
        <w:rPr>
          <w:lang w:val="fr-CH"/>
        </w:rPr>
        <w:t>'</w:t>
      </w:r>
      <w:r w:rsidRPr="0044520D">
        <w:rPr>
          <w:lang w:val="fr-CH"/>
        </w:rPr>
        <w:t xml:space="preserve">actualisation utilisé pour calculer la valeur actuelle des futures demandes de remboursement cumulées. </w:t>
      </w:r>
      <w:r w:rsidR="00E401DD" w:rsidRPr="0044520D">
        <w:rPr>
          <w:szCs w:val="24"/>
          <w:lang w:val="fr-CH"/>
        </w:rPr>
        <w:t xml:space="preserve">Bien que cette situation </w:t>
      </w:r>
      <w:r w:rsidR="00E401DD">
        <w:rPr>
          <w:szCs w:val="24"/>
          <w:lang w:val="fr-CH"/>
        </w:rPr>
        <w:t>soit liée à</w:t>
      </w:r>
      <w:r w:rsidR="00E401DD" w:rsidRPr="0044520D">
        <w:rPr>
          <w:szCs w:val="24"/>
          <w:lang w:val="fr-CH"/>
        </w:rPr>
        <w:t xml:space="preserve"> des taux d</w:t>
      </w:r>
      <w:r w:rsidR="00E401DD">
        <w:rPr>
          <w:szCs w:val="24"/>
          <w:lang w:val="fr-CH"/>
        </w:rPr>
        <w:t>'</w:t>
      </w:r>
      <w:r w:rsidR="00E401DD" w:rsidRPr="0044520D">
        <w:rPr>
          <w:szCs w:val="24"/>
          <w:lang w:val="fr-CH"/>
        </w:rPr>
        <w:t>intérêt historiquement bas (le taux d</w:t>
      </w:r>
      <w:r w:rsidR="00E401DD">
        <w:rPr>
          <w:szCs w:val="24"/>
          <w:lang w:val="fr-CH"/>
        </w:rPr>
        <w:t>'</w:t>
      </w:r>
      <w:r w:rsidR="00E401DD" w:rsidRPr="0044520D">
        <w:rPr>
          <w:szCs w:val="24"/>
          <w:lang w:val="fr-CH"/>
        </w:rPr>
        <w:t>actualisation appliqué par l</w:t>
      </w:r>
      <w:r w:rsidR="00E401DD">
        <w:rPr>
          <w:szCs w:val="24"/>
          <w:lang w:val="fr-CH"/>
        </w:rPr>
        <w:t>'</w:t>
      </w:r>
      <w:r w:rsidR="00E401DD" w:rsidRPr="0044520D">
        <w:rPr>
          <w:szCs w:val="24"/>
          <w:lang w:val="fr-CH"/>
        </w:rPr>
        <w:t xml:space="preserve">UIT repose sur </w:t>
      </w:r>
      <w:r w:rsidR="00E401DD">
        <w:rPr>
          <w:szCs w:val="24"/>
          <w:lang w:val="fr-CH"/>
        </w:rPr>
        <w:t>le</w:t>
      </w:r>
      <w:r w:rsidR="00E401DD" w:rsidRPr="0044520D">
        <w:rPr>
          <w:szCs w:val="24"/>
          <w:lang w:val="fr-CH"/>
        </w:rPr>
        <w:t xml:space="preserve"> rendement d</w:t>
      </w:r>
      <w:r w:rsidR="00E401DD">
        <w:rPr>
          <w:szCs w:val="24"/>
          <w:lang w:val="fr-CH"/>
        </w:rPr>
        <w:t xml:space="preserve">es </w:t>
      </w:r>
      <w:r w:rsidR="00E401DD" w:rsidRPr="0044520D">
        <w:rPr>
          <w:szCs w:val="24"/>
          <w:lang w:val="fr-CH"/>
        </w:rPr>
        <w:t>obligations d</w:t>
      </w:r>
      <w:r w:rsidR="00E401DD">
        <w:rPr>
          <w:szCs w:val="24"/>
          <w:lang w:val="fr-CH"/>
        </w:rPr>
        <w:t xml:space="preserve">es </w:t>
      </w:r>
      <w:r w:rsidR="00E401DD" w:rsidRPr="0044520D">
        <w:rPr>
          <w:szCs w:val="24"/>
          <w:lang w:val="fr-CH"/>
        </w:rPr>
        <w:t>entreprises notées AA), l</w:t>
      </w:r>
      <w:r w:rsidR="00E401DD">
        <w:rPr>
          <w:szCs w:val="24"/>
          <w:lang w:val="fr-CH"/>
        </w:rPr>
        <w:t>'</w:t>
      </w:r>
      <w:r w:rsidR="00E401DD" w:rsidRPr="0044520D">
        <w:rPr>
          <w:szCs w:val="24"/>
          <w:lang w:val="fr-CH"/>
        </w:rPr>
        <w:t>évolution du taux d</w:t>
      </w:r>
      <w:r w:rsidR="00E401DD">
        <w:rPr>
          <w:szCs w:val="24"/>
          <w:lang w:val="fr-CH"/>
        </w:rPr>
        <w:t>'</w:t>
      </w:r>
      <w:r w:rsidR="00E401DD" w:rsidRPr="0044520D">
        <w:rPr>
          <w:szCs w:val="24"/>
          <w:lang w:val="fr-CH"/>
        </w:rPr>
        <w:t xml:space="preserve">actualisation est imprévisible sur le long terme et une augmentation risque </w:t>
      </w:r>
      <w:r w:rsidR="00E401DD">
        <w:rPr>
          <w:szCs w:val="24"/>
          <w:lang w:val="fr-CH"/>
        </w:rPr>
        <w:t>d'entraîner une hausse significative des engagements</w:t>
      </w:r>
      <w:r w:rsidR="00E401DD" w:rsidRPr="0044520D">
        <w:rPr>
          <w:szCs w:val="24"/>
          <w:lang w:val="fr-CH"/>
        </w:rPr>
        <w:t xml:space="preserve"> au titre de l</w:t>
      </w:r>
      <w:r w:rsidR="00E401DD">
        <w:rPr>
          <w:szCs w:val="24"/>
          <w:lang w:val="fr-CH"/>
        </w:rPr>
        <w:t>'</w:t>
      </w:r>
      <w:r w:rsidR="00E401DD" w:rsidRPr="0044520D">
        <w:rPr>
          <w:szCs w:val="24"/>
          <w:lang w:val="fr-CH"/>
        </w:rPr>
        <w:t>ASHI.</w:t>
      </w:r>
      <w:r w:rsidR="009543E7">
        <w:rPr>
          <w:szCs w:val="24"/>
          <w:lang w:val="fr-CH"/>
        </w:rPr>
        <w:t xml:space="preserve"> </w:t>
      </w:r>
      <w:r w:rsidRPr="0044520D">
        <w:rPr>
          <w:lang w:val="fr-CH"/>
        </w:rPr>
        <w:t>L</w:t>
      </w:r>
      <w:r>
        <w:rPr>
          <w:lang w:val="fr-CH"/>
        </w:rPr>
        <w:t>'</w:t>
      </w:r>
      <w:r w:rsidRPr="0044520D">
        <w:rPr>
          <w:lang w:val="fr-CH"/>
        </w:rPr>
        <w:t xml:space="preserve">UIT met tout en </w:t>
      </w:r>
      <w:r>
        <w:rPr>
          <w:lang w:val="fr-CH"/>
        </w:rPr>
        <w:t>oeuvre</w:t>
      </w:r>
      <w:r w:rsidRPr="0044520D">
        <w:rPr>
          <w:lang w:val="fr-CH"/>
        </w:rPr>
        <w:t xml:space="preserve"> pour</w:t>
      </w:r>
      <w:r>
        <w:rPr>
          <w:lang w:val="fr-CH"/>
        </w:rPr>
        <w:t xml:space="preserve"> continuer d'assurer le financement de c</w:t>
      </w:r>
      <w:r w:rsidRPr="0044520D">
        <w:rPr>
          <w:lang w:val="fr-CH"/>
        </w:rPr>
        <w:t xml:space="preserve">es engagements </w:t>
      </w:r>
      <w:r>
        <w:rPr>
          <w:lang w:val="fr-CH"/>
        </w:rPr>
        <w:t>sur le</w:t>
      </w:r>
      <w:r w:rsidRPr="0044520D">
        <w:rPr>
          <w:lang w:val="fr-CH"/>
        </w:rPr>
        <w:t xml:space="preserve"> long terme, tout en s</w:t>
      </w:r>
      <w:r>
        <w:rPr>
          <w:lang w:val="fr-CH"/>
        </w:rPr>
        <w:t>'</w:t>
      </w:r>
      <w:r w:rsidRPr="0044520D">
        <w:rPr>
          <w:lang w:val="fr-CH"/>
        </w:rPr>
        <w:t xml:space="preserve">efforçant de financer le </w:t>
      </w:r>
      <w:r>
        <w:rPr>
          <w:lang w:val="fr-CH"/>
        </w:rPr>
        <w:t>régime d'</w:t>
      </w:r>
      <w:r w:rsidRPr="0044520D">
        <w:rPr>
          <w:lang w:val="fr-CH"/>
        </w:rPr>
        <w:t>assurance</w:t>
      </w:r>
      <w:r>
        <w:rPr>
          <w:lang w:val="fr-CH"/>
        </w:rPr>
        <w:t xml:space="preserve"> </w:t>
      </w:r>
      <w:r w:rsidRPr="0044520D">
        <w:rPr>
          <w:lang w:val="fr-CH"/>
        </w:rPr>
        <w:t>maladie selon la méthode par répartition. Il est à noter que l</w:t>
      </w:r>
      <w:r>
        <w:rPr>
          <w:lang w:val="fr-CH"/>
        </w:rPr>
        <w:t>'</w:t>
      </w:r>
      <w:r w:rsidRPr="0044520D">
        <w:rPr>
          <w:lang w:val="fr-CH"/>
        </w:rPr>
        <w:t>estimation des contributions versées par l</w:t>
      </w:r>
      <w:r>
        <w:rPr>
          <w:lang w:val="fr-CH"/>
        </w:rPr>
        <w:t>'</w:t>
      </w:r>
      <w:r w:rsidRPr="0044520D">
        <w:rPr>
          <w:lang w:val="fr-CH"/>
        </w:rPr>
        <w:t>UIT</w:t>
      </w:r>
      <w:r>
        <w:rPr>
          <w:lang w:val="fr-CH"/>
        </w:rPr>
        <w:t xml:space="preserve"> au titre de l'assurance maladie</w:t>
      </w:r>
      <w:r w:rsidRPr="0044520D">
        <w:rPr>
          <w:lang w:val="fr-CH"/>
        </w:rPr>
        <w:t xml:space="preserve"> pour les fonctionnaires en </w:t>
      </w:r>
      <w:r>
        <w:rPr>
          <w:lang w:val="fr-CH"/>
        </w:rPr>
        <w:t>activité</w:t>
      </w:r>
      <w:r w:rsidRPr="0044520D">
        <w:rPr>
          <w:lang w:val="fr-CH"/>
        </w:rPr>
        <w:t xml:space="preserve"> ainsi que pour les </w:t>
      </w:r>
      <w:r>
        <w:rPr>
          <w:lang w:val="fr-CH"/>
        </w:rPr>
        <w:t xml:space="preserve">fonctionnaires </w:t>
      </w:r>
      <w:r w:rsidRPr="0044520D">
        <w:rPr>
          <w:lang w:val="fr-CH"/>
        </w:rPr>
        <w:t>retraités figure dans le budget biennal présenté au Conseil.</w:t>
      </w:r>
    </w:p>
    <w:p w14:paraId="78C90FF2" w14:textId="77777777" w:rsidR="003D3D8D" w:rsidRPr="0044520D" w:rsidRDefault="003D3D8D" w:rsidP="003D3D8D">
      <w:pPr>
        <w:rPr>
          <w:lang w:val="fr-CH"/>
        </w:rPr>
      </w:pPr>
      <w:r w:rsidRPr="0044520D">
        <w:rPr>
          <w:lang w:val="fr-CH"/>
        </w:rPr>
        <w:t>1.6</w:t>
      </w:r>
      <w:r w:rsidRPr="0044520D">
        <w:rPr>
          <w:lang w:val="fr-CH"/>
        </w:rPr>
        <w:tab/>
        <w:t>Afin d</w:t>
      </w:r>
      <w:r>
        <w:rPr>
          <w:lang w:val="fr-CH"/>
        </w:rPr>
        <w:t>'</w:t>
      </w:r>
      <w:r w:rsidRPr="0044520D">
        <w:rPr>
          <w:lang w:val="fr-CH"/>
        </w:rPr>
        <w:t>optimiser la maîtrise des coûts, l</w:t>
      </w:r>
      <w:r>
        <w:rPr>
          <w:lang w:val="fr-CH"/>
        </w:rPr>
        <w:t>'</w:t>
      </w:r>
      <w:r w:rsidRPr="0044520D">
        <w:rPr>
          <w:lang w:val="fr-CH"/>
        </w:rPr>
        <w:t>UIT s</w:t>
      </w:r>
      <w:r>
        <w:rPr>
          <w:lang w:val="fr-CH"/>
        </w:rPr>
        <w:t>'</w:t>
      </w:r>
      <w:r w:rsidRPr="0044520D">
        <w:rPr>
          <w:lang w:val="fr-CH"/>
        </w:rPr>
        <w:t>est retir</w:t>
      </w:r>
      <w:r>
        <w:rPr>
          <w:lang w:val="fr-CH"/>
        </w:rPr>
        <w:t>ée de la Caisse commune pour la </w:t>
      </w:r>
      <w:r w:rsidRPr="0044520D">
        <w:rPr>
          <w:lang w:val="fr-CH"/>
        </w:rPr>
        <w:t>protection de la santé du personnel (CAPS), créée par l</w:t>
      </w:r>
      <w:r>
        <w:rPr>
          <w:lang w:val="fr-CH"/>
        </w:rPr>
        <w:t>'</w:t>
      </w:r>
      <w:r w:rsidRPr="0044520D">
        <w:rPr>
          <w:lang w:val="fr-CH"/>
        </w:rPr>
        <w:t xml:space="preserve">OIT, et met en </w:t>
      </w:r>
      <w:r>
        <w:rPr>
          <w:lang w:val="fr-CH"/>
        </w:rPr>
        <w:t>oeuvre depuis le </w:t>
      </w:r>
      <w:r w:rsidRPr="0044520D">
        <w:rPr>
          <w:lang w:val="fr-CH"/>
        </w:rPr>
        <w:t>1</w:t>
      </w:r>
      <w:r w:rsidRPr="00453A11">
        <w:rPr>
          <w:lang w:val="fr-CH"/>
        </w:rPr>
        <w:t>er</w:t>
      </w:r>
      <w:r>
        <w:rPr>
          <w:lang w:val="fr-CH"/>
        </w:rPr>
        <w:t> mai </w:t>
      </w:r>
      <w:r w:rsidRPr="0044520D">
        <w:rPr>
          <w:lang w:val="fr-CH"/>
        </w:rPr>
        <w:t>2014 un plan d</w:t>
      </w:r>
      <w:r>
        <w:rPr>
          <w:lang w:val="fr-CH"/>
        </w:rPr>
        <w:t>'</w:t>
      </w:r>
      <w:r w:rsidRPr="0044520D">
        <w:rPr>
          <w:lang w:val="fr-CH"/>
        </w:rPr>
        <w:t xml:space="preserve">assurance pour la protection de la santé du personnel, </w:t>
      </w:r>
      <w:r>
        <w:rPr>
          <w:lang w:val="fr-CH"/>
        </w:rPr>
        <w:t>appelé</w:t>
      </w:r>
      <w:r w:rsidRPr="0044520D">
        <w:rPr>
          <w:lang w:val="fr-CH"/>
        </w:rPr>
        <w:t xml:space="preserve"> Convention Collective Assurance Maladie (CCAM). Administré par l</w:t>
      </w:r>
      <w:r>
        <w:rPr>
          <w:lang w:val="fr-CH"/>
        </w:rPr>
        <w:t>'UIT, ce plan repose sur un </w:t>
      </w:r>
      <w:r w:rsidRPr="0044520D">
        <w:rPr>
          <w:lang w:val="fr-CH"/>
        </w:rPr>
        <w:t>contrat conclu avec les entreprises Cigna/Vanbreda International, Cigna étant l</w:t>
      </w:r>
      <w:r>
        <w:rPr>
          <w:lang w:val="fr-CH"/>
        </w:rPr>
        <w:t>'assureur et Cigna/</w:t>
      </w:r>
      <w:r w:rsidRPr="0044520D">
        <w:rPr>
          <w:lang w:val="fr-CH"/>
        </w:rPr>
        <w:t>Vanbreda l</w:t>
      </w:r>
      <w:r>
        <w:rPr>
          <w:lang w:val="fr-CH"/>
        </w:rPr>
        <w:t>'</w:t>
      </w:r>
      <w:r w:rsidRPr="0044520D">
        <w:rPr>
          <w:lang w:val="fr-CH"/>
        </w:rPr>
        <w:t>administrateur des demandes de remboursement.</w:t>
      </w:r>
    </w:p>
    <w:p w14:paraId="5475A223" w14:textId="77777777" w:rsidR="003D3D8D" w:rsidRPr="00F72BF7" w:rsidRDefault="003D3D8D" w:rsidP="00D6454C">
      <w:pPr>
        <w:pStyle w:val="Heading1"/>
        <w:rPr>
          <w:lang w:val="fr-CH"/>
        </w:rPr>
      </w:pPr>
      <w:r w:rsidRPr="00F72BF7">
        <w:rPr>
          <w:lang w:val="fr-CH"/>
        </w:rPr>
        <w:t>2</w:t>
      </w:r>
      <w:r w:rsidRPr="00F72BF7">
        <w:rPr>
          <w:lang w:val="fr-CH"/>
        </w:rPr>
        <w:tab/>
      </w:r>
      <w:r>
        <w:rPr>
          <w:lang w:val="fr-CH"/>
        </w:rPr>
        <w:t>E</w:t>
      </w:r>
      <w:r w:rsidRPr="00F72BF7">
        <w:rPr>
          <w:lang w:val="fr-CH"/>
        </w:rPr>
        <w:t>volution des passifs de l</w:t>
      </w:r>
      <w:r>
        <w:rPr>
          <w:lang w:val="fr-CH"/>
        </w:rPr>
        <w:t>'</w:t>
      </w:r>
      <w:r w:rsidRPr="00F72BF7">
        <w:rPr>
          <w:lang w:val="fr-CH"/>
        </w:rPr>
        <w:t>ASHI en 201</w:t>
      </w:r>
      <w:r w:rsidR="00D6454C">
        <w:rPr>
          <w:lang w:val="fr-CH"/>
        </w:rPr>
        <w:t>6</w:t>
      </w:r>
    </w:p>
    <w:p w14:paraId="3FD9EFDB" w14:textId="24A3B52B" w:rsidR="003D3D8D" w:rsidRPr="0044520D" w:rsidRDefault="003D3D8D" w:rsidP="009543E7">
      <w:pPr>
        <w:rPr>
          <w:lang w:val="fr-CH"/>
        </w:rPr>
      </w:pPr>
      <w:r w:rsidRPr="0044520D">
        <w:rPr>
          <w:lang w:val="fr-CH"/>
        </w:rPr>
        <w:t>2.1</w:t>
      </w:r>
      <w:r w:rsidRPr="0044520D">
        <w:rPr>
          <w:lang w:val="fr-CH"/>
        </w:rPr>
        <w:tab/>
        <w:t>L</w:t>
      </w:r>
      <w:r>
        <w:rPr>
          <w:lang w:val="fr-CH"/>
        </w:rPr>
        <w:t>'</w:t>
      </w:r>
      <w:r w:rsidRPr="0044520D">
        <w:rPr>
          <w:lang w:val="fr-CH"/>
        </w:rPr>
        <w:t>évolution des passifs de l</w:t>
      </w:r>
      <w:r>
        <w:rPr>
          <w:lang w:val="fr-CH"/>
        </w:rPr>
        <w:t>'</w:t>
      </w:r>
      <w:r w:rsidRPr="0044520D">
        <w:rPr>
          <w:lang w:val="fr-CH"/>
        </w:rPr>
        <w:t>ASHI depuis 2010 s</w:t>
      </w:r>
      <w:r>
        <w:rPr>
          <w:lang w:val="fr-CH"/>
        </w:rPr>
        <w:t>'</w:t>
      </w:r>
      <w:r w:rsidRPr="0044520D">
        <w:rPr>
          <w:lang w:val="fr-CH"/>
        </w:rPr>
        <w:t xml:space="preserve">est traduite par </w:t>
      </w:r>
      <w:r>
        <w:rPr>
          <w:lang w:val="fr-CH"/>
        </w:rPr>
        <w:t>un actif net négatif</w:t>
      </w:r>
      <w:r w:rsidRPr="0044520D">
        <w:rPr>
          <w:lang w:val="fr-CH"/>
        </w:rPr>
        <w:t xml:space="preserve"> de plus en plus</w:t>
      </w:r>
      <w:r>
        <w:rPr>
          <w:lang w:val="fr-CH"/>
        </w:rPr>
        <w:t xml:space="preserve"> élevé, étant donné que</w:t>
      </w:r>
      <w:r w:rsidRPr="0044520D">
        <w:rPr>
          <w:lang w:val="fr-CH"/>
        </w:rPr>
        <w:t xml:space="preserve"> les pertes actuarielles ont été intégralement comptabilisées à l</w:t>
      </w:r>
      <w:r>
        <w:rPr>
          <w:lang w:val="fr-CH"/>
        </w:rPr>
        <w:t>'</w:t>
      </w:r>
      <w:r w:rsidRPr="0044520D">
        <w:rPr>
          <w:lang w:val="fr-CH"/>
        </w:rPr>
        <w:t>actif net. Fin 201</w:t>
      </w:r>
      <w:r w:rsidR="00D6454C">
        <w:rPr>
          <w:lang w:val="fr-CH"/>
        </w:rPr>
        <w:t>6</w:t>
      </w:r>
      <w:r w:rsidRPr="0044520D">
        <w:rPr>
          <w:lang w:val="fr-CH"/>
        </w:rPr>
        <w:t>, les passifs de l</w:t>
      </w:r>
      <w:r>
        <w:rPr>
          <w:lang w:val="fr-CH"/>
        </w:rPr>
        <w:t>'</w:t>
      </w:r>
      <w:r w:rsidRPr="0044520D">
        <w:rPr>
          <w:lang w:val="fr-CH"/>
        </w:rPr>
        <w:t xml:space="preserve">ASHI ont considérablement </w:t>
      </w:r>
      <w:r w:rsidR="00B17930">
        <w:rPr>
          <w:lang w:val="fr-CH"/>
        </w:rPr>
        <w:t>augmenté</w:t>
      </w:r>
      <w:r w:rsidRPr="0044520D">
        <w:rPr>
          <w:lang w:val="fr-CH"/>
        </w:rPr>
        <w:t xml:space="preserve"> en raison de la variation des hypothèses et ont entraîné une </w:t>
      </w:r>
      <w:r w:rsidR="00B17930">
        <w:rPr>
          <w:lang w:val="fr-CH"/>
        </w:rPr>
        <w:t>augmentation</w:t>
      </w:r>
      <w:r w:rsidRPr="0044520D">
        <w:rPr>
          <w:lang w:val="fr-CH"/>
        </w:rPr>
        <w:t xml:space="preserve"> des passifs de </w:t>
      </w:r>
      <w:r w:rsidR="00D6454C">
        <w:rPr>
          <w:lang w:val="fr-CH"/>
        </w:rPr>
        <w:t>79</w:t>
      </w:r>
      <w:r>
        <w:rPr>
          <w:lang w:val="fr-CH"/>
        </w:rPr>
        <w:t>,</w:t>
      </w:r>
      <w:r w:rsidR="00D6454C">
        <w:rPr>
          <w:lang w:val="fr-CH"/>
        </w:rPr>
        <w:t>1</w:t>
      </w:r>
      <w:r>
        <w:rPr>
          <w:lang w:val="fr-CH"/>
        </w:rPr>
        <w:t xml:space="preserve"> millions CHF, avec</w:t>
      </w:r>
      <w:r w:rsidRPr="0044520D">
        <w:rPr>
          <w:lang w:val="fr-CH"/>
        </w:rPr>
        <w:t xml:space="preserve"> un</w:t>
      </w:r>
      <w:r>
        <w:rPr>
          <w:lang w:val="fr-CH"/>
        </w:rPr>
        <w:t xml:space="preserve"> effet </w:t>
      </w:r>
      <w:r w:rsidR="00B17930">
        <w:rPr>
          <w:lang w:val="fr-CH"/>
        </w:rPr>
        <w:t>négatif</w:t>
      </w:r>
      <w:r>
        <w:rPr>
          <w:lang w:val="fr-CH"/>
        </w:rPr>
        <w:t xml:space="preserve"> sur l'actif net</w:t>
      </w:r>
      <w:r w:rsidRPr="0044520D">
        <w:rPr>
          <w:lang w:val="fr-CH"/>
        </w:rPr>
        <w:t xml:space="preserve"> de l</w:t>
      </w:r>
      <w:r>
        <w:rPr>
          <w:lang w:val="fr-CH"/>
        </w:rPr>
        <w:t>'</w:t>
      </w:r>
      <w:r w:rsidRPr="0044520D">
        <w:rPr>
          <w:lang w:val="fr-CH"/>
        </w:rPr>
        <w:t xml:space="preserve">UIT de </w:t>
      </w:r>
      <w:r w:rsidR="00895BF0">
        <w:rPr>
          <w:lang w:val="fr-CH"/>
        </w:rPr>
        <w:t>6</w:t>
      </w:r>
      <w:r>
        <w:rPr>
          <w:lang w:val="fr-CH"/>
        </w:rPr>
        <w:t>5,</w:t>
      </w:r>
      <w:r w:rsidR="00D6454C">
        <w:rPr>
          <w:lang w:val="fr-CH"/>
        </w:rPr>
        <w:t>4</w:t>
      </w:r>
      <w:r>
        <w:rPr>
          <w:lang w:val="fr-CH"/>
        </w:rPr>
        <w:t xml:space="preserve"> </w:t>
      </w:r>
      <w:r w:rsidRPr="0044520D">
        <w:rPr>
          <w:lang w:val="fr-CH"/>
        </w:rPr>
        <w:t>millions CHF</w:t>
      </w:r>
      <w:r>
        <w:rPr>
          <w:lang w:val="fr-CH"/>
        </w:rPr>
        <w:t>.</w:t>
      </w:r>
    </w:p>
    <w:tbl>
      <w:tblPr>
        <w:tblW w:w="8075" w:type="dxa"/>
        <w:jc w:val="center"/>
        <w:tblLook w:val="04A0" w:firstRow="1" w:lastRow="0" w:firstColumn="1" w:lastColumn="0" w:noHBand="0" w:noVBand="1"/>
      </w:tblPr>
      <w:tblGrid>
        <w:gridCol w:w="4422"/>
        <w:gridCol w:w="1810"/>
        <w:gridCol w:w="1843"/>
      </w:tblGrid>
      <w:tr w:rsidR="001830EC" w:rsidRPr="0091206C" w14:paraId="6BFC2D57" w14:textId="77777777" w:rsidTr="001830EC">
        <w:trPr>
          <w:trHeight w:val="841"/>
          <w:jc w:val="center"/>
        </w:trPr>
        <w:tc>
          <w:tcPr>
            <w:tcW w:w="4422" w:type="dxa"/>
            <w:tcBorders>
              <w:top w:val="single" w:sz="4" w:space="0" w:color="auto"/>
              <w:left w:val="single" w:sz="4" w:space="0" w:color="auto"/>
              <w:bottom w:val="single" w:sz="4" w:space="0" w:color="auto"/>
              <w:right w:val="nil"/>
            </w:tcBorders>
            <w:shd w:val="clear" w:color="auto" w:fill="auto"/>
            <w:hideMark/>
          </w:tcPr>
          <w:p w14:paraId="26D387EA" w14:textId="77777777" w:rsidR="001830EC" w:rsidRPr="0091206C" w:rsidRDefault="001830EC" w:rsidP="001830EC">
            <w:pPr>
              <w:pStyle w:val="Tablehead"/>
              <w:keepNext/>
              <w:keepLines/>
            </w:pPr>
            <w:r w:rsidRPr="0091206C">
              <w:lastRenderedPageBreak/>
              <w:t>Montant des engagements au titre du plan ASHI au 31 décembre 201</w:t>
            </w:r>
            <w:r>
              <w:t>6</w:t>
            </w:r>
            <w:r w:rsidRPr="0091206C">
              <w:t xml:space="preserve"> et 201</w:t>
            </w:r>
            <w:r>
              <w:t>5</w:t>
            </w:r>
            <w:r w:rsidRPr="0091206C">
              <w:t xml:space="preserve"> dans l'état </w:t>
            </w:r>
            <w:r>
              <w:br/>
            </w:r>
            <w:r w:rsidRPr="0091206C">
              <w:t>de la situation financière</w:t>
            </w:r>
          </w:p>
        </w:tc>
        <w:tc>
          <w:tcPr>
            <w:tcW w:w="1810" w:type="dxa"/>
            <w:tcBorders>
              <w:top w:val="single" w:sz="4" w:space="0" w:color="auto"/>
              <w:left w:val="single" w:sz="4" w:space="0" w:color="auto"/>
              <w:bottom w:val="single" w:sz="4" w:space="0" w:color="auto"/>
              <w:right w:val="single" w:sz="4" w:space="0" w:color="auto"/>
            </w:tcBorders>
          </w:tcPr>
          <w:p w14:paraId="1C11F04E" w14:textId="77777777" w:rsidR="001830EC" w:rsidRPr="009543E7" w:rsidRDefault="001830EC" w:rsidP="001830EC">
            <w:pPr>
              <w:pStyle w:val="Tablehead"/>
              <w:keepNext/>
              <w:keepLines/>
              <w:rPr>
                <w:i/>
                <w:iCs/>
              </w:rPr>
            </w:pPr>
            <w:r w:rsidRPr="009543E7">
              <w:rPr>
                <w:i/>
                <w:iCs/>
              </w:rPr>
              <w:t>En milliers de CHF</w:t>
            </w:r>
            <w:r w:rsidRPr="009543E7">
              <w:rPr>
                <w:i/>
                <w:iCs/>
              </w:rPr>
              <w:br/>
              <w:t>31.12.2016</w:t>
            </w:r>
          </w:p>
        </w:tc>
        <w:tc>
          <w:tcPr>
            <w:tcW w:w="1843" w:type="dxa"/>
            <w:tcBorders>
              <w:top w:val="single" w:sz="4" w:space="0" w:color="auto"/>
              <w:left w:val="single" w:sz="4" w:space="0" w:color="auto"/>
              <w:bottom w:val="single" w:sz="4" w:space="0" w:color="auto"/>
              <w:right w:val="single" w:sz="4" w:space="0" w:color="auto"/>
            </w:tcBorders>
          </w:tcPr>
          <w:p w14:paraId="773CA112" w14:textId="77777777" w:rsidR="001830EC" w:rsidRPr="009543E7" w:rsidRDefault="001830EC" w:rsidP="00EA4804">
            <w:pPr>
              <w:pStyle w:val="Tablehead"/>
              <w:keepNext/>
              <w:keepLines/>
              <w:rPr>
                <w:i/>
                <w:iCs/>
              </w:rPr>
            </w:pPr>
            <w:r w:rsidRPr="009543E7">
              <w:rPr>
                <w:i/>
                <w:iCs/>
              </w:rPr>
              <w:t>En milliers de CHF</w:t>
            </w:r>
            <w:r w:rsidRPr="009543E7">
              <w:rPr>
                <w:i/>
                <w:iCs/>
              </w:rPr>
              <w:br/>
              <w:t>31.12.2015</w:t>
            </w:r>
          </w:p>
        </w:tc>
      </w:tr>
      <w:tr w:rsidR="001830EC" w:rsidRPr="0044520D" w14:paraId="04A4891B" w14:textId="77777777" w:rsidTr="001830EC">
        <w:trPr>
          <w:trHeight w:val="264"/>
          <w:jc w:val="center"/>
        </w:trPr>
        <w:tc>
          <w:tcPr>
            <w:tcW w:w="4422" w:type="dxa"/>
            <w:tcBorders>
              <w:top w:val="nil"/>
              <w:left w:val="single" w:sz="4" w:space="0" w:color="auto"/>
              <w:bottom w:val="nil"/>
              <w:right w:val="single" w:sz="4" w:space="0" w:color="auto"/>
            </w:tcBorders>
            <w:shd w:val="clear" w:color="auto" w:fill="auto"/>
            <w:hideMark/>
          </w:tcPr>
          <w:p w14:paraId="446461E9" w14:textId="77777777" w:rsidR="001830EC" w:rsidRPr="0044520D" w:rsidRDefault="001830EC" w:rsidP="00EA4804">
            <w:pPr>
              <w:pStyle w:val="Tabletext"/>
              <w:keepNext/>
              <w:keepLines/>
              <w:spacing w:before="40" w:after="40"/>
              <w:rPr>
                <w:b/>
                <w:lang w:val="fr-CH"/>
              </w:rPr>
            </w:pPr>
            <w:r w:rsidRPr="0044520D">
              <w:rPr>
                <w:lang w:val="fr-CH"/>
              </w:rPr>
              <w:t xml:space="preserve">Solde au 31 décembre </w:t>
            </w:r>
          </w:p>
        </w:tc>
        <w:tc>
          <w:tcPr>
            <w:tcW w:w="1810" w:type="dxa"/>
            <w:tcBorders>
              <w:top w:val="single" w:sz="4" w:space="0" w:color="auto"/>
              <w:left w:val="single" w:sz="4" w:space="0" w:color="auto"/>
              <w:bottom w:val="nil"/>
              <w:right w:val="single" w:sz="4" w:space="0" w:color="auto"/>
            </w:tcBorders>
          </w:tcPr>
          <w:p w14:paraId="5A0CF27F" w14:textId="77777777" w:rsidR="001830EC" w:rsidRDefault="001830EC" w:rsidP="00EA4804">
            <w:pPr>
              <w:widowControl w:val="0"/>
              <w:kinsoku w:val="0"/>
              <w:snapToGrid w:val="0"/>
              <w:spacing w:before="40" w:after="40"/>
              <w:ind w:right="210"/>
              <w:jc w:val="right"/>
              <w:rPr>
                <w:i/>
                <w:iCs/>
                <w:color w:val="000000"/>
                <w:szCs w:val="18"/>
              </w:rPr>
            </w:pPr>
            <w:r>
              <w:rPr>
                <w:i/>
                <w:iCs/>
                <w:color w:val="000000"/>
                <w:szCs w:val="18"/>
              </w:rPr>
              <w:t>472 801</w:t>
            </w:r>
          </w:p>
        </w:tc>
        <w:tc>
          <w:tcPr>
            <w:tcW w:w="1843" w:type="dxa"/>
            <w:tcBorders>
              <w:top w:val="single" w:sz="4" w:space="0" w:color="auto"/>
              <w:left w:val="single" w:sz="4" w:space="0" w:color="auto"/>
              <w:bottom w:val="nil"/>
              <w:right w:val="single" w:sz="4" w:space="0" w:color="auto"/>
            </w:tcBorders>
          </w:tcPr>
          <w:p w14:paraId="3DBFDD96" w14:textId="77777777" w:rsidR="001830EC" w:rsidRPr="00C14137" w:rsidRDefault="001830EC" w:rsidP="00EA4804">
            <w:pPr>
              <w:widowControl w:val="0"/>
              <w:kinsoku w:val="0"/>
              <w:snapToGrid w:val="0"/>
              <w:spacing w:before="40" w:after="40"/>
              <w:ind w:right="210"/>
              <w:jc w:val="right"/>
              <w:rPr>
                <w:i/>
                <w:iCs/>
                <w:color w:val="000000"/>
                <w:szCs w:val="18"/>
              </w:rPr>
            </w:pPr>
            <w:r>
              <w:rPr>
                <w:i/>
                <w:iCs/>
                <w:color w:val="000000"/>
                <w:szCs w:val="18"/>
              </w:rPr>
              <w:t>512 661</w:t>
            </w:r>
          </w:p>
        </w:tc>
      </w:tr>
      <w:tr w:rsidR="001830EC" w:rsidRPr="0044520D" w14:paraId="7582CE76" w14:textId="77777777" w:rsidTr="001830EC">
        <w:trPr>
          <w:trHeight w:val="336"/>
          <w:jc w:val="center"/>
        </w:trPr>
        <w:tc>
          <w:tcPr>
            <w:tcW w:w="4422" w:type="dxa"/>
            <w:tcBorders>
              <w:top w:val="nil"/>
              <w:left w:val="single" w:sz="4" w:space="0" w:color="auto"/>
              <w:bottom w:val="nil"/>
              <w:right w:val="single" w:sz="4" w:space="0" w:color="auto"/>
            </w:tcBorders>
            <w:shd w:val="clear" w:color="auto" w:fill="auto"/>
            <w:hideMark/>
          </w:tcPr>
          <w:p w14:paraId="372C7A78" w14:textId="77777777" w:rsidR="001830EC" w:rsidRPr="0044520D" w:rsidRDefault="001830EC" w:rsidP="00EA4804">
            <w:pPr>
              <w:pStyle w:val="Tabletext"/>
              <w:keepNext/>
              <w:keepLines/>
              <w:spacing w:before="40" w:after="40"/>
              <w:rPr>
                <w:b/>
                <w:lang w:val="fr-CH"/>
              </w:rPr>
            </w:pPr>
            <w:r w:rsidRPr="0044520D">
              <w:rPr>
                <w:lang w:val="fr-CH"/>
              </w:rPr>
              <w:t>Total des charges comptabilisées dans l</w:t>
            </w:r>
            <w:r>
              <w:rPr>
                <w:lang w:val="fr-CH"/>
              </w:rPr>
              <w:t>'</w:t>
            </w:r>
            <w:r w:rsidRPr="0044520D">
              <w:rPr>
                <w:lang w:val="fr-CH"/>
              </w:rPr>
              <w:t>état de la performance financière</w:t>
            </w:r>
          </w:p>
        </w:tc>
        <w:tc>
          <w:tcPr>
            <w:tcW w:w="1810" w:type="dxa"/>
            <w:tcBorders>
              <w:top w:val="nil"/>
              <w:left w:val="single" w:sz="4" w:space="0" w:color="auto"/>
              <w:bottom w:val="nil"/>
              <w:right w:val="single" w:sz="4" w:space="0" w:color="auto"/>
            </w:tcBorders>
          </w:tcPr>
          <w:p w14:paraId="40632722" w14:textId="77777777" w:rsidR="001830EC" w:rsidRDefault="001830EC" w:rsidP="00EA4804">
            <w:pPr>
              <w:widowControl w:val="0"/>
              <w:kinsoku w:val="0"/>
              <w:snapToGrid w:val="0"/>
              <w:spacing w:before="40" w:after="40"/>
              <w:ind w:right="210"/>
              <w:jc w:val="right"/>
              <w:rPr>
                <w:i/>
                <w:iCs/>
                <w:color w:val="000000"/>
                <w:szCs w:val="18"/>
              </w:rPr>
            </w:pPr>
            <w:r>
              <w:rPr>
                <w:i/>
                <w:iCs/>
                <w:color w:val="000000"/>
                <w:szCs w:val="18"/>
              </w:rPr>
              <w:t>22 229</w:t>
            </w:r>
          </w:p>
        </w:tc>
        <w:tc>
          <w:tcPr>
            <w:tcW w:w="1843" w:type="dxa"/>
            <w:tcBorders>
              <w:top w:val="nil"/>
              <w:left w:val="single" w:sz="4" w:space="0" w:color="auto"/>
              <w:bottom w:val="nil"/>
              <w:right w:val="single" w:sz="4" w:space="0" w:color="auto"/>
            </w:tcBorders>
          </w:tcPr>
          <w:p w14:paraId="36E11F84" w14:textId="77777777" w:rsidR="001830EC" w:rsidRPr="00C14137" w:rsidRDefault="001830EC" w:rsidP="00EA4804">
            <w:pPr>
              <w:widowControl w:val="0"/>
              <w:kinsoku w:val="0"/>
              <w:snapToGrid w:val="0"/>
              <w:spacing w:before="40" w:after="40"/>
              <w:ind w:right="210"/>
              <w:jc w:val="right"/>
              <w:rPr>
                <w:i/>
                <w:iCs/>
                <w:color w:val="000000"/>
                <w:szCs w:val="18"/>
              </w:rPr>
            </w:pPr>
            <w:r>
              <w:rPr>
                <w:i/>
                <w:iCs/>
                <w:color w:val="000000"/>
                <w:szCs w:val="18"/>
              </w:rPr>
              <w:t>22 889</w:t>
            </w:r>
          </w:p>
        </w:tc>
      </w:tr>
      <w:tr w:rsidR="001830EC" w:rsidRPr="0044520D" w14:paraId="09E41179" w14:textId="77777777" w:rsidTr="001830EC">
        <w:trPr>
          <w:trHeight w:val="264"/>
          <w:jc w:val="center"/>
        </w:trPr>
        <w:tc>
          <w:tcPr>
            <w:tcW w:w="4422" w:type="dxa"/>
            <w:tcBorders>
              <w:top w:val="nil"/>
              <w:left w:val="single" w:sz="4" w:space="0" w:color="auto"/>
              <w:bottom w:val="nil"/>
              <w:right w:val="single" w:sz="4" w:space="0" w:color="auto"/>
            </w:tcBorders>
            <w:shd w:val="clear" w:color="auto" w:fill="auto"/>
            <w:hideMark/>
          </w:tcPr>
          <w:p w14:paraId="363777F5" w14:textId="77777777" w:rsidR="001830EC" w:rsidRPr="0044520D" w:rsidRDefault="001830EC" w:rsidP="00EA4804">
            <w:pPr>
              <w:pStyle w:val="Tabletext"/>
              <w:keepNext/>
              <w:keepLines/>
              <w:spacing w:before="40" w:after="40"/>
              <w:rPr>
                <w:b/>
                <w:lang w:val="fr-CH"/>
              </w:rPr>
            </w:pPr>
            <w:r w:rsidRPr="0044520D">
              <w:rPr>
                <w:lang w:val="fr-CH"/>
              </w:rPr>
              <w:t>Pertes actuarielles comptabilisées à l</w:t>
            </w:r>
            <w:r>
              <w:rPr>
                <w:lang w:val="fr-CH"/>
              </w:rPr>
              <w:t>'</w:t>
            </w:r>
            <w:r w:rsidRPr="0044520D">
              <w:rPr>
                <w:lang w:val="fr-CH"/>
              </w:rPr>
              <w:t>actif net</w:t>
            </w:r>
          </w:p>
        </w:tc>
        <w:tc>
          <w:tcPr>
            <w:tcW w:w="1810" w:type="dxa"/>
            <w:tcBorders>
              <w:top w:val="nil"/>
              <w:left w:val="single" w:sz="4" w:space="0" w:color="auto"/>
              <w:bottom w:val="nil"/>
              <w:right w:val="single" w:sz="4" w:space="0" w:color="auto"/>
            </w:tcBorders>
          </w:tcPr>
          <w:p w14:paraId="0901CBD9" w14:textId="77777777" w:rsidR="001830EC" w:rsidRPr="00BD741D" w:rsidRDefault="001830EC" w:rsidP="00EA4804">
            <w:pPr>
              <w:widowControl w:val="0"/>
              <w:kinsoku w:val="0"/>
              <w:snapToGrid w:val="0"/>
              <w:spacing w:before="40" w:after="40"/>
              <w:ind w:right="210"/>
              <w:jc w:val="right"/>
              <w:rPr>
                <w:i/>
                <w:iCs/>
                <w:color w:val="000000"/>
                <w:szCs w:val="18"/>
              </w:rPr>
            </w:pPr>
            <w:r>
              <w:rPr>
                <w:i/>
                <w:iCs/>
                <w:color w:val="000000"/>
                <w:szCs w:val="18"/>
              </w:rPr>
              <w:t>65 443</w:t>
            </w:r>
          </w:p>
        </w:tc>
        <w:tc>
          <w:tcPr>
            <w:tcW w:w="1843" w:type="dxa"/>
            <w:tcBorders>
              <w:top w:val="nil"/>
              <w:left w:val="single" w:sz="4" w:space="0" w:color="auto"/>
              <w:bottom w:val="nil"/>
              <w:right w:val="single" w:sz="4" w:space="0" w:color="auto"/>
            </w:tcBorders>
          </w:tcPr>
          <w:p w14:paraId="24F5EF24" w14:textId="77777777" w:rsidR="001830EC" w:rsidRPr="00C14137" w:rsidRDefault="001830EC" w:rsidP="00EA4804">
            <w:pPr>
              <w:widowControl w:val="0"/>
              <w:kinsoku w:val="0"/>
              <w:snapToGrid w:val="0"/>
              <w:spacing w:before="40" w:after="40"/>
              <w:ind w:right="210"/>
              <w:jc w:val="right"/>
              <w:rPr>
                <w:i/>
                <w:iCs/>
                <w:color w:val="000000"/>
                <w:szCs w:val="18"/>
              </w:rPr>
            </w:pPr>
            <w:r w:rsidRPr="00BD741D">
              <w:rPr>
                <w:i/>
                <w:iCs/>
                <w:color w:val="000000"/>
                <w:szCs w:val="18"/>
              </w:rPr>
              <w:t>–</w:t>
            </w:r>
            <w:r>
              <w:rPr>
                <w:i/>
                <w:iCs/>
                <w:color w:val="000000"/>
                <w:szCs w:val="18"/>
              </w:rPr>
              <w:t>55 572</w:t>
            </w:r>
          </w:p>
        </w:tc>
      </w:tr>
      <w:tr w:rsidR="001830EC" w:rsidRPr="0044520D" w14:paraId="09D77058" w14:textId="77777777" w:rsidTr="001830EC">
        <w:trPr>
          <w:trHeight w:val="264"/>
          <w:jc w:val="center"/>
        </w:trPr>
        <w:tc>
          <w:tcPr>
            <w:tcW w:w="4422" w:type="dxa"/>
            <w:tcBorders>
              <w:top w:val="nil"/>
              <w:left w:val="single" w:sz="4" w:space="0" w:color="auto"/>
              <w:bottom w:val="nil"/>
              <w:right w:val="single" w:sz="4" w:space="0" w:color="auto"/>
            </w:tcBorders>
            <w:shd w:val="clear" w:color="auto" w:fill="auto"/>
            <w:vAlign w:val="bottom"/>
            <w:hideMark/>
          </w:tcPr>
          <w:p w14:paraId="0D7EF6D3" w14:textId="77777777" w:rsidR="001830EC" w:rsidRPr="0044520D" w:rsidRDefault="001830EC" w:rsidP="00EA4804">
            <w:pPr>
              <w:pStyle w:val="Tabletext"/>
              <w:keepNext/>
              <w:keepLines/>
              <w:spacing w:before="40" w:after="40"/>
              <w:rPr>
                <w:b/>
                <w:lang w:val="fr-CH"/>
              </w:rPr>
            </w:pPr>
            <w:r w:rsidRPr="0044520D">
              <w:rPr>
                <w:lang w:val="fr-CH"/>
              </w:rPr>
              <w:t>Contributions de l</w:t>
            </w:r>
            <w:r>
              <w:rPr>
                <w:lang w:val="fr-CH"/>
              </w:rPr>
              <w:t>'</w:t>
            </w:r>
            <w:r w:rsidRPr="0044520D">
              <w:rPr>
                <w:lang w:val="fr-CH"/>
              </w:rPr>
              <w:t>exercice</w:t>
            </w:r>
          </w:p>
        </w:tc>
        <w:tc>
          <w:tcPr>
            <w:tcW w:w="1810" w:type="dxa"/>
            <w:tcBorders>
              <w:top w:val="nil"/>
              <w:left w:val="single" w:sz="4" w:space="0" w:color="auto"/>
              <w:bottom w:val="nil"/>
              <w:right w:val="single" w:sz="4" w:space="0" w:color="auto"/>
            </w:tcBorders>
          </w:tcPr>
          <w:p w14:paraId="5ACFA20A" w14:textId="77777777" w:rsidR="001830EC" w:rsidRPr="00BD741D" w:rsidRDefault="00AF7040" w:rsidP="00EA4804">
            <w:pPr>
              <w:widowControl w:val="0"/>
              <w:kinsoku w:val="0"/>
              <w:snapToGrid w:val="0"/>
              <w:spacing w:before="40" w:after="40"/>
              <w:ind w:right="210"/>
              <w:jc w:val="right"/>
              <w:rPr>
                <w:i/>
                <w:iCs/>
                <w:color w:val="000000"/>
                <w:szCs w:val="18"/>
              </w:rPr>
            </w:pPr>
            <w:r>
              <w:rPr>
                <w:i/>
                <w:iCs/>
                <w:color w:val="000000"/>
                <w:szCs w:val="18"/>
              </w:rPr>
              <w:t>-</w:t>
            </w:r>
            <w:r w:rsidR="001830EC">
              <w:rPr>
                <w:i/>
                <w:iCs/>
                <w:color w:val="000000"/>
                <w:szCs w:val="18"/>
              </w:rPr>
              <w:t>8 562</w:t>
            </w:r>
          </w:p>
        </w:tc>
        <w:tc>
          <w:tcPr>
            <w:tcW w:w="1843" w:type="dxa"/>
            <w:tcBorders>
              <w:top w:val="nil"/>
              <w:left w:val="single" w:sz="4" w:space="0" w:color="auto"/>
              <w:bottom w:val="nil"/>
              <w:right w:val="single" w:sz="4" w:space="0" w:color="auto"/>
            </w:tcBorders>
          </w:tcPr>
          <w:p w14:paraId="6A884BF9" w14:textId="77777777" w:rsidR="001830EC" w:rsidRPr="00C14137" w:rsidRDefault="001830EC" w:rsidP="00EA4804">
            <w:pPr>
              <w:widowControl w:val="0"/>
              <w:kinsoku w:val="0"/>
              <w:snapToGrid w:val="0"/>
              <w:spacing w:before="40" w:after="40"/>
              <w:ind w:right="210"/>
              <w:jc w:val="right"/>
              <w:rPr>
                <w:i/>
                <w:iCs/>
                <w:color w:val="000000"/>
                <w:szCs w:val="18"/>
              </w:rPr>
            </w:pPr>
            <w:r w:rsidRPr="00BD741D">
              <w:rPr>
                <w:i/>
                <w:iCs/>
                <w:color w:val="000000"/>
                <w:szCs w:val="18"/>
              </w:rPr>
              <w:t>–</w:t>
            </w:r>
            <w:r>
              <w:rPr>
                <w:i/>
                <w:iCs/>
                <w:color w:val="000000"/>
                <w:szCs w:val="18"/>
              </w:rPr>
              <w:t>7 177</w:t>
            </w:r>
          </w:p>
        </w:tc>
      </w:tr>
      <w:tr w:rsidR="001830EC" w:rsidRPr="0044520D" w14:paraId="331DEE6E" w14:textId="77777777" w:rsidTr="001830EC">
        <w:trPr>
          <w:trHeight w:val="264"/>
          <w:jc w:val="center"/>
        </w:trPr>
        <w:tc>
          <w:tcPr>
            <w:tcW w:w="4422" w:type="dxa"/>
            <w:tcBorders>
              <w:top w:val="nil"/>
              <w:left w:val="single" w:sz="4" w:space="0" w:color="auto"/>
              <w:right w:val="single" w:sz="4" w:space="0" w:color="auto"/>
            </w:tcBorders>
            <w:shd w:val="clear" w:color="auto" w:fill="auto"/>
            <w:hideMark/>
          </w:tcPr>
          <w:p w14:paraId="28FD8E20" w14:textId="77777777" w:rsidR="001830EC" w:rsidRPr="0044520D" w:rsidRDefault="001830EC" w:rsidP="00EA4804">
            <w:pPr>
              <w:pStyle w:val="Tabletext"/>
              <w:keepNext/>
              <w:keepLines/>
              <w:spacing w:before="40" w:after="40"/>
              <w:rPr>
                <w:b/>
                <w:lang w:val="fr-CH"/>
              </w:rPr>
            </w:pPr>
            <w:r w:rsidRPr="0044520D">
              <w:rPr>
                <w:lang w:val="fr-CH"/>
              </w:rPr>
              <w:t>Pertes</w:t>
            </w:r>
            <w:proofErr w:type="gramStart"/>
            <w:r w:rsidRPr="0044520D">
              <w:rPr>
                <w:lang w:val="fr-CH"/>
              </w:rPr>
              <w:t>/(</w:t>
            </w:r>
            <w:proofErr w:type="gramEnd"/>
            <w:r w:rsidRPr="0044520D">
              <w:rPr>
                <w:lang w:val="fr-CH"/>
              </w:rPr>
              <w:t>gains) de change non réalisés</w:t>
            </w:r>
          </w:p>
        </w:tc>
        <w:tc>
          <w:tcPr>
            <w:tcW w:w="1810" w:type="dxa"/>
            <w:tcBorders>
              <w:top w:val="nil"/>
              <w:left w:val="single" w:sz="4" w:space="0" w:color="auto"/>
              <w:right w:val="single" w:sz="4" w:space="0" w:color="auto"/>
            </w:tcBorders>
          </w:tcPr>
          <w:p w14:paraId="22423745" w14:textId="77777777" w:rsidR="001830EC" w:rsidRDefault="001830EC" w:rsidP="00EA4804">
            <w:pPr>
              <w:widowControl w:val="0"/>
              <w:kinsoku w:val="0"/>
              <w:snapToGrid w:val="0"/>
              <w:spacing w:before="40" w:after="40"/>
              <w:ind w:right="210"/>
              <w:jc w:val="right"/>
              <w:rPr>
                <w:i/>
                <w:iCs/>
                <w:color w:val="000000"/>
                <w:szCs w:val="18"/>
              </w:rPr>
            </w:pPr>
            <w:r>
              <w:rPr>
                <w:i/>
                <w:iCs/>
                <w:color w:val="000000"/>
                <w:szCs w:val="18"/>
              </w:rPr>
              <w:t>0</w:t>
            </w:r>
          </w:p>
        </w:tc>
        <w:tc>
          <w:tcPr>
            <w:tcW w:w="1843" w:type="dxa"/>
            <w:tcBorders>
              <w:top w:val="nil"/>
              <w:left w:val="single" w:sz="4" w:space="0" w:color="auto"/>
              <w:right w:val="single" w:sz="4" w:space="0" w:color="auto"/>
            </w:tcBorders>
          </w:tcPr>
          <w:p w14:paraId="614F1D25" w14:textId="77777777" w:rsidR="001830EC" w:rsidRPr="00C14137" w:rsidRDefault="001830EC" w:rsidP="00EA4804">
            <w:pPr>
              <w:widowControl w:val="0"/>
              <w:kinsoku w:val="0"/>
              <w:snapToGrid w:val="0"/>
              <w:spacing w:before="40" w:after="40"/>
              <w:ind w:right="210"/>
              <w:jc w:val="right"/>
              <w:rPr>
                <w:i/>
                <w:iCs/>
                <w:color w:val="000000"/>
                <w:szCs w:val="18"/>
              </w:rPr>
            </w:pPr>
            <w:r>
              <w:rPr>
                <w:i/>
                <w:iCs/>
                <w:color w:val="000000"/>
                <w:szCs w:val="18"/>
              </w:rPr>
              <w:t>0</w:t>
            </w:r>
          </w:p>
        </w:tc>
      </w:tr>
      <w:tr w:rsidR="001830EC" w:rsidRPr="0044520D" w14:paraId="20E47E38" w14:textId="77777777" w:rsidTr="001830EC">
        <w:trPr>
          <w:trHeight w:val="336"/>
          <w:jc w:val="center"/>
        </w:trPr>
        <w:tc>
          <w:tcPr>
            <w:tcW w:w="4422" w:type="dxa"/>
            <w:tcBorders>
              <w:top w:val="nil"/>
              <w:left w:val="single" w:sz="4" w:space="0" w:color="auto"/>
              <w:bottom w:val="single" w:sz="4" w:space="0" w:color="auto"/>
              <w:right w:val="single" w:sz="4" w:space="0" w:color="auto"/>
            </w:tcBorders>
            <w:shd w:val="clear" w:color="auto" w:fill="auto"/>
            <w:hideMark/>
          </w:tcPr>
          <w:p w14:paraId="1E50D192" w14:textId="77777777" w:rsidR="001830EC" w:rsidRPr="0044520D" w:rsidRDefault="001830EC" w:rsidP="00EA4804">
            <w:pPr>
              <w:pStyle w:val="Tabletext"/>
              <w:keepNext/>
              <w:keepLines/>
              <w:spacing w:before="40" w:after="40"/>
              <w:rPr>
                <w:lang w:val="fr-CH"/>
              </w:rPr>
            </w:pPr>
            <w:r w:rsidRPr="0044520D">
              <w:rPr>
                <w:lang w:val="fr-CH"/>
              </w:rPr>
              <w:t>Montant des engagements au titre du plan ASHI</w:t>
            </w:r>
          </w:p>
        </w:tc>
        <w:tc>
          <w:tcPr>
            <w:tcW w:w="1810" w:type="dxa"/>
            <w:tcBorders>
              <w:top w:val="nil"/>
              <w:left w:val="single" w:sz="4" w:space="0" w:color="auto"/>
              <w:bottom w:val="single" w:sz="4" w:space="0" w:color="auto"/>
              <w:right w:val="single" w:sz="4" w:space="0" w:color="auto"/>
            </w:tcBorders>
          </w:tcPr>
          <w:p w14:paraId="1D849F30" w14:textId="77777777" w:rsidR="001830EC" w:rsidRDefault="001830EC" w:rsidP="00EA4804">
            <w:pPr>
              <w:widowControl w:val="0"/>
              <w:kinsoku w:val="0"/>
              <w:snapToGrid w:val="0"/>
              <w:spacing w:before="40" w:after="40"/>
              <w:ind w:right="210"/>
              <w:jc w:val="right"/>
              <w:rPr>
                <w:i/>
                <w:iCs/>
                <w:color w:val="000000"/>
                <w:szCs w:val="18"/>
              </w:rPr>
            </w:pPr>
            <w:r>
              <w:rPr>
                <w:i/>
                <w:iCs/>
                <w:color w:val="000000"/>
                <w:szCs w:val="18"/>
              </w:rPr>
              <w:t>551 911</w:t>
            </w:r>
          </w:p>
        </w:tc>
        <w:tc>
          <w:tcPr>
            <w:tcW w:w="1843" w:type="dxa"/>
            <w:tcBorders>
              <w:top w:val="nil"/>
              <w:left w:val="single" w:sz="4" w:space="0" w:color="auto"/>
              <w:bottom w:val="single" w:sz="4" w:space="0" w:color="auto"/>
              <w:right w:val="single" w:sz="4" w:space="0" w:color="auto"/>
            </w:tcBorders>
          </w:tcPr>
          <w:p w14:paraId="03DBC36A" w14:textId="77777777" w:rsidR="001830EC" w:rsidRPr="00C14137" w:rsidRDefault="001830EC" w:rsidP="00EA4804">
            <w:pPr>
              <w:widowControl w:val="0"/>
              <w:kinsoku w:val="0"/>
              <w:snapToGrid w:val="0"/>
              <w:spacing w:before="40" w:after="40"/>
              <w:ind w:right="210"/>
              <w:jc w:val="right"/>
              <w:rPr>
                <w:i/>
                <w:iCs/>
                <w:color w:val="000000"/>
                <w:szCs w:val="18"/>
              </w:rPr>
            </w:pPr>
            <w:r>
              <w:rPr>
                <w:i/>
                <w:iCs/>
                <w:color w:val="000000"/>
                <w:szCs w:val="18"/>
              </w:rPr>
              <w:t>472 801</w:t>
            </w:r>
          </w:p>
        </w:tc>
      </w:tr>
    </w:tbl>
    <w:p w14:paraId="78CAF378" w14:textId="51A0C88E" w:rsidR="003D3D8D" w:rsidRDefault="003D3D8D" w:rsidP="001648F7">
      <w:pPr>
        <w:rPr>
          <w:lang w:val="fr-CH"/>
        </w:rPr>
      </w:pPr>
      <w:r w:rsidRPr="0044520D">
        <w:rPr>
          <w:lang w:val="fr-CH"/>
        </w:rPr>
        <w:t>2.2</w:t>
      </w:r>
      <w:r w:rsidRPr="0044520D">
        <w:rPr>
          <w:lang w:val="fr-CH"/>
        </w:rPr>
        <w:tab/>
      </w:r>
      <w:r>
        <w:rPr>
          <w:lang w:val="fr-CH"/>
        </w:rPr>
        <w:t>Le calcul des passifs de l'ASHI repose sur des hypothèses et des ajustements d'après les données de l'année. En 201</w:t>
      </w:r>
      <w:r w:rsidR="00511056">
        <w:rPr>
          <w:lang w:val="fr-CH"/>
        </w:rPr>
        <w:t>6</w:t>
      </w:r>
      <w:r>
        <w:rPr>
          <w:lang w:val="fr-CH"/>
        </w:rPr>
        <w:t xml:space="preserve">, </w:t>
      </w:r>
      <w:r w:rsidR="0008037C">
        <w:rPr>
          <w:lang w:val="fr-CH"/>
        </w:rPr>
        <w:t>un grand facteur influe</w:t>
      </w:r>
      <w:r>
        <w:rPr>
          <w:lang w:val="fr-CH"/>
        </w:rPr>
        <w:t xml:space="preserve"> sur l'évaluation: la baisse du taux d'actualisation. L'analyse du montant comptabilisé à l'actif net figure ci-après.</w:t>
      </w:r>
    </w:p>
    <w:p w14:paraId="0A0C4B3D" w14:textId="77777777" w:rsidR="003D3D8D" w:rsidRPr="00EB32A1" w:rsidRDefault="003D3D8D" w:rsidP="003D3D8D">
      <w:pPr>
        <w:rPr>
          <w:lang w:val="fr-CH"/>
        </w:rPr>
      </w:pPr>
    </w:p>
    <w:tbl>
      <w:tblPr>
        <w:tblW w:w="794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45"/>
        <w:gridCol w:w="1414"/>
        <w:gridCol w:w="1685"/>
      </w:tblGrid>
      <w:tr w:rsidR="00FF2CCA" w:rsidRPr="0044520D" w14:paraId="018B6096" w14:textId="77777777" w:rsidTr="00D00467">
        <w:trPr>
          <w:trHeight w:val="567"/>
          <w:jc w:val="center"/>
        </w:trPr>
        <w:tc>
          <w:tcPr>
            <w:tcW w:w="4845" w:type="dxa"/>
            <w:tcBorders>
              <w:top w:val="single" w:sz="4" w:space="0" w:color="auto"/>
              <w:bottom w:val="single" w:sz="4" w:space="0" w:color="auto"/>
              <w:right w:val="single" w:sz="4" w:space="0" w:color="auto"/>
            </w:tcBorders>
            <w:shd w:val="clear" w:color="auto" w:fill="auto"/>
            <w:vAlign w:val="center"/>
            <w:hideMark/>
          </w:tcPr>
          <w:p w14:paraId="14AF0B2D" w14:textId="77777777" w:rsidR="00FF2CCA" w:rsidRPr="00713D0A" w:rsidRDefault="00FF2CCA" w:rsidP="00EA4804">
            <w:pPr>
              <w:pStyle w:val="Tablehead"/>
              <w:rPr>
                <w:lang w:val="fr-CH"/>
              </w:rPr>
            </w:pPr>
            <w:r w:rsidRPr="00713D0A">
              <w:rPr>
                <w:lang w:val="fr-CH"/>
              </w:rPr>
              <w:t>Analyse des pertes actuarielles comptabilisées à l</w:t>
            </w:r>
            <w:r>
              <w:rPr>
                <w:lang w:val="fr-CH"/>
              </w:rPr>
              <w:t>'</w:t>
            </w:r>
            <w:r w:rsidRPr="00713D0A">
              <w:rPr>
                <w:lang w:val="fr-CH"/>
              </w:rPr>
              <w:t>actif net</w:t>
            </w:r>
          </w:p>
        </w:tc>
        <w:tc>
          <w:tcPr>
            <w:tcW w:w="3099" w:type="dxa"/>
            <w:gridSpan w:val="2"/>
            <w:tcBorders>
              <w:top w:val="single" w:sz="4" w:space="0" w:color="auto"/>
              <w:bottom w:val="single" w:sz="4" w:space="0" w:color="auto"/>
            </w:tcBorders>
          </w:tcPr>
          <w:p w14:paraId="1A4C70AD" w14:textId="77777777" w:rsidR="00FF2CCA" w:rsidRPr="001648F7" w:rsidRDefault="00FF2CCA" w:rsidP="00EA4804">
            <w:pPr>
              <w:pStyle w:val="Tablehead"/>
              <w:rPr>
                <w:i/>
                <w:iCs/>
                <w:lang w:val="fr-CH"/>
              </w:rPr>
            </w:pPr>
            <w:r w:rsidRPr="001648F7">
              <w:rPr>
                <w:i/>
                <w:iCs/>
                <w:lang w:val="fr-CH"/>
              </w:rPr>
              <w:t>En milliers de CHF</w:t>
            </w:r>
          </w:p>
        </w:tc>
      </w:tr>
      <w:tr w:rsidR="00FF2CCA" w:rsidRPr="0044520D" w14:paraId="0C50A2E6" w14:textId="77777777" w:rsidTr="00FF2CCA">
        <w:trPr>
          <w:trHeight w:val="264"/>
          <w:jc w:val="center"/>
        </w:trPr>
        <w:tc>
          <w:tcPr>
            <w:tcW w:w="4845" w:type="dxa"/>
            <w:tcBorders>
              <w:top w:val="single" w:sz="4" w:space="0" w:color="auto"/>
              <w:right w:val="single" w:sz="4" w:space="0" w:color="auto"/>
            </w:tcBorders>
            <w:shd w:val="clear" w:color="auto" w:fill="auto"/>
            <w:hideMark/>
          </w:tcPr>
          <w:p w14:paraId="5B0515C2" w14:textId="77777777" w:rsidR="00FF2CCA" w:rsidRPr="0044520D" w:rsidRDefault="00FF2CCA" w:rsidP="00EA4804">
            <w:pPr>
              <w:pStyle w:val="Tablehead"/>
              <w:rPr>
                <w:lang w:val="fr-CH"/>
              </w:rPr>
            </w:pPr>
          </w:p>
        </w:tc>
        <w:tc>
          <w:tcPr>
            <w:tcW w:w="1414" w:type="dxa"/>
            <w:tcBorders>
              <w:top w:val="single" w:sz="4" w:space="0" w:color="auto"/>
              <w:right w:val="single" w:sz="4" w:space="0" w:color="auto"/>
            </w:tcBorders>
          </w:tcPr>
          <w:p w14:paraId="6D20A750" w14:textId="77777777" w:rsidR="00FF2CCA" w:rsidRPr="00713D0A" w:rsidRDefault="00FF2CCA" w:rsidP="00EA4804">
            <w:pPr>
              <w:pStyle w:val="Tablehead"/>
              <w:rPr>
                <w:lang w:val="fr-CH"/>
              </w:rPr>
            </w:pPr>
            <w:r>
              <w:rPr>
                <w:lang w:val="fr-CH"/>
              </w:rPr>
              <w:t>31.12.2016</w:t>
            </w:r>
          </w:p>
        </w:tc>
        <w:tc>
          <w:tcPr>
            <w:tcW w:w="1685" w:type="dxa"/>
            <w:tcBorders>
              <w:top w:val="single" w:sz="4" w:space="0" w:color="auto"/>
              <w:left w:val="single" w:sz="4" w:space="0" w:color="auto"/>
              <w:bottom w:val="nil"/>
            </w:tcBorders>
            <w:shd w:val="clear" w:color="auto" w:fill="auto"/>
            <w:vAlign w:val="bottom"/>
          </w:tcPr>
          <w:p w14:paraId="18BFACB0" w14:textId="77777777" w:rsidR="00FF2CCA" w:rsidRPr="00713D0A" w:rsidRDefault="00FF2CCA" w:rsidP="00EA4804">
            <w:pPr>
              <w:pStyle w:val="Tablehead"/>
              <w:rPr>
                <w:lang w:val="fr-CH"/>
              </w:rPr>
            </w:pPr>
            <w:r w:rsidRPr="00713D0A">
              <w:rPr>
                <w:lang w:val="fr-CH"/>
              </w:rPr>
              <w:t>31.12.201</w:t>
            </w:r>
            <w:r>
              <w:rPr>
                <w:lang w:val="fr-CH"/>
              </w:rPr>
              <w:t>5</w:t>
            </w:r>
          </w:p>
        </w:tc>
      </w:tr>
      <w:tr w:rsidR="00FF2CCA" w:rsidRPr="00713D0A" w14:paraId="6567C62C" w14:textId="77777777" w:rsidTr="00FF2CCA">
        <w:trPr>
          <w:trHeight w:val="264"/>
          <w:jc w:val="center"/>
        </w:trPr>
        <w:tc>
          <w:tcPr>
            <w:tcW w:w="4845" w:type="dxa"/>
            <w:tcBorders>
              <w:right w:val="single" w:sz="4" w:space="0" w:color="auto"/>
            </w:tcBorders>
            <w:shd w:val="clear" w:color="auto" w:fill="auto"/>
            <w:hideMark/>
          </w:tcPr>
          <w:p w14:paraId="0C86058F" w14:textId="77777777" w:rsidR="00FF2CCA" w:rsidRPr="00713D0A" w:rsidRDefault="00FF2CCA" w:rsidP="00EA4804">
            <w:pPr>
              <w:pStyle w:val="Tabletext"/>
              <w:keepNext/>
              <w:keepLines/>
              <w:spacing w:before="40" w:after="40"/>
              <w:rPr>
                <w:lang w:val="fr-CH"/>
              </w:rPr>
            </w:pPr>
            <w:r w:rsidRPr="007B4F56">
              <w:rPr>
                <w:lang w:val="fr-CH"/>
              </w:rPr>
              <w:t>Obligation due à des changements d</w:t>
            </w:r>
            <w:r>
              <w:rPr>
                <w:lang w:val="fr-CH"/>
              </w:rPr>
              <w:t>'</w:t>
            </w:r>
            <w:r w:rsidRPr="007B4F56">
              <w:rPr>
                <w:lang w:val="fr-CH"/>
              </w:rPr>
              <w:t>hypothèses</w:t>
            </w:r>
          </w:p>
        </w:tc>
        <w:tc>
          <w:tcPr>
            <w:tcW w:w="1414" w:type="dxa"/>
            <w:tcBorders>
              <w:right w:val="single" w:sz="4" w:space="0" w:color="auto"/>
            </w:tcBorders>
          </w:tcPr>
          <w:p w14:paraId="0C8FF4AD" w14:textId="77777777" w:rsidR="00FF2CCA" w:rsidRDefault="006B618F" w:rsidP="00EA4804">
            <w:pPr>
              <w:widowControl w:val="0"/>
              <w:kinsoku w:val="0"/>
              <w:snapToGrid w:val="0"/>
              <w:spacing w:before="40" w:after="40"/>
              <w:ind w:right="158"/>
              <w:jc w:val="right"/>
              <w:rPr>
                <w:bCs/>
                <w:i/>
                <w:iCs/>
                <w:color w:val="000000"/>
                <w:szCs w:val="18"/>
              </w:rPr>
            </w:pPr>
            <w:r>
              <w:rPr>
                <w:bCs/>
                <w:i/>
                <w:iCs/>
                <w:color w:val="000000"/>
                <w:szCs w:val="18"/>
              </w:rPr>
              <w:t>42 746</w:t>
            </w:r>
          </w:p>
        </w:tc>
        <w:tc>
          <w:tcPr>
            <w:tcW w:w="1685" w:type="dxa"/>
            <w:tcBorders>
              <w:top w:val="nil"/>
              <w:left w:val="single" w:sz="4" w:space="0" w:color="auto"/>
              <w:bottom w:val="nil"/>
            </w:tcBorders>
            <w:shd w:val="clear" w:color="auto" w:fill="auto"/>
          </w:tcPr>
          <w:p w14:paraId="09AA4D65" w14:textId="77777777" w:rsidR="00FF2CCA" w:rsidRPr="00573C72" w:rsidRDefault="00FF2CCA" w:rsidP="00EA4804">
            <w:pPr>
              <w:widowControl w:val="0"/>
              <w:kinsoku w:val="0"/>
              <w:snapToGrid w:val="0"/>
              <w:spacing w:before="40" w:after="40"/>
              <w:ind w:right="158"/>
              <w:jc w:val="right"/>
              <w:rPr>
                <w:bCs/>
                <w:i/>
                <w:iCs/>
                <w:color w:val="000000"/>
                <w:szCs w:val="18"/>
              </w:rPr>
            </w:pPr>
            <w:r>
              <w:rPr>
                <w:bCs/>
                <w:i/>
                <w:iCs/>
                <w:color w:val="000000"/>
                <w:szCs w:val="18"/>
              </w:rPr>
              <w:t>3 238</w:t>
            </w:r>
          </w:p>
        </w:tc>
      </w:tr>
      <w:tr w:rsidR="00FF2CCA" w:rsidRPr="00713D0A" w14:paraId="15E9C987" w14:textId="77777777" w:rsidTr="00FF2CCA">
        <w:trPr>
          <w:trHeight w:val="264"/>
          <w:jc w:val="center"/>
        </w:trPr>
        <w:tc>
          <w:tcPr>
            <w:tcW w:w="4845" w:type="dxa"/>
            <w:tcBorders>
              <w:right w:val="single" w:sz="4" w:space="0" w:color="auto"/>
            </w:tcBorders>
            <w:shd w:val="clear" w:color="auto" w:fill="auto"/>
          </w:tcPr>
          <w:p w14:paraId="592A85D0" w14:textId="77777777" w:rsidR="00FF2CCA" w:rsidRPr="00713D0A" w:rsidRDefault="00FF2CCA" w:rsidP="00EA4804">
            <w:pPr>
              <w:pStyle w:val="Tabletext"/>
              <w:keepNext/>
              <w:keepLines/>
              <w:spacing w:before="40" w:after="40"/>
              <w:rPr>
                <w:lang w:val="fr-CH"/>
              </w:rPr>
            </w:pPr>
            <w:r w:rsidRPr="007B4F56">
              <w:rPr>
                <w:lang w:val="fr-CH"/>
              </w:rPr>
              <w:t xml:space="preserve">Obligation due aux </w:t>
            </w:r>
            <w:r>
              <w:rPr>
                <w:lang w:val="fr-CH"/>
              </w:rPr>
              <w:t>résultats obtenus pendant</w:t>
            </w:r>
            <w:r w:rsidRPr="007B4F56">
              <w:rPr>
                <w:lang w:val="fr-CH"/>
              </w:rPr>
              <w:t xml:space="preserve"> l</w:t>
            </w:r>
            <w:r>
              <w:rPr>
                <w:lang w:val="fr-CH"/>
              </w:rPr>
              <w:t>'</w:t>
            </w:r>
            <w:r w:rsidRPr="007B4F56">
              <w:rPr>
                <w:lang w:val="fr-CH"/>
              </w:rPr>
              <w:t>exercice</w:t>
            </w:r>
          </w:p>
        </w:tc>
        <w:tc>
          <w:tcPr>
            <w:tcW w:w="1414" w:type="dxa"/>
            <w:tcBorders>
              <w:right w:val="single" w:sz="4" w:space="0" w:color="auto"/>
            </w:tcBorders>
          </w:tcPr>
          <w:p w14:paraId="4F5C51C1" w14:textId="77777777" w:rsidR="00FF2CCA" w:rsidRPr="00BD741D" w:rsidRDefault="006B618F" w:rsidP="00EA4804">
            <w:pPr>
              <w:widowControl w:val="0"/>
              <w:kinsoku w:val="0"/>
              <w:snapToGrid w:val="0"/>
              <w:spacing w:before="40" w:after="40"/>
              <w:ind w:right="158"/>
              <w:jc w:val="right"/>
              <w:rPr>
                <w:bCs/>
                <w:i/>
                <w:iCs/>
                <w:color w:val="000000"/>
                <w:szCs w:val="18"/>
              </w:rPr>
            </w:pPr>
            <w:r>
              <w:rPr>
                <w:bCs/>
                <w:i/>
                <w:iCs/>
                <w:color w:val="000000"/>
                <w:szCs w:val="18"/>
              </w:rPr>
              <w:t>22 697</w:t>
            </w:r>
          </w:p>
        </w:tc>
        <w:tc>
          <w:tcPr>
            <w:tcW w:w="1685" w:type="dxa"/>
            <w:tcBorders>
              <w:top w:val="nil"/>
              <w:left w:val="single" w:sz="4" w:space="0" w:color="auto"/>
              <w:bottom w:val="nil"/>
            </w:tcBorders>
            <w:shd w:val="clear" w:color="auto" w:fill="auto"/>
          </w:tcPr>
          <w:p w14:paraId="23B9471C" w14:textId="77777777" w:rsidR="00FF2CCA" w:rsidRPr="00573C72" w:rsidRDefault="00FF2CCA" w:rsidP="00EA4804">
            <w:pPr>
              <w:widowControl w:val="0"/>
              <w:kinsoku w:val="0"/>
              <w:snapToGrid w:val="0"/>
              <w:spacing w:before="40" w:after="40"/>
              <w:ind w:right="158"/>
              <w:jc w:val="right"/>
              <w:rPr>
                <w:bCs/>
                <w:i/>
                <w:iCs/>
                <w:color w:val="000000"/>
                <w:szCs w:val="18"/>
              </w:rPr>
            </w:pPr>
            <w:r w:rsidRPr="00BD741D">
              <w:rPr>
                <w:bCs/>
                <w:i/>
                <w:iCs/>
                <w:color w:val="000000"/>
                <w:szCs w:val="18"/>
              </w:rPr>
              <w:t>–</w:t>
            </w:r>
            <w:r>
              <w:rPr>
                <w:bCs/>
                <w:i/>
                <w:iCs/>
                <w:color w:val="000000"/>
                <w:szCs w:val="18"/>
              </w:rPr>
              <w:t>58 810</w:t>
            </w:r>
          </w:p>
        </w:tc>
      </w:tr>
      <w:tr w:rsidR="00FF2CCA" w:rsidRPr="00713D0A" w14:paraId="1A879EBB" w14:textId="77777777" w:rsidTr="00FF2CCA">
        <w:trPr>
          <w:trHeight w:val="264"/>
          <w:jc w:val="center"/>
        </w:trPr>
        <w:tc>
          <w:tcPr>
            <w:tcW w:w="4845" w:type="dxa"/>
            <w:tcBorders>
              <w:right w:val="single" w:sz="4" w:space="0" w:color="auto"/>
            </w:tcBorders>
            <w:shd w:val="clear" w:color="auto" w:fill="auto"/>
            <w:hideMark/>
          </w:tcPr>
          <w:p w14:paraId="44E4F70A" w14:textId="77777777" w:rsidR="00FF2CCA" w:rsidRPr="00713D0A" w:rsidRDefault="00FF2CCA" w:rsidP="00EA4804">
            <w:pPr>
              <w:pStyle w:val="Tabletext"/>
              <w:keepNext/>
              <w:keepLines/>
              <w:spacing w:before="40" w:after="40"/>
              <w:rPr>
                <w:lang w:val="fr-CH"/>
              </w:rPr>
            </w:pPr>
            <w:r w:rsidRPr="00713D0A">
              <w:rPr>
                <w:lang w:val="fr-CH"/>
              </w:rPr>
              <w:t>Pertes/</w:t>
            </w:r>
            <w:r w:rsidRPr="007B4F56">
              <w:rPr>
                <w:lang w:val="fr-CH"/>
              </w:rPr>
              <w:t>Gains liés aux actifs du plan</w:t>
            </w:r>
          </w:p>
        </w:tc>
        <w:tc>
          <w:tcPr>
            <w:tcW w:w="1414" w:type="dxa"/>
            <w:tcBorders>
              <w:right w:val="single" w:sz="4" w:space="0" w:color="auto"/>
            </w:tcBorders>
          </w:tcPr>
          <w:p w14:paraId="1EE620EA" w14:textId="77777777" w:rsidR="00FF2CCA" w:rsidRPr="00573C72" w:rsidRDefault="00FF2CCA" w:rsidP="00EA4804">
            <w:pPr>
              <w:widowControl w:val="0"/>
              <w:kinsoku w:val="0"/>
              <w:snapToGrid w:val="0"/>
              <w:spacing w:before="40" w:after="40"/>
              <w:ind w:right="158"/>
              <w:jc w:val="right"/>
              <w:rPr>
                <w:bCs/>
                <w:i/>
                <w:iCs/>
                <w:color w:val="000000"/>
                <w:szCs w:val="18"/>
              </w:rPr>
            </w:pPr>
          </w:p>
        </w:tc>
        <w:tc>
          <w:tcPr>
            <w:tcW w:w="1685" w:type="dxa"/>
            <w:tcBorders>
              <w:top w:val="nil"/>
              <w:left w:val="single" w:sz="4" w:space="0" w:color="auto"/>
              <w:bottom w:val="nil"/>
            </w:tcBorders>
            <w:shd w:val="clear" w:color="auto" w:fill="auto"/>
          </w:tcPr>
          <w:p w14:paraId="7D896228" w14:textId="77777777" w:rsidR="00FF2CCA" w:rsidRPr="00573C72" w:rsidRDefault="00FF2CCA" w:rsidP="00EA4804">
            <w:pPr>
              <w:widowControl w:val="0"/>
              <w:kinsoku w:val="0"/>
              <w:snapToGrid w:val="0"/>
              <w:spacing w:before="40" w:after="40"/>
              <w:ind w:right="158"/>
              <w:jc w:val="right"/>
              <w:rPr>
                <w:bCs/>
                <w:i/>
                <w:iCs/>
                <w:color w:val="000000"/>
                <w:szCs w:val="18"/>
              </w:rPr>
            </w:pPr>
          </w:p>
        </w:tc>
      </w:tr>
      <w:tr w:rsidR="00FF2CCA" w:rsidRPr="00713D0A" w14:paraId="028B41E9" w14:textId="77777777" w:rsidTr="00FF2CCA">
        <w:trPr>
          <w:trHeight w:val="264"/>
          <w:jc w:val="center"/>
        </w:trPr>
        <w:tc>
          <w:tcPr>
            <w:tcW w:w="4845" w:type="dxa"/>
            <w:tcBorders>
              <w:right w:val="single" w:sz="4" w:space="0" w:color="auto"/>
            </w:tcBorders>
            <w:shd w:val="clear" w:color="auto" w:fill="auto"/>
          </w:tcPr>
          <w:p w14:paraId="5FE12BB2" w14:textId="77777777" w:rsidR="00FF2CCA" w:rsidRPr="00713D0A" w:rsidRDefault="00FF2CCA" w:rsidP="00EA4804">
            <w:pPr>
              <w:pStyle w:val="Tabletext"/>
              <w:keepNext/>
              <w:keepLines/>
              <w:spacing w:before="40" w:after="40"/>
              <w:rPr>
                <w:lang w:val="fr-CH"/>
              </w:rPr>
            </w:pPr>
            <w:r w:rsidRPr="007B4F56">
              <w:rPr>
                <w:lang w:val="fr-CH"/>
              </w:rPr>
              <w:t>Variation</w:t>
            </w:r>
            <w:r>
              <w:rPr>
                <w:lang w:val="fr-CH"/>
              </w:rPr>
              <w:t xml:space="preserve"> au cours</w:t>
            </w:r>
            <w:r w:rsidRPr="007B4F56">
              <w:rPr>
                <w:lang w:val="fr-CH"/>
              </w:rPr>
              <w:t xml:space="preserve"> de l</w:t>
            </w:r>
            <w:r>
              <w:rPr>
                <w:lang w:val="fr-CH"/>
              </w:rPr>
              <w:t>'</w:t>
            </w:r>
            <w:r w:rsidRPr="007B4F56">
              <w:rPr>
                <w:lang w:val="fr-CH"/>
              </w:rPr>
              <w:t>exercice</w:t>
            </w:r>
          </w:p>
        </w:tc>
        <w:tc>
          <w:tcPr>
            <w:tcW w:w="1414" w:type="dxa"/>
            <w:tcBorders>
              <w:right w:val="single" w:sz="4" w:space="0" w:color="auto"/>
            </w:tcBorders>
          </w:tcPr>
          <w:p w14:paraId="5C563B9B" w14:textId="7F7CE72C" w:rsidR="00FF2CCA" w:rsidRPr="00BD741D" w:rsidRDefault="006B618F" w:rsidP="00EA4804">
            <w:pPr>
              <w:widowControl w:val="0"/>
              <w:kinsoku w:val="0"/>
              <w:snapToGrid w:val="0"/>
              <w:spacing w:before="40" w:after="40"/>
              <w:ind w:right="158"/>
              <w:jc w:val="right"/>
              <w:rPr>
                <w:bCs/>
                <w:i/>
                <w:iCs/>
                <w:color w:val="000000"/>
                <w:szCs w:val="18"/>
              </w:rPr>
            </w:pPr>
            <w:r>
              <w:rPr>
                <w:bCs/>
                <w:i/>
                <w:iCs/>
                <w:color w:val="000000"/>
                <w:szCs w:val="18"/>
              </w:rPr>
              <w:t>65 433</w:t>
            </w:r>
          </w:p>
        </w:tc>
        <w:tc>
          <w:tcPr>
            <w:tcW w:w="1685" w:type="dxa"/>
            <w:tcBorders>
              <w:top w:val="nil"/>
              <w:left w:val="single" w:sz="4" w:space="0" w:color="auto"/>
              <w:bottom w:val="nil"/>
            </w:tcBorders>
            <w:shd w:val="clear" w:color="auto" w:fill="auto"/>
          </w:tcPr>
          <w:p w14:paraId="73399162" w14:textId="77777777" w:rsidR="00FF2CCA" w:rsidRPr="00573C72" w:rsidRDefault="00FF2CCA" w:rsidP="00EA4804">
            <w:pPr>
              <w:widowControl w:val="0"/>
              <w:kinsoku w:val="0"/>
              <w:snapToGrid w:val="0"/>
              <w:spacing w:before="40" w:after="40"/>
              <w:ind w:right="158"/>
              <w:jc w:val="right"/>
              <w:rPr>
                <w:bCs/>
                <w:i/>
                <w:iCs/>
                <w:color w:val="000000"/>
                <w:szCs w:val="18"/>
              </w:rPr>
            </w:pPr>
            <w:r w:rsidRPr="00BD741D">
              <w:rPr>
                <w:bCs/>
                <w:i/>
                <w:iCs/>
                <w:color w:val="000000"/>
                <w:szCs w:val="18"/>
              </w:rPr>
              <w:t>–</w:t>
            </w:r>
            <w:r>
              <w:rPr>
                <w:bCs/>
                <w:i/>
                <w:iCs/>
                <w:color w:val="000000"/>
                <w:szCs w:val="18"/>
              </w:rPr>
              <w:t>55 572</w:t>
            </w:r>
          </w:p>
        </w:tc>
      </w:tr>
      <w:tr w:rsidR="00FF2CCA" w:rsidRPr="00713D0A" w14:paraId="4F1667B4" w14:textId="77777777" w:rsidTr="00FF2CCA">
        <w:trPr>
          <w:trHeight w:val="336"/>
          <w:jc w:val="center"/>
        </w:trPr>
        <w:tc>
          <w:tcPr>
            <w:tcW w:w="4845" w:type="dxa"/>
            <w:tcBorders>
              <w:right w:val="single" w:sz="4" w:space="0" w:color="auto"/>
            </w:tcBorders>
            <w:shd w:val="clear" w:color="auto" w:fill="auto"/>
            <w:hideMark/>
          </w:tcPr>
          <w:p w14:paraId="336C2AF0" w14:textId="3D98F90A" w:rsidR="00FF2CCA" w:rsidRPr="00713D0A" w:rsidRDefault="00FF2CCA" w:rsidP="00EA4804">
            <w:pPr>
              <w:pStyle w:val="Tabletext"/>
              <w:keepNext/>
              <w:keepLines/>
              <w:spacing w:before="40" w:after="40"/>
              <w:rPr>
                <w:lang w:val="fr-CH"/>
              </w:rPr>
            </w:pPr>
            <w:r w:rsidRPr="007B4F56">
              <w:rPr>
                <w:lang w:val="fr-CH"/>
              </w:rPr>
              <w:t xml:space="preserve">Montant cumulé </w:t>
            </w:r>
            <w:r>
              <w:rPr>
                <w:lang w:val="fr-CH"/>
              </w:rPr>
              <w:t>comptabilisé à l'actif net au </w:t>
            </w:r>
            <w:r w:rsidRPr="00713D0A">
              <w:rPr>
                <w:lang w:val="fr-CH"/>
              </w:rPr>
              <w:t>31 décembre</w:t>
            </w:r>
          </w:p>
        </w:tc>
        <w:tc>
          <w:tcPr>
            <w:tcW w:w="1414" w:type="dxa"/>
            <w:tcBorders>
              <w:right w:val="single" w:sz="4" w:space="0" w:color="auto"/>
            </w:tcBorders>
          </w:tcPr>
          <w:p w14:paraId="57B801DF" w14:textId="77777777" w:rsidR="00FF2CCA" w:rsidRDefault="00722C9D" w:rsidP="00EA4804">
            <w:pPr>
              <w:widowControl w:val="0"/>
              <w:kinsoku w:val="0"/>
              <w:snapToGrid w:val="0"/>
              <w:spacing w:before="40" w:after="40"/>
              <w:ind w:right="158"/>
              <w:jc w:val="right"/>
              <w:rPr>
                <w:bCs/>
                <w:i/>
                <w:iCs/>
                <w:color w:val="000000"/>
                <w:szCs w:val="18"/>
              </w:rPr>
            </w:pPr>
            <w:r>
              <w:rPr>
                <w:bCs/>
                <w:i/>
                <w:iCs/>
                <w:color w:val="000000"/>
                <w:szCs w:val="18"/>
              </w:rPr>
              <w:t>322 579</w:t>
            </w:r>
          </w:p>
        </w:tc>
        <w:tc>
          <w:tcPr>
            <w:tcW w:w="1685" w:type="dxa"/>
            <w:tcBorders>
              <w:top w:val="nil"/>
              <w:left w:val="single" w:sz="4" w:space="0" w:color="auto"/>
              <w:bottom w:val="single" w:sz="4" w:space="0" w:color="auto"/>
            </w:tcBorders>
            <w:shd w:val="clear" w:color="auto" w:fill="auto"/>
          </w:tcPr>
          <w:p w14:paraId="492C99D5" w14:textId="77777777" w:rsidR="00FF2CCA" w:rsidRPr="00573C72" w:rsidRDefault="00FF2CCA" w:rsidP="00EA4804">
            <w:pPr>
              <w:widowControl w:val="0"/>
              <w:kinsoku w:val="0"/>
              <w:snapToGrid w:val="0"/>
              <w:spacing w:before="40" w:after="40"/>
              <w:ind w:right="158"/>
              <w:jc w:val="right"/>
              <w:rPr>
                <w:bCs/>
                <w:i/>
                <w:iCs/>
                <w:color w:val="000000"/>
                <w:szCs w:val="18"/>
              </w:rPr>
            </w:pPr>
            <w:r>
              <w:rPr>
                <w:bCs/>
                <w:i/>
                <w:iCs/>
                <w:color w:val="000000"/>
                <w:szCs w:val="18"/>
              </w:rPr>
              <w:t>257 136</w:t>
            </w:r>
          </w:p>
        </w:tc>
      </w:tr>
    </w:tbl>
    <w:p w14:paraId="299550BD" w14:textId="77777777" w:rsidR="003D3D8D" w:rsidRDefault="003D3D8D" w:rsidP="00722C9D">
      <w:pPr>
        <w:rPr>
          <w:lang w:val="fr-CH"/>
        </w:rPr>
      </w:pPr>
      <w:r w:rsidRPr="0044520D">
        <w:rPr>
          <w:lang w:val="fr-CH"/>
        </w:rPr>
        <w:t>2.3</w:t>
      </w:r>
      <w:r w:rsidRPr="0044520D">
        <w:rPr>
          <w:lang w:val="fr-CH"/>
        </w:rPr>
        <w:tab/>
      </w:r>
      <w:r>
        <w:rPr>
          <w:lang w:val="fr-CH"/>
        </w:rPr>
        <w:t xml:space="preserve">Parmi les hypothèses actuarielles utilisées pour l'évaluation actuarielle, le taux d'actualisation, la hausse des coûts médicaux et l'augmentation des traitements sont celles dont l'incidence est la plus forte. Une baisse du taux d'actualisation ou une augmentation des coûts médicaux se traduit par une hausse des passifs de l'ASHI, tandis qu'une augmentation des traitements entraîne une hausse des contributions versées par les membres et l'UIT et a un effet positif sur le financement des passifs de l'ASHI. </w:t>
      </w:r>
    </w:p>
    <w:p w14:paraId="60472F29" w14:textId="77777777" w:rsidR="003D3D8D" w:rsidRDefault="003D3D8D" w:rsidP="001648F7">
      <w:pPr>
        <w:rPr>
          <w:lang w:val="fr-CH"/>
        </w:rPr>
      </w:pPr>
      <w:r w:rsidRPr="0044520D">
        <w:rPr>
          <w:lang w:val="fr-CH"/>
        </w:rPr>
        <w:t>2.4</w:t>
      </w:r>
      <w:r w:rsidRPr="0044520D">
        <w:rPr>
          <w:lang w:val="fr-CH"/>
        </w:rPr>
        <w:tab/>
      </w:r>
      <w:r>
        <w:rPr>
          <w:lang w:val="fr-CH"/>
        </w:rPr>
        <w:t>Le taux d'actualisation est l'élément dont la variation a la plus forte incidence sur la valeur des passifs à la fin de l'année. Ce taux d'actualisation repose sur le rendement des obligations des entreprises notées AA, qui a fortement baissé en 201</w:t>
      </w:r>
      <w:r w:rsidR="00722C9D">
        <w:rPr>
          <w:lang w:val="fr-CH"/>
        </w:rPr>
        <w:t>6</w:t>
      </w:r>
      <w:r>
        <w:rPr>
          <w:lang w:val="fr-CH"/>
        </w:rPr>
        <w:t xml:space="preserve"> pour atteindre </w:t>
      </w:r>
      <w:r w:rsidR="00722C9D">
        <w:rPr>
          <w:lang w:val="fr-CH"/>
        </w:rPr>
        <w:t>0</w:t>
      </w:r>
      <w:r>
        <w:rPr>
          <w:lang w:val="fr-CH"/>
        </w:rPr>
        <w:t>,</w:t>
      </w:r>
      <w:r w:rsidR="00722C9D">
        <w:rPr>
          <w:lang w:val="fr-CH"/>
        </w:rPr>
        <w:t>9</w:t>
      </w:r>
      <w:r>
        <w:rPr>
          <w:lang w:val="fr-CH"/>
        </w:rPr>
        <w:t>2%, alors qu'il était de 1,</w:t>
      </w:r>
      <w:r w:rsidR="00722C9D">
        <w:rPr>
          <w:lang w:val="fr-CH"/>
        </w:rPr>
        <w:t>32</w:t>
      </w:r>
      <w:r>
        <w:rPr>
          <w:lang w:val="fr-CH"/>
        </w:rPr>
        <w:t>% en 201</w:t>
      </w:r>
      <w:r w:rsidR="00722C9D">
        <w:rPr>
          <w:lang w:val="fr-CH"/>
        </w:rPr>
        <w:t>5</w:t>
      </w:r>
      <w:r>
        <w:rPr>
          <w:lang w:val="fr-CH"/>
        </w:rPr>
        <w:t>.</w:t>
      </w:r>
    </w:p>
    <w:p w14:paraId="25E92332" w14:textId="77777777" w:rsidR="003D3D8D" w:rsidRDefault="003D3D8D" w:rsidP="001648F7">
      <w:pPr>
        <w:pageBreakBefore/>
        <w:rPr>
          <w:lang w:val="fr-CH"/>
        </w:rPr>
      </w:pPr>
      <w:r w:rsidRPr="0044520D">
        <w:rPr>
          <w:lang w:val="fr-CH"/>
        </w:rPr>
        <w:lastRenderedPageBreak/>
        <w:t>2.</w:t>
      </w:r>
      <w:r>
        <w:rPr>
          <w:lang w:val="fr-CH"/>
        </w:rPr>
        <w:t>5</w:t>
      </w:r>
      <w:r w:rsidRPr="0044520D">
        <w:rPr>
          <w:lang w:val="fr-CH"/>
        </w:rPr>
        <w:tab/>
      </w:r>
      <w:r>
        <w:rPr>
          <w:lang w:val="fr-CH"/>
        </w:rPr>
        <w:t xml:space="preserve">L'évolution de </w:t>
      </w:r>
      <w:r w:rsidRPr="00F72BF7">
        <w:rPr>
          <w:lang w:val="fr-CH"/>
        </w:rPr>
        <w:t>ces</w:t>
      </w:r>
      <w:r>
        <w:rPr>
          <w:lang w:val="fr-CH"/>
        </w:rPr>
        <w:t xml:space="preserve"> hypothèses fait l'objet du tableau ci-après.</w:t>
      </w:r>
    </w:p>
    <w:p w14:paraId="7BF7ECD5" w14:textId="77777777" w:rsidR="003D3D8D" w:rsidRPr="0004704F" w:rsidRDefault="003D3D8D" w:rsidP="003D3D8D">
      <w:pPr>
        <w:rPr>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858"/>
        <w:gridCol w:w="858"/>
        <w:gridCol w:w="1031"/>
        <w:gridCol w:w="1019"/>
        <w:gridCol w:w="1019"/>
        <w:gridCol w:w="904"/>
        <w:gridCol w:w="1066"/>
      </w:tblGrid>
      <w:tr w:rsidR="00F41B59" w:rsidRPr="00BD741D" w14:paraId="17A831FA" w14:textId="77777777" w:rsidTr="00A76B7F">
        <w:trPr>
          <w:trHeight w:val="564"/>
        </w:trPr>
        <w:tc>
          <w:tcPr>
            <w:tcW w:w="7581" w:type="dxa"/>
            <w:gridSpan w:val="7"/>
            <w:tcBorders>
              <w:top w:val="single" w:sz="4" w:space="0" w:color="auto"/>
              <w:left w:val="nil"/>
              <w:right w:val="nil"/>
            </w:tcBorders>
            <w:shd w:val="clear" w:color="auto" w:fill="B8CCE4" w:themeFill="accent1" w:themeFillTint="66"/>
          </w:tcPr>
          <w:p w14:paraId="7145A601" w14:textId="77777777" w:rsidR="00F41B59" w:rsidRPr="00BD741D" w:rsidRDefault="00F41B59" w:rsidP="00EA4804">
            <w:pPr>
              <w:pStyle w:val="Tablehead"/>
              <w:jc w:val="left"/>
              <w:rPr>
                <w:lang w:val="fr-CH"/>
              </w:rPr>
            </w:pPr>
            <w:r>
              <w:rPr>
                <w:color w:val="244061" w:themeColor="accent1" w:themeShade="80"/>
                <w:lang w:val="fr-CH"/>
              </w:rPr>
              <w:t>Estimations actuarielles retenues pour l'évaluation actuarielle, ayant des incidences significatives sur les engagements correspondant à la norme IPSAS 25 et sur l'actif net</w:t>
            </w:r>
          </w:p>
        </w:tc>
        <w:tc>
          <w:tcPr>
            <w:tcW w:w="1066" w:type="dxa"/>
            <w:tcBorders>
              <w:top w:val="single" w:sz="4" w:space="0" w:color="auto"/>
              <w:left w:val="nil"/>
              <w:right w:val="nil"/>
            </w:tcBorders>
            <w:shd w:val="clear" w:color="auto" w:fill="B8CCE4" w:themeFill="accent1" w:themeFillTint="66"/>
          </w:tcPr>
          <w:p w14:paraId="17FE73AB" w14:textId="77777777" w:rsidR="00F41B59" w:rsidRDefault="00F41B59" w:rsidP="00EA4804">
            <w:pPr>
              <w:pStyle w:val="Tablehead"/>
              <w:jc w:val="left"/>
              <w:rPr>
                <w:color w:val="244061" w:themeColor="accent1" w:themeShade="80"/>
                <w:lang w:val="fr-CH"/>
              </w:rPr>
            </w:pPr>
          </w:p>
        </w:tc>
      </w:tr>
      <w:tr w:rsidR="00F41B59" w14:paraId="67325DC9" w14:textId="77777777" w:rsidTr="00A76B7F">
        <w:tc>
          <w:tcPr>
            <w:tcW w:w="1892" w:type="dxa"/>
            <w:tcBorders>
              <w:top w:val="nil"/>
              <w:left w:val="nil"/>
              <w:bottom w:val="single" w:sz="4" w:space="0" w:color="auto"/>
              <w:right w:val="nil"/>
            </w:tcBorders>
            <w:shd w:val="clear" w:color="auto" w:fill="B8CCE4" w:themeFill="accent1" w:themeFillTint="66"/>
          </w:tcPr>
          <w:p w14:paraId="2A9208E8" w14:textId="77777777" w:rsidR="00F41B59" w:rsidRPr="00BD741D" w:rsidRDefault="00F41B59" w:rsidP="00EA4804">
            <w:pPr>
              <w:pStyle w:val="Tablehead"/>
              <w:rPr>
                <w:color w:val="244061" w:themeColor="accent1" w:themeShade="80"/>
                <w:lang w:val="fr-CH"/>
              </w:rPr>
            </w:pPr>
          </w:p>
        </w:tc>
        <w:tc>
          <w:tcPr>
            <w:tcW w:w="858" w:type="dxa"/>
            <w:tcBorders>
              <w:top w:val="nil"/>
              <w:left w:val="nil"/>
              <w:bottom w:val="single" w:sz="4" w:space="0" w:color="auto"/>
              <w:right w:val="nil"/>
            </w:tcBorders>
            <w:shd w:val="clear" w:color="auto" w:fill="B8CCE4" w:themeFill="accent1" w:themeFillTint="66"/>
            <w:hideMark/>
          </w:tcPr>
          <w:p w14:paraId="3F6C71E4" w14:textId="77777777" w:rsidR="00F41B59" w:rsidRDefault="00F41B59" w:rsidP="00EA4804">
            <w:pPr>
              <w:pStyle w:val="Tablehead"/>
              <w:rPr>
                <w:color w:val="244061" w:themeColor="accent1" w:themeShade="80"/>
                <w:lang w:val="ru-RU"/>
              </w:rPr>
            </w:pPr>
            <w:r>
              <w:rPr>
                <w:color w:val="244061" w:themeColor="accent1" w:themeShade="80"/>
                <w:lang w:val="ru-RU"/>
              </w:rPr>
              <w:t>2010</w:t>
            </w:r>
          </w:p>
        </w:tc>
        <w:tc>
          <w:tcPr>
            <w:tcW w:w="858" w:type="dxa"/>
            <w:tcBorders>
              <w:top w:val="nil"/>
              <w:left w:val="nil"/>
              <w:bottom w:val="single" w:sz="4" w:space="0" w:color="auto"/>
              <w:right w:val="nil"/>
            </w:tcBorders>
            <w:shd w:val="clear" w:color="auto" w:fill="B8CCE4" w:themeFill="accent1" w:themeFillTint="66"/>
            <w:hideMark/>
          </w:tcPr>
          <w:p w14:paraId="3E5A07DA" w14:textId="77777777" w:rsidR="00F41B59" w:rsidRDefault="00F41B59" w:rsidP="00EA4804">
            <w:pPr>
              <w:pStyle w:val="Tablehead"/>
              <w:rPr>
                <w:color w:val="244061" w:themeColor="accent1" w:themeShade="80"/>
                <w:lang w:val="ru-RU"/>
              </w:rPr>
            </w:pPr>
            <w:r>
              <w:rPr>
                <w:color w:val="244061" w:themeColor="accent1" w:themeShade="80"/>
                <w:lang w:val="ru-RU"/>
              </w:rPr>
              <w:t>2011</w:t>
            </w:r>
          </w:p>
        </w:tc>
        <w:tc>
          <w:tcPr>
            <w:tcW w:w="1031" w:type="dxa"/>
            <w:tcBorders>
              <w:top w:val="nil"/>
              <w:left w:val="nil"/>
              <w:bottom w:val="single" w:sz="4" w:space="0" w:color="auto"/>
              <w:right w:val="nil"/>
            </w:tcBorders>
            <w:shd w:val="clear" w:color="auto" w:fill="B8CCE4" w:themeFill="accent1" w:themeFillTint="66"/>
            <w:hideMark/>
          </w:tcPr>
          <w:p w14:paraId="1EEC0FBD" w14:textId="77777777" w:rsidR="00F41B59" w:rsidRDefault="00F41B59" w:rsidP="00EA4804">
            <w:pPr>
              <w:pStyle w:val="Tablehead"/>
              <w:rPr>
                <w:color w:val="244061" w:themeColor="accent1" w:themeShade="80"/>
                <w:lang w:val="ru-RU"/>
              </w:rPr>
            </w:pPr>
            <w:r>
              <w:rPr>
                <w:color w:val="244061" w:themeColor="accent1" w:themeShade="80"/>
                <w:lang w:val="ru-RU"/>
              </w:rPr>
              <w:t>2012</w:t>
            </w:r>
          </w:p>
        </w:tc>
        <w:tc>
          <w:tcPr>
            <w:tcW w:w="1019" w:type="dxa"/>
            <w:tcBorders>
              <w:top w:val="nil"/>
              <w:left w:val="nil"/>
              <w:bottom w:val="single" w:sz="4" w:space="0" w:color="auto"/>
              <w:right w:val="nil"/>
            </w:tcBorders>
            <w:shd w:val="clear" w:color="auto" w:fill="B8CCE4" w:themeFill="accent1" w:themeFillTint="66"/>
            <w:hideMark/>
          </w:tcPr>
          <w:p w14:paraId="61247B75" w14:textId="77777777" w:rsidR="00F41B59" w:rsidRDefault="00F41B59" w:rsidP="00EA4804">
            <w:pPr>
              <w:pStyle w:val="Tablehead"/>
              <w:rPr>
                <w:color w:val="244061" w:themeColor="accent1" w:themeShade="80"/>
                <w:lang w:val="ru-RU"/>
              </w:rPr>
            </w:pPr>
            <w:r>
              <w:rPr>
                <w:color w:val="244061" w:themeColor="accent1" w:themeShade="80"/>
                <w:lang w:val="ru-RU"/>
              </w:rPr>
              <w:t>2013</w:t>
            </w:r>
          </w:p>
        </w:tc>
        <w:tc>
          <w:tcPr>
            <w:tcW w:w="1019" w:type="dxa"/>
            <w:tcBorders>
              <w:top w:val="nil"/>
              <w:left w:val="nil"/>
              <w:bottom w:val="single" w:sz="4" w:space="0" w:color="auto"/>
              <w:right w:val="nil"/>
            </w:tcBorders>
            <w:shd w:val="clear" w:color="auto" w:fill="B8CCE4" w:themeFill="accent1" w:themeFillTint="66"/>
            <w:hideMark/>
          </w:tcPr>
          <w:p w14:paraId="4FA12160" w14:textId="77777777" w:rsidR="00F41B59" w:rsidRDefault="00F41B59" w:rsidP="00EA4804">
            <w:pPr>
              <w:pStyle w:val="Tablehead"/>
              <w:rPr>
                <w:color w:val="244061" w:themeColor="accent1" w:themeShade="80"/>
                <w:lang w:val="ru-RU"/>
              </w:rPr>
            </w:pPr>
            <w:r>
              <w:rPr>
                <w:color w:val="244061" w:themeColor="accent1" w:themeShade="80"/>
                <w:lang w:val="ru-RU"/>
              </w:rPr>
              <w:t>2014</w:t>
            </w:r>
          </w:p>
        </w:tc>
        <w:tc>
          <w:tcPr>
            <w:tcW w:w="904" w:type="dxa"/>
            <w:tcBorders>
              <w:top w:val="nil"/>
              <w:left w:val="nil"/>
              <w:bottom w:val="single" w:sz="4" w:space="0" w:color="auto"/>
              <w:right w:val="nil"/>
            </w:tcBorders>
            <w:shd w:val="clear" w:color="auto" w:fill="B8CCE4" w:themeFill="accent1" w:themeFillTint="66"/>
            <w:hideMark/>
          </w:tcPr>
          <w:p w14:paraId="738A52F6" w14:textId="77777777" w:rsidR="00F41B59" w:rsidRDefault="00F41B59" w:rsidP="00EA4804">
            <w:pPr>
              <w:pStyle w:val="Tablehead"/>
              <w:rPr>
                <w:color w:val="244061" w:themeColor="accent1" w:themeShade="80"/>
                <w:lang w:val="ru-RU"/>
              </w:rPr>
            </w:pPr>
            <w:r>
              <w:rPr>
                <w:color w:val="244061" w:themeColor="accent1" w:themeShade="80"/>
                <w:lang w:val="ru-RU"/>
              </w:rPr>
              <w:t>2015</w:t>
            </w:r>
          </w:p>
        </w:tc>
        <w:tc>
          <w:tcPr>
            <w:tcW w:w="1066" w:type="dxa"/>
            <w:tcBorders>
              <w:top w:val="nil"/>
              <w:left w:val="nil"/>
              <w:bottom w:val="single" w:sz="4" w:space="0" w:color="auto"/>
              <w:right w:val="nil"/>
            </w:tcBorders>
            <w:shd w:val="clear" w:color="auto" w:fill="B8CCE4" w:themeFill="accent1" w:themeFillTint="66"/>
          </w:tcPr>
          <w:p w14:paraId="1C9DA792" w14:textId="77777777" w:rsidR="00F41B59" w:rsidRPr="00F41B59" w:rsidRDefault="00F41B59" w:rsidP="00EA4804">
            <w:pPr>
              <w:pStyle w:val="Tablehead"/>
              <w:rPr>
                <w:color w:val="244061" w:themeColor="accent1" w:themeShade="80"/>
                <w:lang w:val="fr-CH"/>
              </w:rPr>
            </w:pPr>
            <w:r>
              <w:rPr>
                <w:color w:val="244061" w:themeColor="accent1" w:themeShade="80"/>
                <w:lang w:val="fr-CH"/>
              </w:rPr>
              <w:t>2016</w:t>
            </w:r>
          </w:p>
        </w:tc>
      </w:tr>
      <w:tr w:rsidR="00F41B59" w14:paraId="3FE86832" w14:textId="77777777" w:rsidTr="00A76B7F">
        <w:tc>
          <w:tcPr>
            <w:tcW w:w="1892" w:type="dxa"/>
            <w:tcBorders>
              <w:top w:val="single" w:sz="4" w:space="0" w:color="auto"/>
              <w:left w:val="nil"/>
              <w:bottom w:val="nil"/>
              <w:right w:val="nil"/>
            </w:tcBorders>
            <w:hideMark/>
          </w:tcPr>
          <w:p w14:paraId="1244C861" w14:textId="77777777" w:rsidR="00F41B59" w:rsidRPr="00C6182E" w:rsidRDefault="00F41B59" w:rsidP="00EA4804">
            <w:pPr>
              <w:pStyle w:val="Tabletext"/>
              <w:rPr>
                <w:lang w:val="fr-CH"/>
              </w:rPr>
            </w:pPr>
            <w:r>
              <w:rPr>
                <w:lang w:val="fr-CH"/>
              </w:rPr>
              <w:t>Taux d'actualisation</w:t>
            </w:r>
          </w:p>
        </w:tc>
        <w:tc>
          <w:tcPr>
            <w:tcW w:w="858" w:type="dxa"/>
            <w:tcBorders>
              <w:top w:val="single" w:sz="4" w:space="0" w:color="auto"/>
              <w:left w:val="nil"/>
              <w:bottom w:val="nil"/>
              <w:right w:val="nil"/>
            </w:tcBorders>
            <w:hideMark/>
          </w:tcPr>
          <w:p w14:paraId="73C7FB57" w14:textId="77777777" w:rsidR="00F41B59" w:rsidRPr="001648F7" w:rsidRDefault="00F41B59" w:rsidP="00EA4804">
            <w:pPr>
              <w:pStyle w:val="Tabletext"/>
              <w:ind w:right="57"/>
              <w:jc w:val="center"/>
              <w:rPr>
                <w:i/>
                <w:iCs/>
                <w:lang w:val="ru-RU"/>
              </w:rPr>
            </w:pPr>
            <w:r w:rsidRPr="001648F7">
              <w:rPr>
                <w:i/>
                <w:iCs/>
                <w:lang w:val="ru-RU"/>
              </w:rPr>
              <w:t>3,25%</w:t>
            </w:r>
          </w:p>
        </w:tc>
        <w:tc>
          <w:tcPr>
            <w:tcW w:w="858" w:type="dxa"/>
            <w:tcBorders>
              <w:top w:val="single" w:sz="4" w:space="0" w:color="auto"/>
              <w:left w:val="nil"/>
              <w:bottom w:val="nil"/>
              <w:right w:val="nil"/>
            </w:tcBorders>
          </w:tcPr>
          <w:p w14:paraId="5A022B18" w14:textId="77777777" w:rsidR="00F41B59" w:rsidRPr="001648F7" w:rsidRDefault="00F41B59" w:rsidP="00EA4804">
            <w:pPr>
              <w:pStyle w:val="Tabletext"/>
              <w:ind w:right="57"/>
              <w:jc w:val="center"/>
              <w:rPr>
                <w:i/>
                <w:iCs/>
                <w:lang w:val="ru-RU"/>
              </w:rPr>
            </w:pPr>
            <w:r w:rsidRPr="001648F7">
              <w:rPr>
                <w:i/>
                <w:iCs/>
                <w:lang w:val="ru-RU"/>
              </w:rPr>
              <w:t>2,50%</w:t>
            </w:r>
          </w:p>
        </w:tc>
        <w:tc>
          <w:tcPr>
            <w:tcW w:w="1031" w:type="dxa"/>
            <w:tcBorders>
              <w:top w:val="single" w:sz="4" w:space="0" w:color="auto"/>
              <w:left w:val="nil"/>
              <w:bottom w:val="nil"/>
              <w:right w:val="nil"/>
            </w:tcBorders>
            <w:vAlign w:val="center"/>
          </w:tcPr>
          <w:p w14:paraId="203C268A" w14:textId="77777777" w:rsidR="00F41B59" w:rsidRPr="001648F7" w:rsidRDefault="00F41B59" w:rsidP="00EA4804">
            <w:pPr>
              <w:pStyle w:val="Tabletext"/>
              <w:ind w:left="113"/>
              <w:rPr>
                <w:i/>
                <w:iCs/>
                <w:lang w:val="ru-RU"/>
              </w:rPr>
            </w:pPr>
            <w:r w:rsidRPr="001648F7">
              <w:rPr>
                <w:i/>
                <w:iCs/>
                <w:lang w:val="ru-RU"/>
              </w:rPr>
              <w:t>2,24%</w:t>
            </w:r>
          </w:p>
        </w:tc>
        <w:tc>
          <w:tcPr>
            <w:tcW w:w="1019" w:type="dxa"/>
            <w:tcBorders>
              <w:top w:val="single" w:sz="4" w:space="0" w:color="auto"/>
              <w:left w:val="nil"/>
              <w:bottom w:val="nil"/>
              <w:right w:val="nil"/>
            </w:tcBorders>
          </w:tcPr>
          <w:p w14:paraId="3E9F4869" w14:textId="77777777" w:rsidR="00F41B59" w:rsidRPr="001648F7" w:rsidRDefault="00F41B59" w:rsidP="00EA4804">
            <w:pPr>
              <w:pStyle w:val="Tabletext"/>
              <w:ind w:left="113"/>
              <w:rPr>
                <w:i/>
                <w:iCs/>
                <w:lang w:val="ru-RU"/>
              </w:rPr>
            </w:pPr>
            <w:r w:rsidRPr="001648F7">
              <w:rPr>
                <w:i/>
                <w:iCs/>
                <w:lang w:val="ru-RU"/>
              </w:rPr>
              <w:t>2,76%</w:t>
            </w:r>
          </w:p>
        </w:tc>
        <w:tc>
          <w:tcPr>
            <w:tcW w:w="1019" w:type="dxa"/>
            <w:tcBorders>
              <w:top w:val="single" w:sz="4" w:space="0" w:color="auto"/>
              <w:left w:val="nil"/>
              <w:bottom w:val="nil"/>
              <w:right w:val="nil"/>
            </w:tcBorders>
          </w:tcPr>
          <w:p w14:paraId="7FA9BA89" w14:textId="77777777" w:rsidR="00F41B59" w:rsidRPr="001648F7" w:rsidRDefault="00F41B59" w:rsidP="00EA4804">
            <w:pPr>
              <w:pStyle w:val="Tabletext"/>
              <w:ind w:left="113"/>
              <w:rPr>
                <w:i/>
                <w:iCs/>
                <w:lang w:val="ru-RU"/>
              </w:rPr>
            </w:pPr>
            <w:r w:rsidRPr="001648F7">
              <w:rPr>
                <w:i/>
                <w:iCs/>
                <w:lang w:val="ru-RU"/>
              </w:rPr>
              <w:t>1,51%</w:t>
            </w:r>
          </w:p>
        </w:tc>
        <w:tc>
          <w:tcPr>
            <w:tcW w:w="904" w:type="dxa"/>
            <w:tcBorders>
              <w:top w:val="single" w:sz="4" w:space="0" w:color="auto"/>
              <w:left w:val="nil"/>
              <w:bottom w:val="nil"/>
              <w:right w:val="nil"/>
            </w:tcBorders>
          </w:tcPr>
          <w:p w14:paraId="2D66042B" w14:textId="77777777" w:rsidR="00F41B59" w:rsidRPr="001648F7" w:rsidRDefault="00F41B59" w:rsidP="00EA4804">
            <w:pPr>
              <w:pStyle w:val="Tabletext"/>
              <w:ind w:left="113"/>
              <w:rPr>
                <w:i/>
                <w:iCs/>
                <w:lang w:val="ru-RU"/>
              </w:rPr>
            </w:pPr>
            <w:r w:rsidRPr="001648F7">
              <w:rPr>
                <w:i/>
                <w:iCs/>
                <w:lang w:val="ru-RU"/>
              </w:rPr>
              <w:t>1,32%</w:t>
            </w:r>
          </w:p>
        </w:tc>
        <w:tc>
          <w:tcPr>
            <w:tcW w:w="1066" w:type="dxa"/>
            <w:tcBorders>
              <w:top w:val="single" w:sz="4" w:space="0" w:color="auto"/>
              <w:left w:val="nil"/>
              <w:bottom w:val="nil"/>
              <w:right w:val="nil"/>
            </w:tcBorders>
          </w:tcPr>
          <w:p w14:paraId="3DBABCC3" w14:textId="77777777" w:rsidR="00F41B59" w:rsidRPr="001648F7" w:rsidRDefault="00F41B59" w:rsidP="00EA4804">
            <w:pPr>
              <w:pStyle w:val="Tabletext"/>
              <w:ind w:left="113"/>
              <w:rPr>
                <w:i/>
                <w:iCs/>
                <w:lang w:val="fr-CH"/>
              </w:rPr>
            </w:pPr>
            <w:r w:rsidRPr="001648F7">
              <w:rPr>
                <w:i/>
                <w:iCs/>
                <w:lang w:val="fr-CH"/>
              </w:rPr>
              <w:t>0,92%</w:t>
            </w:r>
          </w:p>
        </w:tc>
      </w:tr>
      <w:tr w:rsidR="00F41B59" w14:paraId="0411FEC1" w14:textId="77777777" w:rsidTr="001648F7">
        <w:tc>
          <w:tcPr>
            <w:tcW w:w="1892" w:type="dxa"/>
            <w:hideMark/>
          </w:tcPr>
          <w:p w14:paraId="51F21A75" w14:textId="77777777" w:rsidR="00F41B59" w:rsidRPr="00C6182E" w:rsidRDefault="00F41B59" w:rsidP="00EA4804">
            <w:pPr>
              <w:pStyle w:val="Tabletext"/>
              <w:rPr>
                <w:lang w:val="fr-CH"/>
              </w:rPr>
            </w:pPr>
            <w:r>
              <w:rPr>
                <w:lang w:val="fr-CH"/>
              </w:rPr>
              <w:t>Hausse des coûts médicaux</w:t>
            </w:r>
          </w:p>
        </w:tc>
        <w:tc>
          <w:tcPr>
            <w:tcW w:w="858" w:type="dxa"/>
          </w:tcPr>
          <w:p w14:paraId="4FEDE19B" w14:textId="77777777" w:rsidR="00F41B59" w:rsidRPr="001648F7" w:rsidRDefault="00F41B59" w:rsidP="00EA4804">
            <w:pPr>
              <w:pStyle w:val="Tabletext"/>
              <w:ind w:right="57"/>
              <w:jc w:val="center"/>
              <w:rPr>
                <w:i/>
                <w:iCs/>
                <w:lang w:val="ru-RU"/>
              </w:rPr>
            </w:pPr>
            <w:r w:rsidRPr="001648F7">
              <w:rPr>
                <w:i/>
                <w:iCs/>
                <w:lang w:val="ru-RU"/>
              </w:rPr>
              <w:t>3,80%</w:t>
            </w:r>
          </w:p>
        </w:tc>
        <w:tc>
          <w:tcPr>
            <w:tcW w:w="858" w:type="dxa"/>
          </w:tcPr>
          <w:p w14:paraId="73F4CEBF" w14:textId="77777777" w:rsidR="00F41B59" w:rsidRPr="001648F7" w:rsidRDefault="00F41B59" w:rsidP="00EA4804">
            <w:pPr>
              <w:pStyle w:val="Tabletext"/>
              <w:ind w:right="57"/>
              <w:jc w:val="center"/>
              <w:rPr>
                <w:i/>
                <w:iCs/>
                <w:lang w:val="ru-RU"/>
              </w:rPr>
            </w:pPr>
            <w:r w:rsidRPr="001648F7">
              <w:rPr>
                <w:i/>
                <w:iCs/>
                <w:lang w:val="ru-RU"/>
              </w:rPr>
              <w:t>6,00%</w:t>
            </w:r>
          </w:p>
        </w:tc>
        <w:tc>
          <w:tcPr>
            <w:tcW w:w="1031" w:type="dxa"/>
          </w:tcPr>
          <w:p w14:paraId="11AC749E" w14:textId="77777777" w:rsidR="00F41B59" w:rsidRPr="001648F7" w:rsidRDefault="00F41B59" w:rsidP="001648F7">
            <w:pPr>
              <w:pStyle w:val="Tabletext"/>
              <w:ind w:right="57"/>
              <w:rPr>
                <w:i/>
                <w:iCs/>
                <w:lang w:val="ru-RU"/>
              </w:rPr>
            </w:pPr>
            <w:r w:rsidRPr="001648F7">
              <w:rPr>
                <w:i/>
                <w:iCs/>
                <w:lang w:val="ru-RU"/>
              </w:rPr>
              <w:t>5,70%</w:t>
            </w:r>
          </w:p>
        </w:tc>
        <w:tc>
          <w:tcPr>
            <w:tcW w:w="1019" w:type="dxa"/>
          </w:tcPr>
          <w:p w14:paraId="2002955C" w14:textId="77777777" w:rsidR="00F41B59" w:rsidRPr="001648F7" w:rsidRDefault="00F41B59" w:rsidP="001648F7">
            <w:pPr>
              <w:pStyle w:val="Tabletext"/>
              <w:ind w:right="57"/>
              <w:jc w:val="center"/>
              <w:rPr>
                <w:i/>
                <w:iCs/>
                <w:lang w:val="ru-RU"/>
              </w:rPr>
            </w:pPr>
            <w:r w:rsidRPr="001648F7">
              <w:rPr>
                <w:i/>
                <w:iCs/>
                <w:lang w:val="ru-RU"/>
              </w:rPr>
              <w:t>5,40%</w:t>
            </w:r>
          </w:p>
        </w:tc>
        <w:tc>
          <w:tcPr>
            <w:tcW w:w="1019" w:type="dxa"/>
          </w:tcPr>
          <w:p w14:paraId="1E28BA99" w14:textId="77777777" w:rsidR="00F41B59" w:rsidRPr="001648F7" w:rsidRDefault="00F41B59" w:rsidP="00EA4804">
            <w:pPr>
              <w:pStyle w:val="Tabletext"/>
              <w:ind w:left="113"/>
              <w:rPr>
                <w:i/>
                <w:iCs/>
                <w:lang w:val="ru-RU"/>
              </w:rPr>
            </w:pPr>
            <w:r w:rsidRPr="001648F7">
              <w:rPr>
                <w:i/>
                <w:iCs/>
                <w:lang w:val="ru-RU"/>
              </w:rPr>
              <w:t>5,10%</w:t>
            </w:r>
          </w:p>
        </w:tc>
        <w:tc>
          <w:tcPr>
            <w:tcW w:w="904" w:type="dxa"/>
          </w:tcPr>
          <w:p w14:paraId="1B8B40B3" w14:textId="77777777" w:rsidR="00F41B59" w:rsidRPr="001648F7" w:rsidRDefault="00F41B59" w:rsidP="00EA4804">
            <w:pPr>
              <w:pStyle w:val="Tabletext"/>
              <w:ind w:left="113"/>
              <w:rPr>
                <w:i/>
                <w:iCs/>
                <w:lang w:val="ru-RU"/>
              </w:rPr>
            </w:pPr>
            <w:r w:rsidRPr="001648F7">
              <w:rPr>
                <w:i/>
                <w:iCs/>
                <w:lang w:val="ru-RU"/>
              </w:rPr>
              <w:t>4,80%</w:t>
            </w:r>
          </w:p>
        </w:tc>
        <w:tc>
          <w:tcPr>
            <w:tcW w:w="1066" w:type="dxa"/>
          </w:tcPr>
          <w:p w14:paraId="483DC095" w14:textId="77777777" w:rsidR="00F41B59" w:rsidRPr="001648F7" w:rsidRDefault="00F41B59" w:rsidP="00EA4804">
            <w:pPr>
              <w:pStyle w:val="Tabletext"/>
              <w:ind w:left="113"/>
              <w:rPr>
                <w:i/>
                <w:iCs/>
                <w:lang w:val="fr-CH"/>
              </w:rPr>
            </w:pPr>
            <w:r w:rsidRPr="001648F7">
              <w:rPr>
                <w:i/>
                <w:iCs/>
                <w:lang w:val="fr-CH"/>
              </w:rPr>
              <w:t>4,50%</w:t>
            </w:r>
          </w:p>
        </w:tc>
      </w:tr>
      <w:tr w:rsidR="00F41B59" w14:paraId="22BE51AB" w14:textId="77777777" w:rsidTr="001648F7">
        <w:trPr>
          <w:trHeight w:val="110"/>
        </w:trPr>
        <w:tc>
          <w:tcPr>
            <w:tcW w:w="1892" w:type="dxa"/>
            <w:vMerge w:val="restart"/>
            <w:tcBorders>
              <w:top w:val="nil"/>
              <w:left w:val="nil"/>
              <w:bottom w:val="single" w:sz="4" w:space="0" w:color="auto"/>
              <w:right w:val="nil"/>
            </w:tcBorders>
            <w:vAlign w:val="center"/>
            <w:hideMark/>
          </w:tcPr>
          <w:p w14:paraId="4166F7CC" w14:textId="77777777" w:rsidR="00F41B59" w:rsidRPr="00C6182E" w:rsidRDefault="00F41B59" w:rsidP="00EA4804">
            <w:pPr>
              <w:pStyle w:val="Tabletext"/>
              <w:rPr>
                <w:lang w:val="fr-CH"/>
              </w:rPr>
            </w:pPr>
            <w:r>
              <w:rPr>
                <w:lang w:val="fr-CH"/>
              </w:rPr>
              <w:t>Augmentation des traitements</w:t>
            </w:r>
          </w:p>
        </w:tc>
        <w:tc>
          <w:tcPr>
            <w:tcW w:w="858" w:type="dxa"/>
            <w:vMerge w:val="restart"/>
            <w:tcBorders>
              <w:top w:val="nil"/>
              <w:left w:val="nil"/>
              <w:bottom w:val="single" w:sz="4" w:space="0" w:color="auto"/>
              <w:right w:val="nil"/>
            </w:tcBorders>
            <w:hideMark/>
          </w:tcPr>
          <w:p w14:paraId="263D241A" w14:textId="77777777" w:rsidR="00F41B59" w:rsidRPr="001648F7" w:rsidRDefault="00F41B59" w:rsidP="001648F7">
            <w:pPr>
              <w:pStyle w:val="Tabletext"/>
              <w:ind w:right="57"/>
              <w:rPr>
                <w:i/>
                <w:iCs/>
                <w:lang w:val="ru-RU"/>
              </w:rPr>
            </w:pPr>
            <w:r w:rsidRPr="001648F7">
              <w:rPr>
                <w:i/>
                <w:iCs/>
                <w:lang w:val="ru-RU"/>
              </w:rPr>
              <w:t>2,50%</w:t>
            </w:r>
          </w:p>
        </w:tc>
        <w:tc>
          <w:tcPr>
            <w:tcW w:w="858" w:type="dxa"/>
            <w:vMerge w:val="restart"/>
            <w:tcBorders>
              <w:top w:val="nil"/>
              <w:left w:val="nil"/>
              <w:bottom w:val="single" w:sz="4" w:space="0" w:color="auto"/>
              <w:right w:val="nil"/>
            </w:tcBorders>
            <w:hideMark/>
          </w:tcPr>
          <w:p w14:paraId="129ECEDE" w14:textId="77777777" w:rsidR="00F41B59" w:rsidRPr="001648F7" w:rsidRDefault="00F41B59" w:rsidP="001648F7">
            <w:pPr>
              <w:pStyle w:val="Tabletext"/>
              <w:ind w:right="57"/>
              <w:rPr>
                <w:i/>
                <w:iCs/>
                <w:lang w:val="ru-RU"/>
              </w:rPr>
            </w:pPr>
            <w:r w:rsidRPr="001648F7">
              <w:rPr>
                <w:i/>
                <w:iCs/>
                <w:lang w:val="ru-RU"/>
              </w:rPr>
              <w:t>3,80%</w:t>
            </w:r>
          </w:p>
        </w:tc>
        <w:tc>
          <w:tcPr>
            <w:tcW w:w="1031" w:type="dxa"/>
            <w:tcBorders>
              <w:top w:val="nil"/>
              <w:left w:val="nil"/>
              <w:right w:val="nil"/>
            </w:tcBorders>
            <w:vAlign w:val="center"/>
            <w:hideMark/>
          </w:tcPr>
          <w:p w14:paraId="7172D0D2" w14:textId="77777777" w:rsidR="00F41B59" w:rsidRPr="001648F7" w:rsidRDefault="00F41B59" w:rsidP="00EA4804">
            <w:pPr>
              <w:pStyle w:val="Tabletext"/>
              <w:ind w:left="113"/>
              <w:rPr>
                <w:i/>
                <w:iCs/>
                <w:lang w:val="ru-RU"/>
              </w:rPr>
            </w:pPr>
            <w:r w:rsidRPr="001648F7">
              <w:rPr>
                <w:i/>
                <w:iCs/>
                <w:lang w:val="ru-RU"/>
              </w:rPr>
              <w:t>3,58%Р</w:t>
            </w:r>
          </w:p>
        </w:tc>
        <w:tc>
          <w:tcPr>
            <w:tcW w:w="1019" w:type="dxa"/>
            <w:vAlign w:val="bottom"/>
            <w:hideMark/>
          </w:tcPr>
          <w:p w14:paraId="5CC1EEA4" w14:textId="77777777" w:rsidR="00F41B59" w:rsidRPr="001648F7" w:rsidRDefault="00F41B59" w:rsidP="00EA4804">
            <w:pPr>
              <w:pStyle w:val="Tabletext"/>
              <w:ind w:left="113"/>
              <w:rPr>
                <w:i/>
                <w:iCs/>
                <w:lang w:val="ru-RU"/>
              </w:rPr>
            </w:pPr>
            <w:r w:rsidRPr="001648F7">
              <w:rPr>
                <w:i/>
                <w:iCs/>
                <w:lang w:val="ru-RU"/>
              </w:rPr>
              <w:t>3,58%Р</w:t>
            </w:r>
          </w:p>
        </w:tc>
        <w:tc>
          <w:tcPr>
            <w:tcW w:w="1019" w:type="dxa"/>
            <w:vAlign w:val="bottom"/>
            <w:hideMark/>
          </w:tcPr>
          <w:p w14:paraId="16ECE837" w14:textId="77777777" w:rsidR="00F41B59" w:rsidRPr="001648F7" w:rsidRDefault="00F41B59" w:rsidP="00EA4804">
            <w:pPr>
              <w:pStyle w:val="Tabletext"/>
              <w:ind w:left="113"/>
              <w:rPr>
                <w:i/>
                <w:iCs/>
                <w:lang w:val="ru-RU"/>
              </w:rPr>
            </w:pPr>
            <w:r w:rsidRPr="001648F7">
              <w:rPr>
                <w:i/>
                <w:iCs/>
                <w:lang w:val="ru-RU"/>
              </w:rPr>
              <w:t>3,86%Р</w:t>
            </w:r>
          </w:p>
        </w:tc>
        <w:tc>
          <w:tcPr>
            <w:tcW w:w="904" w:type="dxa"/>
            <w:vAlign w:val="bottom"/>
            <w:hideMark/>
          </w:tcPr>
          <w:p w14:paraId="19954945" w14:textId="77777777" w:rsidR="00F41B59" w:rsidRPr="001648F7" w:rsidRDefault="00F41B59" w:rsidP="00EA4804">
            <w:pPr>
              <w:pStyle w:val="Tabletext"/>
              <w:ind w:left="113"/>
              <w:rPr>
                <w:i/>
                <w:iCs/>
                <w:lang w:val="ru-RU"/>
              </w:rPr>
            </w:pPr>
          </w:p>
        </w:tc>
        <w:tc>
          <w:tcPr>
            <w:tcW w:w="1066" w:type="dxa"/>
          </w:tcPr>
          <w:p w14:paraId="0F2893E4" w14:textId="77777777" w:rsidR="00F41B59" w:rsidRPr="001648F7" w:rsidRDefault="00F41B59" w:rsidP="00EA4804">
            <w:pPr>
              <w:pStyle w:val="Tabletext"/>
              <w:ind w:left="113"/>
              <w:rPr>
                <w:i/>
                <w:iCs/>
                <w:lang w:val="ru-RU"/>
              </w:rPr>
            </w:pPr>
          </w:p>
        </w:tc>
      </w:tr>
      <w:tr w:rsidR="00F41B59" w14:paraId="072716CB" w14:textId="77777777" w:rsidTr="00A76B7F">
        <w:trPr>
          <w:trHeight w:val="61"/>
        </w:trPr>
        <w:tc>
          <w:tcPr>
            <w:tcW w:w="1892" w:type="dxa"/>
            <w:vMerge/>
            <w:tcBorders>
              <w:top w:val="nil"/>
              <w:left w:val="nil"/>
              <w:bottom w:val="single" w:sz="4" w:space="0" w:color="auto"/>
              <w:right w:val="nil"/>
            </w:tcBorders>
            <w:vAlign w:val="center"/>
            <w:hideMark/>
          </w:tcPr>
          <w:p w14:paraId="7A4FDDAA" w14:textId="77777777" w:rsidR="00F41B59" w:rsidRDefault="00F41B59" w:rsidP="00EA4804">
            <w:pPr>
              <w:tabs>
                <w:tab w:val="clear" w:pos="794"/>
                <w:tab w:val="clear" w:pos="1191"/>
                <w:tab w:val="clear" w:pos="1588"/>
                <w:tab w:val="clear" w:pos="1985"/>
              </w:tabs>
              <w:overflowPunct/>
              <w:autoSpaceDE/>
              <w:autoSpaceDN/>
              <w:adjustRightInd/>
              <w:spacing w:before="40"/>
              <w:rPr>
                <w:sz w:val="20"/>
                <w:lang w:val="ru-RU"/>
              </w:rPr>
            </w:pPr>
          </w:p>
        </w:tc>
        <w:tc>
          <w:tcPr>
            <w:tcW w:w="858" w:type="dxa"/>
            <w:vMerge/>
            <w:tcBorders>
              <w:top w:val="nil"/>
              <w:left w:val="nil"/>
              <w:bottom w:val="single" w:sz="4" w:space="0" w:color="auto"/>
              <w:right w:val="nil"/>
            </w:tcBorders>
            <w:vAlign w:val="center"/>
            <w:hideMark/>
          </w:tcPr>
          <w:p w14:paraId="64F7CD13" w14:textId="77777777" w:rsidR="00F41B59" w:rsidRPr="001648F7" w:rsidRDefault="00F41B59" w:rsidP="00EA4804">
            <w:pPr>
              <w:tabs>
                <w:tab w:val="clear" w:pos="794"/>
                <w:tab w:val="clear" w:pos="1191"/>
                <w:tab w:val="clear" w:pos="1588"/>
                <w:tab w:val="clear" w:pos="1985"/>
              </w:tabs>
              <w:overflowPunct/>
              <w:autoSpaceDE/>
              <w:autoSpaceDN/>
              <w:adjustRightInd/>
              <w:spacing w:before="40"/>
              <w:rPr>
                <w:i/>
                <w:iCs/>
                <w:sz w:val="20"/>
                <w:lang w:val="ru-RU"/>
              </w:rPr>
            </w:pPr>
          </w:p>
        </w:tc>
        <w:tc>
          <w:tcPr>
            <w:tcW w:w="858" w:type="dxa"/>
            <w:vMerge/>
            <w:tcBorders>
              <w:top w:val="nil"/>
              <w:left w:val="nil"/>
              <w:bottom w:val="single" w:sz="4" w:space="0" w:color="auto"/>
              <w:right w:val="nil"/>
            </w:tcBorders>
            <w:vAlign w:val="center"/>
            <w:hideMark/>
          </w:tcPr>
          <w:p w14:paraId="118337BC" w14:textId="77777777" w:rsidR="00F41B59" w:rsidRPr="001648F7" w:rsidRDefault="00F41B59" w:rsidP="00EA4804">
            <w:pPr>
              <w:tabs>
                <w:tab w:val="clear" w:pos="794"/>
                <w:tab w:val="clear" w:pos="1191"/>
                <w:tab w:val="clear" w:pos="1588"/>
                <w:tab w:val="clear" w:pos="1985"/>
              </w:tabs>
              <w:overflowPunct/>
              <w:autoSpaceDE/>
              <w:autoSpaceDN/>
              <w:adjustRightInd/>
              <w:spacing w:before="40"/>
              <w:rPr>
                <w:i/>
                <w:iCs/>
                <w:sz w:val="20"/>
                <w:lang w:val="ru-RU"/>
              </w:rPr>
            </w:pPr>
          </w:p>
        </w:tc>
        <w:tc>
          <w:tcPr>
            <w:tcW w:w="1031" w:type="dxa"/>
            <w:tcBorders>
              <w:left w:val="nil"/>
              <w:bottom w:val="single" w:sz="4" w:space="0" w:color="auto"/>
              <w:right w:val="nil"/>
            </w:tcBorders>
            <w:vAlign w:val="center"/>
            <w:hideMark/>
          </w:tcPr>
          <w:p w14:paraId="71FDD500" w14:textId="77777777" w:rsidR="00F41B59" w:rsidRPr="001648F7" w:rsidRDefault="00F41B59" w:rsidP="00EA4804">
            <w:pPr>
              <w:pStyle w:val="Tabletext"/>
              <w:ind w:left="113"/>
              <w:rPr>
                <w:i/>
                <w:iCs/>
                <w:lang w:val="ru-RU"/>
              </w:rPr>
            </w:pPr>
            <w:r w:rsidRPr="001648F7">
              <w:rPr>
                <w:i/>
                <w:iCs/>
                <w:lang w:val="ru-RU"/>
              </w:rPr>
              <w:t>3,48%</w:t>
            </w:r>
            <w:r w:rsidRPr="001648F7">
              <w:rPr>
                <w:i/>
                <w:iCs/>
                <w:lang w:val="en-US"/>
              </w:rPr>
              <w:t>G</w:t>
            </w:r>
          </w:p>
        </w:tc>
        <w:tc>
          <w:tcPr>
            <w:tcW w:w="1019" w:type="dxa"/>
            <w:tcBorders>
              <w:top w:val="nil"/>
              <w:left w:val="nil"/>
              <w:bottom w:val="single" w:sz="4" w:space="0" w:color="auto"/>
              <w:right w:val="nil"/>
            </w:tcBorders>
            <w:vAlign w:val="bottom"/>
            <w:hideMark/>
          </w:tcPr>
          <w:p w14:paraId="31E15990" w14:textId="77777777" w:rsidR="00F41B59" w:rsidRPr="001648F7" w:rsidRDefault="00F41B59" w:rsidP="00EA4804">
            <w:pPr>
              <w:pStyle w:val="Tabletext"/>
              <w:ind w:left="113"/>
              <w:rPr>
                <w:i/>
                <w:iCs/>
                <w:lang w:val="en-US"/>
              </w:rPr>
            </w:pPr>
            <w:r w:rsidRPr="001648F7">
              <w:rPr>
                <w:i/>
                <w:iCs/>
                <w:lang w:val="en-US"/>
              </w:rPr>
              <w:t>3</w:t>
            </w:r>
            <w:r w:rsidRPr="001648F7">
              <w:rPr>
                <w:i/>
                <w:iCs/>
                <w:lang w:val="ru-RU"/>
              </w:rPr>
              <w:t>,</w:t>
            </w:r>
            <w:r w:rsidRPr="001648F7">
              <w:rPr>
                <w:i/>
                <w:iCs/>
                <w:lang w:val="en-US"/>
              </w:rPr>
              <w:t>48%G</w:t>
            </w:r>
          </w:p>
        </w:tc>
        <w:tc>
          <w:tcPr>
            <w:tcW w:w="1019" w:type="dxa"/>
            <w:tcBorders>
              <w:top w:val="nil"/>
              <w:left w:val="nil"/>
              <w:bottom w:val="single" w:sz="4" w:space="0" w:color="auto"/>
              <w:right w:val="nil"/>
            </w:tcBorders>
            <w:vAlign w:val="bottom"/>
            <w:hideMark/>
          </w:tcPr>
          <w:p w14:paraId="2D35A6D5" w14:textId="77777777" w:rsidR="00F41B59" w:rsidRPr="001648F7" w:rsidRDefault="00F41B59" w:rsidP="00EA4804">
            <w:pPr>
              <w:pStyle w:val="Tabletext"/>
              <w:ind w:left="113"/>
              <w:rPr>
                <w:i/>
                <w:iCs/>
                <w:lang w:val="en-US"/>
              </w:rPr>
            </w:pPr>
            <w:r w:rsidRPr="001648F7">
              <w:rPr>
                <w:i/>
                <w:iCs/>
                <w:lang w:val="en-US"/>
              </w:rPr>
              <w:t>3</w:t>
            </w:r>
            <w:r w:rsidRPr="001648F7">
              <w:rPr>
                <w:i/>
                <w:iCs/>
                <w:lang w:val="ru-RU"/>
              </w:rPr>
              <w:t>,</w:t>
            </w:r>
            <w:r w:rsidRPr="001648F7">
              <w:rPr>
                <w:i/>
                <w:iCs/>
                <w:lang w:val="en-US"/>
              </w:rPr>
              <w:t>32%G</w:t>
            </w:r>
          </w:p>
        </w:tc>
        <w:tc>
          <w:tcPr>
            <w:tcW w:w="904" w:type="dxa"/>
            <w:tcBorders>
              <w:top w:val="nil"/>
              <w:left w:val="nil"/>
              <w:bottom w:val="single" w:sz="4" w:space="0" w:color="auto"/>
              <w:right w:val="nil"/>
            </w:tcBorders>
            <w:vAlign w:val="bottom"/>
            <w:hideMark/>
          </w:tcPr>
          <w:p w14:paraId="7E4DF1B9" w14:textId="77777777" w:rsidR="00F41B59" w:rsidRPr="001648F7" w:rsidRDefault="00F41B59" w:rsidP="00EA4804">
            <w:pPr>
              <w:pStyle w:val="Tabletext"/>
              <w:ind w:left="113"/>
              <w:rPr>
                <w:i/>
                <w:iCs/>
                <w:lang w:val="ru-RU"/>
              </w:rPr>
            </w:pPr>
            <w:r w:rsidRPr="001648F7">
              <w:rPr>
                <w:i/>
                <w:iCs/>
                <w:lang w:val="ru-RU"/>
              </w:rPr>
              <w:t>3,50%</w:t>
            </w:r>
          </w:p>
        </w:tc>
        <w:tc>
          <w:tcPr>
            <w:tcW w:w="1066" w:type="dxa"/>
            <w:tcBorders>
              <w:top w:val="nil"/>
              <w:left w:val="nil"/>
              <w:bottom w:val="single" w:sz="4" w:space="0" w:color="auto"/>
              <w:right w:val="nil"/>
            </w:tcBorders>
          </w:tcPr>
          <w:p w14:paraId="0F3F36D4" w14:textId="77777777" w:rsidR="00F41B59" w:rsidRPr="001648F7" w:rsidRDefault="00F41B59" w:rsidP="00EA4804">
            <w:pPr>
              <w:pStyle w:val="Tabletext"/>
              <w:ind w:left="113"/>
              <w:rPr>
                <w:i/>
                <w:iCs/>
                <w:lang w:val="fr-CH"/>
              </w:rPr>
            </w:pPr>
            <w:r w:rsidRPr="001648F7">
              <w:rPr>
                <w:i/>
                <w:iCs/>
                <w:lang w:val="fr-CH"/>
              </w:rPr>
              <w:t>3,50%</w:t>
            </w:r>
          </w:p>
        </w:tc>
      </w:tr>
    </w:tbl>
    <w:p w14:paraId="01A230EF" w14:textId="77777777" w:rsidR="003D3D8D" w:rsidRDefault="003D3D8D" w:rsidP="003D3D8D">
      <w:pPr>
        <w:spacing w:before="200"/>
        <w:rPr>
          <w:lang w:val="fr-CH"/>
        </w:rPr>
      </w:pPr>
      <w:r w:rsidRPr="0044520D">
        <w:rPr>
          <w:lang w:val="fr-CH"/>
        </w:rPr>
        <w:t>2.</w:t>
      </w:r>
      <w:r>
        <w:rPr>
          <w:lang w:val="fr-CH"/>
        </w:rPr>
        <w:t>6</w:t>
      </w:r>
      <w:r w:rsidRPr="0044520D">
        <w:rPr>
          <w:lang w:val="fr-CH"/>
        </w:rPr>
        <w:tab/>
      </w:r>
      <w:r>
        <w:rPr>
          <w:lang w:val="fr-CH"/>
        </w:rPr>
        <w:t xml:space="preserve">L'évolution </w:t>
      </w:r>
      <w:r w:rsidRPr="00F72BF7">
        <w:rPr>
          <w:lang w:val="fr-CH"/>
        </w:rPr>
        <w:t>des</w:t>
      </w:r>
      <w:r>
        <w:rPr>
          <w:lang w:val="fr-CH"/>
        </w:rPr>
        <w:t xml:space="preserve"> passifs de l'ASHI depuis 2010 ainsi que ses incidences sur l'actif net sont présentées dans le tableau ci-après.</w:t>
      </w:r>
    </w:p>
    <w:p w14:paraId="463BE35E" w14:textId="77777777" w:rsidR="003D3D8D" w:rsidRDefault="003D3D8D" w:rsidP="003D3D8D">
      <w:pPr>
        <w:spacing w:before="40"/>
        <w:rPr>
          <w:lang w:val="fr-CH"/>
        </w:rPr>
      </w:pPr>
    </w:p>
    <w:tbl>
      <w:tblPr>
        <w:tblStyle w:val="TableGrid"/>
        <w:tblW w:w="9918" w:type="dxa"/>
        <w:tblLayout w:type="fixed"/>
        <w:tblLook w:val="04A0" w:firstRow="1" w:lastRow="0" w:firstColumn="1" w:lastColumn="0" w:noHBand="0" w:noVBand="1"/>
      </w:tblPr>
      <w:tblGrid>
        <w:gridCol w:w="1980"/>
        <w:gridCol w:w="992"/>
        <w:gridCol w:w="992"/>
        <w:gridCol w:w="993"/>
        <w:gridCol w:w="992"/>
        <w:gridCol w:w="992"/>
        <w:gridCol w:w="977"/>
        <w:gridCol w:w="1008"/>
        <w:gridCol w:w="992"/>
      </w:tblGrid>
      <w:tr w:rsidR="003D3D8D" w:rsidRPr="00FF2060" w14:paraId="2A8DC682" w14:textId="77777777" w:rsidTr="00EA4804">
        <w:tc>
          <w:tcPr>
            <w:tcW w:w="9918" w:type="dxa"/>
            <w:gridSpan w:val="9"/>
            <w:tcBorders>
              <w:top w:val="single" w:sz="4" w:space="0" w:color="auto"/>
            </w:tcBorders>
            <w:shd w:val="clear" w:color="auto" w:fill="B8CCE4" w:themeFill="accent1" w:themeFillTint="66"/>
          </w:tcPr>
          <w:p w14:paraId="028E5CE1" w14:textId="77777777" w:rsidR="003D3D8D" w:rsidRPr="00436DDD" w:rsidRDefault="003D3D8D" w:rsidP="00EA4804">
            <w:pPr>
              <w:pStyle w:val="Tablehead"/>
              <w:jc w:val="left"/>
              <w:rPr>
                <w:color w:val="244061" w:themeColor="accent1" w:themeShade="80"/>
                <w:sz w:val="16"/>
                <w:szCs w:val="16"/>
                <w:lang w:val="fr-CH"/>
              </w:rPr>
            </w:pPr>
            <w:r w:rsidRPr="00436DDD">
              <w:rPr>
                <w:color w:val="244061" w:themeColor="accent1" w:themeShade="80"/>
                <w:sz w:val="16"/>
                <w:szCs w:val="16"/>
                <w:lang w:val="fr-CH"/>
              </w:rPr>
              <w:t>Evolution de l</w:t>
            </w:r>
            <w:r>
              <w:rPr>
                <w:color w:val="244061" w:themeColor="accent1" w:themeShade="80"/>
                <w:sz w:val="16"/>
                <w:szCs w:val="16"/>
                <w:lang w:val="fr-CH"/>
              </w:rPr>
              <w:t>'</w:t>
            </w:r>
            <w:r w:rsidRPr="00436DDD">
              <w:rPr>
                <w:color w:val="244061" w:themeColor="accent1" w:themeShade="80"/>
                <w:sz w:val="16"/>
                <w:szCs w:val="16"/>
                <w:lang w:val="fr-CH"/>
              </w:rPr>
              <w:t>actif net de l</w:t>
            </w:r>
            <w:r>
              <w:rPr>
                <w:color w:val="244061" w:themeColor="accent1" w:themeShade="80"/>
                <w:sz w:val="16"/>
                <w:szCs w:val="16"/>
                <w:lang w:val="fr-CH"/>
              </w:rPr>
              <w:t>'</w:t>
            </w:r>
            <w:r w:rsidRPr="00436DDD">
              <w:rPr>
                <w:color w:val="244061" w:themeColor="accent1" w:themeShade="80"/>
                <w:sz w:val="16"/>
                <w:szCs w:val="16"/>
                <w:lang w:val="fr-CH"/>
              </w:rPr>
              <w:t>UIT du fait de la reconnaissance d</w:t>
            </w:r>
            <w:r>
              <w:rPr>
                <w:color w:val="244061" w:themeColor="accent1" w:themeShade="80"/>
                <w:sz w:val="16"/>
                <w:szCs w:val="16"/>
                <w:lang w:val="fr-CH"/>
              </w:rPr>
              <w:t>'</w:t>
            </w:r>
            <w:r w:rsidRPr="00436DDD">
              <w:rPr>
                <w:color w:val="244061" w:themeColor="accent1" w:themeShade="80"/>
                <w:sz w:val="16"/>
                <w:szCs w:val="16"/>
                <w:lang w:val="fr-CH"/>
              </w:rPr>
              <w:t>un engagement au titre de l</w:t>
            </w:r>
            <w:r>
              <w:rPr>
                <w:color w:val="244061" w:themeColor="accent1" w:themeShade="80"/>
                <w:sz w:val="16"/>
                <w:szCs w:val="16"/>
                <w:lang w:val="fr-CH"/>
              </w:rPr>
              <w:t>'</w:t>
            </w:r>
            <w:r w:rsidRPr="00436DDD">
              <w:rPr>
                <w:color w:val="244061" w:themeColor="accent1" w:themeShade="80"/>
                <w:sz w:val="16"/>
                <w:szCs w:val="16"/>
                <w:lang w:val="fr-CH"/>
              </w:rPr>
              <w:t>ASHI conformément à la norme IPSAS</w:t>
            </w:r>
            <w:r>
              <w:rPr>
                <w:color w:val="244061" w:themeColor="accent1" w:themeShade="80"/>
                <w:sz w:val="16"/>
                <w:szCs w:val="16"/>
                <w:lang w:val="fr-CH"/>
              </w:rPr>
              <w:t> </w:t>
            </w:r>
            <w:r w:rsidRPr="00436DDD">
              <w:rPr>
                <w:color w:val="244061" w:themeColor="accent1" w:themeShade="80"/>
                <w:sz w:val="16"/>
                <w:szCs w:val="16"/>
                <w:lang w:val="fr-CH"/>
              </w:rPr>
              <w:t>25</w:t>
            </w:r>
          </w:p>
        </w:tc>
      </w:tr>
      <w:tr w:rsidR="003D3D8D" w:rsidRPr="00FF2060" w14:paraId="1F71B0D5" w14:textId="77777777" w:rsidTr="00EA4804">
        <w:tc>
          <w:tcPr>
            <w:tcW w:w="1980" w:type="dxa"/>
            <w:tcBorders>
              <w:bottom w:val="single" w:sz="4" w:space="0" w:color="auto"/>
            </w:tcBorders>
            <w:shd w:val="clear" w:color="auto" w:fill="B8CCE4" w:themeFill="accent1" w:themeFillTint="66"/>
          </w:tcPr>
          <w:p w14:paraId="1C05277F" w14:textId="77777777" w:rsidR="003D3D8D" w:rsidRPr="00EB32A1" w:rsidRDefault="003D3D8D" w:rsidP="00EA4804">
            <w:pPr>
              <w:pStyle w:val="Tabletext"/>
              <w:rPr>
                <w:b/>
                <w:bCs/>
                <w:color w:val="244061" w:themeColor="accent1" w:themeShade="80"/>
                <w:sz w:val="16"/>
                <w:szCs w:val="16"/>
                <w:lang w:val="en-US"/>
              </w:rPr>
            </w:pPr>
            <w:r w:rsidRPr="00EB32A1">
              <w:rPr>
                <w:b/>
                <w:bCs/>
                <w:color w:val="244061" w:themeColor="accent1" w:themeShade="80"/>
                <w:sz w:val="16"/>
                <w:szCs w:val="16"/>
                <w:lang w:val="en-US"/>
              </w:rPr>
              <w:t>En milliers de CHF</w:t>
            </w:r>
          </w:p>
        </w:tc>
        <w:tc>
          <w:tcPr>
            <w:tcW w:w="992" w:type="dxa"/>
            <w:tcBorders>
              <w:bottom w:val="single" w:sz="4" w:space="0" w:color="auto"/>
            </w:tcBorders>
            <w:shd w:val="clear" w:color="auto" w:fill="B8CCE4" w:themeFill="accent1" w:themeFillTint="66"/>
            <w:tcMar>
              <w:left w:w="57" w:type="dxa"/>
              <w:right w:w="57" w:type="dxa"/>
            </w:tcMar>
          </w:tcPr>
          <w:p w14:paraId="0CC8FB72" w14:textId="7B9616CE" w:rsidR="003D3D8D" w:rsidRPr="00EB32A1" w:rsidRDefault="0066299B" w:rsidP="00EA4804">
            <w:pPr>
              <w:pStyle w:val="Tabletext"/>
              <w:jc w:val="center"/>
              <w:rPr>
                <w:b/>
                <w:bCs/>
                <w:color w:val="244061" w:themeColor="accent1" w:themeShade="80"/>
                <w:sz w:val="16"/>
                <w:szCs w:val="16"/>
                <w:lang w:val="fr-CH"/>
              </w:rPr>
            </w:pPr>
            <w:r>
              <w:rPr>
                <w:b/>
                <w:bCs/>
                <w:color w:val="244061" w:themeColor="accent1" w:themeShade="80"/>
                <w:sz w:val="16"/>
                <w:szCs w:val="16"/>
                <w:lang w:val="fr-CH"/>
              </w:rPr>
              <w:t>Jan.</w:t>
            </w:r>
            <w:r w:rsidR="003D3D8D" w:rsidRPr="00EB32A1">
              <w:rPr>
                <w:b/>
                <w:bCs/>
                <w:color w:val="244061" w:themeColor="accent1" w:themeShade="80"/>
                <w:sz w:val="16"/>
                <w:szCs w:val="16"/>
                <w:lang w:val="ru-RU"/>
              </w:rPr>
              <w:t xml:space="preserve"> </w:t>
            </w:r>
            <w:r w:rsidR="003D3D8D" w:rsidRPr="00EB32A1">
              <w:rPr>
                <w:b/>
                <w:bCs/>
                <w:color w:val="244061" w:themeColor="accent1" w:themeShade="80"/>
                <w:sz w:val="16"/>
                <w:szCs w:val="16"/>
                <w:lang w:val="fr-CH"/>
              </w:rPr>
              <w:t>2010</w:t>
            </w:r>
          </w:p>
        </w:tc>
        <w:tc>
          <w:tcPr>
            <w:tcW w:w="992" w:type="dxa"/>
            <w:tcBorders>
              <w:bottom w:val="single" w:sz="4" w:space="0" w:color="auto"/>
            </w:tcBorders>
            <w:shd w:val="clear" w:color="auto" w:fill="B8CCE4" w:themeFill="accent1" w:themeFillTint="66"/>
            <w:tcMar>
              <w:left w:w="57" w:type="dxa"/>
              <w:right w:w="57" w:type="dxa"/>
            </w:tcMar>
          </w:tcPr>
          <w:p w14:paraId="156302C2" w14:textId="1C5EE04F" w:rsidR="003D3D8D" w:rsidRPr="00EB32A1" w:rsidRDefault="0066299B" w:rsidP="00EA4804">
            <w:pPr>
              <w:pStyle w:val="Tabletext"/>
              <w:jc w:val="center"/>
              <w:rPr>
                <w:b/>
                <w:bCs/>
                <w:color w:val="244061" w:themeColor="accent1" w:themeShade="80"/>
                <w:sz w:val="16"/>
                <w:szCs w:val="16"/>
                <w:lang w:val="fr-CH"/>
              </w:rPr>
            </w:pPr>
            <w:r>
              <w:rPr>
                <w:b/>
                <w:bCs/>
                <w:color w:val="244061" w:themeColor="accent1" w:themeShade="80"/>
                <w:sz w:val="16"/>
                <w:szCs w:val="16"/>
                <w:lang w:val="fr-CH"/>
              </w:rPr>
              <w:t>D</w:t>
            </w:r>
            <w:r w:rsidR="003D3D8D" w:rsidRPr="00EB32A1">
              <w:rPr>
                <w:b/>
                <w:bCs/>
                <w:color w:val="244061" w:themeColor="accent1" w:themeShade="80"/>
                <w:sz w:val="16"/>
                <w:szCs w:val="16"/>
                <w:lang w:val="ru-RU"/>
              </w:rPr>
              <w:t>é</w:t>
            </w:r>
            <w:r w:rsidR="003D3D8D" w:rsidRPr="00EB32A1">
              <w:rPr>
                <w:b/>
                <w:bCs/>
                <w:color w:val="244061" w:themeColor="accent1" w:themeShade="80"/>
                <w:sz w:val="16"/>
                <w:szCs w:val="16"/>
                <w:lang w:val="fr-CH"/>
              </w:rPr>
              <w:t>c</w:t>
            </w:r>
            <w:r w:rsidR="003D3D8D" w:rsidRPr="00EB32A1">
              <w:rPr>
                <w:b/>
                <w:bCs/>
                <w:color w:val="244061" w:themeColor="accent1" w:themeShade="80"/>
                <w:sz w:val="16"/>
                <w:szCs w:val="16"/>
                <w:lang w:val="ru-RU"/>
              </w:rPr>
              <w:t xml:space="preserve">. </w:t>
            </w:r>
            <w:r w:rsidR="003D3D8D" w:rsidRPr="00EB32A1">
              <w:rPr>
                <w:b/>
                <w:bCs/>
                <w:color w:val="244061" w:themeColor="accent1" w:themeShade="80"/>
                <w:sz w:val="16"/>
                <w:szCs w:val="16"/>
                <w:lang w:val="fr-CH"/>
              </w:rPr>
              <w:t>2010</w:t>
            </w:r>
          </w:p>
        </w:tc>
        <w:tc>
          <w:tcPr>
            <w:tcW w:w="993" w:type="dxa"/>
            <w:tcBorders>
              <w:bottom w:val="single" w:sz="4" w:space="0" w:color="auto"/>
            </w:tcBorders>
            <w:shd w:val="clear" w:color="auto" w:fill="B8CCE4" w:themeFill="accent1" w:themeFillTint="66"/>
            <w:tcMar>
              <w:left w:w="57" w:type="dxa"/>
              <w:right w:w="57" w:type="dxa"/>
            </w:tcMar>
          </w:tcPr>
          <w:p w14:paraId="126D84C0" w14:textId="6D72B5EC" w:rsidR="003D3D8D" w:rsidRPr="00EB32A1" w:rsidRDefault="0066299B" w:rsidP="00EA4804">
            <w:pPr>
              <w:pStyle w:val="Tabletext"/>
              <w:jc w:val="center"/>
              <w:rPr>
                <w:b/>
                <w:bCs/>
                <w:color w:val="244061" w:themeColor="accent1" w:themeShade="80"/>
                <w:sz w:val="16"/>
                <w:szCs w:val="16"/>
                <w:lang w:val="fr-CH"/>
              </w:rPr>
            </w:pPr>
            <w:r>
              <w:rPr>
                <w:b/>
                <w:bCs/>
                <w:color w:val="244061" w:themeColor="accent1" w:themeShade="80"/>
                <w:sz w:val="16"/>
                <w:szCs w:val="16"/>
                <w:lang w:val="fr-CH"/>
              </w:rPr>
              <w:t>D</w:t>
            </w:r>
            <w:r w:rsidR="003D3D8D" w:rsidRPr="00EB32A1">
              <w:rPr>
                <w:b/>
                <w:bCs/>
                <w:color w:val="244061" w:themeColor="accent1" w:themeShade="80"/>
                <w:sz w:val="16"/>
                <w:szCs w:val="16"/>
                <w:lang w:val="ru-RU"/>
              </w:rPr>
              <w:t>é</w:t>
            </w:r>
            <w:r w:rsidR="003D3D8D" w:rsidRPr="00EB32A1">
              <w:rPr>
                <w:b/>
                <w:bCs/>
                <w:color w:val="244061" w:themeColor="accent1" w:themeShade="80"/>
                <w:sz w:val="16"/>
                <w:szCs w:val="16"/>
                <w:lang w:val="fr-CH"/>
              </w:rPr>
              <w:t>c</w:t>
            </w:r>
            <w:r w:rsidR="003D3D8D" w:rsidRPr="00EB32A1">
              <w:rPr>
                <w:b/>
                <w:bCs/>
                <w:color w:val="244061" w:themeColor="accent1" w:themeShade="80"/>
                <w:sz w:val="16"/>
                <w:szCs w:val="16"/>
                <w:lang w:val="ru-RU"/>
              </w:rPr>
              <w:t xml:space="preserve">. </w:t>
            </w:r>
            <w:r w:rsidR="003D3D8D" w:rsidRPr="00EB32A1">
              <w:rPr>
                <w:b/>
                <w:bCs/>
                <w:color w:val="244061" w:themeColor="accent1" w:themeShade="80"/>
                <w:sz w:val="16"/>
                <w:szCs w:val="16"/>
                <w:lang w:val="fr-CH"/>
              </w:rPr>
              <w:t>2011</w:t>
            </w:r>
          </w:p>
        </w:tc>
        <w:tc>
          <w:tcPr>
            <w:tcW w:w="992" w:type="dxa"/>
            <w:tcBorders>
              <w:bottom w:val="single" w:sz="4" w:space="0" w:color="auto"/>
            </w:tcBorders>
            <w:shd w:val="clear" w:color="auto" w:fill="B8CCE4" w:themeFill="accent1" w:themeFillTint="66"/>
            <w:tcMar>
              <w:left w:w="57" w:type="dxa"/>
              <w:right w:w="57" w:type="dxa"/>
            </w:tcMar>
          </w:tcPr>
          <w:p w14:paraId="0E8A7D0A" w14:textId="0050667A" w:rsidR="003D3D8D" w:rsidRPr="00EB32A1" w:rsidRDefault="0066299B" w:rsidP="00EA4804">
            <w:pPr>
              <w:pStyle w:val="Tabletext"/>
              <w:jc w:val="center"/>
              <w:rPr>
                <w:b/>
                <w:bCs/>
                <w:color w:val="244061" w:themeColor="accent1" w:themeShade="80"/>
                <w:sz w:val="16"/>
                <w:szCs w:val="16"/>
                <w:lang w:val="ru-RU"/>
              </w:rPr>
            </w:pPr>
            <w:r>
              <w:rPr>
                <w:b/>
                <w:bCs/>
                <w:color w:val="244061" w:themeColor="accent1" w:themeShade="80"/>
                <w:sz w:val="16"/>
                <w:szCs w:val="16"/>
                <w:lang w:val="ru-RU"/>
              </w:rPr>
              <w:t>D</w:t>
            </w:r>
            <w:r w:rsidR="003D3D8D" w:rsidRPr="00EB32A1">
              <w:rPr>
                <w:b/>
                <w:bCs/>
                <w:color w:val="244061" w:themeColor="accent1" w:themeShade="80"/>
                <w:sz w:val="16"/>
                <w:szCs w:val="16"/>
                <w:lang w:val="ru-RU"/>
              </w:rPr>
              <w:t>é</w:t>
            </w:r>
            <w:r w:rsidR="003D3D8D" w:rsidRPr="00EB32A1">
              <w:rPr>
                <w:b/>
                <w:bCs/>
                <w:color w:val="244061" w:themeColor="accent1" w:themeShade="80"/>
                <w:sz w:val="16"/>
                <w:szCs w:val="16"/>
                <w:lang w:val="fr-CH"/>
              </w:rPr>
              <w:t>c</w:t>
            </w:r>
            <w:r w:rsidR="003D3D8D" w:rsidRPr="00EB32A1">
              <w:rPr>
                <w:b/>
                <w:bCs/>
                <w:color w:val="244061" w:themeColor="accent1" w:themeShade="80"/>
                <w:sz w:val="16"/>
                <w:szCs w:val="16"/>
                <w:lang w:val="ru-RU"/>
              </w:rPr>
              <w:t xml:space="preserve">. </w:t>
            </w:r>
            <w:r w:rsidR="003D3D8D" w:rsidRPr="00EB32A1">
              <w:rPr>
                <w:b/>
                <w:bCs/>
                <w:color w:val="244061" w:themeColor="accent1" w:themeShade="80"/>
                <w:sz w:val="16"/>
                <w:szCs w:val="16"/>
                <w:lang w:val="fr-CH"/>
              </w:rPr>
              <w:t>201</w:t>
            </w:r>
            <w:r w:rsidR="003D3D8D" w:rsidRPr="00EB32A1">
              <w:rPr>
                <w:b/>
                <w:bCs/>
                <w:color w:val="244061" w:themeColor="accent1" w:themeShade="80"/>
                <w:sz w:val="16"/>
                <w:szCs w:val="16"/>
                <w:lang w:val="ru-RU"/>
              </w:rPr>
              <w:t>2</w:t>
            </w:r>
          </w:p>
        </w:tc>
        <w:tc>
          <w:tcPr>
            <w:tcW w:w="992" w:type="dxa"/>
            <w:tcBorders>
              <w:bottom w:val="single" w:sz="4" w:space="0" w:color="auto"/>
            </w:tcBorders>
            <w:shd w:val="clear" w:color="auto" w:fill="B8CCE4" w:themeFill="accent1" w:themeFillTint="66"/>
            <w:tcMar>
              <w:left w:w="57" w:type="dxa"/>
              <w:right w:w="57" w:type="dxa"/>
            </w:tcMar>
          </w:tcPr>
          <w:p w14:paraId="71EBA074" w14:textId="23933089" w:rsidR="003D3D8D" w:rsidRPr="00EB32A1" w:rsidRDefault="0066299B" w:rsidP="00EA4804">
            <w:pPr>
              <w:pStyle w:val="Tabletext"/>
              <w:jc w:val="center"/>
              <w:rPr>
                <w:b/>
                <w:bCs/>
                <w:color w:val="244061" w:themeColor="accent1" w:themeShade="80"/>
                <w:sz w:val="16"/>
                <w:szCs w:val="16"/>
                <w:lang w:val="ru-RU"/>
              </w:rPr>
            </w:pPr>
            <w:r>
              <w:rPr>
                <w:b/>
                <w:bCs/>
                <w:color w:val="244061" w:themeColor="accent1" w:themeShade="80"/>
                <w:sz w:val="16"/>
                <w:szCs w:val="16"/>
                <w:lang w:val="ru-RU"/>
              </w:rPr>
              <w:t>D</w:t>
            </w:r>
            <w:r w:rsidR="003D3D8D" w:rsidRPr="00EB32A1">
              <w:rPr>
                <w:b/>
                <w:bCs/>
                <w:color w:val="244061" w:themeColor="accent1" w:themeShade="80"/>
                <w:sz w:val="16"/>
                <w:szCs w:val="16"/>
                <w:lang w:val="ru-RU"/>
              </w:rPr>
              <w:t>é</w:t>
            </w:r>
            <w:r w:rsidR="003D3D8D" w:rsidRPr="00EB32A1">
              <w:rPr>
                <w:b/>
                <w:bCs/>
                <w:color w:val="244061" w:themeColor="accent1" w:themeShade="80"/>
                <w:sz w:val="16"/>
                <w:szCs w:val="16"/>
                <w:lang w:val="fr-CH"/>
              </w:rPr>
              <w:t>c</w:t>
            </w:r>
            <w:r w:rsidR="003D3D8D" w:rsidRPr="00EB32A1">
              <w:rPr>
                <w:b/>
                <w:bCs/>
                <w:color w:val="244061" w:themeColor="accent1" w:themeShade="80"/>
                <w:sz w:val="16"/>
                <w:szCs w:val="16"/>
                <w:lang w:val="ru-RU"/>
              </w:rPr>
              <w:t xml:space="preserve">. </w:t>
            </w:r>
            <w:r w:rsidR="003D3D8D" w:rsidRPr="00EB32A1">
              <w:rPr>
                <w:b/>
                <w:bCs/>
                <w:color w:val="244061" w:themeColor="accent1" w:themeShade="80"/>
                <w:sz w:val="16"/>
                <w:szCs w:val="16"/>
                <w:lang w:val="fr-CH"/>
              </w:rPr>
              <w:t>201</w:t>
            </w:r>
            <w:r w:rsidR="003D3D8D" w:rsidRPr="00EB32A1">
              <w:rPr>
                <w:b/>
                <w:bCs/>
                <w:color w:val="244061" w:themeColor="accent1" w:themeShade="80"/>
                <w:sz w:val="16"/>
                <w:szCs w:val="16"/>
                <w:lang w:val="ru-RU"/>
              </w:rPr>
              <w:t>3</w:t>
            </w:r>
          </w:p>
        </w:tc>
        <w:tc>
          <w:tcPr>
            <w:tcW w:w="977" w:type="dxa"/>
            <w:tcBorders>
              <w:bottom w:val="single" w:sz="4" w:space="0" w:color="auto"/>
            </w:tcBorders>
            <w:shd w:val="clear" w:color="auto" w:fill="B8CCE4" w:themeFill="accent1" w:themeFillTint="66"/>
            <w:tcMar>
              <w:left w:w="57" w:type="dxa"/>
              <w:right w:w="57" w:type="dxa"/>
            </w:tcMar>
          </w:tcPr>
          <w:p w14:paraId="77776857" w14:textId="75468EC4" w:rsidR="003D3D8D" w:rsidRPr="00EB32A1" w:rsidRDefault="0066299B" w:rsidP="00EA4804">
            <w:pPr>
              <w:pStyle w:val="Tabletext"/>
              <w:jc w:val="center"/>
              <w:rPr>
                <w:b/>
                <w:bCs/>
                <w:color w:val="244061" w:themeColor="accent1" w:themeShade="80"/>
                <w:sz w:val="16"/>
                <w:szCs w:val="16"/>
                <w:lang w:val="fr-CH"/>
              </w:rPr>
            </w:pPr>
            <w:r>
              <w:rPr>
                <w:b/>
                <w:bCs/>
                <w:color w:val="244061" w:themeColor="accent1" w:themeShade="80"/>
                <w:sz w:val="16"/>
                <w:szCs w:val="16"/>
                <w:lang w:val="ru-RU"/>
              </w:rPr>
              <w:t>D</w:t>
            </w:r>
            <w:r w:rsidR="003D3D8D" w:rsidRPr="00EB32A1">
              <w:rPr>
                <w:b/>
                <w:bCs/>
                <w:color w:val="244061" w:themeColor="accent1" w:themeShade="80"/>
                <w:sz w:val="16"/>
                <w:szCs w:val="16"/>
                <w:lang w:val="ru-RU"/>
              </w:rPr>
              <w:t>é</w:t>
            </w:r>
            <w:r w:rsidR="003D3D8D" w:rsidRPr="00EB32A1">
              <w:rPr>
                <w:b/>
                <w:bCs/>
                <w:color w:val="244061" w:themeColor="accent1" w:themeShade="80"/>
                <w:sz w:val="16"/>
                <w:szCs w:val="16"/>
                <w:lang w:val="fr-CH"/>
              </w:rPr>
              <w:t>c</w:t>
            </w:r>
            <w:r w:rsidR="003D3D8D" w:rsidRPr="00EB32A1">
              <w:rPr>
                <w:b/>
                <w:bCs/>
                <w:color w:val="244061" w:themeColor="accent1" w:themeShade="80"/>
                <w:sz w:val="16"/>
                <w:szCs w:val="16"/>
                <w:lang w:val="ru-RU"/>
              </w:rPr>
              <w:t xml:space="preserve">. </w:t>
            </w:r>
            <w:r w:rsidR="003D3D8D" w:rsidRPr="00EB32A1">
              <w:rPr>
                <w:b/>
                <w:bCs/>
                <w:color w:val="244061" w:themeColor="accent1" w:themeShade="80"/>
                <w:sz w:val="16"/>
                <w:szCs w:val="16"/>
                <w:lang w:val="fr-CH"/>
              </w:rPr>
              <w:t>2014</w:t>
            </w:r>
          </w:p>
        </w:tc>
        <w:tc>
          <w:tcPr>
            <w:tcW w:w="1008" w:type="dxa"/>
            <w:tcBorders>
              <w:bottom w:val="single" w:sz="4" w:space="0" w:color="auto"/>
            </w:tcBorders>
            <w:shd w:val="clear" w:color="auto" w:fill="B8CCE4" w:themeFill="accent1" w:themeFillTint="66"/>
          </w:tcPr>
          <w:p w14:paraId="3AEAC884" w14:textId="46576A74" w:rsidR="003D3D8D" w:rsidRPr="00EB32A1" w:rsidRDefault="0066299B" w:rsidP="00EA4804">
            <w:pPr>
              <w:pStyle w:val="Tabletext"/>
              <w:jc w:val="center"/>
              <w:rPr>
                <w:b/>
                <w:bCs/>
                <w:color w:val="244061" w:themeColor="accent1" w:themeShade="80"/>
                <w:sz w:val="16"/>
                <w:szCs w:val="16"/>
                <w:lang w:val="fr-CH"/>
              </w:rPr>
            </w:pPr>
            <w:r>
              <w:rPr>
                <w:b/>
                <w:bCs/>
                <w:color w:val="244061" w:themeColor="accent1" w:themeShade="80"/>
                <w:sz w:val="16"/>
                <w:szCs w:val="16"/>
                <w:lang w:val="ru-RU"/>
              </w:rPr>
              <w:t>D</w:t>
            </w:r>
            <w:r w:rsidR="003D3D8D" w:rsidRPr="00EB32A1">
              <w:rPr>
                <w:b/>
                <w:bCs/>
                <w:color w:val="244061" w:themeColor="accent1" w:themeShade="80"/>
                <w:sz w:val="16"/>
                <w:szCs w:val="16"/>
                <w:lang w:val="ru-RU"/>
              </w:rPr>
              <w:t>é</w:t>
            </w:r>
            <w:r w:rsidR="003D3D8D" w:rsidRPr="00EB32A1">
              <w:rPr>
                <w:b/>
                <w:bCs/>
                <w:color w:val="244061" w:themeColor="accent1" w:themeShade="80"/>
                <w:sz w:val="16"/>
                <w:szCs w:val="16"/>
                <w:lang w:val="fr-CH"/>
              </w:rPr>
              <w:t>c</w:t>
            </w:r>
            <w:r w:rsidR="003D3D8D" w:rsidRPr="00EB32A1">
              <w:rPr>
                <w:b/>
                <w:bCs/>
                <w:color w:val="244061" w:themeColor="accent1" w:themeShade="80"/>
                <w:sz w:val="16"/>
                <w:szCs w:val="16"/>
                <w:lang w:val="ru-RU"/>
              </w:rPr>
              <w:t xml:space="preserve">. </w:t>
            </w:r>
            <w:r w:rsidR="003D3D8D" w:rsidRPr="00EB32A1">
              <w:rPr>
                <w:b/>
                <w:bCs/>
                <w:color w:val="244061" w:themeColor="accent1" w:themeShade="80"/>
                <w:sz w:val="16"/>
                <w:szCs w:val="16"/>
                <w:lang w:val="fr-CH"/>
              </w:rPr>
              <w:t>2015</w:t>
            </w:r>
          </w:p>
        </w:tc>
        <w:tc>
          <w:tcPr>
            <w:tcW w:w="992" w:type="dxa"/>
            <w:tcBorders>
              <w:bottom w:val="single" w:sz="4" w:space="0" w:color="auto"/>
            </w:tcBorders>
            <w:shd w:val="clear" w:color="auto" w:fill="B8CCE4" w:themeFill="accent1" w:themeFillTint="66"/>
            <w:tcMar>
              <w:left w:w="57" w:type="dxa"/>
              <w:right w:w="57" w:type="dxa"/>
            </w:tcMar>
          </w:tcPr>
          <w:p w14:paraId="5C1B53FB" w14:textId="4AC5E403" w:rsidR="003D3D8D" w:rsidRPr="00EB32A1" w:rsidRDefault="0066299B" w:rsidP="00EA4804">
            <w:pPr>
              <w:pStyle w:val="Tabletext"/>
              <w:jc w:val="center"/>
              <w:rPr>
                <w:b/>
                <w:bCs/>
                <w:color w:val="244061" w:themeColor="accent1" w:themeShade="80"/>
                <w:sz w:val="16"/>
                <w:szCs w:val="16"/>
                <w:lang w:val="fr-CH"/>
              </w:rPr>
            </w:pPr>
            <w:r>
              <w:rPr>
                <w:b/>
                <w:bCs/>
                <w:color w:val="244061" w:themeColor="accent1" w:themeShade="80"/>
                <w:sz w:val="16"/>
                <w:szCs w:val="16"/>
                <w:lang w:val="fr-CH"/>
              </w:rPr>
              <w:t>D</w:t>
            </w:r>
            <w:r w:rsidR="00ED1305">
              <w:rPr>
                <w:b/>
                <w:bCs/>
                <w:color w:val="244061" w:themeColor="accent1" w:themeShade="80"/>
                <w:sz w:val="16"/>
                <w:szCs w:val="16"/>
                <w:lang w:val="fr-CH"/>
              </w:rPr>
              <w:t>éc. 2016</w:t>
            </w:r>
          </w:p>
        </w:tc>
      </w:tr>
      <w:tr w:rsidR="003D3D8D" w:rsidRPr="00FF2060" w14:paraId="38F197A7" w14:textId="77777777" w:rsidTr="00EA4804">
        <w:tc>
          <w:tcPr>
            <w:tcW w:w="1980" w:type="dxa"/>
            <w:tcBorders>
              <w:top w:val="single" w:sz="4" w:space="0" w:color="auto"/>
            </w:tcBorders>
          </w:tcPr>
          <w:p w14:paraId="67999D63" w14:textId="77777777" w:rsidR="003D3D8D" w:rsidRPr="00ED1305" w:rsidRDefault="003D3D8D" w:rsidP="00EA4804">
            <w:pPr>
              <w:pStyle w:val="Tabletext"/>
              <w:rPr>
                <w:b/>
                <w:bCs/>
                <w:sz w:val="16"/>
                <w:szCs w:val="16"/>
                <w:lang w:val="fr-CH"/>
              </w:rPr>
            </w:pPr>
          </w:p>
        </w:tc>
        <w:tc>
          <w:tcPr>
            <w:tcW w:w="992" w:type="dxa"/>
            <w:tcBorders>
              <w:top w:val="single" w:sz="4" w:space="0" w:color="auto"/>
            </w:tcBorders>
          </w:tcPr>
          <w:p w14:paraId="0B37E025" w14:textId="77777777" w:rsidR="003D3D8D" w:rsidRPr="00ED1305" w:rsidRDefault="003D3D8D" w:rsidP="00EA4804">
            <w:pPr>
              <w:pStyle w:val="Tabletext"/>
              <w:ind w:right="57"/>
              <w:jc w:val="right"/>
              <w:rPr>
                <w:sz w:val="16"/>
                <w:szCs w:val="16"/>
                <w:lang w:val="fr-CH"/>
              </w:rPr>
            </w:pPr>
          </w:p>
        </w:tc>
        <w:tc>
          <w:tcPr>
            <w:tcW w:w="992" w:type="dxa"/>
            <w:tcBorders>
              <w:top w:val="single" w:sz="4" w:space="0" w:color="auto"/>
            </w:tcBorders>
          </w:tcPr>
          <w:p w14:paraId="799EA49C" w14:textId="77777777" w:rsidR="003D3D8D" w:rsidRPr="00ED1305" w:rsidRDefault="003D3D8D" w:rsidP="00EA4804">
            <w:pPr>
              <w:pStyle w:val="Tabletext"/>
              <w:ind w:right="57"/>
              <w:jc w:val="right"/>
              <w:rPr>
                <w:sz w:val="16"/>
                <w:szCs w:val="16"/>
                <w:lang w:val="fr-CH"/>
              </w:rPr>
            </w:pPr>
          </w:p>
        </w:tc>
        <w:tc>
          <w:tcPr>
            <w:tcW w:w="993" w:type="dxa"/>
            <w:tcBorders>
              <w:top w:val="single" w:sz="4" w:space="0" w:color="auto"/>
            </w:tcBorders>
          </w:tcPr>
          <w:p w14:paraId="561DE537" w14:textId="77777777" w:rsidR="003D3D8D" w:rsidRPr="00ED1305" w:rsidRDefault="003D3D8D" w:rsidP="00EA4804">
            <w:pPr>
              <w:pStyle w:val="Tabletext"/>
              <w:ind w:right="57"/>
              <w:jc w:val="right"/>
              <w:rPr>
                <w:sz w:val="16"/>
                <w:szCs w:val="16"/>
                <w:lang w:val="fr-CH"/>
              </w:rPr>
            </w:pPr>
          </w:p>
        </w:tc>
        <w:tc>
          <w:tcPr>
            <w:tcW w:w="992" w:type="dxa"/>
            <w:tcBorders>
              <w:top w:val="single" w:sz="4" w:space="0" w:color="auto"/>
            </w:tcBorders>
          </w:tcPr>
          <w:p w14:paraId="53EF423A" w14:textId="77777777" w:rsidR="003D3D8D" w:rsidRPr="00ED1305" w:rsidRDefault="003D3D8D" w:rsidP="00EA4804">
            <w:pPr>
              <w:pStyle w:val="Tabletext"/>
              <w:ind w:right="57"/>
              <w:jc w:val="right"/>
              <w:rPr>
                <w:sz w:val="16"/>
                <w:szCs w:val="16"/>
                <w:lang w:val="fr-CH"/>
              </w:rPr>
            </w:pPr>
          </w:p>
        </w:tc>
        <w:tc>
          <w:tcPr>
            <w:tcW w:w="992" w:type="dxa"/>
            <w:tcBorders>
              <w:top w:val="single" w:sz="4" w:space="0" w:color="auto"/>
            </w:tcBorders>
          </w:tcPr>
          <w:p w14:paraId="1CCC7D58" w14:textId="77777777" w:rsidR="003D3D8D" w:rsidRPr="00ED1305" w:rsidRDefault="003D3D8D" w:rsidP="00EA4804">
            <w:pPr>
              <w:pStyle w:val="Tabletext"/>
              <w:ind w:right="57"/>
              <w:jc w:val="right"/>
              <w:rPr>
                <w:sz w:val="16"/>
                <w:szCs w:val="16"/>
                <w:lang w:val="fr-CH"/>
              </w:rPr>
            </w:pPr>
          </w:p>
        </w:tc>
        <w:tc>
          <w:tcPr>
            <w:tcW w:w="977" w:type="dxa"/>
            <w:tcBorders>
              <w:top w:val="single" w:sz="4" w:space="0" w:color="auto"/>
            </w:tcBorders>
          </w:tcPr>
          <w:p w14:paraId="6BF15D60" w14:textId="77777777" w:rsidR="003D3D8D" w:rsidRPr="00ED1305" w:rsidRDefault="003D3D8D" w:rsidP="00EA4804">
            <w:pPr>
              <w:pStyle w:val="Tabletext"/>
              <w:ind w:right="57"/>
              <w:jc w:val="right"/>
              <w:rPr>
                <w:sz w:val="16"/>
                <w:szCs w:val="16"/>
                <w:lang w:val="fr-CH"/>
              </w:rPr>
            </w:pPr>
          </w:p>
        </w:tc>
        <w:tc>
          <w:tcPr>
            <w:tcW w:w="1008" w:type="dxa"/>
            <w:tcBorders>
              <w:top w:val="single" w:sz="4" w:space="0" w:color="auto"/>
            </w:tcBorders>
          </w:tcPr>
          <w:p w14:paraId="259825DC" w14:textId="77777777" w:rsidR="003D3D8D" w:rsidRPr="00ED1305" w:rsidRDefault="003D3D8D" w:rsidP="00EA4804">
            <w:pPr>
              <w:pStyle w:val="Tabletext"/>
              <w:ind w:right="57"/>
              <w:jc w:val="right"/>
              <w:rPr>
                <w:sz w:val="16"/>
                <w:szCs w:val="16"/>
                <w:lang w:val="fr-CH"/>
              </w:rPr>
            </w:pPr>
          </w:p>
        </w:tc>
        <w:tc>
          <w:tcPr>
            <w:tcW w:w="992" w:type="dxa"/>
            <w:tcBorders>
              <w:top w:val="single" w:sz="4" w:space="0" w:color="auto"/>
            </w:tcBorders>
          </w:tcPr>
          <w:p w14:paraId="58F137AC" w14:textId="77777777" w:rsidR="003D3D8D" w:rsidRPr="00ED1305" w:rsidRDefault="003D3D8D" w:rsidP="00EA4804">
            <w:pPr>
              <w:pStyle w:val="Tabletext"/>
              <w:ind w:right="57"/>
              <w:jc w:val="right"/>
              <w:rPr>
                <w:sz w:val="16"/>
                <w:szCs w:val="16"/>
                <w:lang w:val="fr-CH"/>
              </w:rPr>
            </w:pPr>
          </w:p>
        </w:tc>
      </w:tr>
      <w:tr w:rsidR="003D3D8D" w:rsidRPr="004574A5" w14:paraId="2C6C4565" w14:textId="77777777" w:rsidTr="00EA4804">
        <w:tc>
          <w:tcPr>
            <w:tcW w:w="1980" w:type="dxa"/>
          </w:tcPr>
          <w:p w14:paraId="2753B72A" w14:textId="77777777" w:rsidR="003D3D8D" w:rsidRPr="00436DDD" w:rsidRDefault="003D3D8D" w:rsidP="00EA4804">
            <w:pPr>
              <w:pStyle w:val="Tabletext"/>
              <w:rPr>
                <w:b/>
                <w:bCs/>
                <w:sz w:val="16"/>
                <w:szCs w:val="16"/>
                <w:lang w:val="fr-CH"/>
              </w:rPr>
            </w:pPr>
            <w:r w:rsidRPr="00436DDD">
              <w:rPr>
                <w:b/>
                <w:bCs/>
                <w:sz w:val="16"/>
                <w:szCs w:val="16"/>
                <w:lang w:val="fr-CH"/>
              </w:rPr>
              <w:t>Valeur actuelle des engagements futurs non financés</w:t>
            </w:r>
          </w:p>
        </w:tc>
        <w:tc>
          <w:tcPr>
            <w:tcW w:w="992" w:type="dxa"/>
            <w:vAlign w:val="bottom"/>
          </w:tcPr>
          <w:p w14:paraId="51A68366" w14:textId="77777777" w:rsidR="003D3D8D" w:rsidRPr="00ED1305" w:rsidRDefault="003D3D8D" w:rsidP="00EA4804">
            <w:pPr>
              <w:pStyle w:val="Tabletext"/>
              <w:ind w:right="57"/>
              <w:jc w:val="right"/>
              <w:rPr>
                <w:sz w:val="16"/>
                <w:szCs w:val="16"/>
                <w:lang w:val="fr-CH"/>
              </w:rPr>
            </w:pPr>
            <w:r w:rsidRPr="00FA674A">
              <w:rPr>
                <w:sz w:val="16"/>
                <w:szCs w:val="16"/>
                <w:lang w:val="fr-CH"/>
              </w:rPr>
              <w:t>–</w:t>
            </w:r>
            <w:r w:rsidRPr="00ED1305">
              <w:rPr>
                <w:sz w:val="16"/>
                <w:szCs w:val="16"/>
                <w:lang w:val="fr-CH"/>
              </w:rPr>
              <w:t>172 364</w:t>
            </w:r>
          </w:p>
        </w:tc>
        <w:tc>
          <w:tcPr>
            <w:tcW w:w="992" w:type="dxa"/>
            <w:vAlign w:val="bottom"/>
          </w:tcPr>
          <w:p w14:paraId="7C0BC248" w14:textId="77777777" w:rsidR="003D3D8D" w:rsidRPr="00ED1305" w:rsidRDefault="003D3D8D" w:rsidP="00EA4804">
            <w:pPr>
              <w:pStyle w:val="Tabletext"/>
              <w:ind w:right="57"/>
              <w:jc w:val="right"/>
              <w:rPr>
                <w:sz w:val="16"/>
                <w:szCs w:val="16"/>
                <w:lang w:val="fr-CH"/>
              </w:rPr>
            </w:pPr>
            <w:r w:rsidRPr="00FA674A">
              <w:rPr>
                <w:sz w:val="16"/>
                <w:szCs w:val="16"/>
                <w:lang w:val="fr-CH"/>
              </w:rPr>
              <w:t>–</w:t>
            </w:r>
            <w:r w:rsidRPr="00ED1305">
              <w:rPr>
                <w:sz w:val="16"/>
                <w:szCs w:val="16"/>
                <w:lang w:val="fr-CH"/>
              </w:rPr>
              <w:t>211 872</w:t>
            </w:r>
          </w:p>
        </w:tc>
        <w:tc>
          <w:tcPr>
            <w:tcW w:w="993" w:type="dxa"/>
            <w:vAlign w:val="bottom"/>
          </w:tcPr>
          <w:p w14:paraId="6A294960" w14:textId="77777777" w:rsidR="003D3D8D" w:rsidRPr="00ED1305" w:rsidRDefault="003D3D8D" w:rsidP="00EA4804">
            <w:pPr>
              <w:pStyle w:val="Tabletext"/>
              <w:ind w:right="57"/>
              <w:jc w:val="right"/>
              <w:rPr>
                <w:sz w:val="16"/>
                <w:szCs w:val="16"/>
                <w:lang w:val="fr-CH"/>
              </w:rPr>
            </w:pPr>
            <w:r w:rsidRPr="00FA674A">
              <w:rPr>
                <w:sz w:val="16"/>
                <w:szCs w:val="16"/>
                <w:lang w:val="fr-CH"/>
              </w:rPr>
              <w:t>–</w:t>
            </w:r>
            <w:r w:rsidRPr="00ED1305">
              <w:rPr>
                <w:sz w:val="16"/>
                <w:szCs w:val="16"/>
                <w:lang w:val="fr-CH"/>
              </w:rPr>
              <w:t>278 684</w:t>
            </w:r>
          </w:p>
        </w:tc>
        <w:tc>
          <w:tcPr>
            <w:tcW w:w="992" w:type="dxa"/>
            <w:vAlign w:val="bottom"/>
          </w:tcPr>
          <w:p w14:paraId="4CF0E694" w14:textId="77777777" w:rsidR="003D3D8D" w:rsidRPr="00ED1305" w:rsidRDefault="003D3D8D" w:rsidP="00EA4804">
            <w:pPr>
              <w:pStyle w:val="Tabletext"/>
              <w:ind w:right="57"/>
              <w:jc w:val="right"/>
              <w:rPr>
                <w:sz w:val="16"/>
                <w:szCs w:val="16"/>
                <w:lang w:val="fr-CH"/>
              </w:rPr>
            </w:pPr>
            <w:r w:rsidRPr="00FA674A">
              <w:rPr>
                <w:sz w:val="16"/>
                <w:szCs w:val="16"/>
                <w:lang w:val="fr-CH"/>
              </w:rPr>
              <w:t>–</w:t>
            </w:r>
            <w:r w:rsidRPr="00ED1305">
              <w:rPr>
                <w:sz w:val="16"/>
                <w:szCs w:val="16"/>
                <w:lang w:val="fr-CH"/>
              </w:rPr>
              <w:t>335 206</w:t>
            </w:r>
          </w:p>
        </w:tc>
        <w:tc>
          <w:tcPr>
            <w:tcW w:w="992" w:type="dxa"/>
            <w:vAlign w:val="bottom"/>
          </w:tcPr>
          <w:p w14:paraId="50CA9B86" w14:textId="77777777" w:rsidR="003D3D8D" w:rsidRPr="00436DDD" w:rsidRDefault="003D3D8D" w:rsidP="00EA4804">
            <w:pPr>
              <w:pStyle w:val="Tabletext"/>
              <w:ind w:right="57"/>
              <w:jc w:val="right"/>
              <w:rPr>
                <w:sz w:val="16"/>
                <w:szCs w:val="16"/>
                <w:lang w:val="fr-CH"/>
              </w:rPr>
            </w:pPr>
            <w:r w:rsidRPr="00FA674A">
              <w:rPr>
                <w:sz w:val="16"/>
                <w:szCs w:val="16"/>
                <w:lang w:val="fr-CH"/>
              </w:rPr>
              <w:t>–</w:t>
            </w:r>
            <w:r w:rsidRPr="00436DDD">
              <w:rPr>
                <w:sz w:val="16"/>
                <w:szCs w:val="16"/>
                <w:lang w:val="fr-CH"/>
              </w:rPr>
              <w:t>314 127</w:t>
            </w:r>
          </w:p>
        </w:tc>
        <w:tc>
          <w:tcPr>
            <w:tcW w:w="977" w:type="dxa"/>
            <w:vAlign w:val="bottom"/>
          </w:tcPr>
          <w:p w14:paraId="07BD42C4" w14:textId="77777777" w:rsidR="003D3D8D" w:rsidRPr="00436DDD" w:rsidRDefault="003D3D8D" w:rsidP="00EA4804">
            <w:pPr>
              <w:pStyle w:val="Tabletext"/>
              <w:ind w:right="57"/>
              <w:jc w:val="right"/>
              <w:rPr>
                <w:sz w:val="16"/>
                <w:szCs w:val="16"/>
                <w:lang w:val="fr-CH"/>
              </w:rPr>
            </w:pPr>
            <w:r w:rsidRPr="00436DDD">
              <w:rPr>
                <w:sz w:val="16"/>
                <w:szCs w:val="16"/>
                <w:lang w:val="fr-CH"/>
              </w:rPr>
              <w:t>–512 661</w:t>
            </w:r>
          </w:p>
        </w:tc>
        <w:tc>
          <w:tcPr>
            <w:tcW w:w="1008" w:type="dxa"/>
            <w:vAlign w:val="bottom"/>
          </w:tcPr>
          <w:p w14:paraId="02B71FF1" w14:textId="77777777" w:rsidR="003D3D8D" w:rsidRPr="00436DDD" w:rsidRDefault="00ED1305" w:rsidP="00EA4804">
            <w:pPr>
              <w:pStyle w:val="Tabletext"/>
              <w:ind w:right="57"/>
              <w:jc w:val="right"/>
              <w:rPr>
                <w:sz w:val="16"/>
                <w:szCs w:val="16"/>
                <w:lang w:val="fr-CH"/>
              </w:rPr>
            </w:pPr>
            <w:r>
              <w:rPr>
                <w:sz w:val="16"/>
                <w:szCs w:val="16"/>
                <w:lang w:val="fr-CH"/>
              </w:rPr>
              <w:t>-</w:t>
            </w:r>
            <w:r w:rsidR="003D3D8D">
              <w:rPr>
                <w:sz w:val="16"/>
                <w:szCs w:val="16"/>
                <w:lang w:val="fr-CH"/>
              </w:rPr>
              <w:t>472 801</w:t>
            </w:r>
          </w:p>
        </w:tc>
        <w:tc>
          <w:tcPr>
            <w:tcW w:w="992" w:type="dxa"/>
            <w:vAlign w:val="bottom"/>
          </w:tcPr>
          <w:p w14:paraId="4650FFA5" w14:textId="77777777" w:rsidR="003D3D8D" w:rsidRPr="00436DDD" w:rsidRDefault="00ED1305" w:rsidP="00EA4804">
            <w:pPr>
              <w:pStyle w:val="Tabletext"/>
              <w:ind w:right="57"/>
              <w:jc w:val="right"/>
              <w:rPr>
                <w:sz w:val="16"/>
                <w:szCs w:val="16"/>
                <w:lang w:val="fr-CH"/>
              </w:rPr>
            </w:pPr>
            <w:r>
              <w:rPr>
                <w:sz w:val="16"/>
                <w:szCs w:val="16"/>
                <w:lang w:val="fr-CH"/>
              </w:rPr>
              <w:t>-551 911</w:t>
            </w:r>
          </w:p>
        </w:tc>
      </w:tr>
      <w:tr w:rsidR="003D3D8D" w:rsidRPr="004574A5" w14:paraId="28789D05" w14:textId="77777777" w:rsidTr="00EA4804">
        <w:tc>
          <w:tcPr>
            <w:tcW w:w="1980" w:type="dxa"/>
          </w:tcPr>
          <w:p w14:paraId="50AF061D" w14:textId="77777777" w:rsidR="003D3D8D" w:rsidRPr="00436DDD" w:rsidRDefault="003D3D8D" w:rsidP="00EA4804">
            <w:pPr>
              <w:pStyle w:val="Tabletext"/>
              <w:rPr>
                <w:b/>
                <w:bCs/>
                <w:sz w:val="16"/>
                <w:szCs w:val="16"/>
                <w:lang w:val="fr-CH"/>
              </w:rPr>
            </w:pPr>
            <w:r w:rsidRPr="00436DDD">
              <w:rPr>
                <w:b/>
                <w:bCs/>
                <w:sz w:val="16"/>
                <w:szCs w:val="16"/>
                <w:lang w:val="fr-CH"/>
              </w:rPr>
              <w:t>Incidences sur l</w:t>
            </w:r>
            <w:r>
              <w:rPr>
                <w:b/>
                <w:bCs/>
                <w:sz w:val="16"/>
                <w:szCs w:val="16"/>
                <w:lang w:val="fr-CH"/>
              </w:rPr>
              <w:t>'</w:t>
            </w:r>
            <w:r w:rsidRPr="00436DDD">
              <w:rPr>
                <w:b/>
                <w:bCs/>
                <w:sz w:val="16"/>
                <w:szCs w:val="16"/>
                <w:lang w:val="fr-CH"/>
              </w:rPr>
              <w:t>actif net</w:t>
            </w:r>
          </w:p>
        </w:tc>
        <w:tc>
          <w:tcPr>
            <w:tcW w:w="992" w:type="dxa"/>
            <w:vAlign w:val="bottom"/>
          </w:tcPr>
          <w:p w14:paraId="658A58E1" w14:textId="77777777" w:rsidR="003D3D8D" w:rsidRPr="00436DDD" w:rsidRDefault="003D3D8D" w:rsidP="00EA4804">
            <w:pPr>
              <w:pStyle w:val="Tabletext"/>
              <w:ind w:right="57"/>
              <w:jc w:val="right"/>
              <w:rPr>
                <w:sz w:val="16"/>
                <w:szCs w:val="16"/>
                <w:lang w:val="fr-CH"/>
              </w:rPr>
            </w:pPr>
          </w:p>
        </w:tc>
        <w:tc>
          <w:tcPr>
            <w:tcW w:w="992" w:type="dxa"/>
            <w:vAlign w:val="bottom"/>
          </w:tcPr>
          <w:p w14:paraId="0780A17C" w14:textId="77777777" w:rsidR="003D3D8D" w:rsidRPr="00436DDD" w:rsidRDefault="003D3D8D" w:rsidP="00EA4804">
            <w:pPr>
              <w:pStyle w:val="Tabletext"/>
              <w:ind w:right="57"/>
              <w:jc w:val="right"/>
              <w:rPr>
                <w:sz w:val="16"/>
                <w:szCs w:val="16"/>
                <w:lang w:val="fr-CH"/>
              </w:rPr>
            </w:pPr>
            <w:r w:rsidRPr="00FA674A">
              <w:rPr>
                <w:sz w:val="16"/>
                <w:szCs w:val="16"/>
                <w:lang w:val="fr-CH"/>
              </w:rPr>
              <w:t>–</w:t>
            </w:r>
            <w:r w:rsidRPr="00436DDD">
              <w:rPr>
                <w:sz w:val="16"/>
                <w:szCs w:val="16"/>
                <w:lang w:val="fr-CH"/>
              </w:rPr>
              <w:t>39 706</w:t>
            </w:r>
          </w:p>
        </w:tc>
        <w:tc>
          <w:tcPr>
            <w:tcW w:w="993" w:type="dxa"/>
            <w:vAlign w:val="bottom"/>
          </w:tcPr>
          <w:p w14:paraId="6CBFBB2E" w14:textId="77777777" w:rsidR="003D3D8D" w:rsidRPr="00436DDD" w:rsidRDefault="003D3D8D" w:rsidP="00EA4804">
            <w:pPr>
              <w:pStyle w:val="Tabletext"/>
              <w:ind w:right="57"/>
              <w:jc w:val="right"/>
              <w:rPr>
                <w:sz w:val="16"/>
                <w:szCs w:val="16"/>
                <w:lang w:val="fr-CH"/>
              </w:rPr>
            </w:pPr>
            <w:r w:rsidRPr="00FA674A">
              <w:rPr>
                <w:sz w:val="16"/>
                <w:szCs w:val="16"/>
                <w:lang w:val="fr-CH"/>
              </w:rPr>
              <w:t>–</w:t>
            </w:r>
            <w:r w:rsidRPr="00436DDD">
              <w:rPr>
                <w:sz w:val="16"/>
                <w:szCs w:val="16"/>
                <w:lang w:val="fr-CH"/>
              </w:rPr>
              <w:t>66 204</w:t>
            </w:r>
          </w:p>
        </w:tc>
        <w:tc>
          <w:tcPr>
            <w:tcW w:w="992" w:type="dxa"/>
            <w:vAlign w:val="bottom"/>
          </w:tcPr>
          <w:p w14:paraId="127CC934" w14:textId="77777777" w:rsidR="003D3D8D" w:rsidRPr="00436DDD" w:rsidRDefault="003D3D8D" w:rsidP="00EA4804">
            <w:pPr>
              <w:pStyle w:val="Tabletext"/>
              <w:ind w:right="57"/>
              <w:jc w:val="right"/>
              <w:rPr>
                <w:sz w:val="16"/>
                <w:szCs w:val="16"/>
                <w:lang w:val="fr-CH"/>
              </w:rPr>
            </w:pPr>
            <w:r w:rsidRPr="00FA674A">
              <w:rPr>
                <w:sz w:val="16"/>
                <w:szCs w:val="16"/>
                <w:lang w:val="fr-CH"/>
              </w:rPr>
              <w:t>–</w:t>
            </w:r>
            <w:r w:rsidRPr="00436DDD">
              <w:rPr>
                <w:sz w:val="16"/>
                <w:szCs w:val="16"/>
                <w:lang w:val="fr-CH"/>
              </w:rPr>
              <w:t>45 851</w:t>
            </w:r>
          </w:p>
        </w:tc>
        <w:tc>
          <w:tcPr>
            <w:tcW w:w="992" w:type="dxa"/>
            <w:vAlign w:val="bottom"/>
          </w:tcPr>
          <w:p w14:paraId="583F7C2C" w14:textId="77777777" w:rsidR="003D3D8D" w:rsidRPr="00436DDD" w:rsidRDefault="003D3D8D" w:rsidP="00EA4804">
            <w:pPr>
              <w:pStyle w:val="Tabletext"/>
              <w:ind w:right="57"/>
              <w:jc w:val="right"/>
              <w:rPr>
                <w:sz w:val="16"/>
                <w:szCs w:val="16"/>
                <w:lang w:val="fr-CH"/>
              </w:rPr>
            </w:pPr>
            <w:r w:rsidRPr="00FA674A">
              <w:rPr>
                <w:sz w:val="16"/>
                <w:szCs w:val="16"/>
                <w:lang w:val="fr-CH"/>
              </w:rPr>
              <w:t>–</w:t>
            </w:r>
            <w:r w:rsidRPr="00436DDD">
              <w:rPr>
                <w:sz w:val="16"/>
                <w:szCs w:val="16"/>
                <w:lang w:val="fr-CH"/>
              </w:rPr>
              <w:t>26 498</w:t>
            </w:r>
          </w:p>
        </w:tc>
        <w:tc>
          <w:tcPr>
            <w:tcW w:w="977" w:type="dxa"/>
            <w:vAlign w:val="bottom"/>
          </w:tcPr>
          <w:p w14:paraId="168B8B3D" w14:textId="77777777" w:rsidR="003D3D8D" w:rsidRPr="00436DDD" w:rsidRDefault="003D3D8D" w:rsidP="00EA4804">
            <w:pPr>
              <w:pStyle w:val="Tabletext"/>
              <w:ind w:right="57"/>
              <w:jc w:val="right"/>
              <w:rPr>
                <w:sz w:val="16"/>
                <w:szCs w:val="16"/>
                <w:lang w:val="fr-CH"/>
              </w:rPr>
            </w:pPr>
            <w:r w:rsidRPr="00436DDD">
              <w:rPr>
                <w:sz w:val="16"/>
                <w:szCs w:val="16"/>
                <w:lang w:val="fr-CH"/>
              </w:rPr>
              <w:t>–187 445</w:t>
            </w:r>
          </w:p>
        </w:tc>
        <w:tc>
          <w:tcPr>
            <w:tcW w:w="1008" w:type="dxa"/>
            <w:vAlign w:val="bottom"/>
          </w:tcPr>
          <w:p w14:paraId="0269622E" w14:textId="77777777" w:rsidR="003D3D8D" w:rsidRPr="00436DDD" w:rsidRDefault="003D3D8D" w:rsidP="00EA4804">
            <w:pPr>
              <w:pStyle w:val="Tabletext"/>
              <w:ind w:right="57"/>
              <w:jc w:val="right"/>
              <w:rPr>
                <w:sz w:val="16"/>
                <w:szCs w:val="16"/>
                <w:lang w:val="fr-CH"/>
              </w:rPr>
            </w:pPr>
            <w:r>
              <w:rPr>
                <w:sz w:val="16"/>
                <w:szCs w:val="16"/>
                <w:lang w:val="fr-CH"/>
              </w:rPr>
              <w:t>55 572</w:t>
            </w:r>
          </w:p>
        </w:tc>
        <w:tc>
          <w:tcPr>
            <w:tcW w:w="992" w:type="dxa"/>
            <w:vAlign w:val="bottom"/>
          </w:tcPr>
          <w:p w14:paraId="1FE828F9" w14:textId="77777777" w:rsidR="003D3D8D" w:rsidRPr="00436DDD" w:rsidRDefault="00ED1305" w:rsidP="00EA4804">
            <w:pPr>
              <w:pStyle w:val="Tabletext"/>
              <w:ind w:right="57"/>
              <w:jc w:val="right"/>
              <w:rPr>
                <w:sz w:val="16"/>
                <w:szCs w:val="16"/>
                <w:lang w:val="fr-CH"/>
              </w:rPr>
            </w:pPr>
            <w:r>
              <w:rPr>
                <w:sz w:val="16"/>
                <w:szCs w:val="16"/>
                <w:lang w:val="fr-CH"/>
              </w:rPr>
              <w:t>-65 443</w:t>
            </w:r>
          </w:p>
        </w:tc>
      </w:tr>
      <w:tr w:rsidR="003D3D8D" w:rsidRPr="004574A5" w14:paraId="3C220837" w14:textId="77777777" w:rsidTr="00EA4804">
        <w:tc>
          <w:tcPr>
            <w:tcW w:w="1980" w:type="dxa"/>
            <w:tcBorders>
              <w:bottom w:val="single" w:sz="4" w:space="0" w:color="auto"/>
            </w:tcBorders>
            <w:shd w:val="clear" w:color="auto" w:fill="B8CCE4" w:themeFill="accent1" w:themeFillTint="66"/>
          </w:tcPr>
          <w:p w14:paraId="362C9B03" w14:textId="77777777" w:rsidR="003D3D8D" w:rsidRPr="00436DDD" w:rsidRDefault="003D3D8D" w:rsidP="00EA4804">
            <w:pPr>
              <w:pStyle w:val="Tabletext"/>
              <w:rPr>
                <w:b/>
                <w:bCs/>
                <w:color w:val="244061" w:themeColor="accent1" w:themeShade="80"/>
                <w:sz w:val="16"/>
                <w:szCs w:val="16"/>
                <w:lang w:val="fr-CH"/>
              </w:rPr>
            </w:pPr>
            <w:r w:rsidRPr="00436DDD">
              <w:rPr>
                <w:b/>
                <w:bCs/>
                <w:color w:val="244061" w:themeColor="accent1" w:themeShade="80"/>
                <w:sz w:val="16"/>
                <w:szCs w:val="16"/>
                <w:lang w:val="fr-CH"/>
              </w:rPr>
              <w:t>Montant d</w:t>
            </w:r>
            <w:r>
              <w:rPr>
                <w:b/>
                <w:bCs/>
                <w:color w:val="244061" w:themeColor="accent1" w:themeShade="80"/>
                <w:sz w:val="16"/>
                <w:szCs w:val="16"/>
                <w:lang w:val="fr-CH"/>
              </w:rPr>
              <w:t>'</w:t>
            </w:r>
            <w:r w:rsidRPr="00436DDD">
              <w:rPr>
                <w:b/>
                <w:bCs/>
                <w:color w:val="244061" w:themeColor="accent1" w:themeShade="80"/>
                <w:sz w:val="16"/>
                <w:szCs w:val="16"/>
                <w:lang w:val="fr-CH"/>
              </w:rPr>
              <w:t xml:space="preserve">ouverture comptabilisé comme </w:t>
            </w:r>
            <w:r>
              <w:rPr>
                <w:b/>
                <w:bCs/>
                <w:color w:val="244061" w:themeColor="accent1" w:themeShade="80"/>
                <w:sz w:val="16"/>
                <w:szCs w:val="16"/>
                <w:lang w:val="fr-CH"/>
              </w:rPr>
              <w:t>conséquence du passage aux </w:t>
            </w:r>
            <w:r w:rsidRPr="00436DDD">
              <w:rPr>
                <w:b/>
                <w:bCs/>
                <w:color w:val="244061" w:themeColor="accent1" w:themeShade="80"/>
                <w:sz w:val="16"/>
                <w:szCs w:val="16"/>
                <w:lang w:val="fr-CH"/>
              </w:rPr>
              <w:t>normes IPSAS</w:t>
            </w:r>
          </w:p>
        </w:tc>
        <w:tc>
          <w:tcPr>
            <w:tcW w:w="992" w:type="dxa"/>
            <w:tcBorders>
              <w:bottom w:val="single" w:sz="4" w:space="0" w:color="auto"/>
            </w:tcBorders>
            <w:shd w:val="clear" w:color="auto" w:fill="B8CCE4" w:themeFill="accent1" w:themeFillTint="66"/>
            <w:vAlign w:val="bottom"/>
          </w:tcPr>
          <w:p w14:paraId="6843A5E4" w14:textId="77777777" w:rsidR="003D3D8D" w:rsidRPr="00436DDD" w:rsidRDefault="003D3D8D" w:rsidP="00EA4804">
            <w:pPr>
              <w:pStyle w:val="Tabletext"/>
              <w:ind w:right="57"/>
              <w:jc w:val="right"/>
              <w:rPr>
                <w:b/>
                <w:bCs/>
                <w:color w:val="244061" w:themeColor="accent1" w:themeShade="80"/>
                <w:sz w:val="16"/>
                <w:szCs w:val="16"/>
                <w:lang w:val="ru-RU"/>
              </w:rPr>
            </w:pPr>
            <w:r w:rsidRPr="00FA674A">
              <w:rPr>
                <w:b/>
                <w:bCs/>
                <w:color w:val="244061" w:themeColor="accent1" w:themeShade="80"/>
                <w:sz w:val="16"/>
                <w:szCs w:val="16"/>
                <w:lang w:val="fr-CH"/>
              </w:rPr>
              <w:t>–</w:t>
            </w:r>
            <w:r w:rsidRPr="00436DDD">
              <w:rPr>
                <w:b/>
                <w:bCs/>
                <w:color w:val="244061" w:themeColor="accent1" w:themeShade="80"/>
                <w:sz w:val="16"/>
                <w:szCs w:val="16"/>
                <w:lang w:val="ru-RU"/>
              </w:rPr>
              <w:t>172 364</w:t>
            </w:r>
          </w:p>
        </w:tc>
        <w:tc>
          <w:tcPr>
            <w:tcW w:w="992" w:type="dxa"/>
            <w:tcBorders>
              <w:bottom w:val="single" w:sz="4" w:space="0" w:color="auto"/>
            </w:tcBorders>
            <w:shd w:val="clear" w:color="auto" w:fill="B8CCE4" w:themeFill="accent1" w:themeFillTint="66"/>
            <w:vAlign w:val="bottom"/>
          </w:tcPr>
          <w:p w14:paraId="064019F0" w14:textId="77777777" w:rsidR="003D3D8D" w:rsidRPr="00436DDD" w:rsidRDefault="003D3D8D" w:rsidP="00EA4804">
            <w:pPr>
              <w:pStyle w:val="Tabletext"/>
              <w:ind w:right="57"/>
              <w:jc w:val="right"/>
              <w:rPr>
                <w:b/>
                <w:bCs/>
                <w:color w:val="244061" w:themeColor="accent1" w:themeShade="80"/>
                <w:sz w:val="16"/>
                <w:szCs w:val="16"/>
                <w:lang w:val="ru-RU"/>
              </w:rPr>
            </w:pPr>
          </w:p>
        </w:tc>
        <w:tc>
          <w:tcPr>
            <w:tcW w:w="993" w:type="dxa"/>
            <w:tcBorders>
              <w:bottom w:val="single" w:sz="4" w:space="0" w:color="auto"/>
            </w:tcBorders>
            <w:shd w:val="clear" w:color="auto" w:fill="B8CCE4" w:themeFill="accent1" w:themeFillTint="66"/>
            <w:vAlign w:val="bottom"/>
          </w:tcPr>
          <w:p w14:paraId="642FB433" w14:textId="77777777" w:rsidR="003D3D8D" w:rsidRPr="00436DDD" w:rsidRDefault="003D3D8D" w:rsidP="00EA4804">
            <w:pPr>
              <w:pStyle w:val="Tabletext"/>
              <w:ind w:right="57"/>
              <w:jc w:val="right"/>
              <w:rPr>
                <w:b/>
                <w:bCs/>
                <w:color w:val="244061" w:themeColor="accent1" w:themeShade="80"/>
                <w:sz w:val="16"/>
                <w:szCs w:val="16"/>
                <w:lang w:val="ru-RU"/>
              </w:rPr>
            </w:pPr>
          </w:p>
        </w:tc>
        <w:tc>
          <w:tcPr>
            <w:tcW w:w="992" w:type="dxa"/>
            <w:tcBorders>
              <w:bottom w:val="single" w:sz="4" w:space="0" w:color="auto"/>
            </w:tcBorders>
            <w:shd w:val="clear" w:color="auto" w:fill="B8CCE4" w:themeFill="accent1" w:themeFillTint="66"/>
            <w:vAlign w:val="bottom"/>
          </w:tcPr>
          <w:p w14:paraId="1520E238" w14:textId="77777777" w:rsidR="003D3D8D" w:rsidRPr="00436DDD" w:rsidRDefault="003D3D8D" w:rsidP="00EA4804">
            <w:pPr>
              <w:pStyle w:val="Tabletext"/>
              <w:ind w:right="57"/>
              <w:jc w:val="right"/>
              <w:rPr>
                <w:b/>
                <w:bCs/>
                <w:color w:val="244061" w:themeColor="accent1" w:themeShade="80"/>
                <w:sz w:val="16"/>
                <w:szCs w:val="16"/>
                <w:lang w:val="ru-RU"/>
              </w:rPr>
            </w:pPr>
          </w:p>
        </w:tc>
        <w:tc>
          <w:tcPr>
            <w:tcW w:w="992" w:type="dxa"/>
            <w:tcBorders>
              <w:bottom w:val="single" w:sz="4" w:space="0" w:color="auto"/>
            </w:tcBorders>
            <w:shd w:val="clear" w:color="auto" w:fill="B8CCE4" w:themeFill="accent1" w:themeFillTint="66"/>
            <w:vAlign w:val="bottom"/>
          </w:tcPr>
          <w:p w14:paraId="29934215" w14:textId="77777777" w:rsidR="003D3D8D" w:rsidRPr="00436DDD" w:rsidRDefault="003D3D8D" w:rsidP="00EA4804">
            <w:pPr>
              <w:pStyle w:val="Tabletext"/>
              <w:ind w:right="57"/>
              <w:jc w:val="right"/>
              <w:rPr>
                <w:b/>
                <w:bCs/>
                <w:color w:val="244061" w:themeColor="accent1" w:themeShade="80"/>
                <w:sz w:val="16"/>
                <w:szCs w:val="16"/>
                <w:lang w:val="ru-RU"/>
              </w:rPr>
            </w:pPr>
          </w:p>
        </w:tc>
        <w:tc>
          <w:tcPr>
            <w:tcW w:w="977" w:type="dxa"/>
            <w:tcBorders>
              <w:bottom w:val="single" w:sz="4" w:space="0" w:color="auto"/>
            </w:tcBorders>
            <w:shd w:val="clear" w:color="auto" w:fill="B8CCE4" w:themeFill="accent1" w:themeFillTint="66"/>
            <w:vAlign w:val="bottom"/>
          </w:tcPr>
          <w:p w14:paraId="115ADAE6" w14:textId="77777777" w:rsidR="003D3D8D" w:rsidRPr="00436DDD" w:rsidRDefault="003D3D8D" w:rsidP="00EA4804">
            <w:pPr>
              <w:pStyle w:val="Tabletext"/>
              <w:ind w:right="57"/>
              <w:jc w:val="right"/>
              <w:rPr>
                <w:b/>
                <w:bCs/>
                <w:color w:val="244061" w:themeColor="accent1" w:themeShade="80"/>
                <w:sz w:val="16"/>
                <w:szCs w:val="16"/>
                <w:lang w:val="ru-RU"/>
              </w:rPr>
            </w:pPr>
          </w:p>
        </w:tc>
        <w:tc>
          <w:tcPr>
            <w:tcW w:w="1008" w:type="dxa"/>
            <w:tcBorders>
              <w:bottom w:val="single" w:sz="4" w:space="0" w:color="auto"/>
            </w:tcBorders>
            <w:shd w:val="clear" w:color="auto" w:fill="B8CCE4" w:themeFill="accent1" w:themeFillTint="66"/>
            <w:vAlign w:val="bottom"/>
          </w:tcPr>
          <w:p w14:paraId="658C7707" w14:textId="77777777" w:rsidR="003D3D8D" w:rsidRPr="00436DDD" w:rsidRDefault="003D3D8D" w:rsidP="00EA4804">
            <w:pPr>
              <w:pStyle w:val="Tabletext"/>
              <w:ind w:right="57"/>
              <w:jc w:val="right"/>
              <w:rPr>
                <w:b/>
                <w:bCs/>
                <w:color w:val="244061" w:themeColor="accent1" w:themeShade="80"/>
                <w:sz w:val="16"/>
                <w:szCs w:val="16"/>
                <w:lang w:val="ru-RU"/>
              </w:rPr>
            </w:pPr>
          </w:p>
        </w:tc>
        <w:tc>
          <w:tcPr>
            <w:tcW w:w="992" w:type="dxa"/>
            <w:tcBorders>
              <w:bottom w:val="single" w:sz="4" w:space="0" w:color="auto"/>
            </w:tcBorders>
            <w:shd w:val="clear" w:color="auto" w:fill="B8CCE4" w:themeFill="accent1" w:themeFillTint="66"/>
            <w:vAlign w:val="bottom"/>
          </w:tcPr>
          <w:p w14:paraId="58BF40B3" w14:textId="77777777" w:rsidR="003D3D8D" w:rsidRPr="00436DDD" w:rsidRDefault="003D3D8D" w:rsidP="00EA4804">
            <w:pPr>
              <w:pStyle w:val="Tabletext"/>
              <w:ind w:right="57"/>
              <w:jc w:val="right"/>
              <w:rPr>
                <w:b/>
                <w:bCs/>
                <w:color w:val="244061" w:themeColor="accent1" w:themeShade="80"/>
                <w:sz w:val="16"/>
                <w:szCs w:val="16"/>
                <w:lang w:val="ru-RU"/>
              </w:rPr>
            </w:pPr>
          </w:p>
        </w:tc>
      </w:tr>
      <w:tr w:rsidR="003D3D8D" w:rsidRPr="004574A5" w14:paraId="605DBE8B" w14:textId="77777777" w:rsidTr="00EA4804">
        <w:tc>
          <w:tcPr>
            <w:tcW w:w="1980" w:type="dxa"/>
            <w:tcBorders>
              <w:top w:val="single" w:sz="4" w:space="0" w:color="auto"/>
              <w:bottom w:val="single" w:sz="4" w:space="0" w:color="auto"/>
            </w:tcBorders>
            <w:shd w:val="clear" w:color="auto" w:fill="B8CCE4" w:themeFill="accent1" w:themeFillTint="66"/>
          </w:tcPr>
          <w:p w14:paraId="00A2031F" w14:textId="77777777" w:rsidR="003D3D8D" w:rsidRPr="00436DDD" w:rsidRDefault="003D3D8D" w:rsidP="00EA4804">
            <w:pPr>
              <w:pStyle w:val="Tabletext"/>
              <w:rPr>
                <w:b/>
                <w:bCs/>
                <w:color w:val="244061" w:themeColor="accent1" w:themeShade="80"/>
                <w:sz w:val="16"/>
                <w:szCs w:val="16"/>
                <w:lang w:val="fr-CH"/>
              </w:rPr>
            </w:pPr>
            <w:r w:rsidRPr="00436DDD">
              <w:rPr>
                <w:b/>
                <w:bCs/>
                <w:color w:val="244061" w:themeColor="accent1" w:themeShade="80"/>
                <w:sz w:val="16"/>
                <w:szCs w:val="16"/>
                <w:lang w:val="fr-CH"/>
              </w:rPr>
              <w:t>Engagements ASHI cumulés dans l</w:t>
            </w:r>
            <w:r>
              <w:rPr>
                <w:b/>
                <w:bCs/>
                <w:color w:val="244061" w:themeColor="accent1" w:themeShade="80"/>
                <w:sz w:val="16"/>
                <w:szCs w:val="16"/>
                <w:lang w:val="fr-CH"/>
              </w:rPr>
              <w:t>'</w:t>
            </w:r>
            <w:r w:rsidRPr="00436DDD">
              <w:rPr>
                <w:b/>
                <w:bCs/>
                <w:color w:val="244061" w:themeColor="accent1" w:themeShade="80"/>
                <w:sz w:val="16"/>
                <w:szCs w:val="16"/>
                <w:lang w:val="fr-CH"/>
              </w:rPr>
              <w:t>actif net</w:t>
            </w:r>
          </w:p>
        </w:tc>
        <w:tc>
          <w:tcPr>
            <w:tcW w:w="992" w:type="dxa"/>
            <w:tcBorders>
              <w:top w:val="single" w:sz="4" w:space="0" w:color="auto"/>
              <w:bottom w:val="single" w:sz="4" w:space="0" w:color="auto"/>
            </w:tcBorders>
            <w:shd w:val="clear" w:color="auto" w:fill="B8CCE4" w:themeFill="accent1" w:themeFillTint="66"/>
            <w:vAlign w:val="bottom"/>
          </w:tcPr>
          <w:p w14:paraId="625E6745" w14:textId="77777777" w:rsidR="003D3D8D" w:rsidRPr="00436DDD" w:rsidRDefault="003D3D8D" w:rsidP="00EA4804">
            <w:pPr>
              <w:pStyle w:val="Tabletext"/>
              <w:ind w:right="57"/>
              <w:jc w:val="right"/>
              <w:rPr>
                <w:b/>
                <w:bCs/>
                <w:color w:val="244061" w:themeColor="accent1" w:themeShade="80"/>
                <w:sz w:val="16"/>
                <w:szCs w:val="16"/>
                <w:lang w:val="fr-CH"/>
              </w:rPr>
            </w:pPr>
          </w:p>
        </w:tc>
        <w:tc>
          <w:tcPr>
            <w:tcW w:w="992" w:type="dxa"/>
            <w:tcBorders>
              <w:top w:val="single" w:sz="4" w:space="0" w:color="auto"/>
              <w:bottom w:val="single" w:sz="4" w:space="0" w:color="auto"/>
            </w:tcBorders>
            <w:shd w:val="clear" w:color="auto" w:fill="B8CCE4" w:themeFill="accent1" w:themeFillTint="66"/>
            <w:vAlign w:val="bottom"/>
          </w:tcPr>
          <w:p w14:paraId="5AACA5F2" w14:textId="77777777" w:rsidR="003D3D8D" w:rsidRPr="00436DDD" w:rsidRDefault="003D3D8D" w:rsidP="00EA4804">
            <w:pPr>
              <w:pStyle w:val="Tabletext"/>
              <w:ind w:right="57"/>
              <w:jc w:val="right"/>
              <w:rPr>
                <w:b/>
                <w:bCs/>
                <w:color w:val="244061" w:themeColor="accent1" w:themeShade="80"/>
                <w:sz w:val="16"/>
                <w:szCs w:val="16"/>
                <w:lang w:val="ru-RU"/>
              </w:rPr>
            </w:pPr>
            <w:r w:rsidRPr="00FA674A">
              <w:rPr>
                <w:b/>
                <w:bCs/>
                <w:color w:val="244061" w:themeColor="accent1" w:themeShade="80"/>
                <w:sz w:val="16"/>
                <w:szCs w:val="16"/>
                <w:lang w:val="fr-CH"/>
              </w:rPr>
              <w:t>–</w:t>
            </w:r>
            <w:r w:rsidRPr="00436DDD">
              <w:rPr>
                <w:b/>
                <w:bCs/>
                <w:color w:val="244061" w:themeColor="accent1" w:themeShade="80"/>
                <w:sz w:val="16"/>
                <w:szCs w:val="16"/>
                <w:lang w:val="ru-RU"/>
              </w:rPr>
              <w:t>39 706</w:t>
            </w:r>
          </w:p>
        </w:tc>
        <w:tc>
          <w:tcPr>
            <w:tcW w:w="993" w:type="dxa"/>
            <w:tcBorders>
              <w:top w:val="single" w:sz="4" w:space="0" w:color="auto"/>
              <w:bottom w:val="single" w:sz="4" w:space="0" w:color="auto"/>
            </w:tcBorders>
            <w:shd w:val="clear" w:color="auto" w:fill="B8CCE4" w:themeFill="accent1" w:themeFillTint="66"/>
            <w:vAlign w:val="bottom"/>
          </w:tcPr>
          <w:p w14:paraId="2C671F17" w14:textId="77777777" w:rsidR="003D3D8D" w:rsidRPr="00436DDD" w:rsidRDefault="003D3D8D" w:rsidP="00EA4804">
            <w:pPr>
              <w:pStyle w:val="Tabletext"/>
              <w:ind w:right="57"/>
              <w:jc w:val="right"/>
              <w:rPr>
                <w:b/>
                <w:bCs/>
                <w:color w:val="244061" w:themeColor="accent1" w:themeShade="80"/>
                <w:sz w:val="16"/>
                <w:szCs w:val="16"/>
                <w:lang w:val="ru-RU"/>
              </w:rPr>
            </w:pPr>
            <w:r w:rsidRPr="00FA674A">
              <w:rPr>
                <w:b/>
                <w:bCs/>
                <w:color w:val="244061" w:themeColor="accent1" w:themeShade="80"/>
                <w:sz w:val="16"/>
                <w:szCs w:val="16"/>
                <w:lang w:val="fr-CH"/>
              </w:rPr>
              <w:t>–</w:t>
            </w:r>
            <w:r w:rsidRPr="00436DDD">
              <w:rPr>
                <w:b/>
                <w:bCs/>
                <w:color w:val="244061" w:themeColor="accent1" w:themeShade="80"/>
                <w:sz w:val="16"/>
                <w:szCs w:val="16"/>
                <w:lang w:val="ru-RU"/>
              </w:rPr>
              <w:t>105 910</w:t>
            </w:r>
          </w:p>
        </w:tc>
        <w:tc>
          <w:tcPr>
            <w:tcW w:w="992" w:type="dxa"/>
            <w:tcBorders>
              <w:top w:val="single" w:sz="4" w:space="0" w:color="auto"/>
              <w:bottom w:val="single" w:sz="4" w:space="0" w:color="auto"/>
            </w:tcBorders>
            <w:shd w:val="clear" w:color="auto" w:fill="B8CCE4" w:themeFill="accent1" w:themeFillTint="66"/>
            <w:vAlign w:val="bottom"/>
          </w:tcPr>
          <w:p w14:paraId="0B207798" w14:textId="77777777" w:rsidR="003D3D8D" w:rsidRPr="00436DDD" w:rsidRDefault="003D3D8D" w:rsidP="00EA4804">
            <w:pPr>
              <w:pStyle w:val="Tabletext"/>
              <w:ind w:right="57"/>
              <w:jc w:val="right"/>
              <w:rPr>
                <w:b/>
                <w:bCs/>
                <w:color w:val="244061" w:themeColor="accent1" w:themeShade="80"/>
                <w:sz w:val="16"/>
                <w:szCs w:val="16"/>
                <w:lang w:val="ru-RU"/>
              </w:rPr>
            </w:pPr>
            <w:r w:rsidRPr="00FA674A">
              <w:rPr>
                <w:b/>
                <w:bCs/>
                <w:color w:val="244061" w:themeColor="accent1" w:themeShade="80"/>
                <w:sz w:val="16"/>
                <w:szCs w:val="16"/>
                <w:lang w:val="fr-CH"/>
              </w:rPr>
              <w:t>–</w:t>
            </w:r>
            <w:r w:rsidRPr="00436DDD">
              <w:rPr>
                <w:b/>
                <w:bCs/>
                <w:color w:val="244061" w:themeColor="accent1" w:themeShade="80"/>
                <w:sz w:val="16"/>
                <w:szCs w:val="16"/>
                <w:lang w:val="ru-RU"/>
              </w:rPr>
              <w:t>151 761</w:t>
            </w:r>
          </w:p>
        </w:tc>
        <w:tc>
          <w:tcPr>
            <w:tcW w:w="992" w:type="dxa"/>
            <w:tcBorders>
              <w:top w:val="single" w:sz="4" w:space="0" w:color="auto"/>
              <w:bottom w:val="single" w:sz="4" w:space="0" w:color="auto"/>
            </w:tcBorders>
            <w:shd w:val="clear" w:color="auto" w:fill="B8CCE4" w:themeFill="accent1" w:themeFillTint="66"/>
            <w:vAlign w:val="bottom"/>
          </w:tcPr>
          <w:p w14:paraId="7798CB92" w14:textId="77777777" w:rsidR="003D3D8D" w:rsidRPr="00436DDD" w:rsidRDefault="003D3D8D" w:rsidP="00EA4804">
            <w:pPr>
              <w:pStyle w:val="Tabletext"/>
              <w:ind w:right="57"/>
              <w:jc w:val="right"/>
              <w:rPr>
                <w:b/>
                <w:bCs/>
                <w:color w:val="244061" w:themeColor="accent1" w:themeShade="80"/>
                <w:sz w:val="16"/>
                <w:szCs w:val="16"/>
                <w:lang w:val="ru-RU"/>
              </w:rPr>
            </w:pPr>
            <w:r w:rsidRPr="00FA674A">
              <w:rPr>
                <w:b/>
                <w:bCs/>
                <w:color w:val="244061" w:themeColor="accent1" w:themeShade="80"/>
                <w:sz w:val="16"/>
                <w:szCs w:val="16"/>
                <w:lang w:val="fr-CH"/>
              </w:rPr>
              <w:t>–</w:t>
            </w:r>
            <w:r w:rsidRPr="00436DDD">
              <w:rPr>
                <w:b/>
                <w:bCs/>
                <w:color w:val="244061" w:themeColor="accent1" w:themeShade="80"/>
                <w:sz w:val="16"/>
                <w:szCs w:val="16"/>
                <w:lang w:val="ru-RU"/>
              </w:rPr>
              <w:t>125 263</w:t>
            </w:r>
          </w:p>
        </w:tc>
        <w:tc>
          <w:tcPr>
            <w:tcW w:w="977" w:type="dxa"/>
            <w:tcBorders>
              <w:top w:val="single" w:sz="4" w:space="0" w:color="auto"/>
              <w:bottom w:val="single" w:sz="4" w:space="0" w:color="auto"/>
            </w:tcBorders>
            <w:shd w:val="clear" w:color="auto" w:fill="B8CCE4" w:themeFill="accent1" w:themeFillTint="66"/>
            <w:vAlign w:val="bottom"/>
          </w:tcPr>
          <w:p w14:paraId="3BC69993" w14:textId="77777777" w:rsidR="003D3D8D" w:rsidRPr="00436DDD" w:rsidRDefault="003D3D8D" w:rsidP="00EA4804">
            <w:pPr>
              <w:pStyle w:val="Tabletext"/>
              <w:ind w:right="57"/>
              <w:jc w:val="right"/>
              <w:rPr>
                <w:b/>
                <w:bCs/>
                <w:color w:val="244061" w:themeColor="accent1" w:themeShade="80"/>
                <w:sz w:val="16"/>
                <w:szCs w:val="16"/>
                <w:lang w:val="ru-RU"/>
              </w:rPr>
            </w:pPr>
            <w:r w:rsidRPr="00436DDD">
              <w:rPr>
                <w:b/>
                <w:bCs/>
                <w:color w:val="244061" w:themeColor="accent1" w:themeShade="80"/>
                <w:sz w:val="16"/>
                <w:szCs w:val="16"/>
                <w:lang w:val="ru-RU"/>
              </w:rPr>
              <w:t>–312 708</w:t>
            </w:r>
          </w:p>
        </w:tc>
        <w:tc>
          <w:tcPr>
            <w:tcW w:w="1008" w:type="dxa"/>
            <w:tcBorders>
              <w:top w:val="single" w:sz="4" w:space="0" w:color="auto"/>
              <w:bottom w:val="single" w:sz="4" w:space="0" w:color="auto"/>
            </w:tcBorders>
            <w:shd w:val="clear" w:color="auto" w:fill="B8CCE4" w:themeFill="accent1" w:themeFillTint="66"/>
            <w:vAlign w:val="bottom"/>
          </w:tcPr>
          <w:p w14:paraId="4CFE67DB" w14:textId="77777777" w:rsidR="003D3D8D" w:rsidRPr="00BD741D" w:rsidRDefault="003D3D8D" w:rsidP="00EA4804">
            <w:pPr>
              <w:pStyle w:val="Tabletext"/>
              <w:ind w:right="57"/>
              <w:jc w:val="right"/>
              <w:rPr>
                <w:b/>
                <w:bCs/>
                <w:color w:val="244061" w:themeColor="accent1" w:themeShade="80"/>
                <w:sz w:val="16"/>
                <w:szCs w:val="16"/>
                <w:lang w:val="ru-RU"/>
              </w:rPr>
            </w:pPr>
            <w:r w:rsidRPr="00BD741D">
              <w:rPr>
                <w:b/>
                <w:bCs/>
                <w:sz w:val="16"/>
                <w:szCs w:val="16"/>
                <w:lang w:val="fr-CH"/>
              </w:rPr>
              <w:t>–257 136</w:t>
            </w:r>
          </w:p>
        </w:tc>
        <w:tc>
          <w:tcPr>
            <w:tcW w:w="992" w:type="dxa"/>
            <w:tcBorders>
              <w:top w:val="single" w:sz="4" w:space="0" w:color="auto"/>
              <w:bottom w:val="single" w:sz="4" w:space="0" w:color="auto"/>
            </w:tcBorders>
            <w:shd w:val="clear" w:color="auto" w:fill="B8CCE4" w:themeFill="accent1" w:themeFillTint="66"/>
            <w:vAlign w:val="bottom"/>
          </w:tcPr>
          <w:p w14:paraId="56E31306" w14:textId="77777777" w:rsidR="003D3D8D" w:rsidRPr="00ED1305" w:rsidRDefault="00ED1305" w:rsidP="00EA4804">
            <w:pPr>
              <w:pStyle w:val="Tabletext"/>
              <w:ind w:right="57"/>
              <w:jc w:val="right"/>
              <w:rPr>
                <w:b/>
                <w:bCs/>
                <w:color w:val="244061" w:themeColor="accent1" w:themeShade="80"/>
                <w:sz w:val="16"/>
                <w:szCs w:val="16"/>
                <w:lang w:val="fr-CH"/>
              </w:rPr>
            </w:pPr>
            <w:r>
              <w:rPr>
                <w:b/>
                <w:bCs/>
                <w:color w:val="244061" w:themeColor="accent1" w:themeShade="80"/>
                <w:sz w:val="16"/>
                <w:szCs w:val="16"/>
                <w:lang w:val="fr-CH"/>
              </w:rPr>
              <w:t>-322 579</w:t>
            </w:r>
          </w:p>
        </w:tc>
      </w:tr>
    </w:tbl>
    <w:p w14:paraId="0763D3E2" w14:textId="77777777" w:rsidR="003D3D8D" w:rsidRPr="00F72BF7" w:rsidRDefault="003D3D8D" w:rsidP="003D3D8D">
      <w:pPr>
        <w:pStyle w:val="Heading1"/>
        <w:rPr>
          <w:lang w:val="fr-CH"/>
        </w:rPr>
      </w:pPr>
      <w:r w:rsidRPr="00F72BF7">
        <w:rPr>
          <w:lang w:val="fr-CH"/>
        </w:rPr>
        <w:t>3</w:t>
      </w:r>
      <w:r w:rsidRPr="00F72BF7">
        <w:rPr>
          <w:lang w:val="fr-CH"/>
        </w:rPr>
        <w:tab/>
        <w:t>Mesures prises</w:t>
      </w:r>
    </w:p>
    <w:p w14:paraId="1BC44278" w14:textId="77777777" w:rsidR="003D3D8D" w:rsidRDefault="003D3D8D" w:rsidP="003D3D8D">
      <w:pPr>
        <w:rPr>
          <w:lang w:val="fr-CH"/>
        </w:rPr>
      </w:pPr>
      <w:r w:rsidRPr="0044520D">
        <w:rPr>
          <w:lang w:val="fr-CH"/>
        </w:rPr>
        <w:t>3.1</w:t>
      </w:r>
      <w:r w:rsidRPr="0044520D">
        <w:rPr>
          <w:lang w:val="fr-CH"/>
        </w:rPr>
        <w:tab/>
      </w:r>
      <w:r>
        <w:rPr>
          <w:lang w:val="fr-CH"/>
        </w:rPr>
        <w:t>Depuis 2010, le financement des passifs actuariels de l'ASHI est une préoccupation, qui a entraîné l'adoption de mesures destinées à garantir le financement par répartition de l'assurance maladie et le financement à long terme des passifs de l'ASHI.</w:t>
      </w:r>
    </w:p>
    <w:p w14:paraId="5336C65E" w14:textId="77777777" w:rsidR="003D3D8D" w:rsidRPr="00A57F01" w:rsidRDefault="003D3D8D" w:rsidP="003D3D8D">
      <w:pPr>
        <w:pStyle w:val="Headingb"/>
        <w:rPr>
          <w:i/>
          <w:iCs/>
          <w:lang w:val="fr-CH"/>
        </w:rPr>
      </w:pPr>
      <w:r w:rsidRPr="00A57F01">
        <w:rPr>
          <w:i/>
          <w:iCs/>
          <w:lang w:val="fr-CH"/>
        </w:rPr>
        <w:t>Hausse des contributions</w:t>
      </w:r>
    </w:p>
    <w:p w14:paraId="7764D6A4" w14:textId="537F9671" w:rsidR="003D3D8D" w:rsidRDefault="003D3D8D" w:rsidP="001648F7">
      <w:pPr>
        <w:rPr>
          <w:lang w:val="fr-CH"/>
        </w:rPr>
      </w:pPr>
      <w:r w:rsidRPr="0044520D">
        <w:rPr>
          <w:lang w:val="fr-CH"/>
        </w:rPr>
        <w:t>3.2</w:t>
      </w:r>
      <w:r w:rsidRPr="0044520D">
        <w:rPr>
          <w:lang w:val="fr-CH"/>
        </w:rPr>
        <w:tab/>
      </w:r>
      <w:r>
        <w:rPr>
          <w:lang w:val="fr-CH"/>
        </w:rPr>
        <w:t xml:space="preserve">Jusqu'en 2013, dans le budget, la contribution de l'UIT pour l'assurance maladie des fonctionnaires en activité et des fonctionnaires retraités n'était que de 3,31%. Dans le budget 2014-2015, ce pourcentage a augmenté pour passer à 3,91% afin d'équilibrer les contributions et le paiement des demandes de remboursement liées à l'assurance maladie. Toutefois, cette augmentation ne suffit pas pour financer les passifs. Sur le long terme, ce pourcentage devrait être revu à la hausse, avant tout pour éviter que le plan soit déficitaire et pour permettre de constituer des réserves afin de garantir un financement par répartition. Le pourcentage proposé pour le budget de l'UIT pour la période 2016-2017 </w:t>
      </w:r>
      <w:r w:rsidR="0066299B" w:rsidRPr="0066299B">
        <w:rPr>
          <w:bCs/>
          <w:lang w:val="fr-CH"/>
        </w:rPr>
        <w:t>était</w:t>
      </w:r>
      <w:r w:rsidRPr="00895BF0">
        <w:rPr>
          <w:b/>
          <w:bCs/>
          <w:lang w:val="fr-CH"/>
        </w:rPr>
        <w:t xml:space="preserve"> </w:t>
      </w:r>
      <w:r>
        <w:rPr>
          <w:lang w:val="fr-CH"/>
        </w:rPr>
        <w:t>de 4,70%.</w:t>
      </w:r>
    </w:p>
    <w:p w14:paraId="728B5141" w14:textId="77777777" w:rsidR="003D3D8D" w:rsidRDefault="003D3D8D" w:rsidP="003D3D8D">
      <w:pPr>
        <w:rPr>
          <w:lang w:val="fr-CH"/>
        </w:rPr>
      </w:pPr>
      <w:r w:rsidRPr="0044520D">
        <w:rPr>
          <w:lang w:val="fr-CH"/>
        </w:rPr>
        <w:lastRenderedPageBreak/>
        <w:t>3.3</w:t>
      </w:r>
      <w:r w:rsidRPr="0044520D">
        <w:rPr>
          <w:lang w:val="fr-CH"/>
        </w:rPr>
        <w:tab/>
      </w:r>
      <w:r>
        <w:rPr>
          <w:lang w:val="fr-CH"/>
        </w:rPr>
        <w:t xml:space="preserve">Cette </w:t>
      </w:r>
      <w:r w:rsidRPr="00F72BF7">
        <w:rPr>
          <w:lang w:val="fr-CH"/>
        </w:rPr>
        <w:t>augmentation</w:t>
      </w:r>
      <w:r>
        <w:rPr>
          <w:lang w:val="fr-CH"/>
        </w:rPr>
        <w:t xml:space="preserve"> est financée par les fonctionnaires actifs et retraités assurés et par l'UIT.</w:t>
      </w:r>
    </w:p>
    <w:p w14:paraId="65B9183B" w14:textId="77777777" w:rsidR="003D3D8D" w:rsidRDefault="003D3D8D" w:rsidP="003D3D8D">
      <w:pPr>
        <w:rPr>
          <w:lang w:val="fr-CH"/>
        </w:rPr>
      </w:pPr>
      <w:r w:rsidRPr="0044520D">
        <w:rPr>
          <w:lang w:val="fr-CH"/>
        </w:rPr>
        <w:t>3.4</w:t>
      </w:r>
      <w:r w:rsidRPr="0044520D">
        <w:rPr>
          <w:lang w:val="fr-CH"/>
        </w:rPr>
        <w:tab/>
      </w:r>
      <w:r>
        <w:rPr>
          <w:lang w:val="fr-CH"/>
        </w:rPr>
        <w:t>Dans le cadre de la CCAM, ces contributions sont perçues par l'UIT, qui verse des primes annuelles fixes à</w:t>
      </w:r>
      <w:r w:rsidRPr="0044520D">
        <w:rPr>
          <w:lang w:val="fr-CH"/>
        </w:rPr>
        <w:t xml:space="preserve"> Cigna/Vanbreda. </w:t>
      </w:r>
      <w:r>
        <w:rPr>
          <w:lang w:val="fr-CH"/>
        </w:rPr>
        <w:t xml:space="preserve">Les éventuels excédents des contributions par rapport aux primes sont versés sur le </w:t>
      </w:r>
      <w:r w:rsidRPr="001B546F">
        <w:rPr>
          <w:lang w:val="fr-CH"/>
        </w:rPr>
        <w:t>Fonds de garantie de l</w:t>
      </w:r>
      <w:r>
        <w:rPr>
          <w:lang w:val="fr-CH"/>
        </w:rPr>
        <w:t>'</w:t>
      </w:r>
      <w:r w:rsidRPr="001B546F">
        <w:rPr>
          <w:lang w:val="fr-CH"/>
        </w:rPr>
        <w:t>assurance maladie</w:t>
      </w:r>
      <w:r>
        <w:rPr>
          <w:lang w:val="fr-CH"/>
        </w:rPr>
        <w:t xml:space="preserve"> pour financer de futurs déficits.</w:t>
      </w:r>
    </w:p>
    <w:p w14:paraId="08E385C0" w14:textId="77777777" w:rsidR="003D3D8D" w:rsidRPr="00A57F01" w:rsidRDefault="003D3D8D" w:rsidP="003D3D8D">
      <w:pPr>
        <w:pStyle w:val="Headingb"/>
        <w:rPr>
          <w:i/>
          <w:iCs/>
          <w:lang w:val="fr-CH"/>
        </w:rPr>
      </w:pPr>
      <w:r w:rsidRPr="00A57F01">
        <w:rPr>
          <w:i/>
          <w:iCs/>
          <w:lang w:val="fr-CH"/>
        </w:rPr>
        <w:t>Création d</w:t>
      </w:r>
      <w:r>
        <w:rPr>
          <w:i/>
          <w:iCs/>
          <w:lang w:val="fr-CH"/>
        </w:rPr>
        <w:t>'</w:t>
      </w:r>
      <w:r w:rsidRPr="00A57F01">
        <w:rPr>
          <w:i/>
          <w:iCs/>
          <w:lang w:val="fr-CH"/>
        </w:rPr>
        <w:t>un Fonds de garantie de l</w:t>
      </w:r>
      <w:r>
        <w:rPr>
          <w:i/>
          <w:iCs/>
          <w:lang w:val="fr-CH"/>
        </w:rPr>
        <w:t>'</w:t>
      </w:r>
      <w:r w:rsidRPr="00A57F01">
        <w:rPr>
          <w:i/>
          <w:iCs/>
          <w:lang w:val="fr-CH"/>
        </w:rPr>
        <w:t>assurance maladie</w:t>
      </w:r>
    </w:p>
    <w:p w14:paraId="1B8EC2F6" w14:textId="00DCD6B3" w:rsidR="003D3D8D" w:rsidRDefault="003D3D8D" w:rsidP="001648F7">
      <w:pPr>
        <w:rPr>
          <w:lang w:val="fr-CH"/>
        </w:rPr>
      </w:pPr>
      <w:r w:rsidRPr="0044520D">
        <w:rPr>
          <w:lang w:val="fr-CH"/>
        </w:rPr>
        <w:t>3.5</w:t>
      </w:r>
      <w:r w:rsidRPr="0044520D">
        <w:rPr>
          <w:lang w:val="fr-CH"/>
        </w:rPr>
        <w:tab/>
      </w:r>
      <w:r w:rsidR="007F6116">
        <w:rPr>
          <w:lang w:val="fr-CH"/>
        </w:rPr>
        <w:t xml:space="preserve">Conformément à la Décision </w:t>
      </w:r>
      <w:r w:rsidR="00BB2AC3">
        <w:rPr>
          <w:lang w:val="fr-CH"/>
        </w:rPr>
        <w:t>593, le F</w:t>
      </w:r>
      <w:r w:rsidR="007F6116">
        <w:rPr>
          <w:lang w:val="fr-CH"/>
        </w:rPr>
        <w:t xml:space="preserve">onds </w:t>
      </w:r>
      <w:r w:rsidR="00BB2AC3">
        <w:rPr>
          <w:lang w:val="fr-CH"/>
        </w:rPr>
        <w:t xml:space="preserve">de pensions a été </w:t>
      </w:r>
      <w:r w:rsidR="00D419F5">
        <w:rPr>
          <w:lang w:val="fr-CH"/>
        </w:rPr>
        <w:t>fermé et un montant de 1,1</w:t>
      </w:r>
      <w:r w:rsidR="001648F7">
        <w:rPr>
          <w:lang w:val="fr-CH"/>
        </w:rPr>
        <w:t> </w:t>
      </w:r>
      <w:r w:rsidR="00D419F5">
        <w:rPr>
          <w:lang w:val="fr-CH"/>
        </w:rPr>
        <w:t>million</w:t>
      </w:r>
      <w:r w:rsidR="001648F7">
        <w:rPr>
          <w:lang w:val="fr-CH"/>
        </w:rPr>
        <w:t xml:space="preserve"> CHF</w:t>
      </w:r>
      <w:r w:rsidR="00D419F5">
        <w:rPr>
          <w:lang w:val="fr-CH"/>
        </w:rPr>
        <w:t xml:space="preserve"> a été transféré au </w:t>
      </w:r>
      <w:r w:rsidR="00220151">
        <w:rPr>
          <w:lang w:val="fr-CH"/>
        </w:rPr>
        <w:t>Fonds de garantie de l’assurance maladie</w:t>
      </w:r>
      <w:r w:rsidR="007F6116">
        <w:rPr>
          <w:lang w:val="fr-CH"/>
        </w:rPr>
        <w:t>.</w:t>
      </w:r>
      <w:r w:rsidR="00220151">
        <w:rPr>
          <w:lang w:val="fr-CH"/>
        </w:rPr>
        <w:t xml:space="preserve"> </w:t>
      </w:r>
      <w:r w:rsidR="007F6116">
        <w:rPr>
          <w:lang w:val="fr-CH"/>
        </w:rPr>
        <w:t>L'excédent dégagé en 2016</w:t>
      </w:r>
      <w:r>
        <w:rPr>
          <w:lang w:val="fr-CH"/>
        </w:rPr>
        <w:t xml:space="preserve"> concernant les contributions versées par les membres de la CCAM et par l'UIT par rapport aux primes payées à</w:t>
      </w:r>
      <w:r w:rsidRPr="0044520D">
        <w:rPr>
          <w:lang w:val="fr-CH"/>
        </w:rPr>
        <w:t xml:space="preserve"> Cigna/Vanbreda </w:t>
      </w:r>
      <w:r>
        <w:rPr>
          <w:lang w:val="fr-CH"/>
        </w:rPr>
        <w:t xml:space="preserve">a été versé au </w:t>
      </w:r>
      <w:r w:rsidRPr="00FD0374">
        <w:rPr>
          <w:lang w:val="fr-CH"/>
        </w:rPr>
        <w:t>Fonds de garantie de l</w:t>
      </w:r>
      <w:r>
        <w:rPr>
          <w:lang w:val="fr-CH"/>
        </w:rPr>
        <w:t>'</w:t>
      </w:r>
      <w:r w:rsidRPr="00FD0374">
        <w:rPr>
          <w:lang w:val="fr-CH"/>
        </w:rPr>
        <w:t>assurance maladie</w:t>
      </w:r>
      <w:r>
        <w:rPr>
          <w:lang w:val="fr-CH"/>
        </w:rPr>
        <w:t>. Ce fonds servira à financer le régime d'assurance maladie suivant la méthode par répartition.</w:t>
      </w:r>
    </w:p>
    <w:p w14:paraId="4EDA1149" w14:textId="628B5202" w:rsidR="003D3D8D" w:rsidRDefault="003D3D8D" w:rsidP="001648F7">
      <w:pPr>
        <w:rPr>
          <w:lang w:val="fr-CH"/>
        </w:rPr>
      </w:pPr>
      <w:r w:rsidRPr="0044520D">
        <w:rPr>
          <w:lang w:val="fr-CH"/>
        </w:rPr>
        <w:t>3.6</w:t>
      </w:r>
      <w:r w:rsidRPr="0044520D">
        <w:rPr>
          <w:lang w:val="fr-CH"/>
        </w:rPr>
        <w:tab/>
      </w:r>
      <w:r>
        <w:rPr>
          <w:lang w:val="fr-CH"/>
        </w:rPr>
        <w:t xml:space="preserve">Par </w:t>
      </w:r>
      <w:r w:rsidRPr="00F72BF7">
        <w:rPr>
          <w:lang w:val="fr-CH"/>
        </w:rPr>
        <w:t>ailleurs</w:t>
      </w:r>
      <w:r>
        <w:rPr>
          <w:lang w:val="fr-CH"/>
        </w:rPr>
        <w:t>, le calcul du reliquat du Fonds de garanti</w:t>
      </w:r>
      <w:r w:rsidR="0066299B">
        <w:rPr>
          <w:lang w:val="fr-CH"/>
        </w:rPr>
        <w:t xml:space="preserve">e de la CAPS revenant à l'UIT </w:t>
      </w:r>
      <w:r>
        <w:rPr>
          <w:lang w:val="fr-CH"/>
        </w:rPr>
        <w:t xml:space="preserve">a </w:t>
      </w:r>
      <w:r w:rsidR="0066299B">
        <w:rPr>
          <w:lang w:val="fr-CH"/>
        </w:rPr>
        <w:t>été finalisé en 2016. Le</w:t>
      </w:r>
      <w:r>
        <w:rPr>
          <w:lang w:val="fr-CH"/>
        </w:rPr>
        <w:t xml:space="preserve"> reliquat </w:t>
      </w:r>
      <w:r w:rsidR="0066299B">
        <w:rPr>
          <w:lang w:val="fr-CH"/>
        </w:rPr>
        <w:t>du</w:t>
      </w:r>
      <w:r>
        <w:rPr>
          <w:lang w:val="fr-CH"/>
        </w:rPr>
        <w:t xml:space="preserve"> Fonds de garantie de l'assurance maladie (CCAM)</w:t>
      </w:r>
      <w:r w:rsidR="0066299B">
        <w:rPr>
          <w:lang w:val="fr-CH"/>
        </w:rPr>
        <w:t xml:space="preserve"> s’élève à 12,2 millions CHF à la fin de 2016</w:t>
      </w:r>
      <w:r>
        <w:rPr>
          <w:lang w:val="fr-CH"/>
        </w:rPr>
        <w:t>.</w:t>
      </w:r>
    </w:p>
    <w:p w14:paraId="1ED60705" w14:textId="77777777" w:rsidR="003D3D8D" w:rsidRPr="00A57F01" w:rsidRDefault="003D3D8D" w:rsidP="003D3D8D">
      <w:pPr>
        <w:pStyle w:val="Headingb"/>
        <w:rPr>
          <w:i/>
          <w:iCs/>
          <w:lang w:val="fr-CH"/>
        </w:rPr>
      </w:pPr>
      <w:r w:rsidRPr="00A57F01">
        <w:rPr>
          <w:i/>
          <w:iCs/>
          <w:lang w:val="fr-CH"/>
        </w:rPr>
        <w:t>Création d</w:t>
      </w:r>
      <w:r>
        <w:rPr>
          <w:i/>
          <w:iCs/>
          <w:lang w:val="fr-CH"/>
        </w:rPr>
        <w:t>'</w:t>
      </w:r>
      <w:r w:rsidRPr="00A57F01">
        <w:rPr>
          <w:i/>
          <w:iCs/>
          <w:lang w:val="fr-CH"/>
        </w:rPr>
        <w:t>un fonds pour financer sur le long terme les passifs actuariels de l</w:t>
      </w:r>
      <w:r>
        <w:rPr>
          <w:i/>
          <w:iCs/>
          <w:lang w:val="fr-CH"/>
        </w:rPr>
        <w:t>'</w:t>
      </w:r>
      <w:r w:rsidRPr="00A57F01">
        <w:rPr>
          <w:i/>
          <w:iCs/>
          <w:lang w:val="fr-CH"/>
        </w:rPr>
        <w:t>ASHI</w:t>
      </w:r>
    </w:p>
    <w:p w14:paraId="13D81B11" w14:textId="557E2A02" w:rsidR="003D3D8D" w:rsidRDefault="003D3D8D" w:rsidP="001648F7">
      <w:pPr>
        <w:rPr>
          <w:lang w:val="fr-CH"/>
        </w:rPr>
      </w:pPr>
      <w:r w:rsidRPr="0044520D">
        <w:rPr>
          <w:lang w:val="fr-CH"/>
        </w:rPr>
        <w:t>3.7</w:t>
      </w:r>
      <w:r w:rsidRPr="0044520D">
        <w:rPr>
          <w:lang w:val="fr-CH"/>
        </w:rPr>
        <w:tab/>
      </w:r>
      <w:r>
        <w:rPr>
          <w:lang w:val="fr-CH"/>
        </w:rPr>
        <w:t>A sa session de 2013, le Conseil a décidé de créer le Fonds ASHI, sur lequel ont été versés 4 millions CHF prélevés sur le Fonds de réserve afin de commencer à financer les engagements au tit</w:t>
      </w:r>
      <w:r w:rsidR="00847FF4">
        <w:rPr>
          <w:lang w:val="fr-CH"/>
        </w:rPr>
        <w:t xml:space="preserve">re de l'ASHI. </w:t>
      </w:r>
      <w:r w:rsidR="003F20D2">
        <w:rPr>
          <w:lang w:val="fr-CH"/>
        </w:rPr>
        <w:t>De plus, d</w:t>
      </w:r>
      <w:r w:rsidR="00847FF4">
        <w:rPr>
          <w:lang w:val="fr-CH"/>
        </w:rPr>
        <w:t>eux millions CHF</w:t>
      </w:r>
      <w:r w:rsidR="00C76D47">
        <w:rPr>
          <w:lang w:val="fr-CH"/>
        </w:rPr>
        <w:t xml:space="preserve"> en 2013,</w:t>
      </w:r>
      <w:r>
        <w:rPr>
          <w:lang w:val="fr-CH"/>
        </w:rPr>
        <w:t xml:space="preserve"> 1 million CHF </w:t>
      </w:r>
      <w:r w:rsidR="00847FF4">
        <w:rPr>
          <w:lang w:val="fr-CH"/>
        </w:rPr>
        <w:t xml:space="preserve">en 2014 et 0,5 million </w:t>
      </w:r>
      <w:r w:rsidR="002B1BF3">
        <w:rPr>
          <w:lang w:val="fr-CH"/>
        </w:rPr>
        <w:t xml:space="preserve">CHF </w:t>
      </w:r>
      <w:r w:rsidR="00847FF4">
        <w:rPr>
          <w:lang w:val="fr-CH"/>
        </w:rPr>
        <w:t xml:space="preserve">en 2016 </w:t>
      </w:r>
      <w:r>
        <w:rPr>
          <w:lang w:val="fr-CH"/>
        </w:rPr>
        <w:t>provenant des excédents budgétaires ont également été versés au Fonds ASHI. A sa session de 2015, le Conseil a autorisé le versement de 1 million CHF sur ce fonds financé par un prélèvement sur le Fonds de réserve.</w:t>
      </w:r>
      <w:r w:rsidR="00014556">
        <w:rPr>
          <w:lang w:val="fr-CH"/>
        </w:rPr>
        <w:t xml:space="preserve"> Au 31 décembre 2016, le Fonds ASHI </w:t>
      </w:r>
      <w:r w:rsidR="009429CA">
        <w:rPr>
          <w:lang w:val="fr-CH"/>
        </w:rPr>
        <w:t>se chiffrait à 8,5 millions CHF.</w:t>
      </w:r>
    </w:p>
    <w:p w14:paraId="64932341" w14:textId="77777777" w:rsidR="003D3D8D" w:rsidRDefault="003D3D8D" w:rsidP="003D3D8D">
      <w:pPr>
        <w:rPr>
          <w:szCs w:val="24"/>
          <w:lang w:val="fr-CH"/>
        </w:rPr>
      </w:pPr>
      <w:r w:rsidRPr="0044520D">
        <w:rPr>
          <w:szCs w:val="24"/>
          <w:lang w:val="fr-CH"/>
        </w:rPr>
        <w:t>3.8</w:t>
      </w:r>
      <w:r w:rsidRPr="0044520D">
        <w:rPr>
          <w:szCs w:val="24"/>
          <w:lang w:val="fr-CH"/>
        </w:rPr>
        <w:tab/>
      </w:r>
      <w:r>
        <w:rPr>
          <w:szCs w:val="24"/>
          <w:lang w:val="fr-CH"/>
        </w:rPr>
        <w:t xml:space="preserve">La Conférence de plénipotentiaires de 2014, qui s'est tenue à Busan, a modifié la Décision 5, afin de </w:t>
      </w:r>
      <w:r w:rsidRPr="00F72BF7">
        <w:rPr>
          <w:lang w:val="fr-CH"/>
        </w:rPr>
        <w:t>charger</w:t>
      </w:r>
      <w:r>
        <w:rPr>
          <w:szCs w:val="24"/>
          <w:lang w:val="fr-CH"/>
        </w:rPr>
        <w:t xml:space="preserve"> le Conseil </w:t>
      </w:r>
      <w:r w:rsidRPr="009C5A85">
        <w:rPr>
          <w:szCs w:val="24"/>
          <w:lang w:val="fr-CH"/>
        </w:rPr>
        <w:t>d</w:t>
      </w:r>
      <w:r>
        <w:rPr>
          <w:szCs w:val="24"/>
          <w:lang w:val="fr-CH"/>
        </w:rPr>
        <w:t>'</w:t>
      </w:r>
      <w:r w:rsidRPr="009C5A85">
        <w:rPr>
          <w:szCs w:val="24"/>
          <w:lang w:val="fr-CH"/>
        </w:rPr>
        <w:t>autoriser le Secrétaire général, conformément à l</w:t>
      </w:r>
      <w:r>
        <w:rPr>
          <w:szCs w:val="24"/>
          <w:lang w:val="fr-CH"/>
        </w:rPr>
        <w:t>'</w:t>
      </w:r>
      <w:r w:rsidRPr="009C5A85">
        <w:rPr>
          <w:szCs w:val="24"/>
          <w:lang w:val="fr-CH"/>
        </w:rPr>
        <w:t>Article 27 du Règlement</w:t>
      </w:r>
      <w:r>
        <w:rPr>
          <w:szCs w:val="24"/>
          <w:lang w:val="fr-CH"/>
        </w:rPr>
        <w:t xml:space="preserve"> </w:t>
      </w:r>
      <w:r w:rsidRPr="009C5A85">
        <w:rPr>
          <w:szCs w:val="24"/>
          <w:lang w:val="fr-CH"/>
        </w:rPr>
        <w:t>financier et des Règles financières, à affecter au Fonds ASHI un montant prélevé</w:t>
      </w:r>
      <w:r>
        <w:rPr>
          <w:szCs w:val="24"/>
          <w:lang w:val="fr-CH"/>
        </w:rPr>
        <w:t xml:space="preserve"> </w:t>
      </w:r>
      <w:r w:rsidRPr="009C5A85">
        <w:rPr>
          <w:szCs w:val="24"/>
          <w:lang w:val="fr-CH"/>
        </w:rPr>
        <w:t>sur le Fonds de réserve, à concurrence de celui qui est utilisé effectivement pour</w:t>
      </w:r>
      <w:r>
        <w:rPr>
          <w:szCs w:val="24"/>
          <w:lang w:val="fr-CH"/>
        </w:rPr>
        <w:t xml:space="preserve"> </w:t>
      </w:r>
      <w:r w:rsidRPr="009C5A85">
        <w:rPr>
          <w:szCs w:val="24"/>
          <w:lang w:val="fr-CH"/>
        </w:rPr>
        <w:t>équilibrer le budget biennal en recourant au Fonds de réserve</w:t>
      </w:r>
      <w:r>
        <w:rPr>
          <w:szCs w:val="24"/>
          <w:lang w:val="fr-CH"/>
        </w:rPr>
        <w:t>.</w:t>
      </w:r>
    </w:p>
    <w:p w14:paraId="7BBC6AC6" w14:textId="77777777" w:rsidR="003D3D8D" w:rsidRDefault="003D3D8D" w:rsidP="003D3D8D">
      <w:pPr>
        <w:rPr>
          <w:szCs w:val="24"/>
          <w:lang w:val="fr-CH"/>
        </w:rPr>
      </w:pPr>
      <w:r w:rsidRPr="0044520D">
        <w:rPr>
          <w:szCs w:val="24"/>
          <w:lang w:val="fr-CH"/>
        </w:rPr>
        <w:t>3.9</w:t>
      </w:r>
      <w:r w:rsidRPr="0044520D">
        <w:rPr>
          <w:szCs w:val="24"/>
          <w:lang w:val="fr-CH"/>
        </w:rPr>
        <w:tab/>
      </w:r>
      <w:r>
        <w:rPr>
          <w:szCs w:val="24"/>
          <w:lang w:val="fr-CH"/>
        </w:rPr>
        <w:t>La variation des engagements pourrait fluctuer de manière positive à long terme en raison de la variation sur le long terme des taux d'actualisation, dans la mesure où ces taux sont actuellement historiquement bas et ont eu un effet négatif exceptionnellement important sur l'actif net.</w:t>
      </w:r>
    </w:p>
    <w:p w14:paraId="065918EE" w14:textId="77777777" w:rsidR="003D3D8D" w:rsidRDefault="003D3D8D" w:rsidP="003D3D8D">
      <w:pPr>
        <w:rPr>
          <w:lang w:val="fr-CH"/>
        </w:rPr>
      </w:pPr>
      <w:r w:rsidRPr="0044520D">
        <w:rPr>
          <w:lang w:val="fr-CH"/>
        </w:rPr>
        <w:t>3.10</w:t>
      </w:r>
      <w:r w:rsidRPr="0044520D">
        <w:rPr>
          <w:lang w:val="fr-CH"/>
        </w:rPr>
        <w:tab/>
      </w:r>
      <w:r>
        <w:rPr>
          <w:lang w:val="fr-CH"/>
        </w:rPr>
        <w:t>L'i</w:t>
      </w:r>
      <w:r w:rsidRPr="00F72BF7">
        <w:rPr>
          <w:lang w:val="fr-CH"/>
        </w:rPr>
        <w:t>mportance</w:t>
      </w:r>
      <w:r>
        <w:rPr>
          <w:lang w:val="fr-CH"/>
        </w:rPr>
        <w:t xml:space="preserve"> des engagements au titre de l'ASHI et les restrictions budgétaires actuelles ne permettent pas pour le moment de financer plus rapidement les engagements au titre de l'ASHI. L'évolution des passifs de l'ASHI continuera d'être suivie avec beaucoup d'attention.</w:t>
      </w:r>
    </w:p>
    <w:p w14:paraId="231E24A0" w14:textId="77777777" w:rsidR="003D3D8D" w:rsidRPr="00A57F01" w:rsidRDefault="003D3D8D" w:rsidP="003D3D8D">
      <w:pPr>
        <w:pStyle w:val="Headingb"/>
        <w:rPr>
          <w:i/>
          <w:iCs/>
          <w:lang w:val="fr-CH"/>
        </w:rPr>
      </w:pPr>
      <w:r w:rsidRPr="00A57F01">
        <w:rPr>
          <w:i/>
          <w:iCs/>
          <w:lang w:val="fr-CH"/>
        </w:rPr>
        <w:t>Examen des prestations offertes et maîtrise des coûts</w:t>
      </w:r>
    </w:p>
    <w:p w14:paraId="566FD083" w14:textId="06485EB1" w:rsidR="003D3D8D" w:rsidRDefault="003D3D8D" w:rsidP="00C60254">
      <w:pPr>
        <w:rPr>
          <w:lang w:val="fr-CH"/>
        </w:rPr>
      </w:pPr>
      <w:r w:rsidRPr="0044520D">
        <w:rPr>
          <w:lang w:val="fr-CH"/>
        </w:rPr>
        <w:t>3.11</w:t>
      </w:r>
      <w:r w:rsidRPr="0044520D">
        <w:rPr>
          <w:lang w:val="fr-CH"/>
        </w:rPr>
        <w:tab/>
      </w:r>
      <w:r>
        <w:rPr>
          <w:lang w:val="fr-CH"/>
        </w:rPr>
        <w:t>Il a été mis fin au régime d'assurance maladie commun avec le BIT afin de permettre le passage à un plan d'assurance privé contracté auprès de</w:t>
      </w:r>
      <w:r w:rsidRPr="0044520D">
        <w:rPr>
          <w:lang w:val="fr-CH"/>
        </w:rPr>
        <w:t xml:space="preserve"> Cigna/Vanbreda </w:t>
      </w:r>
      <w:r>
        <w:rPr>
          <w:lang w:val="fr-CH"/>
        </w:rPr>
        <w:t xml:space="preserve">depuis le 1er mai 2014. Les prestations sont équivalentes à celles prévues dans le cadre du régime précédent. Toutefois, une franchise a été </w:t>
      </w:r>
      <w:r w:rsidRPr="00F72BF7">
        <w:rPr>
          <w:lang w:val="fr-CH"/>
        </w:rPr>
        <w:t xml:space="preserve">mise en place en vue de maîtriser les coûts. En outre, </w:t>
      </w:r>
      <w:r>
        <w:rPr>
          <w:lang w:val="fr-CH"/>
        </w:rPr>
        <w:t>le choix d'</w:t>
      </w:r>
      <w:r w:rsidRPr="00F72BF7">
        <w:rPr>
          <w:lang w:val="fr-CH"/>
        </w:rPr>
        <w:t>un assureur privé</w:t>
      </w:r>
      <w:r>
        <w:rPr>
          <w:lang w:val="fr-CH"/>
        </w:rPr>
        <w:t xml:space="preserve"> comme administrateur de la CCAM a été dicté par la volonté d'améliorer la maîtrise des coûts. Les demandes de remboursement seront quant à elles présentées et analysées en détail afin d'optimiser la surveillance du système. D'autres mesure</w:t>
      </w:r>
      <w:r w:rsidR="009429CA">
        <w:rPr>
          <w:lang w:val="fr-CH"/>
        </w:rPr>
        <w:t>s seront prises, si nécessaire</w:t>
      </w:r>
      <w:r>
        <w:rPr>
          <w:lang w:val="fr-CH"/>
        </w:rPr>
        <w:t>, afin de garantir le financement par répartition de l'assurance maladie.</w:t>
      </w:r>
    </w:p>
    <w:p w14:paraId="1A9F08E2" w14:textId="77777777" w:rsidR="003D3D8D" w:rsidRPr="00A57F01" w:rsidRDefault="003D3D8D" w:rsidP="003D3D8D">
      <w:pPr>
        <w:pStyle w:val="Headingb"/>
        <w:rPr>
          <w:i/>
          <w:iCs/>
          <w:lang w:val="fr-CH"/>
        </w:rPr>
      </w:pPr>
      <w:r w:rsidRPr="00A57F01">
        <w:rPr>
          <w:i/>
          <w:iCs/>
          <w:lang w:val="fr-CH"/>
        </w:rPr>
        <w:lastRenderedPageBreak/>
        <w:t>Participation au Groupe de travail des Nations Unies sur l</w:t>
      </w:r>
      <w:r>
        <w:rPr>
          <w:i/>
          <w:iCs/>
          <w:lang w:val="fr-CH"/>
        </w:rPr>
        <w:t>'</w:t>
      </w:r>
      <w:r w:rsidRPr="00A57F01">
        <w:rPr>
          <w:i/>
          <w:iCs/>
          <w:lang w:val="fr-CH"/>
        </w:rPr>
        <w:t>ASHI</w:t>
      </w:r>
    </w:p>
    <w:p w14:paraId="62249107" w14:textId="77777777" w:rsidR="003D3D8D" w:rsidRDefault="003D3D8D" w:rsidP="003D3D8D">
      <w:pPr>
        <w:rPr>
          <w:lang w:val="fr-CH"/>
        </w:rPr>
      </w:pPr>
      <w:r w:rsidRPr="0044520D">
        <w:rPr>
          <w:lang w:val="fr-CH"/>
        </w:rPr>
        <w:t>3.12</w:t>
      </w:r>
      <w:r w:rsidRPr="0044520D">
        <w:rPr>
          <w:lang w:val="fr-CH"/>
        </w:rPr>
        <w:tab/>
      </w:r>
      <w:r>
        <w:rPr>
          <w:lang w:val="fr-CH"/>
        </w:rPr>
        <w:t>L'UIT est membre du Groupe de travail des Nations Unies actuellement chargé d'identifier des solutions pour maîtriser les coûts de l'assurance maladie et financer les passifs de l'ASHI. Ce Groupe étudie la possibilité de mettre en place un système ASHI commun à toutes les organisations des Nations Unies.</w:t>
      </w:r>
    </w:p>
    <w:p w14:paraId="2FDCABF6" w14:textId="77777777" w:rsidR="003D3D8D" w:rsidRPr="00EB32A1" w:rsidRDefault="003D3D8D" w:rsidP="003D3D8D">
      <w:pPr>
        <w:rPr>
          <w:lang w:val="fr-CH"/>
        </w:rPr>
      </w:pPr>
      <w:r w:rsidRPr="00EB32A1">
        <w:rPr>
          <w:lang w:val="fr-CH"/>
        </w:rPr>
        <w:t>3.13</w:t>
      </w:r>
      <w:r w:rsidRPr="00EB32A1">
        <w:rPr>
          <w:lang w:val="fr-CH"/>
        </w:rPr>
        <w:tab/>
        <w:t xml:space="preserve">Il est fait référence à l'étude réalisée par le Comité consultatif pour les questions </w:t>
      </w:r>
      <w:r w:rsidRPr="00F72BF7">
        <w:rPr>
          <w:lang w:val="fr-CH"/>
        </w:rPr>
        <w:t>administratives</w:t>
      </w:r>
      <w:r w:rsidRPr="00EB32A1">
        <w:rPr>
          <w:lang w:val="fr-CH"/>
        </w:rPr>
        <w:t xml:space="preserve"> et les questions budgétaires qui </w:t>
      </w:r>
      <w:proofErr w:type="gramStart"/>
      <w:r w:rsidRPr="00EB32A1">
        <w:rPr>
          <w:lang w:val="fr-CH"/>
        </w:rPr>
        <w:t>a</w:t>
      </w:r>
      <w:proofErr w:type="gramEnd"/>
      <w:r w:rsidRPr="00EB32A1">
        <w:rPr>
          <w:lang w:val="fr-CH"/>
        </w:rPr>
        <w:t xml:space="preserve"> soumis son rapport à l'Assemblée générale des Nations Unies à sa 68ème session le 25 octobre 2013 (A/68/550). Selon ce rapport, le régime sans capitalisation reste la seule solution viable examinée. Compte tenu des stratégies de financement à long terme de l'ASHI, une politique qui devrait garantir que des fonds suffisants sont mis de côté pour faire face aux coûts associés aux participants actuels et aux futurs passifs a été proposée, moyennant la mise en place des dispositions suivantes:</w:t>
      </w:r>
    </w:p>
    <w:p w14:paraId="3FBDBDDB" w14:textId="77777777" w:rsidR="003D3D8D" w:rsidRPr="0044520D" w:rsidRDefault="003D3D8D" w:rsidP="003D3D8D">
      <w:pPr>
        <w:pStyle w:val="enumlev1"/>
        <w:rPr>
          <w:lang w:val="fr-CH"/>
        </w:rPr>
      </w:pPr>
      <w:r w:rsidRPr="002D5F3F">
        <w:rPr>
          <w:lang w:val="fr-CH"/>
        </w:rPr>
        <w:t>–</w:t>
      </w:r>
      <w:r>
        <w:rPr>
          <w:lang w:val="fr-CH"/>
        </w:rPr>
        <w:tab/>
        <w:t>L'</w:t>
      </w:r>
      <w:r w:rsidRPr="00503E3B">
        <w:rPr>
          <w:lang w:val="fr-CH"/>
        </w:rPr>
        <w:t>instauration d</w:t>
      </w:r>
      <w:r>
        <w:rPr>
          <w:lang w:val="fr-CH"/>
        </w:rPr>
        <w:t>'</w:t>
      </w:r>
      <w:r w:rsidRPr="00503E3B">
        <w:rPr>
          <w:lang w:val="fr-CH"/>
        </w:rPr>
        <w:t>une retenue équivalente à 4,5% du montant total des</w:t>
      </w:r>
      <w:r>
        <w:rPr>
          <w:lang w:val="fr-CH"/>
        </w:rPr>
        <w:t xml:space="preserve"> dépenses de personnel </w:t>
      </w:r>
      <w:r w:rsidRPr="00503E3B">
        <w:rPr>
          <w:lang w:val="fr-CH"/>
        </w:rPr>
        <w:t>– toutes les sources de financement étant concernées – afin</w:t>
      </w:r>
      <w:r>
        <w:rPr>
          <w:lang w:val="fr-CH"/>
        </w:rPr>
        <w:t xml:space="preserve"> </w:t>
      </w:r>
      <w:r w:rsidRPr="00503E3B">
        <w:rPr>
          <w:lang w:val="fr-CH"/>
        </w:rPr>
        <w:t>de financer le coût des prestations servies après le départ à la retraite des</w:t>
      </w:r>
      <w:r>
        <w:rPr>
          <w:lang w:val="fr-CH"/>
        </w:rPr>
        <w:t xml:space="preserve"> </w:t>
      </w:r>
      <w:r w:rsidRPr="00503E3B">
        <w:rPr>
          <w:lang w:val="fr-CH"/>
        </w:rPr>
        <w:t>fonctionnaires en activité qui accumulent des droits aux prestations d</w:t>
      </w:r>
      <w:r>
        <w:rPr>
          <w:lang w:val="fr-CH"/>
        </w:rPr>
        <w:t>'</w:t>
      </w:r>
      <w:r w:rsidRPr="00503E3B">
        <w:rPr>
          <w:lang w:val="fr-CH"/>
        </w:rPr>
        <w:t>assurance</w:t>
      </w:r>
      <w:r>
        <w:rPr>
          <w:lang w:val="fr-CH"/>
        </w:rPr>
        <w:t xml:space="preserve"> </w:t>
      </w:r>
      <w:r w:rsidRPr="00503E3B">
        <w:rPr>
          <w:lang w:val="fr-CH"/>
        </w:rPr>
        <w:t>maladie après la cessation de service</w:t>
      </w:r>
      <w:r>
        <w:rPr>
          <w:lang w:val="fr-CH"/>
        </w:rPr>
        <w:t>.</w:t>
      </w:r>
    </w:p>
    <w:p w14:paraId="6D294AF4" w14:textId="77777777" w:rsidR="003D3D8D" w:rsidRPr="0044520D" w:rsidRDefault="003D3D8D" w:rsidP="003D3D8D">
      <w:pPr>
        <w:pStyle w:val="enumlev1"/>
        <w:rPr>
          <w:lang w:val="fr-CH"/>
        </w:rPr>
      </w:pPr>
      <w:r w:rsidRPr="002D5F3F">
        <w:rPr>
          <w:lang w:val="fr-CH"/>
        </w:rPr>
        <w:t>–</w:t>
      </w:r>
      <w:r>
        <w:rPr>
          <w:lang w:val="fr-CH"/>
        </w:rPr>
        <w:tab/>
        <w:t>L'</w:t>
      </w:r>
      <w:r w:rsidRPr="002008F7">
        <w:rPr>
          <w:lang w:val="fr-CH"/>
        </w:rPr>
        <w:t>instauration d</w:t>
      </w:r>
      <w:r>
        <w:rPr>
          <w:lang w:val="fr-CH"/>
        </w:rPr>
        <w:t>'</w:t>
      </w:r>
      <w:r w:rsidRPr="002008F7">
        <w:rPr>
          <w:lang w:val="fr-CH"/>
        </w:rPr>
        <w:t>une retenue équivalente à 2% du montant total des</w:t>
      </w:r>
      <w:r>
        <w:rPr>
          <w:lang w:val="fr-CH"/>
        </w:rPr>
        <w:t xml:space="preserve"> </w:t>
      </w:r>
      <w:r w:rsidRPr="002008F7">
        <w:rPr>
          <w:lang w:val="fr-CH"/>
        </w:rPr>
        <w:t>dépenses de personnel, à inclure dans les dépenses communes de personnel, toutes</w:t>
      </w:r>
      <w:r>
        <w:rPr>
          <w:lang w:val="fr-CH"/>
        </w:rPr>
        <w:t xml:space="preserve"> </w:t>
      </w:r>
      <w:r w:rsidRPr="002008F7">
        <w:rPr>
          <w:lang w:val="fr-CH"/>
        </w:rPr>
        <w:t xml:space="preserve">les sources de financement étant concernées, pour faire face aux </w:t>
      </w:r>
      <w:r>
        <w:rPr>
          <w:lang w:val="fr-CH"/>
        </w:rPr>
        <w:t xml:space="preserve">passifs non financés </w:t>
      </w:r>
      <w:r w:rsidRPr="002008F7">
        <w:rPr>
          <w:lang w:val="fr-CH"/>
        </w:rPr>
        <w:t xml:space="preserve">et déjà accumulés. </w:t>
      </w:r>
      <w:r>
        <w:rPr>
          <w:lang w:val="fr-CH"/>
        </w:rPr>
        <w:t>Il a été estimé</w:t>
      </w:r>
      <w:r w:rsidRPr="002008F7">
        <w:rPr>
          <w:lang w:val="fr-CH"/>
        </w:rPr>
        <w:t xml:space="preserve"> qu</w:t>
      </w:r>
      <w:r>
        <w:rPr>
          <w:lang w:val="fr-CH"/>
        </w:rPr>
        <w:t>'</w:t>
      </w:r>
      <w:r w:rsidRPr="002008F7">
        <w:rPr>
          <w:lang w:val="fr-CH"/>
        </w:rPr>
        <w:t>il serait ainsi</w:t>
      </w:r>
      <w:r>
        <w:rPr>
          <w:lang w:val="fr-CH"/>
        </w:rPr>
        <w:t xml:space="preserve"> </w:t>
      </w:r>
      <w:r w:rsidRPr="002008F7">
        <w:rPr>
          <w:lang w:val="fr-CH"/>
        </w:rPr>
        <w:t xml:space="preserve">possible de parvenir au financement intégral </w:t>
      </w:r>
      <w:r>
        <w:rPr>
          <w:lang w:val="fr-CH"/>
        </w:rPr>
        <w:t>de ces passifs</w:t>
      </w:r>
      <w:r w:rsidRPr="002008F7">
        <w:rPr>
          <w:lang w:val="fr-CH"/>
        </w:rPr>
        <w:t xml:space="preserve"> en 20 ans, après</w:t>
      </w:r>
      <w:r>
        <w:rPr>
          <w:lang w:val="fr-CH"/>
        </w:rPr>
        <w:t xml:space="preserve"> </w:t>
      </w:r>
      <w:r w:rsidRPr="002008F7">
        <w:rPr>
          <w:lang w:val="fr-CH"/>
        </w:rPr>
        <w:t>quoi il serait mis un terme au financement par répartition et à la retenue équivalente</w:t>
      </w:r>
      <w:r>
        <w:rPr>
          <w:lang w:val="fr-CH"/>
        </w:rPr>
        <w:t xml:space="preserve"> </w:t>
      </w:r>
      <w:r w:rsidRPr="002008F7">
        <w:rPr>
          <w:lang w:val="fr-CH"/>
        </w:rPr>
        <w:t>à 2% du montant total des dépenses de personnel</w:t>
      </w:r>
      <w:r w:rsidRPr="0044520D">
        <w:rPr>
          <w:lang w:val="fr-CH"/>
        </w:rPr>
        <w:t>.</w:t>
      </w:r>
    </w:p>
    <w:p w14:paraId="642D6F05" w14:textId="77777777" w:rsidR="003D3D8D" w:rsidRDefault="003D3D8D" w:rsidP="003D3D8D">
      <w:pPr>
        <w:rPr>
          <w:lang w:val="fr-CH"/>
        </w:rPr>
      </w:pPr>
      <w:r w:rsidRPr="0044520D">
        <w:rPr>
          <w:lang w:val="fr-CH"/>
        </w:rPr>
        <w:t>3.14</w:t>
      </w:r>
      <w:r w:rsidRPr="0044520D">
        <w:rPr>
          <w:lang w:val="fr-CH"/>
        </w:rPr>
        <w:tab/>
      </w:r>
      <w:r>
        <w:rPr>
          <w:lang w:val="fr-CH"/>
        </w:rPr>
        <w:t>Le Comité consultatif a en outre noté que le financement des prestations de l'ASHI est une question qui préoccupe l'ensemble du système et à long terme devrait être traitée, à l'échelle du système, dans le cadre d'une démarche similaire à celle adoptée par la Caisse commune des pensions du personnel des Nations Unies.</w:t>
      </w:r>
    </w:p>
    <w:p w14:paraId="3E0900BD" w14:textId="77777777" w:rsidR="003D3D8D" w:rsidRDefault="003D3D8D" w:rsidP="003D3D8D">
      <w:pPr>
        <w:rPr>
          <w:lang w:val="fr-CH"/>
        </w:rPr>
      </w:pPr>
      <w:r w:rsidRPr="0044520D">
        <w:rPr>
          <w:lang w:val="fr-CH"/>
        </w:rPr>
        <w:t>3.15</w:t>
      </w:r>
      <w:r w:rsidRPr="0044520D">
        <w:rPr>
          <w:lang w:val="fr-CH"/>
        </w:rPr>
        <w:tab/>
      </w:r>
      <w:r>
        <w:rPr>
          <w:lang w:val="fr-CH"/>
        </w:rPr>
        <w:t>Etant donné qu'il n'est pas possible de présumer de ces évolutions futures qui auront des incidences sur le système, l'UIT a augmenté en 2014 les cotisations versées par les membres et par l'organisation en vue de garantir le financement par répartition de l'assurance maladie.</w:t>
      </w:r>
    </w:p>
    <w:p w14:paraId="7A6E180A" w14:textId="77777777" w:rsidR="003D3D8D" w:rsidRPr="0044520D" w:rsidRDefault="003D3D8D" w:rsidP="00C60254">
      <w:pPr>
        <w:pStyle w:val="Heading1"/>
        <w:spacing w:before="120"/>
        <w:rPr>
          <w:lang w:val="fr-CH"/>
        </w:rPr>
      </w:pPr>
      <w:r w:rsidRPr="0044520D">
        <w:rPr>
          <w:lang w:val="fr-CH"/>
        </w:rPr>
        <w:t>4</w:t>
      </w:r>
      <w:r w:rsidRPr="0044520D">
        <w:rPr>
          <w:lang w:val="fr-CH"/>
        </w:rPr>
        <w:tab/>
        <w:t>Conclusion</w:t>
      </w:r>
    </w:p>
    <w:p w14:paraId="6C9D3F7A" w14:textId="3E97B4B8" w:rsidR="003D3D8D" w:rsidRDefault="003D3D8D" w:rsidP="00C60254">
      <w:pPr>
        <w:rPr>
          <w:lang w:val="fr-CH"/>
        </w:rPr>
      </w:pPr>
      <w:r w:rsidRPr="0044520D">
        <w:rPr>
          <w:lang w:val="fr-CH"/>
        </w:rPr>
        <w:t>4.1</w:t>
      </w:r>
      <w:r w:rsidRPr="0044520D">
        <w:rPr>
          <w:lang w:val="fr-CH"/>
        </w:rPr>
        <w:tab/>
      </w:r>
      <w:r>
        <w:rPr>
          <w:lang w:val="fr-CH"/>
        </w:rPr>
        <w:t xml:space="preserve">La question du financement des engagements au titre de l'ASHI concerne de nombreuses organisations du système des Nations Unies. </w:t>
      </w:r>
      <w:r w:rsidRPr="00BB6951">
        <w:rPr>
          <w:lang w:val="fr-CH"/>
        </w:rPr>
        <w:t>Le Comité de haut niveau sur la gestion (HLCM) du Conseil des chefs de secrétariat pour la coordination (CCS) a fait de la nécessité d</w:t>
      </w:r>
      <w:r>
        <w:rPr>
          <w:lang w:val="fr-CH"/>
        </w:rPr>
        <w:t>'</w:t>
      </w:r>
      <w:r w:rsidRPr="00BB6951">
        <w:rPr>
          <w:lang w:val="fr-CH"/>
        </w:rPr>
        <w:t>adopter une approche commune pour le financement des passifs croissants de l</w:t>
      </w:r>
      <w:r>
        <w:rPr>
          <w:lang w:val="fr-CH"/>
        </w:rPr>
        <w:t>'</w:t>
      </w:r>
      <w:r w:rsidRPr="00BB6951">
        <w:rPr>
          <w:lang w:val="fr-CH"/>
        </w:rPr>
        <w:t>ASHI l</w:t>
      </w:r>
      <w:r>
        <w:rPr>
          <w:lang w:val="fr-CH"/>
        </w:rPr>
        <w:t>'</w:t>
      </w:r>
      <w:r w:rsidRPr="00BB6951">
        <w:rPr>
          <w:lang w:val="fr-CH"/>
        </w:rPr>
        <w:t>une de ses priorités pour la période 2013-2016</w:t>
      </w:r>
      <w:r>
        <w:rPr>
          <w:lang w:val="fr-CH"/>
        </w:rPr>
        <w:t>. Toutefois, il n'est pas possible de prévoir les futures décisions de l'Assemblée générale des Nations Unies, qui pourraient aboutir à l'adoption d'une approche de gestion de l'ASHI commune pour les organisations et les institutions spécialisées des Nations Unies. De son côté, l'UIT continuera de se concentrer sur la maîtrise des coûts avec le nouveau prestataire de services et a proposé d'accroître le pourcentage des contributions versées par les membres de la CCAM et pa</w:t>
      </w:r>
      <w:r w:rsidR="009429CA">
        <w:rPr>
          <w:lang w:val="fr-CH"/>
        </w:rPr>
        <w:t>r l'UIT dans le budget pour 2018-2019</w:t>
      </w:r>
      <w:r>
        <w:rPr>
          <w:lang w:val="fr-CH"/>
        </w:rPr>
        <w:t>,</w:t>
      </w:r>
      <w:r w:rsidR="009429CA">
        <w:rPr>
          <w:lang w:val="fr-CH"/>
        </w:rPr>
        <w:t xml:space="preserve"> comme dans</w:t>
      </w:r>
      <w:r w:rsidR="0052699A">
        <w:rPr>
          <w:lang w:val="fr-CH"/>
        </w:rPr>
        <w:t xml:space="preserve"> le</w:t>
      </w:r>
      <w:r w:rsidR="009429CA">
        <w:rPr>
          <w:lang w:val="fr-CH"/>
        </w:rPr>
        <w:t xml:space="preserve"> budget pour 2016-2017,</w:t>
      </w:r>
      <w:r>
        <w:rPr>
          <w:lang w:val="fr-CH"/>
        </w:rPr>
        <w:t xml:space="preserve"> afin de garantir le financement par répartition de l'assurance maladie. En outre, l'UIT continuera de constituer des réserves pour l'ASHI autant que faire se peut, en fonction des excédents budgétaires.</w:t>
      </w:r>
    </w:p>
    <w:p w14:paraId="6799114C" w14:textId="77777777" w:rsidR="00267C4F" w:rsidRDefault="003D3D8D" w:rsidP="003D3D8D">
      <w:pPr>
        <w:jc w:val="center"/>
      </w:pPr>
      <w:r>
        <w:t>______________</w:t>
      </w:r>
    </w:p>
    <w:p w14:paraId="763972B0" w14:textId="77777777" w:rsidR="008A3078" w:rsidRPr="00E147C9" w:rsidRDefault="008A3078" w:rsidP="00AD10FE">
      <w:pPr>
        <w:spacing w:line="480" w:lineRule="auto"/>
        <w:rPr>
          <w:lang w:val="fr-CH"/>
        </w:rPr>
      </w:pPr>
    </w:p>
    <w:sectPr w:rsidR="008A3078" w:rsidRPr="00E147C9"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4FF44" w14:textId="77777777" w:rsidR="00DA3C5B" w:rsidRDefault="00DA3C5B">
      <w:r>
        <w:separator/>
      </w:r>
    </w:p>
  </w:endnote>
  <w:endnote w:type="continuationSeparator" w:id="0">
    <w:p w14:paraId="165195EF" w14:textId="77777777" w:rsidR="00DA3C5B" w:rsidRDefault="00DA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8835C" w14:textId="77777777" w:rsidR="00732045" w:rsidRPr="00AD10FE" w:rsidRDefault="00944D66">
    <w:pPr>
      <w:pStyle w:val="Footer"/>
      <w:rPr>
        <w:lang w:val="en-GB"/>
      </w:rPr>
    </w:pPr>
    <w:r>
      <w:fldChar w:fldCharType="begin"/>
    </w:r>
    <w:r w:rsidRPr="00AD10FE">
      <w:rPr>
        <w:lang w:val="en-GB"/>
      </w:rPr>
      <w:instrText xml:space="preserve"> FILENAME \p \* MERGEFORMAT </w:instrText>
    </w:r>
    <w:r>
      <w:fldChar w:fldCharType="separate"/>
    </w:r>
    <w:r w:rsidR="006A2816">
      <w:rPr>
        <w:lang w:val="en-GB"/>
      </w:rPr>
      <w:t>C:\046F.docx</w:t>
    </w:r>
    <w:r>
      <w:fldChar w:fldCharType="end"/>
    </w:r>
    <w:r w:rsidR="00732045" w:rsidRPr="00AD10FE">
      <w:rPr>
        <w:lang w:val="en-GB"/>
      </w:rPr>
      <w:tab/>
    </w:r>
    <w:r w:rsidR="002F1B76">
      <w:fldChar w:fldCharType="begin"/>
    </w:r>
    <w:r w:rsidR="00732045">
      <w:instrText xml:space="preserve"> savedate \@ dd.MM.yy </w:instrText>
    </w:r>
    <w:r w:rsidR="002F1B76">
      <w:fldChar w:fldCharType="separate"/>
    </w:r>
    <w:r w:rsidR="006A2816">
      <w:t>05.05.17</w:t>
    </w:r>
    <w:r w:rsidR="002F1B76">
      <w:fldChar w:fldCharType="end"/>
    </w:r>
    <w:r w:rsidR="00732045" w:rsidRPr="00AD10FE">
      <w:rPr>
        <w:lang w:val="en-GB"/>
      </w:rPr>
      <w:tab/>
    </w:r>
    <w:r w:rsidR="002F1B76">
      <w:fldChar w:fldCharType="begin"/>
    </w:r>
    <w:r w:rsidR="00732045">
      <w:instrText xml:space="preserve"> printdate \@ dd.MM.yy </w:instrText>
    </w:r>
    <w:r w:rsidR="002F1B76">
      <w:fldChar w:fldCharType="separate"/>
    </w:r>
    <w:r w:rsidR="006A2816">
      <w:t>05.05.17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6B7B" w14:textId="4F01F65E" w:rsidR="00267C4F" w:rsidRPr="00CC08A3" w:rsidRDefault="00CC08A3" w:rsidP="009543E7">
    <w:pPr>
      <w:pStyle w:val="Footer"/>
      <w:rPr>
        <w:lang w:val="fr-CH"/>
      </w:rPr>
    </w:pPr>
    <w:r>
      <w:fldChar w:fldCharType="begin"/>
    </w:r>
    <w:r w:rsidRPr="00CC08A3">
      <w:rPr>
        <w:lang w:val="fr-CH"/>
      </w:rPr>
      <w:instrText xml:space="preserve"> FILENAME \p \* MERGEFORMAT </w:instrText>
    </w:r>
    <w:r>
      <w:fldChar w:fldCharType="separate"/>
    </w:r>
    <w:r w:rsidR="006A2816">
      <w:rPr>
        <w:lang w:val="fr-CH"/>
      </w:rPr>
      <w:t>C:\046F.docx</w:t>
    </w:r>
    <w:r>
      <w:fldChar w:fldCharType="end"/>
    </w:r>
    <w:r>
      <w:t xml:space="preserve"> (409</w:t>
    </w:r>
    <w:r w:rsidR="009543E7">
      <w:t>496</w:t>
    </w:r>
    <w:r>
      <w:t>)</w:t>
    </w:r>
    <w:r w:rsidRPr="00CC08A3">
      <w:rPr>
        <w:lang w:val="fr-CH"/>
      </w:rPr>
      <w:tab/>
    </w:r>
    <w:r>
      <w:fldChar w:fldCharType="begin"/>
    </w:r>
    <w:r>
      <w:instrText xml:space="preserve"> savedate \@ dd.MM.yy </w:instrText>
    </w:r>
    <w:r>
      <w:fldChar w:fldCharType="separate"/>
    </w:r>
    <w:r w:rsidR="006A2816">
      <w:t>05.05.17</w:t>
    </w:r>
    <w:r>
      <w:fldChar w:fldCharType="end"/>
    </w:r>
    <w:r w:rsidRPr="00CC08A3">
      <w:rPr>
        <w:lang w:val="fr-CH"/>
      </w:rPr>
      <w:tab/>
    </w:r>
    <w:r>
      <w:fldChar w:fldCharType="begin"/>
    </w:r>
    <w:r>
      <w:instrText xml:space="preserve"> printdate \@ dd.MM.yy </w:instrText>
    </w:r>
    <w:r>
      <w:fldChar w:fldCharType="separate"/>
    </w:r>
    <w:r w:rsidR="006A2816">
      <w:t>05.05.17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75D0D" w14:textId="77777777" w:rsidR="00732045" w:rsidRDefault="00732045">
    <w:pPr>
      <w:spacing w:after="120"/>
      <w:jc w:val="center"/>
    </w:pPr>
    <w:r>
      <w:t xml:space="preserve">• </w:t>
    </w:r>
    <w:hyperlink r:id="rId1" w:history="1">
      <w:r>
        <w:rPr>
          <w:rStyle w:val="Hyperlink"/>
        </w:rPr>
        <w:t>http://www.itu.int/council</w:t>
      </w:r>
    </w:hyperlink>
    <w:r>
      <w:t xml:space="preserve"> •</w:t>
    </w:r>
  </w:p>
  <w:p w14:paraId="5CE973EB" w14:textId="77777777" w:rsidR="00732045" w:rsidRPr="00CC08A3" w:rsidRDefault="00944D66">
    <w:pPr>
      <w:pStyle w:val="Footer"/>
      <w:rPr>
        <w:lang w:val="fr-CH"/>
      </w:rPr>
    </w:pPr>
    <w:r>
      <w:fldChar w:fldCharType="begin"/>
    </w:r>
    <w:r w:rsidRPr="00CC08A3">
      <w:rPr>
        <w:lang w:val="fr-CH"/>
      </w:rPr>
      <w:instrText xml:space="preserve"> FILENAME \p \* MERGEFORMAT </w:instrText>
    </w:r>
    <w:r>
      <w:fldChar w:fldCharType="separate"/>
    </w:r>
    <w:r w:rsidR="006A2816">
      <w:rPr>
        <w:lang w:val="fr-CH"/>
      </w:rPr>
      <w:t>C:\046F.docx</w:t>
    </w:r>
    <w:r>
      <w:fldChar w:fldCharType="end"/>
    </w:r>
    <w:r w:rsidR="00CC08A3">
      <w:t xml:space="preserve"> (409467)</w:t>
    </w:r>
    <w:r w:rsidR="00732045" w:rsidRPr="00CC08A3">
      <w:rPr>
        <w:lang w:val="fr-CH"/>
      </w:rPr>
      <w:tab/>
    </w:r>
    <w:r w:rsidR="002F1B76">
      <w:fldChar w:fldCharType="begin"/>
    </w:r>
    <w:r w:rsidR="00732045">
      <w:instrText xml:space="preserve"> savedate \@ dd.MM.yy </w:instrText>
    </w:r>
    <w:r w:rsidR="002F1B76">
      <w:fldChar w:fldCharType="separate"/>
    </w:r>
    <w:r w:rsidR="006A2816">
      <w:t>05.05.17</w:t>
    </w:r>
    <w:r w:rsidR="002F1B76">
      <w:fldChar w:fldCharType="end"/>
    </w:r>
    <w:r w:rsidR="00732045" w:rsidRPr="00CC08A3">
      <w:rPr>
        <w:lang w:val="fr-CH"/>
      </w:rPr>
      <w:tab/>
    </w:r>
    <w:r w:rsidR="002F1B76">
      <w:fldChar w:fldCharType="begin"/>
    </w:r>
    <w:r w:rsidR="00732045">
      <w:instrText xml:space="preserve"> printdate \@ dd.MM.yy </w:instrText>
    </w:r>
    <w:r w:rsidR="002F1B76">
      <w:fldChar w:fldCharType="separate"/>
    </w:r>
    <w:r w:rsidR="006A2816">
      <w:t>05.05.17</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73BAE" w14:textId="77777777" w:rsidR="00DA3C5B" w:rsidRDefault="00DA3C5B">
      <w:r>
        <w:t>____________________</w:t>
      </w:r>
    </w:p>
  </w:footnote>
  <w:footnote w:type="continuationSeparator" w:id="0">
    <w:p w14:paraId="4F77A691" w14:textId="77777777" w:rsidR="00DA3C5B" w:rsidRDefault="00DA3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7C9AC"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12608E8C"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3E348" w14:textId="77777777" w:rsidR="00732045" w:rsidRDefault="00C27A7C" w:rsidP="00475FB3">
    <w:pPr>
      <w:pStyle w:val="Header"/>
    </w:pPr>
    <w:r>
      <w:fldChar w:fldCharType="begin"/>
    </w:r>
    <w:r>
      <w:instrText>PAGE</w:instrText>
    </w:r>
    <w:r>
      <w:fldChar w:fldCharType="separate"/>
    </w:r>
    <w:r w:rsidR="006A2816">
      <w:rPr>
        <w:noProof/>
      </w:rPr>
      <w:t>7</w:t>
    </w:r>
    <w:r>
      <w:rPr>
        <w:noProof/>
      </w:rPr>
      <w:fldChar w:fldCharType="end"/>
    </w:r>
  </w:p>
  <w:p w14:paraId="70031094" w14:textId="3CE0FA0D" w:rsidR="00732045" w:rsidRDefault="00732045" w:rsidP="009543E7">
    <w:pPr>
      <w:pStyle w:val="Header"/>
    </w:pPr>
    <w:r>
      <w:t>C1</w:t>
    </w:r>
    <w:r w:rsidR="0093234A">
      <w:t>7</w:t>
    </w:r>
    <w:r>
      <w:t>/</w:t>
    </w:r>
    <w:r w:rsidR="009543E7">
      <w:t>46</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25CEE"/>
    <w:multiLevelType w:val="multilevel"/>
    <w:tmpl w:val="7AC424C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54"/>
    <w:rsid w:val="00014556"/>
    <w:rsid w:val="0008037C"/>
    <w:rsid w:val="000D0D0A"/>
    <w:rsid w:val="00103163"/>
    <w:rsid w:val="00115476"/>
    <w:rsid w:val="00115D93"/>
    <w:rsid w:val="001247A8"/>
    <w:rsid w:val="001378C0"/>
    <w:rsid w:val="001648F7"/>
    <w:rsid w:val="001830EC"/>
    <w:rsid w:val="0018694A"/>
    <w:rsid w:val="001A3287"/>
    <w:rsid w:val="001D4C31"/>
    <w:rsid w:val="001E4D21"/>
    <w:rsid w:val="001F4A66"/>
    <w:rsid w:val="00207CD1"/>
    <w:rsid w:val="00220151"/>
    <w:rsid w:val="002477A2"/>
    <w:rsid w:val="00263A51"/>
    <w:rsid w:val="00267C4F"/>
    <w:rsid w:val="00267E02"/>
    <w:rsid w:val="00274A73"/>
    <w:rsid w:val="002A5D44"/>
    <w:rsid w:val="002B1BF3"/>
    <w:rsid w:val="002E0BC4"/>
    <w:rsid w:val="002E3B19"/>
    <w:rsid w:val="002F1B76"/>
    <w:rsid w:val="00305002"/>
    <w:rsid w:val="00355FF5"/>
    <w:rsid w:val="00361350"/>
    <w:rsid w:val="003D3D8D"/>
    <w:rsid w:val="003F20D2"/>
    <w:rsid w:val="004038CB"/>
    <w:rsid w:val="0040546F"/>
    <w:rsid w:val="0042404A"/>
    <w:rsid w:val="0044618F"/>
    <w:rsid w:val="0046769A"/>
    <w:rsid w:val="00475FB3"/>
    <w:rsid w:val="004C37A9"/>
    <w:rsid w:val="004F259E"/>
    <w:rsid w:val="00511056"/>
    <w:rsid w:val="00511F1D"/>
    <w:rsid w:val="0052699A"/>
    <w:rsid w:val="00540615"/>
    <w:rsid w:val="00540A6D"/>
    <w:rsid w:val="00542BAE"/>
    <w:rsid w:val="00571EEA"/>
    <w:rsid w:val="00575417"/>
    <w:rsid w:val="005768E1"/>
    <w:rsid w:val="00582E15"/>
    <w:rsid w:val="005B31C4"/>
    <w:rsid w:val="005C3890"/>
    <w:rsid w:val="005F74C6"/>
    <w:rsid w:val="005F7BFE"/>
    <w:rsid w:val="00600017"/>
    <w:rsid w:val="006235CA"/>
    <w:rsid w:val="00626CFC"/>
    <w:rsid w:val="0065474B"/>
    <w:rsid w:val="0066299B"/>
    <w:rsid w:val="006643AB"/>
    <w:rsid w:val="006850C6"/>
    <w:rsid w:val="0068523B"/>
    <w:rsid w:val="006A2816"/>
    <w:rsid w:val="006B618F"/>
    <w:rsid w:val="007210CD"/>
    <w:rsid w:val="00722C9D"/>
    <w:rsid w:val="00732045"/>
    <w:rsid w:val="007369DB"/>
    <w:rsid w:val="00784BCE"/>
    <w:rsid w:val="007956C2"/>
    <w:rsid w:val="007A187E"/>
    <w:rsid w:val="007C72C2"/>
    <w:rsid w:val="007D4436"/>
    <w:rsid w:val="007F257A"/>
    <w:rsid w:val="007F3665"/>
    <w:rsid w:val="007F6116"/>
    <w:rsid w:val="00800037"/>
    <w:rsid w:val="00847FF4"/>
    <w:rsid w:val="00861D73"/>
    <w:rsid w:val="00880989"/>
    <w:rsid w:val="00895BF0"/>
    <w:rsid w:val="008A3078"/>
    <w:rsid w:val="008A4E87"/>
    <w:rsid w:val="008D76E6"/>
    <w:rsid w:val="008D7F42"/>
    <w:rsid w:val="008F4833"/>
    <w:rsid w:val="0091375E"/>
    <w:rsid w:val="0092392D"/>
    <w:rsid w:val="0093234A"/>
    <w:rsid w:val="009429CA"/>
    <w:rsid w:val="00944D66"/>
    <w:rsid w:val="009543E7"/>
    <w:rsid w:val="009C307F"/>
    <w:rsid w:val="00A2113E"/>
    <w:rsid w:val="00A23A51"/>
    <w:rsid w:val="00A24607"/>
    <w:rsid w:val="00A25CD3"/>
    <w:rsid w:val="00A5570C"/>
    <w:rsid w:val="00A76B7F"/>
    <w:rsid w:val="00A82767"/>
    <w:rsid w:val="00AA332F"/>
    <w:rsid w:val="00AA7BBB"/>
    <w:rsid w:val="00AB01F8"/>
    <w:rsid w:val="00AB64A8"/>
    <w:rsid w:val="00AC0266"/>
    <w:rsid w:val="00AD10FE"/>
    <w:rsid w:val="00AD24EC"/>
    <w:rsid w:val="00AF7040"/>
    <w:rsid w:val="00B17930"/>
    <w:rsid w:val="00B309F9"/>
    <w:rsid w:val="00B32B60"/>
    <w:rsid w:val="00B53DDE"/>
    <w:rsid w:val="00B61619"/>
    <w:rsid w:val="00B85F54"/>
    <w:rsid w:val="00BB2AC3"/>
    <w:rsid w:val="00BB4545"/>
    <w:rsid w:val="00BD5873"/>
    <w:rsid w:val="00C04BE3"/>
    <w:rsid w:val="00C25D29"/>
    <w:rsid w:val="00C27A7C"/>
    <w:rsid w:val="00C60254"/>
    <w:rsid w:val="00C76D47"/>
    <w:rsid w:val="00CA08ED"/>
    <w:rsid w:val="00CB134E"/>
    <w:rsid w:val="00CC08A3"/>
    <w:rsid w:val="00CF183B"/>
    <w:rsid w:val="00D36550"/>
    <w:rsid w:val="00D375CD"/>
    <w:rsid w:val="00D419F5"/>
    <w:rsid w:val="00D553A2"/>
    <w:rsid w:val="00D6454C"/>
    <w:rsid w:val="00D774D3"/>
    <w:rsid w:val="00D904E8"/>
    <w:rsid w:val="00D93DA4"/>
    <w:rsid w:val="00DA08C3"/>
    <w:rsid w:val="00DA3C5B"/>
    <w:rsid w:val="00DB5A3E"/>
    <w:rsid w:val="00DC22AA"/>
    <w:rsid w:val="00DF74DD"/>
    <w:rsid w:val="00E147C9"/>
    <w:rsid w:val="00E25AD0"/>
    <w:rsid w:val="00E401DD"/>
    <w:rsid w:val="00EB6350"/>
    <w:rsid w:val="00EC422E"/>
    <w:rsid w:val="00ED0D1E"/>
    <w:rsid w:val="00ED1305"/>
    <w:rsid w:val="00F15B57"/>
    <w:rsid w:val="00F41B59"/>
    <w:rsid w:val="00F427DB"/>
    <w:rsid w:val="00FA5EB1"/>
    <w:rsid w:val="00FA7439"/>
    <w:rsid w:val="00FC4EC0"/>
    <w:rsid w:val="00FF0181"/>
    <w:rsid w:val="00FF2C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AB395"/>
  <w15:docId w15:val="{57D433D7-54FA-4CF6-888B-64953318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85F5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Strong">
    <w:name w:val="Strong"/>
    <w:qFormat/>
    <w:rsid w:val="008A3078"/>
    <w:rPr>
      <w:rFonts w:ascii="Trebuchet MS" w:hAnsi="Trebuchet MS"/>
      <w:b/>
      <w:bCs/>
      <w:noProof w:val="0"/>
      <w:lang w:val="en-US"/>
    </w:rPr>
  </w:style>
  <w:style w:type="character" w:customStyle="1" w:styleId="Heading1Char">
    <w:name w:val="Heading 1 Char"/>
    <w:basedOn w:val="DefaultParagraphFont"/>
    <w:link w:val="Heading1"/>
    <w:uiPriority w:val="9"/>
    <w:rsid w:val="008A3078"/>
    <w:rPr>
      <w:rFonts w:ascii="Calibri" w:hAnsi="Calibri"/>
      <w:b/>
      <w:sz w:val="28"/>
      <w:lang w:val="fr-FR" w:eastAsia="en-US"/>
    </w:rPr>
  </w:style>
  <w:style w:type="paragraph" w:styleId="ListParagraph">
    <w:name w:val="List Paragraph"/>
    <w:basedOn w:val="Normal"/>
    <w:uiPriority w:val="34"/>
    <w:qFormat/>
    <w:rsid w:val="00267C4F"/>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semiHidden/>
    <w:unhideWhenUsed/>
    <w:rsid w:val="00AD10F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D10FE"/>
    <w:rPr>
      <w:rFonts w:ascii="Segoe UI" w:hAnsi="Segoe UI" w:cs="Segoe UI"/>
      <w:sz w:val="18"/>
      <w:szCs w:val="18"/>
      <w:lang w:val="fr-FR" w:eastAsia="en-US"/>
    </w:rPr>
  </w:style>
  <w:style w:type="character" w:customStyle="1" w:styleId="enumlev1Char">
    <w:name w:val="enumlev1 Char"/>
    <w:basedOn w:val="DefaultParagraphFont"/>
    <w:link w:val="enumlev1"/>
    <w:locked/>
    <w:rsid w:val="003D3D8D"/>
    <w:rPr>
      <w:rFonts w:ascii="Calibri" w:hAnsi="Calibri"/>
      <w:sz w:val="24"/>
      <w:lang w:val="fr-FR" w:eastAsia="en-US"/>
    </w:rPr>
  </w:style>
  <w:style w:type="table" w:styleId="TableGrid">
    <w:name w:val="Table Grid"/>
    <w:basedOn w:val="TableNormal"/>
    <w:rsid w:val="003D3D8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CL-C-0067/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en/council/Documents/fin-hr/ref-dec005.docx"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2676</Words>
  <Characters>13998</Characters>
  <Application>Microsoft Office Word</Application>
  <DocSecurity>0</DocSecurity>
  <Lines>274</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JOURNÉE MONDIALE DES TÉLÉCOMMUNICATIONS ET DE LA SOCIÉTÉ DE L'INFORMATION</vt:lpstr>
      <vt:lpstr>JOURNÉE MONDIALE DES TÉLÉCOMMUNICATIONS ET DE LA SOCIÉTÉ DE L'INFORMATION</vt:lpstr>
    </vt:vector>
  </TitlesOfParts>
  <Manager>Secrétariat général - Pool</Manager>
  <Company>Union internationale des télécommunications (UIT)</Company>
  <LinksUpToDate>false</LinksUpToDate>
  <CharactersWithSpaces>16538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JOURNÉE MONDIALE DES TÉLÉCOMMUNICATIONS ET DE LA SOCIÉTÉ DE L'INFORMATION</dc:title>
  <dc:subject>Conseil 2010</dc:subject>
  <dc:creator>Rapport du Secrétaire général</dc:creator>
  <cp:keywords>C2010, C10</cp:keywords>
  <dc:description>Document C17/17-F  Pour: Point de l'ordre du jour: PL 2.5_x000d_Date du document: 24 janvier 2017_x000d_Enregistré par ITU51009305 à 16:51:23 le 10/02/2017</dc:description>
  <cp:lastModifiedBy>Janin</cp:lastModifiedBy>
  <cp:revision>3</cp:revision>
  <cp:lastPrinted>2017-05-05T12:53:00Z</cp:lastPrinted>
  <dcterms:created xsi:type="dcterms:W3CDTF">2017-05-05T12:53:00Z</dcterms:created>
  <dcterms:modified xsi:type="dcterms:W3CDTF">2017-05-05T12:53:00Z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C17/17-F</vt:lpwstr>
  </property>
  <property fmtid="{D5CDD505-2E9C-101B-9397-08002B2CF9AE}" pid="3" name="Docdate">
    <vt:lpwstr>24 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2.5</vt:lpwstr>
  </property>
  <property fmtid="{D5CDD505-2E9C-101B-9397-08002B2CF9AE}" pid="7" name="Docauthor">
    <vt:lpwstr>Rapport du Secrétaire général</vt:lpwstr>
  </property>
</Properties>
</file>