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397F8F" w:rsidRDefault="000E4FF0" w:rsidP="00397F8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397F8F">
              <w:rPr>
                <w:rFonts w:eastAsiaTheme="minorEastAsia" w:hint="cs"/>
                <w:b/>
                <w:bCs/>
                <w:rtl/>
                <w:lang w:eastAsia="zh-CN" w:bidi="ar-EG"/>
              </w:rPr>
              <w:t xml:space="preserve">بند جدول الأعمال: </w:t>
            </w:r>
            <w:r w:rsidR="00397F8F" w:rsidRPr="00397F8F">
              <w:rPr>
                <w:rFonts w:eastAsiaTheme="minorEastAsia"/>
                <w:b/>
                <w:bCs/>
                <w:lang w:val="en-GB" w:eastAsia="zh-CN" w:bidi="ar-EG"/>
              </w:rPr>
              <w:t>ADM 16</w:t>
            </w:r>
          </w:p>
        </w:tc>
        <w:tc>
          <w:tcPr>
            <w:tcW w:w="3052" w:type="dxa"/>
            <w:vAlign w:val="center"/>
          </w:tcPr>
          <w:p w:rsidR="000E4FF0" w:rsidRPr="000E4FF0" w:rsidRDefault="000E4FF0" w:rsidP="00397F8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Pr>
                <w:rFonts w:eastAsiaTheme="minorEastAsia"/>
                <w:b/>
                <w:bCs/>
                <w:lang w:eastAsia="zh-CN" w:bidi="ar-SY"/>
              </w:rPr>
              <w:t>7</w:t>
            </w:r>
            <w:r w:rsidRPr="000E4FF0">
              <w:rPr>
                <w:rFonts w:eastAsiaTheme="minorEastAsia"/>
                <w:b/>
                <w:bCs/>
                <w:lang w:eastAsia="zh-CN" w:bidi="ar-SY"/>
              </w:rPr>
              <w:t>/</w:t>
            </w:r>
            <w:r w:rsidR="00397F8F">
              <w:rPr>
                <w:rFonts w:eastAsiaTheme="minorEastAsia"/>
                <w:b/>
                <w:bCs/>
                <w:lang w:eastAsia="zh-CN" w:bidi="ar-SY"/>
              </w:rPr>
              <w:t>46</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397F8F" w:rsidP="00397F8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397F8F">
              <w:rPr>
                <w:rFonts w:eastAsiaTheme="minorEastAsia"/>
                <w:b/>
                <w:bCs/>
                <w:lang w:eastAsia="zh-CN" w:bidi="ar-SY"/>
              </w:rPr>
              <w:t>31</w:t>
            </w:r>
            <w:r w:rsidRPr="00397F8F">
              <w:rPr>
                <w:rFonts w:eastAsiaTheme="minorEastAsia" w:hint="cs"/>
                <w:b/>
                <w:bCs/>
                <w:rtl/>
                <w:lang w:eastAsia="zh-CN" w:bidi="ar-EG"/>
              </w:rPr>
              <w:t xml:space="preserve"> مارس </w:t>
            </w:r>
            <w:r w:rsidRPr="00397F8F">
              <w:rPr>
                <w:rFonts w:eastAsiaTheme="minorEastAsia"/>
                <w:b/>
                <w:bCs/>
                <w:lang w:eastAsia="zh-CN" w:bidi="ar-SY"/>
              </w:rPr>
              <w:t>2017</w:t>
            </w:r>
          </w:p>
        </w:tc>
      </w:tr>
      <w:tr w:rsidR="000E4FF0" w:rsidRPr="000E4FF0" w:rsidTr="000E4FF0">
        <w:trPr>
          <w:cantSplit/>
          <w:jc w:val="center"/>
        </w:trPr>
        <w:tc>
          <w:tcPr>
            <w:tcW w:w="6620" w:type="dxa"/>
          </w:tcPr>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397F8F" w:rsidP="00397F8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397F8F">
              <w:rPr>
                <w:rFonts w:eastAsiaTheme="minorEastAsia"/>
                <w:b/>
                <w:bCs/>
                <w:rtl/>
                <w:lang w:eastAsia="zh-CN" w:bidi="ar-EG"/>
              </w:rPr>
              <w:t xml:space="preserve">الأصل: </w:t>
            </w:r>
            <w:r w:rsidRPr="00397F8F">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397F8F" w:rsidP="00C85B53">
            <w:pPr>
              <w:pStyle w:val="Source"/>
              <w:spacing w:before="720"/>
              <w:rPr>
                <w:rFonts w:eastAsiaTheme="minorEastAsia"/>
                <w:rtl/>
                <w:lang w:eastAsia="zh-CN"/>
              </w:rPr>
            </w:pPr>
            <w:r w:rsidRPr="00397F8F">
              <w:rPr>
                <w:rFonts w:eastAsiaTheme="minorEastAsia" w:hint="cs"/>
                <w:rtl/>
                <w:lang w:eastAsia="zh-CN" w:bidi="ar-SY"/>
              </w:rPr>
              <w:t>تقرير من الأمين العام</w:t>
            </w:r>
          </w:p>
        </w:tc>
      </w:tr>
      <w:tr w:rsidR="000E4FF0" w:rsidRPr="000E4FF0" w:rsidTr="000E4FF0">
        <w:trPr>
          <w:cantSplit/>
          <w:jc w:val="center"/>
        </w:trPr>
        <w:tc>
          <w:tcPr>
            <w:tcW w:w="9672" w:type="dxa"/>
            <w:gridSpan w:val="2"/>
          </w:tcPr>
          <w:p w:rsidR="000E4FF0" w:rsidRPr="000E4FF0" w:rsidRDefault="00397F8F" w:rsidP="00C85B53">
            <w:pPr>
              <w:pStyle w:val="Title1"/>
              <w:spacing w:after="0"/>
              <w:rPr>
                <w:rFonts w:eastAsiaTheme="minorEastAsia"/>
                <w:rtl/>
                <w:lang w:eastAsia="zh-CN"/>
              </w:rPr>
            </w:pPr>
            <w:r w:rsidRPr="00397F8F">
              <w:rPr>
                <w:rFonts w:eastAsiaTheme="minorEastAsia" w:hint="cs"/>
                <w:rtl/>
                <w:lang w:eastAsia="zh-CN" w:bidi="ar-SA"/>
              </w:rPr>
              <w:t>التزامات التأمين الصحي بعد انتهاء مدة الخدمة </w:t>
            </w:r>
            <w:r w:rsidRPr="00397F8F">
              <w:rPr>
                <w:rFonts w:eastAsiaTheme="minorEastAsia"/>
                <w:lang w:eastAsia="zh-CN"/>
              </w:rPr>
              <w:t>(ASHI)</w:t>
            </w:r>
          </w:p>
        </w:tc>
      </w:tr>
    </w:tbl>
    <w:p w:rsidR="000E4FF0" w:rsidRPr="000E4FF0" w:rsidRDefault="000E4FF0" w:rsidP="000E4FF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0E4FF0" w:rsidRPr="000E4FF0" w:rsidTr="004270DC">
        <w:trPr>
          <w:jc w:val="center"/>
        </w:trPr>
        <w:tc>
          <w:tcPr>
            <w:tcW w:w="7230" w:type="dxa"/>
          </w:tcPr>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0E4FF0" w:rsidRPr="000E4FF0" w:rsidRDefault="00397F8F" w:rsidP="00397F8F">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397F8F">
              <w:rPr>
                <w:rFonts w:eastAsiaTheme="minorEastAsia" w:hint="cs"/>
                <w:rtl/>
                <w:lang w:eastAsia="zh-CN" w:bidi="ar-SY"/>
              </w:rPr>
              <w:t xml:space="preserve">تعرض هذه الوثيقة الموقف بشأن </w:t>
            </w:r>
            <w:r w:rsidRPr="00397F8F">
              <w:rPr>
                <w:rFonts w:eastAsiaTheme="minorEastAsia" w:hint="cs"/>
                <w:rtl/>
                <w:lang w:eastAsia="zh-CN"/>
              </w:rPr>
              <w:t xml:space="preserve">التزامات التأمين الصحي بعد انتهاء مدة الخدمة </w:t>
            </w:r>
            <w:r w:rsidRPr="00397F8F">
              <w:rPr>
                <w:rFonts w:eastAsiaTheme="minorEastAsia"/>
                <w:lang w:eastAsia="zh-CN" w:bidi="ar-SY"/>
              </w:rPr>
              <w:t>(ASHI)</w:t>
            </w:r>
            <w:r w:rsidRPr="00397F8F">
              <w:rPr>
                <w:rFonts w:eastAsiaTheme="minorEastAsia" w:hint="cs"/>
                <w:rtl/>
                <w:lang w:eastAsia="zh-CN" w:bidi="ar-EG"/>
              </w:rPr>
              <w:t xml:space="preserve"> حتى</w:t>
            </w:r>
            <w:r w:rsidRPr="00397F8F">
              <w:rPr>
                <w:rFonts w:eastAsiaTheme="minorEastAsia" w:hint="eastAsia"/>
                <w:rtl/>
                <w:lang w:eastAsia="zh-CN" w:bidi="ar-EG"/>
              </w:rPr>
              <w:t> </w:t>
            </w:r>
            <w:r w:rsidRPr="00397F8F">
              <w:rPr>
                <w:rFonts w:eastAsiaTheme="minorEastAsia"/>
                <w:lang w:eastAsia="zh-CN" w:bidi="ar-SY"/>
              </w:rPr>
              <w:t>31</w:t>
            </w:r>
            <w:r w:rsidRPr="00397F8F">
              <w:rPr>
                <w:rFonts w:eastAsiaTheme="minorEastAsia" w:hint="eastAsia"/>
                <w:rtl/>
                <w:lang w:eastAsia="zh-CN" w:bidi="ar-EG"/>
              </w:rPr>
              <w:t> </w:t>
            </w:r>
            <w:r w:rsidRPr="00397F8F">
              <w:rPr>
                <w:rFonts w:eastAsiaTheme="minorEastAsia" w:hint="cs"/>
                <w:rtl/>
                <w:lang w:eastAsia="zh-CN" w:bidi="ar-EG"/>
              </w:rPr>
              <w:t>ديسمبر</w:t>
            </w:r>
            <w:r w:rsidRPr="00397F8F">
              <w:rPr>
                <w:rFonts w:eastAsiaTheme="minorEastAsia" w:hint="eastAsia"/>
                <w:rtl/>
                <w:lang w:eastAsia="zh-CN" w:bidi="ar-EG"/>
              </w:rPr>
              <w:t> </w:t>
            </w:r>
            <w:r w:rsidRPr="00397F8F">
              <w:rPr>
                <w:rFonts w:eastAsiaTheme="minorEastAsia"/>
                <w:lang w:eastAsia="zh-CN" w:bidi="ar-SY"/>
              </w:rPr>
              <w:t>2016</w:t>
            </w:r>
            <w:r w:rsidRPr="00397F8F">
              <w:rPr>
                <w:rFonts w:eastAsiaTheme="minorEastAsia" w:hint="cs"/>
                <w:rtl/>
                <w:lang w:eastAsia="zh-CN" w:bidi="ar-EG"/>
              </w:rPr>
              <w:t xml:space="preserve"> بناءً على طلب من المجلس في دورته لعام </w:t>
            </w:r>
            <w:r w:rsidRPr="00397F8F">
              <w:rPr>
                <w:rFonts w:eastAsiaTheme="minorEastAsia"/>
                <w:lang w:eastAsia="zh-CN" w:bidi="ar-SY"/>
              </w:rPr>
              <w:t>2014</w:t>
            </w:r>
            <w:r w:rsidRPr="00397F8F">
              <w:rPr>
                <w:rFonts w:eastAsiaTheme="minorEastAsia" w:hint="cs"/>
                <w:rtl/>
                <w:lang w:eastAsia="zh-CN" w:bidi="ar-EG"/>
              </w:rPr>
              <w:t xml:space="preserve"> بأن يرفع الاتحاد إلى المجلس تقارير سنوية بشأن </w:t>
            </w:r>
            <w:r w:rsidRPr="00397F8F">
              <w:rPr>
                <w:rFonts w:eastAsiaTheme="minorEastAsia" w:hint="cs"/>
                <w:rtl/>
                <w:lang w:eastAsia="zh-CN"/>
              </w:rPr>
              <w:t>التزام</w:t>
            </w:r>
            <w:r w:rsidRPr="00397F8F">
              <w:rPr>
                <w:rFonts w:eastAsiaTheme="minorEastAsia" w:hint="cs"/>
                <w:rtl/>
                <w:lang w:eastAsia="zh-CN" w:bidi="ar-EG"/>
              </w:rPr>
              <w:t>ات</w:t>
            </w:r>
            <w:r w:rsidRPr="00397F8F">
              <w:rPr>
                <w:rFonts w:eastAsiaTheme="minorEastAsia" w:hint="cs"/>
                <w:rtl/>
                <w:lang w:eastAsia="zh-CN"/>
              </w:rPr>
              <w:t xml:space="preserve"> التأمين الصحي بعد انتهاء مدة الخدمة وأن يقدم مقترحات بشأن تكلفة التمويل الجزئي لهذه الالتزامات، بما يتماشى مع التوصية</w:t>
            </w:r>
            <w:r w:rsidRPr="00397F8F">
              <w:rPr>
                <w:rFonts w:eastAsiaTheme="minorEastAsia" w:hint="eastAsia"/>
                <w:rtl/>
                <w:lang w:eastAsia="zh-CN"/>
              </w:rPr>
              <w:t> </w:t>
            </w:r>
            <w:r w:rsidRPr="00397F8F">
              <w:rPr>
                <w:rFonts w:eastAsiaTheme="minorEastAsia"/>
                <w:lang w:eastAsia="zh-CN" w:bidi="ar-SY"/>
              </w:rPr>
              <w:t>6</w:t>
            </w:r>
            <w:r w:rsidRPr="00397F8F">
              <w:rPr>
                <w:rFonts w:eastAsiaTheme="minorEastAsia" w:hint="cs"/>
                <w:rtl/>
                <w:lang w:eastAsia="zh-CN" w:bidi="ar-EG"/>
              </w:rPr>
              <w:t xml:space="preserve"> من تقارير المراجع الخارجي بشأن حسابات عام </w:t>
            </w:r>
            <w:r w:rsidRPr="00397F8F">
              <w:rPr>
                <w:rFonts w:eastAsiaTheme="minorEastAsia"/>
                <w:lang w:eastAsia="zh-CN" w:bidi="ar-SY"/>
              </w:rPr>
              <w:t>2012</w:t>
            </w:r>
            <w:r w:rsidRPr="00397F8F">
              <w:rPr>
                <w:rFonts w:eastAsiaTheme="minorEastAsia" w:hint="cs"/>
                <w:rtl/>
                <w:lang w:eastAsia="zh-CN" w:bidi="ar-EG"/>
              </w:rPr>
              <w:t>.</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397F8F" w:rsidP="00397F8F">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397F8F">
              <w:rPr>
                <w:rFonts w:eastAsiaTheme="minorEastAsia" w:hint="cs"/>
                <w:rtl/>
                <w:lang w:eastAsia="zh-CN" w:bidi="ar-SY"/>
              </w:rPr>
              <w:t xml:space="preserve">يُدعى المجلس إلى </w:t>
            </w:r>
            <w:r w:rsidRPr="00397F8F">
              <w:rPr>
                <w:rFonts w:eastAsiaTheme="minorEastAsia" w:hint="cs"/>
                <w:b/>
                <w:bCs/>
                <w:rtl/>
                <w:lang w:eastAsia="zh-CN" w:bidi="ar-SY"/>
              </w:rPr>
              <w:t>الإحاطة علماً</w:t>
            </w:r>
            <w:r w:rsidRPr="00397F8F">
              <w:rPr>
                <w:rFonts w:eastAsiaTheme="minorEastAsia" w:hint="cs"/>
                <w:rtl/>
                <w:lang w:eastAsia="zh-CN" w:bidi="ar-SY"/>
              </w:rPr>
              <w:t xml:space="preserve"> بهذه الوثيقة.</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397F8F" w:rsidP="00397F8F">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r w:rsidRPr="00397F8F">
              <w:rPr>
                <w:rFonts w:eastAsiaTheme="minorEastAsia" w:hint="cs"/>
                <w:i/>
                <w:iCs/>
                <w:rtl/>
                <w:lang w:eastAsia="zh-CN" w:bidi="ar-SY"/>
              </w:rPr>
              <w:t xml:space="preserve">الوثيقة </w:t>
            </w:r>
            <w:hyperlink r:id="rId11" w:history="1">
              <w:r w:rsidRPr="00397F8F">
                <w:rPr>
                  <w:rStyle w:val="Hyperlink"/>
                  <w:rFonts w:eastAsiaTheme="minorEastAsia"/>
                  <w:i/>
                  <w:iCs/>
                  <w:lang w:eastAsia="zh-CN" w:bidi="ar-SY"/>
                </w:rPr>
                <w:t>C16/46</w:t>
              </w:r>
            </w:hyperlink>
            <w:r w:rsidRPr="00397F8F">
              <w:rPr>
                <w:rFonts w:eastAsiaTheme="minorEastAsia" w:hint="cs"/>
                <w:i/>
                <w:iCs/>
                <w:rtl/>
                <w:lang w:eastAsia="zh-CN"/>
              </w:rPr>
              <w:t xml:space="preserve"> </w:t>
            </w:r>
            <w:r w:rsidRPr="00397F8F">
              <w:rPr>
                <w:rFonts w:eastAsiaTheme="minorEastAsia" w:hint="cs"/>
                <w:i/>
                <w:iCs/>
                <w:rtl/>
                <w:lang w:eastAsia="zh-CN" w:bidi="ar-EG"/>
              </w:rPr>
              <w:t>و</w:t>
            </w:r>
            <w:hyperlink r:id="rId12" w:history="1">
              <w:r w:rsidRPr="00397F8F">
                <w:rPr>
                  <w:rStyle w:val="Hyperlink"/>
                  <w:rFonts w:eastAsiaTheme="minorEastAsia" w:hint="cs"/>
                  <w:i/>
                  <w:iCs/>
                  <w:rtl/>
                  <w:lang w:eastAsia="zh-CN" w:bidi="ar-EG"/>
                </w:rPr>
                <w:t xml:space="preserve">المقرر </w:t>
              </w:r>
              <w:r w:rsidRPr="00397F8F">
                <w:rPr>
                  <w:rStyle w:val="Hyperlink"/>
                  <w:rFonts w:eastAsiaTheme="minorEastAsia"/>
                  <w:i/>
                  <w:iCs/>
                  <w:lang w:eastAsia="zh-CN" w:bidi="ar-SY"/>
                </w:rPr>
                <w:t>5</w:t>
              </w:r>
            </w:hyperlink>
            <w:r w:rsidRPr="00397F8F">
              <w:rPr>
                <w:rFonts w:eastAsiaTheme="minorEastAsia" w:hint="cs"/>
                <w:i/>
                <w:iCs/>
                <w:rtl/>
                <w:lang w:eastAsia="zh-CN" w:bidi="ar-EG"/>
              </w:rPr>
              <w:t xml:space="preserve"> (المراجَع في بوسان، </w:t>
            </w:r>
            <w:r w:rsidRPr="00397F8F">
              <w:rPr>
                <w:rFonts w:eastAsiaTheme="minorEastAsia"/>
                <w:i/>
                <w:iCs/>
                <w:lang w:eastAsia="zh-CN" w:bidi="ar-SY"/>
              </w:rPr>
              <w:t>2014</w:t>
            </w:r>
            <w:r w:rsidRPr="00397F8F">
              <w:rPr>
                <w:rFonts w:eastAsiaTheme="minorEastAsia" w:hint="cs"/>
                <w:i/>
                <w:iCs/>
                <w:rtl/>
                <w:lang w:eastAsia="zh-CN" w:bidi="ar-EG"/>
              </w:rPr>
              <w:t>)</w:t>
            </w:r>
          </w:p>
        </w:tc>
      </w:tr>
    </w:tbl>
    <w:p w:rsidR="00397F8F" w:rsidRPr="00AC0E6A" w:rsidRDefault="00397F8F" w:rsidP="00397F8F">
      <w:pPr>
        <w:pStyle w:val="Heading1"/>
        <w:rPr>
          <w:rtl/>
        </w:rPr>
      </w:pPr>
      <w:r w:rsidRPr="00AC0E6A">
        <w:rPr>
          <w:lang w:bidi="ar-SY"/>
        </w:rPr>
        <w:t>1</w:t>
      </w:r>
      <w:r w:rsidRPr="00AC0E6A">
        <w:rPr>
          <w:rtl/>
        </w:rPr>
        <w:tab/>
      </w:r>
      <w:r w:rsidRPr="00AC0E6A">
        <w:rPr>
          <w:rFonts w:hint="cs"/>
          <w:rtl/>
        </w:rPr>
        <w:t>مقدمة</w:t>
      </w:r>
    </w:p>
    <w:p w:rsidR="00397F8F" w:rsidRPr="00AC0E6A" w:rsidRDefault="00397F8F" w:rsidP="00397F8F">
      <w:pPr>
        <w:rPr>
          <w:rtl/>
          <w:lang w:bidi="ar-EG"/>
        </w:rPr>
      </w:pPr>
      <w:r w:rsidRPr="00AC0E6A">
        <w:rPr>
          <w:lang w:bidi="ar-SY"/>
        </w:rPr>
        <w:t>1.1</w:t>
      </w:r>
      <w:r w:rsidRPr="00AC0E6A">
        <w:rPr>
          <w:rtl/>
          <w:lang w:bidi="ar-EG"/>
        </w:rPr>
        <w:tab/>
      </w:r>
      <w:r w:rsidRPr="00AC0E6A">
        <w:rPr>
          <w:rFonts w:hint="cs"/>
          <w:rtl/>
          <w:lang w:bidi="ar-EG"/>
        </w:rPr>
        <w:t xml:space="preserve">طرأ تغير على صافي أصول الاتحاد من رصيد موجب إلى رصيد سالب نتيجة لمعالجة </w:t>
      </w:r>
      <w:r w:rsidRPr="00AC0E6A">
        <w:rPr>
          <w:rFonts w:hint="cs"/>
          <w:rtl/>
        </w:rPr>
        <w:t>التزام</w:t>
      </w:r>
      <w:r>
        <w:rPr>
          <w:rFonts w:hint="cs"/>
          <w:rtl/>
        </w:rPr>
        <w:t>ات</w:t>
      </w:r>
      <w:r w:rsidRPr="00AC0E6A">
        <w:rPr>
          <w:rFonts w:hint="cs"/>
          <w:rtl/>
        </w:rPr>
        <w:t xml:space="preserve"> التأمين الصحي بعد انتهاء مدة الخدمة طبقاً للمعايير المحاسبية الدولية للقطاع العام </w:t>
      </w:r>
      <w:r w:rsidRPr="00AC0E6A">
        <w:rPr>
          <w:lang w:bidi="ar-SY"/>
        </w:rPr>
        <w:t>(IPSAS</w:t>
      </w:r>
      <w:proofErr w:type="gramStart"/>
      <w:r w:rsidRPr="00AC0E6A">
        <w:rPr>
          <w:lang w:bidi="ar-SY"/>
        </w:rPr>
        <w:t>)</w:t>
      </w:r>
      <w:r w:rsidRPr="00AC0E6A">
        <w:rPr>
          <w:rFonts w:hint="cs"/>
          <w:rtl/>
          <w:lang w:bidi="ar-EG"/>
        </w:rPr>
        <w:t>،</w:t>
      </w:r>
      <w:proofErr w:type="gramEnd"/>
      <w:r w:rsidRPr="00AC0E6A">
        <w:rPr>
          <w:rFonts w:hint="cs"/>
          <w:rtl/>
          <w:lang w:bidi="ar-EG"/>
        </w:rPr>
        <w:t xml:space="preserve"> مما </w:t>
      </w:r>
      <w:r>
        <w:rPr>
          <w:rFonts w:hint="cs"/>
          <w:rtl/>
          <w:lang w:bidi="ar-EG"/>
        </w:rPr>
        <w:t>اقتضى</w:t>
      </w:r>
      <w:r w:rsidRPr="00AC0E6A">
        <w:rPr>
          <w:rFonts w:hint="cs"/>
          <w:rtl/>
          <w:lang w:bidi="ar-EG"/>
        </w:rPr>
        <w:t xml:space="preserve"> ضرورة </w:t>
      </w:r>
      <w:r>
        <w:rPr>
          <w:rFonts w:hint="cs"/>
          <w:rtl/>
          <w:lang w:bidi="ar-EG"/>
        </w:rPr>
        <w:t>أن تؤخذ في الحسبان</w:t>
      </w:r>
      <w:r w:rsidRPr="00AC0E6A">
        <w:rPr>
          <w:rFonts w:hint="cs"/>
          <w:rtl/>
          <w:lang w:bidi="ar-EG"/>
        </w:rPr>
        <w:t xml:space="preserve"> القيمة الحالية </w:t>
      </w:r>
      <w:r>
        <w:rPr>
          <w:rFonts w:hint="cs"/>
          <w:rtl/>
          <w:lang w:bidi="ar-EG"/>
        </w:rPr>
        <w:t xml:space="preserve">للالتزامات المستقبلية </w:t>
      </w:r>
      <w:r w:rsidRPr="00AC0E6A">
        <w:rPr>
          <w:rFonts w:hint="cs"/>
          <w:rtl/>
          <w:lang w:bidi="ar-EG"/>
        </w:rPr>
        <w:t>فيما</w:t>
      </w:r>
      <w:r w:rsidRPr="00AC0E6A">
        <w:rPr>
          <w:rFonts w:hint="eastAsia"/>
          <w:rtl/>
          <w:lang w:bidi="ar-EG"/>
        </w:rPr>
        <w:t> </w:t>
      </w:r>
      <w:r w:rsidRPr="00AC0E6A">
        <w:rPr>
          <w:rFonts w:hint="cs"/>
          <w:rtl/>
          <w:lang w:bidi="ar-EG"/>
        </w:rPr>
        <w:t>يتعلق بالتأمين الصحي بعد انتهاء مدة الخدمة</w:t>
      </w:r>
      <w:r w:rsidRPr="00AC0E6A">
        <w:rPr>
          <w:rFonts w:hint="eastAsia"/>
          <w:rtl/>
          <w:lang w:bidi="ar-EG"/>
        </w:rPr>
        <w:t> </w:t>
      </w:r>
      <w:r w:rsidRPr="00AC0E6A">
        <w:rPr>
          <w:lang w:bidi="ar-SY"/>
        </w:rPr>
        <w:t>(ASHI)</w:t>
      </w:r>
      <w:r w:rsidRPr="00AC0E6A">
        <w:rPr>
          <w:rFonts w:hint="cs"/>
          <w:rtl/>
          <w:lang w:bidi="ar-EG"/>
        </w:rPr>
        <w:t>.</w:t>
      </w:r>
    </w:p>
    <w:p w:rsidR="00397F8F" w:rsidRPr="00AC0E6A" w:rsidRDefault="00397F8F" w:rsidP="00397F8F">
      <w:pPr>
        <w:rPr>
          <w:rtl/>
          <w:lang w:bidi="ar-EG"/>
        </w:rPr>
      </w:pPr>
      <w:r w:rsidRPr="00AC0E6A">
        <w:rPr>
          <w:lang w:bidi="ar-SY"/>
        </w:rPr>
        <w:t>2.1</w:t>
      </w:r>
      <w:r w:rsidRPr="00AC0E6A">
        <w:rPr>
          <w:rtl/>
          <w:lang w:bidi="ar-EG"/>
        </w:rPr>
        <w:tab/>
      </w:r>
      <w:r w:rsidRPr="00AC0E6A">
        <w:rPr>
          <w:rFonts w:hint="cs"/>
          <w:rtl/>
          <w:lang w:bidi="ar-EG"/>
        </w:rPr>
        <w:t>وبرنامج التأمين الصحي بعد انتهاء مدة الخدمة الذي يوفر استمرارية التأمين الصحي بعد التقاعد للموظفين المستحقين في</w:t>
      </w:r>
      <w:r w:rsidRPr="00AC0E6A">
        <w:rPr>
          <w:rFonts w:hint="eastAsia"/>
          <w:rtl/>
          <w:lang w:bidi="ar-EG"/>
        </w:rPr>
        <w:t> </w:t>
      </w:r>
      <w:r w:rsidRPr="00AC0E6A">
        <w:rPr>
          <w:rFonts w:hint="cs"/>
          <w:rtl/>
          <w:lang w:bidi="ar-EG"/>
        </w:rPr>
        <w:t xml:space="preserve">صورة برنامج ممول ذاتياً، أنشئ في عام </w:t>
      </w:r>
      <w:r w:rsidRPr="00AC0E6A">
        <w:rPr>
          <w:lang w:bidi="ar-SY"/>
        </w:rPr>
        <w:t>1967</w:t>
      </w:r>
      <w:r w:rsidRPr="00AC0E6A">
        <w:rPr>
          <w:rFonts w:hint="cs"/>
          <w:rtl/>
          <w:lang w:bidi="ar-EG"/>
        </w:rPr>
        <w:t xml:space="preserve">. ومن حينها، شهدت التكاليف المتعلقة بهذا البرنامج والتي </w:t>
      </w:r>
      <w:r>
        <w:rPr>
          <w:rFonts w:hint="cs"/>
          <w:rtl/>
          <w:lang w:bidi="ar-EG"/>
        </w:rPr>
        <w:t>يتقاسمها</w:t>
      </w:r>
      <w:r w:rsidRPr="00AC0E6A">
        <w:rPr>
          <w:rFonts w:hint="cs"/>
          <w:rtl/>
          <w:lang w:bidi="ar-EG"/>
        </w:rPr>
        <w:t xml:space="preserve"> الاتحاد والموظف</w:t>
      </w:r>
      <w:r>
        <w:rPr>
          <w:rFonts w:hint="cs"/>
          <w:rtl/>
          <w:lang w:bidi="ar-EG"/>
        </w:rPr>
        <w:t>و</w:t>
      </w:r>
      <w:r w:rsidRPr="00AC0E6A">
        <w:rPr>
          <w:rFonts w:hint="cs"/>
          <w:rtl/>
          <w:lang w:bidi="ar-EG"/>
        </w:rPr>
        <w:t>ن زيادة كبيرة نظراً لزيادة عدد المتقاعدين المشمولين بالبرنامج والزيادة في تكاليف العلاج.</w:t>
      </w:r>
    </w:p>
    <w:p w:rsidR="00397F8F" w:rsidRPr="00AC0E6A" w:rsidRDefault="00397F8F" w:rsidP="003162B0">
      <w:pPr>
        <w:rPr>
          <w:rtl/>
          <w:lang w:bidi="ar-EG"/>
        </w:rPr>
      </w:pPr>
      <w:r w:rsidRPr="00AC0E6A">
        <w:rPr>
          <w:lang w:bidi="ar-SY"/>
        </w:rPr>
        <w:lastRenderedPageBreak/>
        <w:t>3.1</w:t>
      </w:r>
      <w:r w:rsidRPr="00AC0E6A">
        <w:rPr>
          <w:rtl/>
          <w:lang w:bidi="ar-EG"/>
        </w:rPr>
        <w:tab/>
      </w:r>
      <w:r w:rsidRPr="00AC0E6A">
        <w:rPr>
          <w:rFonts w:hint="cs"/>
          <w:rtl/>
          <w:lang w:bidi="ar-EG"/>
        </w:rPr>
        <w:t xml:space="preserve">وقد خضع هذا الوضع للدراسة بالفعل قبل تطبيق المعايير المحاسبية الدولية للقطاع العام </w:t>
      </w:r>
      <w:r w:rsidRPr="00AC0E6A">
        <w:rPr>
          <w:lang w:bidi="ar-SY"/>
        </w:rPr>
        <w:t>(IPSAS)</w:t>
      </w:r>
      <w:r w:rsidRPr="00AC0E6A">
        <w:rPr>
          <w:rFonts w:hint="cs"/>
          <w:rtl/>
          <w:lang w:bidi="ar-EG"/>
        </w:rPr>
        <w:t>: وطبقاً للمعايير المحاسبية لمنظومة الأمم المتحدة</w:t>
      </w:r>
      <w:r>
        <w:rPr>
          <w:rFonts w:hint="cs"/>
          <w:rtl/>
          <w:lang w:bidi="ar-EG"/>
        </w:rPr>
        <w:t xml:space="preserve"> </w:t>
      </w:r>
      <w:r>
        <w:rPr>
          <w:lang w:bidi="ar-EG"/>
        </w:rPr>
        <w:t>(UNSAS)</w:t>
      </w:r>
      <w:r w:rsidRPr="00AC0E6A">
        <w:rPr>
          <w:rFonts w:hint="cs"/>
          <w:rtl/>
          <w:lang w:bidi="ar-EG"/>
        </w:rPr>
        <w:t xml:space="preserve"> التي كانت متبعة حتى </w:t>
      </w:r>
      <w:r w:rsidRPr="00AC0E6A">
        <w:rPr>
          <w:lang w:bidi="ar-SY"/>
        </w:rPr>
        <w:t>2009</w:t>
      </w:r>
      <w:r w:rsidRPr="00AC0E6A">
        <w:rPr>
          <w:rFonts w:hint="cs"/>
          <w:rtl/>
          <w:lang w:bidi="ar-EG"/>
        </w:rPr>
        <w:t>، كان يتم تفصيل الوضع في ملاحظة بالبيانات المالية. و</w:t>
      </w:r>
      <w:r w:rsidRPr="00AC0E6A">
        <w:rPr>
          <w:rFonts w:hint="cs"/>
          <w:rtl/>
        </w:rPr>
        <w:t>في</w:t>
      </w:r>
      <w:r>
        <w:rPr>
          <w:rFonts w:hint="eastAsia"/>
          <w:rtl/>
        </w:rPr>
        <w:t> </w:t>
      </w:r>
      <w:r w:rsidRPr="00AC0E6A">
        <w:rPr>
          <w:lang w:bidi="ar-SY"/>
        </w:rPr>
        <w:t>31</w:t>
      </w:r>
      <w:r w:rsidRPr="00AC0E6A">
        <w:rPr>
          <w:rFonts w:hint="eastAsia"/>
          <w:rtl/>
        </w:rPr>
        <w:t> </w:t>
      </w:r>
      <w:r w:rsidRPr="00AC0E6A">
        <w:rPr>
          <w:rFonts w:hint="cs"/>
          <w:rtl/>
        </w:rPr>
        <w:t>ديسمبر</w:t>
      </w:r>
      <w:r w:rsidRPr="00AC0E6A">
        <w:rPr>
          <w:rFonts w:hint="eastAsia"/>
          <w:rtl/>
        </w:rPr>
        <w:t> </w:t>
      </w:r>
      <w:r w:rsidRPr="00AC0E6A">
        <w:rPr>
          <w:lang w:bidi="ar-SY"/>
        </w:rPr>
        <w:t>2009</w:t>
      </w:r>
      <w:r w:rsidRPr="00AC0E6A">
        <w:rPr>
          <w:rFonts w:hint="cs"/>
          <w:rtl/>
          <w:lang w:bidi="ar-EG"/>
        </w:rPr>
        <w:t xml:space="preserve"> بلغ</w:t>
      </w:r>
      <w:r>
        <w:rPr>
          <w:rFonts w:hint="cs"/>
          <w:rtl/>
          <w:lang w:bidi="ar-EG"/>
        </w:rPr>
        <w:t>ت</w:t>
      </w:r>
      <w:r w:rsidRPr="00AC0E6A">
        <w:rPr>
          <w:rFonts w:hint="cs"/>
          <w:rtl/>
          <w:lang w:bidi="ar-EG"/>
        </w:rPr>
        <w:t xml:space="preserve"> الالتزام</w:t>
      </w:r>
      <w:r>
        <w:rPr>
          <w:rFonts w:hint="cs"/>
          <w:rtl/>
          <w:lang w:bidi="ar-EG"/>
        </w:rPr>
        <w:t>ات</w:t>
      </w:r>
      <w:r w:rsidRPr="00AC0E6A">
        <w:rPr>
          <w:rFonts w:hint="cs"/>
          <w:rtl/>
          <w:lang w:bidi="ar-EG"/>
        </w:rPr>
        <w:t xml:space="preserve"> غير الممول</w:t>
      </w:r>
      <w:r>
        <w:rPr>
          <w:rFonts w:hint="cs"/>
          <w:rtl/>
          <w:lang w:bidi="ar-EG"/>
        </w:rPr>
        <w:t>ة</w:t>
      </w:r>
      <w:r w:rsidRPr="00AC0E6A">
        <w:rPr>
          <w:rFonts w:hint="cs"/>
          <w:rtl/>
          <w:lang w:bidi="ar-EG"/>
        </w:rPr>
        <w:t xml:space="preserve"> </w:t>
      </w:r>
      <w:r w:rsidRPr="00AC0E6A">
        <w:rPr>
          <w:lang w:bidi="ar-SY"/>
        </w:rPr>
        <w:t>181</w:t>
      </w:r>
      <w:r w:rsidRPr="00AC0E6A">
        <w:rPr>
          <w:rFonts w:hint="cs"/>
          <w:rtl/>
          <w:lang w:bidi="ar-EG"/>
        </w:rPr>
        <w:t xml:space="preserve"> مليون دولار أمريكي. بيد أنه طبقاً للمعايير</w:t>
      </w:r>
      <w:r>
        <w:rPr>
          <w:rFonts w:hint="cs"/>
          <w:rtl/>
          <w:lang w:bidi="ar-EG"/>
        </w:rPr>
        <w:t xml:space="preserve"> المحاسبية الدولية للقطاع العام</w:t>
      </w:r>
      <w:r w:rsidRPr="00AC0E6A">
        <w:rPr>
          <w:rFonts w:hint="cs"/>
          <w:rtl/>
          <w:lang w:bidi="ar-EG"/>
        </w:rPr>
        <w:t xml:space="preserve">، يجب حجز </w:t>
      </w:r>
      <w:r>
        <w:rPr>
          <w:rFonts w:hint="cs"/>
          <w:rtl/>
          <w:lang w:bidi="ar-EG"/>
        </w:rPr>
        <w:t>الخصوم للتعبير</w:t>
      </w:r>
      <w:r w:rsidRPr="00AC0E6A">
        <w:rPr>
          <w:rFonts w:hint="cs"/>
          <w:rtl/>
          <w:lang w:bidi="ar-EG"/>
        </w:rPr>
        <w:t xml:space="preserve"> في تاريخ الإقفال</w:t>
      </w:r>
      <w:r>
        <w:rPr>
          <w:rFonts w:hint="cs"/>
          <w:rtl/>
          <w:lang w:bidi="ar-EG"/>
        </w:rPr>
        <w:t xml:space="preserve"> عن</w:t>
      </w:r>
      <w:r w:rsidRPr="00AC0E6A">
        <w:rPr>
          <w:rFonts w:hint="cs"/>
          <w:rtl/>
          <w:lang w:bidi="ar-EG"/>
        </w:rPr>
        <w:t xml:space="preserve"> القيمة الفعلية لما ينبغي للاتحاد أن يدفعه </w:t>
      </w:r>
      <w:r>
        <w:rPr>
          <w:rFonts w:hint="cs"/>
          <w:rtl/>
          <w:lang w:bidi="ar-EG"/>
        </w:rPr>
        <w:t>اليوم</w:t>
      </w:r>
      <w:r w:rsidR="003162B0">
        <w:rPr>
          <w:rFonts w:hint="cs"/>
          <w:rtl/>
          <w:lang w:bidi="ar-EG"/>
        </w:rPr>
        <w:t xml:space="preserve"> </w:t>
      </w:r>
      <w:proofErr w:type="gramStart"/>
      <w:r w:rsidR="003162B0">
        <w:rPr>
          <w:rFonts w:hint="cs"/>
          <w:rtl/>
          <w:lang w:bidi="ar-EG"/>
        </w:rPr>
        <w:t>-</w:t>
      </w:r>
      <w:r>
        <w:rPr>
          <w:rFonts w:hint="cs"/>
          <w:rtl/>
          <w:lang w:bidi="ar-EG"/>
        </w:rPr>
        <w:t> </w:t>
      </w:r>
      <w:r w:rsidRPr="00AC0E6A">
        <w:rPr>
          <w:rFonts w:hint="cs"/>
          <w:rtl/>
          <w:lang w:bidi="ar-EG"/>
        </w:rPr>
        <w:t>في</w:t>
      </w:r>
      <w:proofErr w:type="gramEnd"/>
      <w:r>
        <w:rPr>
          <w:rFonts w:hint="eastAsia"/>
          <w:rtl/>
          <w:lang w:bidi="ar-EG"/>
        </w:rPr>
        <w:t> </w:t>
      </w:r>
      <w:r w:rsidRPr="00AC0E6A">
        <w:rPr>
          <w:rFonts w:hint="cs"/>
          <w:rtl/>
          <w:lang w:bidi="ar-EG"/>
        </w:rPr>
        <w:t xml:space="preserve">حالة توقف </w:t>
      </w:r>
      <w:r w:rsidRPr="00DD336A">
        <w:rPr>
          <w:rFonts w:hint="cs"/>
          <w:spacing w:val="6"/>
          <w:rtl/>
          <w:lang w:bidi="ar-EG"/>
        </w:rPr>
        <w:t>نشاطه</w:t>
      </w:r>
      <w:r>
        <w:rPr>
          <w:rFonts w:hint="eastAsia"/>
          <w:spacing w:val="6"/>
          <w:rtl/>
          <w:lang w:bidi="ar-EG"/>
        </w:rPr>
        <w:t> </w:t>
      </w:r>
      <w:r w:rsidR="003162B0">
        <w:rPr>
          <w:rFonts w:hint="cs"/>
          <w:spacing w:val="6"/>
          <w:rtl/>
          <w:lang w:bidi="ar-EG"/>
        </w:rPr>
        <w:t xml:space="preserve">- </w:t>
      </w:r>
      <w:r w:rsidR="00314173">
        <w:rPr>
          <w:rFonts w:hint="cs"/>
          <w:spacing w:val="6"/>
          <w:rtl/>
          <w:lang w:bidi="ar-EG"/>
        </w:rPr>
        <w:t>كنفقات لا</w:t>
      </w:r>
      <w:r w:rsidR="00314173">
        <w:rPr>
          <w:rFonts w:hint="eastAsia"/>
          <w:spacing w:val="6"/>
          <w:rtl/>
          <w:lang w:bidi="ar-EG"/>
        </w:rPr>
        <w:t> </w:t>
      </w:r>
      <w:r w:rsidRPr="00DD336A">
        <w:rPr>
          <w:rFonts w:hint="cs"/>
          <w:spacing w:val="6"/>
          <w:rtl/>
          <w:lang w:bidi="ar-EG"/>
        </w:rPr>
        <w:t>يغطيها صندوق التأمين الصحي بعد انتهاء مدة الخدمة، إلى الوقت الذي لا يوجد فيه أي موظفين سابقين تغطيهم</w:t>
      </w:r>
      <w:r>
        <w:rPr>
          <w:rFonts w:hint="eastAsia"/>
          <w:rtl/>
          <w:lang w:bidi="ar-EG"/>
        </w:rPr>
        <w:t> </w:t>
      </w:r>
      <w:r w:rsidRPr="00DD336A">
        <w:rPr>
          <w:rFonts w:hint="cs"/>
          <w:spacing w:val="6"/>
          <w:rtl/>
          <w:lang w:bidi="ar-EG"/>
        </w:rPr>
        <w:t>الخطة.</w:t>
      </w:r>
    </w:p>
    <w:p w:rsidR="00397F8F" w:rsidRPr="00AC0E6A" w:rsidRDefault="00397F8F" w:rsidP="00397F8F">
      <w:pPr>
        <w:rPr>
          <w:rtl/>
          <w:lang w:bidi="ar-EG"/>
        </w:rPr>
      </w:pPr>
      <w:r w:rsidRPr="00AC0E6A">
        <w:rPr>
          <w:lang w:bidi="ar-SY"/>
        </w:rPr>
        <w:t>4.1</w:t>
      </w:r>
      <w:r w:rsidRPr="00AC0E6A">
        <w:rPr>
          <w:rtl/>
          <w:lang w:bidi="ar-EG"/>
        </w:rPr>
        <w:tab/>
      </w:r>
      <w:r w:rsidRPr="00AC0E6A">
        <w:rPr>
          <w:rFonts w:hint="cs"/>
          <w:rtl/>
          <w:lang w:bidi="ar-EG"/>
        </w:rPr>
        <w:t>وعلى الرغ</w:t>
      </w:r>
      <w:r>
        <w:rPr>
          <w:rFonts w:hint="cs"/>
          <w:rtl/>
          <w:lang w:bidi="ar-EG"/>
        </w:rPr>
        <w:t>م من أن هذا الوضع بعيد الاحتمال</w:t>
      </w:r>
      <w:r w:rsidRPr="00AC0E6A">
        <w:rPr>
          <w:rFonts w:hint="cs"/>
          <w:rtl/>
          <w:lang w:bidi="ar-EG"/>
        </w:rPr>
        <w:t>، يعمل الاتحاد على زيادة تغطية الصندوق وبالتالي خفض</w:t>
      </w:r>
      <w:r>
        <w:rPr>
          <w:rFonts w:hint="cs"/>
          <w:rtl/>
          <w:lang w:bidi="ar-EG"/>
        </w:rPr>
        <w:t xml:space="preserve"> الالتزامات ذات الصلة</w:t>
      </w:r>
      <w:r w:rsidRPr="00AC0E6A">
        <w:rPr>
          <w:rFonts w:hint="cs"/>
          <w:rtl/>
          <w:lang w:bidi="ar-EG"/>
        </w:rPr>
        <w:t xml:space="preserve">. وقد اتخذت إجراءات من أجل العودة إلى الوضع الذي كانت خطة التأمين الصحي فيه تسجل فائضاً من أجل ضمان التغطية على أساس دفع الاستحقاقات أولاً بأول وتوليد موارد من أجل تمويل </w:t>
      </w:r>
      <w:r>
        <w:rPr>
          <w:rFonts w:hint="cs"/>
          <w:rtl/>
          <w:lang w:bidi="ar-EG"/>
        </w:rPr>
        <w:t>الخصوم</w:t>
      </w:r>
      <w:r w:rsidRPr="00AC0E6A">
        <w:rPr>
          <w:rFonts w:hint="cs"/>
          <w:rtl/>
          <w:lang w:bidi="ar-EG"/>
        </w:rPr>
        <w:t xml:space="preserve"> الإكتواري</w:t>
      </w:r>
      <w:r>
        <w:rPr>
          <w:rFonts w:hint="cs"/>
          <w:rtl/>
          <w:lang w:bidi="ar-EG"/>
        </w:rPr>
        <w:t>ة</w:t>
      </w:r>
      <w:r w:rsidRPr="00AC0E6A">
        <w:rPr>
          <w:rFonts w:hint="cs"/>
          <w:rtl/>
          <w:lang w:bidi="ar-EG"/>
        </w:rPr>
        <w:t>.</w:t>
      </w:r>
    </w:p>
    <w:p w:rsidR="00397F8F" w:rsidRPr="00AC0E6A" w:rsidRDefault="00397F8F" w:rsidP="00397F8F">
      <w:pPr>
        <w:rPr>
          <w:rtl/>
          <w:lang w:bidi="ar-EG"/>
        </w:rPr>
      </w:pPr>
      <w:r w:rsidRPr="00AC0E6A">
        <w:rPr>
          <w:lang w:bidi="ar-SY"/>
        </w:rPr>
        <w:t>5.1</w:t>
      </w:r>
      <w:r w:rsidRPr="00AC0E6A">
        <w:rPr>
          <w:rtl/>
          <w:lang w:bidi="ar-EG"/>
        </w:rPr>
        <w:tab/>
      </w:r>
      <w:r w:rsidRPr="00AC0E6A">
        <w:rPr>
          <w:rFonts w:hint="cs"/>
          <w:rtl/>
          <w:lang w:bidi="ar-EG"/>
        </w:rPr>
        <w:t>وبلغ</w:t>
      </w:r>
      <w:r>
        <w:rPr>
          <w:rFonts w:hint="cs"/>
          <w:rtl/>
          <w:lang w:bidi="ar-EG"/>
        </w:rPr>
        <w:t>ت</w:t>
      </w:r>
      <w:r w:rsidRPr="00AC0E6A">
        <w:rPr>
          <w:rFonts w:hint="cs"/>
          <w:rtl/>
          <w:lang w:bidi="ar-EG"/>
        </w:rPr>
        <w:t xml:space="preserve"> الالتزام</w:t>
      </w:r>
      <w:r>
        <w:rPr>
          <w:rFonts w:hint="cs"/>
          <w:rtl/>
          <w:lang w:bidi="ar-EG"/>
        </w:rPr>
        <w:t>ات</w:t>
      </w:r>
      <w:r w:rsidRPr="00AC0E6A">
        <w:rPr>
          <w:rFonts w:hint="cs"/>
          <w:rtl/>
          <w:lang w:bidi="ar-EG"/>
        </w:rPr>
        <w:t xml:space="preserve"> المتعلق</w:t>
      </w:r>
      <w:r>
        <w:rPr>
          <w:rFonts w:hint="cs"/>
          <w:rtl/>
          <w:lang w:bidi="ar-EG"/>
        </w:rPr>
        <w:t>ة</w:t>
      </w:r>
      <w:r w:rsidRPr="00AC0E6A">
        <w:rPr>
          <w:rFonts w:hint="cs"/>
          <w:rtl/>
          <w:lang w:bidi="ar-EG"/>
        </w:rPr>
        <w:t xml:space="preserve"> بالصندوق </w:t>
      </w:r>
      <w:r w:rsidRPr="00AC0E6A">
        <w:rPr>
          <w:lang w:bidi="ar-SY"/>
        </w:rPr>
        <w:t>ASHI</w:t>
      </w:r>
      <w:r w:rsidRPr="00AC0E6A">
        <w:rPr>
          <w:rFonts w:hint="cs"/>
          <w:rtl/>
          <w:lang w:bidi="ar-EG"/>
        </w:rPr>
        <w:t xml:space="preserve"> في </w:t>
      </w:r>
      <w:r w:rsidRPr="00AC0E6A">
        <w:rPr>
          <w:lang w:bidi="ar-SY"/>
        </w:rPr>
        <w:t>31</w:t>
      </w:r>
      <w:r w:rsidRPr="00AC0E6A">
        <w:rPr>
          <w:rFonts w:hint="cs"/>
          <w:rtl/>
          <w:lang w:bidi="ar-EG"/>
        </w:rPr>
        <w:t xml:space="preserve"> ديسمبر </w:t>
      </w:r>
      <w:r>
        <w:rPr>
          <w:lang w:bidi="ar-SY"/>
        </w:rPr>
        <w:t>2016</w:t>
      </w:r>
      <w:r w:rsidRPr="00AC0E6A">
        <w:rPr>
          <w:rFonts w:hint="cs"/>
          <w:rtl/>
          <w:lang w:bidi="ar-EG"/>
        </w:rPr>
        <w:t xml:space="preserve"> ما قيمته </w:t>
      </w:r>
      <w:r>
        <w:rPr>
          <w:lang w:bidi="ar-SY"/>
        </w:rPr>
        <w:t>551</w:t>
      </w:r>
      <w:proofErr w:type="gramStart"/>
      <w:r w:rsidRPr="00AC0E6A">
        <w:rPr>
          <w:lang w:bidi="ar-SY"/>
        </w:rPr>
        <w:t>,</w:t>
      </w:r>
      <w:r>
        <w:rPr>
          <w:lang w:bidi="ar-SY"/>
        </w:rPr>
        <w:t>9</w:t>
      </w:r>
      <w:proofErr w:type="gramEnd"/>
      <w:r>
        <w:rPr>
          <w:rFonts w:hint="cs"/>
          <w:rtl/>
          <w:lang w:bidi="ar-EG"/>
        </w:rPr>
        <w:t xml:space="preserve"> مليون فرنك سويسري. وهذه</w:t>
      </w:r>
      <w:r w:rsidRPr="00AC0E6A">
        <w:rPr>
          <w:rFonts w:hint="cs"/>
          <w:rtl/>
          <w:lang w:bidi="ar-EG"/>
        </w:rPr>
        <w:t xml:space="preserve"> </w:t>
      </w:r>
      <w:r>
        <w:rPr>
          <w:rFonts w:hint="cs"/>
          <w:rtl/>
          <w:lang w:bidi="ar-EG"/>
        </w:rPr>
        <w:t>الزيادة</w:t>
      </w:r>
      <w:r w:rsidRPr="00AC0E6A">
        <w:rPr>
          <w:rFonts w:hint="cs"/>
          <w:rtl/>
          <w:lang w:bidi="ar-EG"/>
        </w:rPr>
        <w:t xml:space="preserve"> الكبير</w:t>
      </w:r>
      <w:r>
        <w:rPr>
          <w:rFonts w:hint="cs"/>
          <w:rtl/>
          <w:lang w:bidi="ar-EG"/>
        </w:rPr>
        <w:t>ة</w:t>
      </w:r>
      <w:r w:rsidRPr="00AC0E6A">
        <w:rPr>
          <w:rFonts w:hint="cs"/>
          <w:rtl/>
          <w:lang w:bidi="ar-EG"/>
        </w:rPr>
        <w:t xml:space="preserve"> مقارنة بمبلغ </w:t>
      </w:r>
      <w:r>
        <w:rPr>
          <w:lang w:bidi="ar-SY"/>
        </w:rPr>
        <w:t>472</w:t>
      </w:r>
      <w:r w:rsidRPr="00AC0E6A">
        <w:rPr>
          <w:lang w:bidi="ar-SY"/>
        </w:rPr>
        <w:t>,</w:t>
      </w:r>
      <w:r>
        <w:rPr>
          <w:lang w:bidi="ar-SY"/>
        </w:rPr>
        <w:t>8</w:t>
      </w:r>
      <w:r w:rsidRPr="00AC0E6A">
        <w:rPr>
          <w:rFonts w:hint="cs"/>
          <w:rtl/>
          <w:lang w:bidi="ar-EG"/>
        </w:rPr>
        <w:t xml:space="preserve"> مليون فرنك سويسري في نهاية </w:t>
      </w:r>
      <w:r>
        <w:rPr>
          <w:lang w:bidi="ar-SY"/>
        </w:rPr>
        <w:t>2015</w:t>
      </w:r>
      <w:r>
        <w:rPr>
          <w:rFonts w:hint="cs"/>
          <w:rtl/>
          <w:lang w:bidi="ar-EG"/>
        </w:rPr>
        <w:t xml:space="preserve"> ت</w:t>
      </w:r>
      <w:r w:rsidRPr="00AC0E6A">
        <w:rPr>
          <w:rFonts w:hint="cs"/>
          <w:rtl/>
          <w:lang w:bidi="ar-EG"/>
        </w:rPr>
        <w:t xml:space="preserve">رجع في الأساس إلى انخفاض نسبة الخصم المستخدمة في حساب القيمة الحالية للمطالبات المستقبلية المتراكمة. </w:t>
      </w:r>
      <w:r>
        <w:rPr>
          <w:rFonts w:hint="cs"/>
          <w:rtl/>
          <w:lang w:bidi="ar-EG"/>
        </w:rPr>
        <w:t xml:space="preserve">وعلى الرغم من ارتباط هذا الوضع بأسعار الفائدة المنخفضة دائماً (تستند نسبة الخصم لدى الاتحاد إلى العائد </w:t>
      </w:r>
      <w:r>
        <w:rPr>
          <w:lang w:bidi="ar-EG"/>
        </w:rPr>
        <w:t>AA</w:t>
      </w:r>
      <w:r>
        <w:rPr>
          <w:rFonts w:hint="cs"/>
          <w:rtl/>
          <w:lang w:bidi="ar-EG"/>
        </w:rPr>
        <w:t xml:space="preserve"> على التزامات الشركات)، </w:t>
      </w:r>
      <w:r w:rsidRPr="000A475F">
        <w:rPr>
          <w:rFonts w:hint="cs"/>
          <w:rtl/>
          <w:lang w:bidi="ar-EG"/>
        </w:rPr>
        <w:t>فإنه</w:t>
      </w:r>
      <w:r w:rsidRPr="000A475F">
        <w:rPr>
          <w:rtl/>
          <w:lang w:bidi="ar-EG"/>
        </w:rPr>
        <w:t xml:space="preserve"> </w:t>
      </w:r>
      <w:r w:rsidRPr="000A475F">
        <w:rPr>
          <w:rFonts w:hint="cs"/>
          <w:rtl/>
          <w:lang w:bidi="ar-EG"/>
        </w:rPr>
        <w:t>لا</w:t>
      </w:r>
      <w:r w:rsidRPr="000A475F">
        <w:rPr>
          <w:rtl/>
          <w:lang w:bidi="ar-EG"/>
        </w:rPr>
        <w:t xml:space="preserve"> </w:t>
      </w:r>
      <w:r w:rsidRPr="000A475F">
        <w:rPr>
          <w:rFonts w:hint="cs"/>
          <w:rtl/>
          <w:lang w:bidi="ar-EG"/>
        </w:rPr>
        <w:t>يمكن</w:t>
      </w:r>
      <w:r w:rsidRPr="000A475F">
        <w:rPr>
          <w:rtl/>
          <w:lang w:bidi="ar-EG"/>
        </w:rPr>
        <w:t xml:space="preserve"> </w:t>
      </w:r>
      <w:r w:rsidRPr="000A475F">
        <w:rPr>
          <w:rFonts w:hint="cs"/>
          <w:rtl/>
          <w:lang w:bidi="ar-EG"/>
        </w:rPr>
        <w:t>التنبؤ</w:t>
      </w:r>
      <w:r w:rsidRPr="000A475F">
        <w:rPr>
          <w:rtl/>
          <w:lang w:bidi="ar-EG"/>
        </w:rPr>
        <w:t xml:space="preserve"> </w:t>
      </w:r>
      <w:r w:rsidRPr="000A475F">
        <w:rPr>
          <w:rFonts w:hint="cs"/>
          <w:rtl/>
          <w:lang w:bidi="ar-EG"/>
        </w:rPr>
        <w:t>بتطور</w:t>
      </w:r>
      <w:r w:rsidRPr="000A475F">
        <w:rPr>
          <w:rtl/>
          <w:lang w:bidi="ar-EG"/>
        </w:rPr>
        <w:t xml:space="preserve"> </w:t>
      </w:r>
      <w:r w:rsidRPr="000A475F">
        <w:rPr>
          <w:rFonts w:hint="cs"/>
          <w:rtl/>
          <w:lang w:bidi="ar-EG"/>
        </w:rPr>
        <w:t>نسبة</w:t>
      </w:r>
      <w:r w:rsidRPr="000A475F">
        <w:rPr>
          <w:rtl/>
          <w:lang w:bidi="ar-EG"/>
        </w:rPr>
        <w:t xml:space="preserve"> </w:t>
      </w:r>
      <w:r w:rsidRPr="000A475F">
        <w:rPr>
          <w:rFonts w:hint="cs"/>
          <w:rtl/>
          <w:lang w:bidi="ar-EG"/>
        </w:rPr>
        <w:t>الخصم</w:t>
      </w:r>
      <w:r w:rsidRPr="000A475F">
        <w:rPr>
          <w:rtl/>
          <w:lang w:bidi="ar-EG"/>
        </w:rPr>
        <w:t xml:space="preserve"> </w:t>
      </w:r>
      <w:r>
        <w:rPr>
          <w:rFonts w:hint="cs"/>
          <w:rtl/>
          <w:lang w:bidi="ar-EG"/>
        </w:rPr>
        <w:t>في</w:t>
      </w:r>
      <w:r w:rsidRPr="000A475F">
        <w:rPr>
          <w:rtl/>
          <w:lang w:bidi="ar-EG"/>
        </w:rPr>
        <w:t xml:space="preserve"> </w:t>
      </w:r>
      <w:r w:rsidRPr="000A475F">
        <w:rPr>
          <w:rFonts w:hint="cs"/>
          <w:rtl/>
          <w:lang w:bidi="ar-EG"/>
        </w:rPr>
        <w:t>الأجل</w:t>
      </w:r>
      <w:r w:rsidRPr="000A475F">
        <w:rPr>
          <w:rtl/>
          <w:lang w:bidi="ar-EG"/>
        </w:rPr>
        <w:t xml:space="preserve"> </w:t>
      </w:r>
      <w:r w:rsidRPr="000A475F">
        <w:rPr>
          <w:rFonts w:hint="cs"/>
          <w:rtl/>
          <w:lang w:bidi="ar-EG"/>
        </w:rPr>
        <w:t>الطويل</w:t>
      </w:r>
      <w:r w:rsidRPr="000A475F">
        <w:rPr>
          <w:rtl/>
          <w:lang w:bidi="ar-EG"/>
        </w:rPr>
        <w:t xml:space="preserve"> </w:t>
      </w:r>
      <w:r w:rsidRPr="000A475F">
        <w:rPr>
          <w:rFonts w:hint="cs"/>
          <w:rtl/>
          <w:lang w:bidi="ar-EG"/>
        </w:rPr>
        <w:t>وقد</w:t>
      </w:r>
      <w:r w:rsidRPr="000A475F">
        <w:rPr>
          <w:rtl/>
          <w:lang w:bidi="ar-EG"/>
        </w:rPr>
        <w:t xml:space="preserve"> </w:t>
      </w:r>
      <w:r w:rsidRPr="000A475F">
        <w:rPr>
          <w:rFonts w:hint="cs"/>
          <w:rtl/>
          <w:lang w:bidi="ar-EG"/>
        </w:rPr>
        <w:t>يكون</w:t>
      </w:r>
      <w:r w:rsidRPr="000A475F">
        <w:rPr>
          <w:rtl/>
          <w:lang w:bidi="ar-EG"/>
        </w:rPr>
        <w:t xml:space="preserve"> </w:t>
      </w:r>
      <w:r w:rsidRPr="000A475F">
        <w:rPr>
          <w:rFonts w:hint="cs"/>
          <w:rtl/>
          <w:lang w:bidi="ar-EG"/>
        </w:rPr>
        <w:t>للزيادات</w:t>
      </w:r>
      <w:r w:rsidRPr="000A475F">
        <w:rPr>
          <w:rtl/>
          <w:lang w:bidi="ar-EG"/>
        </w:rPr>
        <w:t xml:space="preserve"> </w:t>
      </w:r>
      <w:r w:rsidRPr="000A475F">
        <w:rPr>
          <w:rFonts w:hint="cs"/>
          <w:rtl/>
          <w:lang w:bidi="ar-EG"/>
        </w:rPr>
        <w:t>أثر</w:t>
      </w:r>
      <w:r w:rsidRPr="000A475F">
        <w:rPr>
          <w:rtl/>
          <w:lang w:bidi="ar-EG"/>
        </w:rPr>
        <w:t xml:space="preserve"> </w:t>
      </w:r>
      <w:r w:rsidR="003162B0">
        <w:rPr>
          <w:rFonts w:hint="cs"/>
          <w:rtl/>
          <w:lang w:bidi="ar-EG"/>
        </w:rPr>
        <w:t>إ</w:t>
      </w:r>
      <w:r w:rsidRPr="000A475F">
        <w:rPr>
          <w:rFonts w:hint="cs"/>
          <w:rtl/>
          <w:lang w:bidi="ar-EG"/>
        </w:rPr>
        <w:t>يجابي</w:t>
      </w:r>
      <w:r w:rsidRPr="000A475F">
        <w:rPr>
          <w:rtl/>
          <w:lang w:bidi="ar-EG"/>
        </w:rPr>
        <w:t xml:space="preserve"> </w:t>
      </w:r>
      <w:r w:rsidRPr="000A475F">
        <w:rPr>
          <w:rFonts w:hint="cs"/>
          <w:rtl/>
          <w:lang w:bidi="ar-EG"/>
        </w:rPr>
        <w:t>كبير</w:t>
      </w:r>
      <w:r w:rsidRPr="000A475F">
        <w:rPr>
          <w:rtl/>
          <w:lang w:bidi="ar-EG"/>
        </w:rPr>
        <w:t xml:space="preserve"> </w:t>
      </w:r>
      <w:r w:rsidRPr="000A475F">
        <w:rPr>
          <w:rFonts w:hint="cs"/>
          <w:rtl/>
          <w:lang w:bidi="ar-EG"/>
        </w:rPr>
        <w:t>على</w:t>
      </w:r>
      <w:r w:rsidRPr="000A475F">
        <w:rPr>
          <w:rtl/>
          <w:lang w:bidi="ar-EG"/>
        </w:rPr>
        <w:t xml:space="preserve"> </w:t>
      </w:r>
      <w:r w:rsidRPr="000A475F">
        <w:rPr>
          <w:rFonts w:hint="cs"/>
          <w:rtl/>
          <w:lang w:bidi="ar-EG"/>
        </w:rPr>
        <w:t>التزام</w:t>
      </w:r>
      <w:r w:rsidRPr="000A475F">
        <w:rPr>
          <w:rtl/>
          <w:lang w:bidi="ar-EG"/>
        </w:rPr>
        <w:t xml:space="preserve"> </w:t>
      </w:r>
      <w:r w:rsidRPr="000A475F">
        <w:rPr>
          <w:rFonts w:hint="cs"/>
          <w:rtl/>
          <w:lang w:bidi="ar-EG"/>
        </w:rPr>
        <w:t>التأمين</w:t>
      </w:r>
      <w:r w:rsidRPr="000A475F">
        <w:rPr>
          <w:rtl/>
          <w:lang w:bidi="ar-EG"/>
        </w:rPr>
        <w:t xml:space="preserve"> </w:t>
      </w:r>
      <w:r w:rsidRPr="000A475F">
        <w:rPr>
          <w:rFonts w:hint="cs"/>
          <w:rtl/>
          <w:lang w:bidi="ar-EG"/>
        </w:rPr>
        <w:t>الصحي</w:t>
      </w:r>
      <w:r w:rsidRPr="000A475F">
        <w:rPr>
          <w:rtl/>
          <w:lang w:bidi="ar-EG"/>
        </w:rPr>
        <w:t xml:space="preserve"> </w:t>
      </w:r>
      <w:r w:rsidRPr="000A475F">
        <w:rPr>
          <w:rFonts w:hint="cs"/>
          <w:rtl/>
          <w:lang w:bidi="ar-EG"/>
        </w:rPr>
        <w:t>بعد</w:t>
      </w:r>
      <w:r w:rsidRPr="000A475F">
        <w:rPr>
          <w:rtl/>
          <w:lang w:bidi="ar-EG"/>
        </w:rPr>
        <w:t xml:space="preserve"> </w:t>
      </w:r>
      <w:r w:rsidRPr="000A475F">
        <w:rPr>
          <w:rFonts w:hint="cs"/>
          <w:rtl/>
          <w:lang w:bidi="ar-EG"/>
        </w:rPr>
        <w:t>انتهاء</w:t>
      </w:r>
      <w:r w:rsidRPr="000A475F">
        <w:rPr>
          <w:rtl/>
          <w:lang w:bidi="ar-EG"/>
        </w:rPr>
        <w:t xml:space="preserve"> </w:t>
      </w:r>
      <w:r w:rsidRPr="000A475F">
        <w:rPr>
          <w:rFonts w:hint="cs"/>
          <w:rtl/>
          <w:lang w:bidi="ar-EG"/>
        </w:rPr>
        <w:t>مدة</w:t>
      </w:r>
      <w:r w:rsidRPr="000A475F">
        <w:rPr>
          <w:rtl/>
          <w:lang w:bidi="ar-EG"/>
        </w:rPr>
        <w:t xml:space="preserve"> </w:t>
      </w:r>
      <w:r w:rsidRPr="000A475F">
        <w:rPr>
          <w:rFonts w:hint="cs"/>
          <w:rtl/>
          <w:lang w:bidi="ar-EG"/>
        </w:rPr>
        <w:t>الخدمة</w:t>
      </w:r>
      <w:r w:rsidRPr="000A475F">
        <w:rPr>
          <w:rtl/>
          <w:lang w:bidi="ar-EG"/>
        </w:rPr>
        <w:t>.</w:t>
      </w:r>
      <w:r>
        <w:rPr>
          <w:rFonts w:hint="cs"/>
          <w:rtl/>
          <w:lang w:bidi="ar-EG"/>
        </w:rPr>
        <w:t xml:space="preserve"> </w:t>
      </w:r>
      <w:r w:rsidRPr="00AC0E6A">
        <w:rPr>
          <w:rFonts w:hint="cs"/>
          <w:rtl/>
          <w:lang w:bidi="ar-EG"/>
        </w:rPr>
        <w:t xml:space="preserve">والاتحاد ملزم بتمويل </w:t>
      </w:r>
      <w:r>
        <w:rPr>
          <w:rFonts w:hint="cs"/>
          <w:rtl/>
          <w:lang w:bidi="ar-EG"/>
        </w:rPr>
        <w:t>التزامات هذا التأمين الصحي</w:t>
      </w:r>
      <w:r w:rsidRPr="00AC0E6A">
        <w:rPr>
          <w:rFonts w:hint="cs"/>
          <w:rtl/>
          <w:lang w:bidi="ar-EG"/>
        </w:rPr>
        <w:t xml:space="preserve"> على</w:t>
      </w:r>
      <w:r>
        <w:rPr>
          <w:rFonts w:hint="cs"/>
          <w:rtl/>
          <w:lang w:bidi="ar-EG"/>
        </w:rPr>
        <w:t xml:space="preserve"> أساس طويل</w:t>
      </w:r>
      <w:r w:rsidRPr="00AC0E6A">
        <w:rPr>
          <w:rFonts w:hint="cs"/>
          <w:rtl/>
          <w:lang w:bidi="ar-EG"/>
        </w:rPr>
        <w:t xml:space="preserve"> الأجل مع تركيز جهوده على تمويل برنامج التأمين الصحي على أساس دفع الاستحقاقات أولاً بأول. وجدير بالذكر أن مساهمات الاتحاد المقدرة للتأمين الصحي المتعلقة بالموظفين في الخدمة إضافة إلى المتقاعدين تدرج في</w:t>
      </w:r>
      <w:r w:rsidRPr="00AC0E6A">
        <w:rPr>
          <w:rFonts w:hint="eastAsia"/>
          <w:rtl/>
          <w:lang w:bidi="ar-EG"/>
        </w:rPr>
        <w:t> </w:t>
      </w:r>
      <w:r w:rsidRPr="00AC0E6A">
        <w:rPr>
          <w:rFonts w:hint="cs"/>
          <w:rtl/>
          <w:lang w:bidi="ar-EG"/>
        </w:rPr>
        <w:t>ميزانية فترة السنتين التي تقدم إلى</w:t>
      </w:r>
      <w:r>
        <w:rPr>
          <w:rFonts w:hint="eastAsia"/>
          <w:rtl/>
          <w:lang w:bidi="ar-EG"/>
        </w:rPr>
        <w:t> </w:t>
      </w:r>
      <w:r w:rsidRPr="00AC0E6A">
        <w:rPr>
          <w:rFonts w:hint="cs"/>
          <w:rtl/>
          <w:lang w:bidi="ar-EG"/>
        </w:rPr>
        <w:t>المجلس.</w:t>
      </w:r>
    </w:p>
    <w:p w:rsidR="00397F8F" w:rsidRPr="00AC0E6A" w:rsidRDefault="00397F8F" w:rsidP="00397F8F">
      <w:pPr>
        <w:rPr>
          <w:rtl/>
          <w:lang w:bidi="ar-EG"/>
        </w:rPr>
      </w:pPr>
      <w:r w:rsidRPr="00AC0E6A">
        <w:rPr>
          <w:lang w:bidi="ar-SY"/>
        </w:rPr>
        <w:t>6.1</w:t>
      </w:r>
      <w:r w:rsidRPr="00AC0E6A">
        <w:rPr>
          <w:rtl/>
          <w:lang w:bidi="ar-EG"/>
        </w:rPr>
        <w:tab/>
      </w:r>
      <w:r w:rsidRPr="00AC0E6A">
        <w:rPr>
          <w:rFonts w:hint="cs"/>
          <w:rtl/>
          <w:lang w:bidi="ar-EG"/>
        </w:rPr>
        <w:t xml:space="preserve">ومن أجل خفض </w:t>
      </w:r>
      <w:r>
        <w:rPr>
          <w:rFonts w:hint="cs"/>
          <w:rtl/>
          <w:lang w:bidi="ar-EG"/>
        </w:rPr>
        <w:t>التكاليف على أمثل وجه</w:t>
      </w:r>
      <w:r w:rsidRPr="00AC0E6A">
        <w:rPr>
          <w:rFonts w:hint="cs"/>
          <w:rtl/>
          <w:lang w:bidi="ar-EG"/>
        </w:rPr>
        <w:t>، أنهى الاتحاد مشاركته في صندوق التأمين الصحي للموظفين</w:t>
      </w:r>
      <w:r>
        <w:rPr>
          <w:rFonts w:hint="eastAsia"/>
          <w:rtl/>
          <w:lang w:bidi="ar-EG"/>
        </w:rPr>
        <w:t> </w:t>
      </w:r>
      <w:r w:rsidRPr="00EA314A">
        <w:rPr>
          <w:lang w:bidi="ar-EG"/>
        </w:rPr>
        <w:t>(SHIF)</w:t>
      </w:r>
      <w:r w:rsidRPr="00AC0E6A">
        <w:rPr>
          <w:rFonts w:hint="cs"/>
          <w:rtl/>
          <w:lang w:bidi="ar-EG"/>
        </w:rPr>
        <w:t xml:space="preserve"> مع منظمة العمل الدولية، واعتباراً من </w:t>
      </w:r>
      <w:r w:rsidRPr="00AC0E6A">
        <w:rPr>
          <w:lang w:bidi="ar-SY"/>
        </w:rPr>
        <w:t>1</w:t>
      </w:r>
      <w:r w:rsidRPr="00AC0E6A">
        <w:rPr>
          <w:rFonts w:hint="cs"/>
          <w:rtl/>
          <w:lang w:bidi="ar-EG"/>
        </w:rPr>
        <w:t xml:space="preserve"> مايو </w:t>
      </w:r>
      <w:r w:rsidRPr="00AC0E6A">
        <w:rPr>
          <w:lang w:bidi="ar-SY"/>
        </w:rPr>
        <w:t>2014</w:t>
      </w:r>
      <w:r w:rsidRPr="00AC0E6A">
        <w:rPr>
          <w:rFonts w:hint="cs"/>
          <w:rtl/>
          <w:lang w:bidi="ar-EG"/>
        </w:rPr>
        <w:t xml:space="preserve"> بدأ الاتحاد في تنفيذ خطة تأمين صحي للموظفين أطلق عليها خطة</w:t>
      </w:r>
      <w:r>
        <w:rPr>
          <w:rFonts w:hint="eastAsia"/>
          <w:rtl/>
          <w:lang w:bidi="ar-EG"/>
        </w:rPr>
        <w:t> </w:t>
      </w:r>
      <w:r w:rsidRPr="00AC0E6A">
        <w:rPr>
          <w:rFonts w:hint="cs"/>
          <w:rtl/>
          <w:lang w:bidi="ar-EG"/>
        </w:rPr>
        <w:t>التأمين</w:t>
      </w:r>
      <w:r>
        <w:rPr>
          <w:rFonts w:hint="eastAsia"/>
          <w:rtl/>
          <w:lang w:bidi="ar-EG"/>
        </w:rPr>
        <w:t> </w:t>
      </w:r>
      <w:r w:rsidRPr="00AC0E6A">
        <w:rPr>
          <w:rFonts w:hint="cs"/>
          <w:rtl/>
          <w:lang w:bidi="ar-EG"/>
        </w:rPr>
        <w:t>الطبي</w:t>
      </w:r>
      <w:r>
        <w:rPr>
          <w:rFonts w:hint="eastAsia"/>
          <w:rtl/>
          <w:lang w:bidi="ar-EG"/>
        </w:rPr>
        <w:t> </w:t>
      </w:r>
      <w:r w:rsidRPr="00AC0E6A">
        <w:rPr>
          <w:rFonts w:hint="cs"/>
          <w:rtl/>
          <w:lang w:bidi="ar-EG"/>
        </w:rPr>
        <w:t>الجماعي</w:t>
      </w:r>
      <w:r w:rsidRPr="00AC0E6A">
        <w:rPr>
          <w:rFonts w:hint="eastAsia"/>
          <w:rtl/>
          <w:lang w:bidi="ar-EG"/>
        </w:rPr>
        <w:t> </w:t>
      </w:r>
      <w:r w:rsidRPr="00AC0E6A">
        <w:rPr>
          <w:lang w:bidi="ar-SY"/>
        </w:rPr>
        <w:t>(</w:t>
      </w:r>
      <w:r w:rsidRPr="00EA314A">
        <w:rPr>
          <w:lang w:bidi="ar-SY"/>
        </w:rPr>
        <w:t>CMIP</w:t>
      </w:r>
      <w:r w:rsidRPr="00AC0E6A">
        <w:rPr>
          <w:lang w:bidi="ar-SY"/>
        </w:rPr>
        <w:t>)</w:t>
      </w:r>
      <w:r w:rsidRPr="00AC0E6A">
        <w:rPr>
          <w:rFonts w:hint="cs"/>
          <w:rtl/>
          <w:lang w:bidi="ar-EG"/>
        </w:rPr>
        <w:t xml:space="preserve"> للاتحاد الدولي للاتصالات. وتقوم الخطة التي يديرها الاتحاد على تعاقد وقع مع شركتي</w:t>
      </w:r>
      <w:r>
        <w:rPr>
          <w:rFonts w:hint="eastAsia"/>
          <w:rtl/>
          <w:lang w:bidi="ar-EG"/>
        </w:rPr>
        <w:t> </w:t>
      </w:r>
      <w:proofErr w:type="spellStart"/>
      <w:r w:rsidRPr="00AC0E6A">
        <w:rPr>
          <w:rFonts w:hint="cs"/>
          <w:rtl/>
          <w:lang w:bidi="ar-EG"/>
        </w:rPr>
        <w:t>سيغنا</w:t>
      </w:r>
      <w:proofErr w:type="spellEnd"/>
      <w:r w:rsidRPr="00AC0E6A">
        <w:rPr>
          <w:rFonts w:hint="eastAsia"/>
          <w:rtl/>
          <w:lang w:bidi="ar-EG"/>
        </w:rPr>
        <w:t> </w:t>
      </w:r>
      <w:r w:rsidRPr="00AC0E6A">
        <w:rPr>
          <w:lang w:bidi="ar-SY"/>
        </w:rPr>
        <w:t>(Cigna)</w:t>
      </w:r>
      <w:r w:rsidRPr="00AC0E6A">
        <w:rPr>
          <w:rFonts w:hint="cs"/>
          <w:rtl/>
          <w:lang w:bidi="ar-EG"/>
        </w:rPr>
        <w:t>/</w:t>
      </w:r>
      <w:proofErr w:type="spellStart"/>
      <w:r w:rsidRPr="00AC0E6A">
        <w:rPr>
          <w:rFonts w:hint="cs"/>
          <w:rtl/>
          <w:lang w:bidi="ar-EG"/>
        </w:rPr>
        <w:t>فانبريدا</w:t>
      </w:r>
      <w:proofErr w:type="spellEnd"/>
      <w:r w:rsidRPr="00AC0E6A">
        <w:rPr>
          <w:rFonts w:hint="eastAsia"/>
          <w:rtl/>
          <w:lang w:bidi="ar-EG"/>
        </w:rPr>
        <w:t> </w:t>
      </w:r>
      <w:r w:rsidRPr="00AC0E6A">
        <w:rPr>
          <w:lang w:bidi="ar-SY"/>
        </w:rPr>
        <w:t>(</w:t>
      </w:r>
      <w:proofErr w:type="spellStart"/>
      <w:r w:rsidRPr="00AC0E6A">
        <w:rPr>
          <w:lang w:bidi="ar-SY"/>
        </w:rPr>
        <w:t>Vanbreda</w:t>
      </w:r>
      <w:proofErr w:type="spellEnd"/>
      <w:r>
        <w:rPr>
          <w:lang w:bidi="ar-SY"/>
        </w:rPr>
        <w:t xml:space="preserve"> International</w:t>
      </w:r>
      <w:r w:rsidRPr="00AC0E6A">
        <w:rPr>
          <w:lang w:bidi="ar-SY"/>
        </w:rPr>
        <w:t>)</w:t>
      </w:r>
      <w:r w:rsidRPr="00AC0E6A">
        <w:rPr>
          <w:rFonts w:hint="cs"/>
          <w:rtl/>
          <w:lang w:bidi="ar-EG"/>
        </w:rPr>
        <w:t xml:space="preserve">، على أن تكون </w:t>
      </w:r>
      <w:r w:rsidRPr="00AC0E6A">
        <w:rPr>
          <w:lang w:bidi="ar-SY"/>
        </w:rPr>
        <w:t>Cigna</w:t>
      </w:r>
      <w:r w:rsidRPr="00AC0E6A">
        <w:rPr>
          <w:rFonts w:hint="cs"/>
          <w:rtl/>
          <w:lang w:bidi="ar-EG"/>
        </w:rPr>
        <w:t xml:space="preserve"> هي شركة التأمين و</w:t>
      </w:r>
      <w:r w:rsidRPr="00AC0E6A">
        <w:rPr>
          <w:lang w:bidi="ar-SY"/>
        </w:rPr>
        <w:t>Cigna/</w:t>
      </w:r>
      <w:proofErr w:type="spellStart"/>
      <w:r w:rsidRPr="00AC0E6A">
        <w:rPr>
          <w:lang w:bidi="ar-SY"/>
        </w:rPr>
        <w:t>Vanbr</w:t>
      </w:r>
      <w:r>
        <w:rPr>
          <w:lang w:bidi="ar-SY"/>
        </w:rPr>
        <w:t>e</w:t>
      </w:r>
      <w:r w:rsidRPr="00AC0E6A">
        <w:rPr>
          <w:lang w:bidi="ar-SY"/>
        </w:rPr>
        <w:t>da</w:t>
      </w:r>
      <w:proofErr w:type="spellEnd"/>
      <w:r w:rsidRPr="00AC0E6A">
        <w:rPr>
          <w:rFonts w:hint="cs"/>
          <w:rtl/>
          <w:lang w:bidi="ar-EG"/>
        </w:rPr>
        <w:t xml:space="preserve"> المسؤولتين عن إدارة المطالبات.</w:t>
      </w:r>
    </w:p>
    <w:p w:rsidR="00397F8F" w:rsidRPr="00AC0E6A" w:rsidRDefault="00397F8F" w:rsidP="00397F8F">
      <w:pPr>
        <w:pStyle w:val="Heading1"/>
        <w:rPr>
          <w:rtl/>
        </w:rPr>
      </w:pPr>
      <w:r w:rsidRPr="00AC0E6A">
        <w:rPr>
          <w:lang w:bidi="ar-SY"/>
        </w:rPr>
        <w:t>2</w:t>
      </w:r>
      <w:r w:rsidRPr="00AC0E6A">
        <w:rPr>
          <w:rtl/>
        </w:rPr>
        <w:tab/>
      </w:r>
      <w:r w:rsidRPr="00AC0E6A">
        <w:rPr>
          <w:rFonts w:hint="cs"/>
          <w:rtl/>
        </w:rPr>
        <w:t>تطور التزام</w:t>
      </w:r>
      <w:r>
        <w:rPr>
          <w:rFonts w:hint="cs"/>
          <w:rtl/>
        </w:rPr>
        <w:t>ات</w:t>
      </w:r>
      <w:r w:rsidRPr="00AC0E6A">
        <w:rPr>
          <w:rFonts w:hint="cs"/>
          <w:rtl/>
        </w:rPr>
        <w:t xml:space="preserve"> التأمين الصحي بعد انتهاء مدة الخدمة في </w:t>
      </w:r>
      <w:r>
        <w:rPr>
          <w:lang w:bidi="ar-SY"/>
        </w:rPr>
        <w:t>2016</w:t>
      </w:r>
    </w:p>
    <w:p w:rsidR="00397F8F" w:rsidRPr="00AC0E6A" w:rsidRDefault="00397F8F" w:rsidP="00C85B53">
      <w:pPr>
        <w:spacing w:after="120"/>
        <w:rPr>
          <w:lang w:bidi="ar-EG"/>
        </w:rPr>
      </w:pPr>
      <w:r w:rsidRPr="00A00EC7">
        <w:rPr>
          <w:lang w:bidi="ar-SY"/>
        </w:rPr>
        <w:t>1.2</w:t>
      </w:r>
      <w:r w:rsidRPr="00A00EC7">
        <w:rPr>
          <w:rtl/>
          <w:lang w:bidi="ar-EG"/>
        </w:rPr>
        <w:tab/>
      </w:r>
      <w:r w:rsidRPr="00A00EC7">
        <w:rPr>
          <w:rFonts w:hint="cs"/>
          <w:rtl/>
          <w:lang w:bidi="ar-EG"/>
        </w:rPr>
        <w:t xml:space="preserve">أدى تطور التزامات التأمين الصحي بعد انتهاء مدة الخدمة </w:t>
      </w:r>
      <w:r>
        <w:rPr>
          <w:rFonts w:hint="cs"/>
          <w:rtl/>
          <w:lang w:bidi="ar-EG"/>
        </w:rPr>
        <w:t xml:space="preserve">منذ </w:t>
      </w:r>
      <w:r>
        <w:rPr>
          <w:lang w:bidi="ar-EG"/>
        </w:rPr>
        <w:t>2010</w:t>
      </w:r>
      <w:r>
        <w:rPr>
          <w:rFonts w:hint="cs"/>
          <w:rtl/>
          <w:lang w:bidi="ar-EG"/>
        </w:rPr>
        <w:t xml:space="preserve"> </w:t>
      </w:r>
      <w:r w:rsidRPr="00A00EC7">
        <w:rPr>
          <w:rFonts w:hint="cs"/>
          <w:rtl/>
          <w:lang w:bidi="ar-EG"/>
        </w:rPr>
        <w:t>إلى زيادة في صافي الأصول السالبة نظراً لتسجيل الخسائر الإكتوارية في</w:t>
      </w:r>
      <w:r w:rsidRPr="00A00EC7">
        <w:rPr>
          <w:rFonts w:hint="eastAsia"/>
          <w:rtl/>
          <w:lang w:bidi="ar-EG"/>
        </w:rPr>
        <w:t> </w:t>
      </w:r>
      <w:r w:rsidRPr="00A00EC7">
        <w:rPr>
          <w:rFonts w:hint="cs"/>
          <w:rtl/>
          <w:lang w:bidi="ar-EG"/>
        </w:rPr>
        <w:t xml:space="preserve">صافي الأصول إجمالاً. وفي نهاية </w:t>
      </w:r>
      <w:r>
        <w:rPr>
          <w:lang w:bidi="ar-SY"/>
        </w:rPr>
        <w:t>2016</w:t>
      </w:r>
      <w:r w:rsidRPr="00A00EC7">
        <w:rPr>
          <w:rFonts w:hint="cs"/>
          <w:rtl/>
          <w:lang w:bidi="ar-EG"/>
        </w:rPr>
        <w:t xml:space="preserve">، </w:t>
      </w:r>
      <w:r>
        <w:rPr>
          <w:rFonts w:hint="cs"/>
          <w:rtl/>
          <w:lang w:bidi="ar-EG"/>
        </w:rPr>
        <w:t>زادت</w:t>
      </w:r>
      <w:r w:rsidRPr="00A00EC7">
        <w:rPr>
          <w:rFonts w:hint="cs"/>
          <w:rtl/>
          <w:lang w:bidi="ar-EG"/>
        </w:rPr>
        <w:t xml:space="preserve"> التزامات التأمين الصحي بعد انتهاء مدة الخدمة بشكل كبير نتيجة لتغير الافتراضات مما أدى إلى </w:t>
      </w:r>
      <w:r>
        <w:rPr>
          <w:rFonts w:hint="cs"/>
          <w:rtl/>
          <w:lang w:bidi="ar-EG"/>
        </w:rPr>
        <w:t>زيادة</w:t>
      </w:r>
      <w:r w:rsidRPr="00A00EC7">
        <w:rPr>
          <w:rFonts w:hint="cs"/>
          <w:rtl/>
          <w:lang w:bidi="ar-EG"/>
        </w:rPr>
        <w:t xml:space="preserve"> في الالتزامات بلغ</w:t>
      </w:r>
      <w:r>
        <w:rPr>
          <w:rFonts w:hint="cs"/>
          <w:rtl/>
          <w:lang w:bidi="ar-EG"/>
        </w:rPr>
        <w:t>ت</w:t>
      </w:r>
      <w:r w:rsidRPr="00A00EC7">
        <w:rPr>
          <w:rFonts w:hint="cs"/>
          <w:rtl/>
          <w:lang w:bidi="ar-EG"/>
        </w:rPr>
        <w:t xml:space="preserve"> </w:t>
      </w:r>
      <w:r>
        <w:rPr>
          <w:lang w:bidi="ar-SY"/>
        </w:rPr>
        <w:t>7</w:t>
      </w:r>
      <w:r w:rsidRPr="00A00EC7">
        <w:rPr>
          <w:lang w:bidi="ar-SY"/>
        </w:rPr>
        <w:t>9,</w:t>
      </w:r>
      <w:r>
        <w:rPr>
          <w:lang w:bidi="ar-SY"/>
        </w:rPr>
        <w:t>1</w:t>
      </w:r>
      <w:r w:rsidRPr="00A00EC7">
        <w:rPr>
          <w:rFonts w:hint="cs"/>
          <w:rtl/>
          <w:lang w:bidi="ar-EG"/>
        </w:rPr>
        <w:t xml:space="preserve"> مليون فرنك سويسري إضافة إلى تأثير </w:t>
      </w:r>
      <w:r>
        <w:rPr>
          <w:rFonts w:hint="cs"/>
          <w:rtl/>
          <w:lang w:bidi="ar-EG"/>
        </w:rPr>
        <w:t>سلبي</w:t>
      </w:r>
      <w:r w:rsidRPr="00A00EC7">
        <w:rPr>
          <w:rFonts w:hint="cs"/>
          <w:rtl/>
          <w:lang w:bidi="ar-EG"/>
        </w:rPr>
        <w:t xml:space="preserve"> على صافي أصول الاتحاد بمقدار </w:t>
      </w:r>
      <w:r>
        <w:rPr>
          <w:lang w:bidi="ar-SY"/>
        </w:rPr>
        <w:t>6</w:t>
      </w:r>
      <w:r w:rsidRPr="00A00EC7">
        <w:rPr>
          <w:lang w:bidi="ar-SY"/>
        </w:rPr>
        <w:t>5,</w:t>
      </w:r>
      <w:r>
        <w:rPr>
          <w:lang w:bidi="ar-SY"/>
        </w:rPr>
        <w:t>4</w:t>
      </w:r>
      <w:r w:rsidRPr="00A00EC7">
        <w:rPr>
          <w:rFonts w:hint="eastAsia"/>
          <w:rtl/>
          <w:lang w:bidi="ar-EG"/>
        </w:rPr>
        <w:t> </w:t>
      </w:r>
      <w:r w:rsidRPr="00A00EC7">
        <w:rPr>
          <w:rFonts w:hint="cs"/>
          <w:rtl/>
          <w:lang w:bidi="ar-EG"/>
        </w:rPr>
        <w:t>مليون فرنك سويسري.</w:t>
      </w:r>
    </w:p>
    <w:tbl>
      <w:tblPr>
        <w:bidiVisual/>
        <w:tblW w:w="5002" w:type="pct"/>
        <w:jc w:val="center"/>
        <w:tblCellMar>
          <w:left w:w="57" w:type="dxa"/>
          <w:right w:w="57" w:type="dxa"/>
        </w:tblCellMar>
        <w:tblLook w:val="04A0" w:firstRow="1" w:lastRow="0" w:firstColumn="1" w:lastColumn="0" w:noHBand="0" w:noVBand="1"/>
      </w:tblPr>
      <w:tblGrid>
        <w:gridCol w:w="5553"/>
        <w:gridCol w:w="2039"/>
        <w:gridCol w:w="2041"/>
      </w:tblGrid>
      <w:tr w:rsidR="00397F8F" w:rsidRPr="0055727C" w:rsidTr="006A6107">
        <w:trPr>
          <w:trHeight w:val="49"/>
          <w:jc w:val="center"/>
        </w:trPr>
        <w:tc>
          <w:tcPr>
            <w:tcW w:w="5556" w:type="dxa"/>
            <w:tcBorders>
              <w:top w:val="single" w:sz="4" w:space="0" w:color="auto"/>
              <w:left w:val="single" w:sz="4" w:space="0" w:color="auto"/>
              <w:bottom w:val="single" w:sz="4" w:space="0" w:color="auto"/>
              <w:right w:val="nil"/>
            </w:tcBorders>
            <w:shd w:val="clear" w:color="auto" w:fill="auto"/>
            <w:vAlign w:val="center"/>
            <w:hideMark/>
          </w:tcPr>
          <w:p w:rsidR="00397F8F" w:rsidRPr="0055727C" w:rsidRDefault="00397F8F" w:rsidP="003162B0">
            <w:pPr>
              <w:pStyle w:val="TableHead0"/>
              <w:spacing w:before="80" w:after="80" w:line="300" w:lineRule="exact"/>
              <w:jc w:val="left"/>
              <w:rPr>
                <w:rtl/>
                <w:lang w:bidi="ar-EG"/>
              </w:rPr>
            </w:pPr>
            <w:r w:rsidRPr="0055727C">
              <w:rPr>
                <w:rFonts w:hint="cs"/>
                <w:rtl/>
              </w:rPr>
              <w:t xml:space="preserve">مبلغ </w:t>
            </w:r>
            <w:r w:rsidRPr="0055727C">
              <w:rPr>
                <w:rFonts w:hint="cs"/>
                <w:rtl/>
                <w:lang w:bidi="ar-EG"/>
              </w:rPr>
              <w:t xml:space="preserve">الالتزامات بموجب الخطة </w:t>
            </w:r>
            <w:r w:rsidRPr="0055727C">
              <w:rPr>
                <w:lang w:bidi="ar-SY"/>
              </w:rPr>
              <w:t>ASHI</w:t>
            </w:r>
            <w:r w:rsidRPr="0055727C">
              <w:rPr>
                <w:rFonts w:hint="cs"/>
                <w:rtl/>
                <w:lang w:bidi="ar-EG"/>
              </w:rPr>
              <w:t xml:space="preserve"> في </w:t>
            </w:r>
            <w:r w:rsidRPr="0055727C">
              <w:rPr>
                <w:lang w:bidi="ar-SY"/>
              </w:rPr>
              <w:t>31</w:t>
            </w:r>
            <w:r w:rsidRPr="0055727C">
              <w:rPr>
                <w:rFonts w:hint="cs"/>
                <w:rtl/>
                <w:lang w:bidi="ar-EG"/>
              </w:rPr>
              <w:t xml:space="preserve"> ديسمبر </w:t>
            </w:r>
            <w:r w:rsidRPr="0055727C">
              <w:rPr>
                <w:lang w:bidi="ar-SY"/>
              </w:rPr>
              <w:t>201</w:t>
            </w:r>
            <w:r>
              <w:rPr>
                <w:lang w:bidi="ar-SY"/>
              </w:rPr>
              <w:t>6</w:t>
            </w:r>
            <w:r w:rsidRPr="0055727C">
              <w:rPr>
                <w:rFonts w:hint="cs"/>
                <w:rtl/>
                <w:lang w:bidi="ar-EG"/>
              </w:rPr>
              <w:t xml:space="preserve"> و</w:t>
            </w:r>
            <w:r w:rsidRPr="0055727C">
              <w:rPr>
                <w:lang w:bidi="ar-SY"/>
              </w:rPr>
              <w:t>201</w:t>
            </w:r>
            <w:r>
              <w:rPr>
                <w:lang w:bidi="ar-SY"/>
              </w:rPr>
              <w:t>5</w:t>
            </w:r>
            <w:r>
              <w:rPr>
                <w:rtl/>
                <w:lang w:bidi="ar-EG"/>
              </w:rPr>
              <w:br/>
            </w:r>
            <w:r w:rsidRPr="0055727C">
              <w:rPr>
                <w:rFonts w:hint="cs"/>
                <w:rtl/>
                <w:lang w:bidi="ar-EG"/>
              </w:rPr>
              <w:t>في بيان الوضع المالي</w:t>
            </w:r>
          </w:p>
        </w:tc>
        <w:tc>
          <w:tcPr>
            <w:tcW w:w="2040" w:type="dxa"/>
            <w:tcBorders>
              <w:top w:val="single" w:sz="4" w:space="0" w:color="auto"/>
              <w:left w:val="single" w:sz="4" w:space="0" w:color="auto"/>
              <w:bottom w:val="single" w:sz="4" w:space="0" w:color="auto"/>
              <w:right w:val="single" w:sz="4" w:space="0" w:color="auto"/>
            </w:tcBorders>
            <w:vAlign w:val="center"/>
          </w:tcPr>
          <w:p w:rsidR="00397F8F" w:rsidRPr="0055727C" w:rsidRDefault="00397F8F" w:rsidP="003162B0">
            <w:pPr>
              <w:pStyle w:val="TableHead0"/>
              <w:spacing w:before="80" w:after="80" w:line="300" w:lineRule="exact"/>
              <w:jc w:val="left"/>
              <w:rPr>
                <w:i/>
                <w:iCs/>
                <w:rtl/>
                <w:lang w:bidi="ar-EG"/>
              </w:rPr>
            </w:pPr>
            <w:r w:rsidRPr="0055727C">
              <w:rPr>
                <w:rFonts w:hint="cs"/>
                <w:i/>
                <w:iCs/>
                <w:rtl/>
                <w:lang w:bidi="ar-EG"/>
              </w:rPr>
              <w:t xml:space="preserve">بآلاف الفرنكات السويسرية </w:t>
            </w:r>
            <w:r w:rsidRPr="0055727C">
              <w:rPr>
                <w:i/>
                <w:iCs/>
                <w:lang w:bidi="ar-SY"/>
              </w:rPr>
              <w:t>201</w:t>
            </w:r>
            <w:r>
              <w:rPr>
                <w:i/>
                <w:iCs/>
                <w:lang w:bidi="ar-SY"/>
              </w:rPr>
              <w:t>6</w:t>
            </w:r>
            <w:r w:rsidRPr="0055727C">
              <w:rPr>
                <w:i/>
                <w:iCs/>
                <w:lang w:bidi="ar-SY"/>
              </w:rPr>
              <w:t>.12.31</w:t>
            </w: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F8F" w:rsidRPr="0055727C" w:rsidRDefault="00397F8F" w:rsidP="003162B0">
            <w:pPr>
              <w:pStyle w:val="TableHead0"/>
              <w:spacing w:before="80" w:after="80" w:line="300" w:lineRule="exact"/>
              <w:jc w:val="left"/>
              <w:rPr>
                <w:i/>
                <w:iCs/>
                <w:rtl/>
                <w:lang w:bidi="ar-EG"/>
              </w:rPr>
            </w:pPr>
            <w:r w:rsidRPr="0055727C">
              <w:rPr>
                <w:rFonts w:hint="cs"/>
                <w:i/>
                <w:iCs/>
                <w:rtl/>
                <w:lang w:bidi="ar-EG"/>
              </w:rPr>
              <w:t xml:space="preserve">بآلاف الفرنكات السويسرية </w:t>
            </w:r>
            <w:r w:rsidRPr="0055727C">
              <w:rPr>
                <w:i/>
                <w:iCs/>
                <w:lang w:bidi="ar-SY"/>
              </w:rPr>
              <w:t>201</w:t>
            </w:r>
            <w:r>
              <w:rPr>
                <w:i/>
                <w:iCs/>
                <w:lang w:bidi="ar-SY"/>
              </w:rPr>
              <w:t>5</w:t>
            </w:r>
            <w:r w:rsidRPr="0055727C">
              <w:rPr>
                <w:i/>
                <w:iCs/>
                <w:lang w:bidi="ar-SY"/>
              </w:rPr>
              <w:t>.12.31</w:t>
            </w:r>
          </w:p>
        </w:tc>
      </w:tr>
      <w:tr w:rsidR="00397F8F" w:rsidRPr="0055727C" w:rsidTr="006A6107">
        <w:trPr>
          <w:trHeight w:val="49"/>
          <w:jc w:val="center"/>
        </w:trPr>
        <w:tc>
          <w:tcPr>
            <w:tcW w:w="5556" w:type="dxa"/>
            <w:tcBorders>
              <w:top w:val="nil"/>
              <w:left w:val="single" w:sz="4" w:space="0" w:color="auto"/>
              <w:bottom w:val="nil"/>
              <w:right w:val="single" w:sz="4" w:space="0" w:color="auto"/>
            </w:tcBorders>
            <w:shd w:val="clear" w:color="auto" w:fill="auto"/>
            <w:hideMark/>
          </w:tcPr>
          <w:p w:rsidR="00397F8F" w:rsidRPr="0055727C" w:rsidRDefault="00397F8F" w:rsidP="0026419C">
            <w:pPr>
              <w:pStyle w:val="Tabletexte"/>
              <w:spacing w:before="80" w:after="80"/>
              <w:rPr>
                <w:rtl/>
                <w:lang w:bidi="ar-EG"/>
              </w:rPr>
            </w:pPr>
            <w:r w:rsidRPr="0055727C">
              <w:rPr>
                <w:rFonts w:hint="cs"/>
                <w:rtl/>
              </w:rPr>
              <w:t xml:space="preserve">الرصيد في </w:t>
            </w:r>
            <w:r w:rsidRPr="0055727C">
              <w:t>31</w:t>
            </w:r>
            <w:r w:rsidRPr="0055727C">
              <w:rPr>
                <w:rFonts w:hint="cs"/>
                <w:rtl/>
              </w:rPr>
              <w:t xml:space="preserve"> ديسمبر </w:t>
            </w:r>
          </w:p>
        </w:tc>
        <w:tc>
          <w:tcPr>
            <w:tcW w:w="2040" w:type="dxa"/>
            <w:tcBorders>
              <w:top w:val="single" w:sz="4" w:space="0" w:color="auto"/>
              <w:left w:val="single" w:sz="4" w:space="0" w:color="auto"/>
              <w:bottom w:val="nil"/>
              <w:right w:val="single" w:sz="4" w:space="0" w:color="auto"/>
            </w:tcBorders>
          </w:tcPr>
          <w:p w:rsidR="00397F8F" w:rsidRPr="0055727C" w:rsidRDefault="00397F8F" w:rsidP="0026419C">
            <w:pPr>
              <w:pStyle w:val="Tabletexte"/>
              <w:tabs>
                <w:tab w:val="center" w:pos="935"/>
                <w:tab w:val="right" w:pos="1870"/>
              </w:tabs>
              <w:spacing w:before="80" w:after="80"/>
              <w:ind w:left="509"/>
              <w:jc w:val="left"/>
              <w:rPr>
                <w:i/>
                <w:iCs/>
              </w:rPr>
            </w:pPr>
            <w:r>
              <w:rPr>
                <w:i/>
                <w:iCs/>
              </w:rPr>
              <w:t>472</w:t>
            </w:r>
            <w:r w:rsidRPr="0055727C">
              <w:rPr>
                <w:i/>
                <w:iCs/>
              </w:rPr>
              <w:t> </w:t>
            </w:r>
            <w:r>
              <w:rPr>
                <w:i/>
                <w:iCs/>
              </w:rPr>
              <w:t>801</w:t>
            </w:r>
          </w:p>
        </w:tc>
        <w:tc>
          <w:tcPr>
            <w:tcW w:w="2041" w:type="dxa"/>
            <w:tcBorders>
              <w:top w:val="single" w:sz="4" w:space="0" w:color="auto"/>
              <w:left w:val="single" w:sz="4" w:space="0" w:color="auto"/>
              <w:bottom w:val="nil"/>
              <w:right w:val="single" w:sz="4" w:space="0" w:color="auto"/>
            </w:tcBorders>
            <w:shd w:val="clear" w:color="auto" w:fill="auto"/>
          </w:tcPr>
          <w:p w:rsidR="00397F8F" w:rsidRPr="0055727C" w:rsidRDefault="00397F8F" w:rsidP="0026419C">
            <w:pPr>
              <w:pStyle w:val="Tabletexte"/>
              <w:tabs>
                <w:tab w:val="center" w:pos="935"/>
                <w:tab w:val="right" w:pos="1870"/>
              </w:tabs>
              <w:spacing w:before="80" w:after="80"/>
              <w:ind w:left="509"/>
              <w:jc w:val="left"/>
              <w:rPr>
                <w:i/>
                <w:iCs/>
              </w:rPr>
            </w:pPr>
            <w:r>
              <w:rPr>
                <w:i/>
                <w:iCs/>
              </w:rPr>
              <w:t>512</w:t>
            </w:r>
            <w:r w:rsidRPr="0055727C">
              <w:rPr>
                <w:i/>
                <w:iCs/>
              </w:rPr>
              <w:t> </w:t>
            </w:r>
            <w:r>
              <w:rPr>
                <w:i/>
                <w:iCs/>
              </w:rPr>
              <w:t>661</w:t>
            </w:r>
          </w:p>
        </w:tc>
      </w:tr>
      <w:tr w:rsidR="00397F8F" w:rsidRPr="0055727C" w:rsidTr="006A6107">
        <w:trPr>
          <w:trHeight w:val="336"/>
          <w:jc w:val="center"/>
        </w:trPr>
        <w:tc>
          <w:tcPr>
            <w:tcW w:w="5556" w:type="dxa"/>
            <w:tcBorders>
              <w:top w:val="nil"/>
              <w:left w:val="single" w:sz="4" w:space="0" w:color="auto"/>
              <w:bottom w:val="nil"/>
              <w:right w:val="single" w:sz="4" w:space="0" w:color="auto"/>
            </w:tcBorders>
            <w:shd w:val="clear" w:color="auto" w:fill="auto"/>
          </w:tcPr>
          <w:p w:rsidR="00397F8F" w:rsidRPr="0055727C" w:rsidRDefault="00397F8F" w:rsidP="0026419C">
            <w:pPr>
              <w:pStyle w:val="Tabletexte"/>
              <w:spacing w:before="80" w:after="80"/>
            </w:pPr>
            <w:r w:rsidRPr="0055727C">
              <w:rPr>
                <w:rFonts w:hint="cs"/>
                <w:rtl/>
              </w:rPr>
              <w:t>مجموع النفقات المدرجة في بيان الأداء المالي</w:t>
            </w:r>
          </w:p>
        </w:tc>
        <w:tc>
          <w:tcPr>
            <w:tcW w:w="2040" w:type="dxa"/>
            <w:tcBorders>
              <w:top w:val="nil"/>
              <w:left w:val="single" w:sz="4" w:space="0" w:color="auto"/>
              <w:bottom w:val="nil"/>
              <w:right w:val="single" w:sz="4" w:space="0" w:color="auto"/>
            </w:tcBorders>
          </w:tcPr>
          <w:p w:rsidR="00397F8F" w:rsidRPr="0055727C" w:rsidRDefault="00397F8F" w:rsidP="0026419C">
            <w:pPr>
              <w:pStyle w:val="Tabletexte"/>
              <w:spacing w:before="80" w:after="80"/>
              <w:ind w:left="509"/>
              <w:jc w:val="left"/>
              <w:rPr>
                <w:i/>
                <w:iCs/>
              </w:rPr>
            </w:pPr>
            <w:r w:rsidRPr="0055727C">
              <w:rPr>
                <w:i/>
                <w:iCs/>
              </w:rPr>
              <w:t>22 </w:t>
            </w:r>
            <w:r>
              <w:rPr>
                <w:i/>
                <w:iCs/>
              </w:rPr>
              <w:t>22</w:t>
            </w:r>
            <w:r w:rsidRPr="0055727C">
              <w:rPr>
                <w:i/>
                <w:iCs/>
              </w:rPr>
              <w:t>9</w:t>
            </w:r>
          </w:p>
        </w:tc>
        <w:tc>
          <w:tcPr>
            <w:tcW w:w="2041" w:type="dxa"/>
            <w:tcBorders>
              <w:top w:val="nil"/>
              <w:left w:val="single" w:sz="4" w:space="0" w:color="auto"/>
              <w:bottom w:val="nil"/>
              <w:right w:val="single" w:sz="4" w:space="0" w:color="auto"/>
            </w:tcBorders>
            <w:shd w:val="clear" w:color="auto" w:fill="auto"/>
          </w:tcPr>
          <w:p w:rsidR="00397F8F" w:rsidRPr="0055727C" w:rsidRDefault="00397F8F" w:rsidP="0026419C">
            <w:pPr>
              <w:pStyle w:val="Tabletexte"/>
              <w:spacing w:before="80" w:after="80"/>
              <w:ind w:left="509"/>
              <w:jc w:val="left"/>
              <w:rPr>
                <w:i/>
                <w:iCs/>
              </w:rPr>
            </w:pPr>
            <w:r>
              <w:rPr>
                <w:i/>
                <w:iCs/>
              </w:rPr>
              <w:t>22</w:t>
            </w:r>
            <w:r w:rsidRPr="0055727C">
              <w:rPr>
                <w:i/>
                <w:iCs/>
              </w:rPr>
              <w:t> </w:t>
            </w:r>
            <w:r>
              <w:rPr>
                <w:i/>
                <w:iCs/>
              </w:rPr>
              <w:t>889</w:t>
            </w:r>
          </w:p>
        </w:tc>
      </w:tr>
      <w:tr w:rsidR="00397F8F" w:rsidRPr="0055727C" w:rsidTr="006A6107">
        <w:trPr>
          <w:trHeight w:val="264"/>
          <w:jc w:val="center"/>
        </w:trPr>
        <w:tc>
          <w:tcPr>
            <w:tcW w:w="5556" w:type="dxa"/>
            <w:tcBorders>
              <w:top w:val="nil"/>
              <w:left w:val="single" w:sz="4" w:space="0" w:color="auto"/>
              <w:bottom w:val="nil"/>
              <w:right w:val="single" w:sz="4" w:space="0" w:color="auto"/>
            </w:tcBorders>
            <w:shd w:val="clear" w:color="auto" w:fill="auto"/>
          </w:tcPr>
          <w:p w:rsidR="00397F8F" w:rsidRPr="0055727C" w:rsidRDefault="00397F8F" w:rsidP="0026419C">
            <w:pPr>
              <w:pStyle w:val="Tabletexte"/>
              <w:spacing w:before="80" w:after="80"/>
              <w:rPr>
                <w:rtl/>
                <w:lang w:bidi="ar-EG"/>
              </w:rPr>
            </w:pPr>
            <w:r w:rsidRPr="0055727C">
              <w:rPr>
                <w:rFonts w:hint="cs"/>
                <w:rtl/>
              </w:rPr>
              <w:t>خسائر إكتوارية مدرجة في صافي الأصول</w:t>
            </w:r>
          </w:p>
        </w:tc>
        <w:tc>
          <w:tcPr>
            <w:tcW w:w="2040" w:type="dxa"/>
            <w:tcBorders>
              <w:top w:val="nil"/>
              <w:left w:val="single" w:sz="4" w:space="0" w:color="auto"/>
              <w:bottom w:val="nil"/>
              <w:right w:val="single" w:sz="4" w:space="0" w:color="auto"/>
            </w:tcBorders>
          </w:tcPr>
          <w:p w:rsidR="00397F8F" w:rsidRPr="0055727C" w:rsidRDefault="00397F8F" w:rsidP="0026419C">
            <w:pPr>
              <w:pStyle w:val="Tabletexte"/>
              <w:spacing w:before="80" w:after="80"/>
              <w:ind w:left="509"/>
              <w:jc w:val="left"/>
              <w:rPr>
                <w:i/>
                <w:iCs/>
              </w:rPr>
            </w:pPr>
            <w:r>
              <w:rPr>
                <w:i/>
                <w:iCs/>
              </w:rPr>
              <w:t>65</w:t>
            </w:r>
            <w:r w:rsidRPr="0055727C">
              <w:rPr>
                <w:i/>
                <w:iCs/>
              </w:rPr>
              <w:t> </w:t>
            </w:r>
            <w:r>
              <w:rPr>
                <w:i/>
                <w:iCs/>
              </w:rPr>
              <w:t>443</w:t>
            </w:r>
          </w:p>
        </w:tc>
        <w:tc>
          <w:tcPr>
            <w:tcW w:w="2041" w:type="dxa"/>
            <w:tcBorders>
              <w:top w:val="nil"/>
              <w:left w:val="single" w:sz="4" w:space="0" w:color="auto"/>
              <w:bottom w:val="nil"/>
              <w:right w:val="single" w:sz="4" w:space="0" w:color="auto"/>
            </w:tcBorders>
            <w:shd w:val="clear" w:color="auto" w:fill="auto"/>
          </w:tcPr>
          <w:p w:rsidR="00397F8F" w:rsidRPr="0055727C" w:rsidRDefault="00397F8F" w:rsidP="0026419C">
            <w:pPr>
              <w:pStyle w:val="Tabletexte"/>
              <w:spacing w:before="80" w:after="80"/>
              <w:ind w:left="509"/>
              <w:jc w:val="left"/>
              <w:rPr>
                <w:i/>
                <w:iCs/>
                <w:rtl/>
                <w:lang w:bidi="ar-EG"/>
              </w:rPr>
            </w:pPr>
            <w:r>
              <w:rPr>
                <w:i/>
                <w:iCs/>
              </w:rPr>
              <w:t>55</w:t>
            </w:r>
            <w:r w:rsidRPr="0055727C">
              <w:rPr>
                <w:i/>
                <w:iCs/>
              </w:rPr>
              <w:t> </w:t>
            </w:r>
            <w:r>
              <w:rPr>
                <w:i/>
                <w:iCs/>
              </w:rPr>
              <w:t>572</w:t>
            </w:r>
            <w:r w:rsidRPr="0055727C">
              <w:rPr>
                <w:i/>
                <w:iCs/>
                <w:lang w:val="fr-FR"/>
              </w:rPr>
              <w:t>–</w:t>
            </w:r>
          </w:p>
        </w:tc>
      </w:tr>
      <w:tr w:rsidR="00397F8F" w:rsidRPr="0055727C" w:rsidTr="006A6107">
        <w:trPr>
          <w:trHeight w:val="264"/>
          <w:jc w:val="center"/>
        </w:trPr>
        <w:tc>
          <w:tcPr>
            <w:tcW w:w="5556" w:type="dxa"/>
            <w:tcBorders>
              <w:top w:val="nil"/>
              <w:left w:val="single" w:sz="4" w:space="0" w:color="auto"/>
              <w:bottom w:val="nil"/>
              <w:right w:val="single" w:sz="4" w:space="0" w:color="auto"/>
            </w:tcBorders>
            <w:shd w:val="clear" w:color="auto" w:fill="auto"/>
            <w:vAlign w:val="bottom"/>
            <w:hideMark/>
          </w:tcPr>
          <w:p w:rsidR="00397F8F" w:rsidRPr="0055727C" w:rsidRDefault="00397F8F" w:rsidP="0026419C">
            <w:pPr>
              <w:pStyle w:val="Tabletexte"/>
              <w:spacing w:before="80" w:after="80"/>
              <w:rPr>
                <w:rtl/>
                <w:lang w:bidi="ar-EG"/>
              </w:rPr>
            </w:pPr>
            <w:r w:rsidRPr="0055727C">
              <w:rPr>
                <w:rFonts w:hint="cs"/>
                <w:rtl/>
              </w:rPr>
              <w:t>مساهمات أثناء الفترة المالية</w:t>
            </w:r>
          </w:p>
        </w:tc>
        <w:tc>
          <w:tcPr>
            <w:tcW w:w="2040" w:type="dxa"/>
            <w:tcBorders>
              <w:top w:val="nil"/>
              <w:left w:val="single" w:sz="4" w:space="0" w:color="auto"/>
              <w:bottom w:val="nil"/>
              <w:right w:val="single" w:sz="4" w:space="0" w:color="auto"/>
            </w:tcBorders>
          </w:tcPr>
          <w:p w:rsidR="00397F8F" w:rsidRPr="0055727C" w:rsidRDefault="00397F8F" w:rsidP="0026419C">
            <w:pPr>
              <w:pStyle w:val="Tabletexte"/>
              <w:spacing w:before="80" w:after="80"/>
              <w:ind w:left="509"/>
              <w:jc w:val="left"/>
              <w:rPr>
                <w:i/>
                <w:iCs/>
                <w:rtl/>
                <w:lang w:bidi="ar-EG"/>
              </w:rPr>
            </w:pPr>
            <w:r>
              <w:rPr>
                <w:i/>
                <w:iCs/>
              </w:rPr>
              <w:t>8</w:t>
            </w:r>
            <w:r w:rsidRPr="0055727C">
              <w:rPr>
                <w:i/>
                <w:iCs/>
              </w:rPr>
              <w:t> </w:t>
            </w:r>
            <w:r>
              <w:rPr>
                <w:i/>
                <w:iCs/>
              </w:rPr>
              <w:t>562</w:t>
            </w:r>
            <w:r w:rsidRPr="0055727C">
              <w:rPr>
                <w:i/>
                <w:iCs/>
                <w:lang w:val="fr-FR"/>
              </w:rPr>
              <w:t>–</w:t>
            </w:r>
          </w:p>
        </w:tc>
        <w:tc>
          <w:tcPr>
            <w:tcW w:w="2041" w:type="dxa"/>
            <w:tcBorders>
              <w:top w:val="nil"/>
              <w:left w:val="single" w:sz="4" w:space="0" w:color="auto"/>
              <w:bottom w:val="nil"/>
              <w:right w:val="single" w:sz="4" w:space="0" w:color="auto"/>
            </w:tcBorders>
            <w:shd w:val="clear" w:color="auto" w:fill="auto"/>
          </w:tcPr>
          <w:p w:rsidR="00397F8F" w:rsidRPr="0055727C" w:rsidRDefault="00397F8F" w:rsidP="0026419C">
            <w:pPr>
              <w:pStyle w:val="Tabletexte"/>
              <w:spacing w:before="80" w:after="80"/>
              <w:ind w:left="509"/>
              <w:jc w:val="left"/>
              <w:rPr>
                <w:i/>
                <w:iCs/>
                <w:rtl/>
                <w:lang w:bidi="ar-EG"/>
              </w:rPr>
            </w:pPr>
            <w:r>
              <w:rPr>
                <w:i/>
                <w:iCs/>
              </w:rPr>
              <w:t>7</w:t>
            </w:r>
            <w:r w:rsidRPr="0055727C">
              <w:rPr>
                <w:i/>
                <w:iCs/>
              </w:rPr>
              <w:t> </w:t>
            </w:r>
            <w:r>
              <w:rPr>
                <w:i/>
                <w:iCs/>
              </w:rPr>
              <w:t>177</w:t>
            </w:r>
            <w:r w:rsidRPr="0055727C">
              <w:rPr>
                <w:i/>
                <w:iCs/>
                <w:lang w:val="fr-FR"/>
              </w:rPr>
              <w:t>–</w:t>
            </w:r>
          </w:p>
        </w:tc>
      </w:tr>
      <w:tr w:rsidR="00397F8F" w:rsidRPr="0055727C" w:rsidTr="006A6107">
        <w:trPr>
          <w:trHeight w:val="264"/>
          <w:jc w:val="center"/>
        </w:trPr>
        <w:tc>
          <w:tcPr>
            <w:tcW w:w="5556" w:type="dxa"/>
            <w:tcBorders>
              <w:top w:val="nil"/>
              <w:left w:val="single" w:sz="4" w:space="0" w:color="auto"/>
              <w:right w:val="single" w:sz="4" w:space="0" w:color="auto"/>
            </w:tcBorders>
            <w:shd w:val="clear" w:color="auto" w:fill="auto"/>
            <w:hideMark/>
          </w:tcPr>
          <w:p w:rsidR="00397F8F" w:rsidRPr="0055727C" w:rsidRDefault="00397F8F" w:rsidP="0026419C">
            <w:pPr>
              <w:pStyle w:val="Tabletexte"/>
              <w:spacing w:before="80" w:after="80"/>
            </w:pPr>
            <w:r w:rsidRPr="0055727C">
              <w:rPr>
                <w:rFonts w:hint="cs"/>
                <w:rtl/>
              </w:rPr>
              <w:t>خسائر/(أرباح) غير محققة في سعر الصرف</w:t>
            </w:r>
          </w:p>
        </w:tc>
        <w:tc>
          <w:tcPr>
            <w:tcW w:w="2040" w:type="dxa"/>
            <w:tcBorders>
              <w:top w:val="nil"/>
              <w:left w:val="single" w:sz="4" w:space="0" w:color="auto"/>
              <w:right w:val="single" w:sz="4" w:space="0" w:color="auto"/>
            </w:tcBorders>
          </w:tcPr>
          <w:p w:rsidR="00397F8F" w:rsidRPr="0055727C" w:rsidRDefault="00397F8F" w:rsidP="0026419C">
            <w:pPr>
              <w:pStyle w:val="Tabletexte"/>
              <w:spacing w:before="80" w:after="80"/>
              <w:ind w:left="509"/>
              <w:jc w:val="left"/>
              <w:rPr>
                <w:i/>
                <w:iCs/>
              </w:rPr>
            </w:pPr>
            <w:r w:rsidRPr="0055727C">
              <w:rPr>
                <w:i/>
                <w:iCs/>
              </w:rPr>
              <w:t>0</w:t>
            </w:r>
          </w:p>
        </w:tc>
        <w:tc>
          <w:tcPr>
            <w:tcW w:w="2041" w:type="dxa"/>
            <w:tcBorders>
              <w:top w:val="nil"/>
              <w:left w:val="single" w:sz="4" w:space="0" w:color="auto"/>
              <w:right w:val="single" w:sz="4" w:space="0" w:color="auto"/>
            </w:tcBorders>
            <w:shd w:val="clear" w:color="auto" w:fill="auto"/>
          </w:tcPr>
          <w:p w:rsidR="00397F8F" w:rsidRPr="0055727C" w:rsidRDefault="00397F8F" w:rsidP="0026419C">
            <w:pPr>
              <w:pStyle w:val="Tabletexte"/>
              <w:spacing w:before="80" w:after="80"/>
              <w:ind w:left="509"/>
              <w:jc w:val="left"/>
              <w:rPr>
                <w:i/>
                <w:iCs/>
              </w:rPr>
            </w:pPr>
            <w:r w:rsidRPr="0055727C">
              <w:rPr>
                <w:i/>
                <w:iCs/>
              </w:rPr>
              <w:t>0</w:t>
            </w:r>
          </w:p>
        </w:tc>
      </w:tr>
      <w:tr w:rsidR="00397F8F" w:rsidRPr="0055727C" w:rsidTr="006A6107">
        <w:trPr>
          <w:trHeight w:val="59"/>
          <w:jc w:val="center"/>
        </w:trPr>
        <w:tc>
          <w:tcPr>
            <w:tcW w:w="5556" w:type="dxa"/>
            <w:tcBorders>
              <w:top w:val="nil"/>
              <w:left w:val="single" w:sz="4" w:space="0" w:color="auto"/>
              <w:bottom w:val="single" w:sz="4" w:space="0" w:color="auto"/>
              <w:right w:val="single" w:sz="4" w:space="0" w:color="auto"/>
            </w:tcBorders>
            <w:shd w:val="clear" w:color="auto" w:fill="auto"/>
            <w:hideMark/>
          </w:tcPr>
          <w:p w:rsidR="00397F8F" w:rsidRPr="0055727C" w:rsidRDefault="00397F8F" w:rsidP="0026419C">
            <w:pPr>
              <w:pStyle w:val="Tabletexte"/>
              <w:spacing w:before="80" w:after="80"/>
              <w:rPr>
                <w:rtl/>
                <w:lang w:bidi="ar-EG"/>
              </w:rPr>
            </w:pPr>
            <w:r w:rsidRPr="0055727C">
              <w:rPr>
                <w:rFonts w:hint="cs"/>
                <w:rtl/>
                <w:lang w:bidi="ar-EG"/>
              </w:rPr>
              <w:t>مبلغ</w:t>
            </w:r>
            <w:bookmarkStart w:id="1" w:name="_GoBack"/>
            <w:bookmarkEnd w:id="1"/>
            <w:r w:rsidRPr="0055727C">
              <w:rPr>
                <w:rFonts w:hint="cs"/>
                <w:rtl/>
                <w:lang w:bidi="ar-EG"/>
              </w:rPr>
              <w:t xml:space="preserve"> الالتزامات بموجب الخطة </w:t>
            </w:r>
            <w:r w:rsidRPr="0055727C">
              <w:t>ASHI</w:t>
            </w:r>
            <w:r w:rsidRPr="0055727C">
              <w:rPr>
                <w:rFonts w:hint="cs"/>
                <w:rtl/>
                <w:lang w:bidi="ar-EG"/>
              </w:rPr>
              <w:t xml:space="preserve"> في </w:t>
            </w:r>
            <w:r w:rsidRPr="0055727C">
              <w:t>31</w:t>
            </w:r>
            <w:r w:rsidRPr="0055727C">
              <w:rPr>
                <w:rFonts w:hint="cs"/>
                <w:rtl/>
                <w:lang w:bidi="ar-EG"/>
              </w:rPr>
              <w:t xml:space="preserve"> ديسمبر </w:t>
            </w:r>
          </w:p>
        </w:tc>
        <w:tc>
          <w:tcPr>
            <w:tcW w:w="2040" w:type="dxa"/>
            <w:tcBorders>
              <w:top w:val="nil"/>
              <w:left w:val="single" w:sz="4" w:space="0" w:color="auto"/>
              <w:bottom w:val="single" w:sz="4" w:space="0" w:color="auto"/>
              <w:right w:val="single" w:sz="4" w:space="0" w:color="auto"/>
            </w:tcBorders>
          </w:tcPr>
          <w:p w:rsidR="00397F8F" w:rsidRPr="0055727C" w:rsidRDefault="00397F8F" w:rsidP="0026419C">
            <w:pPr>
              <w:pStyle w:val="Tabletexte"/>
              <w:spacing w:before="80" w:after="80"/>
              <w:ind w:left="509"/>
              <w:jc w:val="left"/>
              <w:rPr>
                <w:i/>
                <w:iCs/>
              </w:rPr>
            </w:pPr>
            <w:r>
              <w:rPr>
                <w:i/>
                <w:iCs/>
              </w:rPr>
              <w:t>551</w:t>
            </w:r>
            <w:r w:rsidRPr="0055727C">
              <w:rPr>
                <w:i/>
                <w:iCs/>
              </w:rPr>
              <w:t> </w:t>
            </w:r>
            <w:r>
              <w:rPr>
                <w:i/>
                <w:iCs/>
              </w:rPr>
              <w:t>911</w:t>
            </w:r>
          </w:p>
        </w:tc>
        <w:tc>
          <w:tcPr>
            <w:tcW w:w="2041" w:type="dxa"/>
            <w:tcBorders>
              <w:top w:val="nil"/>
              <w:left w:val="single" w:sz="4" w:space="0" w:color="auto"/>
              <w:bottom w:val="single" w:sz="4" w:space="0" w:color="auto"/>
              <w:right w:val="single" w:sz="4" w:space="0" w:color="auto"/>
            </w:tcBorders>
            <w:shd w:val="clear" w:color="auto" w:fill="auto"/>
          </w:tcPr>
          <w:p w:rsidR="00397F8F" w:rsidRPr="0055727C" w:rsidRDefault="00397F8F" w:rsidP="0026419C">
            <w:pPr>
              <w:pStyle w:val="Tabletexte"/>
              <w:spacing w:before="80" w:after="80"/>
              <w:ind w:left="509"/>
              <w:jc w:val="left"/>
              <w:rPr>
                <w:i/>
                <w:iCs/>
              </w:rPr>
            </w:pPr>
            <w:r>
              <w:rPr>
                <w:i/>
                <w:iCs/>
              </w:rPr>
              <w:t>472</w:t>
            </w:r>
            <w:r w:rsidRPr="0055727C">
              <w:rPr>
                <w:i/>
                <w:iCs/>
              </w:rPr>
              <w:t> </w:t>
            </w:r>
            <w:r>
              <w:rPr>
                <w:i/>
                <w:iCs/>
              </w:rPr>
              <w:t>801</w:t>
            </w:r>
          </w:p>
        </w:tc>
      </w:tr>
    </w:tbl>
    <w:p w:rsidR="00397F8F" w:rsidRPr="00AC0E6A" w:rsidRDefault="00397F8F" w:rsidP="006A6107">
      <w:pPr>
        <w:spacing w:after="120"/>
        <w:rPr>
          <w:rtl/>
          <w:lang w:bidi="ar-EG"/>
        </w:rPr>
      </w:pPr>
      <w:r w:rsidRPr="00AC0E6A">
        <w:rPr>
          <w:lang w:bidi="ar-SY"/>
        </w:rPr>
        <w:lastRenderedPageBreak/>
        <w:t>2.2</w:t>
      </w:r>
      <w:r w:rsidRPr="00AC0E6A">
        <w:rPr>
          <w:lang w:bidi="ar-SY"/>
        </w:rPr>
        <w:tab/>
      </w:r>
      <w:r w:rsidRPr="00AC0E6A">
        <w:rPr>
          <w:rFonts w:hint="cs"/>
          <w:rtl/>
          <w:lang w:bidi="ar-EG"/>
        </w:rPr>
        <w:t>ويستند حساب التزام</w:t>
      </w:r>
      <w:r>
        <w:rPr>
          <w:rFonts w:hint="cs"/>
          <w:rtl/>
          <w:lang w:bidi="ar-EG"/>
        </w:rPr>
        <w:t>ات</w:t>
      </w:r>
      <w:r w:rsidRPr="00AC0E6A">
        <w:rPr>
          <w:rFonts w:hint="cs"/>
          <w:rtl/>
          <w:lang w:bidi="ar-EG"/>
        </w:rPr>
        <w:t xml:space="preserve"> التأمين الصحي بعد انتهاء مدة الخدمة إلى افتراض</w:t>
      </w:r>
      <w:r w:rsidR="00314173">
        <w:rPr>
          <w:rFonts w:hint="cs"/>
          <w:rtl/>
          <w:lang w:bidi="ar-EG"/>
        </w:rPr>
        <w:t>ات وضوابط تعتمد على التطورات في</w:t>
      </w:r>
      <w:r w:rsidR="00314173">
        <w:rPr>
          <w:rFonts w:hint="eastAsia"/>
          <w:rtl/>
          <w:lang w:bidi="ar-EG"/>
        </w:rPr>
        <w:t> </w:t>
      </w:r>
      <w:r w:rsidRPr="00AC0E6A">
        <w:rPr>
          <w:rFonts w:hint="cs"/>
          <w:rtl/>
          <w:lang w:bidi="ar-EG"/>
        </w:rPr>
        <w:t>هذه السنة. ففي</w:t>
      </w:r>
      <w:r w:rsidRPr="00AC0E6A">
        <w:rPr>
          <w:rFonts w:hint="eastAsia"/>
          <w:rtl/>
          <w:lang w:bidi="ar-EG"/>
        </w:rPr>
        <w:t> </w:t>
      </w:r>
      <w:r>
        <w:rPr>
          <w:lang w:bidi="ar-SY"/>
        </w:rPr>
        <w:t>2016</w:t>
      </w:r>
      <w:r>
        <w:rPr>
          <w:rFonts w:hint="cs"/>
          <w:rtl/>
          <w:lang w:bidi="ar-EG"/>
        </w:rPr>
        <w:t>، أثّر عامل أساسي</w:t>
      </w:r>
      <w:r w:rsidRPr="00AC0E6A">
        <w:rPr>
          <w:rFonts w:hint="cs"/>
          <w:rtl/>
          <w:lang w:bidi="ar-EG"/>
        </w:rPr>
        <w:t xml:space="preserve"> </w:t>
      </w:r>
      <w:r>
        <w:rPr>
          <w:rFonts w:hint="cs"/>
          <w:rtl/>
          <w:lang w:bidi="ar-EG"/>
        </w:rPr>
        <w:t xml:space="preserve">واحد </w:t>
      </w:r>
      <w:r w:rsidRPr="00AC0E6A">
        <w:rPr>
          <w:rFonts w:hint="cs"/>
          <w:rtl/>
          <w:lang w:bidi="ar-EG"/>
        </w:rPr>
        <w:t>على التطور: النقص في نسبة الخصم. وفيما يلي تحليل للمبلغ ا</w:t>
      </w:r>
      <w:r>
        <w:rPr>
          <w:rFonts w:hint="cs"/>
          <w:rtl/>
          <w:lang w:bidi="ar-EG"/>
        </w:rPr>
        <w:t>لداخل</w:t>
      </w:r>
      <w:r w:rsidRPr="00AC0E6A">
        <w:rPr>
          <w:rFonts w:hint="cs"/>
          <w:rtl/>
          <w:lang w:bidi="ar-EG"/>
        </w:rPr>
        <w:t xml:space="preserve"> في </w:t>
      </w:r>
      <w:r>
        <w:rPr>
          <w:rFonts w:hint="cs"/>
          <w:rtl/>
          <w:lang w:bidi="ar-EG"/>
        </w:rPr>
        <w:t xml:space="preserve">حساب </w:t>
      </w:r>
      <w:r w:rsidR="00314173">
        <w:rPr>
          <w:rFonts w:hint="cs"/>
          <w:rtl/>
          <w:lang w:bidi="ar-EG"/>
        </w:rPr>
        <w:t>صافي</w:t>
      </w:r>
      <w:r w:rsidR="00314173">
        <w:rPr>
          <w:rFonts w:hint="eastAsia"/>
          <w:rtl/>
          <w:lang w:bidi="ar-EG"/>
        </w:rPr>
        <w:t> </w:t>
      </w:r>
      <w:r w:rsidRPr="00AC0E6A">
        <w:rPr>
          <w:rFonts w:hint="cs"/>
          <w:rtl/>
          <w:lang w:bidi="ar-EG"/>
        </w:rPr>
        <w:t>الأصول.</w:t>
      </w: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2"/>
        <w:gridCol w:w="1983"/>
        <w:gridCol w:w="1984"/>
      </w:tblGrid>
      <w:tr w:rsidR="00397F8F" w:rsidRPr="00726FA7" w:rsidTr="006A6107">
        <w:trPr>
          <w:trHeight w:val="118"/>
          <w:jc w:val="center"/>
        </w:trPr>
        <w:tc>
          <w:tcPr>
            <w:tcW w:w="5669" w:type="dxa"/>
            <w:tcBorders>
              <w:top w:val="single" w:sz="4" w:space="0" w:color="auto"/>
              <w:bottom w:val="single" w:sz="4" w:space="0" w:color="auto"/>
              <w:right w:val="single" w:sz="4" w:space="0" w:color="auto"/>
            </w:tcBorders>
            <w:shd w:val="clear" w:color="auto" w:fill="auto"/>
            <w:vAlign w:val="center"/>
            <w:hideMark/>
          </w:tcPr>
          <w:p w:rsidR="00397F8F" w:rsidRPr="00726FA7" w:rsidRDefault="00397F8F" w:rsidP="003162B0">
            <w:pPr>
              <w:pStyle w:val="TableHead0"/>
              <w:spacing w:before="100" w:after="100"/>
              <w:jc w:val="left"/>
              <w:rPr>
                <w:rtl/>
                <w:lang w:bidi="ar-EG"/>
              </w:rPr>
            </w:pPr>
            <w:r w:rsidRPr="00726FA7">
              <w:rPr>
                <w:rFonts w:hint="cs"/>
                <w:rtl/>
                <w:lang w:bidi="ar-EG"/>
              </w:rPr>
              <w:t>تحليل الخسائر الإكتوارية الداخلة في حساب صافي الأصول</w:t>
            </w:r>
          </w:p>
        </w:tc>
        <w:tc>
          <w:tcPr>
            <w:tcW w:w="3969" w:type="dxa"/>
            <w:gridSpan w:val="2"/>
            <w:tcBorders>
              <w:top w:val="single" w:sz="4" w:space="0" w:color="auto"/>
              <w:left w:val="single" w:sz="4" w:space="0" w:color="auto"/>
              <w:bottom w:val="single" w:sz="4" w:space="0" w:color="auto"/>
            </w:tcBorders>
            <w:shd w:val="clear" w:color="auto" w:fill="auto"/>
            <w:vAlign w:val="center"/>
            <w:hideMark/>
          </w:tcPr>
          <w:p w:rsidR="00397F8F" w:rsidRPr="00726FA7" w:rsidRDefault="00397F8F" w:rsidP="003162B0">
            <w:pPr>
              <w:pStyle w:val="TableHead0"/>
              <w:spacing w:before="100" w:after="100"/>
              <w:jc w:val="left"/>
              <w:rPr>
                <w:i/>
                <w:iCs/>
                <w:rtl/>
                <w:lang w:bidi="ar-EG"/>
              </w:rPr>
            </w:pPr>
            <w:r w:rsidRPr="00726FA7">
              <w:rPr>
                <w:rFonts w:hint="cs"/>
                <w:i/>
                <w:iCs/>
                <w:rtl/>
                <w:lang w:bidi="ar-EG"/>
              </w:rPr>
              <w:t>بآلاف الفرنكات السويسرية</w:t>
            </w:r>
          </w:p>
        </w:tc>
      </w:tr>
      <w:tr w:rsidR="00397F8F" w:rsidRPr="00726FA7" w:rsidTr="006A6107">
        <w:trPr>
          <w:trHeight w:val="264"/>
          <w:jc w:val="center"/>
        </w:trPr>
        <w:tc>
          <w:tcPr>
            <w:tcW w:w="5669" w:type="dxa"/>
            <w:tcBorders>
              <w:top w:val="single" w:sz="4" w:space="0" w:color="auto"/>
              <w:right w:val="single" w:sz="4" w:space="0" w:color="auto"/>
            </w:tcBorders>
            <w:shd w:val="clear" w:color="auto" w:fill="auto"/>
            <w:hideMark/>
          </w:tcPr>
          <w:p w:rsidR="00397F8F" w:rsidRPr="00726FA7" w:rsidRDefault="00397F8F" w:rsidP="0026419C">
            <w:pPr>
              <w:pStyle w:val="Tabletexte"/>
              <w:spacing w:before="100" w:after="100"/>
            </w:pPr>
          </w:p>
        </w:tc>
        <w:tc>
          <w:tcPr>
            <w:tcW w:w="1984" w:type="dxa"/>
            <w:tcBorders>
              <w:top w:val="single" w:sz="4" w:space="0" w:color="auto"/>
              <w:left w:val="single" w:sz="4" w:space="0" w:color="auto"/>
              <w:bottom w:val="nil"/>
            </w:tcBorders>
            <w:shd w:val="clear" w:color="auto" w:fill="auto"/>
            <w:vAlign w:val="center"/>
          </w:tcPr>
          <w:p w:rsidR="00397F8F" w:rsidRPr="00726FA7" w:rsidRDefault="00397F8F" w:rsidP="0026419C">
            <w:pPr>
              <w:pStyle w:val="Tabletexte"/>
              <w:spacing w:before="100" w:after="100"/>
              <w:jc w:val="center"/>
              <w:rPr>
                <w:b/>
                <w:bCs/>
                <w:i/>
                <w:iCs/>
                <w:rtl/>
                <w:lang w:bidi="ar-EG"/>
              </w:rPr>
            </w:pPr>
            <w:r>
              <w:rPr>
                <w:b/>
                <w:bCs/>
                <w:i/>
                <w:iCs/>
              </w:rPr>
              <w:t>2016</w:t>
            </w:r>
            <w:r w:rsidRPr="00726FA7">
              <w:rPr>
                <w:b/>
                <w:bCs/>
                <w:i/>
                <w:iCs/>
              </w:rPr>
              <w:t>.12.31</w:t>
            </w:r>
          </w:p>
        </w:tc>
        <w:tc>
          <w:tcPr>
            <w:tcW w:w="1985" w:type="dxa"/>
            <w:tcBorders>
              <w:top w:val="single" w:sz="4" w:space="0" w:color="auto"/>
              <w:left w:val="single" w:sz="4" w:space="0" w:color="auto"/>
              <w:bottom w:val="nil"/>
            </w:tcBorders>
            <w:vAlign w:val="center"/>
          </w:tcPr>
          <w:p w:rsidR="00397F8F" w:rsidRPr="00726FA7" w:rsidRDefault="00397F8F" w:rsidP="0026419C">
            <w:pPr>
              <w:pStyle w:val="Tabletexte"/>
              <w:spacing w:before="100" w:after="100"/>
              <w:jc w:val="center"/>
              <w:rPr>
                <w:b/>
                <w:bCs/>
                <w:i/>
                <w:iCs/>
                <w:rtl/>
                <w:lang w:bidi="ar-EG"/>
              </w:rPr>
            </w:pPr>
            <w:r>
              <w:rPr>
                <w:b/>
                <w:bCs/>
                <w:i/>
                <w:iCs/>
              </w:rPr>
              <w:t>2015</w:t>
            </w:r>
            <w:r w:rsidRPr="00726FA7">
              <w:rPr>
                <w:b/>
                <w:bCs/>
                <w:i/>
                <w:iCs/>
              </w:rPr>
              <w:t>.12.31</w:t>
            </w:r>
          </w:p>
        </w:tc>
      </w:tr>
      <w:tr w:rsidR="00397F8F" w:rsidRPr="00726FA7" w:rsidTr="006A6107">
        <w:trPr>
          <w:trHeight w:val="264"/>
          <w:jc w:val="center"/>
        </w:trPr>
        <w:tc>
          <w:tcPr>
            <w:tcW w:w="5669" w:type="dxa"/>
            <w:tcBorders>
              <w:right w:val="single" w:sz="4" w:space="0" w:color="auto"/>
            </w:tcBorders>
            <w:shd w:val="clear" w:color="auto" w:fill="auto"/>
          </w:tcPr>
          <w:p w:rsidR="00397F8F" w:rsidRPr="00726FA7" w:rsidRDefault="00397F8F" w:rsidP="0026419C">
            <w:pPr>
              <w:pStyle w:val="Tabletexte"/>
              <w:spacing w:before="100" w:after="100"/>
            </w:pPr>
            <w:r w:rsidRPr="00726FA7">
              <w:rPr>
                <w:rFonts w:hint="cs"/>
                <w:rtl/>
                <w:lang w:bidi="ar-EG"/>
              </w:rPr>
              <w:t>الالتزامات الناتجة عن تغييرات في الافتراضات</w:t>
            </w:r>
          </w:p>
        </w:tc>
        <w:tc>
          <w:tcPr>
            <w:tcW w:w="1984" w:type="dxa"/>
            <w:tcBorders>
              <w:top w:val="nil"/>
              <w:left w:val="single" w:sz="4" w:space="0" w:color="auto"/>
              <w:bottom w:val="nil"/>
            </w:tcBorders>
            <w:shd w:val="clear" w:color="auto" w:fill="auto"/>
          </w:tcPr>
          <w:p w:rsidR="00397F8F" w:rsidRPr="00726FA7" w:rsidRDefault="00397F8F" w:rsidP="0026419C">
            <w:pPr>
              <w:pStyle w:val="Tabletexte"/>
              <w:spacing w:before="100" w:after="100"/>
              <w:ind w:left="483"/>
              <w:jc w:val="left"/>
              <w:rPr>
                <w:bCs/>
                <w:i/>
                <w:iCs/>
              </w:rPr>
            </w:pPr>
            <w:r>
              <w:rPr>
                <w:bCs/>
                <w:i/>
                <w:iCs/>
              </w:rPr>
              <w:t>42</w:t>
            </w:r>
            <w:r w:rsidRPr="00726FA7">
              <w:rPr>
                <w:bCs/>
                <w:i/>
                <w:iCs/>
              </w:rPr>
              <w:t> </w:t>
            </w:r>
            <w:r>
              <w:rPr>
                <w:bCs/>
                <w:i/>
                <w:iCs/>
              </w:rPr>
              <w:t>746</w:t>
            </w:r>
          </w:p>
        </w:tc>
        <w:tc>
          <w:tcPr>
            <w:tcW w:w="1985" w:type="dxa"/>
            <w:tcBorders>
              <w:top w:val="nil"/>
              <w:left w:val="single" w:sz="4" w:space="0" w:color="auto"/>
              <w:bottom w:val="nil"/>
            </w:tcBorders>
          </w:tcPr>
          <w:p w:rsidR="00397F8F" w:rsidRPr="00726FA7" w:rsidRDefault="00397F8F" w:rsidP="0026419C">
            <w:pPr>
              <w:pStyle w:val="Tabletexte"/>
              <w:spacing w:before="100" w:after="100"/>
              <w:ind w:left="329"/>
              <w:jc w:val="left"/>
              <w:rPr>
                <w:bCs/>
                <w:i/>
                <w:iCs/>
              </w:rPr>
            </w:pPr>
            <w:r w:rsidRPr="00726FA7">
              <w:rPr>
                <w:bCs/>
                <w:i/>
                <w:iCs/>
              </w:rPr>
              <w:t>3 238</w:t>
            </w:r>
          </w:p>
        </w:tc>
      </w:tr>
      <w:tr w:rsidR="00397F8F" w:rsidRPr="00726FA7" w:rsidTr="006A6107">
        <w:trPr>
          <w:trHeight w:val="264"/>
          <w:jc w:val="center"/>
        </w:trPr>
        <w:tc>
          <w:tcPr>
            <w:tcW w:w="5669" w:type="dxa"/>
            <w:tcBorders>
              <w:right w:val="single" w:sz="4" w:space="0" w:color="auto"/>
            </w:tcBorders>
            <w:shd w:val="clear" w:color="auto" w:fill="auto"/>
          </w:tcPr>
          <w:p w:rsidR="00397F8F" w:rsidRPr="00726FA7" w:rsidRDefault="00397F8F" w:rsidP="0026419C">
            <w:pPr>
              <w:pStyle w:val="Tabletexte"/>
              <w:spacing w:before="100" w:after="100"/>
              <w:rPr>
                <w:rtl/>
                <w:lang w:bidi="ar-EG"/>
              </w:rPr>
            </w:pPr>
            <w:r w:rsidRPr="00726FA7">
              <w:rPr>
                <w:rFonts w:hint="cs"/>
                <w:rtl/>
              </w:rPr>
              <w:t>الالتزامات الناتجة عن تطورات أثناء الفترة المالية</w:t>
            </w:r>
          </w:p>
        </w:tc>
        <w:tc>
          <w:tcPr>
            <w:tcW w:w="1984" w:type="dxa"/>
            <w:tcBorders>
              <w:top w:val="nil"/>
              <w:left w:val="single" w:sz="4" w:space="0" w:color="auto"/>
              <w:bottom w:val="nil"/>
            </w:tcBorders>
            <w:shd w:val="clear" w:color="auto" w:fill="auto"/>
          </w:tcPr>
          <w:p w:rsidR="00397F8F" w:rsidRPr="00726FA7" w:rsidRDefault="00397F8F" w:rsidP="0026419C">
            <w:pPr>
              <w:pStyle w:val="Tabletexte"/>
              <w:spacing w:before="100" w:after="100"/>
              <w:ind w:left="483"/>
              <w:jc w:val="left"/>
              <w:rPr>
                <w:bCs/>
                <w:i/>
                <w:iCs/>
              </w:rPr>
            </w:pPr>
            <w:r>
              <w:rPr>
                <w:bCs/>
                <w:i/>
                <w:iCs/>
                <w:color w:val="000000"/>
                <w:szCs w:val="18"/>
              </w:rPr>
              <w:t>22 697</w:t>
            </w:r>
          </w:p>
        </w:tc>
        <w:tc>
          <w:tcPr>
            <w:tcW w:w="1985" w:type="dxa"/>
            <w:tcBorders>
              <w:top w:val="nil"/>
              <w:left w:val="single" w:sz="4" w:space="0" w:color="auto"/>
              <w:bottom w:val="nil"/>
            </w:tcBorders>
          </w:tcPr>
          <w:p w:rsidR="00397F8F" w:rsidRPr="00726FA7" w:rsidRDefault="00397F8F" w:rsidP="0026419C">
            <w:pPr>
              <w:pStyle w:val="Tabletexte"/>
              <w:spacing w:before="100" w:after="100"/>
              <w:ind w:left="329"/>
              <w:jc w:val="left"/>
              <w:rPr>
                <w:bCs/>
                <w:i/>
                <w:iCs/>
              </w:rPr>
            </w:pPr>
            <w:r>
              <w:rPr>
                <w:bCs/>
                <w:i/>
                <w:iCs/>
              </w:rPr>
              <w:t>(</w:t>
            </w:r>
            <w:r>
              <w:rPr>
                <w:bCs/>
                <w:i/>
                <w:iCs/>
                <w:color w:val="000000"/>
                <w:szCs w:val="18"/>
              </w:rPr>
              <w:t>58 810</w:t>
            </w:r>
            <w:r>
              <w:rPr>
                <w:bCs/>
                <w:i/>
                <w:iCs/>
              </w:rPr>
              <w:t>)</w:t>
            </w:r>
          </w:p>
        </w:tc>
      </w:tr>
      <w:tr w:rsidR="00397F8F" w:rsidRPr="00726FA7" w:rsidTr="006A6107">
        <w:trPr>
          <w:trHeight w:val="264"/>
          <w:jc w:val="center"/>
        </w:trPr>
        <w:tc>
          <w:tcPr>
            <w:tcW w:w="5669" w:type="dxa"/>
            <w:tcBorders>
              <w:right w:val="single" w:sz="4" w:space="0" w:color="auto"/>
            </w:tcBorders>
            <w:shd w:val="clear" w:color="auto" w:fill="auto"/>
          </w:tcPr>
          <w:p w:rsidR="00397F8F" w:rsidRPr="00726FA7" w:rsidRDefault="00397F8F" w:rsidP="0026419C">
            <w:pPr>
              <w:pStyle w:val="Tabletexte"/>
              <w:spacing w:before="100" w:after="100"/>
            </w:pPr>
            <w:r w:rsidRPr="00726FA7">
              <w:rPr>
                <w:rFonts w:hint="cs"/>
                <w:rtl/>
              </w:rPr>
              <w:t>الخسائر/المكاسب في أصول الخطة</w:t>
            </w:r>
          </w:p>
        </w:tc>
        <w:tc>
          <w:tcPr>
            <w:tcW w:w="1984" w:type="dxa"/>
            <w:tcBorders>
              <w:top w:val="nil"/>
              <w:left w:val="single" w:sz="4" w:space="0" w:color="auto"/>
              <w:bottom w:val="nil"/>
            </w:tcBorders>
            <w:shd w:val="clear" w:color="auto" w:fill="auto"/>
          </w:tcPr>
          <w:p w:rsidR="00397F8F" w:rsidRPr="00726FA7" w:rsidRDefault="00397F8F" w:rsidP="0026419C">
            <w:pPr>
              <w:pStyle w:val="Tabletexte"/>
              <w:spacing w:before="100" w:after="100"/>
              <w:ind w:left="483"/>
              <w:jc w:val="left"/>
              <w:rPr>
                <w:bCs/>
                <w:i/>
                <w:iCs/>
              </w:rPr>
            </w:pPr>
          </w:p>
        </w:tc>
        <w:tc>
          <w:tcPr>
            <w:tcW w:w="1985" w:type="dxa"/>
            <w:tcBorders>
              <w:top w:val="nil"/>
              <w:left w:val="single" w:sz="4" w:space="0" w:color="auto"/>
              <w:bottom w:val="nil"/>
            </w:tcBorders>
          </w:tcPr>
          <w:p w:rsidR="00397F8F" w:rsidRPr="00726FA7" w:rsidRDefault="00397F8F" w:rsidP="0026419C">
            <w:pPr>
              <w:pStyle w:val="Tabletexte"/>
              <w:spacing w:before="100" w:after="100"/>
              <w:ind w:left="329"/>
              <w:jc w:val="left"/>
              <w:rPr>
                <w:bCs/>
                <w:i/>
                <w:iCs/>
              </w:rPr>
            </w:pPr>
          </w:p>
        </w:tc>
      </w:tr>
      <w:tr w:rsidR="00397F8F" w:rsidRPr="00726FA7" w:rsidTr="006A6107">
        <w:trPr>
          <w:trHeight w:val="264"/>
          <w:jc w:val="center"/>
        </w:trPr>
        <w:tc>
          <w:tcPr>
            <w:tcW w:w="5669" w:type="dxa"/>
            <w:tcBorders>
              <w:right w:val="single" w:sz="4" w:space="0" w:color="auto"/>
            </w:tcBorders>
            <w:shd w:val="clear" w:color="auto" w:fill="auto"/>
          </w:tcPr>
          <w:p w:rsidR="00397F8F" w:rsidRPr="00726FA7" w:rsidRDefault="00397F8F" w:rsidP="0026419C">
            <w:pPr>
              <w:pStyle w:val="Tabletexte"/>
              <w:spacing w:before="100" w:after="100"/>
            </w:pPr>
            <w:r w:rsidRPr="00726FA7">
              <w:rPr>
                <w:rFonts w:hint="cs"/>
                <w:rtl/>
              </w:rPr>
              <w:t>الاختلاف أثناء الفترة المالية</w:t>
            </w:r>
          </w:p>
        </w:tc>
        <w:tc>
          <w:tcPr>
            <w:tcW w:w="1984" w:type="dxa"/>
            <w:tcBorders>
              <w:top w:val="nil"/>
              <w:left w:val="single" w:sz="4" w:space="0" w:color="auto"/>
              <w:bottom w:val="nil"/>
            </w:tcBorders>
            <w:shd w:val="clear" w:color="auto" w:fill="auto"/>
          </w:tcPr>
          <w:p w:rsidR="00397F8F" w:rsidRPr="00726FA7" w:rsidRDefault="00397F8F" w:rsidP="003B535A">
            <w:pPr>
              <w:pStyle w:val="Tabletexte"/>
              <w:spacing w:before="100" w:after="100"/>
              <w:ind w:left="483"/>
              <w:jc w:val="left"/>
              <w:rPr>
                <w:bCs/>
                <w:i/>
                <w:iCs/>
                <w:rtl/>
                <w:lang w:bidi="ar-EG"/>
              </w:rPr>
            </w:pPr>
            <w:r>
              <w:rPr>
                <w:bCs/>
                <w:i/>
                <w:iCs/>
                <w:color w:val="000000"/>
                <w:szCs w:val="18"/>
              </w:rPr>
              <w:t>65 4</w:t>
            </w:r>
            <w:r w:rsidR="003B535A">
              <w:rPr>
                <w:bCs/>
                <w:i/>
                <w:iCs/>
                <w:color w:val="000000"/>
                <w:szCs w:val="18"/>
              </w:rPr>
              <w:t>4</w:t>
            </w:r>
            <w:r>
              <w:rPr>
                <w:bCs/>
                <w:i/>
                <w:iCs/>
                <w:color w:val="000000"/>
                <w:szCs w:val="18"/>
              </w:rPr>
              <w:t>3</w:t>
            </w:r>
          </w:p>
        </w:tc>
        <w:tc>
          <w:tcPr>
            <w:tcW w:w="1985" w:type="dxa"/>
            <w:tcBorders>
              <w:top w:val="nil"/>
              <w:left w:val="single" w:sz="4" w:space="0" w:color="auto"/>
              <w:bottom w:val="nil"/>
            </w:tcBorders>
          </w:tcPr>
          <w:p w:rsidR="00397F8F" w:rsidRPr="00726FA7" w:rsidRDefault="00397F8F" w:rsidP="0026419C">
            <w:pPr>
              <w:pStyle w:val="Tabletexte"/>
              <w:spacing w:before="100" w:after="100"/>
              <w:ind w:left="329"/>
              <w:jc w:val="left"/>
              <w:rPr>
                <w:bCs/>
                <w:i/>
                <w:iCs/>
              </w:rPr>
            </w:pPr>
            <w:r>
              <w:rPr>
                <w:bCs/>
                <w:i/>
                <w:iCs/>
              </w:rPr>
              <w:t>(</w:t>
            </w:r>
            <w:r>
              <w:rPr>
                <w:bCs/>
                <w:i/>
                <w:iCs/>
                <w:color w:val="000000"/>
                <w:szCs w:val="18"/>
              </w:rPr>
              <w:t>55 572</w:t>
            </w:r>
            <w:r>
              <w:rPr>
                <w:bCs/>
                <w:i/>
                <w:iCs/>
              </w:rPr>
              <w:t>)</w:t>
            </w:r>
          </w:p>
        </w:tc>
      </w:tr>
      <w:tr w:rsidR="00397F8F" w:rsidRPr="00726FA7" w:rsidTr="006A6107">
        <w:trPr>
          <w:trHeight w:val="336"/>
          <w:jc w:val="center"/>
        </w:trPr>
        <w:tc>
          <w:tcPr>
            <w:tcW w:w="5669" w:type="dxa"/>
            <w:tcBorders>
              <w:right w:val="single" w:sz="4" w:space="0" w:color="auto"/>
            </w:tcBorders>
            <w:shd w:val="clear" w:color="auto" w:fill="auto"/>
            <w:hideMark/>
          </w:tcPr>
          <w:p w:rsidR="00397F8F" w:rsidRPr="00726FA7" w:rsidRDefault="00397F8F" w:rsidP="0026419C">
            <w:pPr>
              <w:pStyle w:val="Tabletexte"/>
              <w:spacing w:before="100" w:after="100"/>
              <w:rPr>
                <w:rtl/>
                <w:lang w:bidi="ar-EG"/>
              </w:rPr>
            </w:pPr>
            <w:r w:rsidRPr="00726FA7">
              <w:rPr>
                <w:rFonts w:hint="cs"/>
                <w:rtl/>
                <w:lang w:bidi="ar-EG"/>
              </w:rPr>
              <w:t xml:space="preserve">مجموع المبلغ الداخل في حساب صافي الأصول في </w:t>
            </w:r>
            <w:r w:rsidRPr="00726FA7">
              <w:t>31</w:t>
            </w:r>
            <w:r w:rsidRPr="00726FA7">
              <w:rPr>
                <w:rFonts w:hint="cs"/>
                <w:rtl/>
                <w:lang w:bidi="ar-EG"/>
              </w:rPr>
              <w:t xml:space="preserve"> ديسمبر </w:t>
            </w:r>
          </w:p>
        </w:tc>
        <w:tc>
          <w:tcPr>
            <w:tcW w:w="1984" w:type="dxa"/>
            <w:tcBorders>
              <w:top w:val="nil"/>
              <w:left w:val="single" w:sz="4" w:space="0" w:color="auto"/>
              <w:bottom w:val="single" w:sz="4" w:space="0" w:color="auto"/>
            </w:tcBorders>
            <w:shd w:val="clear" w:color="auto" w:fill="auto"/>
          </w:tcPr>
          <w:p w:rsidR="00397F8F" w:rsidRPr="00726FA7" w:rsidRDefault="00397F8F" w:rsidP="0026419C">
            <w:pPr>
              <w:pStyle w:val="Tabletexte"/>
              <w:spacing w:before="100" w:after="100"/>
              <w:ind w:left="483"/>
              <w:jc w:val="left"/>
              <w:rPr>
                <w:bCs/>
                <w:i/>
                <w:iCs/>
              </w:rPr>
            </w:pPr>
            <w:r>
              <w:rPr>
                <w:bCs/>
                <w:i/>
                <w:iCs/>
                <w:color w:val="000000"/>
                <w:szCs w:val="18"/>
              </w:rPr>
              <w:t>322 579</w:t>
            </w:r>
          </w:p>
        </w:tc>
        <w:tc>
          <w:tcPr>
            <w:tcW w:w="1985" w:type="dxa"/>
            <w:tcBorders>
              <w:top w:val="nil"/>
              <w:left w:val="single" w:sz="4" w:space="0" w:color="auto"/>
              <w:bottom w:val="single" w:sz="4" w:space="0" w:color="auto"/>
            </w:tcBorders>
          </w:tcPr>
          <w:p w:rsidR="00397F8F" w:rsidRPr="00726FA7" w:rsidRDefault="00397F8F" w:rsidP="0026419C">
            <w:pPr>
              <w:pStyle w:val="Tabletexte"/>
              <w:spacing w:before="100" w:after="100"/>
              <w:ind w:left="329"/>
              <w:jc w:val="left"/>
              <w:rPr>
                <w:bCs/>
                <w:i/>
                <w:iCs/>
              </w:rPr>
            </w:pPr>
            <w:r>
              <w:rPr>
                <w:bCs/>
                <w:i/>
                <w:iCs/>
                <w:color w:val="000000"/>
                <w:szCs w:val="18"/>
              </w:rPr>
              <w:t>257 136</w:t>
            </w:r>
          </w:p>
        </w:tc>
      </w:tr>
    </w:tbl>
    <w:p w:rsidR="00397F8F" w:rsidRPr="00AC0E6A" w:rsidRDefault="00397F8F" w:rsidP="00397F8F">
      <w:pPr>
        <w:spacing w:before="240"/>
        <w:rPr>
          <w:rtl/>
        </w:rPr>
      </w:pPr>
      <w:r w:rsidRPr="00AC0E6A">
        <w:rPr>
          <w:lang w:bidi="ar-SY"/>
        </w:rPr>
        <w:t>3.2</w:t>
      </w:r>
      <w:r w:rsidRPr="00AC0E6A">
        <w:rPr>
          <w:rtl/>
          <w:lang w:bidi="ar-EG"/>
        </w:rPr>
        <w:tab/>
      </w:r>
      <w:r w:rsidRPr="00AC0E6A">
        <w:rPr>
          <w:rFonts w:hint="cs"/>
          <w:rtl/>
          <w:lang w:bidi="ar-EG"/>
        </w:rPr>
        <w:t xml:space="preserve">ومن بين الافتراضات الإكتوارية المستخدمة في التقدير </w:t>
      </w:r>
      <w:proofErr w:type="spellStart"/>
      <w:r w:rsidRPr="00AC0E6A">
        <w:rPr>
          <w:rFonts w:hint="cs"/>
          <w:rtl/>
          <w:lang w:bidi="ar-EG"/>
        </w:rPr>
        <w:t>الإكتواري</w:t>
      </w:r>
      <w:proofErr w:type="spellEnd"/>
      <w:r w:rsidRPr="00AC0E6A">
        <w:rPr>
          <w:rFonts w:hint="cs"/>
          <w:rtl/>
          <w:lang w:bidi="ar-EG"/>
        </w:rPr>
        <w:t xml:space="preserve">، فإن </w:t>
      </w:r>
      <w:r>
        <w:rPr>
          <w:rFonts w:hint="cs"/>
          <w:rtl/>
          <w:lang w:bidi="ar-EG"/>
        </w:rPr>
        <w:t>معدل</w:t>
      </w:r>
      <w:r w:rsidRPr="00AC0E6A">
        <w:rPr>
          <w:rFonts w:hint="cs"/>
          <w:rtl/>
          <w:lang w:bidi="ar-EG"/>
        </w:rPr>
        <w:t xml:space="preserve"> الخصم و</w:t>
      </w:r>
      <w:r>
        <w:rPr>
          <w:rFonts w:hint="cs"/>
          <w:rtl/>
          <w:lang w:bidi="ar-EG"/>
        </w:rPr>
        <w:t xml:space="preserve">زيادة </w:t>
      </w:r>
      <w:r w:rsidRPr="00AC0E6A">
        <w:rPr>
          <w:rFonts w:hint="cs"/>
          <w:rtl/>
          <w:lang w:bidi="ar-EG"/>
        </w:rPr>
        <w:t xml:space="preserve">تكاليف العلاج وزيادة المرتبات هي الافتراضات ذات التأثير الأكبر. فانخفاض </w:t>
      </w:r>
      <w:r>
        <w:rPr>
          <w:rFonts w:hint="cs"/>
          <w:rtl/>
          <w:lang w:bidi="ar-EG"/>
        </w:rPr>
        <w:t>معدل</w:t>
      </w:r>
      <w:r w:rsidRPr="00AC0E6A">
        <w:rPr>
          <w:rFonts w:hint="cs"/>
          <w:rtl/>
          <w:lang w:bidi="ar-EG"/>
        </w:rPr>
        <w:t xml:space="preserve"> الخصم أو الزيادة في تكاليف العلاج يؤديان إلى زيادة في التزام</w:t>
      </w:r>
      <w:r>
        <w:rPr>
          <w:rFonts w:hint="cs"/>
          <w:rtl/>
          <w:lang w:bidi="ar-EG"/>
        </w:rPr>
        <w:t>ات</w:t>
      </w:r>
      <w:r w:rsidRPr="00AC0E6A">
        <w:rPr>
          <w:rFonts w:hint="cs"/>
          <w:rtl/>
          <w:lang w:bidi="ar-EG"/>
        </w:rPr>
        <w:t xml:space="preserve"> التأمين الصحي بعد انتهاء مدة الخدمة في حين تؤدي الزيادة في المرتبات إلى زيادة في مساهمات ا</w:t>
      </w:r>
      <w:r>
        <w:rPr>
          <w:rFonts w:hint="cs"/>
          <w:rtl/>
          <w:lang w:bidi="ar-EG"/>
        </w:rPr>
        <w:t>لمشتركين</w:t>
      </w:r>
      <w:r w:rsidRPr="00AC0E6A">
        <w:rPr>
          <w:rFonts w:hint="cs"/>
          <w:rtl/>
          <w:lang w:bidi="ar-EG"/>
        </w:rPr>
        <w:t xml:space="preserve"> والاتحاد ومن ثم تدعم تمويل التزام</w:t>
      </w:r>
      <w:r>
        <w:rPr>
          <w:rFonts w:hint="cs"/>
          <w:rtl/>
          <w:lang w:bidi="ar-EG"/>
        </w:rPr>
        <w:t>ات</w:t>
      </w:r>
      <w:r w:rsidRPr="00AC0E6A">
        <w:rPr>
          <w:rFonts w:hint="cs"/>
          <w:rtl/>
          <w:lang w:bidi="ar-EG"/>
        </w:rPr>
        <w:t xml:space="preserve"> التأمين الصحي بعد انتهاء مدة الخدمة</w:t>
      </w:r>
      <w:r w:rsidRPr="00AC0E6A">
        <w:rPr>
          <w:rFonts w:hint="cs"/>
          <w:b/>
          <w:bCs/>
          <w:rtl/>
          <w:lang w:bidi="ar-EG"/>
        </w:rPr>
        <w:t>.</w:t>
      </w:r>
      <w:r w:rsidRPr="00AC0E6A">
        <w:rPr>
          <w:rFonts w:hint="cs"/>
          <w:rtl/>
          <w:lang w:bidi="ar-EG"/>
        </w:rPr>
        <w:t xml:space="preserve"> </w:t>
      </w:r>
    </w:p>
    <w:p w:rsidR="00397F8F" w:rsidRPr="00AC0E6A" w:rsidRDefault="00397F8F" w:rsidP="00397F8F">
      <w:pPr>
        <w:rPr>
          <w:rtl/>
          <w:lang w:bidi="ar-EG"/>
        </w:rPr>
      </w:pPr>
      <w:r w:rsidRPr="00AC0E6A">
        <w:rPr>
          <w:lang w:bidi="ar-SY"/>
        </w:rPr>
        <w:t>4.2</w:t>
      </w:r>
      <w:r w:rsidRPr="00AC0E6A">
        <w:rPr>
          <w:rtl/>
        </w:rPr>
        <w:tab/>
      </w:r>
      <w:r w:rsidRPr="00AC0E6A">
        <w:rPr>
          <w:rFonts w:hint="cs"/>
          <w:rtl/>
        </w:rPr>
        <w:t>و</w:t>
      </w:r>
      <w:r>
        <w:rPr>
          <w:rFonts w:hint="cs"/>
          <w:rtl/>
        </w:rPr>
        <w:t>معدل</w:t>
      </w:r>
      <w:r w:rsidRPr="00AC0E6A">
        <w:rPr>
          <w:rFonts w:hint="cs"/>
          <w:rtl/>
        </w:rPr>
        <w:t xml:space="preserve"> الخصم ه</w:t>
      </w:r>
      <w:r>
        <w:rPr>
          <w:rFonts w:hint="cs"/>
          <w:rtl/>
        </w:rPr>
        <w:t>و</w:t>
      </w:r>
      <w:r w:rsidRPr="00AC0E6A">
        <w:rPr>
          <w:rFonts w:hint="cs"/>
          <w:rtl/>
        </w:rPr>
        <w:t xml:space="preserve"> المتغير الذي يحدث التأثير الأكبر على قيمة الالتزام</w:t>
      </w:r>
      <w:r>
        <w:rPr>
          <w:rFonts w:hint="cs"/>
          <w:rtl/>
        </w:rPr>
        <w:t>ات</w:t>
      </w:r>
      <w:r w:rsidRPr="00AC0E6A">
        <w:rPr>
          <w:rFonts w:hint="cs"/>
          <w:rtl/>
        </w:rPr>
        <w:t xml:space="preserve"> في نهاية العام. و</w:t>
      </w:r>
      <w:r>
        <w:rPr>
          <w:rFonts w:hint="cs"/>
          <w:rtl/>
        </w:rPr>
        <w:t>ي</w:t>
      </w:r>
      <w:r w:rsidRPr="00AC0E6A">
        <w:rPr>
          <w:rFonts w:hint="cs"/>
          <w:rtl/>
        </w:rPr>
        <w:t xml:space="preserve">ستند </w:t>
      </w:r>
      <w:r>
        <w:rPr>
          <w:rFonts w:hint="cs"/>
          <w:rtl/>
        </w:rPr>
        <w:t>معدل</w:t>
      </w:r>
      <w:r w:rsidRPr="00AC0E6A">
        <w:rPr>
          <w:rFonts w:hint="cs"/>
          <w:rtl/>
        </w:rPr>
        <w:t xml:space="preserve"> الخصم إلى العائد</w:t>
      </w:r>
      <w:r w:rsidRPr="00AC0E6A">
        <w:rPr>
          <w:rFonts w:hint="eastAsia"/>
          <w:rtl/>
        </w:rPr>
        <w:t> </w:t>
      </w:r>
      <w:r w:rsidRPr="00AC0E6A">
        <w:rPr>
          <w:lang w:bidi="ar-SY"/>
        </w:rPr>
        <w:t>AA</w:t>
      </w:r>
      <w:r w:rsidRPr="00AC0E6A">
        <w:rPr>
          <w:rFonts w:hint="cs"/>
          <w:rtl/>
          <w:lang w:bidi="ar-EG"/>
        </w:rPr>
        <w:t xml:space="preserve"> على التزامات المنظمة والذي انخفض بشكل كبير في </w:t>
      </w:r>
      <w:r>
        <w:rPr>
          <w:lang w:bidi="ar-SY"/>
        </w:rPr>
        <w:t>2016</w:t>
      </w:r>
      <w:r w:rsidRPr="00AC0E6A">
        <w:rPr>
          <w:rFonts w:hint="cs"/>
          <w:rtl/>
          <w:lang w:bidi="ar-EG"/>
        </w:rPr>
        <w:t xml:space="preserve"> من </w:t>
      </w:r>
      <w:r>
        <w:rPr>
          <w:lang w:bidi="ar-SY"/>
        </w:rPr>
        <w:t>%</w:t>
      </w:r>
      <w:r w:rsidRPr="00AC0E6A">
        <w:rPr>
          <w:lang w:bidi="ar-SY"/>
        </w:rPr>
        <w:t>1,</w:t>
      </w:r>
      <w:r>
        <w:rPr>
          <w:lang w:bidi="ar-SY"/>
        </w:rPr>
        <w:t>32</w:t>
      </w:r>
      <w:r w:rsidRPr="00AC0E6A">
        <w:rPr>
          <w:rFonts w:hint="cs"/>
          <w:rtl/>
          <w:lang w:bidi="ar-EG"/>
        </w:rPr>
        <w:t xml:space="preserve"> في </w:t>
      </w:r>
      <w:r>
        <w:rPr>
          <w:lang w:bidi="ar-SY"/>
        </w:rPr>
        <w:t>2015</w:t>
      </w:r>
      <w:r w:rsidRPr="00AC0E6A">
        <w:rPr>
          <w:rFonts w:hint="cs"/>
          <w:rtl/>
          <w:lang w:bidi="ar-EG"/>
        </w:rPr>
        <w:t xml:space="preserve"> إلى </w:t>
      </w:r>
      <w:r>
        <w:rPr>
          <w:lang w:bidi="ar-SY"/>
        </w:rPr>
        <w:t>%0</w:t>
      </w:r>
      <w:r w:rsidRPr="00921C1C">
        <w:rPr>
          <w:lang w:bidi="ar-SY"/>
        </w:rPr>
        <w:t>,</w:t>
      </w:r>
      <w:r>
        <w:rPr>
          <w:lang w:bidi="ar-SY"/>
        </w:rPr>
        <w:t>9</w:t>
      </w:r>
      <w:r w:rsidRPr="00921C1C">
        <w:rPr>
          <w:lang w:bidi="ar-SY"/>
        </w:rPr>
        <w:t>2</w:t>
      </w:r>
      <w:r w:rsidRPr="00AC0E6A">
        <w:rPr>
          <w:rFonts w:hint="cs"/>
          <w:rtl/>
          <w:lang w:bidi="ar-EG"/>
        </w:rPr>
        <w:t>.</w:t>
      </w:r>
    </w:p>
    <w:p w:rsidR="00397F8F" w:rsidRDefault="00397F8F" w:rsidP="00397F8F">
      <w:r w:rsidRPr="00AC0E6A">
        <w:rPr>
          <w:lang w:bidi="ar-SY"/>
        </w:rPr>
        <w:t>5.2</w:t>
      </w:r>
      <w:r w:rsidRPr="00AC0E6A">
        <w:rPr>
          <w:rtl/>
        </w:rPr>
        <w:tab/>
        <w:t>يوضح الجدول أدناه تطور هذه الافتراضات</w:t>
      </w:r>
      <w:r w:rsidRPr="00AC0E6A">
        <w:rPr>
          <w:rFonts w:hint="cs"/>
          <w:rtl/>
        </w:rPr>
        <w:t>.</w:t>
      </w:r>
    </w:p>
    <w:p w:rsidR="00397F8F" w:rsidRPr="00AC0E6A" w:rsidRDefault="00397F8F" w:rsidP="0026419C">
      <w:pPr>
        <w:pStyle w:val="Headingb0"/>
        <w:spacing w:after="120"/>
        <w:rPr>
          <w:lang w:bidi="ar-EG"/>
        </w:rPr>
      </w:pPr>
      <w:r w:rsidRPr="007F3645">
        <w:rPr>
          <w:rFonts w:hint="cs"/>
          <w:rtl/>
          <w:lang w:bidi="ar-EG"/>
        </w:rPr>
        <w:t xml:space="preserve">التقديرات الإكتوارية المحتفظ بها لأغراض التقييم </w:t>
      </w:r>
      <w:proofErr w:type="spellStart"/>
      <w:r w:rsidRPr="007F3645">
        <w:rPr>
          <w:rFonts w:hint="cs"/>
          <w:rtl/>
          <w:lang w:bidi="ar-EG"/>
        </w:rPr>
        <w:t>الإكتواري</w:t>
      </w:r>
      <w:proofErr w:type="spellEnd"/>
      <w:r w:rsidRPr="007F3645">
        <w:rPr>
          <w:rFonts w:hint="cs"/>
          <w:rtl/>
          <w:lang w:bidi="ar-EG"/>
        </w:rPr>
        <w:t xml:space="preserve"> </w:t>
      </w:r>
      <w:r>
        <w:rPr>
          <w:rFonts w:hint="cs"/>
          <w:rtl/>
          <w:lang w:bidi="ar-EG"/>
        </w:rPr>
        <w:t>مع التأثير</w:t>
      </w:r>
      <w:r w:rsidRPr="007F3645">
        <w:rPr>
          <w:rFonts w:hint="cs"/>
          <w:rtl/>
          <w:lang w:bidi="ar-EG"/>
        </w:rPr>
        <w:t xml:space="preserve"> الكبير على الالتزامات بموجب المعيار </w:t>
      </w:r>
      <w:r w:rsidRPr="007F3645">
        <w:rPr>
          <w:lang w:bidi="ar-EG"/>
        </w:rPr>
        <w:t>25</w:t>
      </w:r>
      <w:r w:rsidRPr="007F3645">
        <w:rPr>
          <w:rFonts w:hint="cs"/>
          <w:rtl/>
          <w:lang w:bidi="ar-EG"/>
        </w:rPr>
        <w:t xml:space="preserve"> من المعايير </w:t>
      </w:r>
      <w:r w:rsidRPr="007F3645">
        <w:rPr>
          <w:lang w:bidi="ar-EG"/>
        </w:rPr>
        <w:t>IPSAS</w:t>
      </w:r>
      <w:r w:rsidRPr="007F3645">
        <w:rPr>
          <w:rFonts w:hint="cs"/>
          <w:rtl/>
          <w:lang w:bidi="ar-EG"/>
        </w:rPr>
        <w:t xml:space="preserve"> وصافي أصول الاتحاد</w:t>
      </w:r>
    </w:p>
    <w:tbl>
      <w:tblPr>
        <w:tblStyle w:val="TableGrid"/>
        <w:bidiVisual/>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1077"/>
        <w:gridCol w:w="1077"/>
        <w:gridCol w:w="1077"/>
        <w:gridCol w:w="1077"/>
        <w:gridCol w:w="1077"/>
        <w:gridCol w:w="1077"/>
        <w:gridCol w:w="1077"/>
      </w:tblGrid>
      <w:tr w:rsidR="00626EEE" w:rsidRPr="00A1392B" w:rsidTr="000224DE">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rsidR="00397F8F" w:rsidRPr="00A1392B" w:rsidRDefault="00397F8F" w:rsidP="003162B0">
            <w:pPr>
              <w:pStyle w:val="TableHead0"/>
              <w:spacing w:before="100" w:after="100"/>
              <w:rPr>
                <w:color w:val="244061"/>
                <w:lang w:bidi="ar-SY"/>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97F8F" w:rsidRPr="00A1392B" w:rsidRDefault="00397F8F" w:rsidP="003162B0">
            <w:pPr>
              <w:pStyle w:val="TableHead0"/>
              <w:spacing w:before="100" w:after="100"/>
              <w:rPr>
                <w:lang w:bidi="ar-SY"/>
              </w:rPr>
            </w:pPr>
            <w:r w:rsidRPr="00A1392B">
              <w:rPr>
                <w:lang w:bidi="ar-SY"/>
              </w:rPr>
              <w:t>2010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97F8F" w:rsidRPr="00A1392B" w:rsidRDefault="00397F8F" w:rsidP="003162B0">
            <w:pPr>
              <w:pStyle w:val="TableHead0"/>
              <w:spacing w:before="100" w:after="100"/>
              <w:rPr>
                <w:lang w:bidi="ar-SY"/>
              </w:rPr>
            </w:pPr>
            <w:r w:rsidRPr="00A1392B">
              <w:rPr>
                <w:lang w:bidi="ar-SY"/>
              </w:rPr>
              <w:t>20</w:t>
            </w:r>
            <w:r>
              <w:rPr>
                <w:lang w:bidi="ar-SY"/>
              </w:rPr>
              <w:t>1</w:t>
            </w:r>
            <w:r w:rsidRPr="00A1392B">
              <w:rPr>
                <w:lang w:bidi="ar-SY"/>
              </w:rPr>
              <w:t>1</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97F8F" w:rsidRPr="00A1392B" w:rsidRDefault="00397F8F" w:rsidP="003162B0">
            <w:pPr>
              <w:pStyle w:val="TableHead0"/>
              <w:spacing w:before="100" w:after="100"/>
              <w:rPr>
                <w:rtl/>
                <w:lang w:bidi="ar-EG"/>
              </w:rPr>
            </w:pPr>
            <w:r w:rsidRPr="00A1392B">
              <w:rPr>
                <w:lang w:bidi="ar-SY"/>
              </w:rPr>
              <w:t>2012</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97F8F" w:rsidRPr="00A1392B" w:rsidRDefault="00397F8F" w:rsidP="003162B0">
            <w:pPr>
              <w:pStyle w:val="TableHead0"/>
              <w:spacing w:before="100" w:after="100"/>
              <w:rPr>
                <w:rtl/>
                <w:lang w:bidi="ar-EG"/>
              </w:rPr>
            </w:pPr>
            <w:r w:rsidRPr="00A1392B">
              <w:rPr>
                <w:lang w:bidi="ar-SY"/>
              </w:rPr>
              <w:t>2013</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97F8F" w:rsidRPr="00A1392B" w:rsidRDefault="00397F8F" w:rsidP="003162B0">
            <w:pPr>
              <w:pStyle w:val="TableHead0"/>
              <w:spacing w:before="100" w:after="100"/>
              <w:rPr>
                <w:rtl/>
                <w:lang w:bidi="ar-EG"/>
              </w:rPr>
            </w:pPr>
            <w:r w:rsidRPr="00A1392B">
              <w:rPr>
                <w:lang w:bidi="ar-SY"/>
              </w:rPr>
              <w:t>2014</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97F8F" w:rsidRPr="00A1392B" w:rsidRDefault="00397F8F" w:rsidP="003162B0">
            <w:pPr>
              <w:pStyle w:val="TableHead0"/>
              <w:spacing w:before="100" w:after="100"/>
              <w:rPr>
                <w:rtl/>
                <w:lang w:bidi="ar-EG"/>
              </w:rPr>
            </w:pPr>
            <w:r w:rsidRPr="00A1392B">
              <w:rPr>
                <w:lang w:bidi="ar-SY"/>
              </w:rPr>
              <w:t>2015</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97F8F" w:rsidRPr="00A1392B" w:rsidRDefault="00397F8F" w:rsidP="003162B0">
            <w:pPr>
              <w:pStyle w:val="TableHead0"/>
              <w:spacing w:before="100" w:after="100"/>
              <w:rPr>
                <w:lang w:bidi="ar-SY"/>
              </w:rPr>
            </w:pPr>
            <w:r>
              <w:rPr>
                <w:lang w:bidi="ar-SY"/>
              </w:rPr>
              <w:t>2016</w:t>
            </w:r>
          </w:p>
        </w:tc>
      </w:tr>
      <w:tr w:rsidR="000224DE" w:rsidRPr="00A1392B" w:rsidTr="000224DE">
        <w:tc>
          <w:tcPr>
            <w:tcW w:w="2098" w:type="dxa"/>
            <w:tcBorders>
              <w:top w:val="single" w:sz="4" w:space="0" w:color="auto"/>
              <w:left w:val="single" w:sz="4" w:space="0" w:color="auto"/>
              <w:right w:val="single" w:sz="4" w:space="0" w:color="auto"/>
            </w:tcBorders>
            <w:vAlign w:val="center"/>
          </w:tcPr>
          <w:p w:rsidR="000224DE" w:rsidRPr="00A1392B" w:rsidRDefault="000224DE" w:rsidP="000224DE">
            <w:pPr>
              <w:pStyle w:val="Tabletexte"/>
              <w:jc w:val="left"/>
              <w:rPr>
                <w:rtl/>
              </w:rPr>
            </w:pPr>
          </w:p>
        </w:tc>
        <w:tc>
          <w:tcPr>
            <w:tcW w:w="1077" w:type="dxa"/>
            <w:tcBorders>
              <w:top w:val="single" w:sz="4" w:space="0" w:color="auto"/>
              <w:left w:val="single" w:sz="4" w:space="0" w:color="auto"/>
              <w:right w:val="single" w:sz="4" w:space="0" w:color="auto"/>
            </w:tcBorders>
            <w:vAlign w:val="center"/>
          </w:tcPr>
          <w:p w:rsidR="000224DE" w:rsidRPr="00A1392B" w:rsidRDefault="000224DE" w:rsidP="000224DE">
            <w:pPr>
              <w:pStyle w:val="Tabletexte"/>
              <w:jc w:val="center"/>
            </w:pPr>
          </w:p>
        </w:tc>
        <w:tc>
          <w:tcPr>
            <w:tcW w:w="1077" w:type="dxa"/>
            <w:tcBorders>
              <w:top w:val="single" w:sz="4" w:space="0" w:color="auto"/>
              <w:left w:val="single" w:sz="4" w:space="0" w:color="auto"/>
              <w:right w:val="single" w:sz="4" w:space="0" w:color="auto"/>
            </w:tcBorders>
            <w:vAlign w:val="center"/>
          </w:tcPr>
          <w:p w:rsidR="000224DE" w:rsidRPr="00A1392B" w:rsidRDefault="000224DE" w:rsidP="000224DE">
            <w:pPr>
              <w:pStyle w:val="Tabletexte"/>
              <w:jc w:val="center"/>
            </w:pPr>
          </w:p>
        </w:tc>
        <w:tc>
          <w:tcPr>
            <w:tcW w:w="1077" w:type="dxa"/>
            <w:tcBorders>
              <w:top w:val="single" w:sz="4" w:space="0" w:color="auto"/>
              <w:left w:val="single" w:sz="4" w:space="0" w:color="auto"/>
              <w:right w:val="single" w:sz="4" w:space="0" w:color="auto"/>
            </w:tcBorders>
            <w:vAlign w:val="center"/>
          </w:tcPr>
          <w:p w:rsidR="000224DE" w:rsidRPr="00A1392B" w:rsidRDefault="000224DE" w:rsidP="000224DE">
            <w:pPr>
              <w:pStyle w:val="Tabletexte"/>
              <w:jc w:val="center"/>
            </w:pPr>
          </w:p>
        </w:tc>
        <w:tc>
          <w:tcPr>
            <w:tcW w:w="1077" w:type="dxa"/>
            <w:tcBorders>
              <w:top w:val="single" w:sz="4" w:space="0" w:color="auto"/>
              <w:left w:val="single" w:sz="4" w:space="0" w:color="auto"/>
              <w:right w:val="single" w:sz="4" w:space="0" w:color="auto"/>
            </w:tcBorders>
            <w:vAlign w:val="center"/>
          </w:tcPr>
          <w:p w:rsidR="000224DE" w:rsidRPr="00A1392B" w:rsidRDefault="000224DE" w:rsidP="000224DE">
            <w:pPr>
              <w:pStyle w:val="Tabletexte"/>
              <w:jc w:val="center"/>
            </w:pPr>
          </w:p>
        </w:tc>
        <w:tc>
          <w:tcPr>
            <w:tcW w:w="1077" w:type="dxa"/>
            <w:tcBorders>
              <w:top w:val="single" w:sz="4" w:space="0" w:color="auto"/>
              <w:left w:val="single" w:sz="4" w:space="0" w:color="auto"/>
              <w:right w:val="single" w:sz="4" w:space="0" w:color="auto"/>
            </w:tcBorders>
            <w:vAlign w:val="center"/>
          </w:tcPr>
          <w:p w:rsidR="000224DE" w:rsidRPr="00A1392B" w:rsidRDefault="000224DE" w:rsidP="000224DE">
            <w:pPr>
              <w:pStyle w:val="Tabletexte"/>
              <w:jc w:val="center"/>
            </w:pPr>
          </w:p>
        </w:tc>
        <w:tc>
          <w:tcPr>
            <w:tcW w:w="1077" w:type="dxa"/>
            <w:tcBorders>
              <w:top w:val="single" w:sz="4" w:space="0" w:color="auto"/>
              <w:left w:val="single" w:sz="4" w:space="0" w:color="auto"/>
              <w:right w:val="single" w:sz="4" w:space="0" w:color="auto"/>
            </w:tcBorders>
            <w:vAlign w:val="center"/>
          </w:tcPr>
          <w:p w:rsidR="000224DE" w:rsidRPr="00A1392B" w:rsidRDefault="000224DE" w:rsidP="000224DE">
            <w:pPr>
              <w:pStyle w:val="Tabletexte"/>
              <w:jc w:val="center"/>
            </w:pPr>
          </w:p>
        </w:tc>
        <w:tc>
          <w:tcPr>
            <w:tcW w:w="1077" w:type="dxa"/>
            <w:tcBorders>
              <w:top w:val="single" w:sz="4" w:space="0" w:color="auto"/>
              <w:left w:val="single" w:sz="4" w:space="0" w:color="auto"/>
              <w:right w:val="single" w:sz="4" w:space="0" w:color="auto"/>
            </w:tcBorders>
            <w:vAlign w:val="center"/>
          </w:tcPr>
          <w:p w:rsidR="000224DE" w:rsidRPr="007F364C" w:rsidRDefault="000224DE" w:rsidP="000224DE">
            <w:pPr>
              <w:pStyle w:val="Tabletexte"/>
              <w:jc w:val="center"/>
            </w:pPr>
          </w:p>
        </w:tc>
      </w:tr>
      <w:tr w:rsidR="00397F8F" w:rsidRPr="00A1392B" w:rsidTr="000224DE">
        <w:tc>
          <w:tcPr>
            <w:tcW w:w="2098" w:type="dxa"/>
            <w:tcBorders>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left"/>
              <w:rPr>
                <w:rtl/>
              </w:rPr>
            </w:pPr>
            <w:r w:rsidRPr="00A1392B">
              <w:rPr>
                <w:rFonts w:hint="cs"/>
                <w:rtl/>
              </w:rPr>
              <w:t>معدل الخصم</w:t>
            </w:r>
          </w:p>
        </w:tc>
        <w:tc>
          <w:tcPr>
            <w:tcW w:w="1077" w:type="dxa"/>
            <w:tcBorders>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pPr>
            <w:r w:rsidRPr="00A1392B">
              <w:t>%</w:t>
            </w:r>
            <w:r>
              <w:t>3</w:t>
            </w:r>
            <w:r w:rsidRPr="00A1392B">
              <w:t>,</w:t>
            </w:r>
            <w:r>
              <w:t>25</w:t>
            </w:r>
          </w:p>
        </w:tc>
        <w:tc>
          <w:tcPr>
            <w:tcW w:w="1077" w:type="dxa"/>
            <w:tcBorders>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rPr>
                <w:rtl/>
              </w:rPr>
            </w:pPr>
            <w:r w:rsidRPr="00A1392B">
              <w:t>%</w:t>
            </w:r>
            <w:r>
              <w:t>2</w:t>
            </w:r>
            <w:r w:rsidRPr="00A1392B">
              <w:t>,</w:t>
            </w:r>
            <w:r>
              <w:t>50</w:t>
            </w:r>
          </w:p>
        </w:tc>
        <w:tc>
          <w:tcPr>
            <w:tcW w:w="1077" w:type="dxa"/>
            <w:tcBorders>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rPr>
                <w:rtl/>
              </w:rPr>
            </w:pPr>
            <w:r w:rsidRPr="00A1392B">
              <w:t>%2,</w:t>
            </w:r>
            <w:r>
              <w:t>24</w:t>
            </w:r>
          </w:p>
        </w:tc>
        <w:tc>
          <w:tcPr>
            <w:tcW w:w="1077" w:type="dxa"/>
            <w:tcBorders>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rPr>
                <w:rtl/>
              </w:rPr>
            </w:pPr>
            <w:r w:rsidRPr="00A1392B">
              <w:t>%2,</w:t>
            </w:r>
            <w:r>
              <w:t>76</w:t>
            </w:r>
          </w:p>
        </w:tc>
        <w:tc>
          <w:tcPr>
            <w:tcW w:w="1077" w:type="dxa"/>
            <w:tcBorders>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rPr>
                <w:rtl/>
              </w:rPr>
            </w:pPr>
            <w:r w:rsidRPr="00A1392B">
              <w:t>%</w:t>
            </w:r>
            <w:r>
              <w:t>1</w:t>
            </w:r>
            <w:r w:rsidRPr="00A1392B">
              <w:t>,</w:t>
            </w:r>
            <w:r>
              <w:t>51</w:t>
            </w:r>
          </w:p>
        </w:tc>
        <w:tc>
          <w:tcPr>
            <w:tcW w:w="1077" w:type="dxa"/>
            <w:tcBorders>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rPr>
                <w:rtl/>
              </w:rPr>
            </w:pPr>
            <w:r w:rsidRPr="00A1392B">
              <w:t>%1,</w:t>
            </w:r>
            <w:r>
              <w:t>32</w:t>
            </w:r>
          </w:p>
        </w:tc>
        <w:tc>
          <w:tcPr>
            <w:tcW w:w="1077" w:type="dxa"/>
            <w:tcBorders>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pPr>
            <w:r w:rsidRPr="007F364C">
              <w:t>%</w:t>
            </w:r>
            <w:r>
              <w:t>0</w:t>
            </w:r>
            <w:r w:rsidRPr="007F364C">
              <w:t>,</w:t>
            </w:r>
            <w:r>
              <w:t>92</w:t>
            </w:r>
          </w:p>
        </w:tc>
      </w:tr>
      <w:tr w:rsidR="00397F8F" w:rsidRPr="00A1392B" w:rsidTr="003162B0">
        <w:tc>
          <w:tcPr>
            <w:tcW w:w="2098" w:type="dxa"/>
            <w:tcBorders>
              <w:top w:val="single" w:sz="4" w:space="0" w:color="auto"/>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left"/>
              <w:rPr>
                <w:rtl/>
              </w:rPr>
            </w:pPr>
            <w:r w:rsidRPr="00A1392B">
              <w:rPr>
                <w:rFonts w:hint="cs"/>
                <w:rtl/>
              </w:rPr>
              <w:t>الزيادة في التكاليف الطبية</w:t>
            </w:r>
          </w:p>
        </w:tc>
        <w:tc>
          <w:tcPr>
            <w:tcW w:w="1077" w:type="dxa"/>
            <w:tcBorders>
              <w:top w:val="single" w:sz="4" w:space="0" w:color="auto"/>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pPr>
            <w:r>
              <w:rPr>
                <w:lang w:bidi="ar-EG"/>
              </w:rPr>
              <w:t>%</w:t>
            </w:r>
            <w:r>
              <w:t>3,80</w:t>
            </w:r>
          </w:p>
        </w:tc>
        <w:tc>
          <w:tcPr>
            <w:tcW w:w="1077" w:type="dxa"/>
            <w:tcBorders>
              <w:top w:val="single" w:sz="4" w:space="0" w:color="auto"/>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pPr>
            <w:r w:rsidRPr="00A1392B">
              <w:t>%</w:t>
            </w:r>
            <w:r>
              <w:t>6</w:t>
            </w:r>
            <w:r w:rsidRPr="00A1392B">
              <w:t>,</w:t>
            </w:r>
            <w:r>
              <w:t>00</w:t>
            </w:r>
          </w:p>
        </w:tc>
        <w:tc>
          <w:tcPr>
            <w:tcW w:w="1077" w:type="dxa"/>
            <w:tcBorders>
              <w:top w:val="single" w:sz="4" w:space="0" w:color="auto"/>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pPr>
            <w:r w:rsidRPr="00A1392B">
              <w:t>%</w:t>
            </w:r>
            <w:r>
              <w:t>5</w:t>
            </w:r>
            <w:r w:rsidRPr="00A1392B">
              <w:t>,</w:t>
            </w:r>
            <w:r>
              <w:t>70</w:t>
            </w:r>
          </w:p>
        </w:tc>
        <w:tc>
          <w:tcPr>
            <w:tcW w:w="1077" w:type="dxa"/>
            <w:tcBorders>
              <w:top w:val="single" w:sz="4" w:space="0" w:color="auto"/>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pPr>
            <w:r w:rsidRPr="00A1392B">
              <w:t>%5,</w:t>
            </w:r>
            <w:r>
              <w:t>4</w:t>
            </w:r>
            <w:r w:rsidRPr="00A1392B">
              <w:t>0</w:t>
            </w:r>
          </w:p>
        </w:tc>
        <w:tc>
          <w:tcPr>
            <w:tcW w:w="1077" w:type="dxa"/>
            <w:tcBorders>
              <w:top w:val="single" w:sz="4" w:space="0" w:color="auto"/>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pPr>
            <w:r w:rsidRPr="00A1392B">
              <w:t>%5,</w:t>
            </w:r>
            <w:r>
              <w:t>1</w:t>
            </w:r>
            <w:r w:rsidRPr="00A1392B">
              <w:t>0</w:t>
            </w:r>
          </w:p>
        </w:tc>
        <w:tc>
          <w:tcPr>
            <w:tcW w:w="1077" w:type="dxa"/>
            <w:tcBorders>
              <w:top w:val="single" w:sz="4" w:space="0" w:color="auto"/>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pPr>
            <w:r w:rsidRPr="00A1392B">
              <w:t>%</w:t>
            </w:r>
            <w:r>
              <w:t>4</w:t>
            </w:r>
            <w:r w:rsidRPr="00A1392B">
              <w:t>,</w:t>
            </w:r>
            <w:r>
              <w:t>80</w:t>
            </w:r>
          </w:p>
        </w:tc>
        <w:tc>
          <w:tcPr>
            <w:tcW w:w="1077" w:type="dxa"/>
            <w:tcBorders>
              <w:top w:val="single" w:sz="4" w:space="0" w:color="auto"/>
              <w:left w:val="single" w:sz="4" w:space="0" w:color="auto"/>
              <w:bottom w:val="single" w:sz="4" w:space="0" w:color="auto"/>
              <w:right w:val="single" w:sz="4" w:space="0" w:color="auto"/>
            </w:tcBorders>
            <w:vAlign w:val="center"/>
          </w:tcPr>
          <w:p w:rsidR="00397F8F" w:rsidRPr="00A1392B" w:rsidRDefault="00397F8F" w:rsidP="003162B0">
            <w:pPr>
              <w:pStyle w:val="Tabletexte"/>
              <w:spacing w:before="100" w:after="100"/>
              <w:jc w:val="center"/>
            </w:pPr>
            <w:r w:rsidRPr="007F364C">
              <w:t>%</w:t>
            </w:r>
            <w:r>
              <w:t>4</w:t>
            </w:r>
            <w:r w:rsidRPr="007F364C">
              <w:t>,50</w:t>
            </w:r>
          </w:p>
        </w:tc>
      </w:tr>
      <w:tr w:rsidR="003162B0" w:rsidRPr="00A1392B" w:rsidTr="003162B0">
        <w:tc>
          <w:tcPr>
            <w:tcW w:w="2098" w:type="dxa"/>
            <w:vMerge w:val="restart"/>
            <w:tcBorders>
              <w:top w:val="single" w:sz="4" w:space="0" w:color="auto"/>
              <w:left w:val="single" w:sz="4" w:space="0" w:color="auto"/>
              <w:bottom w:val="single" w:sz="4" w:space="0" w:color="auto"/>
              <w:right w:val="single" w:sz="4" w:space="0" w:color="auto"/>
            </w:tcBorders>
            <w:vAlign w:val="center"/>
          </w:tcPr>
          <w:p w:rsidR="003162B0" w:rsidRPr="00A1392B" w:rsidRDefault="003162B0" w:rsidP="003162B0">
            <w:pPr>
              <w:pStyle w:val="Tabletexte"/>
              <w:spacing w:before="100" w:after="100"/>
              <w:jc w:val="left"/>
              <w:rPr>
                <w:rtl/>
              </w:rPr>
            </w:pPr>
            <w:r w:rsidRPr="00A1392B">
              <w:rPr>
                <w:rFonts w:hint="cs"/>
                <w:rtl/>
              </w:rPr>
              <w:t>الزيادة في المرتبات</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3162B0" w:rsidRPr="00A1392B" w:rsidRDefault="003162B0" w:rsidP="003162B0">
            <w:pPr>
              <w:pStyle w:val="Tabletexte"/>
              <w:spacing w:before="100" w:after="100"/>
              <w:jc w:val="center"/>
            </w:pPr>
            <w:r w:rsidRPr="00A1392B">
              <w:t>%2,50</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3162B0" w:rsidRPr="00A1392B" w:rsidRDefault="003162B0" w:rsidP="003162B0">
            <w:pPr>
              <w:pStyle w:val="Tabletexte"/>
              <w:spacing w:before="100" w:after="100"/>
              <w:jc w:val="center"/>
            </w:pPr>
            <w:r w:rsidRPr="00A1392B">
              <w:t>%</w:t>
            </w:r>
            <w:r>
              <w:t>3</w:t>
            </w:r>
            <w:r w:rsidRPr="00A1392B">
              <w:t>,</w:t>
            </w:r>
            <w:r>
              <w:t>8</w:t>
            </w:r>
            <w:r w:rsidRPr="00A1392B">
              <w:t>0</w:t>
            </w:r>
          </w:p>
        </w:tc>
        <w:tc>
          <w:tcPr>
            <w:tcW w:w="1077" w:type="dxa"/>
            <w:tcBorders>
              <w:top w:val="single" w:sz="4" w:space="0" w:color="auto"/>
              <w:left w:val="single" w:sz="4" w:space="0" w:color="auto"/>
              <w:bottom w:val="single" w:sz="4" w:space="0" w:color="auto"/>
              <w:right w:val="single" w:sz="4" w:space="0" w:color="auto"/>
            </w:tcBorders>
            <w:vAlign w:val="center"/>
          </w:tcPr>
          <w:p w:rsidR="003162B0" w:rsidRPr="00A1392B" w:rsidRDefault="003162B0" w:rsidP="003162B0">
            <w:pPr>
              <w:pStyle w:val="Tabletexte"/>
              <w:spacing w:before="100" w:after="100"/>
              <w:jc w:val="center"/>
            </w:pPr>
            <w:r>
              <w:t>P %3,58</w:t>
            </w:r>
          </w:p>
        </w:tc>
        <w:tc>
          <w:tcPr>
            <w:tcW w:w="1077" w:type="dxa"/>
            <w:tcBorders>
              <w:top w:val="single" w:sz="4" w:space="0" w:color="auto"/>
              <w:left w:val="single" w:sz="4" w:space="0" w:color="auto"/>
              <w:bottom w:val="single" w:sz="4" w:space="0" w:color="auto"/>
              <w:right w:val="single" w:sz="4" w:space="0" w:color="auto"/>
            </w:tcBorders>
            <w:vAlign w:val="center"/>
          </w:tcPr>
          <w:p w:rsidR="003162B0" w:rsidRPr="007F364C" w:rsidRDefault="003162B0" w:rsidP="003162B0">
            <w:pPr>
              <w:pStyle w:val="Tabletexte"/>
              <w:spacing w:before="100" w:after="100"/>
              <w:jc w:val="center"/>
              <w:rPr>
                <w:rtl/>
                <w:lang w:bidi="ar-EG"/>
              </w:rPr>
            </w:pPr>
            <w:r w:rsidRPr="007F364C">
              <w:t>P</w:t>
            </w:r>
            <w:r>
              <w:t> </w:t>
            </w:r>
            <w:r w:rsidRPr="007F364C">
              <w:t>%3,58</w:t>
            </w:r>
          </w:p>
        </w:tc>
        <w:tc>
          <w:tcPr>
            <w:tcW w:w="1077" w:type="dxa"/>
            <w:tcBorders>
              <w:top w:val="single" w:sz="4" w:space="0" w:color="auto"/>
              <w:left w:val="single" w:sz="4" w:space="0" w:color="auto"/>
              <w:bottom w:val="single" w:sz="4" w:space="0" w:color="auto"/>
              <w:right w:val="single" w:sz="4" w:space="0" w:color="auto"/>
            </w:tcBorders>
            <w:vAlign w:val="center"/>
          </w:tcPr>
          <w:p w:rsidR="003162B0" w:rsidRPr="007F364C" w:rsidRDefault="003162B0" w:rsidP="003162B0">
            <w:pPr>
              <w:pStyle w:val="Tabletexte"/>
              <w:spacing w:before="100" w:after="100"/>
              <w:jc w:val="center"/>
              <w:rPr>
                <w:rtl/>
              </w:rPr>
            </w:pPr>
            <w:r w:rsidRPr="007F364C">
              <w:t>P</w:t>
            </w:r>
            <w:r>
              <w:t> </w:t>
            </w:r>
            <w:r w:rsidRPr="007F364C">
              <w:t>%3,86</w:t>
            </w:r>
          </w:p>
        </w:tc>
        <w:tc>
          <w:tcPr>
            <w:tcW w:w="1077" w:type="dxa"/>
            <w:vMerge w:val="restart"/>
            <w:tcBorders>
              <w:top w:val="single" w:sz="4" w:space="0" w:color="auto"/>
              <w:left w:val="single" w:sz="4" w:space="0" w:color="auto"/>
              <w:right w:val="single" w:sz="4" w:space="0" w:color="auto"/>
            </w:tcBorders>
            <w:vAlign w:val="center"/>
          </w:tcPr>
          <w:p w:rsidR="003162B0" w:rsidRPr="007F364C" w:rsidRDefault="003162B0" w:rsidP="003162B0">
            <w:pPr>
              <w:pStyle w:val="Tabletexte"/>
              <w:spacing w:before="100" w:after="100"/>
              <w:jc w:val="center"/>
              <w:rPr>
                <w:rtl/>
              </w:rPr>
            </w:pPr>
            <w:r w:rsidRPr="007F364C">
              <w:t>%3,50</w:t>
            </w:r>
          </w:p>
        </w:tc>
        <w:tc>
          <w:tcPr>
            <w:tcW w:w="1077" w:type="dxa"/>
            <w:vMerge w:val="restart"/>
            <w:tcBorders>
              <w:top w:val="single" w:sz="4" w:space="0" w:color="auto"/>
              <w:left w:val="single" w:sz="4" w:space="0" w:color="auto"/>
              <w:right w:val="single" w:sz="4" w:space="0" w:color="auto"/>
            </w:tcBorders>
            <w:vAlign w:val="center"/>
          </w:tcPr>
          <w:p w:rsidR="003162B0" w:rsidRPr="007F364C" w:rsidRDefault="003162B0" w:rsidP="003162B0">
            <w:pPr>
              <w:pStyle w:val="Tabletexte"/>
              <w:spacing w:before="100" w:after="100"/>
              <w:jc w:val="center"/>
              <w:rPr>
                <w:rtl/>
              </w:rPr>
            </w:pPr>
            <w:r w:rsidRPr="007F364C">
              <w:t>%3,50</w:t>
            </w:r>
          </w:p>
        </w:tc>
      </w:tr>
      <w:tr w:rsidR="003162B0" w:rsidRPr="00A1392B" w:rsidTr="003162B0">
        <w:tc>
          <w:tcPr>
            <w:tcW w:w="2098" w:type="dxa"/>
            <w:vMerge/>
            <w:tcBorders>
              <w:top w:val="single" w:sz="4" w:space="0" w:color="auto"/>
              <w:left w:val="single" w:sz="4" w:space="0" w:color="auto"/>
              <w:bottom w:val="single" w:sz="4" w:space="0" w:color="auto"/>
              <w:right w:val="single" w:sz="4" w:space="0" w:color="auto"/>
            </w:tcBorders>
            <w:vAlign w:val="center"/>
          </w:tcPr>
          <w:p w:rsidR="003162B0" w:rsidRPr="00A1392B" w:rsidRDefault="003162B0" w:rsidP="003162B0">
            <w:pPr>
              <w:pStyle w:val="Tabletexte"/>
              <w:spacing w:before="100" w:after="100"/>
              <w:jc w:val="left"/>
              <w:rPr>
                <w:rtl/>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3162B0" w:rsidRPr="00A1392B" w:rsidRDefault="003162B0" w:rsidP="003162B0">
            <w:pPr>
              <w:pStyle w:val="Tabletexte"/>
              <w:spacing w:before="100" w:after="100"/>
              <w:jc w:val="center"/>
            </w:pPr>
          </w:p>
        </w:tc>
        <w:tc>
          <w:tcPr>
            <w:tcW w:w="1077" w:type="dxa"/>
            <w:vMerge/>
            <w:tcBorders>
              <w:top w:val="single" w:sz="4" w:space="0" w:color="auto"/>
              <w:left w:val="single" w:sz="4" w:space="0" w:color="auto"/>
              <w:bottom w:val="single" w:sz="4" w:space="0" w:color="auto"/>
              <w:right w:val="single" w:sz="4" w:space="0" w:color="auto"/>
            </w:tcBorders>
            <w:vAlign w:val="center"/>
          </w:tcPr>
          <w:p w:rsidR="003162B0" w:rsidRPr="00A1392B" w:rsidRDefault="003162B0" w:rsidP="003162B0">
            <w:pPr>
              <w:pStyle w:val="Tabletexte"/>
              <w:spacing w:before="100" w:after="10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3162B0" w:rsidRPr="00A1392B" w:rsidRDefault="003162B0" w:rsidP="003162B0">
            <w:pPr>
              <w:pStyle w:val="Tabletexte"/>
              <w:spacing w:before="100" w:after="100"/>
              <w:jc w:val="center"/>
              <w:rPr>
                <w:rtl/>
              </w:rPr>
            </w:pPr>
            <w:r>
              <w:t>G </w:t>
            </w:r>
            <w:r w:rsidRPr="00A1392B">
              <w:t>%3,</w:t>
            </w:r>
            <w:r>
              <w:t>48</w:t>
            </w:r>
          </w:p>
        </w:tc>
        <w:tc>
          <w:tcPr>
            <w:tcW w:w="1077" w:type="dxa"/>
            <w:tcBorders>
              <w:top w:val="single" w:sz="4" w:space="0" w:color="auto"/>
              <w:left w:val="single" w:sz="4" w:space="0" w:color="auto"/>
              <w:bottom w:val="single" w:sz="4" w:space="0" w:color="auto"/>
              <w:right w:val="single" w:sz="4" w:space="0" w:color="auto"/>
            </w:tcBorders>
            <w:vAlign w:val="center"/>
          </w:tcPr>
          <w:p w:rsidR="003162B0" w:rsidRPr="007F364C" w:rsidRDefault="003162B0" w:rsidP="003162B0">
            <w:pPr>
              <w:pStyle w:val="Tabletexte"/>
              <w:spacing w:before="100" w:after="100"/>
              <w:jc w:val="center"/>
              <w:rPr>
                <w:rtl/>
              </w:rPr>
            </w:pPr>
            <w:r w:rsidRPr="007F364C">
              <w:t>G</w:t>
            </w:r>
            <w:r>
              <w:t> </w:t>
            </w:r>
            <w:r w:rsidRPr="007F364C">
              <w:t>%3,48</w:t>
            </w:r>
          </w:p>
        </w:tc>
        <w:tc>
          <w:tcPr>
            <w:tcW w:w="1077" w:type="dxa"/>
            <w:tcBorders>
              <w:top w:val="single" w:sz="4" w:space="0" w:color="auto"/>
              <w:left w:val="single" w:sz="4" w:space="0" w:color="auto"/>
              <w:bottom w:val="single" w:sz="4" w:space="0" w:color="auto"/>
              <w:right w:val="single" w:sz="4" w:space="0" w:color="auto"/>
            </w:tcBorders>
            <w:vAlign w:val="center"/>
          </w:tcPr>
          <w:p w:rsidR="003162B0" w:rsidRPr="007F364C" w:rsidRDefault="003162B0" w:rsidP="003162B0">
            <w:pPr>
              <w:pStyle w:val="Tabletexte"/>
              <w:spacing w:before="100" w:after="100"/>
              <w:jc w:val="center"/>
            </w:pPr>
            <w:r w:rsidRPr="007F364C">
              <w:t>G</w:t>
            </w:r>
            <w:r>
              <w:t> </w:t>
            </w:r>
            <w:r w:rsidRPr="007F364C">
              <w:t>%3,32</w:t>
            </w:r>
          </w:p>
        </w:tc>
        <w:tc>
          <w:tcPr>
            <w:tcW w:w="1077" w:type="dxa"/>
            <w:vMerge/>
            <w:tcBorders>
              <w:left w:val="single" w:sz="4" w:space="0" w:color="auto"/>
              <w:bottom w:val="single" w:sz="4" w:space="0" w:color="auto"/>
              <w:right w:val="single" w:sz="4" w:space="0" w:color="auto"/>
            </w:tcBorders>
            <w:vAlign w:val="center"/>
          </w:tcPr>
          <w:p w:rsidR="003162B0" w:rsidRPr="007F364C" w:rsidRDefault="003162B0" w:rsidP="003162B0">
            <w:pPr>
              <w:pStyle w:val="Tabletexte"/>
              <w:spacing w:before="100" w:after="100"/>
              <w:jc w:val="center"/>
            </w:pPr>
          </w:p>
        </w:tc>
        <w:tc>
          <w:tcPr>
            <w:tcW w:w="1077" w:type="dxa"/>
            <w:vMerge/>
            <w:tcBorders>
              <w:left w:val="single" w:sz="4" w:space="0" w:color="auto"/>
              <w:bottom w:val="single" w:sz="4" w:space="0" w:color="auto"/>
              <w:right w:val="single" w:sz="4" w:space="0" w:color="auto"/>
            </w:tcBorders>
            <w:vAlign w:val="center"/>
          </w:tcPr>
          <w:p w:rsidR="003162B0" w:rsidRPr="007F364C" w:rsidRDefault="003162B0" w:rsidP="003162B0">
            <w:pPr>
              <w:pStyle w:val="Tabletexte"/>
              <w:spacing w:before="100" w:after="100"/>
              <w:jc w:val="center"/>
            </w:pPr>
          </w:p>
        </w:tc>
      </w:tr>
    </w:tbl>
    <w:p w:rsidR="00397F8F" w:rsidRDefault="00397F8F" w:rsidP="00397F8F">
      <w:pPr>
        <w:tabs>
          <w:tab w:val="clear" w:pos="794"/>
        </w:tabs>
        <w:bidi w:val="0"/>
        <w:spacing w:before="0" w:after="160" w:line="259" w:lineRule="auto"/>
        <w:jc w:val="left"/>
        <w:rPr>
          <w:rtl/>
          <w:lang w:bidi="ar-SY"/>
        </w:rPr>
      </w:pPr>
      <w:r>
        <w:rPr>
          <w:rtl/>
          <w:lang w:bidi="ar-SY"/>
        </w:rPr>
        <w:br w:type="page"/>
      </w:r>
    </w:p>
    <w:p w:rsidR="00397F8F" w:rsidRPr="00AC0E6A" w:rsidRDefault="00397F8F" w:rsidP="0026419C">
      <w:pPr>
        <w:rPr>
          <w:rtl/>
        </w:rPr>
      </w:pPr>
      <w:r w:rsidRPr="00AC0E6A">
        <w:rPr>
          <w:lang w:bidi="ar-SY"/>
        </w:rPr>
        <w:lastRenderedPageBreak/>
        <w:t>6.2</w:t>
      </w:r>
      <w:r w:rsidRPr="00AC0E6A">
        <w:rPr>
          <w:rtl/>
        </w:rPr>
        <w:tab/>
        <w:t>يوضح الجدول أدناه تطور التزام</w:t>
      </w:r>
      <w:r>
        <w:rPr>
          <w:rFonts w:hint="cs"/>
          <w:rtl/>
        </w:rPr>
        <w:t>ات</w:t>
      </w:r>
      <w:r w:rsidRPr="00AC0E6A">
        <w:rPr>
          <w:rtl/>
        </w:rPr>
        <w:t xml:space="preserve"> التأمين الصحي بعد انتهاء مدة الخدمة</w:t>
      </w:r>
      <w:r>
        <w:t xml:space="preserve"> </w:t>
      </w:r>
      <w:r w:rsidRPr="00AC0E6A">
        <w:rPr>
          <w:rFonts w:hint="cs"/>
          <w:rtl/>
        </w:rPr>
        <w:t xml:space="preserve">منذ </w:t>
      </w:r>
      <w:r w:rsidRPr="00AC0E6A">
        <w:rPr>
          <w:lang w:bidi="ar-SY"/>
        </w:rPr>
        <w:t>2010</w:t>
      </w:r>
      <w:r w:rsidRPr="00AC0E6A">
        <w:rPr>
          <w:rFonts w:hint="cs"/>
          <w:rtl/>
        </w:rPr>
        <w:t>، وأثره على صافي الأصول.</w:t>
      </w:r>
    </w:p>
    <w:p w:rsidR="00397F8F" w:rsidRDefault="00397F8F" w:rsidP="0026419C">
      <w:pPr>
        <w:pStyle w:val="Headingb0"/>
        <w:spacing w:after="120"/>
        <w:rPr>
          <w:spacing w:val="-4"/>
          <w:lang w:bidi="ar-SY"/>
        </w:rPr>
      </w:pPr>
      <w:r w:rsidRPr="0026419C">
        <w:rPr>
          <w:rFonts w:hint="cs"/>
          <w:spacing w:val="-4"/>
          <w:rtl/>
          <w:lang w:bidi="ar-EG"/>
        </w:rPr>
        <w:t xml:space="preserve">تطور صافي أصول الاتحاد نتيجة مراعاة التزامات التأمين الصحي بعد انتهاء مدة الخدمة طبقاً للمعيار </w:t>
      </w:r>
      <w:r w:rsidRPr="0026419C">
        <w:rPr>
          <w:spacing w:val="-4"/>
          <w:lang w:bidi="ar-SY"/>
        </w:rPr>
        <w:t>25</w:t>
      </w:r>
      <w:r w:rsidRPr="0026419C">
        <w:rPr>
          <w:rFonts w:hint="cs"/>
          <w:spacing w:val="-4"/>
          <w:rtl/>
          <w:lang w:bidi="ar-SY"/>
        </w:rPr>
        <w:t xml:space="preserve"> من المعايير </w:t>
      </w:r>
      <w:r w:rsidRPr="0026419C">
        <w:rPr>
          <w:spacing w:val="-4"/>
          <w:lang w:bidi="ar-SY"/>
        </w:rPr>
        <w:t>IPSAS</w:t>
      </w:r>
    </w:p>
    <w:tbl>
      <w:tblPr>
        <w:bidiVisual/>
        <w:tblW w:w="5000" w:type="pct"/>
        <w:tblLayout w:type="fixed"/>
        <w:tblLook w:val="04A0" w:firstRow="1" w:lastRow="0" w:firstColumn="1" w:lastColumn="0" w:noHBand="0" w:noVBand="1"/>
      </w:tblPr>
      <w:tblGrid>
        <w:gridCol w:w="1968"/>
        <w:gridCol w:w="957"/>
        <w:gridCol w:w="957"/>
        <w:gridCol w:w="957"/>
        <w:gridCol w:w="956"/>
        <w:gridCol w:w="956"/>
        <w:gridCol w:w="956"/>
        <w:gridCol w:w="956"/>
        <w:gridCol w:w="956"/>
      </w:tblGrid>
      <w:tr w:rsidR="002B1BAF" w:rsidTr="00626EEE">
        <w:trPr>
          <w:trHeight w:val="270"/>
        </w:trPr>
        <w:tc>
          <w:tcPr>
            <w:tcW w:w="1961" w:type="dxa"/>
            <w:tcBorders>
              <w:top w:val="single" w:sz="8" w:space="0" w:color="auto"/>
              <w:left w:val="single" w:sz="8" w:space="0" w:color="auto"/>
              <w:bottom w:val="single" w:sz="8" w:space="0" w:color="auto"/>
              <w:right w:val="nil"/>
            </w:tcBorders>
            <w:noWrap/>
            <w:vAlign w:val="bottom"/>
            <w:hideMark/>
          </w:tcPr>
          <w:p w:rsidR="002B1BAF" w:rsidRPr="00F548E2" w:rsidRDefault="002B1BAF" w:rsidP="00626EEE">
            <w:pPr>
              <w:pStyle w:val="TableHead0"/>
              <w:keepNext w:val="0"/>
              <w:spacing w:line="280" w:lineRule="exact"/>
              <w:jc w:val="left"/>
              <w:rPr>
                <w:b w:val="0"/>
                <w:bCs w:val="0"/>
                <w:spacing w:val="-4"/>
                <w:rtl/>
                <w:lang w:bidi="ar-EG"/>
              </w:rPr>
            </w:pPr>
            <w:r w:rsidRPr="00F548E2">
              <w:rPr>
                <w:rFonts w:hint="cs"/>
                <w:b w:val="0"/>
                <w:bCs w:val="0"/>
                <w:spacing w:val="-4"/>
                <w:rtl/>
                <w:lang w:bidi="ar-EG"/>
              </w:rPr>
              <w:t>بآلاف الفرنكات السويسرية</w:t>
            </w:r>
          </w:p>
        </w:tc>
        <w:tc>
          <w:tcPr>
            <w:tcW w:w="954" w:type="dxa"/>
            <w:tcBorders>
              <w:top w:val="single" w:sz="8" w:space="0" w:color="auto"/>
              <w:left w:val="nil"/>
              <w:bottom w:val="single" w:sz="8" w:space="0" w:color="auto"/>
              <w:right w:val="nil"/>
            </w:tcBorders>
            <w:noWrap/>
            <w:vAlign w:val="bottom"/>
            <w:hideMark/>
          </w:tcPr>
          <w:p w:rsidR="002B1BAF" w:rsidRPr="00B15198" w:rsidRDefault="002B1BAF" w:rsidP="00626EEE">
            <w:pPr>
              <w:pStyle w:val="TableHead0"/>
              <w:spacing w:line="280" w:lineRule="exact"/>
              <w:rPr>
                <w:lang w:bidi="ar-EG"/>
              </w:rPr>
            </w:pPr>
            <w:r>
              <w:rPr>
                <w:rFonts w:hint="cs"/>
                <w:rtl/>
                <w:lang w:bidi="ar-EG"/>
              </w:rPr>
              <w:t xml:space="preserve">يناير </w:t>
            </w:r>
            <w:r>
              <w:rPr>
                <w:lang w:bidi="ar-EG"/>
              </w:rPr>
              <w:t>2010</w:t>
            </w:r>
          </w:p>
        </w:tc>
        <w:tc>
          <w:tcPr>
            <w:tcW w:w="954" w:type="dxa"/>
            <w:tcBorders>
              <w:top w:val="single" w:sz="8" w:space="0" w:color="auto"/>
              <w:left w:val="nil"/>
              <w:bottom w:val="single" w:sz="8" w:space="0" w:color="auto"/>
              <w:right w:val="nil"/>
            </w:tcBorders>
            <w:noWrap/>
            <w:vAlign w:val="bottom"/>
            <w:hideMark/>
          </w:tcPr>
          <w:p w:rsidR="002B1BAF" w:rsidRPr="00B15198" w:rsidRDefault="002B1BAF" w:rsidP="00626EEE">
            <w:pPr>
              <w:pStyle w:val="TableHead0"/>
              <w:spacing w:line="280" w:lineRule="exact"/>
              <w:rPr>
                <w:rtl/>
                <w:lang w:bidi="ar-EG"/>
              </w:rPr>
            </w:pPr>
            <w:r>
              <w:rPr>
                <w:rFonts w:hint="cs"/>
                <w:rtl/>
                <w:lang w:bidi="ar-EG"/>
              </w:rPr>
              <w:t xml:space="preserve">ديسمبر </w:t>
            </w:r>
            <w:r>
              <w:rPr>
                <w:lang w:bidi="ar-EG"/>
              </w:rPr>
              <w:t>2010</w:t>
            </w:r>
          </w:p>
        </w:tc>
        <w:tc>
          <w:tcPr>
            <w:tcW w:w="954" w:type="dxa"/>
            <w:tcBorders>
              <w:top w:val="single" w:sz="8" w:space="0" w:color="auto"/>
              <w:left w:val="nil"/>
              <w:bottom w:val="single" w:sz="8" w:space="0" w:color="auto"/>
              <w:right w:val="nil"/>
            </w:tcBorders>
            <w:noWrap/>
            <w:vAlign w:val="bottom"/>
            <w:hideMark/>
          </w:tcPr>
          <w:p w:rsidR="002B1BAF" w:rsidRPr="00B15198" w:rsidRDefault="002B1BAF" w:rsidP="00626EEE">
            <w:pPr>
              <w:pStyle w:val="TableHead0"/>
              <w:spacing w:line="280" w:lineRule="exact"/>
              <w:rPr>
                <w:rtl/>
                <w:lang w:bidi="ar-EG"/>
              </w:rPr>
            </w:pPr>
            <w:r>
              <w:rPr>
                <w:rFonts w:hint="cs"/>
                <w:rtl/>
                <w:lang w:bidi="ar-EG"/>
              </w:rPr>
              <w:t xml:space="preserve">ديسمبر </w:t>
            </w:r>
            <w:r>
              <w:rPr>
                <w:lang w:bidi="ar-EG"/>
              </w:rPr>
              <w:t>2011</w:t>
            </w:r>
          </w:p>
        </w:tc>
        <w:tc>
          <w:tcPr>
            <w:tcW w:w="953" w:type="dxa"/>
            <w:tcBorders>
              <w:top w:val="single" w:sz="8" w:space="0" w:color="auto"/>
              <w:left w:val="nil"/>
              <w:bottom w:val="single" w:sz="8" w:space="0" w:color="auto"/>
              <w:right w:val="nil"/>
            </w:tcBorders>
            <w:noWrap/>
            <w:vAlign w:val="bottom"/>
            <w:hideMark/>
          </w:tcPr>
          <w:p w:rsidR="002B1BAF" w:rsidRPr="00B15198" w:rsidRDefault="002B1BAF" w:rsidP="00626EEE">
            <w:pPr>
              <w:pStyle w:val="TableHead0"/>
              <w:spacing w:line="280" w:lineRule="exact"/>
              <w:rPr>
                <w:rtl/>
                <w:lang w:bidi="ar-EG"/>
              </w:rPr>
            </w:pPr>
            <w:r>
              <w:rPr>
                <w:rFonts w:hint="cs"/>
                <w:rtl/>
                <w:lang w:bidi="ar-EG"/>
              </w:rPr>
              <w:t xml:space="preserve">ديسمبر </w:t>
            </w:r>
            <w:r>
              <w:rPr>
                <w:lang w:bidi="ar-EG"/>
              </w:rPr>
              <w:t>2012</w:t>
            </w:r>
          </w:p>
        </w:tc>
        <w:tc>
          <w:tcPr>
            <w:tcW w:w="953" w:type="dxa"/>
            <w:tcBorders>
              <w:top w:val="single" w:sz="8" w:space="0" w:color="auto"/>
              <w:left w:val="nil"/>
              <w:bottom w:val="single" w:sz="8" w:space="0" w:color="auto"/>
              <w:right w:val="nil"/>
            </w:tcBorders>
            <w:noWrap/>
            <w:vAlign w:val="bottom"/>
            <w:hideMark/>
          </w:tcPr>
          <w:p w:rsidR="002B1BAF" w:rsidRPr="00B15198" w:rsidRDefault="002B1BAF" w:rsidP="00626EEE">
            <w:pPr>
              <w:pStyle w:val="TableHead0"/>
              <w:spacing w:line="280" w:lineRule="exact"/>
              <w:rPr>
                <w:rtl/>
                <w:lang w:bidi="ar-EG"/>
              </w:rPr>
            </w:pPr>
            <w:r>
              <w:rPr>
                <w:rFonts w:hint="cs"/>
                <w:rtl/>
                <w:lang w:bidi="ar-EG"/>
              </w:rPr>
              <w:t xml:space="preserve">ديسمبر </w:t>
            </w:r>
            <w:r>
              <w:rPr>
                <w:lang w:bidi="ar-EG"/>
              </w:rPr>
              <w:t>2013</w:t>
            </w:r>
          </w:p>
        </w:tc>
        <w:tc>
          <w:tcPr>
            <w:tcW w:w="953" w:type="dxa"/>
            <w:tcBorders>
              <w:top w:val="single" w:sz="8" w:space="0" w:color="auto"/>
              <w:left w:val="nil"/>
              <w:bottom w:val="single" w:sz="8" w:space="0" w:color="auto"/>
              <w:right w:val="nil"/>
            </w:tcBorders>
            <w:noWrap/>
            <w:vAlign w:val="bottom"/>
            <w:hideMark/>
          </w:tcPr>
          <w:p w:rsidR="002B1BAF" w:rsidRPr="00B15198" w:rsidRDefault="002B1BAF" w:rsidP="00626EEE">
            <w:pPr>
              <w:pStyle w:val="TableHead0"/>
              <w:spacing w:line="280" w:lineRule="exact"/>
              <w:rPr>
                <w:rtl/>
                <w:lang w:bidi="ar-EG"/>
              </w:rPr>
            </w:pPr>
            <w:r>
              <w:rPr>
                <w:rFonts w:hint="cs"/>
                <w:rtl/>
                <w:lang w:bidi="ar-EG"/>
              </w:rPr>
              <w:t xml:space="preserve">ديسمبر </w:t>
            </w:r>
            <w:r>
              <w:rPr>
                <w:lang w:bidi="ar-EG"/>
              </w:rPr>
              <w:t>2014</w:t>
            </w:r>
          </w:p>
        </w:tc>
        <w:tc>
          <w:tcPr>
            <w:tcW w:w="953" w:type="dxa"/>
            <w:tcBorders>
              <w:top w:val="single" w:sz="8" w:space="0" w:color="auto"/>
              <w:left w:val="nil"/>
              <w:bottom w:val="single" w:sz="8" w:space="0" w:color="auto"/>
              <w:right w:val="nil"/>
            </w:tcBorders>
            <w:noWrap/>
            <w:vAlign w:val="bottom"/>
            <w:hideMark/>
          </w:tcPr>
          <w:p w:rsidR="002B1BAF" w:rsidRPr="00B15198" w:rsidRDefault="002B1BAF" w:rsidP="00626EEE">
            <w:pPr>
              <w:pStyle w:val="TableHead0"/>
              <w:spacing w:line="280" w:lineRule="exact"/>
              <w:rPr>
                <w:lang w:bidi="ar-EG"/>
              </w:rPr>
            </w:pPr>
            <w:proofErr w:type="gramStart"/>
            <w:r>
              <w:rPr>
                <w:rFonts w:hint="cs"/>
                <w:rtl/>
                <w:lang w:bidi="ar-EG"/>
              </w:rPr>
              <w:t>ديسمبر</w:t>
            </w:r>
            <w:r>
              <w:rPr>
                <w:lang w:bidi="ar-EG"/>
              </w:rPr>
              <w:t xml:space="preserve"> </w:t>
            </w:r>
            <w:r>
              <w:rPr>
                <w:rFonts w:hint="cs"/>
                <w:rtl/>
                <w:lang w:bidi="ar-EG"/>
              </w:rPr>
              <w:t xml:space="preserve"> </w:t>
            </w:r>
            <w:r>
              <w:rPr>
                <w:lang w:bidi="ar-EG"/>
              </w:rPr>
              <w:t>2015</w:t>
            </w:r>
            <w:proofErr w:type="gramEnd"/>
          </w:p>
        </w:tc>
        <w:tc>
          <w:tcPr>
            <w:tcW w:w="953" w:type="dxa"/>
            <w:tcBorders>
              <w:top w:val="single" w:sz="8" w:space="0" w:color="auto"/>
              <w:left w:val="nil"/>
              <w:bottom w:val="single" w:sz="8" w:space="0" w:color="auto"/>
              <w:right w:val="single" w:sz="8" w:space="0" w:color="auto"/>
            </w:tcBorders>
            <w:noWrap/>
            <w:vAlign w:val="bottom"/>
            <w:hideMark/>
          </w:tcPr>
          <w:p w:rsidR="002B1BAF" w:rsidRPr="00B15198" w:rsidRDefault="002B1BAF" w:rsidP="00626EEE">
            <w:pPr>
              <w:pStyle w:val="TableHead0"/>
              <w:spacing w:line="280" w:lineRule="exact"/>
              <w:rPr>
                <w:lang w:bidi="ar-EG"/>
              </w:rPr>
            </w:pPr>
            <w:r>
              <w:rPr>
                <w:rFonts w:hint="cs"/>
                <w:rtl/>
                <w:lang w:bidi="ar-EG"/>
              </w:rPr>
              <w:t xml:space="preserve">ديسمبر </w:t>
            </w:r>
            <w:r>
              <w:rPr>
                <w:lang w:bidi="ar-EG"/>
              </w:rPr>
              <w:t>2016</w:t>
            </w:r>
          </w:p>
        </w:tc>
      </w:tr>
      <w:tr w:rsidR="002B1BAF" w:rsidTr="00626EEE">
        <w:trPr>
          <w:trHeight w:val="510"/>
        </w:trPr>
        <w:tc>
          <w:tcPr>
            <w:tcW w:w="1961" w:type="dxa"/>
            <w:tcBorders>
              <w:top w:val="nil"/>
              <w:left w:val="single" w:sz="8" w:space="0" w:color="auto"/>
              <w:bottom w:val="nil"/>
              <w:right w:val="single" w:sz="8" w:space="0" w:color="auto"/>
            </w:tcBorders>
            <w:hideMark/>
          </w:tcPr>
          <w:p w:rsidR="002B1BAF" w:rsidRPr="00B15198" w:rsidRDefault="002B1BAF" w:rsidP="00626EEE">
            <w:pPr>
              <w:pStyle w:val="Tabletexte"/>
              <w:spacing w:line="280" w:lineRule="exact"/>
              <w:jc w:val="left"/>
              <w:rPr>
                <w:bCs/>
                <w:rtl/>
              </w:rPr>
            </w:pPr>
            <w:r w:rsidRPr="00923D4E">
              <w:rPr>
                <w:rFonts w:hint="cs"/>
                <w:rtl/>
              </w:rPr>
              <w:t>القيمة الحالية للالتزامات غير الممولة</w:t>
            </w:r>
          </w:p>
        </w:tc>
        <w:tc>
          <w:tcPr>
            <w:tcW w:w="954" w:type="dxa"/>
            <w:noWrap/>
            <w:vAlign w:val="center"/>
            <w:hideMark/>
          </w:tcPr>
          <w:p w:rsidR="002B1BAF"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B1BAF" w:rsidRPr="00F548E2">
              <w:rPr>
                <w:color w:val="000000"/>
                <w:sz w:val="18"/>
                <w:szCs w:val="18"/>
              </w:rPr>
              <w:t>172</w:t>
            </w:r>
            <w:r>
              <w:rPr>
                <w:color w:val="000000"/>
                <w:sz w:val="18"/>
                <w:szCs w:val="18"/>
              </w:rPr>
              <w:t xml:space="preserve"> </w:t>
            </w:r>
            <w:r w:rsidR="002B1BAF" w:rsidRPr="00F548E2">
              <w:rPr>
                <w:color w:val="000000"/>
                <w:sz w:val="18"/>
                <w:szCs w:val="18"/>
              </w:rPr>
              <w:t>364</w:t>
            </w:r>
          </w:p>
        </w:tc>
        <w:tc>
          <w:tcPr>
            <w:tcW w:w="954" w:type="dxa"/>
            <w:noWrap/>
            <w:vAlign w:val="center"/>
            <w:hideMark/>
          </w:tcPr>
          <w:p w:rsidR="002B1BAF"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B1BAF" w:rsidRPr="00F548E2">
              <w:rPr>
                <w:color w:val="000000"/>
                <w:sz w:val="18"/>
                <w:szCs w:val="18"/>
              </w:rPr>
              <w:t>211</w:t>
            </w:r>
            <w:r>
              <w:rPr>
                <w:color w:val="000000"/>
                <w:sz w:val="18"/>
                <w:szCs w:val="18"/>
              </w:rPr>
              <w:t xml:space="preserve"> </w:t>
            </w:r>
            <w:r w:rsidR="002B1BAF" w:rsidRPr="00F548E2">
              <w:rPr>
                <w:color w:val="000000"/>
                <w:sz w:val="18"/>
                <w:szCs w:val="18"/>
              </w:rPr>
              <w:t>872</w:t>
            </w:r>
          </w:p>
        </w:tc>
        <w:tc>
          <w:tcPr>
            <w:tcW w:w="954" w:type="dxa"/>
            <w:noWrap/>
            <w:vAlign w:val="center"/>
            <w:hideMark/>
          </w:tcPr>
          <w:p w:rsidR="002B1BAF"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B1BAF" w:rsidRPr="00F548E2">
              <w:rPr>
                <w:color w:val="000000"/>
                <w:sz w:val="18"/>
                <w:szCs w:val="18"/>
              </w:rPr>
              <w:t>278</w:t>
            </w:r>
            <w:r>
              <w:rPr>
                <w:color w:val="000000"/>
                <w:sz w:val="18"/>
                <w:szCs w:val="18"/>
              </w:rPr>
              <w:t xml:space="preserve"> </w:t>
            </w:r>
            <w:r w:rsidR="002B1BAF" w:rsidRPr="00F548E2">
              <w:rPr>
                <w:color w:val="000000"/>
                <w:sz w:val="18"/>
                <w:szCs w:val="18"/>
              </w:rPr>
              <w:t>684</w:t>
            </w:r>
          </w:p>
        </w:tc>
        <w:tc>
          <w:tcPr>
            <w:tcW w:w="953" w:type="dxa"/>
            <w:noWrap/>
            <w:vAlign w:val="center"/>
            <w:hideMark/>
          </w:tcPr>
          <w:p w:rsidR="002B1BAF"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B1BAF" w:rsidRPr="00F548E2">
              <w:rPr>
                <w:color w:val="000000"/>
                <w:sz w:val="18"/>
                <w:szCs w:val="18"/>
              </w:rPr>
              <w:t>335</w:t>
            </w:r>
            <w:r>
              <w:rPr>
                <w:color w:val="000000"/>
                <w:sz w:val="18"/>
                <w:szCs w:val="18"/>
              </w:rPr>
              <w:t xml:space="preserve"> </w:t>
            </w:r>
            <w:r w:rsidR="002B1BAF" w:rsidRPr="00F548E2">
              <w:rPr>
                <w:color w:val="000000"/>
                <w:sz w:val="18"/>
                <w:szCs w:val="18"/>
              </w:rPr>
              <w:t>206</w:t>
            </w:r>
          </w:p>
        </w:tc>
        <w:tc>
          <w:tcPr>
            <w:tcW w:w="953" w:type="dxa"/>
            <w:noWrap/>
            <w:vAlign w:val="center"/>
            <w:hideMark/>
          </w:tcPr>
          <w:p w:rsidR="002B1BAF"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B1BAF" w:rsidRPr="00F548E2">
              <w:rPr>
                <w:color w:val="000000"/>
                <w:sz w:val="18"/>
                <w:szCs w:val="18"/>
              </w:rPr>
              <w:t>314</w:t>
            </w:r>
            <w:r>
              <w:rPr>
                <w:color w:val="000000"/>
                <w:sz w:val="18"/>
                <w:szCs w:val="18"/>
              </w:rPr>
              <w:t xml:space="preserve"> </w:t>
            </w:r>
            <w:r w:rsidR="002B1BAF" w:rsidRPr="00F548E2">
              <w:rPr>
                <w:color w:val="000000"/>
                <w:sz w:val="18"/>
                <w:szCs w:val="18"/>
              </w:rPr>
              <w:t>127</w:t>
            </w:r>
          </w:p>
        </w:tc>
        <w:tc>
          <w:tcPr>
            <w:tcW w:w="953" w:type="dxa"/>
            <w:noWrap/>
            <w:vAlign w:val="center"/>
            <w:hideMark/>
          </w:tcPr>
          <w:p w:rsidR="002B1BAF"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B1BAF" w:rsidRPr="00F548E2">
              <w:rPr>
                <w:color w:val="000000"/>
                <w:sz w:val="18"/>
                <w:szCs w:val="18"/>
              </w:rPr>
              <w:t>512</w:t>
            </w:r>
            <w:r>
              <w:rPr>
                <w:color w:val="000000"/>
                <w:sz w:val="18"/>
                <w:szCs w:val="18"/>
              </w:rPr>
              <w:t xml:space="preserve"> </w:t>
            </w:r>
            <w:r w:rsidR="002B1BAF" w:rsidRPr="00F548E2">
              <w:rPr>
                <w:color w:val="000000"/>
                <w:sz w:val="18"/>
                <w:szCs w:val="18"/>
              </w:rPr>
              <w:t>661</w:t>
            </w:r>
          </w:p>
        </w:tc>
        <w:tc>
          <w:tcPr>
            <w:tcW w:w="953" w:type="dxa"/>
            <w:noWrap/>
            <w:vAlign w:val="center"/>
            <w:hideMark/>
          </w:tcPr>
          <w:p w:rsidR="002B1BAF"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B1BAF" w:rsidRPr="00F548E2">
              <w:rPr>
                <w:color w:val="000000"/>
                <w:sz w:val="18"/>
                <w:szCs w:val="18"/>
              </w:rPr>
              <w:t>472</w:t>
            </w:r>
            <w:r>
              <w:rPr>
                <w:color w:val="000000"/>
                <w:sz w:val="18"/>
                <w:szCs w:val="18"/>
              </w:rPr>
              <w:t xml:space="preserve"> </w:t>
            </w:r>
            <w:r w:rsidR="002B1BAF" w:rsidRPr="00F548E2">
              <w:rPr>
                <w:color w:val="000000"/>
                <w:sz w:val="18"/>
                <w:szCs w:val="18"/>
              </w:rPr>
              <w:t>801</w:t>
            </w:r>
          </w:p>
        </w:tc>
        <w:tc>
          <w:tcPr>
            <w:tcW w:w="953" w:type="dxa"/>
            <w:tcBorders>
              <w:top w:val="nil"/>
              <w:left w:val="nil"/>
              <w:bottom w:val="nil"/>
              <w:right w:val="single" w:sz="8" w:space="0" w:color="auto"/>
            </w:tcBorders>
            <w:noWrap/>
            <w:vAlign w:val="center"/>
            <w:hideMark/>
          </w:tcPr>
          <w:p w:rsidR="002B1BAF" w:rsidRPr="00F548E2" w:rsidRDefault="00F548E2" w:rsidP="00626EEE">
            <w:pPr>
              <w:pStyle w:val="Tabletexte"/>
              <w:spacing w:line="280" w:lineRule="exact"/>
              <w:rPr>
                <w:color w:val="000000"/>
                <w:sz w:val="16"/>
                <w:szCs w:val="16"/>
              </w:rPr>
            </w:pPr>
            <w:r w:rsidRPr="00F548E2">
              <w:rPr>
                <w:color w:val="000000"/>
                <w:sz w:val="16"/>
                <w:szCs w:val="16"/>
                <w:rtl/>
                <w:lang w:bidi="ar-EG"/>
              </w:rPr>
              <w:t>-</w:t>
            </w:r>
            <w:r w:rsidR="002B1BAF" w:rsidRPr="00F548E2">
              <w:rPr>
                <w:color w:val="000000"/>
                <w:sz w:val="16"/>
                <w:szCs w:val="16"/>
              </w:rPr>
              <w:t>551</w:t>
            </w:r>
            <w:r>
              <w:rPr>
                <w:color w:val="000000"/>
                <w:sz w:val="16"/>
                <w:szCs w:val="16"/>
              </w:rPr>
              <w:t xml:space="preserve"> </w:t>
            </w:r>
            <w:r w:rsidR="002B1BAF" w:rsidRPr="00F548E2">
              <w:rPr>
                <w:color w:val="000000"/>
                <w:sz w:val="16"/>
                <w:szCs w:val="16"/>
              </w:rPr>
              <w:t>911</w:t>
            </w:r>
          </w:p>
        </w:tc>
      </w:tr>
      <w:tr w:rsidR="002B1BAF" w:rsidTr="00626EEE">
        <w:trPr>
          <w:trHeight w:val="255"/>
        </w:trPr>
        <w:tc>
          <w:tcPr>
            <w:tcW w:w="1961" w:type="dxa"/>
            <w:tcBorders>
              <w:top w:val="nil"/>
              <w:left w:val="single" w:sz="8" w:space="0" w:color="auto"/>
              <w:bottom w:val="nil"/>
              <w:right w:val="single" w:sz="8" w:space="0" w:color="auto"/>
            </w:tcBorders>
            <w:noWrap/>
            <w:hideMark/>
          </w:tcPr>
          <w:p w:rsidR="002B1BAF" w:rsidRPr="00B15198" w:rsidRDefault="002B1BAF" w:rsidP="00626EEE">
            <w:pPr>
              <w:pStyle w:val="Tabletexte"/>
              <w:spacing w:line="280" w:lineRule="exact"/>
              <w:jc w:val="left"/>
              <w:rPr>
                <w:bCs/>
                <w:rtl/>
              </w:rPr>
            </w:pPr>
            <w:r w:rsidRPr="00923D4E">
              <w:rPr>
                <w:rFonts w:hint="cs"/>
                <w:rtl/>
              </w:rPr>
              <w:t>التأثير على صافي الأصول</w:t>
            </w:r>
          </w:p>
        </w:tc>
        <w:tc>
          <w:tcPr>
            <w:tcW w:w="954" w:type="dxa"/>
            <w:noWrap/>
            <w:vAlign w:val="bottom"/>
            <w:hideMark/>
          </w:tcPr>
          <w:p w:rsidR="002B1BAF" w:rsidRPr="00F548E2" w:rsidRDefault="002B1BAF" w:rsidP="00626EEE">
            <w:pPr>
              <w:pStyle w:val="Tabletexte"/>
              <w:spacing w:line="280" w:lineRule="exact"/>
              <w:rPr>
                <w:color w:val="000000"/>
              </w:rPr>
            </w:pPr>
          </w:p>
        </w:tc>
        <w:tc>
          <w:tcPr>
            <w:tcW w:w="954" w:type="dxa"/>
            <w:noWrap/>
            <w:vAlign w:val="bottom"/>
            <w:hideMark/>
          </w:tcPr>
          <w:p w:rsidR="002B1BAF" w:rsidRPr="00F548E2" w:rsidRDefault="00F548E2" w:rsidP="00626EEE">
            <w:pPr>
              <w:pStyle w:val="Tabletexte"/>
              <w:spacing w:line="280" w:lineRule="exact"/>
              <w:rPr>
                <w:color w:val="000000"/>
                <w:sz w:val="18"/>
                <w:szCs w:val="18"/>
                <w:lang w:val="en-GB" w:eastAsia="en-US"/>
              </w:rPr>
            </w:pPr>
            <w:r w:rsidRPr="00F548E2">
              <w:rPr>
                <w:color w:val="000000"/>
                <w:sz w:val="18"/>
                <w:szCs w:val="18"/>
                <w:rtl/>
                <w:lang w:bidi="ar-EG"/>
              </w:rPr>
              <w:t>-</w:t>
            </w:r>
            <w:r w:rsidR="002B1BAF" w:rsidRPr="00F548E2">
              <w:rPr>
                <w:color w:val="000000"/>
                <w:sz w:val="18"/>
                <w:szCs w:val="18"/>
              </w:rPr>
              <w:t>39</w:t>
            </w:r>
            <w:r>
              <w:rPr>
                <w:color w:val="000000"/>
                <w:sz w:val="18"/>
                <w:szCs w:val="18"/>
              </w:rPr>
              <w:t xml:space="preserve"> </w:t>
            </w:r>
            <w:r w:rsidR="002B1BAF" w:rsidRPr="00F548E2">
              <w:rPr>
                <w:color w:val="000000"/>
                <w:sz w:val="18"/>
                <w:szCs w:val="18"/>
              </w:rPr>
              <w:t>706</w:t>
            </w:r>
          </w:p>
        </w:tc>
        <w:tc>
          <w:tcPr>
            <w:tcW w:w="954" w:type="dxa"/>
            <w:noWrap/>
            <w:vAlign w:val="bottom"/>
            <w:hideMark/>
          </w:tcPr>
          <w:p w:rsidR="002B1BAF"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B1BAF" w:rsidRPr="00F548E2">
              <w:rPr>
                <w:color w:val="000000"/>
                <w:sz w:val="18"/>
                <w:szCs w:val="18"/>
              </w:rPr>
              <w:t>66</w:t>
            </w:r>
            <w:r>
              <w:rPr>
                <w:color w:val="000000"/>
                <w:sz w:val="18"/>
                <w:szCs w:val="18"/>
              </w:rPr>
              <w:t xml:space="preserve"> </w:t>
            </w:r>
            <w:r w:rsidR="002B1BAF" w:rsidRPr="00F548E2">
              <w:rPr>
                <w:color w:val="000000"/>
                <w:sz w:val="18"/>
                <w:szCs w:val="18"/>
              </w:rPr>
              <w:t>204</w:t>
            </w:r>
          </w:p>
        </w:tc>
        <w:tc>
          <w:tcPr>
            <w:tcW w:w="953" w:type="dxa"/>
            <w:noWrap/>
            <w:vAlign w:val="bottom"/>
            <w:hideMark/>
          </w:tcPr>
          <w:p w:rsidR="002B1BAF"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B1BAF" w:rsidRPr="00F548E2">
              <w:rPr>
                <w:color w:val="000000"/>
                <w:sz w:val="18"/>
                <w:szCs w:val="18"/>
              </w:rPr>
              <w:t>45</w:t>
            </w:r>
            <w:r>
              <w:rPr>
                <w:color w:val="000000"/>
                <w:sz w:val="18"/>
                <w:szCs w:val="18"/>
              </w:rPr>
              <w:t xml:space="preserve"> </w:t>
            </w:r>
            <w:r w:rsidR="002B1BAF" w:rsidRPr="00F548E2">
              <w:rPr>
                <w:color w:val="000000"/>
                <w:sz w:val="18"/>
                <w:szCs w:val="18"/>
              </w:rPr>
              <w:t>851</w:t>
            </w:r>
          </w:p>
        </w:tc>
        <w:tc>
          <w:tcPr>
            <w:tcW w:w="953" w:type="dxa"/>
            <w:noWrap/>
            <w:vAlign w:val="bottom"/>
            <w:hideMark/>
          </w:tcPr>
          <w:p w:rsidR="002B1BAF" w:rsidRPr="00F548E2" w:rsidRDefault="002B1BAF" w:rsidP="00626EEE">
            <w:pPr>
              <w:pStyle w:val="Tabletexte"/>
              <w:spacing w:line="280" w:lineRule="exact"/>
              <w:rPr>
                <w:color w:val="000000"/>
                <w:sz w:val="18"/>
                <w:szCs w:val="18"/>
              </w:rPr>
            </w:pPr>
            <w:r w:rsidRPr="00F548E2">
              <w:rPr>
                <w:color w:val="000000"/>
                <w:sz w:val="18"/>
                <w:szCs w:val="18"/>
              </w:rPr>
              <w:t>26</w:t>
            </w:r>
            <w:r w:rsidR="00F548E2">
              <w:rPr>
                <w:color w:val="000000"/>
                <w:sz w:val="18"/>
                <w:szCs w:val="18"/>
              </w:rPr>
              <w:t xml:space="preserve"> </w:t>
            </w:r>
            <w:r w:rsidRPr="00F548E2">
              <w:rPr>
                <w:color w:val="000000"/>
                <w:sz w:val="18"/>
                <w:szCs w:val="18"/>
              </w:rPr>
              <w:t>498</w:t>
            </w:r>
          </w:p>
        </w:tc>
        <w:tc>
          <w:tcPr>
            <w:tcW w:w="953" w:type="dxa"/>
            <w:noWrap/>
            <w:vAlign w:val="bottom"/>
            <w:hideMark/>
          </w:tcPr>
          <w:p w:rsidR="002B1BAF"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B1BAF" w:rsidRPr="00F548E2">
              <w:rPr>
                <w:color w:val="000000"/>
                <w:sz w:val="18"/>
                <w:szCs w:val="18"/>
              </w:rPr>
              <w:t>187</w:t>
            </w:r>
            <w:r>
              <w:rPr>
                <w:color w:val="000000"/>
                <w:sz w:val="18"/>
                <w:szCs w:val="18"/>
              </w:rPr>
              <w:t xml:space="preserve"> </w:t>
            </w:r>
            <w:r w:rsidR="002B1BAF" w:rsidRPr="00F548E2">
              <w:rPr>
                <w:color w:val="000000"/>
                <w:sz w:val="18"/>
                <w:szCs w:val="18"/>
              </w:rPr>
              <w:t>445</w:t>
            </w:r>
          </w:p>
        </w:tc>
        <w:tc>
          <w:tcPr>
            <w:tcW w:w="953" w:type="dxa"/>
            <w:noWrap/>
            <w:vAlign w:val="bottom"/>
            <w:hideMark/>
          </w:tcPr>
          <w:p w:rsidR="002B1BAF" w:rsidRPr="00F548E2" w:rsidRDefault="002B1BAF" w:rsidP="00626EEE">
            <w:pPr>
              <w:pStyle w:val="Tabletexte"/>
              <w:spacing w:line="280" w:lineRule="exact"/>
              <w:rPr>
                <w:color w:val="000000"/>
                <w:sz w:val="18"/>
                <w:szCs w:val="18"/>
              </w:rPr>
            </w:pPr>
            <w:r w:rsidRPr="00F548E2">
              <w:rPr>
                <w:color w:val="000000"/>
                <w:sz w:val="18"/>
                <w:szCs w:val="18"/>
              </w:rPr>
              <w:t>55</w:t>
            </w:r>
            <w:r w:rsidR="00F548E2">
              <w:rPr>
                <w:color w:val="000000"/>
                <w:sz w:val="18"/>
                <w:szCs w:val="18"/>
              </w:rPr>
              <w:t xml:space="preserve"> </w:t>
            </w:r>
            <w:r w:rsidRPr="00F548E2">
              <w:rPr>
                <w:color w:val="000000"/>
                <w:sz w:val="18"/>
                <w:szCs w:val="18"/>
              </w:rPr>
              <w:t>572</w:t>
            </w:r>
          </w:p>
        </w:tc>
        <w:tc>
          <w:tcPr>
            <w:tcW w:w="953" w:type="dxa"/>
            <w:tcBorders>
              <w:top w:val="nil"/>
              <w:left w:val="nil"/>
              <w:bottom w:val="nil"/>
              <w:right w:val="single" w:sz="8" w:space="0" w:color="auto"/>
            </w:tcBorders>
            <w:noWrap/>
            <w:vAlign w:val="bottom"/>
            <w:hideMark/>
          </w:tcPr>
          <w:p w:rsidR="002B1BAF" w:rsidRPr="00F548E2" w:rsidRDefault="00F548E2" w:rsidP="00626EEE">
            <w:pPr>
              <w:pStyle w:val="Tabletexte"/>
              <w:spacing w:line="280" w:lineRule="exact"/>
              <w:rPr>
                <w:color w:val="000000"/>
                <w:sz w:val="16"/>
                <w:szCs w:val="16"/>
              </w:rPr>
            </w:pPr>
            <w:r w:rsidRPr="00F548E2">
              <w:rPr>
                <w:color w:val="000000"/>
                <w:sz w:val="16"/>
                <w:szCs w:val="16"/>
                <w:rtl/>
                <w:lang w:bidi="ar-EG"/>
              </w:rPr>
              <w:t>-</w:t>
            </w:r>
            <w:r w:rsidR="002B1BAF" w:rsidRPr="00F548E2">
              <w:rPr>
                <w:color w:val="000000"/>
                <w:sz w:val="16"/>
                <w:szCs w:val="16"/>
              </w:rPr>
              <w:t>65</w:t>
            </w:r>
            <w:r>
              <w:rPr>
                <w:color w:val="000000"/>
                <w:sz w:val="16"/>
                <w:szCs w:val="16"/>
              </w:rPr>
              <w:t xml:space="preserve"> </w:t>
            </w:r>
            <w:r w:rsidR="002B1BAF" w:rsidRPr="00F548E2">
              <w:rPr>
                <w:color w:val="000000"/>
                <w:sz w:val="16"/>
                <w:szCs w:val="16"/>
              </w:rPr>
              <w:t>443</w:t>
            </w:r>
          </w:p>
        </w:tc>
      </w:tr>
      <w:tr w:rsidR="002B1BAF" w:rsidTr="00626EEE">
        <w:trPr>
          <w:trHeight w:val="765"/>
        </w:trPr>
        <w:tc>
          <w:tcPr>
            <w:tcW w:w="1961" w:type="dxa"/>
            <w:tcBorders>
              <w:top w:val="nil"/>
              <w:left w:val="single" w:sz="8" w:space="0" w:color="auto"/>
              <w:bottom w:val="nil"/>
              <w:right w:val="single" w:sz="8" w:space="0" w:color="auto"/>
            </w:tcBorders>
            <w:hideMark/>
          </w:tcPr>
          <w:p w:rsidR="002B1BAF" w:rsidRPr="00B15198" w:rsidRDefault="002B1BAF" w:rsidP="00626EEE">
            <w:pPr>
              <w:pStyle w:val="Tabletexte"/>
              <w:spacing w:line="280" w:lineRule="exact"/>
              <w:jc w:val="left"/>
              <w:rPr>
                <w:bCs/>
                <w:rtl/>
              </w:rPr>
            </w:pPr>
            <w:r w:rsidRPr="00923D4E">
              <w:rPr>
                <w:rFonts w:hint="cs"/>
                <w:rtl/>
              </w:rPr>
              <w:t>المبلغ الافتتاحي الداخل في</w:t>
            </w:r>
            <w:r w:rsidR="00F548E2">
              <w:rPr>
                <w:rFonts w:hint="eastAsia"/>
                <w:rtl/>
              </w:rPr>
              <w:t> </w:t>
            </w:r>
            <w:r w:rsidRPr="00923D4E">
              <w:rPr>
                <w:rFonts w:hint="cs"/>
                <w:rtl/>
              </w:rPr>
              <w:t xml:space="preserve">حساب تأثير الانتقال إلى المعايير </w:t>
            </w:r>
            <w:r w:rsidRPr="00923D4E">
              <w:rPr>
                <w:bCs/>
              </w:rPr>
              <w:t>IPSAS</w:t>
            </w:r>
          </w:p>
        </w:tc>
        <w:tc>
          <w:tcPr>
            <w:tcW w:w="954" w:type="dxa"/>
            <w:noWrap/>
            <w:vAlign w:val="center"/>
            <w:hideMark/>
          </w:tcPr>
          <w:p w:rsidR="002B1BAF"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B1BAF" w:rsidRPr="00F548E2">
              <w:rPr>
                <w:color w:val="000000"/>
                <w:sz w:val="18"/>
                <w:szCs w:val="18"/>
              </w:rPr>
              <w:t>172</w:t>
            </w:r>
            <w:r>
              <w:rPr>
                <w:color w:val="000000"/>
                <w:sz w:val="18"/>
                <w:szCs w:val="18"/>
              </w:rPr>
              <w:t xml:space="preserve"> </w:t>
            </w:r>
            <w:r w:rsidR="002B1BAF" w:rsidRPr="00F548E2">
              <w:rPr>
                <w:color w:val="000000"/>
                <w:sz w:val="18"/>
                <w:szCs w:val="18"/>
              </w:rPr>
              <w:t>364</w:t>
            </w:r>
          </w:p>
        </w:tc>
        <w:tc>
          <w:tcPr>
            <w:tcW w:w="954" w:type="dxa"/>
            <w:noWrap/>
            <w:vAlign w:val="center"/>
            <w:hideMark/>
          </w:tcPr>
          <w:p w:rsidR="002B1BAF" w:rsidRPr="00F548E2" w:rsidRDefault="002B1BAF" w:rsidP="00626EEE">
            <w:pPr>
              <w:pStyle w:val="Tabletexte"/>
              <w:spacing w:line="280" w:lineRule="exact"/>
              <w:rPr>
                <w:color w:val="000000"/>
                <w:sz w:val="18"/>
                <w:szCs w:val="18"/>
              </w:rPr>
            </w:pPr>
          </w:p>
        </w:tc>
        <w:tc>
          <w:tcPr>
            <w:tcW w:w="954" w:type="dxa"/>
            <w:noWrap/>
            <w:vAlign w:val="center"/>
            <w:hideMark/>
          </w:tcPr>
          <w:p w:rsidR="002B1BAF" w:rsidRPr="00F548E2" w:rsidRDefault="002B1BAF" w:rsidP="00626EEE">
            <w:pPr>
              <w:pStyle w:val="Tabletexte"/>
              <w:spacing w:line="280" w:lineRule="exact"/>
              <w:rPr>
                <w:rFonts w:ascii="CG Times" w:hAnsi="CG Times"/>
              </w:rPr>
            </w:pPr>
          </w:p>
        </w:tc>
        <w:tc>
          <w:tcPr>
            <w:tcW w:w="953" w:type="dxa"/>
            <w:noWrap/>
            <w:vAlign w:val="center"/>
            <w:hideMark/>
          </w:tcPr>
          <w:p w:rsidR="002B1BAF" w:rsidRPr="00F548E2" w:rsidRDefault="002B1BAF" w:rsidP="00626EEE">
            <w:pPr>
              <w:pStyle w:val="Tabletexte"/>
              <w:spacing w:line="280" w:lineRule="exact"/>
              <w:rPr>
                <w:rFonts w:ascii="CG Times" w:hAnsi="CG Times"/>
              </w:rPr>
            </w:pPr>
          </w:p>
        </w:tc>
        <w:tc>
          <w:tcPr>
            <w:tcW w:w="953" w:type="dxa"/>
            <w:noWrap/>
            <w:vAlign w:val="center"/>
            <w:hideMark/>
          </w:tcPr>
          <w:p w:rsidR="002B1BAF" w:rsidRPr="00F548E2" w:rsidRDefault="002B1BAF" w:rsidP="00626EEE">
            <w:pPr>
              <w:pStyle w:val="Tabletexte"/>
              <w:spacing w:line="280" w:lineRule="exact"/>
              <w:rPr>
                <w:rFonts w:ascii="CG Times" w:hAnsi="CG Times"/>
              </w:rPr>
            </w:pPr>
          </w:p>
        </w:tc>
        <w:tc>
          <w:tcPr>
            <w:tcW w:w="953" w:type="dxa"/>
            <w:noWrap/>
            <w:vAlign w:val="center"/>
            <w:hideMark/>
          </w:tcPr>
          <w:p w:rsidR="002B1BAF" w:rsidRPr="00F548E2" w:rsidRDefault="002B1BAF" w:rsidP="00626EEE">
            <w:pPr>
              <w:pStyle w:val="Tabletexte"/>
              <w:spacing w:line="280" w:lineRule="exact"/>
              <w:rPr>
                <w:rFonts w:ascii="CG Times" w:hAnsi="CG Times"/>
              </w:rPr>
            </w:pPr>
          </w:p>
        </w:tc>
        <w:tc>
          <w:tcPr>
            <w:tcW w:w="953" w:type="dxa"/>
            <w:noWrap/>
            <w:vAlign w:val="center"/>
            <w:hideMark/>
          </w:tcPr>
          <w:p w:rsidR="002B1BAF" w:rsidRPr="00F548E2" w:rsidRDefault="002B1BAF" w:rsidP="00626EEE">
            <w:pPr>
              <w:pStyle w:val="Tabletexte"/>
              <w:spacing w:line="280" w:lineRule="exact"/>
              <w:rPr>
                <w:rFonts w:ascii="CG Times" w:hAnsi="CG Times"/>
              </w:rPr>
            </w:pPr>
          </w:p>
        </w:tc>
        <w:tc>
          <w:tcPr>
            <w:tcW w:w="953" w:type="dxa"/>
            <w:tcBorders>
              <w:top w:val="nil"/>
              <w:left w:val="nil"/>
              <w:bottom w:val="nil"/>
              <w:right w:val="single" w:sz="8" w:space="0" w:color="auto"/>
            </w:tcBorders>
            <w:noWrap/>
            <w:vAlign w:val="center"/>
            <w:hideMark/>
          </w:tcPr>
          <w:p w:rsidR="002B1BAF" w:rsidRPr="00F548E2" w:rsidRDefault="002B1BAF" w:rsidP="00626EEE">
            <w:pPr>
              <w:pStyle w:val="Tabletexte"/>
              <w:spacing w:line="280" w:lineRule="exact"/>
              <w:rPr>
                <w:color w:val="000000"/>
                <w:sz w:val="16"/>
                <w:szCs w:val="16"/>
                <w:lang w:val="en-GB" w:eastAsia="en-US"/>
              </w:rPr>
            </w:pPr>
          </w:p>
        </w:tc>
      </w:tr>
      <w:tr w:rsidR="0026419C" w:rsidTr="00626EEE">
        <w:trPr>
          <w:trHeight w:val="270"/>
        </w:trPr>
        <w:tc>
          <w:tcPr>
            <w:tcW w:w="1961" w:type="dxa"/>
            <w:tcBorders>
              <w:top w:val="nil"/>
              <w:left w:val="single" w:sz="8" w:space="0" w:color="auto"/>
              <w:bottom w:val="nil"/>
              <w:right w:val="single" w:sz="8" w:space="0" w:color="auto"/>
            </w:tcBorders>
            <w:noWrap/>
            <w:vAlign w:val="bottom"/>
            <w:hideMark/>
          </w:tcPr>
          <w:p w:rsidR="0026419C" w:rsidRDefault="0026419C" w:rsidP="00626EEE">
            <w:pPr>
              <w:pStyle w:val="Tabletexte"/>
              <w:spacing w:line="280" w:lineRule="exact"/>
              <w:jc w:val="left"/>
              <w:rPr>
                <w:rFonts w:cs="Arial"/>
                <w:color w:val="000000"/>
                <w:szCs w:val="20"/>
              </w:rPr>
            </w:pPr>
            <w:r>
              <w:rPr>
                <w:rFonts w:cs="Arial"/>
                <w:color w:val="000000"/>
              </w:rPr>
              <w:t> </w:t>
            </w:r>
          </w:p>
        </w:tc>
        <w:tc>
          <w:tcPr>
            <w:tcW w:w="954" w:type="dxa"/>
            <w:noWrap/>
            <w:vAlign w:val="bottom"/>
            <w:hideMark/>
          </w:tcPr>
          <w:p w:rsidR="0026419C" w:rsidRPr="00F548E2" w:rsidRDefault="0026419C" w:rsidP="00626EEE">
            <w:pPr>
              <w:pStyle w:val="Tabletexte"/>
              <w:spacing w:line="280" w:lineRule="exact"/>
              <w:rPr>
                <w:color w:val="000000"/>
              </w:rPr>
            </w:pPr>
          </w:p>
        </w:tc>
        <w:tc>
          <w:tcPr>
            <w:tcW w:w="954" w:type="dxa"/>
            <w:noWrap/>
            <w:vAlign w:val="bottom"/>
            <w:hideMark/>
          </w:tcPr>
          <w:p w:rsidR="0026419C" w:rsidRPr="00F548E2" w:rsidRDefault="0026419C" w:rsidP="00626EEE">
            <w:pPr>
              <w:pStyle w:val="Tabletexte"/>
              <w:spacing w:line="280" w:lineRule="exact"/>
              <w:rPr>
                <w:rFonts w:ascii="CG Times" w:hAnsi="CG Times"/>
              </w:rPr>
            </w:pPr>
          </w:p>
        </w:tc>
        <w:tc>
          <w:tcPr>
            <w:tcW w:w="954" w:type="dxa"/>
            <w:noWrap/>
            <w:vAlign w:val="bottom"/>
            <w:hideMark/>
          </w:tcPr>
          <w:p w:rsidR="0026419C" w:rsidRPr="00F548E2" w:rsidRDefault="0026419C" w:rsidP="00626EEE">
            <w:pPr>
              <w:pStyle w:val="Tabletexte"/>
              <w:spacing w:line="280" w:lineRule="exact"/>
              <w:rPr>
                <w:rFonts w:ascii="CG Times" w:hAnsi="CG Times"/>
              </w:rPr>
            </w:pPr>
          </w:p>
        </w:tc>
        <w:tc>
          <w:tcPr>
            <w:tcW w:w="953" w:type="dxa"/>
            <w:noWrap/>
            <w:vAlign w:val="bottom"/>
            <w:hideMark/>
          </w:tcPr>
          <w:p w:rsidR="0026419C" w:rsidRPr="00F548E2" w:rsidRDefault="0026419C" w:rsidP="00626EEE">
            <w:pPr>
              <w:pStyle w:val="Tabletexte"/>
              <w:spacing w:line="280" w:lineRule="exact"/>
              <w:rPr>
                <w:rFonts w:ascii="CG Times" w:hAnsi="CG Times"/>
              </w:rPr>
            </w:pPr>
          </w:p>
        </w:tc>
        <w:tc>
          <w:tcPr>
            <w:tcW w:w="953" w:type="dxa"/>
            <w:noWrap/>
            <w:vAlign w:val="bottom"/>
            <w:hideMark/>
          </w:tcPr>
          <w:p w:rsidR="0026419C" w:rsidRPr="00F548E2" w:rsidRDefault="0026419C" w:rsidP="00626EEE">
            <w:pPr>
              <w:pStyle w:val="Tabletexte"/>
              <w:spacing w:line="280" w:lineRule="exact"/>
              <w:rPr>
                <w:rFonts w:ascii="CG Times" w:hAnsi="CG Times"/>
              </w:rPr>
            </w:pPr>
          </w:p>
        </w:tc>
        <w:tc>
          <w:tcPr>
            <w:tcW w:w="953" w:type="dxa"/>
            <w:noWrap/>
            <w:vAlign w:val="bottom"/>
            <w:hideMark/>
          </w:tcPr>
          <w:p w:rsidR="0026419C" w:rsidRPr="00F548E2" w:rsidRDefault="0026419C" w:rsidP="00626EEE">
            <w:pPr>
              <w:pStyle w:val="Tabletexte"/>
              <w:spacing w:line="280" w:lineRule="exact"/>
              <w:rPr>
                <w:rFonts w:ascii="CG Times" w:hAnsi="CG Times"/>
              </w:rPr>
            </w:pPr>
          </w:p>
        </w:tc>
        <w:tc>
          <w:tcPr>
            <w:tcW w:w="953" w:type="dxa"/>
            <w:noWrap/>
            <w:vAlign w:val="bottom"/>
            <w:hideMark/>
          </w:tcPr>
          <w:p w:rsidR="0026419C" w:rsidRPr="00F548E2" w:rsidRDefault="0026419C" w:rsidP="00626EEE">
            <w:pPr>
              <w:pStyle w:val="Tabletexte"/>
              <w:spacing w:line="280" w:lineRule="exact"/>
              <w:rPr>
                <w:rFonts w:ascii="CG Times" w:hAnsi="CG Times"/>
              </w:rPr>
            </w:pPr>
          </w:p>
        </w:tc>
        <w:tc>
          <w:tcPr>
            <w:tcW w:w="953" w:type="dxa"/>
            <w:tcBorders>
              <w:top w:val="nil"/>
              <w:left w:val="nil"/>
              <w:bottom w:val="nil"/>
              <w:right w:val="single" w:sz="8" w:space="0" w:color="auto"/>
            </w:tcBorders>
            <w:noWrap/>
            <w:vAlign w:val="bottom"/>
            <w:hideMark/>
          </w:tcPr>
          <w:p w:rsidR="0026419C" w:rsidRPr="00F548E2" w:rsidRDefault="0026419C" w:rsidP="00626EEE">
            <w:pPr>
              <w:pStyle w:val="Tabletexte"/>
              <w:spacing w:line="280" w:lineRule="exact"/>
              <w:rPr>
                <w:color w:val="000000"/>
                <w:sz w:val="16"/>
                <w:szCs w:val="16"/>
                <w:lang w:val="en-GB" w:eastAsia="en-US"/>
              </w:rPr>
            </w:pPr>
          </w:p>
        </w:tc>
      </w:tr>
      <w:tr w:rsidR="0026419C" w:rsidTr="00626EEE">
        <w:trPr>
          <w:trHeight w:val="525"/>
        </w:trPr>
        <w:tc>
          <w:tcPr>
            <w:tcW w:w="1961" w:type="dxa"/>
            <w:tcBorders>
              <w:top w:val="single" w:sz="8" w:space="0" w:color="auto"/>
              <w:left w:val="single" w:sz="8" w:space="0" w:color="auto"/>
              <w:bottom w:val="single" w:sz="8" w:space="0" w:color="auto"/>
              <w:right w:val="single" w:sz="8" w:space="0" w:color="auto"/>
            </w:tcBorders>
            <w:vAlign w:val="bottom"/>
            <w:hideMark/>
          </w:tcPr>
          <w:p w:rsidR="0026419C" w:rsidRDefault="002B1BAF" w:rsidP="00626EEE">
            <w:pPr>
              <w:pStyle w:val="Tabletexte"/>
              <w:spacing w:line="280" w:lineRule="exact"/>
              <w:jc w:val="left"/>
              <w:rPr>
                <w:rFonts w:cs="Arial"/>
                <w:color w:val="000000"/>
                <w:szCs w:val="20"/>
              </w:rPr>
            </w:pPr>
            <w:r w:rsidRPr="00130D91">
              <w:rPr>
                <w:rFonts w:hint="cs"/>
                <w:rtl/>
              </w:rPr>
              <w:t>مجموع التزامات التأمين الصحي بعد انتهاء مدة الخدمة في صافي الأصول</w:t>
            </w:r>
          </w:p>
        </w:tc>
        <w:tc>
          <w:tcPr>
            <w:tcW w:w="954" w:type="dxa"/>
            <w:tcBorders>
              <w:top w:val="single" w:sz="8" w:space="0" w:color="auto"/>
              <w:left w:val="nil"/>
              <w:bottom w:val="single" w:sz="8" w:space="0" w:color="auto"/>
              <w:right w:val="nil"/>
            </w:tcBorders>
            <w:noWrap/>
            <w:vAlign w:val="bottom"/>
            <w:hideMark/>
          </w:tcPr>
          <w:p w:rsidR="0026419C" w:rsidRPr="00F548E2" w:rsidRDefault="0026419C" w:rsidP="00626EEE">
            <w:pPr>
              <w:pStyle w:val="Tabletexte"/>
              <w:spacing w:line="280" w:lineRule="exact"/>
              <w:rPr>
                <w:color w:val="000000"/>
                <w:sz w:val="18"/>
                <w:szCs w:val="18"/>
              </w:rPr>
            </w:pPr>
          </w:p>
        </w:tc>
        <w:tc>
          <w:tcPr>
            <w:tcW w:w="954" w:type="dxa"/>
            <w:tcBorders>
              <w:top w:val="single" w:sz="8" w:space="0" w:color="auto"/>
              <w:left w:val="nil"/>
              <w:bottom w:val="single" w:sz="8" w:space="0" w:color="auto"/>
              <w:right w:val="nil"/>
            </w:tcBorders>
            <w:noWrap/>
            <w:vAlign w:val="center"/>
            <w:hideMark/>
          </w:tcPr>
          <w:p w:rsidR="0026419C"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6419C" w:rsidRPr="00F548E2">
              <w:rPr>
                <w:color w:val="000000"/>
                <w:sz w:val="18"/>
                <w:szCs w:val="18"/>
              </w:rPr>
              <w:t>39</w:t>
            </w:r>
            <w:r>
              <w:rPr>
                <w:color w:val="000000"/>
                <w:sz w:val="18"/>
                <w:szCs w:val="18"/>
              </w:rPr>
              <w:t xml:space="preserve"> </w:t>
            </w:r>
            <w:r w:rsidR="0026419C" w:rsidRPr="00F548E2">
              <w:rPr>
                <w:color w:val="000000"/>
                <w:sz w:val="18"/>
                <w:szCs w:val="18"/>
              </w:rPr>
              <w:t>706</w:t>
            </w:r>
          </w:p>
        </w:tc>
        <w:tc>
          <w:tcPr>
            <w:tcW w:w="954" w:type="dxa"/>
            <w:tcBorders>
              <w:top w:val="single" w:sz="8" w:space="0" w:color="auto"/>
              <w:left w:val="nil"/>
              <w:bottom w:val="single" w:sz="8" w:space="0" w:color="auto"/>
              <w:right w:val="nil"/>
            </w:tcBorders>
            <w:noWrap/>
            <w:vAlign w:val="center"/>
            <w:hideMark/>
          </w:tcPr>
          <w:p w:rsidR="0026419C"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6419C" w:rsidRPr="00F548E2">
              <w:rPr>
                <w:color w:val="000000"/>
                <w:sz w:val="18"/>
                <w:szCs w:val="18"/>
              </w:rPr>
              <w:t>105</w:t>
            </w:r>
            <w:r>
              <w:rPr>
                <w:color w:val="000000"/>
                <w:sz w:val="18"/>
                <w:szCs w:val="18"/>
              </w:rPr>
              <w:t xml:space="preserve"> </w:t>
            </w:r>
            <w:r w:rsidR="0026419C" w:rsidRPr="00F548E2">
              <w:rPr>
                <w:color w:val="000000"/>
                <w:sz w:val="18"/>
                <w:szCs w:val="18"/>
              </w:rPr>
              <w:t>910</w:t>
            </w:r>
          </w:p>
        </w:tc>
        <w:tc>
          <w:tcPr>
            <w:tcW w:w="953" w:type="dxa"/>
            <w:tcBorders>
              <w:top w:val="single" w:sz="8" w:space="0" w:color="auto"/>
              <w:left w:val="nil"/>
              <w:bottom w:val="single" w:sz="8" w:space="0" w:color="auto"/>
              <w:right w:val="nil"/>
            </w:tcBorders>
            <w:noWrap/>
            <w:vAlign w:val="center"/>
            <w:hideMark/>
          </w:tcPr>
          <w:p w:rsidR="0026419C"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6419C" w:rsidRPr="00F548E2">
              <w:rPr>
                <w:color w:val="000000"/>
                <w:sz w:val="18"/>
                <w:szCs w:val="18"/>
              </w:rPr>
              <w:t>151</w:t>
            </w:r>
            <w:r>
              <w:rPr>
                <w:color w:val="000000"/>
                <w:sz w:val="18"/>
                <w:szCs w:val="18"/>
              </w:rPr>
              <w:t xml:space="preserve"> </w:t>
            </w:r>
            <w:r w:rsidR="0026419C" w:rsidRPr="00F548E2">
              <w:rPr>
                <w:color w:val="000000"/>
                <w:sz w:val="18"/>
                <w:szCs w:val="18"/>
              </w:rPr>
              <w:t>761</w:t>
            </w:r>
          </w:p>
        </w:tc>
        <w:tc>
          <w:tcPr>
            <w:tcW w:w="953" w:type="dxa"/>
            <w:tcBorders>
              <w:top w:val="single" w:sz="8" w:space="0" w:color="auto"/>
              <w:left w:val="nil"/>
              <w:bottom w:val="single" w:sz="8" w:space="0" w:color="auto"/>
              <w:right w:val="nil"/>
            </w:tcBorders>
            <w:noWrap/>
            <w:vAlign w:val="center"/>
            <w:hideMark/>
          </w:tcPr>
          <w:p w:rsidR="0026419C"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6419C" w:rsidRPr="00F548E2">
              <w:rPr>
                <w:color w:val="000000"/>
                <w:sz w:val="18"/>
                <w:szCs w:val="18"/>
              </w:rPr>
              <w:t>125</w:t>
            </w:r>
            <w:r>
              <w:rPr>
                <w:color w:val="000000"/>
                <w:sz w:val="18"/>
                <w:szCs w:val="18"/>
              </w:rPr>
              <w:t xml:space="preserve"> </w:t>
            </w:r>
            <w:r w:rsidR="0026419C" w:rsidRPr="00F548E2">
              <w:rPr>
                <w:color w:val="000000"/>
                <w:sz w:val="18"/>
                <w:szCs w:val="18"/>
              </w:rPr>
              <w:t>263</w:t>
            </w:r>
          </w:p>
        </w:tc>
        <w:tc>
          <w:tcPr>
            <w:tcW w:w="953" w:type="dxa"/>
            <w:tcBorders>
              <w:top w:val="single" w:sz="8" w:space="0" w:color="auto"/>
              <w:left w:val="nil"/>
              <w:bottom w:val="single" w:sz="8" w:space="0" w:color="auto"/>
              <w:right w:val="nil"/>
            </w:tcBorders>
            <w:noWrap/>
            <w:vAlign w:val="center"/>
            <w:hideMark/>
          </w:tcPr>
          <w:p w:rsidR="0026419C"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6419C" w:rsidRPr="00F548E2">
              <w:rPr>
                <w:color w:val="000000"/>
                <w:sz w:val="18"/>
                <w:szCs w:val="18"/>
              </w:rPr>
              <w:t>312</w:t>
            </w:r>
            <w:r>
              <w:rPr>
                <w:color w:val="000000"/>
                <w:sz w:val="18"/>
                <w:szCs w:val="18"/>
              </w:rPr>
              <w:t xml:space="preserve"> </w:t>
            </w:r>
            <w:r w:rsidR="0026419C" w:rsidRPr="00F548E2">
              <w:rPr>
                <w:color w:val="000000"/>
                <w:sz w:val="18"/>
                <w:szCs w:val="18"/>
              </w:rPr>
              <w:t>708</w:t>
            </w:r>
          </w:p>
        </w:tc>
        <w:tc>
          <w:tcPr>
            <w:tcW w:w="953" w:type="dxa"/>
            <w:tcBorders>
              <w:top w:val="single" w:sz="8" w:space="0" w:color="auto"/>
              <w:left w:val="nil"/>
              <w:bottom w:val="single" w:sz="8" w:space="0" w:color="auto"/>
              <w:right w:val="nil"/>
            </w:tcBorders>
            <w:noWrap/>
            <w:vAlign w:val="center"/>
            <w:hideMark/>
          </w:tcPr>
          <w:p w:rsidR="0026419C" w:rsidRPr="00F548E2" w:rsidRDefault="00F548E2" w:rsidP="00626EEE">
            <w:pPr>
              <w:pStyle w:val="Tabletexte"/>
              <w:spacing w:line="280" w:lineRule="exact"/>
              <w:rPr>
                <w:color w:val="000000"/>
                <w:sz w:val="18"/>
                <w:szCs w:val="18"/>
              </w:rPr>
            </w:pPr>
            <w:r w:rsidRPr="00F548E2">
              <w:rPr>
                <w:color w:val="000000"/>
                <w:sz w:val="18"/>
                <w:szCs w:val="18"/>
                <w:rtl/>
                <w:lang w:bidi="ar-EG"/>
              </w:rPr>
              <w:t>-</w:t>
            </w:r>
            <w:r w:rsidR="0026419C" w:rsidRPr="00F548E2">
              <w:rPr>
                <w:color w:val="000000"/>
                <w:sz w:val="18"/>
                <w:szCs w:val="18"/>
              </w:rPr>
              <w:t>257</w:t>
            </w:r>
            <w:r>
              <w:rPr>
                <w:color w:val="000000"/>
                <w:sz w:val="18"/>
                <w:szCs w:val="18"/>
              </w:rPr>
              <w:t xml:space="preserve"> </w:t>
            </w:r>
            <w:r w:rsidR="0026419C" w:rsidRPr="00F548E2">
              <w:rPr>
                <w:color w:val="000000"/>
                <w:sz w:val="18"/>
                <w:szCs w:val="18"/>
              </w:rPr>
              <w:t>136</w:t>
            </w:r>
          </w:p>
        </w:tc>
        <w:tc>
          <w:tcPr>
            <w:tcW w:w="953" w:type="dxa"/>
            <w:tcBorders>
              <w:top w:val="single" w:sz="8" w:space="0" w:color="auto"/>
              <w:left w:val="nil"/>
              <w:bottom w:val="single" w:sz="8" w:space="0" w:color="auto"/>
              <w:right w:val="single" w:sz="8" w:space="0" w:color="auto"/>
            </w:tcBorders>
            <w:noWrap/>
            <w:vAlign w:val="center"/>
            <w:hideMark/>
          </w:tcPr>
          <w:p w:rsidR="0026419C" w:rsidRPr="00F548E2" w:rsidRDefault="00F548E2" w:rsidP="00626EEE">
            <w:pPr>
              <w:pStyle w:val="Tabletexte"/>
              <w:spacing w:line="280" w:lineRule="exact"/>
              <w:rPr>
                <w:color w:val="000000"/>
                <w:sz w:val="16"/>
                <w:szCs w:val="16"/>
              </w:rPr>
            </w:pPr>
            <w:r w:rsidRPr="00F548E2">
              <w:rPr>
                <w:color w:val="000000"/>
                <w:sz w:val="16"/>
                <w:szCs w:val="16"/>
                <w:rtl/>
                <w:lang w:bidi="ar-EG"/>
              </w:rPr>
              <w:t>-</w:t>
            </w:r>
            <w:r w:rsidR="0026419C" w:rsidRPr="00F548E2">
              <w:rPr>
                <w:color w:val="000000"/>
                <w:sz w:val="16"/>
                <w:szCs w:val="16"/>
              </w:rPr>
              <w:t>322</w:t>
            </w:r>
            <w:r>
              <w:rPr>
                <w:color w:val="000000"/>
                <w:sz w:val="16"/>
                <w:szCs w:val="16"/>
              </w:rPr>
              <w:t xml:space="preserve"> </w:t>
            </w:r>
            <w:r w:rsidR="0026419C" w:rsidRPr="00F548E2">
              <w:rPr>
                <w:color w:val="000000"/>
                <w:sz w:val="16"/>
                <w:szCs w:val="16"/>
              </w:rPr>
              <w:t>579</w:t>
            </w:r>
          </w:p>
        </w:tc>
      </w:tr>
    </w:tbl>
    <w:p w:rsidR="00397F8F" w:rsidRPr="00AC0E6A" w:rsidRDefault="00397F8F" w:rsidP="00397F8F">
      <w:pPr>
        <w:pStyle w:val="Heading1"/>
        <w:rPr>
          <w:rtl/>
        </w:rPr>
      </w:pPr>
      <w:r w:rsidRPr="00AC0E6A">
        <w:rPr>
          <w:lang w:bidi="ar-SY"/>
        </w:rPr>
        <w:t>3</w:t>
      </w:r>
      <w:r w:rsidRPr="00AC0E6A">
        <w:rPr>
          <w:rtl/>
        </w:rPr>
        <w:tab/>
      </w:r>
      <w:r w:rsidRPr="00AC0E6A">
        <w:rPr>
          <w:rFonts w:hint="cs"/>
          <w:rtl/>
        </w:rPr>
        <w:t>الإجراء</w:t>
      </w:r>
      <w:r>
        <w:rPr>
          <w:rFonts w:hint="cs"/>
          <w:rtl/>
        </w:rPr>
        <w:t>ات</w:t>
      </w:r>
      <w:r w:rsidRPr="00AC0E6A">
        <w:rPr>
          <w:rFonts w:hint="cs"/>
          <w:rtl/>
        </w:rPr>
        <w:t xml:space="preserve"> المتخذ</w:t>
      </w:r>
      <w:r>
        <w:rPr>
          <w:rFonts w:hint="cs"/>
          <w:rtl/>
        </w:rPr>
        <w:t>ة</w:t>
      </w:r>
    </w:p>
    <w:p w:rsidR="00397F8F" w:rsidRPr="00AC0E6A" w:rsidRDefault="00397F8F" w:rsidP="00397F8F">
      <w:pPr>
        <w:rPr>
          <w:rtl/>
          <w:lang w:bidi="ar-EG"/>
        </w:rPr>
      </w:pPr>
      <w:r w:rsidRPr="00AC0E6A">
        <w:rPr>
          <w:lang w:bidi="ar-SY"/>
        </w:rPr>
        <w:t>1.3</w:t>
      </w:r>
      <w:r w:rsidRPr="00AC0E6A">
        <w:rPr>
          <w:rtl/>
        </w:rPr>
        <w:tab/>
      </w:r>
      <w:r w:rsidRPr="00AC0E6A">
        <w:rPr>
          <w:rFonts w:hint="cs"/>
          <w:rtl/>
        </w:rPr>
        <w:t>شكل تمويل الالتزام</w:t>
      </w:r>
      <w:r>
        <w:rPr>
          <w:rFonts w:hint="cs"/>
          <w:rtl/>
        </w:rPr>
        <w:t>ات</w:t>
      </w:r>
      <w:r w:rsidRPr="00AC0E6A">
        <w:rPr>
          <w:rFonts w:hint="cs"/>
          <w:rtl/>
        </w:rPr>
        <w:t xml:space="preserve"> الإكتواري</w:t>
      </w:r>
      <w:r>
        <w:rPr>
          <w:rFonts w:hint="cs"/>
          <w:rtl/>
        </w:rPr>
        <w:t>ة</w:t>
      </w:r>
      <w:r w:rsidRPr="00AC0E6A">
        <w:rPr>
          <w:rFonts w:hint="cs"/>
          <w:rtl/>
        </w:rPr>
        <w:t xml:space="preserve"> للتأمين الصحي بعد مدة انتهاء الخدمة </w:t>
      </w:r>
      <w:r>
        <w:rPr>
          <w:rFonts w:hint="cs"/>
          <w:rtl/>
        </w:rPr>
        <w:t>أحد الشواغل</w:t>
      </w:r>
      <w:r w:rsidRPr="00AC0E6A">
        <w:rPr>
          <w:rFonts w:hint="cs"/>
          <w:rtl/>
        </w:rPr>
        <w:t xml:space="preserve"> منذ عام </w:t>
      </w:r>
      <w:r w:rsidRPr="00AC0E6A">
        <w:rPr>
          <w:lang w:bidi="ar-SY"/>
        </w:rPr>
        <w:t>2010</w:t>
      </w:r>
      <w:r w:rsidRPr="00AC0E6A">
        <w:rPr>
          <w:rFonts w:hint="cs"/>
          <w:rtl/>
        </w:rPr>
        <w:t xml:space="preserve"> وأدى إلى اتخاذ تدابير من أجل ضمان تمويل التأمين الصحي على أساس دفع الاستحقاقات أولاً بأول فضلاً عن تمويل </w:t>
      </w:r>
      <w:r w:rsidRPr="00AC0E6A">
        <w:rPr>
          <w:rFonts w:hint="cs"/>
          <w:rtl/>
          <w:lang w:bidi="ar-EG"/>
        </w:rPr>
        <w:t>التزام</w:t>
      </w:r>
      <w:r>
        <w:rPr>
          <w:rFonts w:hint="cs"/>
          <w:rtl/>
          <w:lang w:bidi="ar-EG"/>
        </w:rPr>
        <w:t>ات</w:t>
      </w:r>
      <w:r w:rsidRPr="00AC0E6A">
        <w:rPr>
          <w:rFonts w:hint="cs"/>
          <w:rtl/>
          <w:lang w:bidi="ar-EG"/>
        </w:rPr>
        <w:t xml:space="preserve"> التأمين الصحي بعد انتهاء مدة الخدمة على الأجل الطويل.</w:t>
      </w:r>
    </w:p>
    <w:p w:rsidR="00397F8F" w:rsidRPr="006E37D1" w:rsidRDefault="00397F8F" w:rsidP="00397F8F">
      <w:pPr>
        <w:pStyle w:val="Headingb0"/>
        <w:rPr>
          <w:i/>
          <w:iCs/>
          <w:rtl/>
          <w:lang w:bidi="ar-EG"/>
        </w:rPr>
      </w:pPr>
      <w:r w:rsidRPr="006E37D1">
        <w:rPr>
          <w:rFonts w:hint="cs"/>
          <w:i/>
          <w:iCs/>
          <w:rtl/>
          <w:lang w:bidi="ar-EG"/>
        </w:rPr>
        <w:t>الزيادة في المساهمات</w:t>
      </w:r>
    </w:p>
    <w:p w:rsidR="00397F8F" w:rsidRPr="00AC0E6A" w:rsidRDefault="00397F8F" w:rsidP="00397F8F">
      <w:pPr>
        <w:rPr>
          <w:rtl/>
          <w:lang w:bidi="ar-EG"/>
        </w:rPr>
      </w:pPr>
      <w:r w:rsidRPr="00AC0E6A">
        <w:rPr>
          <w:lang w:bidi="ar-SY"/>
        </w:rPr>
        <w:t>2.3</w:t>
      </w:r>
      <w:r w:rsidRPr="00AC0E6A">
        <w:rPr>
          <w:rtl/>
          <w:lang w:bidi="ar-EG"/>
        </w:rPr>
        <w:tab/>
      </w:r>
      <w:r w:rsidRPr="00AC0E6A">
        <w:rPr>
          <w:rFonts w:hint="cs"/>
          <w:rtl/>
          <w:lang w:bidi="ar-EG"/>
        </w:rPr>
        <w:t xml:space="preserve">حتى </w:t>
      </w:r>
      <w:r w:rsidRPr="00AC0E6A">
        <w:rPr>
          <w:lang w:bidi="ar-SY"/>
        </w:rPr>
        <w:t>2013</w:t>
      </w:r>
      <w:r w:rsidRPr="00AC0E6A">
        <w:rPr>
          <w:rFonts w:hint="cs"/>
          <w:rtl/>
          <w:lang w:bidi="ar-EG"/>
        </w:rPr>
        <w:t xml:space="preserve">، لم تتضمن الميزانية إلا تحصيل نسبة </w:t>
      </w:r>
      <w:r w:rsidRPr="00AC0E6A">
        <w:rPr>
          <w:lang w:bidi="ar-SY"/>
        </w:rPr>
        <w:t>%3</w:t>
      </w:r>
      <w:proofErr w:type="gramStart"/>
      <w:r w:rsidRPr="00AC0E6A">
        <w:rPr>
          <w:lang w:bidi="ar-SY"/>
        </w:rPr>
        <w:t>,31</w:t>
      </w:r>
      <w:proofErr w:type="gramEnd"/>
      <w:r w:rsidRPr="00AC0E6A">
        <w:rPr>
          <w:rFonts w:hint="cs"/>
          <w:rtl/>
          <w:lang w:bidi="ar-EG"/>
        </w:rPr>
        <w:t xml:space="preserve"> تمثل مساهمة الات</w:t>
      </w:r>
      <w:r>
        <w:rPr>
          <w:rFonts w:hint="cs"/>
          <w:rtl/>
          <w:lang w:bidi="ar-EG"/>
        </w:rPr>
        <w:t>حاد في التأمين الصحي للموظفين العاملين</w:t>
      </w:r>
      <w:r w:rsidRPr="00AC0E6A">
        <w:rPr>
          <w:rFonts w:hint="cs"/>
          <w:rtl/>
          <w:lang w:bidi="ar-EG"/>
        </w:rPr>
        <w:t xml:space="preserve"> والمتقاعدين. وفي ميزانية </w:t>
      </w:r>
      <w:r w:rsidRPr="00AC0E6A">
        <w:rPr>
          <w:lang w:bidi="ar-SY"/>
        </w:rPr>
        <w:t>2015-2014</w:t>
      </w:r>
      <w:r w:rsidRPr="00AC0E6A">
        <w:rPr>
          <w:rFonts w:hint="cs"/>
          <w:rtl/>
          <w:lang w:bidi="ar-EG"/>
        </w:rPr>
        <w:t xml:space="preserve">، زادت هذه النسبة إلى </w:t>
      </w:r>
      <w:r w:rsidRPr="00AC0E6A">
        <w:rPr>
          <w:lang w:bidi="ar-SY"/>
        </w:rPr>
        <w:t>%3,91</w:t>
      </w:r>
      <w:r w:rsidRPr="00AC0E6A">
        <w:rPr>
          <w:rFonts w:hint="cs"/>
          <w:rtl/>
          <w:lang w:bidi="ar-EG"/>
        </w:rPr>
        <w:t xml:space="preserve"> من أجل موازنة المساهمات ودفع المطالبات المتعلقة بالتأمين الصحي. ومع ذلك، فإن هذه الزيادة ليست كافية لتمويل الالتزام</w:t>
      </w:r>
      <w:r>
        <w:rPr>
          <w:rFonts w:hint="cs"/>
          <w:rtl/>
          <w:lang w:bidi="ar-EG"/>
        </w:rPr>
        <w:t>ات</w:t>
      </w:r>
      <w:r w:rsidRPr="00AC0E6A">
        <w:rPr>
          <w:rFonts w:hint="cs"/>
          <w:rtl/>
          <w:lang w:bidi="ar-EG"/>
        </w:rPr>
        <w:t>. وتنبغي مراجعة هذه النسبة على الأجل الطويل وزيادتها من أجل تفادي العجز في الخطة كهدف أساسي وللتمكين من تجميع احتياطي لضمان التمويل على أساس دفع الاستحقاقات أولاً</w:t>
      </w:r>
      <w:r>
        <w:rPr>
          <w:rFonts w:hint="eastAsia"/>
          <w:rtl/>
          <w:lang w:bidi="ar-EG"/>
        </w:rPr>
        <w:t> </w:t>
      </w:r>
      <w:r w:rsidRPr="00AC0E6A">
        <w:rPr>
          <w:rFonts w:hint="cs"/>
          <w:rtl/>
          <w:lang w:bidi="ar-EG"/>
        </w:rPr>
        <w:t xml:space="preserve">بأول. والنسبة المقترحة لميزانية الاتحاد للفترة </w:t>
      </w:r>
      <w:r w:rsidRPr="00AC0E6A">
        <w:rPr>
          <w:lang w:bidi="ar-SY"/>
        </w:rPr>
        <w:t>2017-2016</w:t>
      </w:r>
      <w:r>
        <w:rPr>
          <w:rFonts w:hint="cs"/>
          <w:rtl/>
          <w:lang w:bidi="ar-EG"/>
        </w:rPr>
        <w:t xml:space="preserve"> </w:t>
      </w:r>
      <w:r w:rsidRPr="00AC0E6A">
        <w:rPr>
          <w:rFonts w:hint="cs"/>
          <w:rtl/>
          <w:lang w:bidi="ar-EG"/>
        </w:rPr>
        <w:t>بلغ</w:t>
      </w:r>
      <w:r>
        <w:rPr>
          <w:rFonts w:hint="cs"/>
          <w:rtl/>
          <w:lang w:bidi="ar-EG"/>
        </w:rPr>
        <w:t>ت</w:t>
      </w:r>
      <w:r w:rsidRPr="00AC0E6A">
        <w:rPr>
          <w:rFonts w:hint="cs"/>
          <w:rtl/>
          <w:lang w:bidi="ar-EG"/>
        </w:rPr>
        <w:t xml:space="preserve"> </w:t>
      </w:r>
      <w:r w:rsidRPr="00AC0E6A">
        <w:rPr>
          <w:lang w:bidi="ar-SY"/>
        </w:rPr>
        <w:t>%4,70</w:t>
      </w:r>
      <w:r w:rsidRPr="00AC0E6A">
        <w:rPr>
          <w:rFonts w:hint="cs"/>
          <w:rtl/>
          <w:lang w:bidi="ar-EG"/>
        </w:rPr>
        <w:t>.</w:t>
      </w:r>
    </w:p>
    <w:p w:rsidR="00397F8F" w:rsidRPr="00AC0E6A" w:rsidRDefault="00397F8F" w:rsidP="00397F8F">
      <w:pPr>
        <w:rPr>
          <w:rtl/>
          <w:lang w:bidi="ar-EG"/>
        </w:rPr>
      </w:pPr>
      <w:r w:rsidRPr="00AC0E6A">
        <w:rPr>
          <w:lang w:bidi="ar-SY"/>
        </w:rPr>
        <w:t>3.3</w:t>
      </w:r>
      <w:r w:rsidRPr="00AC0E6A">
        <w:rPr>
          <w:rtl/>
          <w:lang w:bidi="ar-EG"/>
        </w:rPr>
        <w:tab/>
      </w:r>
      <w:r w:rsidRPr="00AC0E6A">
        <w:rPr>
          <w:rFonts w:hint="cs"/>
          <w:rtl/>
          <w:lang w:bidi="ar-EG"/>
        </w:rPr>
        <w:t>وت</w:t>
      </w:r>
      <w:r>
        <w:rPr>
          <w:rFonts w:hint="cs"/>
          <w:rtl/>
          <w:lang w:bidi="ar-EG"/>
        </w:rPr>
        <w:t>م</w:t>
      </w:r>
      <w:r w:rsidRPr="00AC0E6A">
        <w:rPr>
          <w:rFonts w:hint="cs"/>
          <w:rtl/>
          <w:lang w:bidi="ar-EG"/>
        </w:rPr>
        <w:t xml:space="preserve">ول هذه الزيادة من الموظفين </w:t>
      </w:r>
      <w:r>
        <w:rPr>
          <w:rFonts w:hint="cs"/>
          <w:rtl/>
          <w:lang w:bidi="ar-EG"/>
        </w:rPr>
        <w:t>العاملين</w:t>
      </w:r>
      <w:r w:rsidRPr="00AC0E6A">
        <w:rPr>
          <w:rFonts w:hint="cs"/>
          <w:rtl/>
          <w:lang w:bidi="ar-EG"/>
        </w:rPr>
        <w:t xml:space="preserve"> والمتقاعدين المؤمن عليهم وكذلك من الاتحاد.</w:t>
      </w:r>
    </w:p>
    <w:p w:rsidR="00397F8F" w:rsidRPr="00AC0E6A" w:rsidRDefault="00397F8F" w:rsidP="00397F8F">
      <w:pPr>
        <w:rPr>
          <w:rtl/>
          <w:lang w:bidi="ar-EG"/>
        </w:rPr>
      </w:pPr>
      <w:r w:rsidRPr="00AC0E6A">
        <w:rPr>
          <w:lang w:bidi="ar-SY"/>
        </w:rPr>
        <w:t>4.3</w:t>
      </w:r>
      <w:r w:rsidRPr="00AC0E6A">
        <w:rPr>
          <w:rtl/>
          <w:lang w:bidi="ar-EG"/>
        </w:rPr>
        <w:tab/>
      </w:r>
      <w:r w:rsidRPr="00AC0E6A">
        <w:rPr>
          <w:rFonts w:hint="cs"/>
          <w:rtl/>
          <w:lang w:bidi="ar-EG"/>
        </w:rPr>
        <w:t xml:space="preserve">وطبقاً لخطة التأمين الطبي الجماعي </w:t>
      </w:r>
      <w:r w:rsidRPr="00AC0E6A">
        <w:rPr>
          <w:lang w:bidi="ar-SY"/>
        </w:rPr>
        <w:t>(CMIP</w:t>
      </w:r>
      <w:proofErr w:type="gramStart"/>
      <w:r w:rsidRPr="00AC0E6A">
        <w:rPr>
          <w:lang w:bidi="ar-SY"/>
        </w:rPr>
        <w:t>)</w:t>
      </w:r>
      <w:r w:rsidRPr="00AC0E6A">
        <w:rPr>
          <w:rFonts w:hint="cs"/>
          <w:rtl/>
          <w:lang w:bidi="ar-EG"/>
        </w:rPr>
        <w:t>،</w:t>
      </w:r>
      <w:proofErr w:type="gramEnd"/>
      <w:r w:rsidRPr="00AC0E6A">
        <w:rPr>
          <w:rFonts w:hint="cs"/>
          <w:rtl/>
          <w:lang w:bidi="ar-EG"/>
        </w:rPr>
        <w:t xml:space="preserve"> يقوم الاتحاد بتجميع هذه المساهمات وتحديد الأقساط السنوية المدفوعة </w:t>
      </w:r>
      <w:r w:rsidRPr="00257CCC">
        <w:rPr>
          <w:rFonts w:hint="cs"/>
          <w:spacing w:val="6"/>
          <w:rtl/>
          <w:lang w:bidi="ar-EG"/>
        </w:rPr>
        <w:t>إلى</w:t>
      </w:r>
      <w:r w:rsidRPr="00257CCC">
        <w:rPr>
          <w:rFonts w:hint="eastAsia"/>
          <w:spacing w:val="6"/>
          <w:rtl/>
          <w:lang w:bidi="ar-EG"/>
        </w:rPr>
        <w:t> </w:t>
      </w:r>
      <w:r w:rsidRPr="00257CCC">
        <w:rPr>
          <w:spacing w:val="6"/>
          <w:lang w:bidi="ar-SY"/>
        </w:rPr>
        <w:t>Cigna/</w:t>
      </w:r>
      <w:proofErr w:type="spellStart"/>
      <w:r w:rsidRPr="00257CCC">
        <w:rPr>
          <w:spacing w:val="6"/>
          <w:lang w:bidi="ar-SY"/>
        </w:rPr>
        <w:t>Vanbreda</w:t>
      </w:r>
      <w:proofErr w:type="spellEnd"/>
      <w:r w:rsidRPr="00257CCC">
        <w:rPr>
          <w:rFonts w:hint="cs"/>
          <w:spacing w:val="6"/>
          <w:rtl/>
          <w:lang w:bidi="ar-EG"/>
        </w:rPr>
        <w:t xml:space="preserve">. وتحول أي فوائض بين المساهمات والأقساط إلى صندوق ضمان الخطة </w:t>
      </w:r>
      <w:r w:rsidRPr="00257CCC">
        <w:rPr>
          <w:spacing w:val="6"/>
          <w:lang w:bidi="ar-SY"/>
        </w:rPr>
        <w:t>CMIP</w:t>
      </w:r>
      <w:r w:rsidRPr="00257CCC">
        <w:rPr>
          <w:rFonts w:hint="cs"/>
          <w:spacing w:val="6"/>
          <w:rtl/>
          <w:lang w:bidi="ar-EG"/>
        </w:rPr>
        <w:t xml:space="preserve"> من أجل تمويل </w:t>
      </w:r>
      <w:r w:rsidR="00626EEE">
        <w:rPr>
          <w:rFonts w:hint="cs"/>
          <w:spacing w:val="6"/>
          <w:rtl/>
          <w:lang w:bidi="ar-EG"/>
        </w:rPr>
        <w:t>أي</w:t>
      </w:r>
      <w:r w:rsidR="00626EEE">
        <w:rPr>
          <w:rFonts w:hint="eastAsia"/>
          <w:spacing w:val="6"/>
          <w:rtl/>
          <w:lang w:bidi="ar-EG"/>
        </w:rPr>
        <w:t> </w:t>
      </w:r>
      <w:r w:rsidRPr="00257CCC">
        <w:rPr>
          <w:rFonts w:hint="cs"/>
          <w:spacing w:val="6"/>
          <w:rtl/>
          <w:lang w:bidi="ar-EG"/>
        </w:rPr>
        <w:t>عجز في</w:t>
      </w:r>
      <w:r w:rsidRPr="00257CCC">
        <w:rPr>
          <w:rFonts w:hint="eastAsia"/>
          <w:spacing w:val="6"/>
          <w:rtl/>
          <w:lang w:bidi="ar-EG"/>
        </w:rPr>
        <w:t> المستقبل.</w:t>
      </w:r>
    </w:p>
    <w:p w:rsidR="00397F8F" w:rsidRPr="00257CCC" w:rsidRDefault="00397F8F" w:rsidP="00397F8F">
      <w:pPr>
        <w:pStyle w:val="Headingb0"/>
        <w:rPr>
          <w:i/>
          <w:iCs/>
          <w:rtl/>
          <w:lang w:bidi="ar-EG"/>
        </w:rPr>
      </w:pPr>
      <w:r w:rsidRPr="00257CCC">
        <w:rPr>
          <w:rFonts w:hint="cs"/>
          <w:i/>
          <w:iCs/>
          <w:rtl/>
          <w:lang w:bidi="ar-EG"/>
        </w:rPr>
        <w:t xml:space="preserve">إنشاء صندوق ضمان للخطة </w:t>
      </w:r>
      <w:r w:rsidRPr="00257CCC">
        <w:rPr>
          <w:i/>
          <w:iCs/>
          <w:lang w:bidi="ar-SY"/>
        </w:rPr>
        <w:t>CMIP</w:t>
      </w:r>
    </w:p>
    <w:p w:rsidR="00397F8F" w:rsidRPr="00626EEE" w:rsidRDefault="00397F8F" w:rsidP="00670D52">
      <w:pPr>
        <w:rPr>
          <w:spacing w:val="-4"/>
          <w:rtl/>
          <w:lang w:bidi="ar-EG"/>
        </w:rPr>
      </w:pPr>
      <w:r w:rsidRPr="00AC0E6A">
        <w:rPr>
          <w:lang w:bidi="ar-SY"/>
        </w:rPr>
        <w:t>5.3</w:t>
      </w:r>
      <w:r w:rsidRPr="00AC0E6A">
        <w:rPr>
          <w:rFonts w:hint="cs"/>
          <w:rtl/>
          <w:lang w:bidi="ar-EG"/>
        </w:rPr>
        <w:tab/>
      </w:r>
      <w:r w:rsidRPr="00626EEE">
        <w:rPr>
          <w:rFonts w:hint="cs"/>
          <w:spacing w:val="-4"/>
          <w:rtl/>
          <w:lang w:bidi="ar-EG"/>
        </w:rPr>
        <w:t xml:space="preserve">طبقاً للمقرر </w:t>
      </w:r>
      <w:r w:rsidRPr="00626EEE">
        <w:rPr>
          <w:spacing w:val="-4"/>
          <w:lang w:bidi="ar-EG"/>
        </w:rPr>
        <w:t>593</w:t>
      </w:r>
      <w:r w:rsidRPr="00626EEE">
        <w:rPr>
          <w:rFonts w:hint="cs"/>
          <w:spacing w:val="-4"/>
          <w:rtl/>
          <w:lang w:bidi="ar-EG"/>
        </w:rPr>
        <w:t xml:space="preserve">، أُغلق صندوق المعاشات وتم تحويل مبلغ </w:t>
      </w:r>
      <w:r w:rsidRPr="00670D52">
        <w:rPr>
          <w:spacing w:val="-4"/>
          <w:lang w:bidi="ar-EG"/>
        </w:rPr>
        <w:t>1</w:t>
      </w:r>
      <w:proofErr w:type="gramStart"/>
      <w:r w:rsidRPr="00670D52">
        <w:rPr>
          <w:spacing w:val="-4"/>
          <w:lang w:bidi="ar-EG"/>
        </w:rPr>
        <w:t>,1</w:t>
      </w:r>
      <w:proofErr w:type="gramEnd"/>
      <w:r w:rsidRPr="00626EEE">
        <w:rPr>
          <w:rFonts w:hint="cs"/>
          <w:spacing w:val="-4"/>
          <w:rtl/>
          <w:lang w:bidi="ar-EG"/>
        </w:rPr>
        <w:t xml:space="preserve"> مليون فرنك سويسري إلى صندوق ضمان الخطة </w:t>
      </w:r>
      <w:r w:rsidRPr="00626EEE">
        <w:rPr>
          <w:spacing w:val="-4"/>
          <w:lang w:bidi="ar-SY"/>
        </w:rPr>
        <w:t>CMIP</w:t>
      </w:r>
      <w:r w:rsidRPr="00626EEE">
        <w:rPr>
          <w:rFonts w:hint="cs"/>
          <w:spacing w:val="-4"/>
          <w:rtl/>
          <w:lang w:bidi="ar-EG"/>
        </w:rPr>
        <w:t xml:space="preserve">. وتم تحويل فوائض عام </w:t>
      </w:r>
      <w:r w:rsidRPr="00626EEE">
        <w:rPr>
          <w:spacing w:val="-4"/>
          <w:lang w:bidi="ar-SY"/>
        </w:rPr>
        <w:t>2016</w:t>
      </w:r>
      <w:r w:rsidRPr="00626EEE">
        <w:rPr>
          <w:rFonts w:hint="cs"/>
          <w:spacing w:val="-4"/>
          <w:rtl/>
          <w:lang w:bidi="ar-EG"/>
        </w:rPr>
        <w:t xml:space="preserve"> من مساهمات الأعضاء في الخطة </w:t>
      </w:r>
      <w:r w:rsidRPr="00626EEE">
        <w:rPr>
          <w:spacing w:val="-4"/>
          <w:lang w:bidi="ar-SY"/>
        </w:rPr>
        <w:t>CMIP</w:t>
      </w:r>
      <w:r w:rsidRPr="00626EEE">
        <w:rPr>
          <w:rFonts w:hint="cs"/>
          <w:spacing w:val="-4"/>
          <w:rtl/>
          <w:lang w:bidi="ar-EG"/>
        </w:rPr>
        <w:t xml:space="preserve"> ومساهمات الاتحاد والأقساط المدفوعة إلى</w:t>
      </w:r>
      <w:r w:rsidRPr="00626EEE">
        <w:rPr>
          <w:rFonts w:hint="eastAsia"/>
          <w:spacing w:val="-4"/>
          <w:rtl/>
          <w:lang w:bidi="ar-EG"/>
        </w:rPr>
        <w:t> </w:t>
      </w:r>
      <w:r w:rsidRPr="00626EEE">
        <w:rPr>
          <w:spacing w:val="-4"/>
          <w:lang w:bidi="ar-SY"/>
        </w:rPr>
        <w:t>Cigna/</w:t>
      </w:r>
      <w:proofErr w:type="spellStart"/>
      <w:r w:rsidRPr="00626EEE">
        <w:rPr>
          <w:spacing w:val="-4"/>
          <w:lang w:bidi="ar-SY"/>
        </w:rPr>
        <w:t>Vanbreda</w:t>
      </w:r>
      <w:proofErr w:type="spellEnd"/>
      <w:r w:rsidRPr="00626EEE">
        <w:rPr>
          <w:rFonts w:hint="cs"/>
          <w:spacing w:val="-4"/>
          <w:rtl/>
          <w:lang w:bidi="ar-EG"/>
        </w:rPr>
        <w:t xml:space="preserve"> إلى صندوق ضمان الخطة </w:t>
      </w:r>
      <w:r w:rsidRPr="00626EEE">
        <w:rPr>
          <w:spacing w:val="-4"/>
          <w:lang w:bidi="ar-SY"/>
        </w:rPr>
        <w:t>CMIP</w:t>
      </w:r>
      <w:r w:rsidRPr="00626EEE">
        <w:rPr>
          <w:rFonts w:hint="cs"/>
          <w:spacing w:val="-4"/>
          <w:rtl/>
          <w:lang w:bidi="ar-EG"/>
        </w:rPr>
        <w:t>. وسيخصص هذا الصندوق لتمويل الخطة على أساس دفع الاستحقاقات أولاً</w:t>
      </w:r>
      <w:r w:rsidRPr="00626EEE">
        <w:rPr>
          <w:rFonts w:hint="eastAsia"/>
          <w:spacing w:val="-4"/>
          <w:rtl/>
          <w:lang w:bidi="ar-EG"/>
        </w:rPr>
        <w:t> </w:t>
      </w:r>
      <w:r w:rsidRPr="00626EEE">
        <w:rPr>
          <w:rFonts w:hint="cs"/>
          <w:spacing w:val="-4"/>
          <w:rtl/>
          <w:lang w:bidi="ar-EG"/>
        </w:rPr>
        <w:t>بأول.</w:t>
      </w:r>
    </w:p>
    <w:p w:rsidR="00397F8F" w:rsidRPr="00986C85" w:rsidRDefault="00397F8F" w:rsidP="00397F8F">
      <w:pPr>
        <w:rPr>
          <w:rtl/>
          <w:lang w:bidi="ar-EG"/>
        </w:rPr>
      </w:pPr>
      <w:r w:rsidRPr="00AC0E6A">
        <w:rPr>
          <w:lang w:bidi="ar-SY"/>
        </w:rPr>
        <w:t>6.3</w:t>
      </w:r>
      <w:r w:rsidRPr="00AC0E6A">
        <w:rPr>
          <w:rtl/>
          <w:lang w:bidi="ar-EG"/>
        </w:rPr>
        <w:tab/>
      </w:r>
      <w:r w:rsidRPr="00AC0E6A">
        <w:rPr>
          <w:rFonts w:hint="cs"/>
          <w:rtl/>
          <w:lang w:bidi="ar-EG"/>
        </w:rPr>
        <w:t>علاوةً على ذلك، تم الانتهاء في </w:t>
      </w:r>
      <w:r>
        <w:rPr>
          <w:lang w:bidi="ar-SY"/>
        </w:rPr>
        <w:t>2016</w:t>
      </w:r>
      <w:r>
        <w:rPr>
          <w:rFonts w:hint="cs"/>
          <w:rtl/>
          <w:lang w:bidi="ar-SY"/>
        </w:rPr>
        <w:t xml:space="preserve"> </w:t>
      </w:r>
      <w:r w:rsidRPr="00AC0E6A">
        <w:rPr>
          <w:rFonts w:hint="cs"/>
          <w:rtl/>
          <w:lang w:bidi="ar-EG"/>
        </w:rPr>
        <w:t>من حساب مبلغ الضمان المتبقي للاتحاد في خطة</w:t>
      </w:r>
      <w:r>
        <w:rPr>
          <w:rFonts w:hint="cs"/>
          <w:rtl/>
          <w:lang w:bidi="ar-EG"/>
        </w:rPr>
        <w:t xml:space="preserve"> صندوق</w:t>
      </w:r>
      <w:r w:rsidRPr="00AC0E6A">
        <w:rPr>
          <w:rFonts w:hint="cs"/>
          <w:rtl/>
          <w:lang w:bidi="ar-EG"/>
        </w:rPr>
        <w:t xml:space="preserve"> التأمين الصحي</w:t>
      </w:r>
      <w:r>
        <w:rPr>
          <w:rFonts w:hint="cs"/>
          <w:rtl/>
          <w:lang w:bidi="ar-EG"/>
        </w:rPr>
        <w:t xml:space="preserve"> للموظفين</w:t>
      </w:r>
      <w:r>
        <w:rPr>
          <w:rFonts w:hint="eastAsia"/>
          <w:rtl/>
          <w:lang w:bidi="ar-EG"/>
        </w:rPr>
        <w:t> </w:t>
      </w:r>
      <w:r>
        <w:rPr>
          <w:lang w:bidi="ar-EG"/>
        </w:rPr>
        <w:t>(SHIF)</w:t>
      </w:r>
      <w:r w:rsidRPr="00AC0E6A">
        <w:rPr>
          <w:rFonts w:hint="cs"/>
          <w:rtl/>
          <w:lang w:bidi="ar-EG"/>
        </w:rPr>
        <w:t xml:space="preserve">. </w:t>
      </w:r>
      <w:r>
        <w:rPr>
          <w:rFonts w:hint="cs"/>
          <w:rtl/>
          <w:lang w:bidi="ar-EG"/>
        </w:rPr>
        <w:t xml:space="preserve">وبلغ رصيد </w:t>
      </w:r>
      <w:r w:rsidRPr="00AC0E6A">
        <w:rPr>
          <w:rFonts w:hint="cs"/>
          <w:rtl/>
          <w:lang w:bidi="ar-EG"/>
        </w:rPr>
        <w:t xml:space="preserve">صندوق ضمان الخطة </w:t>
      </w:r>
      <w:r w:rsidRPr="00AC0E6A">
        <w:rPr>
          <w:lang w:bidi="ar-SY"/>
        </w:rPr>
        <w:t>CMIP</w:t>
      </w:r>
      <w:r>
        <w:rPr>
          <w:rFonts w:hint="cs"/>
          <w:rtl/>
          <w:lang w:bidi="ar-EG"/>
        </w:rPr>
        <w:t xml:space="preserve"> </w:t>
      </w:r>
      <w:r>
        <w:rPr>
          <w:lang w:bidi="ar-EG"/>
        </w:rPr>
        <w:t>12,2</w:t>
      </w:r>
      <w:r>
        <w:rPr>
          <w:rFonts w:hint="cs"/>
          <w:rtl/>
          <w:lang w:bidi="ar-EG"/>
        </w:rPr>
        <w:t xml:space="preserve"> مليون فرنك سويسري في نهاية </w:t>
      </w:r>
      <w:r>
        <w:rPr>
          <w:lang w:bidi="ar-EG"/>
        </w:rPr>
        <w:t>2016</w:t>
      </w:r>
      <w:r w:rsidR="00314173">
        <w:rPr>
          <w:rFonts w:hint="cs"/>
          <w:rtl/>
          <w:lang w:bidi="ar-EG"/>
        </w:rPr>
        <w:t>.</w:t>
      </w:r>
    </w:p>
    <w:p w:rsidR="00397F8F" w:rsidRPr="00AD507B" w:rsidRDefault="00397F8F" w:rsidP="00397F8F">
      <w:pPr>
        <w:pStyle w:val="Headingb0"/>
        <w:rPr>
          <w:i/>
          <w:iCs/>
          <w:rtl/>
          <w:lang w:bidi="ar-EG"/>
        </w:rPr>
      </w:pPr>
      <w:r w:rsidRPr="00AD507B">
        <w:rPr>
          <w:rFonts w:hint="cs"/>
          <w:i/>
          <w:iCs/>
          <w:rtl/>
          <w:lang w:bidi="ar-EG"/>
        </w:rPr>
        <w:lastRenderedPageBreak/>
        <w:t>إنشاء صندوق لتمويل الالتزامات الإكتوارية للتأمين الصحي بعد انتهاء مدة الخدمة على الأجل الطويل</w:t>
      </w:r>
    </w:p>
    <w:p w:rsidR="00397F8F" w:rsidRPr="00A31E12" w:rsidRDefault="00397F8F" w:rsidP="00D67CFF">
      <w:pPr>
        <w:rPr>
          <w:rtl/>
          <w:lang w:bidi="ar-EG"/>
        </w:rPr>
      </w:pPr>
      <w:r w:rsidRPr="00AC0E6A">
        <w:rPr>
          <w:lang w:bidi="ar-SY"/>
        </w:rPr>
        <w:t>7.3</w:t>
      </w:r>
      <w:r w:rsidRPr="00AC0E6A">
        <w:rPr>
          <w:rtl/>
          <w:lang w:bidi="ar-EG"/>
        </w:rPr>
        <w:tab/>
      </w:r>
      <w:r w:rsidRPr="00AC0E6A">
        <w:rPr>
          <w:rFonts w:hint="cs"/>
          <w:rtl/>
          <w:lang w:bidi="ar-EG"/>
        </w:rPr>
        <w:t xml:space="preserve">قرر المجلس في دورته لعام </w:t>
      </w:r>
      <w:r w:rsidRPr="00AC0E6A">
        <w:rPr>
          <w:lang w:bidi="ar-SY"/>
        </w:rPr>
        <w:t>2013</w:t>
      </w:r>
      <w:r w:rsidRPr="00AC0E6A">
        <w:rPr>
          <w:rFonts w:hint="cs"/>
          <w:rtl/>
          <w:lang w:bidi="ar-EG"/>
        </w:rPr>
        <w:t xml:space="preserve"> إنشاء صندوق بمبلغ </w:t>
      </w:r>
      <w:r w:rsidRPr="00AC0E6A">
        <w:rPr>
          <w:lang w:bidi="ar-SY"/>
        </w:rPr>
        <w:t>4</w:t>
      </w:r>
      <w:r w:rsidRPr="00AC0E6A">
        <w:rPr>
          <w:rFonts w:hint="cs"/>
          <w:rtl/>
          <w:lang w:bidi="ar-EG"/>
        </w:rPr>
        <w:t xml:space="preserve"> ملايين فرنك سويسري للتأمين الصحي بعد انتهاء مدة الخدمة </w:t>
      </w:r>
      <w:r w:rsidRPr="00AD507B">
        <w:rPr>
          <w:rFonts w:hint="cs"/>
          <w:spacing w:val="6"/>
          <w:rtl/>
          <w:lang w:bidi="ar-EG"/>
        </w:rPr>
        <w:t>تسحب من حساب الاحتياطي من أجل البدء في تمويل التزامات التأمين الصحي بعد انتهاء مدة الخدمة. كما تم تحويل مليوني فرنك سويسري</w:t>
      </w:r>
      <w:r>
        <w:rPr>
          <w:rFonts w:hint="cs"/>
          <w:spacing w:val="6"/>
          <w:rtl/>
          <w:lang w:bidi="ar-EG"/>
        </w:rPr>
        <w:t xml:space="preserve"> في </w:t>
      </w:r>
      <w:r>
        <w:rPr>
          <w:spacing w:val="6"/>
          <w:lang w:bidi="ar-EG"/>
        </w:rPr>
        <w:t>2013</w:t>
      </w:r>
      <w:r w:rsidRPr="00AD507B">
        <w:rPr>
          <w:rFonts w:hint="cs"/>
          <w:spacing w:val="6"/>
          <w:rtl/>
          <w:lang w:bidi="ar-EG"/>
        </w:rPr>
        <w:t xml:space="preserve"> ومليون فرنك سويسري </w:t>
      </w:r>
      <w:r>
        <w:rPr>
          <w:rFonts w:hint="cs"/>
          <w:spacing w:val="6"/>
          <w:rtl/>
          <w:lang w:bidi="ar-EG"/>
        </w:rPr>
        <w:t xml:space="preserve">في </w:t>
      </w:r>
      <w:r>
        <w:rPr>
          <w:spacing w:val="6"/>
          <w:lang w:bidi="ar-EG"/>
        </w:rPr>
        <w:t>2014</w:t>
      </w:r>
      <w:r>
        <w:rPr>
          <w:rFonts w:hint="cs"/>
          <w:spacing w:val="6"/>
          <w:rtl/>
          <w:lang w:bidi="ar-EG"/>
        </w:rPr>
        <w:t xml:space="preserve"> و</w:t>
      </w:r>
      <w:r>
        <w:rPr>
          <w:spacing w:val="6"/>
          <w:lang w:bidi="ar-EG"/>
        </w:rPr>
        <w:t>0,5</w:t>
      </w:r>
      <w:r>
        <w:rPr>
          <w:rFonts w:hint="cs"/>
          <w:spacing w:val="6"/>
          <w:rtl/>
          <w:lang w:bidi="ar-EG"/>
        </w:rPr>
        <w:t xml:space="preserve"> مليون فرنك سويسري في </w:t>
      </w:r>
      <w:r>
        <w:rPr>
          <w:spacing w:val="6"/>
          <w:lang w:bidi="ar-EG"/>
        </w:rPr>
        <w:t>2016</w:t>
      </w:r>
      <w:r>
        <w:rPr>
          <w:rFonts w:hint="cs"/>
          <w:spacing w:val="6"/>
          <w:rtl/>
          <w:lang w:bidi="ar-EG"/>
        </w:rPr>
        <w:t xml:space="preserve"> </w:t>
      </w:r>
      <w:r w:rsidRPr="00AD507B">
        <w:rPr>
          <w:rFonts w:hint="cs"/>
          <w:spacing w:val="6"/>
          <w:rtl/>
          <w:lang w:bidi="ar-EG"/>
        </w:rPr>
        <w:t xml:space="preserve">من فوائض </w:t>
      </w:r>
      <w:r>
        <w:rPr>
          <w:rFonts w:hint="cs"/>
          <w:spacing w:val="6"/>
          <w:rtl/>
          <w:lang w:bidi="ar-EG"/>
        </w:rPr>
        <w:t>الميزانية</w:t>
      </w:r>
      <w:r w:rsidRPr="00AD507B">
        <w:rPr>
          <w:rFonts w:hint="cs"/>
          <w:spacing w:val="6"/>
          <w:rtl/>
          <w:lang w:bidi="ar-EG"/>
        </w:rPr>
        <w:t xml:space="preserve"> إلى صندوق التأمين الصحي بعد انتهاء مدة</w:t>
      </w:r>
      <w:r w:rsidRPr="00AC0E6A">
        <w:rPr>
          <w:rFonts w:hint="cs"/>
          <w:rtl/>
          <w:lang w:bidi="ar-EG"/>
        </w:rPr>
        <w:t xml:space="preserve"> الخدمة. وأذن المجلس في دورته لعام </w:t>
      </w:r>
      <w:r w:rsidRPr="00AC0E6A">
        <w:rPr>
          <w:lang w:bidi="ar-SY"/>
        </w:rPr>
        <w:t>2015</w:t>
      </w:r>
      <w:r w:rsidRPr="00AC0E6A">
        <w:rPr>
          <w:rFonts w:hint="cs"/>
          <w:rtl/>
          <w:lang w:bidi="ar-EG"/>
        </w:rPr>
        <w:t xml:space="preserve"> بتخصيص مبلغ مليون فرنك سويسري لهذا الصندوق من خلال </w:t>
      </w:r>
      <w:r w:rsidRPr="00AC0E6A">
        <w:rPr>
          <w:rtl/>
        </w:rPr>
        <w:t>السحب من حساب الاحتياطي</w:t>
      </w:r>
      <w:r w:rsidRPr="00AC0E6A">
        <w:rPr>
          <w:rFonts w:hint="cs"/>
          <w:rtl/>
        </w:rPr>
        <w:t>.</w:t>
      </w:r>
      <w:r>
        <w:rPr>
          <w:rFonts w:hint="cs"/>
          <w:rtl/>
        </w:rPr>
        <w:t xml:space="preserve"> وفي </w:t>
      </w:r>
      <w:r>
        <w:t>31</w:t>
      </w:r>
      <w:r>
        <w:rPr>
          <w:rFonts w:hint="cs"/>
          <w:rtl/>
          <w:lang w:bidi="ar-EG"/>
        </w:rPr>
        <w:t xml:space="preserve"> ديسمبر </w:t>
      </w:r>
      <w:r>
        <w:rPr>
          <w:lang w:bidi="ar-EG"/>
        </w:rPr>
        <w:t>2016</w:t>
      </w:r>
      <w:r>
        <w:rPr>
          <w:rFonts w:hint="cs"/>
          <w:rtl/>
          <w:lang w:bidi="ar-EG"/>
        </w:rPr>
        <w:t xml:space="preserve">، بلغ رصيد صندوق التأمين الصحي بعد انتهاء الخدمة </w:t>
      </w:r>
      <w:r>
        <w:rPr>
          <w:lang w:bidi="ar-EG"/>
        </w:rPr>
        <w:t>8,5</w:t>
      </w:r>
      <w:r w:rsidR="00D67CFF">
        <w:rPr>
          <w:rFonts w:hint="eastAsia"/>
          <w:rtl/>
          <w:lang w:bidi="ar-EG"/>
        </w:rPr>
        <w:t> </w:t>
      </w:r>
      <w:r>
        <w:rPr>
          <w:rFonts w:hint="cs"/>
          <w:rtl/>
          <w:lang w:bidi="ar-EG"/>
        </w:rPr>
        <w:t xml:space="preserve">ملايين فرنك سويسري. </w:t>
      </w:r>
    </w:p>
    <w:p w:rsidR="00397F8F" w:rsidRPr="00AC0E6A" w:rsidRDefault="00397F8F" w:rsidP="00397F8F">
      <w:pPr>
        <w:rPr>
          <w:rtl/>
          <w:lang w:bidi="ar-EG"/>
        </w:rPr>
      </w:pPr>
      <w:r w:rsidRPr="00AC0E6A">
        <w:rPr>
          <w:lang w:bidi="ar-SY"/>
        </w:rPr>
        <w:t>8.3</w:t>
      </w:r>
      <w:r w:rsidRPr="00AC0E6A">
        <w:rPr>
          <w:rtl/>
          <w:lang w:bidi="ar-EG"/>
        </w:rPr>
        <w:tab/>
      </w:r>
      <w:r w:rsidRPr="00AC0E6A">
        <w:rPr>
          <w:rFonts w:hint="cs"/>
          <w:rtl/>
          <w:lang w:bidi="ar-EG"/>
        </w:rPr>
        <w:t xml:space="preserve">وتم تعديل المقرر </w:t>
      </w:r>
      <w:r w:rsidRPr="00AC0E6A">
        <w:rPr>
          <w:lang w:bidi="ar-SY"/>
        </w:rPr>
        <w:t>5</w:t>
      </w:r>
      <w:r w:rsidRPr="00AC0E6A">
        <w:rPr>
          <w:rFonts w:hint="cs"/>
          <w:rtl/>
          <w:lang w:bidi="ar-EG"/>
        </w:rPr>
        <w:t xml:space="preserve"> في مؤتمر المندوبين المفوضين لعام </w:t>
      </w:r>
      <w:r w:rsidRPr="00AC0E6A">
        <w:rPr>
          <w:lang w:bidi="ar-SY"/>
        </w:rPr>
        <w:t>2014</w:t>
      </w:r>
      <w:r w:rsidRPr="00AC0E6A">
        <w:rPr>
          <w:rFonts w:hint="cs"/>
          <w:rtl/>
          <w:lang w:bidi="ar-EG"/>
        </w:rPr>
        <w:t xml:space="preserve"> في بوسان </w:t>
      </w:r>
      <w:r>
        <w:rPr>
          <w:rFonts w:hint="cs"/>
          <w:rtl/>
          <w:lang w:bidi="ar-EG"/>
        </w:rPr>
        <w:t>لتكليف المجلس بأن</w:t>
      </w:r>
      <w:r w:rsidRPr="00AC0E6A">
        <w:rPr>
          <w:rFonts w:hint="cs"/>
          <w:rtl/>
          <w:lang w:bidi="ar-EG"/>
        </w:rPr>
        <w:t xml:space="preserve"> يأذن للأمين العام، وفقاً للمادة</w:t>
      </w:r>
      <w:r w:rsidRPr="00AC0E6A">
        <w:rPr>
          <w:rFonts w:hint="eastAsia"/>
          <w:rtl/>
          <w:lang w:bidi="ar-EG"/>
        </w:rPr>
        <w:t> </w:t>
      </w:r>
      <w:r w:rsidRPr="00AC0E6A">
        <w:rPr>
          <w:lang w:bidi="ar-SY"/>
        </w:rPr>
        <w:t>27</w:t>
      </w:r>
      <w:r w:rsidRPr="00AC0E6A">
        <w:rPr>
          <w:rFonts w:hint="cs"/>
          <w:rtl/>
          <w:lang w:bidi="ar-EG"/>
        </w:rPr>
        <w:t xml:space="preserve"> من اللوائح المالية والقواعد المالية، بأن يخصص لصندوق التأمين الصحي بعد انتهاء مدة الخدمة مبلغاً من حساب الاحتياطي يصل إلى المبلغ المستخدم فعلاً لتحقيق التوازن في ميزانية فترة السنتين من حساب</w:t>
      </w:r>
      <w:r>
        <w:rPr>
          <w:rFonts w:hint="eastAsia"/>
          <w:spacing w:val="-2"/>
          <w:rtl/>
          <w:lang w:bidi="ar-EG"/>
        </w:rPr>
        <w:t> </w:t>
      </w:r>
      <w:r w:rsidRPr="00AC0E6A">
        <w:rPr>
          <w:rFonts w:hint="cs"/>
          <w:rtl/>
          <w:lang w:bidi="ar-EG"/>
        </w:rPr>
        <w:t>الاحتياطي.</w:t>
      </w:r>
    </w:p>
    <w:p w:rsidR="00397F8F" w:rsidRPr="00AC0E6A" w:rsidRDefault="00397F8F" w:rsidP="00397F8F">
      <w:pPr>
        <w:rPr>
          <w:rtl/>
          <w:lang w:bidi="ar-EG"/>
        </w:rPr>
      </w:pPr>
      <w:r w:rsidRPr="00AC0E6A">
        <w:rPr>
          <w:lang w:bidi="ar-SY"/>
        </w:rPr>
        <w:t>9.3</w:t>
      </w:r>
      <w:r w:rsidRPr="00AC0E6A">
        <w:rPr>
          <w:rtl/>
          <w:lang w:bidi="ar-EG"/>
        </w:rPr>
        <w:tab/>
      </w:r>
      <w:r w:rsidRPr="00B07093">
        <w:rPr>
          <w:rFonts w:hint="cs"/>
          <w:spacing w:val="-2"/>
          <w:rtl/>
          <w:lang w:bidi="ar-EG"/>
        </w:rPr>
        <w:t>ويمكن للاختلاف في الالتزامات أن يتقلب إيجابياً على المدى الطويل نتيجةً لاختلاف معدلات الخصم على المدى الطويل، حيث إن معدلات الخصم الحالية منخفضة منذ أمد بعيد مما أدى إلى تأثير سالب كبير بشكل استثنائي على صافي</w:t>
      </w:r>
      <w:r>
        <w:rPr>
          <w:rFonts w:hint="eastAsia"/>
          <w:spacing w:val="-2"/>
          <w:rtl/>
          <w:lang w:bidi="ar-EG"/>
        </w:rPr>
        <w:t> </w:t>
      </w:r>
      <w:r w:rsidRPr="00B07093">
        <w:rPr>
          <w:rFonts w:hint="cs"/>
          <w:spacing w:val="-2"/>
          <w:rtl/>
          <w:lang w:bidi="ar-EG"/>
        </w:rPr>
        <w:t>الأصول.</w:t>
      </w:r>
    </w:p>
    <w:p w:rsidR="00397F8F" w:rsidRPr="00AC0E6A" w:rsidRDefault="00397F8F" w:rsidP="00397F8F">
      <w:pPr>
        <w:rPr>
          <w:rtl/>
          <w:lang w:bidi="ar-EG"/>
        </w:rPr>
      </w:pPr>
      <w:r w:rsidRPr="00AC0E6A">
        <w:rPr>
          <w:lang w:bidi="ar-SY"/>
        </w:rPr>
        <w:t>10.3</w:t>
      </w:r>
      <w:r w:rsidRPr="00AC0E6A">
        <w:rPr>
          <w:rtl/>
          <w:lang w:bidi="ar-EG"/>
        </w:rPr>
        <w:tab/>
      </w:r>
      <w:r w:rsidRPr="00AC0E6A">
        <w:rPr>
          <w:rFonts w:hint="cs"/>
          <w:rtl/>
          <w:lang w:bidi="ar-EG"/>
        </w:rPr>
        <w:t>ومقدار التزام</w:t>
      </w:r>
      <w:r>
        <w:rPr>
          <w:rFonts w:hint="cs"/>
          <w:rtl/>
          <w:lang w:bidi="ar-EG"/>
        </w:rPr>
        <w:t>ات</w:t>
      </w:r>
      <w:r w:rsidRPr="00AC0E6A">
        <w:rPr>
          <w:rFonts w:hint="cs"/>
          <w:rtl/>
          <w:lang w:bidi="ar-EG"/>
        </w:rPr>
        <w:t xml:space="preserve"> التأمين الصحي بعد انتهاء مدة الخدمة فضلاً عن قيود الميزانية الحالية لا</w:t>
      </w:r>
      <w:r w:rsidRPr="00AC0E6A">
        <w:rPr>
          <w:rFonts w:hint="eastAsia"/>
          <w:rtl/>
          <w:lang w:bidi="ar-EG"/>
        </w:rPr>
        <w:t> </w:t>
      </w:r>
      <w:r w:rsidRPr="00AC0E6A">
        <w:rPr>
          <w:rFonts w:hint="cs"/>
          <w:rtl/>
          <w:lang w:bidi="ar-EG"/>
        </w:rPr>
        <w:t>تسمح بتمويل أسرع لالتزام</w:t>
      </w:r>
      <w:r>
        <w:rPr>
          <w:rFonts w:hint="cs"/>
          <w:rtl/>
          <w:lang w:bidi="ar-EG"/>
        </w:rPr>
        <w:t>ات</w:t>
      </w:r>
      <w:r w:rsidRPr="00AC0E6A">
        <w:rPr>
          <w:rFonts w:hint="cs"/>
          <w:rtl/>
          <w:lang w:bidi="ar-EG"/>
        </w:rPr>
        <w:t xml:space="preserve"> التأمين الصحي بعد انتهاء مدة الخدمة. وسيتم باستمرار مراقبة تطور التزام</w:t>
      </w:r>
      <w:r>
        <w:rPr>
          <w:rFonts w:hint="cs"/>
          <w:rtl/>
          <w:lang w:bidi="ar-EG"/>
        </w:rPr>
        <w:t>ات</w:t>
      </w:r>
      <w:r w:rsidRPr="00AC0E6A">
        <w:rPr>
          <w:rFonts w:hint="cs"/>
          <w:rtl/>
          <w:lang w:bidi="ar-EG"/>
        </w:rPr>
        <w:t xml:space="preserve"> </w:t>
      </w:r>
      <w:r>
        <w:rPr>
          <w:rFonts w:hint="cs"/>
          <w:rtl/>
          <w:lang w:bidi="ar-EG"/>
        </w:rPr>
        <w:t xml:space="preserve">هذا </w:t>
      </w:r>
      <w:r w:rsidRPr="00AC0E6A">
        <w:rPr>
          <w:rFonts w:hint="cs"/>
          <w:rtl/>
          <w:lang w:bidi="ar-EG"/>
        </w:rPr>
        <w:t>التأمين الصحي</w:t>
      </w:r>
      <w:r>
        <w:rPr>
          <w:rFonts w:hint="eastAsia"/>
          <w:spacing w:val="-2"/>
          <w:rtl/>
          <w:lang w:bidi="ar-EG"/>
        </w:rPr>
        <w:t> </w:t>
      </w:r>
      <w:r w:rsidRPr="00AC0E6A">
        <w:rPr>
          <w:rFonts w:hint="cs"/>
          <w:rtl/>
          <w:lang w:bidi="ar-EG"/>
        </w:rPr>
        <w:t>بعناية.</w:t>
      </w:r>
    </w:p>
    <w:p w:rsidR="00397F8F" w:rsidRPr="00B07093" w:rsidRDefault="00397F8F" w:rsidP="00397F8F">
      <w:pPr>
        <w:pStyle w:val="Headingb0"/>
        <w:rPr>
          <w:i/>
          <w:iCs/>
          <w:rtl/>
          <w:lang w:bidi="ar-EG"/>
        </w:rPr>
      </w:pPr>
      <w:r w:rsidRPr="00B07093">
        <w:rPr>
          <w:rFonts w:hint="cs"/>
          <w:i/>
          <w:iCs/>
          <w:rtl/>
          <w:lang w:bidi="ar-EG"/>
        </w:rPr>
        <w:t>استعراض الفوائد المقدمة والحد من التكاليف</w:t>
      </w:r>
    </w:p>
    <w:p w:rsidR="00397F8F" w:rsidRPr="006956A9" w:rsidRDefault="00397F8F" w:rsidP="00397F8F">
      <w:pPr>
        <w:rPr>
          <w:rtl/>
          <w:lang w:bidi="ar-EG"/>
        </w:rPr>
      </w:pPr>
      <w:r w:rsidRPr="006956A9">
        <w:rPr>
          <w:lang w:bidi="ar-SY"/>
        </w:rPr>
        <w:t>11.3</w:t>
      </w:r>
      <w:r w:rsidRPr="006956A9">
        <w:rPr>
          <w:rtl/>
        </w:rPr>
        <w:tab/>
      </w:r>
      <w:r w:rsidRPr="006956A9">
        <w:rPr>
          <w:rFonts w:hint="cs"/>
          <w:rtl/>
        </w:rPr>
        <w:t>تم إنهاء خطة التأمين الصحي المشترك مع منظمة العمل الدولية لإتاحة الانتقال إلى خطة تأمين خاصة مع</w:t>
      </w:r>
      <w:r w:rsidRPr="006956A9">
        <w:rPr>
          <w:rFonts w:hint="eastAsia"/>
          <w:rtl/>
        </w:rPr>
        <w:t> </w:t>
      </w:r>
      <w:r w:rsidRPr="006956A9">
        <w:rPr>
          <w:lang w:bidi="ar-SY"/>
        </w:rPr>
        <w:t>Cigna/</w:t>
      </w:r>
      <w:proofErr w:type="spellStart"/>
      <w:r w:rsidRPr="006956A9">
        <w:rPr>
          <w:lang w:bidi="ar-SY"/>
        </w:rPr>
        <w:t>Vanbreda</w:t>
      </w:r>
      <w:proofErr w:type="spellEnd"/>
      <w:r w:rsidRPr="006956A9">
        <w:rPr>
          <w:rFonts w:hint="cs"/>
          <w:rtl/>
        </w:rPr>
        <w:t xml:space="preserve"> اعتباراً من </w:t>
      </w:r>
      <w:r w:rsidRPr="006956A9">
        <w:rPr>
          <w:lang w:bidi="ar-SY"/>
        </w:rPr>
        <w:t>1</w:t>
      </w:r>
      <w:r w:rsidRPr="006956A9">
        <w:rPr>
          <w:rFonts w:hint="cs"/>
          <w:rtl/>
          <w:lang w:bidi="ar-EG"/>
        </w:rPr>
        <w:t xml:space="preserve"> مايو </w:t>
      </w:r>
      <w:r w:rsidRPr="006956A9">
        <w:rPr>
          <w:lang w:bidi="ar-SY"/>
        </w:rPr>
        <w:t>2014</w:t>
      </w:r>
      <w:r w:rsidRPr="006956A9">
        <w:rPr>
          <w:rFonts w:hint="cs"/>
          <w:rtl/>
          <w:lang w:bidi="ar-EG"/>
        </w:rPr>
        <w:t>. وتم استنساخ فوائد الخطة السابقة. ومع ذلك، تم فرض مبلغ استقط</w:t>
      </w:r>
      <w:r w:rsidR="00626EEE" w:rsidRPr="006956A9">
        <w:rPr>
          <w:rFonts w:hint="cs"/>
          <w:rtl/>
          <w:lang w:bidi="ar-EG"/>
        </w:rPr>
        <w:t>اع من أجل الحد من التكاليف. كما</w:t>
      </w:r>
      <w:r w:rsidR="00626EEE" w:rsidRPr="006956A9">
        <w:rPr>
          <w:rFonts w:hint="eastAsia"/>
          <w:rtl/>
          <w:lang w:bidi="ar-EG"/>
        </w:rPr>
        <w:t> </w:t>
      </w:r>
      <w:r w:rsidRPr="006956A9">
        <w:rPr>
          <w:rFonts w:hint="cs"/>
          <w:rtl/>
          <w:lang w:bidi="ar-EG"/>
        </w:rPr>
        <w:t xml:space="preserve">تم اللجوء إلى اختيار شركة تأمين خاصة لإدارة الخطة </w:t>
      </w:r>
      <w:r w:rsidRPr="006956A9">
        <w:rPr>
          <w:lang w:bidi="ar-SY"/>
        </w:rPr>
        <w:t>CMIP</w:t>
      </w:r>
      <w:r w:rsidRPr="006956A9">
        <w:rPr>
          <w:rFonts w:hint="cs"/>
          <w:rtl/>
          <w:lang w:bidi="ar-EG"/>
        </w:rPr>
        <w:t xml:space="preserve"> من أجل زيادة الحد من التكاليف فضلاً عن إعداد تقارير تفصيلية بشأن المطالبات وتحليلها من أجل استمثال مراقبة الخطة. وستتخذ تدابير أخرى، إذا لزم الأمر، من أجل ضمان تمويل الخطة على أساس دفع الاستحقاقات أولاً</w:t>
      </w:r>
      <w:r w:rsidRPr="006956A9">
        <w:rPr>
          <w:rFonts w:hint="eastAsia"/>
          <w:rtl/>
          <w:lang w:bidi="ar-EG"/>
        </w:rPr>
        <w:t> </w:t>
      </w:r>
      <w:r w:rsidRPr="006956A9">
        <w:rPr>
          <w:rFonts w:hint="cs"/>
          <w:rtl/>
          <w:lang w:bidi="ar-EG"/>
        </w:rPr>
        <w:t>بأول.</w:t>
      </w:r>
    </w:p>
    <w:p w:rsidR="00397F8F" w:rsidRPr="00307C1D" w:rsidRDefault="00397F8F" w:rsidP="00397F8F">
      <w:pPr>
        <w:pStyle w:val="Headingb0"/>
        <w:rPr>
          <w:i/>
          <w:iCs/>
          <w:rtl/>
          <w:lang w:bidi="ar-EG"/>
        </w:rPr>
      </w:pPr>
      <w:r w:rsidRPr="00307C1D">
        <w:rPr>
          <w:rFonts w:hint="cs"/>
          <w:i/>
          <w:iCs/>
          <w:rtl/>
          <w:lang w:bidi="ar-EG"/>
        </w:rPr>
        <w:t>المشاركة في فريق العمل التابع للأمم المتحدة المعني بالتأمين الصحي بعد انتهاء مدة الخدمة</w:t>
      </w:r>
    </w:p>
    <w:p w:rsidR="00397F8F" w:rsidRPr="00AC0E6A" w:rsidRDefault="00397F8F" w:rsidP="00397F8F">
      <w:pPr>
        <w:rPr>
          <w:rtl/>
          <w:lang w:bidi="ar-EG"/>
        </w:rPr>
      </w:pPr>
      <w:r w:rsidRPr="00AC0E6A">
        <w:rPr>
          <w:lang w:bidi="ar-SY"/>
        </w:rPr>
        <w:t>12.3</w:t>
      </w:r>
      <w:r w:rsidRPr="00AC0E6A">
        <w:rPr>
          <w:rtl/>
          <w:lang w:bidi="ar-EG"/>
        </w:rPr>
        <w:tab/>
      </w:r>
      <w:r w:rsidRPr="00AC0E6A">
        <w:rPr>
          <w:rFonts w:hint="cs"/>
          <w:rtl/>
          <w:lang w:bidi="ar-EG"/>
        </w:rPr>
        <w:t>الاتحاد عضو في فريق العمل التابع للأمم المتحدة الذي يعمل حالياً من أجل تحديد خيارات للحد من تكاليف التأمين الصحي وتمويل التزام</w:t>
      </w:r>
      <w:r>
        <w:rPr>
          <w:rFonts w:hint="cs"/>
          <w:rtl/>
          <w:lang w:bidi="ar-EG"/>
        </w:rPr>
        <w:t>ات</w:t>
      </w:r>
      <w:r w:rsidRPr="00AC0E6A">
        <w:rPr>
          <w:rFonts w:hint="cs"/>
          <w:rtl/>
          <w:lang w:bidi="ar-EG"/>
        </w:rPr>
        <w:t xml:space="preserve"> التأمين الصحي بعد انتهاء مدة الخدمة. وينظر هذا الفريق في جدوى وجود نظام مشترك للتأمين الصحي بعد انتهاء مدة الخدمة لجميع منظمات الأمم</w:t>
      </w:r>
      <w:r>
        <w:rPr>
          <w:rFonts w:hint="eastAsia"/>
          <w:spacing w:val="-2"/>
          <w:rtl/>
          <w:lang w:bidi="ar-EG"/>
        </w:rPr>
        <w:t> </w:t>
      </w:r>
      <w:r w:rsidRPr="00AC0E6A">
        <w:rPr>
          <w:rFonts w:hint="cs"/>
          <w:rtl/>
          <w:lang w:bidi="ar-EG"/>
        </w:rPr>
        <w:t>المتحدة.</w:t>
      </w:r>
    </w:p>
    <w:p w:rsidR="00397F8F" w:rsidRPr="00AC0E6A" w:rsidRDefault="00397F8F" w:rsidP="00397F8F">
      <w:pPr>
        <w:keepNext/>
        <w:keepLines/>
        <w:rPr>
          <w:rtl/>
          <w:lang w:bidi="ar-EG"/>
        </w:rPr>
      </w:pPr>
      <w:r w:rsidRPr="00AC0E6A">
        <w:rPr>
          <w:lang w:bidi="ar-SY"/>
        </w:rPr>
        <w:t>13.3</w:t>
      </w:r>
      <w:r w:rsidRPr="00AC0E6A">
        <w:rPr>
          <w:rtl/>
          <w:lang w:bidi="ar-EG"/>
        </w:rPr>
        <w:tab/>
      </w:r>
      <w:r w:rsidRPr="00AC0E6A">
        <w:rPr>
          <w:rFonts w:hint="cs"/>
          <w:rtl/>
          <w:lang w:bidi="ar-EG"/>
        </w:rPr>
        <w:t>وقد تمت الإحالة إلى الدراسة التي أجرتها اللجنة الاستشارية المعنية بالمسائل الإدارية ومسائل الميزانية والتي رفعت تقريرها إلى الجمعية العامة للأمم المتحدة</w:t>
      </w:r>
      <w:r>
        <w:rPr>
          <w:rFonts w:hint="eastAsia"/>
          <w:rtl/>
          <w:lang w:bidi="ar-EG"/>
        </w:rPr>
        <w:t> </w:t>
      </w:r>
      <w:r>
        <w:rPr>
          <w:lang w:bidi="ar-EG"/>
        </w:rPr>
        <w:t>(UNGA)</w:t>
      </w:r>
      <w:r w:rsidRPr="00AC0E6A">
        <w:rPr>
          <w:rFonts w:hint="cs"/>
          <w:rtl/>
          <w:lang w:bidi="ar-EG"/>
        </w:rPr>
        <w:t xml:space="preserve"> في دورتها الثامنة والستين في </w:t>
      </w:r>
      <w:r w:rsidRPr="00AC0E6A">
        <w:rPr>
          <w:lang w:bidi="ar-SY"/>
        </w:rPr>
        <w:t>25</w:t>
      </w:r>
      <w:r w:rsidRPr="00AC0E6A">
        <w:rPr>
          <w:rFonts w:hint="cs"/>
          <w:rtl/>
          <w:lang w:bidi="ar-EG"/>
        </w:rPr>
        <w:t xml:space="preserve"> أكتوبر </w:t>
      </w:r>
      <w:r w:rsidRPr="00AC0E6A">
        <w:rPr>
          <w:lang w:bidi="ar-SY"/>
        </w:rPr>
        <w:t>2013</w:t>
      </w:r>
      <w:r w:rsidRPr="00AC0E6A">
        <w:rPr>
          <w:rFonts w:hint="cs"/>
          <w:rtl/>
          <w:lang w:bidi="ar-EG"/>
        </w:rPr>
        <w:t xml:space="preserve"> </w:t>
      </w:r>
      <w:r w:rsidRPr="00AC0E6A">
        <w:rPr>
          <w:lang w:bidi="ar-SY"/>
        </w:rPr>
        <w:t>(A/68/550)</w:t>
      </w:r>
      <w:r w:rsidRPr="00AC0E6A">
        <w:rPr>
          <w:rFonts w:hint="cs"/>
          <w:rtl/>
          <w:lang w:bidi="ar-EG"/>
        </w:rPr>
        <w:t>. وطبقاً لهذا التقرير، يظل نظام دفع الاستحقاقات أولاً بأول الحل الوحيد المناسب</w:t>
      </w:r>
      <w:r>
        <w:rPr>
          <w:rFonts w:hint="cs"/>
          <w:rtl/>
          <w:lang w:bidi="ar-EG"/>
        </w:rPr>
        <w:t xml:space="preserve"> من الحلول التي تم النظر فيها</w:t>
      </w:r>
      <w:r w:rsidRPr="00AC0E6A">
        <w:rPr>
          <w:rFonts w:hint="cs"/>
          <w:rtl/>
          <w:lang w:bidi="ar-EG"/>
        </w:rPr>
        <w:t xml:space="preserve">. وبالنظر إلى الاستراتيجيات الشاملة طويلة الأجل لتمويل التأمين الصحي بعد انتهاء مدة الخدمة، </w:t>
      </w:r>
      <w:r>
        <w:rPr>
          <w:rFonts w:hint="cs"/>
          <w:rtl/>
          <w:lang w:bidi="ar-EG"/>
        </w:rPr>
        <w:t xml:space="preserve">طرحت سياسة </w:t>
      </w:r>
      <w:r w:rsidRPr="00AC0E6A">
        <w:rPr>
          <w:rFonts w:hint="cs"/>
          <w:rtl/>
          <w:lang w:bidi="ar-EG"/>
        </w:rPr>
        <w:t>تنادي بتجنيب الاعتمادات الكافية للوفاء بتكاليف المشاركين في</w:t>
      </w:r>
      <w:r>
        <w:rPr>
          <w:rFonts w:hint="eastAsia"/>
          <w:rtl/>
          <w:lang w:bidi="ar-EG"/>
        </w:rPr>
        <w:t> </w:t>
      </w:r>
      <w:r w:rsidRPr="00AC0E6A">
        <w:rPr>
          <w:rFonts w:hint="cs"/>
          <w:rtl/>
          <w:lang w:bidi="ar-EG"/>
        </w:rPr>
        <w:t>الخطة الحالية إلى جانب التزامات الفوائد في المستقبل، من</w:t>
      </w:r>
      <w:r>
        <w:rPr>
          <w:rFonts w:hint="eastAsia"/>
          <w:spacing w:val="-2"/>
          <w:rtl/>
          <w:lang w:bidi="ar-EG"/>
        </w:rPr>
        <w:t> </w:t>
      </w:r>
      <w:r w:rsidRPr="00AC0E6A">
        <w:rPr>
          <w:rFonts w:hint="cs"/>
          <w:rtl/>
          <w:lang w:bidi="ar-EG"/>
        </w:rPr>
        <w:t>خلال:</w:t>
      </w:r>
    </w:p>
    <w:p w:rsidR="00397F8F" w:rsidRPr="00AC0E6A" w:rsidRDefault="00397F8F" w:rsidP="00397F8F">
      <w:pPr>
        <w:pStyle w:val="enumlev10"/>
        <w:rPr>
          <w:rtl/>
        </w:rPr>
      </w:pPr>
      <w:r w:rsidRPr="00AC0E6A">
        <w:rPr>
          <w:rFonts w:hint="cs"/>
          <w:rtl/>
        </w:rPr>
        <w:t>-</w:t>
      </w:r>
      <w:r w:rsidRPr="00AC0E6A">
        <w:rPr>
          <w:rFonts w:hint="cs"/>
          <w:rtl/>
        </w:rPr>
        <w:tab/>
        <w:t xml:space="preserve">مبلغ يعادل </w:t>
      </w:r>
      <w:r w:rsidRPr="00AC0E6A">
        <w:t>%4,5</w:t>
      </w:r>
      <w:r w:rsidRPr="00AC0E6A">
        <w:rPr>
          <w:rFonts w:hint="cs"/>
          <w:rtl/>
        </w:rPr>
        <w:t xml:space="preserve"> من مجموع تكاليف الموظفين عبر جميع مصادر التمويل من أجل تغطية تكاليف الفوائد المكتسبة خلال الفترة الجارية للخدمة الفعلية فيما يتعلق </w:t>
      </w:r>
      <w:r>
        <w:rPr>
          <w:rFonts w:hint="cs"/>
          <w:rtl/>
        </w:rPr>
        <w:t>بالموظفين العاملين</w:t>
      </w:r>
      <w:r w:rsidRPr="00AC0E6A">
        <w:rPr>
          <w:rFonts w:hint="cs"/>
          <w:rtl/>
        </w:rPr>
        <w:t xml:space="preserve"> الذين تتراكم لهم حالياً استحقاقات لدى التأمين الصحي بعد انتهاء مدة</w:t>
      </w:r>
      <w:r>
        <w:rPr>
          <w:rFonts w:hint="eastAsia"/>
          <w:spacing w:val="-2"/>
          <w:rtl/>
          <w:lang w:bidi="ar-EG"/>
        </w:rPr>
        <w:t> </w:t>
      </w:r>
      <w:r w:rsidRPr="00AC0E6A">
        <w:rPr>
          <w:rFonts w:hint="cs"/>
          <w:rtl/>
        </w:rPr>
        <w:t>الخدمة؛</w:t>
      </w:r>
    </w:p>
    <w:p w:rsidR="00397F8F" w:rsidRPr="009B7DB0" w:rsidRDefault="00397F8F" w:rsidP="00397F8F">
      <w:pPr>
        <w:pStyle w:val="enumlev10"/>
        <w:rPr>
          <w:spacing w:val="-4"/>
          <w:rtl/>
        </w:rPr>
      </w:pPr>
      <w:r w:rsidRPr="009B7DB0">
        <w:rPr>
          <w:rFonts w:hint="cs"/>
          <w:spacing w:val="-4"/>
          <w:rtl/>
        </w:rPr>
        <w:t>-</w:t>
      </w:r>
      <w:r w:rsidRPr="009B7DB0">
        <w:rPr>
          <w:rFonts w:hint="cs"/>
          <w:spacing w:val="-4"/>
          <w:rtl/>
        </w:rPr>
        <w:tab/>
        <w:t xml:space="preserve">مبلغ آخر يدرج في التكاليف المشتركة للموظفين، يعادل </w:t>
      </w:r>
      <w:r w:rsidRPr="009B7DB0">
        <w:rPr>
          <w:spacing w:val="-4"/>
        </w:rPr>
        <w:t>%2</w:t>
      </w:r>
      <w:r w:rsidRPr="009B7DB0">
        <w:rPr>
          <w:rFonts w:hint="cs"/>
          <w:spacing w:val="-4"/>
          <w:rtl/>
        </w:rPr>
        <w:t xml:space="preserve"> من مجموع تكاليف الموظفين عبر جميع مصادر التمويل من أجل مواجهة الالتزامات غير الممولة والمستحقة بالفعل. وقدر أنه يمكن تحقيق التمويل الكامل لهذه الالتزامات خلال</w:t>
      </w:r>
      <w:r w:rsidRPr="009B7DB0">
        <w:rPr>
          <w:rFonts w:hint="eastAsia"/>
          <w:spacing w:val="-4"/>
          <w:rtl/>
          <w:lang w:bidi="ar-EG"/>
        </w:rPr>
        <w:t> </w:t>
      </w:r>
      <w:r w:rsidRPr="009B7DB0">
        <w:rPr>
          <w:spacing w:val="-4"/>
        </w:rPr>
        <w:t>20</w:t>
      </w:r>
      <w:r w:rsidRPr="009B7DB0">
        <w:rPr>
          <w:rFonts w:hint="eastAsia"/>
          <w:spacing w:val="-4"/>
          <w:rtl/>
        </w:rPr>
        <w:t> </w:t>
      </w:r>
      <w:r w:rsidRPr="009B7DB0">
        <w:rPr>
          <w:rFonts w:hint="cs"/>
          <w:spacing w:val="-4"/>
          <w:rtl/>
        </w:rPr>
        <w:t xml:space="preserve">عاماً باستخدام هذا النهج، يتوقف بعدها تحصيل النسبة البالغة </w:t>
      </w:r>
      <w:r w:rsidRPr="009B7DB0">
        <w:rPr>
          <w:spacing w:val="-4"/>
        </w:rPr>
        <w:t>%2</w:t>
      </w:r>
      <w:r w:rsidRPr="009B7DB0">
        <w:rPr>
          <w:rFonts w:hint="cs"/>
          <w:spacing w:val="-4"/>
          <w:rtl/>
        </w:rPr>
        <w:t xml:space="preserve"> وكذلك الشرط الخاص بدفع الاستحقاقات أولاً</w:t>
      </w:r>
      <w:r w:rsidRPr="009B7DB0">
        <w:rPr>
          <w:rFonts w:hint="eastAsia"/>
          <w:spacing w:val="-4"/>
          <w:rtl/>
        </w:rPr>
        <w:t> </w:t>
      </w:r>
      <w:r w:rsidRPr="009B7DB0">
        <w:rPr>
          <w:rFonts w:hint="cs"/>
          <w:spacing w:val="-4"/>
          <w:rtl/>
        </w:rPr>
        <w:t>بأول.</w:t>
      </w:r>
    </w:p>
    <w:p w:rsidR="00397F8F" w:rsidRPr="00AC0E6A" w:rsidRDefault="00397F8F" w:rsidP="009616CF">
      <w:pPr>
        <w:rPr>
          <w:rtl/>
          <w:lang w:bidi="ar-EG"/>
        </w:rPr>
      </w:pPr>
      <w:r w:rsidRPr="00AC0E6A">
        <w:rPr>
          <w:lang w:bidi="ar-SY"/>
        </w:rPr>
        <w:lastRenderedPageBreak/>
        <w:t>14.3</w:t>
      </w:r>
      <w:r w:rsidRPr="00AC0E6A">
        <w:rPr>
          <w:rtl/>
          <w:lang w:bidi="ar-EG"/>
        </w:rPr>
        <w:tab/>
      </w:r>
      <w:r w:rsidRPr="00AC0E6A">
        <w:rPr>
          <w:rFonts w:hint="cs"/>
          <w:rtl/>
          <w:lang w:bidi="ar-EG"/>
        </w:rPr>
        <w:t>وأشارت اللجنة الاستشارية أيضاً إلى أن تمويل التأمين الصحي بعد انتهاء مدة الخدمة أمر يهم المنظومة ككل وينبغي تناوله في الأجل الطويل عبر نهج شامل للمنظومة بالكامل مماثل للمستخدم حالياً في الصندوق المشترك للمعاشات التقاعدية لموظفي الأمم المتحدة</w:t>
      </w:r>
      <w:r w:rsidRPr="00AC0E6A">
        <w:rPr>
          <w:rFonts w:hint="eastAsia"/>
          <w:rtl/>
          <w:lang w:bidi="ar-EG"/>
        </w:rPr>
        <w:t> </w:t>
      </w:r>
      <w:r w:rsidRPr="00AC0E6A">
        <w:rPr>
          <w:lang w:bidi="ar-SY"/>
        </w:rPr>
        <w:t>(UNJSP)</w:t>
      </w:r>
      <w:r w:rsidRPr="00AC0E6A">
        <w:rPr>
          <w:rFonts w:hint="cs"/>
          <w:rtl/>
          <w:lang w:bidi="ar-EG"/>
        </w:rPr>
        <w:t>.</w:t>
      </w:r>
    </w:p>
    <w:p w:rsidR="00397F8F" w:rsidRPr="00AC0E6A" w:rsidRDefault="00397F8F" w:rsidP="00397F8F">
      <w:pPr>
        <w:rPr>
          <w:rtl/>
          <w:lang w:bidi="ar-EG"/>
        </w:rPr>
      </w:pPr>
      <w:r w:rsidRPr="00AC0E6A">
        <w:rPr>
          <w:lang w:bidi="ar-SY"/>
        </w:rPr>
        <w:t>15.3</w:t>
      </w:r>
      <w:r w:rsidRPr="00AC0E6A">
        <w:rPr>
          <w:rtl/>
          <w:lang w:bidi="ar-EG"/>
        </w:rPr>
        <w:tab/>
      </w:r>
      <w:r w:rsidRPr="00AC0E6A">
        <w:rPr>
          <w:rFonts w:hint="cs"/>
          <w:rtl/>
          <w:lang w:bidi="ar-EG"/>
        </w:rPr>
        <w:t>ونظراً إلى أنه لا</w:t>
      </w:r>
      <w:r>
        <w:rPr>
          <w:rFonts w:hint="eastAsia"/>
          <w:rtl/>
          <w:lang w:bidi="ar-EG"/>
        </w:rPr>
        <w:t> </w:t>
      </w:r>
      <w:r w:rsidRPr="00AC0E6A">
        <w:rPr>
          <w:rFonts w:hint="cs"/>
          <w:rtl/>
          <w:lang w:bidi="ar-EG"/>
        </w:rPr>
        <w:t xml:space="preserve">يمكن التنبؤ بهذه التطورات المستقبلية </w:t>
      </w:r>
      <w:r>
        <w:rPr>
          <w:rFonts w:hint="cs"/>
          <w:rtl/>
          <w:lang w:bidi="ar-EG"/>
        </w:rPr>
        <w:t>التي لها تأثير على المنظومة ككل</w:t>
      </w:r>
      <w:r w:rsidRPr="00AC0E6A">
        <w:rPr>
          <w:rFonts w:hint="cs"/>
          <w:rtl/>
          <w:lang w:bidi="ar-EG"/>
        </w:rPr>
        <w:t>، رفع الاتحاد في</w:t>
      </w:r>
      <w:r>
        <w:rPr>
          <w:rFonts w:hint="eastAsia"/>
          <w:spacing w:val="-2"/>
          <w:rtl/>
          <w:lang w:bidi="ar-EG"/>
        </w:rPr>
        <w:t> </w:t>
      </w:r>
      <w:r w:rsidRPr="00AC0E6A">
        <w:rPr>
          <w:lang w:bidi="ar-SY"/>
        </w:rPr>
        <w:t>2014</w:t>
      </w:r>
      <w:r w:rsidRPr="00AC0E6A">
        <w:rPr>
          <w:rFonts w:hint="cs"/>
          <w:rtl/>
          <w:lang w:bidi="ar-EG"/>
        </w:rPr>
        <w:t xml:space="preserve"> المساهمات التي يدفعها الأعضاء والمنظمة لضمان تمويل التأمين الصحي على أساس دفع الاستحقاقات أولاً</w:t>
      </w:r>
      <w:r>
        <w:rPr>
          <w:rFonts w:hint="eastAsia"/>
          <w:spacing w:val="-2"/>
          <w:rtl/>
          <w:lang w:bidi="ar-EG"/>
        </w:rPr>
        <w:t> </w:t>
      </w:r>
      <w:r w:rsidRPr="00AC0E6A">
        <w:rPr>
          <w:rFonts w:hint="cs"/>
          <w:rtl/>
          <w:lang w:bidi="ar-EG"/>
        </w:rPr>
        <w:t>بأول.</w:t>
      </w:r>
    </w:p>
    <w:p w:rsidR="00397F8F" w:rsidRPr="00AC0E6A" w:rsidRDefault="00397F8F" w:rsidP="00397F8F">
      <w:pPr>
        <w:pStyle w:val="Heading1"/>
        <w:rPr>
          <w:rtl/>
        </w:rPr>
      </w:pPr>
      <w:r w:rsidRPr="00AC0E6A">
        <w:rPr>
          <w:lang w:bidi="ar-SY"/>
        </w:rPr>
        <w:t>4</w:t>
      </w:r>
      <w:r w:rsidRPr="00AC0E6A">
        <w:rPr>
          <w:rtl/>
        </w:rPr>
        <w:tab/>
      </w:r>
      <w:r w:rsidRPr="00AC0E6A">
        <w:rPr>
          <w:rFonts w:hint="cs"/>
          <w:rtl/>
        </w:rPr>
        <w:t>الخلاصة</w:t>
      </w:r>
    </w:p>
    <w:p w:rsidR="00397F8F" w:rsidRPr="00AC0E6A" w:rsidRDefault="00397F8F" w:rsidP="00397F8F">
      <w:pPr>
        <w:rPr>
          <w:rtl/>
          <w:lang w:bidi="ar-EG"/>
        </w:rPr>
      </w:pPr>
      <w:r w:rsidRPr="00AC0E6A">
        <w:rPr>
          <w:lang w:bidi="ar-SY"/>
        </w:rPr>
        <w:t>1.4</w:t>
      </w:r>
      <w:r w:rsidRPr="00AC0E6A">
        <w:rPr>
          <w:rtl/>
          <w:lang w:bidi="ar-EG"/>
        </w:rPr>
        <w:tab/>
      </w:r>
      <w:r w:rsidRPr="00AC0E6A">
        <w:rPr>
          <w:rFonts w:hint="cs"/>
          <w:rtl/>
          <w:lang w:bidi="ar-EG"/>
        </w:rPr>
        <w:t>تعد مسألة تمويل التزام</w:t>
      </w:r>
      <w:r>
        <w:rPr>
          <w:rFonts w:hint="cs"/>
          <w:rtl/>
          <w:lang w:bidi="ar-EG"/>
        </w:rPr>
        <w:t>ات</w:t>
      </w:r>
      <w:r w:rsidRPr="00AC0E6A">
        <w:rPr>
          <w:rFonts w:hint="cs"/>
          <w:rtl/>
          <w:lang w:bidi="ar-EG"/>
        </w:rPr>
        <w:t xml:space="preserve"> التأمين الصحي بعد انتهاء مدة الخدمة مسألة مشتركة بالنسبة للعديد من المنظمات داخل منظومة الأمم المتحدة. لذلك حددت اللجنة الإدارية رفيعة المستوى </w:t>
      </w:r>
      <w:r w:rsidRPr="00AC0E6A">
        <w:rPr>
          <w:lang w:bidi="ar-SY"/>
        </w:rPr>
        <w:t>(HCLM)</w:t>
      </w:r>
      <w:r w:rsidRPr="00AC0E6A">
        <w:rPr>
          <w:rFonts w:hint="cs"/>
          <w:rtl/>
          <w:lang w:bidi="ar-EG"/>
        </w:rPr>
        <w:t xml:space="preserve"> التابعة لمجلس الرؤساء التنفيذيين المعني بالتنسيق</w:t>
      </w:r>
      <w:r w:rsidRPr="00AC0E6A">
        <w:rPr>
          <w:rFonts w:hint="eastAsia"/>
          <w:rtl/>
          <w:lang w:bidi="ar-EG"/>
        </w:rPr>
        <w:t> </w:t>
      </w:r>
      <w:r w:rsidRPr="00AC0E6A">
        <w:rPr>
          <w:lang w:bidi="ar-SY"/>
        </w:rPr>
        <w:t>(CEB)</w:t>
      </w:r>
      <w:r w:rsidRPr="00AC0E6A">
        <w:rPr>
          <w:rFonts w:hint="cs"/>
          <w:rtl/>
          <w:lang w:bidi="ar-EG"/>
        </w:rPr>
        <w:t xml:space="preserve"> في</w:t>
      </w:r>
      <w:r w:rsidRPr="00AC0E6A">
        <w:rPr>
          <w:rFonts w:hint="eastAsia"/>
          <w:rtl/>
          <w:lang w:bidi="ar-EG"/>
        </w:rPr>
        <w:t> </w:t>
      </w:r>
      <w:r w:rsidRPr="00AC0E6A">
        <w:rPr>
          <w:rFonts w:hint="cs"/>
          <w:rtl/>
          <w:lang w:bidi="ar-EG"/>
        </w:rPr>
        <w:t>الأمم المتحدة، الحاجة إلى اعتماد نهج مشترك لتمويل الالتزامات المتزايدة للتأمين الصحي بعد انتهاء مدة الخدمة في ظل القضايا ذات الأولوية الخاصة بها للفترة</w:t>
      </w:r>
      <w:r w:rsidRPr="00AC0E6A">
        <w:rPr>
          <w:rFonts w:hint="eastAsia"/>
          <w:rtl/>
          <w:lang w:bidi="ar-EG"/>
        </w:rPr>
        <w:t> </w:t>
      </w:r>
      <w:r w:rsidRPr="00AC0E6A">
        <w:rPr>
          <w:lang w:bidi="ar-SY"/>
        </w:rPr>
        <w:t>2016-2013</w:t>
      </w:r>
      <w:r w:rsidRPr="00AC0E6A">
        <w:rPr>
          <w:rFonts w:hint="cs"/>
          <w:rtl/>
          <w:lang w:bidi="ar-EG"/>
        </w:rPr>
        <w:t>. بيد أنه لا يتوقع اتخاذ قرارات من جانب الجمعية العامة للأمم المتحدة تفضي إلى نهج مشترك لإدارة التأمين الصحي بعد انتهاء مدة الخدمة لمنظمات الأمم المتحدة ووكالاتها المتخصصة. وفي</w:t>
      </w:r>
      <w:r>
        <w:rPr>
          <w:rFonts w:hint="eastAsia"/>
          <w:spacing w:val="-2"/>
          <w:rtl/>
          <w:lang w:bidi="ar-EG"/>
        </w:rPr>
        <w:t> </w:t>
      </w:r>
      <w:r w:rsidRPr="00AC0E6A">
        <w:rPr>
          <w:rFonts w:hint="cs"/>
          <w:rtl/>
          <w:lang w:bidi="ar-EG"/>
        </w:rPr>
        <w:t>نفس الوقت، سيواصل الاتحاد التركيز على الحد من التكاليف مع المورد الجديد للخدمة وقد اقترح زيادة في النسبة المئوية لمساهمات الأعضاء في</w:t>
      </w:r>
      <w:r w:rsidRPr="00AC0E6A">
        <w:rPr>
          <w:rFonts w:hint="eastAsia"/>
          <w:rtl/>
          <w:lang w:bidi="ar-EG"/>
        </w:rPr>
        <w:t> </w:t>
      </w:r>
      <w:r w:rsidRPr="00AC0E6A">
        <w:rPr>
          <w:rFonts w:hint="cs"/>
          <w:rtl/>
          <w:lang w:bidi="ar-EG"/>
        </w:rPr>
        <w:t>الخطة</w:t>
      </w:r>
      <w:r w:rsidRPr="00AC0E6A">
        <w:rPr>
          <w:rFonts w:hint="eastAsia"/>
          <w:rtl/>
          <w:lang w:bidi="ar-EG"/>
        </w:rPr>
        <w:t> </w:t>
      </w:r>
      <w:r w:rsidRPr="00AC0E6A">
        <w:rPr>
          <w:lang w:bidi="ar-SY"/>
        </w:rPr>
        <w:t>CMIP</w:t>
      </w:r>
      <w:r w:rsidRPr="00AC0E6A">
        <w:rPr>
          <w:rFonts w:hint="cs"/>
          <w:rtl/>
          <w:lang w:bidi="ar-EG"/>
        </w:rPr>
        <w:t xml:space="preserve"> و</w:t>
      </w:r>
      <w:r>
        <w:rPr>
          <w:rFonts w:hint="cs"/>
          <w:rtl/>
          <w:lang w:bidi="ar-EG"/>
        </w:rPr>
        <w:t>مساهمات</w:t>
      </w:r>
      <w:r w:rsidRPr="00AC0E6A">
        <w:rPr>
          <w:rFonts w:hint="cs"/>
          <w:rtl/>
          <w:lang w:bidi="ar-EG"/>
        </w:rPr>
        <w:t xml:space="preserve"> الاتحاد في </w:t>
      </w:r>
      <w:r>
        <w:rPr>
          <w:rFonts w:hint="cs"/>
          <w:rtl/>
          <w:lang w:bidi="ar-EG"/>
        </w:rPr>
        <w:t xml:space="preserve">ميزانية </w:t>
      </w:r>
      <w:r>
        <w:rPr>
          <w:lang w:bidi="ar-EG"/>
        </w:rPr>
        <w:t>2019-2018</w:t>
      </w:r>
      <w:r>
        <w:rPr>
          <w:rFonts w:hint="cs"/>
          <w:rtl/>
          <w:lang w:bidi="ar-EG"/>
        </w:rPr>
        <w:t xml:space="preserve">، على غرار </w:t>
      </w:r>
      <w:r w:rsidRPr="00AC0E6A">
        <w:rPr>
          <w:rFonts w:hint="cs"/>
          <w:rtl/>
          <w:lang w:bidi="ar-EG"/>
        </w:rPr>
        <w:t xml:space="preserve">ميزانية </w:t>
      </w:r>
      <w:r w:rsidRPr="00AC0E6A">
        <w:rPr>
          <w:lang w:bidi="ar-SY"/>
        </w:rPr>
        <w:t>2017-2016</w:t>
      </w:r>
      <w:r>
        <w:rPr>
          <w:rFonts w:hint="cs"/>
          <w:rtl/>
          <w:lang w:bidi="ar-EG"/>
        </w:rPr>
        <w:t xml:space="preserve">، </w:t>
      </w:r>
      <w:r w:rsidRPr="00AC0E6A">
        <w:rPr>
          <w:rFonts w:hint="cs"/>
          <w:rtl/>
          <w:lang w:bidi="ar-EG"/>
        </w:rPr>
        <w:t xml:space="preserve">من أجل ضمان تمويل التأمين الصحي على أساس دفع الاستحقاقات أولاً بأول. </w:t>
      </w:r>
      <w:r>
        <w:rPr>
          <w:rFonts w:hint="cs"/>
          <w:spacing w:val="6"/>
          <w:rtl/>
          <w:lang w:bidi="ar-EG"/>
        </w:rPr>
        <w:t>و</w:t>
      </w:r>
      <w:r w:rsidRPr="006B4523">
        <w:rPr>
          <w:rFonts w:hint="cs"/>
          <w:spacing w:val="6"/>
          <w:rtl/>
          <w:lang w:bidi="ar-EG"/>
        </w:rPr>
        <w:t>علاوة</w:t>
      </w:r>
      <w:r>
        <w:rPr>
          <w:rFonts w:hint="cs"/>
          <w:spacing w:val="6"/>
          <w:rtl/>
          <w:lang w:bidi="ar-EG"/>
        </w:rPr>
        <w:t>ً</w:t>
      </w:r>
      <w:r w:rsidRPr="006B4523">
        <w:rPr>
          <w:rFonts w:hint="eastAsia"/>
          <w:spacing w:val="6"/>
          <w:rtl/>
          <w:lang w:bidi="ar-EG"/>
        </w:rPr>
        <w:t> </w:t>
      </w:r>
      <w:r w:rsidRPr="006B4523">
        <w:rPr>
          <w:rFonts w:hint="cs"/>
          <w:spacing w:val="6"/>
          <w:rtl/>
          <w:lang w:bidi="ar-EG"/>
        </w:rPr>
        <w:t>على ذلك، سيستمر الاتحاد في تمويل احتياطي التأمين الصحي بعد انتهاء مدة الخدمة بأقصى قدر ممكن بحسب الفوائض في</w:t>
      </w:r>
      <w:r>
        <w:rPr>
          <w:rFonts w:hint="eastAsia"/>
          <w:spacing w:val="-2"/>
          <w:rtl/>
          <w:lang w:bidi="ar-EG"/>
        </w:rPr>
        <w:t> </w:t>
      </w:r>
      <w:r w:rsidRPr="006B4523">
        <w:rPr>
          <w:rFonts w:hint="cs"/>
          <w:spacing w:val="6"/>
          <w:rtl/>
          <w:lang w:bidi="ar-EG"/>
        </w:rPr>
        <w:t>الميزانية.</w:t>
      </w:r>
    </w:p>
    <w:p w:rsidR="000E4FF0" w:rsidRDefault="00397F8F" w:rsidP="00397F8F">
      <w:pPr>
        <w:spacing w:before="600"/>
        <w:jc w:val="center"/>
        <w:rPr>
          <w:rtl/>
          <w:lang w:bidi="ar-EG"/>
        </w:rPr>
      </w:pPr>
      <w:r>
        <w:rPr>
          <w:rtl/>
          <w:lang w:bidi="ar-EG"/>
        </w:rPr>
        <w:t>___________</w:t>
      </w:r>
    </w:p>
    <w:sectPr w:rsidR="000E4FF0"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1DA" w:rsidRDefault="000D01DA" w:rsidP="00E07379">
      <w:pPr>
        <w:spacing w:before="0" w:line="240" w:lineRule="auto"/>
      </w:pPr>
      <w:r>
        <w:separator/>
      </w:r>
    </w:p>
  </w:endnote>
  <w:endnote w:type="continuationSeparator" w:id="0">
    <w:p w:rsidR="000D01DA" w:rsidRDefault="000D01D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470A17" w:rsidRDefault="000E4FF0" w:rsidP="00670D52">
    <w:pPr>
      <w:pStyle w:val="Footer"/>
      <w:tabs>
        <w:tab w:val="clear" w:pos="5812"/>
        <w:tab w:val="right" w:pos="5670"/>
      </w:tabs>
      <w:rPr>
        <w:color w:val="D9D9D9" w:themeColor="background1" w:themeShade="D9"/>
        <w:lang w:val="fr-CH"/>
      </w:rPr>
    </w:pPr>
    <w:r w:rsidRPr="00470A17">
      <w:rPr>
        <w:color w:val="D9D9D9" w:themeColor="background1" w:themeShade="D9"/>
      </w:rPr>
      <w:fldChar w:fldCharType="begin"/>
    </w:r>
    <w:r w:rsidRPr="00470A17">
      <w:rPr>
        <w:color w:val="D9D9D9" w:themeColor="background1" w:themeShade="D9"/>
        <w:lang w:val="fr-CH"/>
      </w:rPr>
      <w:instrText xml:space="preserve"> FILENAME \p \* MERGEFORMAT </w:instrText>
    </w:r>
    <w:r w:rsidRPr="00470A17">
      <w:rPr>
        <w:color w:val="D9D9D9" w:themeColor="background1" w:themeShade="D9"/>
      </w:rPr>
      <w:fldChar w:fldCharType="separate"/>
    </w:r>
    <w:r w:rsidR="00397F8F" w:rsidRPr="00470A17">
      <w:rPr>
        <w:noProof/>
        <w:color w:val="D9D9D9" w:themeColor="background1" w:themeShade="D9"/>
        <w:lang w:val="fr-CH"/>
      </w:rPr>
      <w:t>P:\ARA\SG\CONSEIL\C17\000\046A.docx</w:t>
    </w:r>
    <w:r w:rsidRPr="00470A17">
      <w:rPr>
        <w:noProof/>
        <w:color w:val="D9D9D9" w:themeColor="background1" w:themeShade="D9"/>
      </w:rPr>
      <w:fldChar w:fldCharType="end"/>
    </w:r>
    <w:r w:rsidR="00670D52" w:rsidRPr="00470A17">
      <w:rPr>
        <w:color w:val="D9D9D9" w:themeColor="background1" w:themeShade="D9"/>
        <w:lang w:val="fr-CH"/>
      </w:rPr>
      <w:t>   </w:t>
    </w:r>
    <w:r w:rsidR="00BD0C50" w:rsidRPr="00470A17">
      <w:rPr>
        <w:color w:val="D9D9D9" w:themeColor="background1" w:themeShade="D9"/>
        <w:lang w:val="fr-CH"/>
      </w:rPr>
      <w:t>(</w:t>
    </w:r>
    <w:r w:rsidR="00397F8F" w:rsidRPr="00470A17">
      <w:rPr>
        <w:color w:val="D9D9D9" w:themeColor="background1" w:themeShade="D9"/>
        <w:lang w:val="fr-CH"/>
      </w:rPr>
      <w:t>409496</w:t>
    </w:r>
    <w:r w:rsidR="00BD0C50" w:rsidRPr="00470A17">
      <w:rPr>
        <w:color w:val="D9D9D9" w:themeColor="background1" w:themeShade="D9"/>
        <w:lang w:val="fr-CH"/>
      </w:rPr>
      <w:t>)</w:t>
    </w:r>
    <w:r w:rsidR="00BD0C50" w:rsidRPr="00470A17">
      <w:rPr>
        <w:color w:val="D9D9D9" w:themeColor="background1" w:themeShade="D9"/>
        <w:lang w:val="fr-CH"/>
      </w:rPr>
      <w:tab/>
    </w:r>
    <w:r w:rsidR="00BD0C50" w:rsidRPr="00470A17">
      <w:rPr>
        <w:color w:val="D9D9D9" w:themeColor="background1" w:themeShade="D9"/>
      </w:rPr>
      <w:fldChar w:fldCharType="begin"/>
    </w:r>
    <w:r w:rsidR="00BD0C50" w:rsidRPr="00470A17">
      <w:rPr>
        <w:color w:val="D9D9D9" w:themeColor="background1" w:themeShade="D9"/>
      </w:rPr>
      <w:instrText xml:space="preserve"> savedate \@ dd.MM.yy </w:instrText>
    </w:r>
    <w:r w:rsidR="00BD0C50" w:rsidRPr="00470A17">
      <w:rPr>
        <w:color w:val="D9D9D9" w:themeColor="background1" w:themeShade="D9"/>
      </w:rPr>
      <w:fldChar w:fldCharType="separate"/>
    </w:r>
    <w:r w:rsidR="00470A17" w:rsidRPr="00470A17">
      <w:rPr>
        <w:noProof/>
        <w:color w:val="D9D9D9" w:themeColor="background1" w:themeShade="D9"/>
      </w:rPr>
      <w:t>08.05.17</w:t>
    </w:r>
    <w:r w:rsidR="00BD0C50" w:rsidRPr="00470A17">
      <w:rPr>
        <w:color w:val="D9D9D9" w:themeColor="background1" w:themeShade="D9"/>
      </w:rPr>
      <w:fldChar w:fldCharType="end"/>
    </w:r>
    <w:r w:rsidR="00BD0C50" w:rsidRPr="00470A17">
      <w:rPr>
        <w:color w:val="D9D9D9" w:themeColor="background1" w:themeShade="D9"/>
        <w:lang w:val="fr-CH"/>
      </w:rPr>
      <w:tab/>
    </w:r>
    <w:r w:rsidR="00BD0C50" w:rsidRPr="00470A17">
      <w:rPr>
        <w:color w:val="D9D9D9" w:themeColor="background1" w:themeShade="D9"/>
      </w:rPr>
      <w:fldChar w:fldCharType="begin"/>
    </w:r>
    <w:r w:rsidR="00BD0C50" w:rsidRPr="00470A17">
      <w:rPr>
        <w:color w:val="D9D9D9" w:themeColor="background1" w:themeShade="D9"/>
      </w:rPr>
      <w:instrText xml:space="preserve"> printdate \@ dd.MM.yy </w:instrText>
    </w:r>
    <w:r w:rsidR="00BD0C50" w:rsidRPr="00470A17">
      <w:rPr>
        <w:color w:val="D9D9D9" w:themeColor="background1" w:themeShade="D9"/>
      </w:rPr>
      <w:fldChar w:fldCharType="separate"/>
    </w:r>
    <w:r w:rsidR="000D01DA" w:rsidRPr="00470A17">
      <w:rPr>
        <w:noProof/>
        <w:color w:val="D9D9D9" w:themeColor="background1" w:themeShade="D9"/>
      </w:rPr>
      <w:t>07.06.16</w:t>
    </w:r>
    <w:r w:rsidR="00BD0C50" w:rsidRPr="00470A17">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6C3242" w:rsidRDefault="000E4FF0"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0E4FF0" w:rsidRPr="00C66157" w:rsidRDefault="000E4FF0" w:rsidP="00670D52">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397F8F">
      <w:rPr>
        <w:rFonts w:cs="Calibri"/>
        <w:noProof/>
        <w:vanish/>
        <w:lang w:val="fr-FR"/>
      </w:rPr>
      <w:t>P:\ARA\SG\CONSEIL\C17\000\046A.docx</w:t>
    </w:r>
    <w:r w:rsidRPr="00C66157">
      <w:rPr>
        <w:rFonts w:cs="Calibri"/>
        <w:vanish/>
      </w:rPr>
      <w:fldChar w:fldCharType="end"/>
    </w:r>
    <w:r w:rsidR="00670D52">
      <w:rPr>
        <w:rFonts w:cs="Calibri"/>
        <w:vanish/>
        <w:lang w:val="fr-CH"/>
      </w:rPr>
      <w:t>   </w:t>
    </w:r>
    <w:r w:rsidRPr="00C66157">
      <w:rPr>
        <w:rFonts w:cs="Calibri"/>
        <w:vanish/>
        <w:lang w:val="fr-FR"/>
      </w:rPr>
      <w:t>(</w:t>
    </w:r>
    <w:r w:rsidR="00397F8F">
      <w:rPr>
        <w:rFonts w:cs="Calibri"/>
        <w:vanish/>
        <w:lang w:val="fr-FR"/>
      </w:rPr>
      <w:t>409796</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470A17">
      <w:rPr>
        <w:rFonts w:cs="Calibri"/>
        <w:noProof/>
        <w:vanish/>
        <w:lang w:val="fr-FR"/>
      </w:rPr>
      <w:t>08.05.17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0D01DA">
      <w:rPr>
        <w:rFonts w:cs="Calibri"/>
        <w:noProof/>
        <w:vanish/>
        <w:lang w:val="fr-FR"/>
      </w:rPr>
      <w:t>07.06.16</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1DA" w:rsidRDefault="000D01DA" w:rsidP="00E07379">
      <w:pPr>
        <w:spacing w:before="0" w:line="240" w:lineRule="auto"/>
      </w:pPr>
      <w:r>
        <w:separator/>
      </w:r>
    </w:p>
  </w:footnote>
  <w:footnote w:type="continuationSeparator" w:id="0">
    <w:p w:rsidR="000D01DA" w:rsidRDefault="000D01D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470A17" w:rsidP="00670D52">
    <w:pPr>
      <w:tabs>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0E4FF0">
          <w:rPr>
            <w:rFonts w:eastAsiaTheme="minorEastAsia" w:cs="Calibri"/>
            <w:noProof/>
            <w:sz w:val="20"/>
            <w:szCs w:val="20"/>
            <w:lang w:eastAsia="zh-CN"/>
          </w:rPr>
          <w:t>7</w:t>
        </w:r>
        <w:r w:rsidR="000E4FF0" w:rsidRPr="000E4FF0">
          <w:rPr>
            <w:rFonts w:eastAsiaTheme="minorEastAsia" w:cs="Calibri"/>
            <w:noProof/>
            <w:sz w:val="20"/>
            <w:szCs w:val="20"/>
            <w:lang w:eastAsia="zh-CN"/>
          </w:rPr>
          <w:t>/</w:t>
        </w:r>
        <w:r w:rsidR="00397F8F">
          <w:rPr>
            <w:rFonts w:eastAsiaTheme="minorEastAsia" w:cs="Calibri"/>
            <w:noProof/>
            <w:sz w:val="20"/>
            <w:szCs w:val="20"/>
            <w:lang w:eastAsia="zh-CN"/>
          </w:rPr>
          <w:t>46</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DA"/>
    <w:rsid w:val="000124CC"/>
    <w:rsid w:val="000224DE"/>
    <w:rsid w:val="00041F8B"/>
    <w:rsid w:val="00046444"/>
    <w:rsid w:val="0006023B"/>
    <w:rsid w:val="0008638B"/>
    <w:rsid w:val="00090574"/>
    <w:rsid w:val="00092FC2"/>
    <w:rsid w:val="000A1677"/>
    <w:rsid w:val="000B407F"/>
    <w:rsid w:val="000C13C2"/>
    <w:rsid w:val="000D01DA"/>
    <w:rsid w:val="000D4C64"/>
    <w:rsid w:val="000E4FF0"/>
    <w:rsid w:val="000F0B1C"/>
    <w:rsid w:val="000F1D42"/>
    <w:rsid w:val="000F4D07"/>
    <w:rsid w:val="00102A03"/>
    <w:rsid w:val="001040A3"/>
    <w:rsid w:val="00173915"/>
    <w:rsid w:val="0022345D"/>
    <w:rsid w:val="00225854"/>
    <w:rsid w:val="0023283D"/>
    <w:rsid w:val="00252E0C"/>
    <w:rsid w:val="0026419C"/>
    <w:rsid w:val="00276881"/>
    <w:rsid w:val="002916BE"/>
    <w:rsid w:val="002978F4"/>
    <w:rsid w:val="002B028D"/>
    <w:rsid w:val="002B1BAF"/>
    <w:rsid w:val="002B435E"/>
    <w:rsid w:val="002C4DAE"/>
    <w:rsid w:val="002D6669"/>
    <w:rsid w:val="002E6541"/>
    <w:rsid w:val="002F5560"/>
    <w:rsid w:val="0030222F"/>
    <w:rsid w:val="0030486B"/>
    <w:rsid w:val="00314173"/>
    <w:rsid w:val="003162B0"/>
    <w:rsid w:val="003231B9"/>
    <w:rsid w:val="003275AC"/>
    <w:rsid w:val="00333D29"/>
    <w:rsid w:val="003409F4"/>
    <w:rsid w:val="00357185"/>
    <w:rsid w:val="00397F8F"/>
    <w:rsid w:val="003B535A"/>
    <w:rsid w:val="003C106D"/>
    <w:rsid w:val="003C475F"/>
    <w:rsid w:val="003E4132"/>
    <w:rsid w:val="003F678F"/>
    <w:rsid w:val="0042686F"/>
    <w:rsid w:val="004367CE"/>
    <w:rsid w:val="00443869"/>
    <w:rsid w:val="00470A17"/>
    <w:rsid w:val="004712C6"/>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26EEE"/>
    <w:rsid w:val="0063315A"/>
    <w:rsid w:val="0065591D"/>
    <w:rsid w:val="00662C5A"/>
    <w:rsid w:val="00670AF5"/>
    <w:rsid w:val="00670D52"/>
    <w:rsid w:val="006956A9"/>
    <w:rsid w:val="006A6107"/>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916CE2"/>
    <w:rsid w:val="00917694"/>
    <w:rsid w:val="009263CD"/>
    <w:rsid w:val="00930E6D"/>
    <w:rsid w:val="009616CF"/>
    <w:rsid w:val="00972CA2"/>
    <w:rsid w:val="00982B28"/>
    <w:rsid w:val="00984EA5"/>
    <w:rsid w:val="00992593"/>
    <w:rsid w:val="009B1512"/>
    <w:rsid w:val="009B7DB0"/>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5B53"/>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67CFF"/>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48E2"/>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D6E507B-FF13-4A62-86FA-89EEA75D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F8F"/>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uiPriority w:val="9"/>
    <w:qFormat/>
    <w:rsid w:val="00397F8F"/>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uiPriority w:val="9"/>
    <w:rsid w:val="00397F8F"/>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 1"/>
    <w:basedOn w:val="Normal"/>
    <w:qFormat/>
    <w:rsid w:val="009B1512"/>
    <w:pPr>
      <w:tabs>
        <w:tab w:val="clear" w:pos="794"/>
      </w:tabs>
      <w:spacing w:before="80"/>
      <w:ind w:left="794" w:hanging="794"/>
      <w:outlineLvl w:val="0"/>
    </w:pPr>
    <w:rPr>
      <w:rFonts w:eastAsiaTheme="minorEastAsia"/>
      <w:lang w:eastAsia="zh-CN" w:bidi="ar-SY"/>
    </w:rPr>
  </w:style>
  <w:style w:type="paragraph" w:customStyle="1" w:styleId="TableHead0">
    <w:name w:val="Table Head"/>
    <w:basedOn w:val="Normal"/>
    <w:qFormat/>
    <w:rsid w:val="00397F8F"/>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eastAsiaTheme="minorEastAsia"/>
      <w:b/>
      <w:bCs/>
      <w:sz w:val="20"/>
      <w:szCs w:val="26"/>
      <w:lang w:eastAsia="zh-CN"/>
    </w:rPr>
  </w:style>
  <w:style w:type="paragraph" w:customStyle="1" w:styleId="Tabletexte">
    <w:name w:val="Table texte"/>
    <w:basedOn w:val="Normal"/>
    <w:qFormat/>
    <w:rsid w:val="00397F8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eastAsiaTheme="minorEastAsia"/>
      <w:sz w:val="20"/>
      <w:szCs w:val="26"/>
      <w:lang w:eastAsia="zh-CN" w:bidi="ar-SY"/>
    </w:rPr>
  </w:style>
  <w:style w:type="paragraph" w:customStyle="1" w:styleId="Headingb0">
    <w:name w:val="Heading b"/>
    <w:basedOn w:val="Normal"/>
    <w:qFormat/>
    <w:rsid w:val="0026419C"/>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eastAsiaTheme="minorEastAsia"/>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3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en/council/Documents/fin-hr/ref-dec005.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6-CL-C-0046/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de10a323-94a9-4e93-88b4-ea964576960d"/>
    <ds:schemaRef ds:uri="http://purl.org/dc/elements/1.1/"/>
    <ds:schemaRef ds:uri="http://purl.org/dc/dcmitype/"/>
    <ds:schemaRef ds:uri="http://www.w3.org/XML/1998/namespace"/>
    <ds:schemaRef ds:uri="http://schemas.microsoft.com/office/2006/documentManagement/types"/>
    <ds:schemaRef ds:uri="996b2e75-67fd-4955-a3b0-5ab9934cb50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B2A312F-4D33-4B24-9579-49DB370B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2025</Words>
  <Characters>11544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After-Service Health Insurance (ASHI) liability</dc:title>
  <dc:subject>Council 2017</dc:subject>
  <dc:creator>Saad, Samuel</dc:creator>
  <cp:keywords>C2017, C17</cp:keywords>
  <dc:description/>
  <cp:lastModifiedBy>Brouard, Ricarda</cp:lastModifiedBy>
  <cp:revision>2</cp:revision>
  <cp:lastPrinted>2016-06-07T13:25:00Z</cp:lastPrinted>
  <dcterms:created xsi:type="dcterms:W3CDTF">2017-05-11T08:15:00Z</dcterms:created>
  <dcterms:modified xsi:type="dcterms:W3CDTF">2017-05-11T08:15:00Z</dcterms:modified>
  <cp:category>Conference document</cp:category>
</cp:coreProperties>
</file>