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86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C7BC0" w:rsidRPr="004D07CF" w:rsidTr="00AE5DA1">
        <w:trPr>
          <w:cantSplit/>
        </w:trPr>
        <w:tc>
          <w:tcPr>
            <w:tcW w:w="6911" w:type="dxa"/>
          </w:tcPr>
          <w:p w:rsidR="00BC7BC0" w:rsidRPr="004D07CF" w:rsidRDefault="000569B4" w:rsidP="00AE5DA1">
            <w:pPr>
              <w:spacing w:before="360" w:after="48"/>
              <w:rPr>
                <w:position w:val="6"/>
                <w:szCs w:val="22"/>
              </w:rPr>
            </w:pPr>
            <w:bookmarkStart w:id="0" w:name="_GoBack"/>
            <w:bookmarkEnd w:id="0"/>
            <w:r w:rsidRPr="004D07CF">
              <w:rPr>
                <w:b/>
                <w:smallCaps/>
                <w:sz w:val="28"/>
                <w:szCs w:val="28"/>
              </w:rPr>
              <w:t>СОВЕТ 20</w:t>
            </w:r>
            <w:r w:rsidR="003F099E" w:rsidRPr="004D07CF">
              <w:rPr>
                <w:b/>
                <w:smallCaps/>
                <w:sz w:val="28"/>
                <w:szCs w:val="28"/>
              </w:rPr>
              <w:t>1</w:t>
            </w:r>
            <w:r w:rsidR="004F250D" w:rsidRPr="004D07CF">
              <w:rPr>
                <w:b/>
                <w:smallCaps/>
                <w:sz w:val="28"/>
                <w:szCs w:val="28"/>
              </w:rPr>
              <w:t>7</w:t>
            </w:r>
            <w:r w:rsidRPr="004D07CF">
              <w:rPr>
                <w:b/>
                <w:smallCaps/>
                <w:sz w:val="24"/>
                <w:szCs w:val="24"/>
              </w:rPr>
              <w:br/>
            </w:r>
            <w:r w:rsidR="00225368" w:rsidRPr="004D07CF">
              <w:rPr>
                <w:rFonts w:cs="Arial"/>
                <w:b/>
                <w:bCs/>
                <w:szCs w:val="22"/>
              </w:rPr>
              <w:t>Женева</w:t>
            </w:r>
            <w:r w:rsidR="00225368" w:rsidRPr="004D07CF">
              <w:rPr>
                <w:b/>
                <w:bCs/>
                <w:szCs w:val="22"/>
              </w:rPr>
              <w:t xml:space="preserve">, </w:t>
            </w:r>
            <w:r w:rsidR="004F250D" w:rsidRPr="004D07CF">
              <w:rPr>
                <w:b/>
                <w:bCs/>
                <w:szCs w:val="22"/>
              </w:rPr>
              <w:t>15–</w:t>
            </w:r>
            <w:r w:rsidR="009324B7" w:rsidRPr="004D07CF">
              <w:rPr>
                <w:b/>
                <w:bCs/>
                <w:szCs w:val="22"/>
              </w:rPr>
              <w:t>25</w:t>
            </w:r>
            <w:r w:rsidR="00CD2009" w:rsidRPr="004D07CF">
              <w:rPr>
                <w:b/>
                <w:bCs/>
              </w:rPr>
              <w:t xml:space="preserve"> мая </w:t>
            </w:r>
            <w:r w:rsidR="00225368" w:rsidRPr="004D07CF">
              <w:rPr>
                <w:b/>
                <w:bCs/>
              </w:rPr>
              <w:t>201</w:t>
            </w:r>
            <w:r w:rsidR="004F250D" w:rsidRPr="004D07CF">
              <w:rPr>
                <w:b/>
                <w:bCs/>
              </w:rPr>
              <w:t>7</w:t>
            </w:r>
            <w:r w:rsidR="00225368" w:rsidRPr="004D07CF">
              <w:rPr>
                <w:b/>
                <w:bCs/>
              </w:rPr>
              <w:t xml:space="preserve"> года</w:t>
            </w:r>
          </w:p>
        </w:tc>
        <w:tc>
          <w:tcPr>
            <w:tcW w:w="3120" w:type="dxa"/>
          </w:tcPr>
          <w:p w:rsidR="00BC7BC0" w:rsidRPr="004D07CF" w:rsidRDefault="009C1C89" w:rsidP="00AE5DA1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4D07CF">
              <w:rPr>
                <w:noProof/>
                <w:lang w:val="en-US" w:eastAsia="zh-CN"/>
              </w:rPr>
              <w:drawing>
                <wp:inline distT="0" distB="0" distL="0" distR="0" wp14:anchorId="4B0689C3" wp14:editId="54DFDF05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4D07CF" w:rsidTr="00AE5DA1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C7BC0" w:rsidRPr="004D07CF" w:rsidRDefault="00BC7BC0" w:rsidP="00AE5DA1">
            <w:pPr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C7BC0" w:rsidRPr="004D07CF" w:rsidRDefault="00BC7BC0" w:rsidP="00AE5DA1">
            <w:pPr>
              <w:spacing w:before="0"/>
              <w:rPr>
                <w:szCs w:val="22"/>
              </w:rPr>
            </w:pPr>
          </w:p>
        </w:tc>
      </w:tr>
      <w:tr w:rsidR="00BC7BC0" w:rsidRPr="004D07CF" w:rsidTr="00AE5DA1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C7BC0" w:rsidRPr="004D07CF" w:rsidRDefault="00BC7BC0" w:rsidP="00AE5DA1">
            <w:pPr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C7BC0" w:rsidRPr="004D07CF" w:rsidRDefault="00BC7BC0" w:rsidP="00AE5DA1">
            <w:pPr>
              <w:spacing w:before="0"/>
              <w:rPr>
                <w:szCs w:val="22"/>
              </w:rPr>
            </w:pPr>
          </w:p>
        </w:tc>
      </w:tr>
      <w:tr w:rsidR="00BC7BC0" w:rsidRPr="004D07CF" w:rsidTr="00AE5DA1">
        <w:trPr>
          <w:cantSplit/>
          <w:trHeight w:val="23"/>
        </w:trPr>
        <w:tc>
          <w:tcPr>
            <w:tcW w:w="6911" w:type="dxa"/>
            <w:vMerge w:val="restart"/>
          </w:tcPr>
          <w:p w:rsidR="00BC7BC0" w:rsidRPr="004D07CF" w:rsidRDefault="00BC7BC0" w:rsidP="00AE5DA1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  <w:r w:rsidRPr="004D07CF">
              <w:rPr>
                <w:b/>
                <w:bCs/>
                <w:szCs w:val="22"/>
              </w:rPr>
              <w:t>Пункт повестки дня:</w:t>
            </w:r>
            <w:r w:rsidRPr="004D07CF">
              <w:rPr>
                <w:b/>
                <w:bCs/>
                <w:caps/>
                <w:szCs w:val="22"/>
              </w:rPr>
              <w:t xml:space="preserve"> </w:t>
            </w:r>
            <w:r w:rsidR="008E4FD8" w:rsidRPr="004D07CF">
              <w:rPr>
                <w:b/>
                <w:szCs w:val="22"/>
              </w:rPr>
              <w:t>ADM 1</w:t>
            </w:r>
            <w:r w:rsidR="00CF5F2D" w:rsidRPr="004D07CF">
              <w:rPr>
                <w:b/>
                <w:szCs w:val="22"/>
              </w:rPr>
              <w:t>3</w:t>
            </w:r>
          </w:p>
        </w:tc>
        <w:tc>
          <w:tcPr>
            <w:tcW w:w="3120" w:type="dxa"/>
          </w:tcPr>
          <w:p w:rsidR="00BC7BC0" w:rsidRPr="004D07CF" w:rsidRDefault="00BC7BC0" w:rsidP="00CF5F2D">
            <w:pPr>
              <w:tabs>
                <w:tab w:val="left" w:pos="851"/>
              </w:tabs>
              <w:spacing w:before="0"/>
              <w:rPr>
                <w:b/>
                <w:bCs/>
                <w:szCs w:val="22"/>
              </w:rPr>
            </w:pPr>
            <w:r w:rsidRPr="004D07CF">
              <w:rPr>
                <w:b/>
                <w:bCs/>
                <w:szCs w:val="22"/>
              </w:rPr>
              <w:t>Документ C</w:t>
            </w:r>
            <w:r w:rsidR="003F099E" w:rsidRPr="004D07CF">
              <w:rPr>
                <w:b/>
                <w:bCs/>
                <w:szCs w:val="22"/>
              </w:rPr>
              <w:t>1</w:t>
            </w:r>
            <w:r w:rsidR="004F250D" w:rsidRPr="004D07CF">
              <w:rPr>
                <w:b/>
                <w:bCs/>
                <w:szCs w:val="22"/>
              </w:rPr>
              <w:t>7</w:t>
            </w:r>
            <w:r w:rsidRPr="004D07CF">
              <w:rPr>
                <w:b/>
                <w:bCs/>
                <w:szCs w:val="22"/>
              </w:rPr>
              <w:t>/</w:t>
            </w:r>
            <w:r w:rsidR="008E4FD8" w:rsidRPr="004D07CF">
              <w:rPr>
                <w:b/>
                <w:bCs/>
                <w:szCs w:val="22"/>
              </w:rPr>
              <w:t>4</w:t>
            </w:r>
            <w:r w:rsidR="00CF5F2D" w:rsidRPr="004D07CF">
              <w:rPr>
                <w:b/>
                <w:bCs/>
                <w:szCs w:val="22"/>
              </w:rPr>
              <w:t>4</w:t>
            </w:r>
            <w:r w:rsidRPr="004D07CF">
              <w:rPr>
                <w:b/>
                <w:bCs/>
                <w:szCs w:val="22"/>
              </w:rPr>
              <w:t>-R</w:t>
            </w:r>
          </w:p>
        </w:tc>
      </w:tr>
      <w:tr w:rsidR="00BC7BC0" w:rsidRPr="004D07CF" w:rsidTr="00AE5DA1">
        <w:trPr>
          <w:cantSplit/>
          <w:trHeight w:val="23"/>
        </w:trPr>
        <w:tc>
          <w:tcPr>
            <w:tcW w:w="6911" w:type="dxa"/>
            <w:vMerge/>
          </w:tcPr>
          <w:p w:rsidR="00BC7BC0" w:rsidRPr="004D07CF" w:rsidRDefault="00BC7BC0" w:rsidP="00AE5DA1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4D07CF" w:rsidRDefault="00CF5F2D" w:rsidP="00CF5F2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4D07CF">
              <w:rPr>
                <w:b/>
                <w:bCs/>
                <w:szCs w:val="22"/>
              </w:rPr>
              <w:t>14</w:t>
            </w:r>
            <w:r w:rsidR="008E4FD8" w:rsidRPr="004D07CF">
              <w:rPr>
                <w:b/>
                <w:bCs/>
                <w:szCs w:val="22"/>
              </w:rPr>
              <w:t xml:space="preserve"> </w:t>
            </w:r>
            <w:r w:rsidRPr="004D07CF">
              <w:rPr>
                <w:b/>
                <w:bCs/>
                <w:szCs w:val="22"/>
              </w:rPr>
              <w:t>марта</w:t>
            </w:r>
            <w:r w:rsidR="00BC7BC0" w:rsidRPr="004D07CF">
              <w:rPr>
                <w:b/>
                <w:bCs/>
                <w:szCs w:val="22"/>
              </w:rPr>
              <w:t xml:space="preserve"> 20</w:t>
            </w:r>
            <w:r w:rsidR="003F099E" w:rsidRPr="004D07CF">
              <w:rPr>
                <w:b/>
                <w:bCs/>
                <w:szCs w:val="22"/>
              </w:rPr>
              <w:t>1</w:t>
            </w:r>
            <w:r w:rsidR="008B3EA4" w:rsidRPr="004D07CF">
              <w:rPr>
                <w:b/>
                <w:bCs/>
                <w:szCs w:val="22"/>
              </w:rPr>
              <w:t>7</w:t>
            </w:r>
            <w:r w:rsidR="00BC7BC0" w:rsidRPr="004D07CF">
              <w:rPr>
                <w:b/>
                <w:bCs/>
                <w:szCs w:val="22"/>
              </w:rPr>
              <w:t xml:space="preserve"> года</w:t>
            </w:r>
          </w:p>
        </w:tc>
      </w:tr>
      <w:tr w:rsidR="00BC7BC0" w:rsidRPr="004D07CF" w:rsidTr="00AE5DA1">
        <w:trPr>
          <w:cantSplit/>
          <w:trHeight w:val="23"/>
        </w:trPr>
        <w:tc>
          <w:tcPr>
            <w:tcW w:w="6911" w:type="dxa"/>
            <w:vMerge/>
          </w:tcPr>
          <w:p w:rsidR="00BC7BC0" w:rsidRPr="004D07CF" w:rsidRDefault="00BC7BC0" w:rsidP="00AE5DA1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120" w:type="dxa"/>
          </w:tcPr>
          <w:p w:rsidR="00BC7BC0" w:rsidRPr="004D07CF" w:rsidRDefault="00BC7BC0" w:rsidP="00AE5DA1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4D07CF">
              <w:rPr>
                <w:b/>
                <w:bCs/>
                <w:szCs w:val="22"/>
              </w:rPr>
              <w:t>Оригинал: английский</w:t>
            </w:r>
          </w:p>
        </w:tc>
      </w:tr>
      <w:tr w:rsidR="00BC7BC0" w:rsidRPr="004D07CF" w:rsidTr="00AE5DA1">
        <w:trPr>
          <w:cantSplit/>
        </w:trPr>
        <w:tc>
          <w:tcPr>
            <w:tcW w:w="10031" w:type="dxa"/>
            <w:gridSpan w:val="2"/>
          </w:tcPr>
          <w:p w:rsidR="00BC7BC0" w:rsidRPr="004D07CF" w:rsidRDefault="009324B7" w:rsidP="00AE5DA1">
            <w:pPr>
              <w:pStyle w:val="Source"/>
              <w:rPr>
                <w:szCs w:val="22"/>
              </w:rPr>
            </w:pPr>
            <w:bookmarkStart w:id="2" w:name="dtitle2" w:colFirst="0" w:colLast="0"/>
            <w:r w:rsidRPr="004D07CF">
              <w:t>Отчет</w:t>
            </w:r>
            <w:r w:rsidR="00BC7BC0" w:rsidRPr="004D07CF">
              <w:t xml:space="preserve"> Генерального секретаря</w:t>
            </w:r>
          </w:p>
        </w:tc>
      </w:tr>
      <w:tr w:rsidR="00BC7BC0" w:rsidRPr="004D07CF" w:rsidTr="00AE5DA1">
        <w:trPr>
          <w:cantSplit/>
        </w:trPr>
        <w:tc>
          <w:tcPr>
            <w:tcW w:w="10031" w:type="dxa"/>
            <w:gridSpan w:val="2"/>
          </w:tcPr>
          <w:p w:rsidR="00BC7BC0" w:rsidRPr="004D07CF" w:rsidRDefault="00CF5F2D" w:rsidP="00AE5DA1">
            <w:pPr>
              <w:pStyle w:val="Title1"/>
            </w:pPr>
            <w:bookmarkStart w:id="3" w:name="dtitle3" w:colFirst="0" w:colLast="0"/>
            <w:bookmarkEnd w:id="2"/>
            <w:r w:rsidRPr="004D07CF">
              <w:rPr>
                <w:color w:val="000000"/>
              </w:rPr>
              <w:t>ОТЧЕТ ВНУТРЕННЕГО АУДИТОРА О ДЕЯТЕЛЬНОСТИ ПО ВНУТРЕННЕМУ АУДИТУ</w:t>
            </w:r>
          </w:p>
        </w:tc>
      </w:tr>
      <w:bookmarkEnd w:id="3"/>
    </w:tbl>
    <w:p w:rsidR="002D2F57" w:rsidRPr="004D07CF" w:rsidRDefault="002D2F57" w:rsidP="00E25A17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2D2F57" w:rsidRPr="004D07CF" w:rsidTr="00D74F9E">
        <w:trPr>
          <w:trHeight w:val="2597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2F57" w:rsidRPr="004D07CF" w:rsidRDefault="002D2F57" w:rsidP="00E25A17">
            <w:pPr>
              <w:pStyle w:val="Headingb"/>
            </w:pPr>
            <w:r w:rsidRPr="004D07CF">
              <w:t>Резюме</w:t>
            </w:r>
          </w:p>
          <w:p w:rsidR="008E4FD8" w:rsidRPr="004D07CF" w:rsidRDefault="00CF5F2D" w:rsidP="00E25A17">
            <w:pPr>
              <w:rPr>
                <w:lang w:eastAsia="zh-CN"/>
              </w:rPr>
            </w:pPr>
            <w:r w:rsidRPr="004D07CF">
              <w:t>В настоящем отчете охватывается деятельность по внутреннему аудиту за период с марта 2016 года по февраль 2017 года</w:t>
            </w:r>
            <w:r w:rsidR="008E4FD8" w:rsidRPr="004D07CF">
              <w:t>.</w:t>
            </w:r>
          </w:p>
          <w:p w:rsidR="008E4FD8" w:rsidRPr="004D07CF" w:rsidRDefault="008E4FD8" w:rsidP="00E25A17">
            <w:pPr>
              <w:pStyle w:val="Headingb"/>
            </w:pPr>
            <w:r w:rsidRPr="004D07CF">
              <w:t>Необходимые действия</w:t>
            </w:r>
          </w:p>
          <w:p w:rsidR="008E4FD8" w:rsidRPr="004D07CF" w:rsidRDefault="00CF5F2D" w:rsidP="00E25A17">
            <w:r w:rsidRPr="004D07CF">
              <w:t xml:space="preserve">Настоящий отчет направляется Совету </w:t>
            </w:r>
            <w:r w:rsidRPr="004D07CF">
              <w:rPr>
                <w:b/>
                <w:bCs/>
              </w:rPr>
              <w:t>для рассмотрения</w:t>
            </w:r>
            <w:r w:rsidR="008E4FD8" w:rsidRPr="004D07CF">
              <w:t>.</w:t>
            </w:r>
          </w:p>
          <w:p w:rsidR="008E4FD8" w:rsidRPr="004D07CF" w:rsidRDefault="008E4FD8" w:rsidP="008E4FD8">
            <w:pPr>
              <w:jc w:val="center"/>
              <w:rPr>
                <w:caps/>
              </w:rPr>
            </w:pPr>
            <w:r w:rsidRPr="004D07CF">
              <w:t>____________</w:t>
            </w:r>
          </w:p>
          <w:p w:rsidR="008E4FD8" w:rsidRPr="004D07CF" w:rsidRDefault="008E4FD8" w:rsidP="00E25A17">
            <w:pPr>
              <w:pStyle w:val="Headingb"/>
            </w:pPr>
            <w:r w:rsidRPr="004D07CF">
              <w:t>Справочные материалы</w:t>
            </w:r>
          </w:p>
          <w:p w:rsidR="002D2F57" w:rsidRPr="004D07CF" w:rsidRDefault="00CF5F2D" w:rsidP="00E25A17">
            <w:pPr>
              <w:spacing w:after="120"/>
              <w:rPr>
                <w:i/>
                <w:iCs/>
              </w:rPr>
            </w:pPr>
            <w:r w:rsidRPr="004D07CF">
              <w:rPr>
                <w:i/>
                <w:iCs/>
              </w:rPr>
              <w:t>Финансовый регламент и Финансовые правила МСЭ (2010 г.), Статья 29</w:t>
            </w:r>
          </w:p>
        </w:tc>
      </w:tr>
    </w:tbl>
    <w:p w:rsidR="00CF5F2D" w:rsidRPr="004D07CF" w:rsidRDefault="00CF5F2D" w:rsidP="00E25A17">
      <w:pPr>
        <w:pStyle w:val="Headingb"/>
        <w:spacing w:before="480"/>
      </w:pPr>
      <w:r w:rsidRPr="004D07CF">
        <w:t>Введение</w:t>
      </w:r>
    </w:p>
    <w:p w:rsidR="00CF5F2D" w:rsidRPr="004D07CF" w:rsidRDefault="00381475" w:rsidP="00E25A17">
      <w:r w:rsidRPr="004D07CF">
        <w:t>1</w:t>
      </w:r>
      <w:r w:rsidRPr="004D07CF">
        <w:tab/>
      </w:r>
      <w:r w:rsidR="00CF5F2D" w:rsidRPr="004D07CF">
        <w:t>Настоящий отчет направляется Совету и подготовлен согласно Статье 29 Финансового регламента (2010 г.). В соответствии с Уставом Службы внутреннего аудита МСЭ</w:t>
      </w:r>
      <w:r w:rsidR="00CF5F2D" w:rsidRPr="004D07CF">
        <w:rPr>
          <w:rStyle w:val="FootnoteReference"/>
        </w:rPr>
        <w:footnoteReference w:id="1"/>
      </w:r>
      <w:r w:rsidR="00CF5F2D" w:rsidRPr="004D07CF">
        <w:rPr>
          <w:rStyle w:val="FootnoteReference"/>
        </w:rPr>
        <w:t xml:space="preserve"> </w:t>
      </w:r>
      <w:r w:rsidR="00CF5F2D" w:rsidRPr="004D07CF">
        <w:t>настоящий отчет передается Генеральному секретарю и представляется Совету</w:t>
      </w:r>
      <w:r w:rsidR="00EB4A73" w:rsidRPr="004D07CF">
        <w:t xml:space="preserve"> для рассмотрения</w:t>
      </w:r>
      <w:r w:rsidR="00CF5F2D" w:rsidRPr="004D07CF">
        <w:t xml:space="preserve">. </w:t>
      </w:r>
      <w:r w:rsidR="00EB4A73" w:rsidRPr="004D07CF">
        <w:t>Нынешний отчет охватывает деятельность за период с марта 2016 года по февраль 2017 года</w:t>
      </w:r>
      <w:r w:rsidR="00CF5F2D" w:rsidRPr="004D07CF">
        <w:rPr>
          <w:color w:val="000000" w:themeColor="text1"/>
        </w:rPr>
        <w:t>.</w:t>
      </w:r>
    </w:p>
    <w:p w:rsidR="00CF5F2D" w:rsidRPr="004D07CF" w:rsidRDefault="00381475" w:rsidP="003D1FF4">
      <w:r w:rsidRPr="004D07CF">
        <w:t>2</w:t>
      </w:r>
      <w:r w:rsidRPr="004D07CF">
        <w:tab/>
      </w:r>
      <w:r w:rsidR="00EB4A73" w:rsidRPr="004D07CF">
        <w:t xml:space="preserve">На протяжении всего отчетного периода подразделение внутреннего аудита состояло из двух сотрудников категории специалистов: один сотрудник класса P.5 (руководитель </w:t>
      </w:r>
      <w:r w:rsidR="00FB4E73" w:rsidRPr="004D07CF">
        <w:t>п</w:t>
      </w:r>
      <w:r w:rsidR="00EB4A73" w:rsidRPr="004D07CF">
        <w:t>одразделения) и один сотрудник класса P.2 (младший внутренний аудитор</w:t>
      </w:r>
      <w:r w:rsidR="00CF5F2D" w:rsidRPr="004D07CF">
        <w:t xml:space="preserve">). </w:t>
      </w:r>
      <w:r w:rsidR="00FB4E73" w:rsidRPr="004D07CF">
        <w:t>До июня</w:t>
      </w:r>
      <w:r w:rsidR="00CF5F2D" w:rsidRPr="004D07CF">
        <w:t xml:space="preserve"> 2016</w:t>
      </w:r>
      <w:r w:rsidR="00FB4E73" w:rsidRPr="004D07CF">
        <w:t xml:space="preserve"> года</w:t>
      </w:r>
      <w:r w:rsidR="00CF5F2D" w:rsidRPr="004D07CF">
        <w:t xml:space="preserve"> </w:t>
      </w:r>
      <w:r w:rsidR="00FB4E73" w:rsidRPr="004D07CF">
        <w:t xml:space="preserve">в подразделении </w:t>
      </w:r>
      <w:r w:rsidR="007A1405" w:rsidRPr="004D07CF">
        <w:t xml:space="preserve">также </w:t>
      </w:r>
      <w:r w:rsidR="00FB4E73" w:rsidRPr="004D07CF">
        <w:t>работал на временной основе сотрудник класса</w:t>
      </w:r>
      <w:r w:rsidR="00CF5F2D" w:rsidRPr="004D07CF">
        <w:t xml:space="preserve"> P.3 (</w:t>
      </w:r>
      <w:r w:rsidR="00FB4E73" w:rsidRPr="004D07CF">
        <w:t>внутренний аудитор</w:t>
      </w:r>
      <w:r w:rsidR="00CF5F2D" w:rsidRPr="004D07CF">
        <w:t>)</w:t>
      </w:r>
      <w:r w:rsidR="001E033A" w:rsidRPr="004D07CF">
        <w:t>,</w:t>
      </w:r>
      <w:r w:rsidR="00CF5F2D" w:rsidRPr="004D07CF">
        <w:t xml:space="preserve"> </w:t>
      </w:r>
      <w:r w:rsidR="003D1FF4" w:rsidRPr="004D07CF">
        <w:t>пока</w:t>
      </w:r>
      <w:r w:rsidR="00607E2D" w:rsidRPr="004D07CF">
        <w:t xml:space="preserve"> был</w:t>
      </w:r>
      <w:r w:rsidR="00CF5F2D" w:rsidRPr="004D07CF">
        <w:t xml:space="preserve"> </w:t>
      </w:r>
      <w:r w:rsidR="00FB4E73" w:rsidRPr="004D07CF">
        <w:t xml:space="preserve">объявлен конкурс на замещение </w:t>
      </w:r>
      <w:r w:rsidR="001E033A" w:rsidRPr="004D07CF">
        <w:t xml:space="preserve">этой </w:t>
      </w:r>
      <w:r w:rsidR="00FB4E73" w:rsidRPr="004D07CF">
        <w:t>должности</w:t>
      </w:r>
      <w:r w:rsidR="00607E2D" w:rsidRPr="004D07CF">
        <w:t>,</w:t>
      </w:r>
      <w:r w:rsidR="00FB4E73" w:rsidRPr="004D07CF">
        <w:t xml:space="preserve"> </w:t>
      </w:r>
      <w:r w:rsidR="003D1FF4" w:rsidRPr="004D07CF">
        <w:t xml:space="preserve">однако </w:t>
      </w:r>
      <w:r w:rsidR="007A1405" w:rsidRPr="004D07CF">
        <w:t xml:space="preserve">этот </w:t>
      </w:r>
      <w:r w:rsidR="00FB4E73" w:rsidRPr="004D07CF">
        <w:t>временный сотрудник заболел</w:t>
      </w:r>
      <w:r w:rsidR="001E033A" w:rsidRPr="004D07CF">
        <w:t>, причем</w:t>
      </w:r>
      <w:r w:rsidR="00607E2D" w:rsidRPr="004D07CF">
        <w:t xml:space="preserve"> на</w:t>
      </w:r>
      <w:r w:rsidR="00CF5F2D" w:rsidRPr="004D07CF">
        <w:t xml:space="preserve"> </w:t>
      </w:r>
      <w:r w:rsidR="00607E2D" w:rsidRPr="004D07CF">
        <w:t>довольно продолжительный период</w:t>
      </w:r>
      <w:r w:rsidR="00CF5F2D" w:rsidRPr="004D07CF">
        <w:t xml:space="preserve">; </w:t>
      </w:r>
      <w:r w:rsidR="001E033A" w:rsidRPr="004D07CF">
        <w:t>такая нехватка рабочей силы компенсировалась</w:t>
      </w:r>
      <w:r w:rsidR="00CF5F2D" w:rsidRPr="004D07CF">
        <w:t xml:space="preserve"> </w:t>
      </w:r>
      <w:r w:rsidR="001E033A" w:rsidRPr="004D07CF">
        <w:t>наймом</w:t>
      </w:r>
      <w:r w:rsidR="00CF5F2D" w:rsidRPr="004D07CF">
        <w:t xml:space="preserve"> </w:t>
      </w:r>
      <w:r w:rsidR="001E033A" w:rsidRPr="004D07CF">
        <w:t xml:space="preserve">консультанта на условиях неполного рабочего дня </w:t>
      </w:r>
      <w:r w:rsidR="00CF5F2D" w:rsidRPr="004D07CF">
        <w:t>(</w:t>
      </w:r>
      <w:r w:rsidR="001E033A" w:rsidRPr="004D07CF">
        <w:t xml:space="preserve">с </w:t>
      </w:r>
      <w:r w:rsidR="00CF5F2D" w:rsidRPr="004D07CF">
        <w:t xml:space="preserve">15 </w:t>
      </w:r>
      <w:r w:rsidR="001E033A" w:rsidRPr="004D07CF">
        <w:t>августа</w:t>
      </w:r>
      <w:r w:rsidR="00CF5F2D" w:rsidRPr="004D07CF">
        <w:t xml:space="preserve"> 2016</w:t>
      </w:r>
      <w:r w:rsidR="001E033A" w:rsidRPr="004D07CF">
        <w:t xml:space="preserve"> г</w:t>
      </w:r>
      <w:r w:rsidR="00E25A17" w:rsidRPr="004D07CF">
        <w:t>.</w:t>
      </w:r>
      <w:r w:rsidR="00CF5F2D" w:rsidRPr="004D07CF">
        <w:t xml:space="preserve"> </w:t>
      </w:r>
      <w:r w:rsidR="001E033A" w:rsidRPr="004D07CF">
        <w:t>по</w:t>
      </w:r>
      <w:r w:rsidR="00CF5F2D" w:rsidRPr="004D07CF">
        <w:t xml:space="preserve"> 31 </w:t>
      </w:r>
      <w:r w:rsidR="001E033A" w:rsidRPr="004D07CF">
        <w:t>октября</w:t>
      </w:r>
      <w:r w:rsidR="00CF5F2D" w:rsidRPr="004D07CF">
        <w:t xml:space="preserve"> 2016</w:t>
      </w:r>
      <w:r w:rsidR="001E033A" w:rsidRPr="004D07CF">
        <w:t xml:space="preserve"> г</w:t>
      </w:r>
      <w:r w:rsidR="00E25A17" w:rsidRPr="004D07CF">
        <w:t>.</w:t>
      </w:r>
      <w:r w:rsidR="00CF5F2D" w:rsidRPr="004D07CF">
        <w:t>)</w:t>
      </w:r>
      <w:r w:rsidR="001E033A" w:rsidRPr="004D07CF">
        <w:t>, а затем</w:t>
      </w:r>
      <w:r w:rsidR="00CF5F2D" w:rsidRPr="004D07CF">
        <w:t xml:space="preserve"> </w:t>
      </w:r>
      <w:r w:rsidR="001E033A" w:rsidRPr="004D07CF">
        <w:t>другого</w:t>
      </w:r>
      <w:r w:rsidR="00CF5F2D" w:rsidRPr="004D07CF">
        <w:t xml:space="preserve"> </w:t>
      </w:r>
      <w:r w:rsidR="007A1405" w:rsidRPr="004D07CF">
        <w:t xml:space="preserve">консультанта </w:t>
      </w:r>
      <w:r w:rsidR="001E033A" w:rsidRPr="004D07CF">
        <w:t>тоже на условиях неполного рабочего дня</w:t>
      </w:r>
      <w:r w:rsidR="00CF5F2D" w:rsidRPr="004D07CF">
        <w:t xml:space="preserve"> (</w:t>
      </w:r>
      <w:r w:rsidR="001E033A" w:rsidRPr="004D07CF">
        <w:t xml:space="preserve">с </w:t>
      </w:r>
      <w:r w:rsidR="00CF5F2D" w:rsidRPr="004D07CF">
        <w:t xml:space="preserve">1 </w:t>
      </w:r>
      <w:r w:rsidR="001E033A" w:rsidRPr="004D07CF">
        <w:t>декабря</w:t>
      </w:r>
      <w:r w:rsidR="00CF5F2D" w:rsidRPr="004D07CF">
        <w:t xml:space="preserve"> 2016</w:t>
      </w:r>
      <w:r w:rsidR="001E033A" w:rsidRPr="004D07CF">
        <w:t xml:space="preserve"> г</w:t>
      </w:r>
      <w:r w:rsidR="00E25A17" w:rsidRPr="004D07CF">
        <w:t>.</w:t>
      </w:r>
      <w:r w:rsidR="001E033A" w:rsidRPr="004D07CF">
        <w:t xml:space="preserve"> по</w:t>
      </w:r>
      <w:r w:rsidR="00CF5F2D" w:rsidRPr="004D07CF">
        <w:t xml:space="preserve"> 28 </w:t>
      </w:r>
      <w:r w:rsidR="001E033A" w:rsidRPr="004D07CF">
        <w:t>февраля</w:t>
      </w:r>
      <w:r w:rsidR="00CF5F2D" w:rsidRPr="004D07CF">
        <w:t xml:space="preserve"> 2017</w:t>
      </w:r>
      <w:r w:rsidR="001E033A" w:rsidRPr="004D07CF">
        <w:t xml:space="preserve"> г</w:t>
      </w:r>
      <w:r w:rsidR="00E25A17" w:rsidRPr="004D07CF">
        <w:t>.</w:t>
      </w:r>
      <w:r w:rsidR="00CF5F2D" w:rsidRPr="004D07CF">
        <w:t xml:space="preserve">). </w:t>
      </w:r>
      <w:r w:rsidR="001E033A" w:rsidRPr="004D07CF">
        <w:t>Сотрудник категории общего обслуживания</w:t>
      </w:r>
      <w:r w:rsidR="00CF5F2D" w:rsidRPr="004D07CF">
        <w:t xml:space="preserve"> (</w:t>
      </w:r>
      <w:r w:rsidR="001E033A" w:rsidRPr="004D07CF">
        <w:t>помощник аудитора</w:t>
      </w:r>
      <w:r w:rsidR="00CF5F2D" w:rsidRPr="004D07CF">
        <w:t xml:space="preserve">) </w:t>
      </w:r>
      <w:r w:rsidR="001E033A" w:rsidRPr="004D07CF">
        <w:t>работал в Союзе</w:t>
      </w:r>
      <w:r w:rsidR="00CF5F2D" w:rsidRPr="004D07CF">
        <w:t xml:space="preserve"> </w:t>
      </w:r>
      <w:r w:rsidR="007D38BA" w:rsidRPr="004D07CF">
        <w:t>на условиях полного рабочего дня</w:t>
      </w:r>
      <w:r w:rsidR="00CF5F2D" w:rsidRPr="004D07CF">
        <w:t xml:space="preserve">. </w:t>
      </w:r>
    </w:p>
    <w:p w:rsidR="00CF5F2D" w:rsidRPr="004D07CF" w:rsidRDefault="007D38BA" w:rsidP="00E25A17">
      <w:r w:rsidRPr="004D07CF">
        <w:t>Таким образом, в настоящее время подразделение включает трех сотрудников категории специалистов и одного сотрудника категории общего обслуживания</w:t>
      </w:r>
      <w:r w:rsidR="00CF5F2D" w:rsidRPr="004D07CF">
        <w:t>.</w:t>
      </w:r>
    </w:p>
    <w:p w:rsidR="00CF5F2D" w:rsidRPr="004D07CF" w:rsidRDefault="00381475" w:rsidP="00E25A17">
      <w:r w:rsidRPr="004D07CF">
        <w:t>3</w:t>
      </w:r>
      <w:r w:rsidRPr="004D07CF">
        <w:tab/>
      </w:r>
      <w:r w:rsidR="007D38BA" w:rsidRPr="004D07CF">
        <w:t>Служба внутреннего аудита (IA) подтверждает, что проводит свои аудиторские проверки в соответствии с Международными стандартами профессиональной практик</w:t>
      </w:r>
      <w:r w:rsidR="00AA0570" w:rsidRPr="004D07CF">
        <w:t>и</w:t>
      </w:r>
      <w:r w:rsidR="007D38BA" w:rsidRPr="004D07CF">
        <w:t xml:space="preserve"> внутреннего аудита </w:t>
      </w:r>
      <w:r w:rsidR="007D38BA" w:rsidRPr="004D07CF">
        <w:lastRenderedPageBreak/>
        <w:t>и</w:t>
      </w:r>
      <w:r w:rsidRPr="004D07CF">
        <w:t> </w:t>
      </w:r>
      <w:r w:rsidR="007D38BA" w:rsidRPr="004D07CF">
        <w:t>Кодексом этики, установленным Институтом внутренних аудиторов</w:t>
      </w:r>
      <w:r w:rsidR="00CF5F2D" w:rsidRPr="004D07CF">
        <w:rPr>
          <w:rStyle w:val="FootnoteReference"/>
        </w:rPr>
        <w:footnoteReference w:id="2"/>
      </w:r>
      <w:r w:rsidR="00CF5F2D" w:rsidRPr="004D07CF">
        <w:t xml:space="preserve"> (IIA), </w:t>
      </w:r>
      <w:r w:rsidR="007D38BA" w:rsidRPr="004D07CF">
        <w:t>а также положениями Устава Службы внутреннего аудита МСЭ</w:t>
      </w:r>
      <w:r w:rsidR="00CF5F2D" w:rsidRPr="004D07CF">
        <w:rPr>
          <w:rStyle w:val="FootnoteReference"/>
        </w:rPr>
        <w:footnoteReference w:id="3"/>
      </w:r>
      <w:r w:rsidR="001359CD" w:rsidRPr="004D07CF">
        <w:t xml:space="preserve">. </w:t>
      </w:r>
      <w:r w:rsidR="00AA0570" w:rsidRPr="004D07CF">
        <w:t>Кроме того</w:t>
      </w:r>
      <w:r w:rsidR="00CF5F2D" w:rsidRPr="004D07CF">
        <w:t xml:space="preserve">, </w:t>
      </w:r>
      <w:r w:rsidR="007A1405" w:rsidRPr="004D07CF">
        <w:t xml:space="preserve">Служба </w:t>
      </w:r>
      <w:r w:rsidR="00CF5F2D" w:rsidRPr="004D07CF">
        <w:t xml:space="preserve">IA </w:t>
      </w:r>
      <w:r w:rsidR="00AA0570" w:rsidRPr="004D07CF">
        <w:t>подтверждает</w:t>
      </w:r>
      <w:r w:rsidR="00CF5F2D" w:rsidRPr="004D07CF">
        <w:t xml:space="preserve">, </w:t>
      </w:r>
      <w:r w:rsidR="00AA0570" w:rsidRPr="004D07CF">
        <w:t>что что за отчетный период ее сотрудники не имели управленческих полномочий и не несли ответственности в связи с какой-либо деятельностью, в отношении которой проводилась аудиторская проверка, и не выполняли учетных или оперативных функций в МСЭ</w:t>
      </w:r>
      <w:r w:rsidR="00CF5F2D" w:rsidRPr="004D07CF">
        <w:t>.</w:t>
      </w:r>
    </w:p>
    <w:p w:rsidR="00CF5F2D" w:rsidRPr="004D07CF" w:rsidRDefault="00451646" w:rsidP="00E25A17">
      <w:pPr>
        <w:pStyle w:val="Headingb"/>
      </w:pPr>
      <w:r w:rsidRPr="004D07CF">
        <w:t>Направленность и сфера охвата деятельности по внутреннему аудиту</w:t>
      </w:r>
    </w:p>
    <w:p w:rsidR="00CF5F2D" w:rsidRPr="004D07CF" w:rsidRDefault="00381475" w:rsidP="00E25A17">
      <w:r w:rsidRPr="004D07CF">
        <w:t>4</w:t>
      </w:r>
      <w:r w:rsidRPr="004D07CF">
        <w:tab/>
      </w:r>
      <w:r w:rsidR="00850933" w:rsidRPr="004D07CF">
        <w:t>В соответствии с Уставом</w:t>
      </w:r>
      <w:r w:rsidR="00CF5F2D" w:rsidRPr="004D07CF">
        <w:t xml:space="preserve"> </w:t>
      </w:r>
      <w:r w:rsidR="007A1405" w:rsidRPr="004D07CF">
        <w:t xml:space="preserve">Службы </w:t>
      </w:r>
      <w:r w:rsidR="00CF5F2D" w:rsidRPr="004D07CF">
        <w:t xml:space="preserve">IA, </w:t>
      </w:r>
      <w:r w:rsidR="00850933" w:rsidRPr="004D07CF">
        <w:t>предлагаемый план</w:t>
      </w:r>
      <w:r w:rsidR="00822436" w:rsidRPr="004D07CF">
        <w:t xml:space="preserve"> по</w:t>
      </w:r>
      <w:r w:rsidR="00CF5F2D" w:rsidRPr="004D07CF">
        <w:t xml:space="preserve"> IA </w:t>
      </w:r>
      <w:r w:rsidR="00850933" w:rsidRPr="004D07CF">
        <w:t>на</w:t>
      </w:r>
      <w:r w:rsidR="00CF5F2D" w:rsidRPr="004D07CF">
        <w:t xml:space="preserve"> 2016</w:t>
      </w:r>
      <w:r w:rsidR="00850933" w:rsidRPr="004D07CF">
        <w:t xml:space="preserve"> год</w:t>
      </w:r>
      <w:r w:rsidR="00CF5F2D" w:rsidRPr="004D07CF">
        <w:t xml:space="preserve"> </w:t>
      </w:r>
      <w:r w:rsidR="00850933" w:rsidRPr="004D07CF">
        <w:t>был пересмотрен</w:t>
      </w:r>
      <w:r w:rsidR="00CF5F2D" w:rsidRPr="004D07CF">
        <w:t xml:space="preserve"> </w:t>
      </w:r>
      <w:r w:rsidR="00850933" w:rsidRPr="004D07CF">
        <w:rPr>
          <w:color w:val="000000"/>
        </w:rPr>
        <w:t xml:space="preserve">Независимым консультативным комитетом по управлению </w:t>
      </w:r>
      <w:r w:rsidR="00CF5F2D" w:rsidRPr="004D07CF">
        <w:t xml:space="preserve">(IMAC) </w:t>
      </w:r>
      <w:r w:rsidR="00850933" w:rsidRPr="004D07CF">
        <w:t>в феврале</w:t>
      </w:r>
      <w:r w:rsidR="00CF5F2D" w:rsidRPr="004D07CF">
        <w:t xml:space="preserve"> 2016 </w:t>
      </w:r>
      <w:r w:rsidR="00850933" w:rsidRPr="004D07CF">
        <w:t>года и впоследствии утвержден</w:t>
      </w:r>
      <w:r w:rsidR="00CF5F2D" w:rsidRPr="004D07CF">
        <w:t xml:space="preserve"> </w:t>
      </w:r>
      <w:r w:rsidR="00850933" w:rsidRPr="004D07CF">
        <w:t>Генеральным секретарем</w:t>
      </w:r>
      <w:r w:rsidR="00CF5F2D" w:rsidRPr="004D07CF">
        <w:t xml:space="preserve">. </w:t>
      </w:r>
      <w:r w:rsidR="00822436" w:rsidRPr="004D07CF">
        <w:t xml:space="preserve">Он </w:t>
      </w:r>
      <w:r w:rsidR="00822436" w:rsidRPr="004D07CF">
        <w:rPr>
          <w:color w:val="000000"/>
        </w:rPr>
        <w:t xml:space="preserve">был представлен также Внешнему аудитору в целях содействия </w:t>
      </w:r>
      <w:r w:rsidR="007A1405" w:rsidRPr="004D07CF">
        <w:rPr>
          <w:color w:val="000000"/>
        </w:rPr>
        <w:t xml:space="preserve">обеспечению </w:t>
      </w:r>
      <w:r w:rsidR="00822436" w:rsidRPr="004D07CF">
        <w:rPr>
          <w:color w:val="000000"/>
        </w:rPr>
        <w:t>эффективности и координации</w:t>
      </w:r>
      <w:r w:rsidR="00CF5F2D" w:rsidRPr="004D07CF">
        <w:t xml:space="preserve">. </w:t>
      </w:r>
      <w:r w:rsidR="00822436" w:rsidRPr="004D07CF">
        <w:rPr>
          <w:color w:val="000000"/>
        </w:rPr>
        <w:t>Работа по аудиту была направлена в основном на сферы подтверждения достоверности информации</w:t>
      </w:r>
      <w:r w:rsidR="00CF5F2D" w:rsidRPr="004D07CF">
        <w:t xml:space="preserve">. </w:t>
      </w:r>
      <w:r w:rsidR="00822436" w:rsidRPr="004D07CF">
        <w:t xml:space="preserve">Одна из семи запланированных </w:t>
      </w:r>
      <w:r w:rsidR="00822436" w:rsidRPr="004D07CF">
        <w:rPr>
          <w:color w:val="000000"/>
        </w:rPr>
        <w:t>аудиторских проверок не</w:t>
      </w:r>
      <w:r w:rsidR="00CF5F2D" w:rsidRPr="004D07CF">
        <w:t xml:space="preserve"> </w:t>
      </w:r>
      <w:r w:rsidR="00822436" w:rsidRPr="004D07CF">
        <w:rPr>
          <w:color w:val="000000"/>
        </w:rPr>
        <w:t>была проведен</w:t>
      </w:r>
      <w:r w:rsidR="003D1FF4" w:rsidRPr="004D07CF">
        <w:rPr>
          <w:color w:val="000000"/>
        </w:rPr>
        <w:t>а</w:t>
      </w:r>
      <w:r w:rsidR="00822436" w:rsidRPr="004D07CF">
        <w:rPr>
          <w:color w:val="000000"/>
        </w:rPr>
        <w:t xml:space="preserve"> </w:t>
      </w:r>
      <w:r w:rsidR="00CF5F2D" w:rsidRPr="004D07CF">
        <w:t>(</w:t>
      </w:r>
      <w:r w:rsidR="00822436" w:rsidRPr="004D07CF">
        <w:t>из-за</w:t>
      </w:r>
      <w:r w:rsidR="00CF5F2D" w:rsidRPr="004D07CF">
        <w:t xml:space="preserve"> </w:t>
      </w:r>
      <w:r w:rsidR="00822436" w:rsidRPr="004D07CF">
        <w:t>огромного внимания,</w:t>
      </w:r>
      <w:r w:rsidR="00CF5F2D" w:rsidRPr="004D07CF">
        <w:t xml:space="preserve"> </w:t>
      </w:r>
      <w:r w:rsidR="005C7778" w:rsidRPr="004D07CF">
        <w:t>уделенного</w:t>
      </w:r>
      <w:r w:rsidR="00CF5F2D" w:rsidRPr="004D07CF">
        <w:t xml:space="preserve"> </w:t>
      </w:r>
      <w:r w:rsidR="00822436" w:rsidRPr="004D07CF">
        <w:t>ее теме</w:t>
      </w:r>
      <w:r w:rsidR="00CF5F2D" w:rsidRPr="004D07CF">
        <w:t xml:space="preserve"> </w:t>
      </w:r>
      <w:r w:rsidR="00822436" w:rsidRPr="004D07CF">
        <w:t>м</w:t>
      </w:r>
      <w:r w:rsidR="00822436" w:rsidRPr="004D07CF">
        <w:rPr>
          <w:color w:val="000000"/>
        </w:rPr>
        <w:t>ежсекторальной целевой группой</w:t>
      </w:r>
      <w:r w:rsidR="00CF5F2D" w:rsidRPr="004D07CF">
        <w:t>)</w:t>
      </w:r>
      <w:r w:rsidR="00822436" w:rsidRPr="004D07CF">
        <w:t xml:space="preserve">, а другая </w:t>
      </w:r>
      <w:r w:rsidR="00822436" w:rsidRPr="004D07CF">
        <w:rPr>
          <w:color w:val="000000"/>
        </w:rPr>
        <w:t>аудиторская проверка</w:t>
      </w:r>
      <w:r w:rsidR="00CF5F2D" w:rsidRPr="004D07CF">
        <w:t xml:space="preserve"> </w:t>
      </w:r>
      <w:r w:rsidR="00822436" w:rsidRPr="004D07CF">
        <w:t>перенесена на</w:t>
      </w:r>
      <w:r w:rsidR="00CF5F2D" w:rsidRPr="004D07CF">
        <w:t xml:space="preserve"> 2017</w:t>
      </w:r>
      <w:r w:rsidR="00822436" w:rsidRPr="004D07CF">
        <w:t xml:space="preserve"> год</w:t>
      </w:r>
      <w:r w:rsidR="00CF5F2D" w:rsidRPr="004D07CF">
        <w:t xml:space="preserve">. </w:t>
      </w:r>
    </w:p>
    <w:p w:rsidR="00CF5F2D" w:rsidRPr="004D07CF" w:rsidRDefault="00381475" w:rsidP="00671A4E">
      <w:pPr>
        <w:rPr>
          <w:sz w:val="24"/>
          <w:szCs w:val="24"/>
        </w:rPr>
      </w:pPr>
      <w:r w:rsidRPr="004D07CF">
        <w:rPr>
          <w:color w:val="000000"/>
        </w:rPr>
        <w:t>5</w:t>
      </w:r>
      <w:r w:rsidRPr="004D07CF">
        <w:rPr>
          <w:color w:val="000000"/>
        </w:rPr>
        <w:tab/>
      </w:r>
      <w:r w:rsidR="00244A45" w:rsidRPr="004D07CF">
        <w:rPr>
          <w:color w:val="000000"/>
        </w:rPr>
        <w:t>Служба внутреннего аудита систематическ</w:t>
      </w:r>
      <w:r w:rsidR="007A1405" w:rsidRPr="004D07CF">
        <w:rPr>
          <w:color w:val="000000"/>
        </w:rPr>
        <w:t>и</w:t>
      </w:r>
      <w:r w:rsidR="00244A45" w:rsidRPr="004D07CF">
        <w:rPr>
          <w:color w:val="000000"/>
        </w:rPr>
        <w:t xml:space="preserve"> направляет копии отчетов о внутреннем аудите Внешнему аудитору МСЭ и IMAC</w:t>
      </w:r>
      <w:r w:rsidR="00CF5F2D" w:rsidRPr="004D07CF">
        <w:t xml:space="preserve">. </w:t>
      </w:r>
      <w:r w:rsidR="00244A45" w:rsidRPr="004D07CF">
        <w:rPr>
          <w:color w:val="000000"/>
        </w:rPr>
        <w:t>В соответствии с положением 29.5 Финансового регламента МСЭ заключительные отчеты о внутреннем аудите могут быть предоставлены Государствам-Членам или их уполномоченным представителям</w:t>
      </w:r>
      <w:r w:rsidR="00CF5F2D" w:rsidRPr="004D07CF">
        <w:t xml:space="preserve">. </w:t>
      </w:r>
      <w:r w:rsidR="00244A45" w:rsidRPr="004D07CF">
        <w:rPr>
          <w:color w:val="000000"/>
        </w:rPr>
        <w:t>С октября 2015 года существует облегченный механизм доступа к отчетам о внутреннем аудите</w:t>
      </w:r>
      <w:r w:rsidR="00CF5F2D" w:rsidRPr="004D07CF">
        <w:t xml:space="preserve">. </w:t>
      </w:r>
      <w:r w:rsidR="00244A45" w:rsidRPr="004D07CF">
        <w:rPr>
          <w:color w:val="000000"/>
        </w:rPr>
        <w:t>В течение отчетного периода через этот онлайновый механизм было получено два запроса на доступ к отчетам о внутреннем аудите</w:t>
      </w:r>
      <w:r w:rsidR="00CF5F2D" w:rsidRPr="004D07CF">
        <w:t xml:space="preserve">. </w:t>
      </w:r>
      <w:r w:rsidR="00887B63" w:rsidRPr="004D07CF">
        <w:t>На эти запросы были даны ответы</w:t>
      </w:r>
      <w:r w:rsidR="00CF5F2D" w:rsidRPr="004D07CF">
        <w:rPr>
          <w:bCs/>
          <w:iCs/>
          <w:color w:val="000000"/>
        </w:rPr>
        <w:t xml:space="preserve">, </w:t>
      </w:r>
      <w:r w:rsidR="007A1405" w:rsidRPr="004D07CF">
        <w:rPr>
          <w:bCs/>
          <w:iCs/>
          <w:color w:val="000000"/>
        </w:rPr>
        <w:t>в том числе</w:t>
      </w:r>
      <w:r w:rsidR="00CF5F2D" w:rsidRPr="004D07CF">
        <w:rPr>
          <w:bCs/>
          <w:iCs/>
          <w:color w:val="000000"/>
        </w:rPr>
        <w:t xml:space="preserve"> </w:t>
      </w:r>
      <w:r w:rsidR="00564E81" w:rsidRPr="004D07CF">
        <w:rPr>
          <w:bCs/>
          <w:iCs/>
          <w:color w:val="000000"/>
        </w:rPr>
        <w:t>ответ руководства</w:t>
      </w:r>
      <w:r w:rsidR="00CF5F2D" w:rsidRPr="004D07CF">
        <w:rPr>
          <w:bCs/>
          <w:iCs/>
          <w:color w:val="000000"/>
        </w:rPr>
        <w:t xml:space="preserve"> (</w:t>
      </w:r>
      <w:r w:rsidR="00564E81" w:rsidRPr="004D07CF">
        <w:rPr>
          <w:bCs/>
          <w:iCs/>
          <w:color w:val="000000"/>
        </w:rPr>
        <w:t>о</w:t>
      </w:r>
      <w:r w:rsidR="00CF5F2D" w:rsidRPr="004D07CF">
        <w:rPr>
          <w:bCs/>
          <w:iCs/>
          <w:color w:val="000000"/>
        </w:rPr>
        <w:t xml:space="preserve"> </w:t>
      </w:r>
      <w:r w:rsidR="00564E81" w:rsidRPr="004D07CF">
        <w:rPr>
          <w:bCs/>
          <w:iCs/>
          <w:color w:val="000000"/>
        </w:rPr>
        <w:t xml:space="preserve">текущем состоянии с </w:t>
      </w:r>
      <w:r w:rsidR="00564E81" w:rsidRPr="004D07CF">
        <w:rPr>
          <w:color w:val="000000"/>
        </w:rPr>
        <w:t>выполнением рекомендаций</w:t>
      </w:r>
      <w:r w:rsidR="00CF5F2D" w:rsidRPr="004D07CF">
        <w:rPr>
          <w:bCs/>
          <w:iCs/>
          <w:color w:val="000000"/>
        </w:rPr>
        <w:t xml:space="preserve">). </w:t>
      </w:r>
      <w:r w:rsidR="00CD3BE0" w:rsidRPr="004D07CF">
        <w:rPr>
          <w:bCs/>
          <w:iCs/>
          <w:color w:val="000000"/>
        </w:rPr>
        <w:t xml:space="preserve">ОИГ высоко оценила тот факт, что при направлении отчетов Государствам-Членам </w:t>
      </w:r>
      <w:r w:rsidR="00DF0342" w:rsidRPr="004D07CF">
        <w:rPr>
          <w:bCs/>
          <w:iCs/>
          <w:color w:val="000000"/>
        </w:rPr>
        <w:t>МСЭ включает в них ответ делегации соответствующего Государства-Члена, а также информацию о</w:t>
      </w:r>
      <w:r w:rsidR="00CF5F2D" w:rsidRPr="004D07CF">
        <w:rPr>
          <w:bCs/>
          <w:iCs/>
          <w:color w:val="000000"/>
        </w:rPr>
        <w:t xml:space="preserve"> </w:t>
      </w:r>
      <w:r w:rsidR="00DF0342" w:rsidRPr="004D07CF">
        <w:rPr>
          <w:bCs/>
          <w:iCs/>
          <w:color w:val="000000"/>
        </w:rPr>
        <w:t xml:space="preserve">текущем состоянии с </w:t>
      </w:r>
      <w:r w:rsidR="00DF0342" w:rsidRPr="004D07CF">
        <w:rPr>
          <w:color w:val="000000"/>
        </w:rPr>
        <w:t>выполнением рекомендаций</w:t>
      </w:r>
      <w:r w:rsidR="00DF0342" w:rsidRPr="004D07CF">
        <w:rPr>
          <w:bCs/>
          <w:iCs/>
          <w:color w:val="000000"/>
        </w:rPr>
        <w:t xml:space="preserve"> </w:t>
      </w:r>
      <w:r w:rsidR="00CF5F2D" w:rsidRPr="004D07CF">
        <w:rPr>
          <w:bCs/>
          <w:iCs/>
          <w:color w:val="000000"/>
        </w:rPr>
        <w:t>(</w:t>
      </w:r>
      <w:r w:rsidR="00DF0342" w:rsidRPr="004D07CF">
        <w:rPr>
          <w:bCs/>
          <w:iCs/>
          <w:color w:val="000000"/>
        </w:rPr>
        <w:t>см. отчет</w:t>
      </w:r>
      <w:r w:rsidR="00CF5F2D" w:rsidRPr="004D07CF">
        <w:rPr>
          <w:bCs/>
          <w:iCs/>
          <w:color w:val="000000"/>
        </w:rPr>
        <w:t xml:space="preserve"> </w:t>
      </w:r>
      <w:r w:rsidR="00DF0342" w:rsidRPr="004D07CF">
        <w:rPr>
          <w:bCs/>
          <w:iCs/>
          <w:color w:val="000000"/>
        </w:rPr>
        <w:t>ОИГ</w:t>
      </w:r>
      <w:r w:rsidR="00CF5F2D" w:rsidRPr="004D07CF">
        <w:rPr>
          <w:bCs/>
          <w:iCs/>
          <w:color w:val="000000"/>
        </w:rPr>
        <w:t xml:space="preserve"> 2016/8 </w:t>
      </w:r>
      <w:r w:rsidR="00671A4E" w:rsidRPr="004D07CF">
        <w:rPr>
          <w:bCs/>
          <w:iCs/>
          <w:color w:val="000000"/>
        </w:rPr>
        <w:t>−</w:t>
      </w:r>
      <w:r w:rsidR="00CF5F2D" w:rsidRPr="004D07CF">
        <w:rPr>
          <w:bCs/>
          <w:iCs/>
          <w:color w:val="000000"/>
        </w:rPr>
        <w:t xml:space="preserve"> </w:t>
      </w:r>
      <w:r w:rsidR="00DF0342" w:rsidRPr="004D07CF">
        <w:rPr>
          <w:bCs/>
          <w:iCs/>
          <w:color w:val="000000"/>
        </w:rPr>
        <w:t>Состояние ф</w:t>
      </w:r>
      <w:r w:rsidR="00DF0342" w:rsidRPr="004D07CF">
        <w:rPr>
          <w:color w:val="000000"/>
        </w:rPr>
        <w:t>ункции аудита в системе Организации Объединенных Наций</w:t>
      </w:r>
      <w:r w:rsidR="00CF5F2D" w:rsidRPr="004D07CF">
        <w:rPr>
          <w:bCs/>
          <w:iCs/>
          <w:color w:val="000000"/>
        </w:rPr>
        <w:t xml:space="preserve"> </w:t>
      </w:r>
      <w:r w:rsidR="00E25A17" w:rsidRPr="004D07CF">
        <w:rPr>
          <w:bCs/>
          <w:iCs/>
          <w:color w:val="000000"/>
        </w:rPr>
        <w:t>−</w:t>
      </w:r>
      <w:r w:rsidR="00CF5F2D" w:rsidRPr="004D07CF">
        <w:rPr>
          <w:bCs/>
          <w:iCs/>
          <w:color w:val="000000"/>
        </w:rPr>
        <w:t xml:space="preserve"> </w:t>
      </w:r>
      <w:r w:rsidR="00DF0342" w:rsidRPr="004D07CF">
        <w:rPr>
          <w:bCs/>
          <w:iCs/>
          <w:color w:val="000000"/>
        </w:rPr>
        <w:t>п.</w:t>
      </w:r>
      <w:r w:rsidR="00CF5F2D" w:rsidRPr="004D07CF">
        <w:rPr>
          <w:bCs/>
          <w:iCs/>
          <w:color w:val="000000"/>
        </w:rPr>
        <w:t xml:space="preserve"> 197).</w:t>
      </w:r>
      <w:r w:rsidR="00CF5F2D" w:rsidRPr="004D07CF">
        <w:rPr>
          <w:sz w:val="24"/>
          <w:szCs w:val="24"/>
        </w:rPr>
        <w:t xml:space="preserve"> </w:t>
      </w:r>
    </w:p>
    <w:p w:rsidR="00CF5F2D" w:rsidRPr="004D07CF" w:rsidRDefault="00B71467" w:rsidP="00E25A17">
      <w:pPr>
        <w:pStyle w:val="Headingb"/>
      </w:pPr>
      <w:r w:rsidRPr="004D07CF">
        <w:t xml:space="preserve">Задания по подтверждению достоверности информации и </w:t>
      </w:r>
      <w:r w:rsidR="005C2F71" w:rsidRPr="004D07CF">
        <w:t xml:space="preserve">полученные </w:t>
      </w:r>
      <w:r w:rsidRPr="004D07CF">
        <w:t>выводы</w:t>
      </w:r>
    </w:p>
    <w:p w:rsidR="00CF5F2D" w:rsidRPr="004D07CF" w:rsidRDefault="00381475" w:rsidP="00E25A17">
      <w:r w:rsidRPr="004D07CF">
        <w:t>6</w:t>
      </w:r>
      <w:r w:rsidRPr="004D07CF">
        <w:tab/>
      </w:r>
      <w:r w:rsidR="00DF0342" w:rsidRPr="004D07CF">
        <w:t>Зада</w:t>
      </w:r>
      <w:r w:rsidR="00B71467" w:rsidRPr="004D07CF">
        <w:t>ния</w:t>
      </w:r>
      <w:r w:rsidR="002F3EAB" w:rsidRPr="004D07CF">
        <w:t xml:space="preserve"> по подтверждению</w:t>
      </w:r>
      <w:r w:rsidR="00DF0342" w:rsidRPr="004D07CF">
        <w:t xml:space="preserve"> достоверности информации </w:t>
      </w:r>
      <w:r w:rsidR="007A1405" w:rsidRPr="004D07CF">
        <w:t>заключались</w:t>
      </w:r>
      <w:r w:rsidR="00DF0342" w:rsidRPr="004D07CF">
        <w:t xml:space="preserve"> в оценке</w:t>
      </w:r>
      <w:r w:rsidR="00671A4E" w:rsidRPr="004D07CF">
        <w:t>:</w:t>
      </w:r>
      <w:r w:rsidR="00DF0342" w:rsidRPr="004D07CF">
        <w:t xml:space="preserve"> i) аспектов </w:t>
      </w:r>
      <w:r w:rsidR="0009601F" w:rsidRPr="004D07CF">
        <w:t>руководства</w:t>
      </w:r>
      <w:r w:rsidR="00DF0342" w:rsidRPr="004D07CF">
        <w:t xml:space="preserve"> проверенными операциями Союза; ii) практики управления рисками; и iii</w:t>
      </w:r>
      <w:r w:rsidR="003D1FF4" w:rsidRPr="004D07CF">
        <w:t>) </w:t>
      </w:r>
      <w:r w:rsidR="00DF0342" w:rsidRPr="004D07CF">
        <w:t>эффективности</w:t>
      </w:r>
      <w:r w:rsidR="00CA4363" w:rsidRPr="004D07CF">
        <w:t xml:space="preserve"> мер </w:t>
      </w:r>
      <w:r w:rsidR="00DF0342" w:rsidRPr="004D07CF">
        <w:t>(внутреннего) контроля</w:t>
      </w:r>
      <w:r w:rsidR="00CF5F2D" w:rsidRPr="004D07CF">
        <w:t xml:space="preserve">. </w:t>
      </w:r>
      <w:r w:rsidR="002F3EAB" w:rsidRPr="004D07CF">
        <w:t>Приоритет рекомендаций, вытекающих из аудиторской проверки, устанавливается в зависимости от воздействия и вероятности нарушений (важнейший, высокий, средний, низкий приоритет</w:t>
      </w:r>
      <w:r w:rsidR="00CF5F2D" w:rsidRPr="004D07CF">
        <w:t>).</w:t>
      </w:r>
    </w:p>
    <w:p w:rsidR="00CF5F2D" w:rsidRPr="004D07CF" w:rsidRDefault="00B71467" w:rsidP="004D07CF">
      <w:r w:rsidRPr="004D07CF">
        <w:t xml:space="preserve">На основе </w:t>
      </w:r>
      <w:r w:rsidR="005C2F71" w:rsidRPr="004D07CF">
        <w:t>выполненных различных заданий по</w:t>
      </w:r>
      <w:r w:rsidRPr="004D07CF">
        <w:t xml:space="preserve"> подтверждени</w:t>
      </w:r>
      <w:r w:rsidR="005C2F71" w:rsidRPr="004D07CF">
        <w:t>ю</w:t>
      </w:r>
      <w:r w:rsidRPr="004D07CF">
        <w:t xml:space="preserve"> достоверности информации Служба</w:t>
      </w:r>
      <w:r w:rsidR="00CF5F2D" w:rsidRPr="004D07CF">
        <w:t xml:space="preserve"> IA </w:t>
      </w:r>
      <w:r w:rsidR="005C2F71" w:rsidRPr="004D07CF">
        <w:t>пришла к выводу о том, что</w:t>
      </w:r>
      <w:r w:rsidR="00CF5F2D" w:rsidRPr="004D07CF">
        <w:t xml:space="preserve"> </w:t>
      </w:r>
      <w:r w:rsidR="005C2F71" w:rsidRPr="004D07CF">
        <w:t>соответствующие транзакции и процессы, в целом,</w:t>
      </w:r>
      <w:r w:rsidR="00CF5F2D" w:rsidRPr="004D07CF">
        <w:t xml:space="preserve"> </w:t>
      </w:r>
      <w:r w:rsidR="005C2F71" w:rsidRPr="004D07CF">
        <w:t>соответствуют</w:t>
      </w:r>
      <w:r w:rsidR="00CF5F2D" w:rsidRPr="004D07CF">
        <w:t xml:space="preserve"> </w:t>
      </w:r>
      <w:r w:rsidR="005C2F71" w:rsidRPr="004D07CF">
        <w:t>процедурам и установленной практике</w:t>
      </w:r>
      <w:r w:rsidR="00CF5F2D" w:rsidRPr="004D07CF">
        <w:t xml:space="preserve">. </w:t>
      </w:r>
      <w:r w:rsidR="009A1FE5" w:rsidRPr="004D07CF">
        <w:t>Вместе с тем в некоторых случаях</w:t>
      </w:r>
      <w:r w:rsidR="00CF5F2D" w:rsidRPr="004D07CF">
        <w:t xml:space="preserve"> </w:t>
      </w:r>
      <w:r w:rsidR="009A1FE5" w:rsidRPr="004D07CF">
        <w:t xml:space="preserve">процессы </w:t>
      </w:r>
      <w:r w:rsidR="0009601F" w:rsidRPr="004D07CF">
        <w:t>руководства</w:t>
      </w:r>
      <w:r w:rsidR="009A1FE5" w:rsidRPr="004D07CF">
        <w:t xml:space="preserve"> и управления рисками, а также </w:t>
      </w:r>
      <w:r w:rsidR="00CA4363" w:rsidRPr="004D07CF">
        <w:t xml:space="preserve">меры </w:t>
      </w:r>
      <w:r w:rsidR="009A1FE5" w:rsidRPr="004D07CF">
        <w:t>внутреннего контроля недостаточно адекватны и эффективны</w:t>
      </w:r>
      <w:r w:rsidR="00CF5F2D" w:rsidRPr="004D07CF">
        <w:t xml:space="preserve">. </w:t>
      </w:r>
      <w:r w:rsidR="00E25A17" w:rsidRPr="004D07CF">
        <w:t>В </w:t>
      </w:r>
      <w:r w:rsidR="009A1FE5" w:rsidRPr="004D07CF">
        <w:t>отношении некоторых частей аудиторской проверки улучшения в этих областях</w:t>
      </w:r>
      <w:r w:rsidR="00CF5F2D" w:rsidRPr="004D07CF">
        <w:t xml:space="preserve"> </w:t>
      </w:r>
      <w:r w:rsidR="009A1FE5" w:rsidRPr="004D07CF">
        <w:t>позволили бы</w:t>
      </w:r>
      <w:r w:rsidR="00CF5F2D" w:rsidRPr="004D07CF">
        <w:t xml:space="preserve"> </w:t>
      </w:r>
      <w:r w:rsidR="009A1FE5" w:rsidRPr="004D07CF">
        <w:t xml:space="preserve">Службе </w:t>
      </w:r>
      <w:r w:rsidR="00CF5F2D" w:rsidRPr="004D07CF">
        <w:t xml:space="preserve">IA </w:t>
      </w:r>
      <w:r w:rsidR="009A1FE5" w:rsidRPr="004D07CF">
        <w:t>предоставить Генеральному секретарю разумные гарантии</w:t>
      </w:r>
      <w:r w:rsidR="00760F34" w:rsidRPr="004D07CF">
        <w:t xml:space="preserve"> наличия надлежащего </w:t>
      </w:r>
      <w:r w:rsidR="0009601F" w:rsidRPr="004D07CF">
        <w:t>руководства</w:t>
      </w:r>
      <w:r w:rsidR="00760F34" w:rsidRPr="004D07CF">
        <w:t>, управления рисками</w:t>
      </w:r>
      <w:r w:rsidR="00CF5F2D" w:rsidRPr="004D07CF">
        <w:t xml:space="preserve">, </w:t>
      </w:r>
      <w:r w:rsidR="00760F34" w:rsidRPr="004D07CF">
        <w:t xml:space="preserve">а также </w:t>
      </w:r>
      <w:r w:rsidR="00CA4363" w:rsidRPr="004D07CF">
        <w:t xml:space="preserve">мер </w:t>
      </w:r>
      <w:r w:rsidR="00760F34" w:rsidRPr="004D07CF">
        <w:t>эффективного контроля</w:t>
      </w:r>
      <w:r w:rsidR="00CF5F2D" w:rsidRPr="004D07CF">
        <w:t xml:space="preserve">. </w:t>
      </w:r>
      <w:r w:rsidR="00760F34" w:rsidRPr="004D07CF">
        <w:t xml:space="preserve">Рекомендации для руководства выполняются при поддержке Генерального секретаря, и это будет способствовать дальнейшему укреплению возможностей МСЭ по выполнению </w:t>
      </w:r>
      <w:r w:rsidR="00985C13" w:rsidRPr="004D07CF">
        <w:t xml:space="preserve">им </w:t>
      </w:r>
      <w:r w:rsidR="00760F34" w:rsidRPr="004D07CF">
        <w:t>своего мандата</w:t>
      </w:r>
      <w:r w:rsidR="00CF5F2D" w:rsidRPr="004D07CF">
        <w:t>.</w:t>
      </w:r>
    </w:p>
    <w:p w:rsidR="00CF5F2D" w:rsidRPr="004D07CF" w:rsidRDefault="00381475" w:rsidP="00E25A17">
      <w:r w:rsidRPr="004D07CF">
        <w:t>7</w:t>
      </w:r>
      <w:r w:rsidRPr="004D07CF">
        <w:tab/>
      </w:r>
      <w:r w:rsidR="00760F34" w:rsidRPr="004D07CF">
        <w:t xml:space="preserve">Служба IA, </w:t>
      </w:r>
      <w:r w:rsidR="000F47E8" w:rsidRPr="004D07CF">
        <w:t>в случаях,</w:t>
      </w:r>
      <w:r w:rsidR="00760F34" w:rsidRPr="004D07CF">
        <w:t xml:space="preserve"> когда это требуется, </w:t>
      </w:r>
      <w:r w:rsidR="000F47E8" w:rsidRPr="004D07CF">
        <w:t>следит за</w:t>
      </w:r>
      <w:r w:rsidR="00760F34" w:rsidRPr="004D07CF">
        <w:t xml:space="preserve"> выполнение</w:t>
      </w:r>
      <w:r w:rsidR="000F47E8" w:rsidRPr="004D07CF">
        <w:t>м</w:t>
      </w:r>
      <w:r w:rsidR="00760F34" w:rsidRPr="004D07CF">
        <w:t xml:space="preserve"> рекомендованных мер (см. также пункт по последующим мерам</w:t>
      </w:r>
      <w:r w:rsidR="000F47E8" w:rsidRPr="004D07CF">
        <w:t>,</w:t>
      </w:r>
      <w:r w:rsidR="00760F34" w:rsidRPr="004D07CF">
        <w:t xml:space="preserve"> далее в настоящем отчете</w:t>
      </w:r>
      <w:r w:rsidR="00CF5F2D" w:rsidRPr="004D07CF">
        <w:t>).</w:t>
      </w:r>
    </w:p>
    <w:p w:rsidR="00CF5F2D" w:rsidRPr="004D07CF" w:rsidRDefault="000F47E8" w:rsidP="00381475">
      <w:pPr>
        <w:keepNext/>
      </w:pPr>
      <w:r w:rsidRPr="004D07CF">
        <w:rPr>
          <w:i/>
          <w:iCs/>
        </w:rPr>
        <w:lastRenderedPageBreak/>
        <w:t>Был</w:t>
      </w:r>
      <w:r w:rsidR="00985C13" w:rsidRPr="004D07CF">
        <w:rPr>
          <w:i/>
          <w:iCs/>
        </w:rPr>
        <w:t>и</w:t>
      </w:r>
      <w:r w:rsidRPr="004D07CF">
        <w:rPr>
          <w:i/>
          <w:iCs/>
        </w:rPr>
        <w:t xml:space="preserve"> выполнены следующие задания по подтверждени</w:t>
      </w:r>
      <w:r w:rsidR="001D24D1" w:rsidRPr="004D07CF">
        <w:rPr>
          <w:i/>
          <w:iCs/>
        </w:rPr>
        <w:t>ю</w:t>
      </w:r>
      <w:r w:rsidRPr="004D07CF">
        <w:rPr>
          <w:i/>
          <w:iCs/>
        </w:rPr>
        <w:t xml:space="preserve"> достоверности информации</w:t>
      </w:r>
      <w:r w:rsidR="00CF5F2D" w:rsidRPr="004D07CF">
        <w:t>:</w:t>
      </w:r>
    </w:p>
    <w:p w:rsidR="00CF5F2D" w:rsidRPr="004D07CF" w:rsidRDefault="00381475" w:rsidP="00E25A17">
      <w:pPr>
        <w:pStyle w:val="Headingb"/>
      </w:pPr>
      <w:r w:rsidRPr="004D07CF">
        <w:t>A)</w:t>
      </w:r>
      <w:r w:rsidRPr="004D07CF">
        <w:tab/>
      </w:r>
      <w:r w:rsidR="001D24D1" w:rsidRPr="004D07CF">
        <w:t>Аудиторская проверка расходования бумаги</w:t>
      </w:r>
      <w:r w:rsidR="001D24D1" w:rsidRPr="004D07CF">
        <w:rPr>
          <w:color w:val="000000"/>
        </w:rPr>
        <w:t xml:space="preserve"> на внутреннем уровне в Секретариате</w:t>
      </w:r>
    </w:p>
    <w:p w:rsidR="00CF5F2D" w:rsidRPr="004D07CF" w:rsidRDefault="00381475" w:rsidP="00381475">
      <w:r w:rsidRPr="004D07CF">
        <w:t>8</w:t>
      </w:r>
      <w:r w:rsidRPr="004D07CF">
        <w:tab/>
      </w:r>
      <w:r w:rsidR="001D24D1" w:rsidRPr="004D07CF">
        <w:t>Основная цель этой аудиторской проверки состояла в оценке расходования бумаги</w:t>
      </w:r>
      <w:r w:rsidR="001D24D1" w:rsidRPr="004D07CF">
        <w:rPr>
          <w:color w:val="000000"/>
        </w:rPr>
        <w:t xml:space="preserve"> на внутреннем уровне в Секретариате</w:t>
      </w:r>
      <w:r w:rsidR="00CF5F2D" w:rsidRPr="004D07CF">
        <w:t xml:space="preserve"> </w:t>
      </w:r>
      <w:r w:rsidR="001D24D1" w:rsidRPr="004D07CF">
        <w:t>и обеспечения уменьшения ее расходования до приемлемого уровня</w:t>
      </w:r>
      <w:r w:rsidR="00CF5F2D" w:rsidRPr="004D07CF">
        <w:t xml:space="preserve">. </w:t>
      </w:r>
      <w:r w:rsidR="001D24D1" w:rsidRPr="004D07CF">
        <w:t>Затраты на приобретение</w:t>
      </w:r>
      <w:r w:rsidR="00CF5F2D" w:rsidRPr="004D07CF">
        <w:t xml:space="preserve"> </w:t>
      </w:r>
      <w:r w:rsidR="001D24D1" w:rsidRPr="004D07CF">
        <w:t>бумаги</w:t>
      </w:r>
      <w:r w:rsidR="00CF5F2D" w:rsidRPr="004D07CF">
        <w:t xml:space="preserve"> </w:t>
      </w:r>
      <w:r w:rsidR="001D24D1" w:rsidRPr="004D07CF">
        <w:t>составляют в среднем почти</w:t>
      </w:r>
      <w:r w:rsidR="00CF5F2D" w:rsidRPr="004D07CF">
        <w:t xml:space="preserve"> 36</w:t>
      </w:r>
      <w:r w:rsidR="001D24D1" w:rsidRPr="004D07CF">
        <w:t xml:space="preserve"> </w:t>
      </w:r>
      <w:r w:rsidR="00CF5F2D" w:rsidRPr="004D07CF">
        <w:t xml:space="preserve">000 </w:t>
      </w:r>
      <w:r w:rsidR="001D24D1" w:rsidRPr="004D07CF">
        <w:t>шв. фр. в год за рассматриваемый период</w:t>
      </w:r>
      <w:r w:rsidR="00CF5F2D" w:rsidRPr="004D07CF">
        <w:t xml:space="preserve"> (</w:t>
      </w:r>
      <w:r w:rsidR="001D24D1" w:rsidRPr="004D07CF">
        <w:t>с января</w:t>
      </w:r>
      <w:r w:rsidR="00CF5F2D" w:rsidRPr="004D07CF">
        <w:t xml:space="preserve"> 2010 </w:t>
      </w:r>
      <w:r w:rsidR="001D24D1" w:rsidRPr="004D07CF">
        <w:t>г</w:t>
      </w:r>
      <w:r w:rsidRPr="004D07CF">
        <w:t>.</w:t>
      </w:r>
      <w:r w:rsidR="001D24D1" w:rsidRPr="004D07CF">
        <w:t xml:space="preserve"> по</w:t>
      </w:r>
      <w:r w:rsidR="00CF5F2D" w:rsidRPr="004D07CF">
        <w:t xml:space="preserve"> </w:t>
      </w:r>
      <w:r w:rsidR="001D24D1" w:rsidRPr="004D07CF">
        <w:t>декабрь</w:t>
      </w:r>
      <w:r w:rsidR="00CF5F2D" w:rsidRPr="004D07CF">
        <w:t xml:space="preserve"> 2015</w:t>
      </w:r>
      <w:r w:rsidR="001D24D1" w:rsidRPr="004D07CF">
        <w:t xml:space="preserve"> г</w:t>
      </w:r>
      <w:r w:rsidRPr="004D07CF">
        <w:t>.</w:t>
      </w:r>
      <w:r w:rsidR="00CF5F2D" w:rsidRPr="004D07CF">
        <w:t xml:space="preserve">), </w:t>
      </w:r>
      <w:r w:rsidR="001D24D1" w:rsidRPr="004D07CF">
        <w:t>причем одна треть</w:t>
      </w:r>
      <w:r w:rsidR="00CF5F2D" w:rsidRPr="004D07CF">
        <w:t xml:space="preserve"> </w:t>
      </w:r>
      <w:r w:rsidR="00D1433D" w:rsidRPr="004D07CF">
        <w:t>от всего объема этой бумаги используется</w:t>
      </w:r>
      <w:r w:rsidR="00CF5F2D" w:rsidRPr="004D07CF">
        <w:t xml:space="preserve"> </w:t>
      </w:r>
      <w:r w:rsidR="00D1433D" w:rsidRPr="004D07CF">
        <w:t>службой репрографии для печатания публикаций и</w:t>
      </w:r>
      <w:r w:rsidR="00CF5F2D" w:rsidRPr="004D07CF">
        <w:t>/</w:t>
      </w:r>
      <w:r w:rsidR="00D1433D" w:rsidRPr="004D07CF">
        <w:t>или документов</w:t>
      </w:r>
      <w:r w:rsidR="00CF5F2D" w:rsidRPr="004D07CF">
        <w:t xml:space="preserve"> </w:t>
      </w:r>
      <w:r w:rsidR="00D1433D" w:rsidRPr="004D07CF">
        <w:t>к различным мероприятиям</w:t>
      </w:r>
      <w:r w:rsidR="00CF5F2D" w:rsidRPr="004D07CF">
        <w:t>/</w:t>
      </w:r>
      <w:r w:rsidR="00D1433D" w:rsidRPr="004D07CF">
        <w:t>конференциям</w:t>
      </w:r>
      <w:r w:rsidR="00CF5F2D" w:rsidRPr="004D07CF">
        <w:t>.</w:t>
      </w:r>
    </w:p>
    <w:p w:rsidR="00CF5F2D" w:rsidRPr="004D07CF" w:rsidRDefault="00381475" w:rsidP="00E25A17">
      <w:r w:rsidRPr="004D07CF">
        <w:rPr>
          <w:color w:val="000000"/>
        </w:rPr>
        <w:t>9</w:t>
      </w:r>
      <w:r w:rsidRPr="004D07CF">
        <w:rPr>
          <w:color w:val="000000"/>
        </w:rPr>
        <w:tab/>
      </w:r>
      <w:r w:rsidR="00D1433D" w:rsidRPr="004D07CF">
        <w:rPr>
          <w:color w:val="000000"/>
        </w:rPr>
        <w:t>Был сделан вывод о том, что</w:t>
      </w:r>
      <w:r w:rsidR="00D1433D" w:rsidRPr="004D07CF">
        <w:t xml:space="preserve"> потребление бумаги может быть определено через различные источники</w:t>
      </w:r>
      <w:r w:rsidR="00CF5F2D" w:rsidRPr="004D07CF">
        <w:t xml:space="preserve"> </w:t>
      </w:r>
      <w:r w:rsidR="00D1433D" w:rsidRPr="004D07CF">
        <w:t xml:space="preserve">и </w:t>
      </w:r>
      <w:r w:rsidR="00013946" w:rsidRPr="004D07CF">
        <w:t xml:space="preserve">что </w:t>
      </w:r>
      <w:r w:rsidR="00D1433D" w:rsidRPr="004D07CF">
        <w:t>в последние годы наблюдается заметное уменьшение объемов потребления бумаги</w:t>
      </w:r>
      <w:r w:rsidR="00CF5F2D" w:rsidRPr="004D07CF">
        <w:t xml:space="preserve">. </w:t>
      </w:r>
      <w:r w:rsidR="00D1433D" w:rsidRPr="004D07CF">
        <w:t xml:space="preserve">Служба </w:t>
      </w:r>
      <w:r w:rsidR="00CF5F2D" w:rsidRPr="004D07CF">
        <w:t xml:space="preserve">IA </w:t>
      </w:r>
      <w:r w:rsidR="00D1433D" w:rsidRPr="004D07CF">
        <w:t>отметила также, что такие инициативы, как электронное голосование</w:t>
      </w:r>
      <w:r w:rsidR="00CF5F2D" w:rsidRPr="004D07CF">
        <w:t xml:space="preserve">, </w:t>
      </w:r>
      <w:r w:rsidR="00D1433D" w:rsidRPr="004D07CF">
        <w:t>э</w:t>
      </w:r>
      <w:r w:rsidR="00D1433D" w:rsidRPr="004D07CF">
        <w:rPr>
          <w:color w:val="000000"/>
        </w:rPr>
        <w:t>лектронное архивирование</w:t>
      </w:r>
      <w:r w:rsidR="00CF5F2D" w:rsidRPr="004D07CF">
        <w:t xml:space="preserve"> </w:t>
      </w:r>
      <w:r w:rsidR="00D1433D" w:rsidRPr="004D07CF">
        <w:t>и</w:t>
      </w:r>
      <w:r w:rsidR="00CF5F2D" w:rsidRPr="004D07CF">
        <w:t xml:space="preserve"> </w:t>
      </w:r>
      <w:r w:rsidR="00D1433D" w:rsidRPr="004D07CF">
        <w:rPr>
          <w:color w:val="000000"/>
        </w:rPr>
        <w:t>электронная документация</w:t>
      </w:r>
      <w:r w:rsidR="00CF5F2D" w:rsidRPr="004D07CF">
        <w:t xml:space="preserve"> </w:t>
      </w:r>
      <w:r w:rsidR="007E45DA" w:rsidRPr="004D07CF">
        <w:t>к различным мероприятиям/конференциям являются мерами по обеспечению</w:t>
      </w:r>
      <w:r w:rsidR="00CF5F2D" w:rsidRPr="004D07CF">
        <w:t xml:space="preserve"> </w:t>
      </w:r>
      <w:r w:rsidR="007E45DA" w:rsidRPr="004D07CF">
        <w:t>экономичного и</w:t>
      </w:r>
      <w:r w:rsidR="00CF5F2D" w:rsidRPr="004D07CF">
        <w:t xml:space="preserve"> </w:t>
      </w:r>
      <w:r w:rsidR="007E45DA" w:rsidRPr="004D07CF">
        <w:t>экологического использования</w:t>
      </w:r>
      <w:r w:rsidR="00CF5F2D" w:rsidRPr="004D07CF">
        <w:t xml:space="preserve"> </w:t>
      </w:r>
      <w:r w:rsidR="007E45DA" w:rsidRPr="004D07CF">
        <w:t>ресурсов</w:t>
      </w:r>
      <w:r w:rsidR="00CF5F2D" w:rsidRPr="004D07CF">
        <w:t xml:space="preserve">. </w:t>
      </w:r>
      <w:r w:rsidR="007E45DA" w:rsidRPr="004D07CF">
        <w:rPr>
          <w:color w:val="000000"/>
        </w:rPr>
        <w:t>Был сделан вывод о том, что</w:t>
      </w:r>
      <w:r w:rsidR="007E45DA" w:rsidRPr="004D07CF">
        <w:t xml:space="preserve"> инструменты контроля</w:t>
      </w:r>
      <w:r w:rsidR="00CF5F2D" w:rsidRPr="004D07CF">
        <w:t xml:space="preserve"> </w:t>
      </w:r>
      <w:r w:rsidR="007E45DA" w:rsidRPr="004D07CF">
        <w:t>потребления бумаги на внутреннем уровне</w:t>
      </w:r>
      <w:r w:rsidR="00CF5F2D" w:rsidRPr="004D07CF">
        <w:t xml:space="preserve"> </w:t>
      </w:r>
      <w:r w:rsidR="007E45DA" w:rsidRPr="004D07CF">
        <w:t>в Секретариате</w:t>
      </w:r>
      <w:r w:rsidR="00CF5F2D" w:rsidRPr="004D07CF">
        <w:t xml:space="preserve"> </w:t>
      </w:r>
      <w:r w:rsidR="007E45DA" w:rsidRPr="004D07CF">
        <w:t>не являются оптимальными</w:t>
      </w:r>
      <w:r w:rsidR="00CF5F2D" w:rsidRPr="004D07CF">
        <w:t xml:space="preserve"> </w:t>
      </w:r>
      <w:r w:rsidR="007E45DA" w:rsidRPr="004D07CF">
        <w:t>и</w:t>
      </w:r>
      <w:r w:rsidR="00CF5F2D" w:rsidRPr="004D07CF">
        <w:t xml:space="preserve"> </w:t>
      </w:r>
      <w:r w:rsidR="00E855D8" w:rsidRPr="004D07CF">
        <w:t xml:space="preserve">что </w:t>
      </w:r>
      <w:r w:rsidR="007E45DA" w:rsidRPr="004D07CF">
        <w:rPr>
          <w:color w:val="000000"/>
        </w:rPr>
        <w:t xml:space="preserve">у </w:t>
      </w:r>
      <w:r w:rsidR="00E855D8" w:rsidRPr="004D07CF">
        <w:rPr>
          <w:color w:val="000000"/>
        </w:rPr>
        <w:t xml:space="preserve">Секретариата нет </w:t>
      </w:r>
      <w:r w:rsidR="00013946" w:rsidRPr="004D07CF">
        <w:rPr>
          <w:color w:val="000000"/>
        </w:rPr>
        <w:t>надлежаще</w:t>
      </w:r>
      <w:r w:rsidR="00E855D8" w:rsidRPr="004D07CF">
        <w:rPr>
          <w:color w:val="000000"/>
        </w:rPr>
        <w:t>го руководства, направленного на повышение осведомленности</w:t>
      </w:r>
      <w:r w:rsidR="00E855D8" w:rsidRPr="004D07CF">
        <w:t xml:space="preserve"> </w:t>
      </w:r>
      <w:r w:rsidR="007E45DA" w:rsidRPr="004D07CF">
        <w:rPr>
          <w:color w:val="000000"/>
        </w:rPr>
        <w:t xml:space="preserve">сотрудников </w:t>
      </w:r>
      <w:r w:rsidR="00E855D8" w:rsidRPr="004D07CF">
        <w:rPr>
          <w:color w:val="000000"/>
        </w:rPr>
        <w:t>относительно</w:t>
      </w:r>
      <w:r w:rsidR="00CF5F2D" w:rsidRPr="004D07CF">
        <w:t xml:space="preserve"> </w:t>
      </w:r>
      <w:r w:rsidR="00E855D8" w:rsidRPr="004D07CF">
        <w:t>безбумажной среды</w:t>
      </w:r>
      <w:r w:rsidR="00CF5F2D" w:rsidRPr="004D07CF">
        <w:t xml:space="preserve">. </w:t>
      </w:r>
      <w:r w:rsidR="00BB5DA1" w:rsidRPr="004D07CF">
        <w:t xml:space="preserve">Высшему руководству следует подумать над тем, чтобы обратиться ко всем сотрудникам с призывом подкрепить </w:t>
      </w:r>
      <w:r w:rsidR="00C677B2" w:rsidRPr="004D07CF">
        <w:t>обязательство</w:t>
      </w:r>
      <w:r w:rsidR="00BB5DA1" w:rsidRPr="004D07CF">
        <w:t xml:space="preserve"> Союза</w:t>
      </w:r>
      <w:r w:rsidR="00CF5F2D" w:rsidRPr="004D07CF">
        <w:t xml:space="preserve"> </w:t>
      </w:r>
      <w:r w:rsidR="00C677B2" w:rsidRPr="004D07CF">
        <w:t xml:space="preserve">стать </w:t>
      </w:r>
      <w:r w:rsidR="00BB5DA1" w:rsidRPr="004D07CF">
        <w:rPr>
          <w:color w:val="000000"/>
        </w:rPr>
        <w:t>бумагосберегающей</w:t>
      </w:r>
      <w:r w:rsidR="00BB5DA1" w:rsidRPr="004D07CF">
        <w:t xml:space="preserve"> </w:t>
      </w:r>
      <w:r w:rsidR="00C677B2" w:rsidRPr="004D07CF">
        <w:t>администрацией</w:t>
      </w:r>
      <w:r w:rsidR="00CF5F2D" w:rsidRPr="004D07CF">
        <w:t xml:space="preserve">. </w:t>
      </w:r>
      <w:r w:rsidR="00520415" w:rsidRPr="004D07CF">
        <w:t>В качестве побочного наблюдения</w:t>
      </w:r>
      <w:r w:rsidR="00CF5F2D" w:rsidRPr="004D07CF">
        <w:t xml:space="preserve"> </w:t>
      </w:r>
      <w:r w:rsidR="00520415" w:rsidRPr="004D07CF">
        <w:t>во время аудиторской проверки</w:t>
      </w:r>
      <w:r w:rsidR="00CF5F2D" w:rsidRPr="004D07CF">
        <w:t xml:space="preserve">, </w:t>
      </w:r>
      <w:r w:rsidR="00520415" w:rsidRPr="004D07CF">
        <w:t>было констатировано</w:t>
      </w:r>
      <w:r w:rsidR="00CF5F2D" w:rsidRPr="004D07CF">
        <w:t xml:space="preserve"> </w:t>
      </w:r>
      <w:r w:rsidR="00520415" w:rsidRPr="004D07CF">
        <w:t>отсутствие координации</w:t>
      </w:r>
      <w:r w:rsidR="00CF5F2D" w:rsidRPr="004D07CF">
        <w:t xml:space="preserve"> </w:t>
      </w:r>
      <w:r w:rsidR="00013946" w:rsidRPr="004D07CF">
        <w:t xml:space="preserve">деятельности </w:t>
      </w:r>
      <w:r w:rsidR="00520415" w:rsidRPr="004D07CF">
        <w:t>между различными соответствующими службами</w:t>
      </w:r>
      <w:r w:rsidR="00CF5F2D" w:rsidRPr="004D07CF">
        <w:t xml:space="preserve">; </w:t>
      </w:r>
      <w:r w:rsidR="00520415" w:rsidRPr="004D07CF">
        <w:t>это может привести</w:t>
      </w:r>
      <w:r w:rsidR="00CF5F2D" w:rsidRPr="004D07CF">
        <w:t xml:space="preserve"> </w:t>
      </w:r>
      <w:r w:rsidR="00520415" w:rsidRPr="004D07CF">
        <w:t>к</w:t>
      </w:r>
      <w:r w:rsidR="00CF5F2D" w:rsidRPr="004D07CF">
        <w:t xml:space="preserve"> </w:t>
      </w:r>
      <w:r w:rsidR="00520415" w:rsidRPr="004D07CF">
        <w:t>ненадлежащим закупкам</w:t>
      </w:r>
      <w:r w:rsidR="00CF5F2D" w:rsidRPr="004D07CF">
        <w:t xml:space="preserve"> </w:t>
      </w:r>
      <w:r w:rsidR="00520415" w:rsidRPr="004D07CF">
        <w:rPr>
          <w:color w:val="000000"/>
        </w:rPr>
        <w:t>красящего порошка для принтеров</w:t>
      </w:r>
      <w:r w:rsidR="00CF5F2D" w:rsidRPr="004D07CF">
        <w:t xml:space="preserve"> </w:t>
      </w:r>
      <w:r w:rsidR="00520415" w:rsidRPr="004D07CF">
        <w:t>и,</w:t>
      </w:r>
      <w:r w:rsidR="00CF5F2D" w:rsidRPr="004D07CF">
        <w:t xml:space="preserve"> </w:t>
      </w:r>
      <w:r w:rsidR="00520415" w:rsidRPr="004D07CF">
        <w:t>тем самым,</w:t>
      </w:r>
      <w:r w:rsidR="00CF5F2D" w:rsidRPr="004D07CF">
        <w:t xml:space="preserve"> </w:t>
      </w:r>
      <w:r w:rsidR="00520415" w:rsidRPr="004D07CF">
        <w:t xml:space="preserve">подвергнуть Союз </w:t>
      </w:r>
      <w:r w:rsidR="00520415" w:rsidRPr="004D07CF">
        <w:rPr>
          <w:color w:val="000000"/>
        </w:rPr>
        <w:t>экономическому риску</w:t>
      </w:r>
      <w:r w:rsidR="00CF5F2D" w:rsidRPr="004D07CF">
        <w:t xml:space="preserve">. </w:t>
      </w:r>
      <w:r w:rsidR="00F20F8A" w:rsidRPr="004D07CF">
        <w:t xml:space="preserve">Исправить ситуацию должно получение данных инвентаризации имеющихся принтеров для осуществления </w:t>
      </w:r>
      <w:r w:rsidR="00013946" w:rsidRPr="004D07CF">
        <w:t>мониторинга</w:t>
      </w:r>
      <w:r w:rsidR="00F20F8A" w:rsidRPr="004D07CF">
        <w:t xml:space="preserve"> закупок</w:t>
      </w:r>
      <w:r w:rsidR="00CF5F2D" w:rsidRPr="004D07CF">
        <w:t xml:space="preserve">. </w:t>
      </w:r>
    </w:p>
    <w:p w:rsidR="00CF5F2D" w:rsidRPr="004D07CF" w:rsidRDefault="00381475" w:rsidP="00E25A17">
      <w:pPr>
        <w:rPr>
          <w:sz w:val="24"/>
          <w:szCs w:val="24"/>
        </w:rPr>
      </w:pPr>
      <w:r w:rsidRPr="004D07CF">
        <w:rPr>
          <w:bCs/>
        </w:rPr>
        <w:t>10</w:t>
      </w:r>
      <w:r w:rsidRPr="004D07CF">
        <w:rPr>
          <w:bCs/>
        </w:rPr>
        <w:tab/>
      </w:r>
      <w:r w:rsidR="00F20F8A" w:rsidRPr="004D07CF">
        <w:rPr>
          <w:bCs/>
        </w:rPr>
        <w:t>В целом же</w:t>
      </w:r>
      <w:r w:rsidR="00CF5F2D" w:rsidRPr="004D07CF">
        <w:rPr>
          <w:bCs/>
        </w:rPr>
        <w:t xml:space="preserve">, </w:t>
      </w:r>
      <w:r w:rsidR="00F20F8A" w:rsidRPr="004D07CF">
        <w:rPr>
          <w:bCs/>
        </w:rPr>
        <w:t xml:space="preserve">Служба </w:t>
      </w:r>
      <w:r w:rsidR="00CF5F2D" w:rsidRPr="004D07CF">
        <w:t xml:space="preserve">IA </w:t>
      </w:r>
      <w:r w:rsidR="00F20F8A" w:rsidRPr="004D07CF">
        <w:t xml:space="preserve">предоставила </w:t>
      </w:r>
      <w:r w:rsidR="00F20F8A" w:rsidRPr="004D07CF">
        <w:rPr>
          <w:color w:val="000000"/>
        </w:rPr>
        <w:t xml:space="preserve">Генеральному секретарю разумные гарантии функционирования </w:t>
      </w:r>
      <w:r w:rsidR="00847031" w:rsidRPr="004D07CF">
        <w:rPr>
          <w:color w:val="000000"/>
        </w:rPr>
        <w:t xml:space="preserve">процессов внутреннего контроля, </w:t>
      </w:r>
      <w:r w:rsidR="00CA4363" w:rsidRPr="004D07CF">
        <w:rPr>
          <w:color w:val="000000"/>
        </w:rPr>
        <w:t>руководства</w:t>
      </w:r>
      <w:r w:rsidR="00847031" w:rsidRPr="004D07CF">
        <w:rPr>
          <w:color w:val="000000"/>
        </w:rPr>
        <w:t xml:space="preserve"> и управления рисками в отношении</w:t>
      </w:r>
      <w:r w:rsidR="00CF5F2D" w:rsidRPr="004D07CF">
        <w:t xml:space="preserve"> </w:t>
      </w:r>
      <w:r w:rsidR="00847031" w:rsidRPr="004D07CF">
        <w:t>потребления бумаги на внутреннем уровне в Секретариате</w:t>
      </w:r>
      <w:r w:rsidR="00CF5F2D" w:rsidRPr="004D07CF">
        <w:t xml:space="preserve">. </w:t>
      </w:r>
      <w:r w:rsidR="00847031" w:rsidRPr="004D07CF">
        <w:t xml:space="preserve">Служба </w:t>
      </w:r>
      <w:r w:rsidR="00CF5F2D" w:rsidRPr="004D07CF">
        <w:t xml:space="preserve">IA </w:t>
      </w:r>
      <w:r w:rsidR="00847031" w:rsidRPr="004D07CF">
        <w:t>подтвердила также, что</w:t>
      </w:r>
      <w:r w:rsidR="00CF5F2D" w:rsidRPr="004D07CF">
        <w:t xml:space="preserve"> </w:t>
      </w:r>
      <w:r w:rsidR="00847031" w:rsidRPr="004D07CF">
        <w:t>потребление бумаги на внутреннем уровне в Секретариате уменьшилось до приемлемого уровня</w:t>
      </w:r>
      <w:r w:rsidR="00CF5F2D" w:rsidRPr="004D07CF">
        <w:t>.</w:t>
      </w:r>
    </w:p>
    <w:p w:rsidR="00CF5F2D" w:rsidRPr="004D07CF" w:rsidRDefault="00381475" w:rsidP="00E25A17">
      <w:pPr>
        <w:pStyle w:val="Headingb"/>
      </w:pPr>
      <w:r w:rsidRPr="004D07CF">
        <w:t>B)</w:t>
      </w:r>
      <w:r w:rsidRPr="004D07CF">
        <w:tab/>
      </w:r>
      <w:r w:rsidR="00B96424" w:rsidRPr="004D07CF">
        <w:t>Проверка контрактов с внешними экспертами</w:t>
      </w:r>
    </w:p>
    <w:p w:rsidR="00CF5F2D" w:rsidRPr="004D07CF" w:rsidRDefault="00381475" w:rsidP="00906D7B">
      <w:r w:rsidRPr="004D07CF">
        <w:t>11</w:t>
      </w:r>
      <w:r w:rsidRPr="004D07CF">
        <w:tab/>
      </w:r>
      <w:r w:rsidR="00B96424" w:rsidRPr="004D07CF">
        <w:t xml:space="preserve">Служба </w:t>
      </w:r>
      <w:r w:rsidR="00CF5F2D" w:rsidRPr="004D07CF">
        <w:t xml:space="preserve">IA </w:t>
      </w:r>
      <w:r w:rsidR="00B96424" w:rsidRPr="004D07CF">
        <w:t>провела проверку</w:t>
      </w:r>
      <w:r w:rsidR="00CF5F2D" w:rsidRPr="004D07CF">
        <w:t xml:space="preserve"> </w:t>
      </w:r>
      <w:r w:rsidR="00B96424" w:rsidRPr="004D07CF">
        <w:t>найма и использования услуг внешних экспертов за период</w:t>
      </w:r>
      <w:r w:rsidR="00CF5F2D" w:rsidRPr="004D07CF">
        <w:t xml:space="preserve"> </w:t>
      </w:r>
      <w:r w:rsidR="00B96424" w:rsidRPr="004D07CF">
        <w:t>с января 2013 года по декабрь 2015 года</w:t>
      </w:r>
      <w:r w:rsidR="00CF5F2D" w:rsidRPr="004D07CF">
        <w:t xml:space="preserve">. </w:t>
      </w:r>
      <w:r w:rsidR="00B96424" w:rsidRPr="004D07CF">
        <w:t>Цели этой проверки заключались в</w:t>
      </w:r>
      <w:r w:rsidR="00CF5F2D" w:rsidRPr="004D07CF">
        <w:t xml:space="preserve">: i) </w:t>
      </w:r>
      <w:r w:rsidR="00B96424" w:rsidRPr="004D07CF">
        <w:rPr>
          <w:color w:val="000000"/>
        </w:rPr>
        <w:t>оценке существующих руководящих указаний и политики, а также</w:t>
      </w:r>
      <w:r w:rsidR="00CF5F2D" w:rsidRPr="004D07CF">
        <w:t xml:space="preserve"> </w:t>
      </w:r>
      <w:r w:rsidR="00F67E80" w:rsidRPr="004D07CF">
        <w:rPr>
          <w:color w:val="000000"/>
        </w:rPr>
        <w:t>надежности мер внутреннего контроля</w:t>
      </w:r>
      <w:r w:rsidR="00CF5F2D" w:rsidRPr="004D07CF">
        <w:t xml:space="preserve"> </w:t>
      </w:r>
      <w:r w:rsidR="00F67E80" w:rsidRPr="004D07CF">
        <w:t>при найме экспертов</w:t>
      </w:r>
      <w:r w:rsidR="00CF5F2D" w:rsidRPr="004D07CF">
        <w:t xml:space="preserve">; ii) </w:t>
      </w:r>
      <w:r w:rsidR="00F67E80" w:rsidRPr="004D07CF">
        <w:t>оценке эффективности</w:t>
      </w:r>
      <w:r w:rsidR="00CF5F2D" w:rsidRPr="004D07CF">
        <w:t xml:space="preserve"> </w:t>
      </w:r>
      <w:r w:rsidR="00013946" w:rsidRPr="004D07CF">
        <w:t xml:space="preserve">взаимодействия </w:t>
      </w:r>
      <w:r w:rsidR="00F67E80" w:rsidRPr="004D07CF">
        <w:t>между региональными отделениями</w:t>
      </w:r>
      <w:r w:rsidR="00CF5F2D" w:rsidRPr="004D07CF">
        <w:t xml:space="preserve"> </w:t>
      </w:r>
      <w:r w:rsidR="00F67E80" w:rsidRPr="004D07CF">
        <w:t>и</w:t>
      </w:r>
      <w:r w:rsidR="00CF5F2D" w:rsidRPr="004D07CF">
        <w:t xml:space="preserve"> </w:t>
      </w:r>
      <w:r w:rsidR="00F67E80" w:rsidRPr="004D07CF">
        <w:t>штаб</w:t>
      </w:r>
      <w:r w:rsidR="003D1FF4" w:rsidRPr="004D07CF">
        <w:noBreakHyphen/>
      </w:r>
      <w:r w:rsidR="00F67E80" w:rsidRPr="004D07CF">
        <w:t>квартирой</w:t>
      </w:r>
      <w:r w:rsidR="00CF5F2D" w:rsidRPr="004D07CF">
        <w:t xml:space="preserve"> </w:t>
      </w:r>
      <w:r w:rsidR="00013946" w:rsidRPr="004D07CF">
        <w:t>в вопросах</w:t>
      </w:r>
      <w:r w:rsidR="00F67E80" w:rsidRPr="004D07CF">
        <w:t xml:space="preserve"> найм</w:t>
      </w:r>
      <w:r w:rsidR="00013946" w:rsidRPr="004D07CF">
        <w:t>а</w:t>
      </w:r>
      <w:r w:rsidR="00F67E80" w:rsidRPr="004D07CF">
        <w:t xml:space="preserve"> экспертов</w:t>
      </w:r>
      <w:r w:rsidR="00CF5F2D" w:rsidRPr="004D07CF">
        <w:t xml:space="preserve">; iii) </w:t>
      </w:r>
      <w:r w:rsidR="00F67E80" w:rsidRPr="004D07CF">
        <w:t>оценке</w:t>
      </w:r>
      <w:r w:rsidR="00CF5F2D" w:rsidRPr="004D07CF">
        <w:t xml:space="preserve"> </w:t>
      </w:r>
      <w:r w:rsidR="00F67E80" w:rsidRPr="004D07CF">
        <w:t>существующего процесса</w:t>
      </w:r>
      <w:r w:rsidR="00CF5F2D" w:rsidRPr="004D07CF">
        <w:t xml:space="preserve"> </w:t>
      </w:r>
      <w:r w:rsidR="00F67E80" w:rsidRPr="004D07CF">
        <w:t>оценки рисков</w:t>
      </w:r>
      <w:r w:rsidR="00CF5F2D" w:rsidRPr="004D07CF">
        <w:t xml:space="preserve"> </w:t>
      </w:r>
      <w:r w:rsidR="00F67E80" w:rsidRPr="004D07CF">
        <w:t>в отношении процедуры отбора экспертов</w:t>
      </w:r>
      <w:r w:rsidR="00CF5F2D" w:rsidRPr="004D07CF">
        <w:t xml:space="preserve"> </w:t>
      </w:r>
      <w:r w:rsidR="00F67E80" w:rsidRPr="004D07CF">
        <w:t>и оценки</w:t>
      </w:r>
      <w:r w:rsidR="00CF5F2D" w:rsidRPr="004D07CF">
        <w:t xml:space="preserve"> </w:t>
      </w:r>
      <w:r w:rsidR="00F67E80" w:rsidRPr="004D07CF">
        <w:t>результатов их работы</w:t>
      </w:r>
      <w:r w:rsidR="00CF5F2D" w:rsidRPr="004D07CF">
        <w:t xml:space="preserve">; iv) </w:t>
      </w:r>
      <w:r w:rsidR="00F67E80" w:rsidRPr="004D07CF">
        <w:t>оценке соответствия</w:t>
      </w:r>
      <w:r w:rsidR="00CF5F2D" w:rsidRPr="004D07CF">
        <w:t xml:space="preserve"> </w:t>
      </w:r>
      <w:r w:rsidR="00F67E80" w:rsidRPr="004D07CF">
        <w:t>найма внешних экспертов</w:t>
      </w:r>
      <w:r w:rsidR="00CF5F2D" w:rsidRPr="004D07CF">
        <w:t xml:space="preserve"> </w:t>
      </w:r>
      <w:r w:rsidR="00F67E80" w:rsidRPr="004D07CF">
        <w:t>политике и процедурам</w:t>
      </w:r>
      <w:r w:rsidR="00CF5F2D" w:rsidRPr="004D07CF">
        <w:t xml:space="preserve">; </w:t>
      </w:r>
      <w:r w:rsidR="00F67E80" w:rsidRPr="004D07CF">
        <w:t>и</w:t>
      </w:r>
      <w:r w:rsidR="00CF5F2D" w:rsidRPr="004D07CF">
        <w:t xml:space="preserve"> v) </w:t>
      </w:r>
      <w:r w:rsidR="00F67E80" w:rsidRPr="004D07CF">
        <w:t>оценке</w:t>
      </w:r>
      <w:r w:rsidR="00CF5F2D" w:rsidRPr="004D07CF">
        <w:t xml:space="preserve"> </w:t>
      </w:r>
      <w:r w:rsidR="00F67E80" w:rsidRPr="004D07CF">
        <w:t>контроля</w:t>
      </w:r>
      <w:r w:rsidR="00CF5F2D" w:rsidRPr="004D07CF">
        <w:t xml:space="preserve"> </w:t>
      </w:r>
      <w:r w:rsidR="00F67E80" w:rsidRPr="004D07CF">
        <w:t>фактического использования ресурсов,</w:t>
      </w:r>
      <w:r w:rsidR="00CF5F2D" w:rsidRPr="004D07CF">
        <w:t xml:space="preserve"> </w:t>
      </w:r>
      <w:r w:rsidR="00F67E80" w:rsidRPr="004D07CF">
        <w:t>выделенных для найма экспертов</w:t>
      </w:r>
      <w:r w:rsidR="00CF5F2D" w:rsidRPr="004D07CF">
        <w:t>.</w:t>
      </w:r>
    </w:p>
    <w:p w:rsidR="00CF5F2D" w:rsidRPr="004D07CF" w:rsidRDefault="00906D7B" w:rsidP="004D07CF">
      <w:r w:rsidRPr="004D07CF">
        <w:rPr>
          <w:color w:val="000000"/>
        </w:rPr>
        <w:t>12</w:t>
      </w:r>
      <w:r w:rsidRPr="004D07CF">
        <w:rPr>
          <w:color w:val="000000"/>
        </w:rPr>
        <w:tab/>
      </w:r>
      <w:r w:rsidR="00F67E80" w:rsidRPr="004D07CF">
        <w:rPr>
          <w:color w:val="000000"/>
        </w:rPr>
        <w:t>Был сделан вывод об отсутствии</w:t>
      </w:r>
      <w:r w:rsidR="00CF5F2D" w:rsidRPr="004D07CF">
        <w:t xml:space="preserve"> </w:t>
      </w:r>
      <w:r w:rsidR="00F67E80" w:rsidRPr="004D07CF">
        <w:t>надлежащей политики</w:t>
      </w:r>
      <w:r w:rsidR="00CF5F2D" w:rsidRPr="004D07CF">
        <w:t xml:space="preserve"> </w:t>
      </w:r>
      <w:r w:rsidR="00F67E80" w:rsidRPr="004D07CF">
        <w:t>и руководящих указаний,</w:t>
      </w:r>
      <w:r w:rsidR="00CF5F2D" w:rsidRPr="004D07CF">
        <w:t xml:space="preserve"> </w:t>
      </w:r>
      <w:r w:rsidR="00F67E80" w:rsidRPr="004D07CF">
        <w:t>регулирующих</w:t>
      </w:r>
      <w:r w:rsidR="00CF5F2D" w:rsidRPr="004D07CF">
        <w:t xml:space="preserve"> </w:t>
      </w:r>
      <w:r w:rsidR="00F67E80" w:rsidRPr="004D07CF">
        <w:t>область</w:t>
      </w:r>
      <w:r w:rsidR="00CF5F2D" w:rsidRPr="004D07CF">
        <w:t xml:space="preserve"> </w:t>
      </w:r>
      <w:r w:rsidR="00F67E80" w:rsidRPr="004D07CF">
        <w:t>экспертов</w:t>
      </w:r>
      <w:r w:rsidR="00CF5F2D" w:rsidRPr="004D07CF">
        <w:t>/</w:t>
      </w:r>
      <w:r w:rsidR="008E6799" w:rsidRPr="004D07CF">
        <w:t>консульт</w:t>
      </w:r>
      <w:r w:rsidR="0097249A" w:rsidRPr="004D07CF">
        <w:t>ационных услуг</w:t>
      </w:r>
      <w:r w:rsidR="00CF5F2D" w:rsidRPr="004D07CF">
        <w:t xml:space="preserve">. </w:t>
      </w:r>
      <w:r w:rsidR="00854876" w:rsidRPr="004D07CF">
        <w:t>И х</w:t>
      </w:r>
      <w:r w:rsidR="008E6799" w:rsidRPr="004D07CF">
        <w:t>отя</w:t>
      </w:r>
      <w:r w:rsidR="00CF5F2D" w:rsidRPr="004D07CF">
        <w:t xml:space="preserve"> </w:t>
      </w:r>
      <w:r w:rsidR="00854876" w:rsidRPr="004D07CF">
        <w:t xml:space="preserve">меморандум от 2010 года </w:t>
      </w:r>
      <w:r w:rsidR="008E6799" w:rsidRPr="004D07CF">
        <w:t>во многом и может рассматриваться</w:t>
      </w:r>
      <w:r w:rsidR="00CF5F2D" w:rsidRPr="004D07CF">
        <w:t xml:space="preserve"> </w:t>
      </w:r>
      <w:r w:rsidR="008E6799" w:rsidRPr="004D07CF">
        <w:t>в качестве применимого руководства</w:t>
      </w:r>
      <w:r w:rsidR="00CF5F2D" w:rsidRPr="004D07CF">
        <w:t xml:space="preserve">, </w:t>
      </w:r>
      <w:r w:rsidR="00854876" w:rsidRPr="004D07CF">
        <w:t xml:space="preserve">он </w:t>
      </w:r>
      <w:r w:rsidR="008E6799" w:rsidRPr="004D07CF">
        <w:t>не содержит все</w:t>
      </w:r>
      <w:r w:rsidR="00CF5F2D" w:rsidRPr="004D07CF">
        <w:t xml:space="preserve"> </w:t>
      </w:r>
      <w:r w:rsidR="008E6799" w:rsidRPr="004D07CF">
        <w:t>необходимые элементы,</w:t>
      </w:r>
      <w:r w:rsidR="00CF5F2D" w:rsidRPr="004D07CF">
        <w:t xml:space="preserve"> </w:t>
      </w:r>
      <w:r w:rsidR="008E6799" w:rsidRPr="004D07CF">
        <w:t>чтобы служить в качестве</w:t>
      </w:r>
      <w:r w:rsidR="00CF5F2D" w:rsidRPr="004D07CF">
        <w:t xml:space="preserve"> </w:t>
      </w:r>
      <w:r w:rsidR="008E6799" w:rsidRPr="004D07CF">
        <w:t>надлежащей основы политики</w:t>
      </w:r>
      <w:r w:rsidR="00CF5F2D" w:rsidRPr="004D07CF">
        <w:t xml:space="preserve">. </w:t>
      </w:r>
      <w:r w:rsidR="008E6799" w:rsidRPr="004D07CF">
        <w:t>Было рекомендовано разработать</w:t>
      </w:r>
      <w:r w:rsidR="00CF5F2D" w:rsidRPr="004D07CF">
        <w:t xml:space="preserve"> </w:t>
      </w:r>
      <w:r w:rsidR="0097249A" w:rsidRPr="004D07CF">
        <w:t>надлежащие политику и руководящие указания для осуществления мониторинга и контроля</w:t>
      </w:r>
      <w:r w:rsidR="00CF5F2D" w:rsidRPr="004D07CF">
        <w:t xml:space="preserve"> </w:t>
      </w:r>
      <w:r w:rsidR="0097249A" w:rsidRPr="004D07CF">
        <w:t>найма экспертов</w:t>
      </w:r>
      <w:r w:rsidR="00CF5F2D" w:rsidRPr="004D07CF">
        <w:t>/</w:t>
      </w:r>
      <w:r w:rsidR="0097249A" w:rsidRPr="004D07CF">
        <w:t>консультантов</w:t>
      </w:r>
      <w:r w:rsidR="00CF5F2D" w:rsidRPr="004D07CF">
        <w:t xml:space="preserve">. </w:t>
      </w:r>
      <w:r w:rsidR="0097249A" w:rsidRPr="004D07CF">
        <w:t>Руководитель</w:t>
      </w:r>
      <w:r w:rsidR="00CF5F2D" w:rsidRPr="004D07CF">
        <w:t xml:space="preserve"> HRMD </w:t>
      </w:r>
      <w:r w:rsidR="0097249A" w:rsidRPr="004D07CF">
        <w:t>согласился и</w:t>
      </w:r>
      <w:r w:rsidR="00CF5F2D" w:rsidRPr="004D07CF">
        <w:t xml:space="preserve"> </w:t>
      </w:r>
      <w:r w:rsidR="008753C1" w:rsidRPr="004D07CF">
        <w:t>указал</w:t>
      </w:r>
      <w:r w:rsidR="0097249A" w:rsidRPr="004D07CF">
        <w:t>, что</w:t>
      </w:r>
      <w:r w:rsidR="00CF5F2D" w:rsidRPr="004D07CF">
        <w:t xml:space="preserve"> </w:t>
      </w:r>
      <w:r w:rsidR="0097249A" w:rsidRPr="004D07CF">
        <w:t>план реализации</w:t>
      </w:r>
      <w:r w:rsidR="00CF5F2D" w:rsidRPr="004D07CF">
        <w:t xml:space="preserve"> </w:t>
      </w:r>
      <w:r w:rsidR="0097249A" w:rsidRPr="004D07CF">
        <w:t>будет разработан</w:t>
      </w:r>
      <w:r w:rsidR="00CF5F2D" w:rsidRPr="004D07CF">
        <w:rPr>
          <w:i/>
          <w:iCs/>
        </w:rPr>
        <w:t>.</w:t>
      </w:r>
      <w:r w:rsidR="00CF5F2D" w:rsidRPr="004D07CF">
        <w:t xml:space="preserve"> </w:t>
      </w:r>
      <w:r w:rsidR="0097249A" w:rsidRPr="004D07CF">
        <w:t>Директор БРЭ</w:t>
      </w:r>
      <w:r w:rsidR="00CF5F2D" w:rsidRPr="004D07CF">
        <w:t xml:space="preserve"> </w:t>
      </w:r>
      <w:r w:rsidR="0097249A" w:rsidRPr="004D07CF">
        <w:t>отметил, что</w:t>
      </w:r>
      <w:r w:rsidR="00CF5F2D" w:rsidRPr="004D07CF">
        <w:t xml:space="preserve"> </w:t>
      </w:r>
      <w:r w:rsidR="0097249A" w:rsidRPr="004D07CF">
        <w:t>БРЭ готово</w:t>
      </w:r>
      <w:r w:rsidR="00CF5F2D" w:rsidRPr="004D07CF">
        <w:t xml:space="preserve"> </w:t>
      </w:r>
      <w:r w:rsidR="0097249A" w:rsidRPr="004D07CF">
        <w:t>внести вклад</w:t>
      </w:r>
      <w:r w:rsidR="00CF5F2D" w:rsidRPr="004D07CF">
        <w:t xml:space="preserve">, </w:t>
      </w:r>
      <w:r w:rsidR="0097249A" w:rsidRPr="004D07CF">
        <w:t>опираясь на свой опыт</w:t>
      </w:r>
      <w:r w:rsidR="00CF5F2D" w:rsidRPr="004D07CF">
        <w:t xml:space="preserve"> </w:t>
      </w:r>
      <w:r w:rsidR="00CD3E6A" w:rsidRPr="004D07CF">
        <w:t>начала найма консультантов</w:t>
      </w:r>
      <w:r w:rsidR="00CF5F2D" w:rsidRPr="004D07CF">
        <w:t xml:space="preserve">, </w:t>
      </w:r>
      <w:r w:rsidR="00CD3E6A" w:rsidRPr="004D07CF">
        <w:t>в разработку</w:t>
      </w:r>
      <w:r w:rsidR="00CF5F2D" w:rsidRPr="004D07CF">
        <w:t xml:space="preserve"> </w:t>
      </w:r>
      <w:r w:rsidR="00CD3E6A" w:rsidRPr="004D07CF">
        <w:t>политики и руководящих указаний, чтобы создать четкую</w:t>
      </w:r>
      <w:r w:rsidR="00CF5F2D" w:rsidRPr="004D07CF">
        <w:t xml:space="preserve"> </w:t>
      </w:r>
      <w:r w:rsidR="00CD3E6A" w:rsidRPr="004D07CF">
        <w:t>нормативно-правовую базу</w:t>
      </w:r>
      <w:r w:rsidR="00CF5F2D" w:rsidRPr="004D07CF">
        <w:t xml:space="preserve"> </w:t>
      </w:r>
      <w:r w:rsidR="00CD3E6A" w:rsidRPr="004D07CF">
        <w:t>для найма экспертов/консультантов</w:t>
      </w:r>
      <w:r w:rsidR="00CF5F2D" w:rsidRPr="004D07CF">
        <w:t xml:space="preserve"> </w:t>
      </w:r>
      <w:r w:rsidR="00CD3E6A" w:rsidRPr="004D07CF">
        <w:t>при координации с</w:t>
      </w:r>
      <w:r w:rsidR="00CF5F2D" w:rsidRPr="004D07CF">
        <w:t xml:space="preserve"> HRMD. </w:t>
      </w:r>
      <w:r w:rsidR="00CD3E6A" w:rsidRPr="004D07CF">
        <w:t>Было также признано, что</w:t>
      </w:r>
      <w:r w:rsidR="00CF5F2D" w:rsidRPr="004D07CF">
        <w:t xml:space="preserve"> </w:t>
      </w:r>
      <w:r w:rsidR="00CD3E6A" w:rsidRPr="004D07CF">
        <w:t>управление анализом</w:t>
      </w:r>
      <w:r w:rsidR="00CF5F2D" w:rsidRPr="004D07CF">
        <w:t xml:space="preserve"> </w:t>
      </w:r>
      <w:r w:rsidR="00CD3E6A" w:rsidRPr="004D07CF">
        <w:rPr>
          <w:color w:val="000000"/>
        </w:rPr>
        <w:t xml:space="preserve">описания должностных </w:t>
      </w:r>
      <w:r w:rsidR="00CD3E6A" w:rsidRPr="004D07CF">
        <w:rPr>
          <w:color w:val="000000"/>
        </w:rPr>
        <w:lastRenderedPageBreak/>
        <w:t>функций</w:t>
      </w:r>
      <w:r w:rsidR="00CF5F2D" w:rsidRPr="004D07CF">
        <w:t xml:space="preserve"> </w:t>
      </w:r>
      <w:r w:rsidR="00CD3E6A" w:rsidRPr="004D07CF">
        <w:t>и</w:t>
      </w:r>
      <w:r w:rsidR="00CF5F2D" w:rsidRPr="004D07CF">
        <w:t xml:space="preserve"> </w:t>
      </w:r>
      <w:r w:rsidR="00CD3E6A" w:rsidRPr="004D07CF">
        <w:rPr>
          <w:color w:val="000000"/>
        </w:rPr>
        <w:t>биографической анкеты</w:t>
      </w:r>
      <w:r w:rsidR="00CF5F2D" w:rsidRPr="004D07CF">
        <w:t xml:space="preserve"> (PHF) </w:t>
      </w:r>
      <w:r w:rsidR="00CD3E6A" w:rsidRPr="004D07CF">
        <w:t>не является оптимальным,</w:t>
      </w:r>
      <w:r w:rsidR="00CF5F2D" w:rsidRPr="004D07CF">
        <w:t xml:space="preserve"> </w:t>
      </w:r>
      <w:r w:rsidR="00CD3E6A" w:rsidRPr="004D07CF">
        <w:t xml:space="preserve">и существует риск неэффективного </w:t>
      </w:r>
      <w:r w:rsidR="00CA5450" w:rsidRPr="004D07CF">
        <w:t xml:space="preserve">и нерезультативного </w:t>
      </w:r>
      <w:r w:rsidR="00CD3E6A" w:rsidRPr="004D07CF">
        <w:t>использования ресурсов</w:t>
      </w:r>
      <w:r w:rsidR="00CF5F2D" w:rsidRPr="004D07CF">
        <w:t xml:space="preserve">. </w:t>
      </w:r>
      <w:r w:rsidR="00CD3E6A" w:rsidRPr="004D07CF">
        <w:t>Было рекомендовано пересмотреть и закрепить документально процесс найма экспертов</w:t>
      </w:r>
      <w:r w:rsidR="00CF5F2D" w:rsidRPr="004D07CF">
        <w:t xml:space="preserve"> (</w:t>
      </w:r>
      <w:r w:rsidR="00CD3E6A" w:rsidRPr="004D07CF">
        <w:t>определить функции и зоны ответственности</w:t>
      </w:r>
      <w:r w:rsidR="00CF5F2D" w:rsidRPr="004D07CF">
        <w:t xml:space="preserve"> </w:t>
      </w:r>
      <w:r w:rsidR="00CD3E6A" w:rsidRPr="004D07CF">
        <w:t>соответствующих департаментов</w:t>
      </w:r>
      <w:r w:rsidR="00CF5F2D" w:rsidRPr="004D07CF">
        <w:t>/</w:t>
      </w:r>
      <w:r w:rsidR="00CD3E6A" w:rsidRPr="004D07CF">
        <w:t>подразделений</w:t>
      </w:r>
      <w:r w:rsidR="00CF5F2D" w:rsidRPr="004D07CF">
        <w:t xml:space="preserve">) </w:t>
      </w:r>
      <w:r w:rsidR="008753C1" w:rsidRPr="004D07CF">
        <w:t>и специально проработать</w:t>
      </w:r>
      <w:r w:rsidR="00CF5F2D" w:rsidRPr="004D07CF">
        <w:t xml:space="preserve"> </w:t>
      </w:r>
      <w:r w:rsidR="008753C1" w:rsidRPr="004D07CF">
        <w:t>компонент конфликта интересов,</w:t>
      </w:r>
      <w:r w:rsidR="00CF5F2D" w:rsidRPr="004D07CF">
        <w:t xml:space="preserve"> </w:t>
      </w:r>
      <w:r w:rsidR="008753C1" w:rsidRPr="004D07CF">
        <w:t>чтобы обеспечить</w:t>
      </w:r>
      <w:r w:rsidR="00CF5F2D" w:rsidRPr="004D07CF">
        <w:t xml:space="preserve"> </w:t>
      </w:r>
      <w:r w:rsidR="008753C1" w:rsidRPr="004D07CF">
        <w:t>регулярное и в установленный срок подписание кодекса этики, включающего</w:t>
      </w:r>
      <w:r w:rsidR="00CF5F2D" w:rsidRPr="004D07CF">
        <w:t xml:space="preserve"> </w:t>
      </w:r>
      <w:r w:rsidR="008753C1" w:rsidRPr="004D07CF">
        <w:t>заявление, касающееся конфликта интересов</w:t>
      </w:r>
      <w:r w:rsidR="00CF5F2D" w:rsidRPr="004D07CF">
        <w:t xml:space="preserve">. </w:t>
      </w:r>
      <w:r w:rsidR="008753C1" w:rsidRPr="004D07CF">
        <w:t>Руководитель</w:t>
      </w:r>
      <w:r w:rsidR="00CF5F2D" w:rsidRPr="004D07CF">
        <w:t xml:space="preserve"> HRMD </w:t>
      </w:r>
      <w:r w:rsidR="008753C1" w:rsidRPr="004D07CF">
        <w:t>вновь согласился и указал, что план реализации будет разработан</w:t>
      </w:r>
      <w:r w:rsidR="00CF5F2D" w:rsidRPr="004D07CF">
        <w:t xml:space="preserve">. </w:t>
      </w:r>
      <w:r w:rsidR="00E20A4D" w:rsidRPr="004D07CF">
        <w:t xml:space="preserve">Директор БРЭ отметил, что БРЭ, вместе с другими Бюро, готово внести свой вклад в работу </w:t>
      </w:r>
      <w:r w:rsidR="00CF5F2D" w:rsidRPr="004D07CF">
        <w:t>HRMD</w:t>
      </w:r>
      <w:r w:rsidR="00E20A4D" w:rsidRPr="004D07CF">
        <w:t xml:space="preserve"> по пересмотру</w:t>
      </w:r>
      <w:r w:rsidR="00CF5F2D" w:rsidRPr="004D07CF">
        <w:t xml:space="preserve"> </w:t>
      </w:r>
      <w:r w:rsidR="00E20A4D" w:rsidRPr="004D07CF">
        <w:t>и совершенствованию процесса найма,</w:t>
      </w:r>
      <w:r w:rsidR="00CF5F2D" w:rsidRPr="004D07CF">
        <w:t xml:space="preserve"> </w:t>
      </w:r>
      <w:r w:rsidR="00E20A4D" w:rsidRPr="004D07CF">
        <w:t xml:space="preserve">чтобы </w:t>
      </w:r>
      <w:r w:rsidR="00E20A4D" w:rsidRPr="004D07CF">
        <w:rPr>
          <w:color w:val="000000"/>
        </w:rPr>
        <w:t>лучше определять</w:t>
      </w:r>
      <w:r w:rsidR="00CF5F2D" w:rsidRPr="004D07CF">
        <w:t xml:space="preserve"> </w:t>
      </w:r>
      <w:r w:rsidR="00E20A4D" w:rsidRPr="004D07CF">
        <w:t>функции и зоны ответственности и обеспечить</w:t>
      </w:r>
      <w:r w:rsidR="00CF5F2D" w:rsidRPr="004D07CF">
        <w:t xml:space="preserve"> </w:t>
      </w:r>
      <w:r w:rsidR="00E20A4D" w:rsidRPr="004D07CF">
        <w:t>надлежащий уровень контроля</w:t>
      </w:r>
      <w:r w:rsidR="00CF5F2D" w:rsidRPr="004D07CF">
        <w:t>.</w:t>
      </w:r>
    </w:p>
    <w:p w:rsidR="00CF5F2D" w:rsidRPr="004D07CF" w:rsidRDefault="00906D7B" w:rsidP="001359CD">
      <w:r w:rsidRPr="004D07CF">
        <w:t>13</w:t>
      </w:r>
      <w:r w:rsidRPr="004D07CF">
        <w:tab/>
      </w:r>
      <w:r w:rsidR="00E20A4D" w:rsidRPr="004D07CF">
        <w:t>В целом</w:t>
      </w:r>
      <w:r w:rsidR="00CF5F2D" w:rsidRPr="004D07CF">
        <w:t xml:space="preserve">, </w:t>
      </w:r>
      <w:r w:rsidR="00E20A4D" w:rsidRPr="004D07CF">
        <w:t xml:space="preserve">Служба </w:t>
      </w:r>
      <w:r w:rsidR="00CF5F2D" w:rsidRPr="004D07CF">
        <w:t xml:space="preserve">IA </w:t>
      </w:r>
      <w:r w:rsidR="00E20A4D" w:rsidRPr="004D07CF">
        <w:t xml:space="preserve">считает, что процессы </w:t>
      </w:r>
      <w:r w:rsidR="00CA4363" w:rsidRPr="004D07CF">
        <w:t>руководства</w:t>
      </w:r>
      <w:r w:rsidR="00E20A4D" w:rsidRPr="004D07CF">
        <w:t xml:space="preserve"> и управления рисками, а также </w:t>
      </w:r>
      <w:r w:rsidR="00FA1A7C" w:rsidRPr="004D07CF">
        <w:t xml:space="preserve">меры </w:t>
      </w:r>
      <w:r w:rsidR="00E20A4D" w:rsidRPr="004D07CF">
        <w:t>внутреннего контроля в области найма внешних экспертов</w:t>
      </w:r>
      <w:r w:rsidR="00CF5F2D" w:rsidRPr="004D07CF">
        <w:t xml:space="preserve"> </w:t>
      </w:r>
      <w:r w:rsidR="00E20A4D" w:rsidRPr="004D07CF">
        <w:t>требуют улучшения</w:t>
      </w:r>
      <w:r w:rsidR="00CF5F2D" w:rsidRPr="004D07CF">
        <w:t xml:space="preserve">. </w:t>
      </w:r>
      <w:r w:rsidR="00E20A4D" w:rsidRPr="004D07CF">
        <w:t xml:space="preserve">Служба </w:t>
      </w:r>
      <w:r w:rsidR="00CF5F2D" w:rsidRPr="004D07CF">
        <w:t xml:space="preserve">IA </w:t>
      </w:r>
      <w:r w:rsidR="00E20A4D" w:rsidRPr="004D07CF">
        <w:t>определила</w:t>
      </w:r>
      <w:r w:rsidR="00CF5F2D" w:rsidRPr="004D07CF">
        <w:t xml:space="preserve"> </w:t>
      </w:r>
      <w:r w:rsidR="00E20A4D" w:rsidRPr="004D07CF">
        <w:t xml:space="preserve">области </w:t>
      </w:r>
      <w:r w:rsidR="00E824AE" w:rsidRPr="004D07CF">
        <w:t>для улучшения</w:t>
      </w:r>
      <w:r w:rsidR="00CF5F2D" w:rsidRPr="004D07CF">
        <w:t xml:space="preserve"> </w:t>
      </w:r>
      <w:r w:rsidR="00E824AE" w:rsidRPr="004D07CF">
        <w:t>в</w:t>
      </w:r>
      <w:r w:rsidR="00D17A34" w:rsidRPr="004D07CF">
        <w:t xml:space="preserve"> том, что касается</w:t>
      </w:r>
      <w:r w:rsidR="00E824AE" w:rsidRPr="004D07CF">
        <w:t xml:space="preserve"> политики, регулирующей наем экспертов</w:t>
      </w:r>
      <w:r w:rsidR="00CF5F2D" w:rsidRPr="004D07CF">
        <w:t xml:space="preserve">, </w:t>
      </w:r>
      <w:r w:rsidR="00E824AE" w:rsidRPr="004D07CF">
        <w:t>анализ</w:t>
      </w:r>
      <w:r w:rsidR="00CF5F2D" w:rsidRPr="004D07CF">
        <w:t xml:space="preserve"> </w:t>
      </w:r>
      <w:r w:rsidR="00D17A34" w:rsidRPr="004D07CF">
        <w:t>профилей</w:t>
      </w:r>
      <w:r w:rsidR="00E824AE" w:rsidRPr="004D07CF">
        <w:t xml:space="preserve"> экспертов,</w:t>
      </w:r>
      <w:r w:rsidR="00CF5F2D" w:rsidRPr="004D07CF">
        <w:t xml:space="preserve"> </w:t>
      </w:r>
      <w:r w:rsidR="00E824AE" w:rsidRPr="004D07CF">
        <w:t>описани</w:t>
      </w:r>
      <w:r w:rsidR="009F01AA" w:rsidRPr="004D07CF">
        <w:t>е</w:t>
      </w:r>
      <w:r w:rsidR="00E824AE" w:rsidRPr="004D07CF">
        <w:t xml:space="preserve"> должностных </w:t>
      </w:r>
      <w:r w:rsidR="00CA4363" w:rsidRPr="004D07CF">
        <w:t>обязанностей</w:t>
      </w:r>
      <w:r w:rsidR="00E824AE" w:rsidRPr="004D07CF">
        <w:t xml:space="preserve"> и управлени</w:t>
      </w:r>
      <w:r w:rsidR="009F01AA" w:rsidRPr="004D07CF">
        <w:t>е</w:t>
      </w:r>
      <w:r w:rsidR="00E824AE" w:rsidRPr="004D07CF">
        <w:t xml:space="preserve"> реестром экспертов</w:t>
      </w:r>
      <w:r w:rsidR="00CF5F2D" w:rsidRPr="004D07CF">
        <w:t xml:space="preserve">. </w:t>
      </w:r>
      <w:r w:rsidR="00D17A34" w:rsidRPr="004D07CF">
        <w:t>Если работа в этих областях будет проведена</w:t>
      </w:r>
      <w:r w:rsidR="00CF5F2D" w:rsidRPr="004D07CF">
        <w:t xml:space="preserve">, </w:t>
      </w:r>
      <w:r w:rsidR="00D17A34" w:rsidRPr="004D07CF">
        <w:t xml:space="preserve">то Генеральному секретарю могут быть предоставлены разумные гарантии наличия надлежащего </w:t>
      </w:r>
      <w:r w:rsidR="00CA4363" w:rsidRPr="004D07CF">
        <w:t>руководства</w:t>
      </w:r>
      <w:r w:rsidR="00D17A34" w:rsidRPr="004D07CF">
        <w:t>, управления рисками</w:t>
      </w:r>
      <w:r w:rsidR="00CA4363" w:rsidRPr="004D07CF">
        <w:t xml:space="preserve"> и эффективных мер</w:t>
      </w:r>
      <w:r w:rsidR="00D17A34" w:rsidRPr="004D07CF">
        <w:t xml:space="preserve"> контроля</w:t>
      </w:r>
      <w:r w:rsidR="00CF5F2D" w:rsidRPr="004D07CF">
        <w:t xml:space="preserve"> </w:t>
      </w:r>
      <w:r w:rsidR="00D17A34" w:rsidRPr="004D07CF">
        <w:t>процессов</w:t>
      </w:r>
      <w:r w:rsidR="00CF5F2D" w:rsidRPr="004D07CF">
        <w:t xml:space="preserve"> </w:t>
      </w:r>
      <w:r w:rsidR="00D17A34" w:rsidRPr="004D07CF">
        <w:t>найма</w:t>
      </w:r>
      <w:r w:rsidR="00CF5F2D" w:rsidRPr="004D07CF">
        <w:t xml:space="preserve"> </w:t>
      </w:r>
      <w:r w:rsidR="00D17A34" w:rsidRPr="004D07CF">
        <w:t>внешних экспертов</w:t>
      </w:r>
      <w:r w:rsidR="00CF5F2D" w:rsidRPr="004D07CF">
        <w:t>.</w:t>
      </w:r>
    </w:p>
    <w:p w:rsidR="00CF5F2D" w:rsidRPr="004D07CF" w:rsidRDefault="00906D7B" w:rsidP="001359CD">
      <w:pPr>
        <w:pStyle w:val="Headingb"/>
      </w:pPr>
      <w:r w:rsidRPr="004D07CF">
        <w:t>C)</w:t>
      </w:r>
      <w:r w:rsidRPr="004D07CF">
        <w:tab/>
      </w:r>
      <w:r w:rsidR="00EA166C" w:rsidRPr="004D07CF">
        <w:t xml:space="preserve">Аудиторская проверка </w:t>
      </w:r>
      <w:r w:rsidR="00774443" w:rsidRPr="004D07CF">
        <w:t xml:space="preserve">целевых </w:t>
      </w:r>
      <w:r w:rsidR="00EA166C" w:rsidRPr="004D07CF">
        <w:t>фондов</w:t>
      </w:r>
    </w:p>
    <w:p w:rsidR="00CF5F2D" w:rsidRPr="004D07CF" w:rsidRDefault="00906D7B" w:rsidP="00697D89">
      <w:r w:rsidRPr="004D07CF">
        <w:t>14</w:t>
      </w:r>
      <w:r w:rsidRPr="004D07CF">
        <w:tab/>
      </w:r>
      <w:r w:rsidR="00EA166C" w:rsidRPr="004D07CF">
        <w:t xml:space="preserve">Служба </w:t>
      </w:r>
      <w:r w:rsidR="00CF5F2D" w:rsidRPr="004D07CF">
        <w:t xml:space="preserve">IA </w:t>
      </w:r>
      <w:r w:rsidR="00B80E7A" w:rsidRPr="004D07CF">
        <w:t xml:space="preserve">провела аудиторскую проверку </w:t>
      </w:r>
      <w:r w:rsidR="00774443" w:rsidRPr="004D07CF">
        <w:t xml:space="preserve">целевых </w:t>
      </w:r>
      <w:r w:rsidR="00B80E7A" w:rsidRPr="004D07CF">
        <w:t>фондов</w:t>
      </w:r>
      <w:r w:rsidR="00CF5F2D" w:rsidRPr="004D07CF">
        <w:t xml:space="preserve"> </w:t>
      </w:r>
      <w:r w:rsidR="00B80E7A" w:rsidRPr="004D07CF">
        <w:t>за период с</w:t>
      </w:r>
      <w:r w:rsidR="00CF5F2D" w:rsidRPr="004D07CF">
        <w:t xml:space="preserve"> 2013</w:t>
      </w:r>
      <w:r w:rsidR="00B80E7A" w:rsidRPr="004D07CF">
        <w:t xml:space="preserve"> по</w:t>
      </w:r>
      <w:r w:rsidR="00CF5F2D" w:rsidRPr="004D07CF">
        <w:t xml:space="preserve"> 2015</w:t>
      </w:r>
      <w:r w:rsidR="00774443" w:rsidRPr="004D07CF">
        <w:t> </w:t>
      </w:r>
      <w:r w:rsidR="00B80E7A" w:rsidRPr="004D07CF">
        <w:t>год</w:t>
      </w:r>
      <w:r w:rsidR="00CF5F2D" w:rsidRPr="004D07CF">
        <w:t xml:space="preserve">. </w:t>
      </w:r>
      <w:r w:rsidR="001646EB" w:rsidRPr="004D07CF">
        <w:t>Цели этой проверки заключались в оценке</w:t>
      </w:r>
      <w:r w:rsidR="00CF5F2D" w:rsidRPr="004D07CF">
        <w:t xml:space="preserve">: i) </w:t>
      </w:r>
      <w:r w:rsidR="001646EB" w:rsidRPr="004D07CF">
        <w:t>существующей политики и</w:t>
      </w:r>
      <w:r w:rsidR="00CF5F2D" w:rsidRPr="004D07CF">
        <w:t xml:space="preserve"> </w:t>
      </w:r>
      <w:r w:rsidR="001646EB" w:rsidRPr="004D07CF">
        <w:t>надежности</w:t>
      </w:r>
      <w:r w:rsidR="00CF5F2D" w:rsidRPr="004D07CF">
        <w:t xml:space="preserve"> </w:t>
      </w:r>
      <w:r w:rsidR="001646EB" w:rsidRPr="004D07CF">
        <w:rPr>
          <w:color w:val="000000"/>
        </w:rPr>
        <w:t>мер внутреннего контроля, чтобы контролировать использование</w:t>
      </w:r>
      <w:r w:rsidR="001646EB" w:rsidRPr="004D07CF">
        <w:t xml:space="preserve"> средств целевых фондов</w:t>
      </w:r>
      <w:r w:rsidR="00CF5F2D" w:rsidRPr="004D07CF">
        <w:t>; ii</w:t>
      </w:r>
      <w:r w:rsidR="00671A4E" w:rsidRPr="004D07CF">
        <w:t>) </w:t>
      </w:r>
      <w:r w:rsidR="001646EB" w:rsidRPr="004D07CF">
        <w:t>адекватности планирования использования ресурсов целевых фондов</w:t>
      </w:r>
      <w:r w:rsidRPr="004D07CF">
        <w:t xml:space="preserve">; </w:t>
      </w:r>
      <w:r w:rsidR="00CF5F2D" w:rsidRPr="004D07CF">
        <w:t xml:space="preserve">iii) </w:t>
      </w:r>
      <w:r w:rsidR="001646EB" w:rsidRPr="004D07CF">
        <w:t>того, надлежащим ли образом и эффективно ли используются средства целевых фондов</w:t>
      </w:r>
      <w:r w:rsidR="00CF5F2D" w:rsidRPr="004D07CF">
        <w:t xml:space="preserve"> </w:t>
      </w:r>
      <w:r w:rsidR="001646EB" w:rsidRPr="004D07CF">
        <w:t>для достижения Целей Союза</w:t>
      </w:r>
      <w:r w:rsidR="00CF5F2D" w:rsidRPr="004D07CF">
        <w:t xml:space="preserve">; </w:t>
      </w:r>
      <w:r w:rsidR="001646EB" w:rsidRPr="004D07CF">
        <w:t>и</w:t>
      </w:r>
      <w:r w:rsidR="00671A4E" w:rsidRPr="004D07CF">
        <w:t> </w:t>
      </w:r>
      <w:r w:rsidR="00CF5F2D" w:rsidRPr="004D07CF">
        <w:t>iv</w:t>
      </w:r>
      <w:r w:rsidRPr="004D07CF">
        <w:t>) </w:t>
      </w:r>
      <w:r w:rsidR="001646EB" w:rsidRPr="004D07CF">
        <w:t>используются ли</w:t>
      </w:r>
      <w:r w:rsidR="00CF5F2D" w:rsidRPr="004D07CF">
        <w:t xml:space="preserve"> </w:t>
      </w:r>
      <w:r w:rsidR="00086335" w:rsidRPr="004D07CF">
        <w:t>средства целевых фондов в соответствии с</w:t>
      </w:r>
      <w:r w:rsidR="00CF5F2D" w:rsidRPr="004D07CF">
        <w:t xml:space="preserve"> </w:t>
      </w:r>
      <w:r w:rsidR="00086335" w:rsidRPr="004D07CF">
        <w:t>применимыми правилами и процедурами</w:t>
      </w:r>
      <w:r w:rsidR="00CF5F2D" w:rsidRPr="004D07CF">
        <w:t xml:space="preserve">. </w:t>
      </w:r>
    </w:p>
    <w:p w:rsidR="00CF5F2D" w:rsidRPr="004D07CF" w:rsidRDefault="00906D7B" w:rsidP="005E43DE">
      <w:r w:rsidRPr="004D07CF">
        <w:t>15</w:t>
      </w:r>
      <w:r w:rsidRPr="004D07CF">
        <w:tab/>
      </w:r>
      <w:r w:rsidR="00086335" w:rsidRPr="004D07CF">
        <w:t xml:space="preserve">Служба </w:t>
      </w:r>
      <w:r w:rsidR="00CF5F2D" w:rsidRPr="004D07CF">
        <w:t xml:space="preserve">IA </w:t>
      </w:r>
      <w:r w:rsidR="00086335" w:rsidRPr="004D07CF">
        <w:t>отметила такие позитивные аспекты, как</w:t>
      </w:r>
      <w:r w:rsidR="00CF5F2D" w:rsidRPr="004D07CF">
        <w:t xml:space="preserve"> </w:t>
      </w:r>
      <w:r w:rsidR="00086335" w:rsidRPr="004D07CF">
        <w:t>поддержка разрабатываемых БРЭ</w:t>
      </w:r>
      <w:r w:rsidR="00CF5F2D" w:rsidRPr="004D07CF">
        <w:t xml:space="preserve">, </w:t>
      </w:r>
      <w:r w:rsidR="00086335" w:rsidRPr="004D07CF">
        <w:t>в частности</w:t>
      </w:r>
      <w:r w:rsidR="0043397D" w:rsidRPr="004D07CF">
        <w:t>,</w:t>
      </w:r>
      <w:r w:rsidR="00CF5F2D" w:rsidRPr="004D07CF">
        <w:t xml:space="preserve"> </w:t>
      </w:r>
      <w:r w:rsidR="0043397D" w:rsidRPr="004D07CF">
        <w:t>о</w:t>
      </w:r>
      <w:r w:rsidR="00086335" w:rsidRPr="004D07CF">
        <w:t>тделом поддержки проектов БРЭ</w:t>
      </w:r>
      <w:r w:rsidR="00CF5F2D" w:rsidRPr="004D07CF">
        <w:t xml:space="preserve"> (PRJ), </w:t>
      </w:r>
      <w:r w:rsidR="0043397D" w:rsidRPr="004D07CF">
        <w:t>р</w:t>
      </w:r>
      <w:r w:rsidR="00086335" w:rsidRPr="004D07CF">
        <w:rPr>
          <w:color w:val="000000"/>
        </w:rPr>
        <w:t>уководящи</w:t>
      </w:r>
      <w:r w:rsidR="0043397D" w:rsidRPr="004D07CF">
        <w:rPr>
          <w:color w:val="000000"/>
        </w:rPr>
        <w:t>х</w:t>
      </w:r>
      <w:r w:rsidR="00086335" w:rsidRPr="004D07CF">
        <w:rPr>
          <w:color w:val="000000"/>
        </w:rPr>
        <w:t xml:space="preserve"> указани</w:t>
      </w:r>
      <w:r w:rsidR="0043397D" w:rsidRPr="004D07CF">
        <w:rPr>
          <w:color w:val="000000"/>
        </w:rPr>
        <w:t>й</w:t>
      </w:r>
      <w:r w:rsidR="00086335" w:rsidRPr="004D07CF">
        <w:rPr>
          <w:color w:val="000000"/>
        </w:rPr>
        <w:t xml:space="preserve"> по управлению проектами </w:t>
      </w:r>
      <w:r w:rsidR="0043397D" w:rsidRPr="004D07CF">
        <w:t>в соответствии с</w:t>
      </w:r>
      <w:r w:rsidR="00CF5F2D" w:rsidRPr="004D07CF">
        <w:t xml:space="preserve"> </w:t>
      </w:r>
      <w:r w:rsidR="0043397D" w:rsidRPr="004D07CF">
        <w:t>примерами передового опыта,</w:t>
      </w:r>
      <w:r w:rsidR="00CF5F2D" w:rsidRPr="004D07CF">
        <w:t xml:space="preserve"> </w:t>
      </w:r>
      <w:r w:rsidR="0043397D" w:rsidRPr="004D07CF">
        <w:t>такими как</w:t>
      </w:r>
      <w:r w:rsidR="00CF5F2D" w:rsidRPr="004D07CF">
        <w:t xml:space="preserve"> PMI </w:t>
      </w:r>
      <w:r w:rsidR="0043397D" w:rsidRPr="004D07CF">
        <w:t>и</w:t>
      </w:r>
      <w:r w:rsidR="00CF5F2D" w:rsidRPr="004D07CF">
        <w:t xml:space="preserve"> Prince2. </w:t>
      </w:r>
      <w:r w:rsidR="0043397D" w:rsidRPr="004D07CF">
        <w:t>Были предприняты усилия</w:t>
      </w:r>
      <w:r w:rsidR="00CF5F2D" w:rsidRPr="004D07CF">
        <w:t xml:space="preserve"> </w:t>
      </w:r>
      <w:r w:rsidR="0043397D" w:rsidRPr="004D07CF">
        <w:t>по стандартизации документов,</w:t>
      </w:r>
      <w:r w:rsidR="00CF5F2D" w:rsidRPr="004D07CF">
        <w:t xml:space="preserve"> </w:t>
      </w:r>
      <w:r w:rsidR="0043397D" w:rsidRPr="004D07CF">
        <w:t>используемых при управлении проектами, и</w:t>
      </w:r>
      <w:r w:rsidR="00CF5F2D" w:rsidRPr="004D07CF">
        <w:t xml:space="preserve"> PRJ </w:t>
      </w:r>
      <w:r w:rsidR="0043397D" w:rsidRPr="004D07CF">
        <w:t>ведет различные</w:t>
      </w:r>
      <w:r w:rsidR="00CF5F2D" w:rsidRPr="004D07CF">
        <w:t xml:space="preserve"> </w:t>
      </w:r>
      <w:r w:rsidR="0043397D" w:rsidRPr="004D07CF">
        <w:t>шаблоны, например шаблоны</w:t>
      </w:r>
      <w:r w:rsidR="00CF5F2D" w:rsidRPr="004D07CF">
        <w:t xml:space="preserve"> </w:t>
      </w:r>
      <w:r w:rsidR="0043397D" w:rsidRPr="004D07CF">
        <w:t>для</w:t>
      </w:r>
      <w:r w:rsidR="00CF5F2D" w:rsidRPr="004D07CF">
        <w:t xml:space="preserve"> </w:t>
      </w:r>
      <w:r w:rsidR="0043397D" w:rsidRPr="004D07CF">
        <w:t>проектно</w:t>
      </w:r>
      <w:r w:rsidR="009F01AA" w:rsidRPr="004D07CF">
        <w:t>й</w:t>
      </w:r>
      <w:r w:rsidR="0043397D" w:rsidRPr="004D07CF">
        <w:t xml:space="preserve"> документа</w:t>
      </w:r>
      <w:r w:rsidR="009F01AA" w:rsidRPr="004D07CF">
        <w:t>ции</w:t>
      </w:r>
      <w:r w:rsidR="0043397D" w:rsidRPr="004D07CF">
        <w:t xml:space="preserve"> и</w:t>
      </w:r>
      <w:r w:rsidR="00CF5F2D" w:rsidRPr="004D07CF">
        <w:t xml:space="preserve"> </w:t>
      </w:r>
      <w:r w:rsidR="003D1FF4" w:rsidRPr="004D07CF">
        <w:t>соглашений</w:t>
      </w:r>
      <w:r w:rsidR="0043397D" w:rsidRPr="004D07CF">
        <w:t xml:space="preserve"> о сотрудничестве,</w:t>
      </w:r>
      <w:r w:rsidR="00CF5F2D" w:rsidRPr="004D07CF">
        <w:t xml:space="preserve"> </w:t>
      </w:r>
      <w:r w:rsidR="0043397D" w:rsidRPr="004D07CF">
        <w:t>в частности,</w:t>
      </w:r>
      <w:r w:rsidR="00CF5F2D" w:rsidRPr="004D07CF">
        <w:t xml:space="preserve"> </w:t>
      </w:r>
      <w:r w:rsidR="0043397D" w:rsidRPr="004D07CF">
        <w:t>для того чтобы</w:t>
      </w:r>
      <w:r w:rsidR="00CF5F2D" w:rsidRPr="004D07CF">
        <w:t xml:space="preserve"> </w:t>
      </w:r>
      <w:r w:rsidR="00EF21CB" w:rsidRPr="004D07CF">
        <w:t>обеспечить единообразие</w:t>
      </w:r>
      <w:r w:rsidR="00CF5F2D" w:rsidRPr="004D07CF">
        <w:t xml:space="preserve"> </w:t>
      </w:r>
      <w:r w:rsidR="00EF21CB" w:rsidRPr="004D07CF">
        <w:t>и эффективность</w:t>
      </w:r>
      <w:r w:rsidR="00CF5F2D" w:rsidRPr="004D07CF">
        <w:t xml:space="preserve"> </w:t>
      </w:r>
      <w:r w:rsidR="00EF21CB" w:rsidRPr="004D07CF">
        <w:t>в поддержку реализации проектов</w:t>
      </w:r>
      <w:r w:rsidR="00CF5F2D" w:rsidRPr="004D07CF">
        <w:t xml:space="preserve">. PRJ </w:t>
      </w:r>
      <w:r w:rsidR="00EF21CB" w:rsidRPr="004D07CF">
        <w:t>провел также</w:t>
      </w:r>
      <w:r w:rsidR="00CF5F2D" w:rsidRPr="004D07CF">
        <w:t xml:space="preserve"> </w:t>
      </w:r>
      <w:r w:rsidR="00EF21CB" w:rsidRPr="004D07CF">
        <w:t>учебные занятия</w:t>
      </w:r>
      <w:r w:rsidR="00CF5F2D" w:rsidRPr="004D07CF">
        <w:t xml:space="preserve"> </w:t>
      </w:r>
      <w:r w:rsidR="00EF21CB" w:rsidRPr="004D07CF">
        <w:t>для</w:t>
      </w:r>
      <w:r w:rsidR="00CF5F2D" w:rsidRPr="004D07CF">
        <w:t xml:space="preserve"> </w:t>
      </w:r>
      <w:r w:rsidR="00EF21CB" w:rsidRPr="004D07CF">
        <w:rPr>
          <w:color w:val="000000"/>
        </w:rPr>
        <w:t>сотрудников уровня P3, участвующих в управлении</w:t>
      </w:r>
      <w:r w:rsidR="00CF5F2D" w:rsidRPr="004D07CF">
        <w:t xml:space="preserve"> </w:t>
      </w:r>
      <w:r w:rsidR="00EF21CB" w:rsidRPr="004D07CF">
        <w:t>проектами, и планирует</w:t>
      </w:r>
      <w:r w:rsidR="00CF5F2D" w:rsidRPr="004D07CF">
        <w:t xml:space="preserve"> </w:t>
      </w:r>
      <w:r w:rsidR="00EF21CB" w:rsidRPr="004D07CF">
        <w:t>пров</w:t>
      </w:r>
      <w:r w:rsidR="009F01AA" w:rsidRPr="004D07CF">
        <w:t>одить</w:t>
      </w:r>
      <w:r w:rsidR="00CF5F2D" w:rsidRPr="004D07CF">
        <w:t xml:space="preserve"> </w:t>
      </w:r>
      <w:r w:rsidR="00EF21CB" w:rsidRPr="004D07CF">
        <w:t>другие занятия на</w:t>
      </w:r>
      <w:r w:rsidR="00CF5F2D" w:rsidRPr="004D07CF">
        <w:t xml:space="preserve"> </w:t>
      </w:r>
      <w:r w:rsidR="00EF21CB" w:rsidRPr="004D07CF">
        <w:t>постоянной основе</w:t>
      </w:r>
      <w:r w:rsidR="00CF5F2D" w:rsidRPr="004D07CF">
        <w:t xml:space="preserve"> </w:t>
      </w:r>
      <w:r w:rsidR="00EF21CB" w:rsidRPr="004D07CF">
        <w:t>в стремлении</w:t>
      </w:r>
      <w:r w:rsidR="009F01AA" w:rsidRPr="004D07CF">
        <w:t xml:space="preserve"> к</w:t>
      </w:r>
      <w:r w:rsidR="00EF21CB" w:rsidRPr="004D07CF">
        <w:t xml:space="preserve"> совершенствовани</w:t>
      </w:r>
      <w:r w:rsidR="009F01AA" w:rsidRPr="004D07CF">
        <w:t>ю</w:t>
      </w:r>
      <w:r w:rsidR="00EF21CB" w:rsidRPr="004D07CF">
        <w:t xml:space="preserve"> их навыков</w:t>
      </w:r>
      <w:r w:rsidR="00CF5F2D" w:rsidRPr="004D07CF">
        <w:t xml:space="preserve"> </w:t>
      </w:r>
      <w:r w:rsidR="00EF21CB" w:rsidRPr="004D07CF">
        <w:t>в целях оказания более эффективной поддержки</w:t>
      </w:r>
      <w:r w:rsidR="00CF5F2D" w:rsidRPr="004D07CF">
        <w:t xml:space="preserve"> </w:t>
      </w:r>
      <w:r w:rsidR="00EF21CB" w:rsidRPr="004D07CF">
        <w:t>функциям по реализации проектов</w:t>
      </w:r>
      <w:r w:rsidR="00CF5F2D" w:rsidRPr="004D07CF">
        <w:t xml:space="preserve">. </w:t>
      </w:r>
      <w:r w:rsidR="009164BF" w:rsidRPr="004D07CF">
        <w:t xml:space="preserve">Служба </w:t>
      </w:r>
      <w:r w:rsidR="00CF5F2D" w:rsidRPr="004D07CF">
        <w:t xml:space="preserve">IA </w:t>
      </w:r>
      <w:r w:rsidR="009164BF" w:rsidRPr="004D07CF">
        <w:t>сочла, что</w:t>
      </w:r>
      <w:r w:rsidR="00CF5F2D" w:rsidRPr="004D07CF">
        <w:t xml:space="preserve"> </w:t>
      </w:r>
      <w:r w:rsidR="009164BF" w:rsidRPr="004D07CF">
        <w:t>в рамках этого Бюро</w:t>
      </w:r>
      <w:r w:rsidR="00CF5F2D" w:rsidRPr="004D07CF">
        <w:t xml:space="preserve"> </w:t>
      </w:r>
      <w:r w:rsidR="009164BF" w:rsidRPr="004D07CF">
        <w:t>имеются надлежащие структуры, которые подходят для управления основными рисками</w:t>
      </w:r>
      <w:r w:rsidR="00CF5F2D" w:rsidRPr="004D07CF">
        <w:t xml:space="preserve"> </w:t>
      </w:r>
      <w:r w:rsidR="009164BF" w:rsidRPr="004D07CF">
        <w:t>Целевых фондов</w:t>
      </w:r>
      <w:r w:rsidR="00CF5F2D" w:rsidRPr="004D07CF">
        <w:t xml:space="preserve">. </w:t>
      </w:r>
      <w:r w:rsidR="009164BF" w:rsidRPr="004D07CF">
        <w:t>В ходе аудиторской проверки</w:t>
      </w:r>
      <w:r w:rsidR="00CF5F2D" w:rsidRPr="004D07CF">
        <w:t xml:space="preserve"> </w:t>
      </w:r>
      <w:r w:rsidR="009164BF" w:rsidRPr="004D07CF">
        <w:t xml:space="preserve">Служба </w:t>
      </w:r>
      <w:r w:rsidR="00CF5F2D" w:rsidRPr="004D07CF">
        <w:t xml:space="preserve">IA </w:t>
      </w:r>
      <w:r w:rsidR="009164BF" w:rsidRPr="004D07CF">
        <w:t>выявила также</w:t>
      </w:r>
      <w:r w:rsidR="00CF5F2D" w:rsidRPr="004D07CF">
        <w:t xml:space="preserve"> </w:t>
      </w:r>
      <w:r w:rsidR="009164BF" w:rsidRPr="004D07CF">
        <w:t>другие</w:t>
      </w:r>
      <w:r w:rsidR="00CF5F2D" w:rsidRPr="004D07CF">
        <w:t xml:space="preserve"> </w:t>
      </w:r>
      <w:r w:rsidR="009164BF" w:rsidRPr="004D07CF">
        <w:t>имеющиеся передовые наработки,</w:t>
      </w:r>
      <w:r w:rsidR="00CF5F2D" w:rsidRPr="004D07CF">
        <w:t xml:space="preserve"> </w:t>
      </w:r>
      <w:r w:rsidR="009164BF" w:rsidRPr="004D07CF">
        <w:t>которые дополняют</w:t>
      </w:r>
      <w:r w:rsidR="00CF5F2D" w:rsidRPr="004D07CF">
        <w:t xml:space="preserve"> </w:t>
      </w:r>
      <w:r w:rsidR="009164BF" w:rsidRPr="004D07CF">
        <w:t>оценку проектов</w:t>
      </w:r>
      <w:r w:rsidR="00CF5F2D" w:rsidRPr="004D07CF">
        <w:t xml:space="preserve">. </w:t>
      </w:r>
      <w:r w:rsidR="009164BF" w:rsidRPr="004D07CF">
        <w:t>Кроме того</w:t>
      </w:r>
      <w:r w:rsidR="00CF5F2D" w:rsidRPr="004D07CF">
        <w:t xml:space="preserve">, </w:t>
      </w:r>
      <w:r w:rsidR="009164BF" w:rsidRPr="004D07CF">
        <w:t>анализ и оценка политики</w:t>
      </w:r>
      <w:r w:rsidR="00CF5F2D" w:rsidRPr="004D07CF">
        <w:t xml:space="preserve"> </w:t>
      </w:r>
      <w:r w:rsidR="009164BF" w:rsidRPr="004D07CF">
        <w:t>показали, что политика, регулирующая</w:t>
      </w:r>
      <w:r w:rsidR="00CF5F2D" w:rsidRPr="004D07CF">
        <w:t xml:space="preserve"> </w:t>
      </w:r>
      <w:r w:rsidR="009164BF" w:rsidRPr="004D07CF">
        <w:rPr>
          <w:color w:val="000000"/>
        </w:rPr>
        <w:t>использование</w:t>
      </w:r>
      <w:r w:rsidR="009164BF" w:rsidRPr="004D07CF">
        <w:t xml:space="preserve"> средств целевых фондов, является адекватной</w:t>
      </w:r>
      <w:r w:rsidR="00CF5F2D" w:rsidRPr="004D07CF">
        <w:t xml:space="preserve"> </w:t>
      </w:r>
      <w:r w:rsidR="009164BF" w:rsidRPr="004D07CF">
        <w:t>и правильно</w:t>
      </w:r>
      <w:r w:rsidR="00CF5F2D" w:rsidRPr="004D07CF">
        <w:t xml:space="preserve"> </w:t>
      </w:r>
      <w:r w:rsidR="009164BF" w:rsidRPr="004D07CF">
        <w:t>трактуется пользователями</w:t>
      </w:r>
      <w:r w:rsidR="00CF5F2D" w:rsidRPr="004D07CF">
        <w:t xml:space="preserve">. </w:t>
      </w:r>
      <w:r w:rsidR="009F01AA" w:rsidRPr="004D07CF">
        <w:t>В</w:t>
      </w:r>
      <w:r w:rsidR="009164BF" w:rsidRPr="004D07CF">
        <w:t>ыборка для анализа проектов, финансируемых с использованием</w:t>
      </w:r>
      <w:r w:rsidR="00CF5F2D" w:rsidRPr="004D07CF">
        <w:t xml:space="preserve"> </w:t>
      </w:r>
      <w:r w:rsidR="00022420" w:rsidRPr="004D07CF">
        <w:t>средств целевых фондов, показала наличие</w:t>
      </w:r>
      <w:r w:rsidR="00CF5F2D" w:rsidRPr="004D07CF">
        <w:t xml:space="preserve"> </w:t>
      </w:r>
      <w:r w:rsidR="00022420" w:rsidRPr="004D07CF">
        <w:t>должным образом подготовленной</w:t>
      </w:r>
      <w:r w:rsidR="00CF5F2D" w:rsidRPr="004D07CF">
        <w:t xml:space="preserve"> </w:t>
      </w:r>
      <w:r w:rsidR="00022420" w:rsidRPr="004D07CF">
        <w:t>и</w:t>
      </w:r>
      <w:r w:rsidR="00CF5F2D" w:rsidRPr="004D07CF">
        <w:t xml:space="preserve"> </w:t>
      </w:r>
      <w:r w:rsidR="00D94249" w:rsidRPr="004D07CF">
        <w:t>подписанной проектной документации</w:t>
      </w:r>
      <w:r w:rsidR="00CF5F2D" w:rsidRPr="004D07CF">
        <w:t xml:space="preserve"> </w:t>
      </w:r>
      <w:r w:rsidR="00022420" w:rsidRPr="004D07CF">
        <w:t>и</w:t>
      </w:r>
      <w:r w:rsidR="00CF5F2D" w:rsidRPr="004D07CF">
        <w:t xml:space="preserve"> </w:t>
      </w:r>
      <w:r w:rsidR="00022420" w:rsidRPr="004D07CF">
        <w:t>юридически оформленных соглашений</w:t>
      </w:r>
      <w:r w:rsidR="00CF5F2D" w:rsidRPr="004D07CF">
        <w:t xml:space="preserve">. </w:t>
      </w:r>
      <w:r w:rsidR="00022420" w:rsidRPr="004D07CF">
        <w:t>Все политические документы</w:t>
      </w:r>
      <w:r w:rsidR="00CF5F2D" w:rsidRPr="004D07CF">
        <w:t xml:space="preserve"> </w:t>
      </w:r>
      <w:r w:rsidR="00022420" w:rsidRPr="004D07CF">
        <w:t>были признаны</w:t>
      </w:r>
      <w:r w:rsidR="00CF5F2D" w:rsidRPr="004D07CF">
        <w:t xml:space="preserve"> </w:t>
      </w:r>
      <w:r w:rsidR="00022420" w:rsidRPr="004D07CF">
        <w:t>взаимно согласующимися в смысле</w:t>
      </w:r>
      <w:r w:rsidR="00CF5F2D" w:rsidRPr="004D07CF">
        <w:t xml:space="preserve"> </w:t>
      </w:r>
      <w:r w:rsidR="00022420" w:rsidRPr="004D07CF">
        <w:t>отсутствия в них противоречащих друг другу</w:t>
      </w:r>
      <w:r w:rsidR="00CF5F2D" w:rsidRPr="004D07CF">
        <w:t xml:space="preserve"> </w:t>
      </w:r>
      <w:r w:rsidR="00022420" w:rsidRPr="004D07CF">
        <w:t>положений политики</w:t>
      </w:r>
      <w:r w:rsidR="00CF5F2D" w:rsidRPr="004D07CF">
        <w:t xml:space="preserve">. </w:t>
      </w:r>
    </w:p>
    <w:p w:rsidR="00CF5F2D" w:rsidRPr="004D07CF" w:rsidRDefault="00774443" w:rsidP="003D1FF4">
      <w:r w:rsidRPr="004D07CF">
        <w:t>16</w:t>
      </w:r>
      <w:r w:rsidRPr="004D07CF">
        <w:tab/>
      </w:r>
      <w:r w:rsidR="00D94249" w:rsidRPr="004D07CF">
        <w:t>Вместе с тем б</w:t>
      </w:r>
      <w:r w:rsidR="00D94249" w:rsidRPr="004D07CF">
        <w:rPr>
          <w:color w:val="000000"/>
        </w:rPr>
        <w:t>ыл сделан вывод, что</w:t>
      </w:r>
      <w:r w:rsidR="00CF5F2D" w:rsidRPr="004D07CF">
        <w:t xml:space="preserve"> </w:t>
      </w:r>
      <w:r w:rsidR="00D94249" w:rsidRPr="004D07CF">
        <w:t>существует риск того, что</w:t>
      </w:r>
      <w:r w:rsidR="00CF5F2D" w:rsidRPr="004D07CF">
        <w:t xml:space="preserve"> </w:t>
      </w:r>
      <w:r w:rsidR="00294A5A" w:rsidRPr="004D07CF">
        <w:rPr>
          <w:color w:val="000000"/>
        </w:rPr>
        <w:t>дли</w:t>
      </w:r>
      <w:r w:rsidR="00D94249" w:rsidRPr="004D07CF">
        <w:rPr>
          <w:color w:val="000000"/>
        </w:rPr>
        <w:t>тельност</w:t>
      </w:r>
      <w:r w:rsidR="00797BAD" w:rsidRPr="004D07CF">
        <w:rPr>
          <w:color w:val="000000"/>
        </w:rPr>
        <w:t>ь</w:t>
      </w:r>
      <w:r w:rsidR="00D94249" w:rsidRPr="004D07CF">
        <w:rPr>
          <w:color w:val="000000"/>
        </w:rPr>
        <w:t xml:space="preserve"> </w:t>
      </w:r>
      <w:r w:rsidR="00294A5A" w:rsidRPr="004D07CF">
        <w:rPr>
          <w:color w:val="000000"/>
        </w:rPr>
        <w:t xml:space="preserve">срока реализации </w:t>
      </w:r>
      <w:r w:rsidR="00D94249" w:rsidRPr="004D07CF">
        <w:rPr>
          <w:color w:val="000000"/>
        </w:rPr>
        <w:t>проекта</w:t>
      </w:r>
      <w:r w:rsidR="00CF5F2D" w:rsidRPr="004D07CF">
        <w:t xml:space="preserve"> </w:t>
      </w:r>
      <w:r w:rsidR="00797BAD" w:rsidRPr="004D07CF">
        <w:t>недостаточна</w:t>
      </w:r>
      <w:r w:rsidR="00294A5A" w:rsidRPr="004D07CF">
        <w:t xml:space="preserve"> для </w:t>
      </w:r>
      <w:r w:rsidR="00797BAD" w:rsidRPr="004D07CF">
        <w:t>использова</w:t>
      </w:r>
      <w:r w:rsidR="00294A5A" w:rsidRPr="004D07CF">
        <w:t>ния</w:t>
      </w:r>
      <w:r w:rsidR="00797BAD" w:rsidRPr="004D07CF">
        <w:t xml:space="preserve"> ресурс</w:t>
      </w:r>
      <w:r w:rsidR="00294A5A" w:rsidRPr="004D07CF">
        <w:t>ов</w:t>
      </w:r>
      <w:r w:rsidR="00797BAD" w:rsidRPr="004D07CF">
        <w:t xml:space="preserve"> в течение</w:t>
      </w:r>
      <w:r w:rsidR="00CF5F2D" w:rsidRPr="004D07CF">
        <w:t xml:space="preserve"> </w:t>
      </w:r>
      <w:r w:rsidR="00797BAD" w:rsidRPr="004D07CF">
        <w:t>данного периода времени</w:t>
      </w:r>
      <w:r w:rsidR="00CF5F2D" w:rsidRPr="004D07CF">
        <w:t xml:space="preserve">. </w:t>
      </w:r>
      <w:r w:rsidR="00797BAD" w:rsidRPr="004D07CF">
        <w:t>Было рекомендовано учитывать при разработке проектов и</w:t>
      </w:r>
      <w:r w:rsidR="00CF5F2D" w:rsidRPr="004D07CF">
        <w:t xml:space="preserve"> </w:t>
      </w:r>
      <w:r w:rsidR="00797BAD" w:rsidRPr="004D07CF">
        <w:t>установлении их продолжительности</w:t>
      </w:r>
      <w:r w:rsidR="00CF5F2D" w:rsidRPr="004D07CF">
        <w:t xml:space="preserve"> </w:t>
      </w:r>
      <w:r w:rsidR="00797BAD" w:rsidRPr="004D07CF">
        <w:t>характер конкретного проекта,</w:t>
      </w:r>
      <w:r w:rsidR="00CF5F2D" w:rsidRPr="004D07CF">
        <w:t xml:space="preserve"> </w:t>
      </w:r>
      <w:r w:rsidR="00797BAD" w:rsidRPr="004D07CF">
        <w:t>а также региональные</w:t>
      </w:r>
      <w:r w:rsidR="00CF5F2D" w:rsidRPr="004D07CF">
        <w:t>/</w:t>
      </w:r>
      <w:r w:rsidR="00797BAD" w:rsidRPr="004D07CF">
        <w:t>национальные вопросы, чтобы</w:t>
      </w:r>
      <w:r w:rsidR="00CF5F2D" w:rsidRPr="004D07CF">
        <w:t xml:space="preserve"> </w:t>
      </w:r>
      <w:r w:rsidR="00797BAD" w:rsidRPr="004D07CF">
        <w:t xml:space="preserve">свести к </w:t>
      </w:r>
      <w:r w:rsidR="00797BAD" w:rsidRPr="004D07CF">
        <w:lastRenderedPageBreak/>
        <w:t>минимуму</w:t>
      </w:r>
      <w:r w:rsidR="00CF5F2D" w:rsidRPr="004D07CF">
        <w:t xml:space="preserve"> </w:t>
      </w:r>
      <w:r w:rsidR="00797BAD" w:rsidRPr="004D07CF">
        <w:t xml:space="preserve">необходимость продления </w:t>
      </w:r>
      <w:r w:rsidR="00294A5A" w:rsidRPr="004D07CF">
        <w:t>сроков</w:t>
      </w:r>
      <w:r w:rsidR="00797BAD" w:rsidRPr="004D07CF">
        <w:t xml:space="preserve"> окончания проекта</w:t>
      </w:r>
      <w:r w:rsidR="00CF5F2D" w:rsidRPr="004D07CF">
        <w:t xml:space="preserve"> </w:t>
      </w:r>
      <w:r w:rsidR="00797BAD" w:rsidRPr="004D07CF">
        <w:t>через</w:t>
      </w:r>
      <w:r w:rsidR="00CF5F2D" w:rsidRPr="004D07CF">
        <w:t xml:space="preserve"> </w:t>
      </w:r>
      <w:r w:rsidR="00797BAD" w:rsidRPr="004D07CF">
        <w:t>изменения</w:t>
      </w:r>
      <w:r w:rsidR="00CF5F2D" w:rsidRPr="004D07CF">
        <w:t>/</w:t>
      </w:r>
      <w:r w:rsidR="00797BAD" w:rsidRPr="004D07CF">
        <w:t>дополнения</w:t>
      </w:r>
      <w:r w:rsidR="00CF5F2D" w:rsidRPr="004D07CF">
        <w:t xml:space="preserve">. </w:t>
      </w:r>
      <w:r w:rsidR="00797BAD" w:rsidRPr="004D07CF">
        <w:t>БРЭ согласилось</w:t>
      </w:r>
      <w:r w:rsidR="00CF5F2D" w:rsidRPr="004D07CF">
        <w:t xml:space="preserve"> </w:t>
      </w:r>
      <w:r w:rsidR="00797BAD" w:rsidRPr="004D07CF">
        <w:t>с этой рекомендацией и</w:t>
      </w:r>
      <w:r w:rsidR="00CF5F2D" w:rsidRPr="004D07CF">
        <w:t xml:space="preserve"> </w:t>
      </w:r>
      <w:r w:rsidR="00797BAD" w:rsidRPr="004D07CF">
        <w:t>отметило, что оно</w:t>
      </w:r>
      <w:r w:rsidR="00CF5F2D" w:rsidRPr="004D07CF">
        <w:t xml:space="preserve"> </w:t>
      </w:r>
      <w:r w:rsidR="00797BAD" w:rsidRPr="004D07CF">
        <w:t>продолжает настаивать на</w:t>
      </w:r>
      <w:r w:rsidR="00CF5F2D" w:rsidRPr="004D07CF">
        <w:t xml:space="preserve"> </w:t>
      </w:r>
      <w:r w:rsidR="00797BAD" w:rsidRPr="004D07CF">
        <w:t xml:space="preserve">соблюдении </w:t>
      </w:r>
      <w:r w:rsidR="00A20519" w:rsidRPr="004D07CF">
        <w:t>установленных</w:t>
      </w:r>
      <w:r w:rsidR="00CF5F2D" w:rsidRPr="004D07CF">
        <w:t xml:space="preserve"> </w:t>
      </w:r>
      <w:r w:rsidR="00294A5A" w:rsidRPr="004D07CF">
        <w:t>сроков</w:t>
      </w:r>
      <w:r w:rsidR="00A20519" w:rsidRPr="004D07CF">
        <w:t xml:space="preserve"> окончания</w:t>
      </w:r>
      <w:r w:rsidR="00CF5F2D" w:rsidRPr="004D07CF">
        <w:t xml:space="preserve">, </w:t>
      </w:r>
      <w:r w:rsidR="00A20519" w:rsidRPr="004D07CF">
        <w:t>иногда даже в случаях возникновения обстоятельств непреодолимой силы</w:t>
      </w:r>
      <w:r w:rsidR="00CF5F2D" w:rsidRPr="004D07CF">
        <w:t xml:space="preserve"> </w:t>
      </w:r>
      <w:r w:rsidR="00A20519" w:rsidRPr="004D07CF">
        <w:t>или задержек</w:t>
      </w:r>
      <w:r w:rsidR="00CF5F2D" w:rsidRPr="004D07CF">
        <w:t xml:space="preserve"> </w:t>
      </w:r>
      <w:r w:rsidR="00A20519" w:rsidRPr="004D07CF">
        <w:t>в реализации по различным причинам со стороны страны-бенефициара</w:t>
      </w:r>
      <w:r w:rsidR="00CF5F2D" w:rsidRPr="004D07CF">
        <w:t xml:space="preserve">. </w:t>
      </w:r>
      <w:r w:rsidR="00A20519" w:rsidRPr="004D07CF">
        <w:t>Другой вопрос заключается в том, что меры контроля</w:t>
      </w:r>
      <w:r w:rsidR="00CF5F2D" w:rsidRPr="004D07CF">
        <w:t xml:space="preserve"> </w:t>
      </w:r>
      <w:r w:rsidR="00294A5A" w:rsidRPr="004D07CF">
        <w:t>признаны</w:t>
      </w:r>
      <w:r w:rsidR="00A20519" w:rsidRPr="004D07CF">
        <w:t xml:space="preserve"> эффективными, однако существует риск того, что</w:t>
      </w:r>
      <w:r w:rsidR="00CF5F2D" w:rsidRPr="004D07CF">
        <w:t xml:space="preserve"> </w:t>
      </w:r>
      <w:r w:rsidR="00A20519" w:rsidRPr="004D07CF">
        <w:t>использование</w:t>
      </w:r>
      <w:r w:rsidR="00CF5F2D" w:rsidRPr="004D07CF">
        <w:t xml:space="preserve"> </w:t>
      </w:r>
      <w:r w:rsidR="00A20519" w:rsidRPr="004D07CF">
        <w:t>средств целевых фондов не является оптимальным</w:t>
      </w:r>
      <w:r w:rsidR="00CF5F2D" w:rsidRPr="004D07CF">
        <w:t xml:space="preserve"> </w:t>
      </w:r>
      <w:r w:rsidR="00A20519" w:rsidRPr="004D07CF">
        <w:t>для достижения целей Союза</w:t>
      </w:r>
      <w:r w:rsidR="00CF5F2D" w:rsidRPr="004D07CF">
        <w:t xml:space="preserve">. </w:t>
      </w:r>
      <w:r w:rsidR="00A20519" w:rsidRPr="004D07CF">
        <w:t>Было рекомендовано</w:t>
      </w:r>
      <w:r w:rsidR="00CF5F2D" w:rsidRPr="004D07CF">
        <w:t xml:space="preserve"> </w:t>
      </w:r>
      <w:r w:rsidR="00A20519" w:rsidRPr="004D07CF">
        <w:t>рассмотреть вопрос о разработке</w:t>
      </w:r>
      <w:r w:rsidR="00CF5F2D" w:rsidRPr="004D07CF">
        <w:t xml:space="preserve"> </w:t>
      </w:r>
      <w:r w:rsidR="00A20519" w:rsidRPr="004D07CF">
        <w:t>онлайнового инструмента управления проект</w:t>
      </w:r>
      <w:r w:rsidR="00E03BA7" w:rsidRPr="004D07CF">
        <w:t>ами</w:t>
      </w:r>
      <w:r w:rsidR="00A20519" w:rsidRPr="004D07CF">
        <w:t xml:space="preserve"> и</w:t>
      </w:r>
      <w:r w:rsidR="00CF5F2D" w:rsidRPr="004D07CF">
        <w:t xml:space="preserve"> </w:t>
      </w:r>
      <w:r w:rsidR="00A20519" w:rsidRPr="004D07CF">
        <w:t>обмена знаниями</w:t>
      </w:r>
      <w:r w:rsidR="00CF5F2D" w:rsidRPr="004D07CF">
        <w:t xml:space="preserve">. </w:t>
      </w:r>
      <w:r w:rsidR="00A20519" w:rsidRPr="004D07CF">
        <w:t>БРЭ подтвердило, что</w:t>
      </w:r>
      <w:r w:rsidR="00CF5F2D" w:rsidRPr="004D07CF">
        <w:t xml:space="preserve"> </w:t>
      </w:r>
      <w:r w:rsidR="00E03BA7" w:rsidRPr="004D07CF">
        <w:t>усилия, направленные на разработку онлайнового инструмента управления проектами и обмена знаниями</w:t>
      </w:r>
      <w:r w:rsidR="00575D3C">
        <w:t>,</w:t>
      </w:r>
      <w:r w:rsidR="00CF5F2D" w:rsidRPr="004D07CF">
        <w:t xml:space="preserve"> </w:t>
      </w:r>
      <w:r w:rsidR="00E03BA7" w:rsidRPr="004D07CF">
        <w:t>будут продолжены</w:t>
      </w:r>
      <w:r w:rsidR="00CF5F2D" w:rsidRPr="004D07CF">
        <w:t xml:space="preserve"> </w:t>
      </w:r>
      <w:r w:rsidR="00E03BA7" w:rsidRPr="004D07CF">
        <w:t>с учетом соответствующих финансовых последствий</w:t>
      </w:r>
      <w:r w:rsidR="00CF5F2D" w:rsidRPr="004D07CF">
        <w:t xml:space="preserve">. </w:t>
      </w:r>
      <w:r w:rsidR="00E03BA7" w:rsidRPr="004D07CF">
        <w:t>И наконец, Служба</w:t>
      </w:r>
      <w:r w:rsidR="00CF5F2D" w:rsidRPr="004D07CF">
        <w:t xml:space="preserve"> IA </w:t>
      </w:r>
      <w:r w:rsidR="00E03BA7" w:rsidRPr="004D07CF">
        <w:t>отметила, что</w:t>
      </w:r>
      <w:r w:rsidR="00CF5F2D" w:rsidRPr="004D07CF">
        <w:t xml:space="preserve"> </w:t>
      </w:r>
      <w:r w:rsidR="00E03BA7" w:rsidRPr="004D07CF">
        <w:t>существующая политика, регулирующая использование</w:t>
      </w:r>
      <w:r w:rsidR="00CF5F2D" w:rsidRPr="004D07CF">
        <w:t xml:space="preserve"> </w:t>
      </w:r>
      <w:r w:rsidR="00E03BA7" w:rsidRPr="004D07CF">
        <w:t>средств целевых фондов</w:t>
      </w:r>
      <w:r w:rsidR="00294A5A" w:rsidRPr="004D07CF">
        <w:t>,</w:t>
      </w:r>
      <w:r w:rsidR="00E03BA7" w:rsidRPr="004D07CF">
        <w:t xml:space="preserve"> является в большинстве случаев надежной и адекватной</w:t>
      </w:r>
      <w:r w:rsidR="00CF5F2D" w:rsidRPr="004D07CF">
        <w:t xml:space="preserve">. </w:t>
      </w:r>
      <w:r w:rsidR="00E03BA7" w:rsidRPr="004D07CF">
        <w:t>Никаких конкретных рекомендаций в этой области</w:t>
      </w:r>
      <w:r w:rsidR="00CF5F2D" w:rsidRPr="004D07CF">
        <w:t xml:space="preserve"> </w:t>
      </w:r>
      <w:r w:rsidR="00E03BA7" w:rsidRPr="004D07CF">
        <w:t>сделано не было</w:t>
      </w:r>
      <w:r w:rsidR="00CF5F2D" w:rsidRPr="004D07CF">
        <w:t>.</w:t>
      </w:r>
    </w:p>
    <w:p w:rsidR="00CF5F2D" w:rsidRPr="004D07CF" w:rsidRDefault="00774443" w:rsidP="001359CD">
      <w:r w:rsidRPr="004D07CF">
        <w:t>17</w:t>
      </w:r>
      <w:r w:rsidRPr="004D07CF">
        <w:tab/>
      </w:r>
      <w:r w:rsidR="00E03BA7" w:rsidRPr="004D07CF">
        <w:t xml:space="preserve">В целом, Служба IA считает, что процессы </w:t>
      </w:r>
      <w:r w:rsidR="00CA4363" w:rsidRPr="004D07CF">
        <w:t>руководства</w:t>
      </w:r>
      <w:r w:rsidR="00E03BA7" w:rsidRPr="004D07CF">
        <w:t xml:space="preserve"> и управления рисками, а также </w:t>
      </w:r>
      <w:r w:rsidR="00CA4363" w:rsidRPr="004D07CF">
        <w:t xml:space="preserve">меры </w:t>
      </w:r>
      <w:r w:rsidR="00E03BA7" w:rsidRPr="004D07CF">
        <w:t xml:space="preserve">внутреннего контроля, являются адекватными и, в </w:t>
      </w:r>
      <w:r w:rsidR="00FB3C6A" w:rsidRPr="004D07CF">
        <w:t xml:space="preserve">общем и </w:t>
      </w:r>
      <w:r w:rsidR="00E03BA7" w:rsidRPr="004D07CF">
        <w:t>целом, достаточно эффективными</w:t>
      </w:r>
      <w:r w:rsidR="00CF5F2D" w:rsidRPr="004D07CF">
        <w:t xml:space="preserve">. </w:t>
      </w:r>
      <w:r w:rsidR="00FB3C6A" w:rsidRPr="004D07CF">
        <w:t>Некоторо</w:t>
      </w:r>
      <w:r w:rsidR="00294A5A" w:rsidRPr="004D07CF">
        <w:t>го</w:t>
      </w:r>
      <w:r w:rsidR="00FB3C6A" w:rsidRPr="004D07CF">
        <w:t xml:space="preserve"> улучшени</w:t>
      </w:r>
      <w:r w:rsidR="00294A5A" w:rsidRPr="004D07CF">
        <w:t>я</w:t>
      </w:r>
      <w:r w:rsidR="00FB3C6A" w:rsidRPr="004D07CF">
        <w:t xml:space="preserve"> мо</w:t>
      </w:r>
      <w:r w:rsidR="00294A5A" w:rsidRPr="004D07CF">
        <w:t>жно</w:t>
      </w:r>
      <w:r w:rsidR="00FB3C6A" w:rsidRPr="004D07CF">
        <w:t xml:space="preserve"> </w:t>
      </w:r>
      <w:r w:rsidR="00294A5A" w:rsidRPr="004D07CF">
        <w:t xml:space="preserve">было </w:t>
      </w:r>
      <w:r w:rsidR="00FB3C6A" w:rsidRPr="004D07CF">
        <w:t>бы дости</w:t>
      </w:r>
      <w:r w:rsidR="00294A5A" w:rsidRPr="004D07CF">
        <w:t>чь</w:t>
      </w:r>
      <w:r w:rsidR="00CF5F2D" w:rsidRPr="004D07CF">
        <w:t xml:space="preserve"> </w:t>
      </w:r>
      <w:r w:rsidR="00FB3C6A" w:rsidRPr="004D07CF">
        <w:t xml:space="preserve">в областях продолжительности </w:t>
      </w:r>
      <w:r w:rsidR="00FC7A6D" w:rsidRPr="004D07CF">
        <w:t xml:space="preserve">реализации </w:t>
      </w:r>
      <w:r w:rsidR="00FB3C6A" w:rsidRPr="004D07CF">
        <w:t>проектов</w:t>
      </w:r>
      <w:r w:rsidR="00CF5F2D" w:rsidRPr="004D07CF">
        <w:t xml:space="preserve"> </w:t>
      </w:r>
      <w:r w:rsidR="00FB3C6A" w:rsidRPr="004D07CF">
        <w:t>и укрепления инструментов</w:t>
      </w:r>
      <w:r w:rsidR="00CF5F2D" w:rsidRPr="004D07CF">
        <w:t xml:space="preserve"> </w:t>
      </w:r>
      <w:r w:rsidR="00FB3C6A" w:rsidRPr="004D07CF">
        <w:t xml:space="preserve">управления проектами, </w:t>
      </w:r>
      <w:r w:rsidR="00FC7A6D" w:rsidRPr="004D07CF">
        <w:t>равно как и</w:t>
      </w:r>
      <w:r w:rsidR="00CF5F2D" w:rsidRPr="004D07CF">
        <w:t xml:space="preserve"> </w:t>
      </w:r>
      <w:r w:rsidR="00FB3C6A" w:rsidRPr="004D07CF">
        <w:t>значительно</w:t>
      </w:r>
      <w:r w:rsidR="00FC7A6D" w:rsidRPr="004D07CF">
        <w:t>го улучшения</w:t>
      </w:r>
      <w:r w:rsidR="00FB3C6A" w:rsidRPr="004D07CF">
        <w:t xml:space="preserve"> </w:t>
      </w:r>
      <w:r w:rsidR="00FC7A6D" w:rsidRPr="004D07CF">
        <w:t xml:space="preserve">ситуации </w:t>
      </w:r>
      <w:r w:rsidR="009F06B3" w:rsidRPr="004D07CF">
        <w:t>с</w:t>
      </w:r>
      <w:r w:rsidR="00CF5F2D" w:rsidRPr="004D07CF">
        <w:t xml:space="preserve"> </w:t>
      </w:r>
      <w:r w:rsidR="009F06B3" w:rsidRPr="004D07CF">
        <w:t xml:space="preserve">сохраняющимися длительное время </w:t>
      </w:r>
      <w:r w:rsidR="00FC7A6D" w:rsidRPr="004D07CF">
        <w:t>остатк</w:t>
      </w:r>
      <w:r w:rsidR="009F06B3" w:rsidRPr="004D07CF">
        <w:t>ами</w:t>
      </w:r>
      <w:r w:rsidR="00FC7A6D" w:rsidRPr="004D07CF">
        <w:t xml:space="preserve"> средств</w:t>
      </w:r>
      <w:r w:rsidR="00FB3C6A" w:rsidRPr="004D07CF">
        <w:t xml:space="preserve"> целевых фондов, не относящихся к БРЭ</w:t>
      </w:r>
      <w:r w:rsidR="00CF5F2D" w:rsidRPr="004D07CF">
        <w:t>.</w:t>
      </w:r>
      <w:r w:rsidR="00FC7A6D" w:rsidRPr="004D07CF">
        <w:t xml:space="preserve"> </w:t>
      </w:r>
    </w:p>
    <w:p w:rsidR="00CF5F2D" w:rsidRPr="004D07CF" w:rsidRDefault="00774443" w:rsidP="001359CD">
      <w:pPr>
        <w:pStyle w:val="Headingb"/>
      </w:pPr>
      <w:r w:rsidRPr="004D07CF">
        <w:t>D)</w:t>
      </w:r>
      <w:r w:rsidRPr="004D07CF">
        <w:tab/>
      </w:r>
      <w:r w:rsidR="00AD702C" w:rsidRPr="004D07CF">
        <w:t>Оценка риска корпоративного мошенничества</w:t>
      </w:r>
    </w:p>
    <w:p w:rsidR="00CF5F2D" w:rsidRPr="004D07CF" w:rsidRDefault="00774443" w:rsidP="001359CD">
      <w:pPr>
        <w:rPr>
          <w:rFonts w:asciiTheme="minorHAnsi" w:hAnsiTheme="minorHAnsi" w:cstheme="minorHAnsi"/>
          <w:bCs/>
          <w:iCs/>
          <w:color w:val="000000"/>
          <w:sz w:val="24"/>
          <w:szCs w:val="24"/>
        </w:rPr>
      </w:pPr>
      <w:r w:rsidRPr="004D07CF">
        <w:t>18</w:t>
      </w:r>
      <w:r w:rsidRPr="004D07CF">
        <w:tab/>
      </w:r>
      <w:r w:rsidR="00AD702C" w:rsidRPr="004D07CF">
        <w:t>В отчете ОИГ</w:t>
      </w:r>
      <w:r w:rsidR="00CF5F2D" w:rsidRPr="004D07CF">
        <w:t xml:space="preserve"> </w:t>
      </w:r>
      <w:r w:rsidR="001359CD" w:rsidRPr="004D07CF">
        <w:t>"</w:t>
      </w:r>
      <w:r w:rsidR="00AD702C" w:rsidRPr="004D07CF">
        <w:t>Предотвращение</w:t>
      </w:r>
      <w:r w:rsidR="00CF5F2D" w:rsidRPr="004D07CF">
        <w:t xml:space="preserve">, </w:t>
      </w:r>
      <w:r w:rsidR="00AD702C" w:rsidRPr="004D07CF">
        <w:t>обнаружение случаев мошенничества</w:t>
      </w:r>
      <w:r w:rsidR="00CF5F2D" w:rsidRPr="004D07CF">
        <w:t xml:space="preserve"> </w:t>
      </w:r>
      <w:r w:rsidR="00AD702C" w:rsidRPr="004D07CF">
        <w:t>и реагирование на них в организациях системы ООН</w:t>
      </w:r>
      <w:r w:rsidR="001359CD" w:rsidRPr="004D07CF">
        <w:t>"</w:t>
      </w:r>
      <w:r w:rsidR="00CF5F2D" w:rsidRPr="004D07CF">
        <w:t xml:space="preserve"> </w:t>
      </w:r>
      <w:r w:rsidR="00AD702C" w:rsidRPr="004D07CF">
        <w:t>обращается внимание на</w:t>
      </w:r>
      <w:r w:rsidR="00CF5F2D" w:rsidRPr="004D07CF">
        <w:t xml:space="preserve"> </w:t>
      </w:r>
      <w:r w:rsidR="00AD702C" w:rsidRPr="004D07CF">
        <w:t>целый ряд</w:t>
      </w:r>
      <w:r w:rsidR="00CF5F2D" w:rsidRPr="004D07CF">
        <w:t xml:space="preserve"> </w:t>
      </w:r>
      <w:r w:rsidR="00AD702C" w:rsidRPr="004D07CF">
        <w:t>недостатков в этой области</w:t>
      </w:r>
      <w:r w:rsidR="009F06B3" w:rsidRPr="004D07CF">
        <w:t>,</w:t>
      </w:r>
      <w:r w:rsidR="00CF5F2D" w:rsidRPr="004D07CF">
        <w:t xml:space="preserve"> </w:t>
      </w:r>
      <w:r w:rsidR="00AD702C" w:rsidRPr="004D07CF">
        <w:t xml:space="preserve">некоторые из </w:t>
      </w:r>
      <w:r w:rsidR="009F06B3" w:rsidRPr="004D07CF">
        <w:t>которых</w:t>
      </w:r>
      <w:r w:rsidR="00CF5F2D" w:rsidRPr="004D07CF">
        <w:t xml:space="preserve"> </w:t>
      </w:r>
      <w:r w:rsidR="00AD702C" w:rsidRPr="004D07CF">
        <w:t>относятся также к МСЭ</w:t>
      </w:r>
      <w:r w:rsidR="00CF5F2D" w:rsidRPr="004D07CF">
        <w:t xml:space="preserve">. </w:t>
      </w:r>
      <w:r w:rsidR="00AD702C" w:rsidRPr="004D07CF">
        <w:t>Учитывая относительно</w:t>
      </w:r>
      <w:r w:rsidR="00CF5F2D" w:rsidRPr="004D07CF">
        <w:t xml:space="preserve"> </w:t>
      </w:r>
      <w:r w:rsidR="00AD702C" w:rsidRPr="004D07CF">
        <w:t>тесную связь</w:t>
      </w:r>
      <w:r w:rsidR="00CF5F2D" w:rsidRPr="004D07CF">
        <w:t xml:space="preserve"> </w:t>
      </w:r>
      <w:r w:rsidR="00AD702C" w:rsidRPr="004D07CF">
        <w:t>между</w:t>
      </w:r>
      <w:r w:rsidR="00CF5F2D" w:rsidRPr="004D07CF">
        <w:t xml:space="preserve"> </w:t>
      </w:r>
      <w:r w:rsidR="00AD702C" w:rsidRPr="004D07CF">
        <w:t>аудиторскими проверками и</w:t>
      </w:r>
      <w:r w:rsidR="00CF5F2D" w:rsidRPr="004D07CF">
        <w:t xml:space="preserve"> </w:t>
      </w:r>
      <w:r w:rsidR="00AD702C" w:rsidRPr="004D07CF">
        <w:t>расследованиями случаев мошенничества</w:t>
      </w:r>
      <w:r w:rsidR="00F56F04" w:rsidRPr="004D07CF">
        <w:t>,</w:t>
      </w:r>
      <w:r w:rsidR="00CF5F2D" w:rsidRPr="004D07CF">
        <w:t xml:space="preserve"> </w:t>
      </w:r>
      <w:r w:rsidR="00F56F04" w:rsidRPr="004D07CF">
        <w:t>а также</w:t>
      </w:r>
      <w:r w:rsidR="00CF5F2D" w:rsidRPr="004D07CF">
        <w:t xml:space="preserve"> </w:t>
      </w:r>
      <w:r w:rsidR="00AD702C" w:rsidRPr="004D07CF">
        <w:t>компетентность</w:t>
      </w:r>
      <w:r w:rsidR="00CF5F2D" w:rsidRPr="004D07CF">
        <w:t xml:space="preserve"> </w:t>
      </w:r>
      <w:r w:rsidR="00AD702C" w:rsidRPr="004D07CF">
        <w:t>и навыки</w:t>
      </w:r>
      <w:r w:rsidR="00CF5F2D" w:rsidRPr="004D07CF">
        <w:t xml:space="preserve"> </w:t>
      </w:r>
      <w:r w:rsidR="00AD702C" w:rsidRPr="004D07CF">
        <w:t>аудиторов</w:t>
      </w:r>
      <w:r w:rsidR="00CF5F2D" w:rsidRPr="004D07CF">
        <w:t xml:space="preserve">, </w:t>
      </w:r>
      <w:r w:rsidR="00F56F04" w:rsidRPr="004D07CF">
        <w:t>было важно ответить</w:t>
      </w:r>
      <w:r w:rsidR="00CF5F2D" w:rsidRPr="004D07CF">
        <w:t xml:space="preserve"> </w:t>
      </w:r>
      <w:r w:rsidR="00F56F04" w:rsidRPr="004D07CF">
        <w:t>на рекомендацию,</w:t>
      </w:r>
      <w:r w:rsidR="00CF5F2D" w:rsidRPr="004D07CF">
        <w:t xml:space="preserve"> </w:t>
      </w:r>
      <w:r w:rsidR="00F56F04" w:rsidRPr="004D07CF">
        <w:t xml:space="preserve">касающуюся необходимости комплексной оценки </w:t>
      </w:r>
      <w:r w:rsidR="004D07CF" w:rsidRPr="004D07CF">
        <w:t xml:space="preserve">организацией </w:t>
      </w:r>
      <w:r w:rsidR="00F56F04" w:rsidRPr="004D07CF">
        <w:t>риска корпоративного мошенничества</w:t>
      </w:r>
      <w:r w:rsidR="00CF5F2D" w:rsidRPr="004D07CF">
        <w:t xml:space="preserve">. </w:t>
      </w:r>
      <w:r w:rsidR="00F56F04" w:rsidRPr="004D07CF">
        <w:t>Такой анализ</w:t>
      </w:r>
      <w:r w:rsidR="00CF5F2D" w:rsidRPr="004D07CF">
        <w:t xml:space="preserve"> </w:t>
      </w:r>
      <w:r w:rsidR="009F06B3" w:rsidRPr="004D07CF">
        <w:t>послужил бы основой для</w:t>
      </w:r>
      <w:r w:rsidR="00F56F04" w:rsidRPr="004D07CF">
        <w:t xml:space="preserve"> общего ответа Союза</w:t>
      </w:r>
      <w:r w:rsidR="00CF5F2D" w:rsidRPr="004D07CF">
        <w:t xml:space="preserve"> </w:t>
      </w:r>
      <w:r w:rsidR="00F56F04" w:rsidRPr="004D07CF">
        <w:t>на другие рекомендации ОИГ, содержащиеся в этом отчете</w:t>
      </w:r>
      <w:r w:rsidR="00CF5F2D" w:rsidRPr="004D07CF">
        <w:t xml:space="preserve">. </w:t>
      </w:r>
      <w:r w:rsidR="00F56F04" w:rsidRPr="004D07CF">
        <w:t>Планирование оценки риска корпоративного мошенничества</w:t>
      </w:r>
      <w:r w:rsidR="00CF5F2D" w:rsidRPr="004D07CF">
        <w:t xml:space="preserve">, </w:t>
      </w:r>
      <w:r w:rsidR="00F56F04" w:rsidRPr="004D07CF">
        <w:t>анализ документов</w:t>
      </w:r>
      <w:r w:rsidR="00CF5F2D" w:rsidRPr="004D07CF">
        <w:t xml:space="preserve"> </w:t>
      </w:r>
      <w:r w:rsidR="00F56F04" w:rsidRPr="004D07CF">
        <w:t>и</w:t>
      </w:r>
      <w:r w:rsidR="00CF5F2D" w:rsidRPr="004D07CF">
        <w:t xml:space="preserve"> </w:t>
      </w:r>
      <w:r w:rsidR="00F56F04" w:rsidRPr="004D07CF">
        <w:t xml:space="preserve">проведение </w:t>
      </w:r>
      <w:r w:rsidR="00C23F84" w:rsidRPr="004D07CF">
        <w:t>интервью</w:t>
      </w:r>
      <w:r w:rsidR="00CF5F2D" w:rsidRPr="004D07CF">
        <w:t xml:space="preserve"> </w:t>
      </w:r>
      <w:r w:rsidR="00F56F04" w:rsidRPr="004D07CF">
        <w:t>были завершены в</w:t>
      </w:r>
      <w:r w:rsidR="00CF5F2D" w:rsidRPr="004D07CF">
        <w:t xml:space="preserve"> 2016</w:t>
      </w:r>
      <w:r w:rsidR="00F56F04" w:rsidRPr="004D07CF">
        <w:t xml:space="preserve"> году</w:t>
      </w:r>
      <w:r w:rsidR="00CF5F2D" w:rsidRPr="004D07CF">
        <w:t xml:space="preserve">. </w:t>
      </w:r>
      <w:r w:rsidR="00061F78" w:rsidRPr="004D07CF">
        <w:t>Эта оценка основывалась на нормативно-правовой базе</w:t>
      </w:r>
      <w:r w:rsidR="00CF5F2D" w:rsidRPr="004D07CF">
        <w:t xml:space="preserve"> </w:t>
      </w:r>
      <w:r w:rsidR="00C23F84" w:rsidRPr="004D07CF">
        <w:t>в тех случаях, когда</w:t>
      </w:r>
      <w:r w:rsidR="00CF5F2D" w:rsidRPr="004D07CF">
        <w:t xml:space="preserve"> </w:t>
      </w:r>
      <w:r w:rsidR="00C23F84" w:rsidRPr="004D07CF">
        <w:t>транзакции</w:t>
      </w:r>
      <w:r w:rsidR="00CF5F2D" w:rsidRPr="004D07CF">
        <w:t xml:space="preserve">, </w:t>
      </w:r>
      <w:r w:rsidR="00C23F84" w:rsidRPr="004D07CF">
        <w:t>процессы</w:t>
      </w:r>
      <w:r w:rsidR="00CF5F2D" w:rsidRPr="004D07CF">
        <w:t xml:space="preserve">, </w:t>
      </w:r>
      <w:r w:rsidR="00C23F84" w:rsidRPr="004D07CF">
        <w:t>руководящие указания</w:t>
      </w:r>
      <w:r w:rsidR="00CF5F2D" w:rsidRPr="004D07CF">
        <w:t xml:space="preserve"> </w:t>
      </w:r>
      <w:r w:rsidR="00C23F84" w:rsidRPr="004D07CF">
        <w:t>и процедуры</w:t>
      </w:r>
      <w:r w:rsidR="00CF5F2D" w:rsidRPr="004D07CF">
        <w:t xml:space="preserve"> </w:t>
      </w:r>
      <w:r w:rsidR="00263871" w:rsidRPr="004D07CF">
        <w:t xml:space="preserve">могли бы </w:t>
      </w:r>
      <w:r w:rsidR="00C23F84" w:rsidRPr="004D07CF">
        <w:t>предупреди</w:t>
      </w:r>
      <w:r w:rsidR="00263871" w:rsidRPr="004D07CF">
        <w:t>ть</w:t>
      </w:r>
      <w:r w:rsidR="00C23F84" w:rsidRPr="004D07CF">
        <w:t xml:space="preserve"> или предотврати</w:t>
      </w:r>
      <w:r w:rsidR="00263871" w:rsidRPr="004D07CF">
        <w:t>ть</w:t>
      </w:r>
      <w:r w:rsidR="00C23F84" w:rsidRPr="004D07CF">
        <w:t xml:space="preserve"> мошенничество</w:t>
      </w:r>
      <w:r w:rsidR="00CF5F2D" w:rsidRPr="004D07CF">
        <w:t xml:space="preserve">, </w:t>
      </w:r>
      <w:r w:rsidR="00C23F84" w:rsidRPr="004D07CF">
        <w:t xml:space="preserve">а также </w:t>
      </w:r>
      <w:r w:rsidR="00263871" w:rsidRPr="004D07CF">
        <w:t xml:space="preserve">на </w:t>
      </w:r>
      <w:r w:rsidR="00C23F84" w:rsidRPr="004D07CF">
        <w:t>интервью,</w:t>
      </w:r>
      <w:r w:rsidR="00CF5F2D" w:rsidRPr="004D07CF">
        <w:t xml:space="preserve"> </w:t>
      </w:r>
      <w:r w:rsidR="00C23F84" w:rsidRPr="004D07CF">
        <w:t>чтобы определить, как</w:t>
      </w:r>
      <w:r w:rsidR="00CF5F2D" w:rsidRPr="004D07CF">
        <w:t xml:space="preserve"> </w:t>
      </w:r>
      <w:r w:rsidR="00C23F84" w:rsidRPr="004D07CF">
        <w:t>управлени</w:t>
      </w:r>
      <w:r w:rsidR="00263871" w:rsidRPr="004D07CF">
        <w:t>е на низших уровнях</w:t>
      </w:r>
      <w:r w:rsidR="00CF5F2D" w:rsidRPr="004D07CF">
        <w:t xml:space="preserve"> </w:t>
      </w:r>
      <w:r w:rsidR="00C23F84" w:rsidRPr="004D07CF">
        <w:t>и</w:t>
      </w:r>
      <w:r w:rsidR="00CF5F2D" w:rsidRPr="004D07CF">
        <w:t xml:space="preserve"> </w:t>
      </w:r>
      <w:r w:rsidR="00C23F84" w:rsidRPr="004D07CF">
        <w:t xml:space="preserve">персонал, работающий непосредственно с клиентами, </w:t>
      </w:r>
      <w:r w:rsidR="00263871" w:rsidRPr="004D07CF">
        <w:t>расценивают</w:t>
      </w:r>
      <w:r w:rsidR="00CF5F2D" w:rsidRPr="004D07CF">
        <w:t xml:space="preserve"> </w:t>
      </w:r>
      <w:r w:rsidR="00263871" w:rsidRPr="004D07CF">
        <w:t>уязвимость организации</w:t>
      </w:r>
      <w:r w:rsidR="00CF5F2D" w:rsidRPr="004D07CF">
        <w:t xml:space="preserve">. </w:t>
      </w:r>
      <w:r w:rsidR="00263871" w:rsidRPr="004D07CF">
        <w:t>Проект отчета</w:t>
      </w:r>
      <w:r w:rsidR="00CF5F2D" w:rsidRPr="004D07CF">
        <w:t xml:space="preserve"> </w:t>
      </w:r>
      <w:r w:rsidR="00263871" w:rsidRPr="004D07CF">
        <w:t>был предоставлен соответствующим должностным лицам</w:t>
      </w:r>
      <w:r w:rsidR="00CF5F2D" w:rsidRPr="004D07CF">
        <w:t xml:space="preserve"> </w:t>
      </w:r>
      <w:r w:rsidR="00263871" w:rsidRPr="004D07CF">
        <w:t>МСЭ</w:t>
      </w:r>
      <w:r w:rsidR="00CF5F2D" w:rsidRPr="004D07CF">
        <w:t xml:space="preserve">. </w:t>
      </w:r>
      <w:r w:rsidR="00263871" w:rsidRPr="004D07CF">
        <w:t>Полученные комментарии</w:t>
      </w:r>
      <w:r w:rsidR="00CF5F2D" w:rsidRPr="004D07CF">
        <w:t xml:space="preserve"> </w:t>
      </w:r>
      <w:r w:rsidR="00263871" w:rsidRPr="004D07CF">
        <w:t>были</w:t>
      </w:r>
      <w:r w:rsidR="00CF5F2D" w:rsidRPr="004D07CF">
        <w:t xml:space="preserve"> </w:t>
      </w:r>
      <w:r w:rsidR="00263871" w:rsidRPr="004D07CF">
        <w:t>надлежащим образом учтены</w:t>
      </w:r>
      <w:r w:rsidR="00CF5F2D" w:rsidRPr="004D07CF">
        <w:t xml:space="preserve">, </w:t>
      </w:r>
      <w:r w:rsidR="00263871" w:rsidRPr="004D07CF">
        <w:t>и</w:t>
      </w:r>
      <w:r w:rsidR="00CF5F2D" w:rsidRPr="004D07CF">
        <w:t xml:space="preserve"> </w:t>
      </w:r>
      <w:r w:rsidR="00263871" w:rsidRPr="004D07CF">
        <w:t>итоговый проект</w:t>
      </w:r>
      <w:r w:rsidR="00CF5F2D" w:rsidRPr="004D07CF">
        <w:t xml:space="preserve"> </w:t>
      </w:r>
      <w:r w:rsidR="00263871" w:rsidRPr="004D07CF">
        <w:t>был направлен</w:t>
      </w:r>
      <w:r w:rsidR="001359CD" w:rsidRPr="004D07CF">
        <w:t xml:space="preserve"> 30 </w:t>
      </w:r>
      <w:r w:rsidR="00263871" w:rsidRPr="004D07CF">
        <w:t>января</w:t>
      </w:r>
      <w:r w:rsidR="00CF5F2D" w:rsidRPr="004D07CF">
        <w:t xml:space="preserve"> 2017</w:t>
      </w:r>
      <w:r w:rsidR="00263871" w:rsidRPr="004D07CF">
        <w:t xml:space="preserve"> года</w:t>
      </w:r>
      <w:r w:rsidR="00CF5F2D" w:rsidRPr="004D07CF">
        <w:t xml:space="preserve"> </w:t>
      </w:r>
      <w:r w:rsidR="00263871" w:rsidRPr="004D07CF">
        <w:t>соответствующим руководителям для</w:t>
      </w:r>
      <w:r w:rsidR="00CF5F2D" w:rsidRPr="004D07CF">
        <w:t xml:space="preserve"> </w:t>
      </w:r>
      <w:r w:rsidR="00263871" w:rsidRPr="004D07CF">
        <w:t>заключительных комментариев</w:t>
      </w:r>
      <w:r w:rsidR="00CF5F2D" w:rsidRPr="004D07CF">
        <w:t xml:space="preserve">. </w:t>
      </w:r>
      <w:r w:rsidR="00263871" w:rsidRPr="004D07CF">
        <w:t>Этот отчет будет издан вероятнее всего в</w:t>
      </w:r>
      <w:r w:rsidR="00CF5F2D" w:rsidRPr="004D07CF">
        <w:t xml:space="preserve"> </w:t>
      </w:r>
      <w:r w:rsidR="00263871" w:rsidRPr="004D07CF">
        <w:t>первом или во втором квартале</w:t>
      </w:r>
      <w:r w:rsidR="00CF5F2D" w:rsidRPr="004D07CF">
        <w:t xml:space="preserve"> 2017 </w:t>
      </w:r>
      <w:r w:rsidR="00263871" w:rsidRPr="004D07CF">
        <w:t>года</w:t>
      </w:r>
      <w:r w:rsidR="00BD5C12" w:rsidRPr="004D07CF">
        <w:t>, а реализация рекомендаций станет прямым вкладом</w:t>
      </w:r>
      <w:r w:rsidR="00CF5F2D" w:rsidRPr="004D07CF">
        <w:t xml:space="preserve"> </w:t>
      </w:r>
      <w:r w:rsidR="00BD5C12" w:rsidRPr="004D07CF">
        <w:t>в ответ на рекомендации</w:t>
      </w:r>
      <w:r w:rsidR="00CF5F2D" w:rsidRPr="004D07CF">
        <w:t xml:space="preserve"> </w:t>
      </w:r>
      <w:r w:rsidR="00BD5C12" w:rsidRPr="004D07CF">
        <w:t>ОИГ</w:t>
      </w:r>
      <w:r w:rsidR="00CF5F2D" w:rsidRPr="004D07CF">
        <w:t>.</w:t>
      </w:r>
    </w:p>
    <w:p w:rsidR="00CF5F2D" w:rsidRPr="004D07CF" w:rsidRDefault="00774443" w:rsidP="00774443">
      <w:pPr>
        <w:pStyle w:val="Headingb"/>
        <w:ind w:left="794" w:hanging="794"/>
      </w:pPr>
      <w:r w:rsidRPr="004D07CF">
        <w:t>E)</w:t>
      </w:r>
      <w:r w:rsidRPr="004D07CF">
        <w:tab/>
      </w:r>
      <w:r w:rsidR="00BD5C12" w:rsidRPr="004D07CF">
        <w:t>Аудиторская проверка</w:t>
      </w:r>
      <w:r w:rsidR="00CF5F2D" w:rsidRPr="004D07CF">
        <w:t xml:space="preserve"> </w:t>
      </w:r>
      <w:r w:rsidR="00BD5C12" w:rsidRPr="004D07CF">
        <w:t>обучения</w:t>
      </w:r>
      <w:r w:rsidR="00CF5F2D" w:rsidRPr="004D07CF">
        <w:t xml:space="preserve">, </w:t>
      </w:r>
      <w:r w:rsidR="00BD5C12" w:rsidRPr="004D07CF">
        <w:t>профессиональной подготовки</w:t>
      </w:r>
      <w:r w:rsidR="00CF5F2D" w:rsidRPr="004D07CF">
        <w:t xml:space="preserve"> </w:t>
      </w:r>
      <w:r w:rsidR="00BD5C12" w:rsidRPr="004D07CF">
        <w:t>и</w:t>
      </w:r>
      <w:r w:rsidR="00CF5F2D" w:rsidRPr="004D07CF">
        <w:t xml:space="preserve"> </w:t>
      </w:r>
      <w:r w:rsidR="00BD5C12" w:rsidRPr="004D07CF">
        <w:t>повышения профессиональной квалификации</w:t>
      </w:r>
    </w:p>
    <w:p w:rsidR="00CF5F2D" w:rsidRPr="004D07CF" w:rsidRDefault="00774443" w:rsidP="00774443">
      <w:r w:rsidRPr="004D07CF">
        <w:t>19</w:t>
      </w:r>
      <w:r w:rsidRPr="004D07CF">
        <w:tab/>
      </w:r>
      <w:r w:rsidR="00BD5C12" w:rsidRPr="004D07CF">
        <w:t xml:space="preserve">Служба </w:t>
      </w:r>
      <w:r w:rsidR="00CF5F2D" w:rsidRPr="004D07CF">
        <w:t xml:space="preserve">IA </w:t>
      </w:r>
      <w:r w:rsidR="00BD5C12" w:rsidRPr="004D07CF">
        <w:t>провела</w:t>
      </w:r>
      <w:r w:rsidR="00CF5F2D" w:rsidRPr="004D07CF">
        <w:t xml:space="preserve"> </w:t>
      </w:r>
      <w:r w:rsidR="00BD5C12" w:rsidRPr="004D07CF">
        <w:t>анализ деятельности по</w:t>
      </w:r>
      <w:r w:rsidR="00CF5F2D" w:rsidRPr="004D07CF">
        <w:t xml:space="preserve"> </w:t>
      </w:r>
      <w:r w:rsidR="00BD5C12" w:rsidRPr="004D07CF">
        <w:t>обучению, профессиональной подготовке и повышению профессиональной квалификации</w:t>
      </w:r>
      <w:r w:rsidR="00CF5F2D" w:rsidRPr="004D07CF">
        <w:t xml:space="preserve"> </w:t>
      </w:r>
      <w:r w:rsidR="00BD5C12" w:rsidRPr="004D07CF">
        <w:t>за период с января</w:t>
      </w:r>
      <w:r w:rsidR="00CF5F2D" w:rsidRPr="004D07CF">
        <w:t xml:space="preserve"> 2014 </w:t>
      </w:r>
      <w:r w:rsidR="00BD5C12" w:rsidRPr="004D07CF">
        <w:t>года по декабрь</w:t>
      </w:r>
      <w:r w:rsidR="00CF5F2D" w:rsidRPr="004D07CF">
        <w:t xml:space="preserve"> 2015</w:t>
      </w:r>
      <w:r w:rsidR="00BD5C12" w:rsidRPr="004D07CF">
        <w:t xml:space="preserve"> года</w:t>
      </w:r>
      <w:r w:rsidR="00CF5F2D" w:rsidRPr="004D07CF">
        <w:t xml:space="preserve">. </w:t>
      </w:r>
      <w:r w:rsidR="00BD5C12" w:rsidRPr="004D07CF">
        <w:t>Цели этой аудиторской проверки заключались в</w:t>
      </w:r>
      <w:r w:rsidR="00CF5F2D" w:rsidRPr="004D07CF">
        <w:t xml:space="preserve">: i) </w:t>
      </w:r>
      <w:r w:rsidR="00BD5C12" w:rsidRPr="004D07CF">
        <w:t>оценке</w:t>
      </w:r>
      <w:r w:rsidR="00CF5F2D" w:rsidRPr="004D07CF">
        <w:t xml:space="preserve"> </w:t>
      </w:r>
      <w:r w:rsidR="00BD5C12" w:rsidRPr="004D07CF">
        <w:t>существующих политики и</w:t>
      </w:r>
      <w:r w:rsidR="00CF5F2D" w:rsidRPr="004D07CF">
        <w:t xml:space="preserve"> </w:t>
      </w:r>
      <w:r w:rsidR="00BD5C12" w:rsidRPr="004D07CF">
        <w:t>руководящих указаний</w:t>
      </w:r>
      <w:r w:rsidR="00CF5F2D" w:rsidRPr="004D07CF">
        <w:t xml:space="preserve">; ii) </w:t>
      </w:r>
      <w:r w:rsidR="00BD5C12" w:rsidRPr="004D07CF">
        <w:t>оценке</w:t>
      </w:r>
      <w:r w:rsidR="00CF5F2D" w:rsidRPr="004D07CF">
        <w:t xml:space="preserve"> </w:t>
      </w:r>
      <w:r w:rsidR="00BD5C12" w:rsidRPr="004D07CF">
        <w:t>бюджета на профессиональную подготовку</w:t>
      </w:r>
      <w:r w:rsidR="00CF5F2D" w:rsidRPr="004D07CF">
        <w:t xml:space="preserve">; iii) </w:t>
      </w:r>
      <w:r w:rsidR="00BD5C12" w:rsidRPr="004D07CF">
        <w:t>оценке</w:t>
      </w:r>
      <w:r w:rsidR="00CF5F2D" w:rsidRPr="004D07CF">
        <w:t xml:space="preserve"> </w:t>
      </w:r>
      <w:r w:rsidR="00BD5C12" w:rsidRPr="004D07CF">
        <w:t>планирования обучения</w:t>
      </w:r>
      <w:r w:rsidR="00CF5F2D" w:rsidRPr="004D07CF">
        <w:t xml:space="preserve">, </w:t>
      </w:r>
      <w:r w:rsidR="00BD5C12" w:rsidRPr="004D07CF">
        <w:t>профессиональной подготовки и повышения профессиональной квалификации</w:t>
      </w:r>
      <w:r w:rsidR="00CF5F2D" w:rsidRPr="004D07CF">
        <w:t xml:space="preserve">; iv) </w:t>
      </w:r>
      <w:r w:rsidR="00BD5C12" w:rsidRPr="004D07CF">
        <w:t>оценке</w:t>
      </w:r>
      <w:r w:rsidR="00CF5F2D" w:rsidRPr="004D07CF">
        <w:t xml:space="preserve"> </w:t>
      </w:r>
      <w:r w:rsidR="00BD5C12" w:rsidRPr="004D07CF">
        <w:t>информации</w:t>
      </w:r>
      <w:r w:rsidR="00CF5F2D" w:rsidRPr="004D07CF">
        <w:t xml:space="preserve">, </w:t>
      </w:r>
      <w:r w:rsidR="00BD5C12" w:rsidRPr="004D07CF">
        <w:t>связи</w:t>
      </w:r>
      <w:r w:rsidR="00CF5F2D" w:rsidRPr="004D07CF">
        <w:t xml:space="preserve"> </w:t>
      </w:r>
      <w:r w:rsidR="00BD5C12" w:rsidRPr="004D07CF">
        <w:t>и отчетности об обучении</w:t>
      </w:r>
      <w:r w:rsidR="00CF5F2D" w:rsidRPr="004D07CF">
        <w:t xml:space="preserve">, </w:t>
      </w:r>
      <w:r w:rsidR="0082206A" w:rsidRPr="004D07CF">
        <w:t xml:space="preserve">о </w:t>
      </w:r>
      <w:r w:rsidR="00BD5C12" w:rsidRPr="004D07CF">
        <w:t>профессиональной подготовк</w:t>
      </w:r>
      <w:r w:rsidR="0082206A" w:rsidRPr="004D07CF">
        <w:t>е</w:t>
      </w:r>
      <w:r w:rsidR="00BD5C12" w:rsidRPr="004D07CF">
        <w:t xml:space="preserve"> и повышени</w:t>
      </w:r>
      <w:r w:rsidR="0082206A" w:rsidRPr="004D07CF">
        <w:t>и</w:t>
      </w:r>
      <w:r w:rsidR="00BD5C12" w:rsidRPr="004D07CF">
        <w:t xml:space="preserve"> профессиональной квалификации</w:t>
      </w:r>
      <w:r w:rsidR="00CF5F2D" w:rsidRPr="004D07CF">
        <w:t xml:space="preserve">; </w:t>
      </w:r>
      <w:r w:rsidR="0082206A" w:rsidRPr="004D07CF">
        <w:t>и</w:t>
      </w:r>
      <w:r w:rsidR="00CF5F2D" w:rsidRPr="004D07CF">
        <w:t xml:space="preserve"> v) </w:t>
      </w:r>
      <w:r w:rsidR="0082206A" w:rsidRPr="004D07CF">
        <w:t>анализе</w:t>
      </w:r>
      <w:r w:rsidR="00CF5F2D" w:rsidRPr="004D07CF">
        <w:t xml:space="preserve"> </w:t>
      </w:r>
      <w:r w:rsidR="0082206A" w:rsidRPr="004D07CF">
        <w:t>создания структуры</w:t>
      </w:r>
      <w:r w:rsidR="00CF5F2D" w:rsidRPr="004D07CF">
        <w:t xml:space="preserve"> </w:t>
      </w:r>
      <w:r w:rsidR="0082206A" w:rsidRPr="004D07CF">
        <w:t xml:space="preserve">координаторов по </w:t>
      </w:r>
      <w:r w:rsidR="00CF5F2D" w:rsidRPr="004D07CF">
        <w:t xml:space="preserve">HR. </w:t>
      </w:r>
      <w:r w:rsidR="0082206A" w:rsidRPr="004D07CF">
        <w:t>Затраты на профессиональную подготовку</w:t>
      </w:r>
      <w:r w:rsidR="00CF5F2D" w:rsidRPr="004D07CF">
        <w:t xml:space="preserve">, </w:t>
      </w:r>
      <w:r w:rsidR="0082206A" w:rsidRPr="004D07CF">
        <w:t>включа</w:t>
      </w:r>
      <w:r w:rsidR="0073791C" w:rsidRPr="004D07CF">
        <w:t>я</w:t>
      </w:r>
      <w:r w:rsidR="00CF5F2D" w:rsidRPr="004D07CF">
        <w:t xml:space="preserve"> </w:t>
      </w:r>
      <w:r w:rsidR="0082206A" w:rsidRPr="004D07CF">
        <w:t>централизованные,</w:t>
      </w:r>
      <w:r w:rsidR="00CF5F2D" w:rsidRPr="004D07CF">
        <w:t xml:space="preserve"> </w:t>
      </w:r>
      <w:r w:rsidR="0082206A" w:rsidRPr="004D07CF">
        <w:t>а также выделенные</w:t>
      </w:r>
      <w:r w:rsidR="00CF5F2D" w:rsidRPr="004D07CF">
        <w:t xml:space="preserve"> </w:t>
      </w:r>
      <w:r w:rsidR="0082206A" w:rsidRPr="004D07CF">
        <w:t>БР</w:t>
      </w:r>
      <w:r w:rsidR="00CF5F2D" w:rsidRPr="004D07CF">
        <w:t xml:space="preserve">, </w:t>
      </w:r>
      <w:r w:rsidR="0082206A" w:rsidRPr="004D07CF">
        <w:t>БСЭ</w:t>
      </w:r>
      <w:r w:rsidR="00CF5F2D" w:rsidRPr="004D07CF">
        <w:t xml:space="preserve">, </w:t>
      </w:r>
      <w:r w:rsidR="0082206A" w:rsidRPr="004D07CF">
        <w:t>БРЭ</w:t>
      </w:r>
      <w:r w:rsidR="00CF5F2D" w:rsidRPr="004D07CF">
        <w:t xml:space="preserve"> </w:t>
      </w:r>
      <w:r w:rsidR="0082206A" w:rsidRPr="004D07CF">
        <w:t>и Департаменту</w:t>
      </w:r>
      <w:r w:rsidR="00CF5F2D" w:rsidRPr="004D07CF">
        <w:t xml:space="preserve"> IS, </w:t>
      </w:r>
      <w:r w:rsidR="0073791C" w:rsidRPr="004D07CF">
        <w:t>составили</w:t>
      </w:r>
      <w:r w:rsidR="00CF5F2D" w:rsidRPr="004D07CF">
        <w:t> </w:t>
      </w:r>
      <w:r w:rsidR="0073791C" w:rsidRPr="004D07CF">
        <w:t xml:space="preserve">в 2014 году </w:t>
      </w:r>
      <w:r w:rsidR="00CF5F2D" w:rsidRPr="004D07CF">
        <w:t>509</w:t>
      </w:r>
      <w:r w:rsidRPr="004D07CF">
        <w:t> 614 </w:t>
      </w:r>
      <w:r w:rsidR="0073791C" w:rsidRPr="004D07CF">
        <w:t>шв.</w:t>
      </w:r>
      <w:r w:rsidRPr="004D07CF">
        <w:t> </w:t>
      </w:r>
      <w:r w:rsidR="0073791C" w:rsidRPr="004D07CF">
        <w:t xml:space="preserve">фр. </w:t>
      </w:r>
      <w:r w:rsidR="00CF5F2D" w:rsidRPr="004D07CF">
        <w:t>(</w:t>
      </w:r>
      <w:r w:rsidR="0073791C" w:rsidRPr="004D07CF">
        <w:t>бюджетом предусмотрено</w:t>
      </w:r>
      <w:r w:rsidR="00CF5F2D" w:rsidRPr="004D07CF">
        <w:t xml:space="preserve"> 683</w:t>
      </w:r>
      <w:r w:rsidRPr="004D07CF">
        <w:t> </w:t>
      </w:r>
      <w:r w:rsidR="00CF5F2D" w:rsidRPr="004D07CF">
        <w:t>500</w:t>
      </w:r>
      <w:r w:rsidRPr="004D07CF">
        <w:t> </w:t>
      </w:r>
      <w:r w:rsidR="0073791C" w:rsidRPr="004D07CF">
        <w:t>шв.</w:t>
      </w:r>
      <w:r w:rsidRPr="004D07CF">
        <w:t> </w:t>
      </w:r>
      <w:r w:rsidR="0073791C" w:rsidRPr="004D07CF">
        <w:t>фр.</w:t>
      </w:r>
      <w:r w:rsidR="00CF5F2D" w:rsidRPr="004D07CF">
        <w:t>)</w:t>
      </w:r>
      <w:r w:rsidR="0073791C" w:rsidRPr="004D07CF">
        <w:t>,</w:t>
      </w:r>
      <w:r w:rsidR="00CF5F2D" w:rsidRPr="004D07CF">
        <w:t xml:space="preserve"> </w:t>
      </w:r>
      <w:r w:rsidR="001359CD" w:rsidRPr="004D07CF">
        <w:lastRenderedPageBreak/>
        <w:t>а </w:t>
      </w:r>
      <w:r w:rsidR="0073791C" w:rsidRPr="004D07CF">
        <w:t>в</w:t>
      </w:r>
      <w:r w:rsidR="00CF5F2D" w:rsidRPr="004D07CF">
        <w:t> </w:t>
      </w:r>
      <w:r w:rsidR="0073791C" w:rsidRPr="004D07CF">
        <w:t xml:space="preserve">2015 году </w:t>
      </w:r>
      <w:r w:rsidR="001359CD" w:rsidRPr="004D07CF">
        <w:t>−</w:t>
      </w:r>
      <w:r w:rsidR="0073791C" w:rsidRPr="004D07CF">
        <w:t xml:space="preserve"> </w:t>
      </w:r>
      <w:r w:rsidR="00CF5F2D" w:rsidRPr="004D07CF">
        <w:t>636</w:t>
      </w:r>
      <w:r w:rsidRPr="004D07CF">
        <w:t> </w:t>
      </w:r>
      <w:r w:rsidR="00CF5F2D" w:rsidRPr="004D07CF">
        <w:t>120</w:t>
      </w:r>
      <w:r w:rsidRPr="004D07CF">
        <w:t> </w:t>
      </w:r>
      <w:r w:rsidR="0073791C" w:rsidRPr="004D07CF">
        <w:t xml:space="preserve">шв. фр. </w:t>
      </w:r>
      <w:r w:rsidR="00CF5F2D" w:rsidRPr="004D07CF">
        <w:t>(</w:t>
      </w:r>
      <w:r w:rsidR="0073791C" w:rsidRPr="004D07CF">
        <w:t xml:space="preserve">бюджетом предусмотрено </w:t>
      </w:r>
      <w:r w:rsidRPr="004D07CF">
        <w:t>678 </w:t>
      </w:r>
      <w:r w:rsidR="00CF5F2D" w:rsidRPr="004D07CF">
        <w:t>500</w:t>
      </w:r>
      <w:r w:rsidRPr="004D07CF">
        <w:t> </w:t>
      </w:r>
      <w:r w:rsidR="0073791C" w:rsidRPr="004D07CF">
        <w:t>шв. фр.</w:t>
      </w:r>
      <w:r w:rsidR="00CF5F2D" w:rsidRPr="004D07CF">
        <w:t xml:space="preserve">). </w:t>
      </w:r>
      <w:r w:rsidR="0073791C" w:rsidRPr="004D07CF">
        <w:t>Это соответствует приблизительно</w:t>
      </w:r>
      <w:r w:rsidR="00CF5F2D" w:rsidRPr="004D07CF">
        <w:t xml:space="preserve"> 1% </w:t>
      </w:r>
      <w:r w:rsidR="0073791C" w:rsidRPr="004D07CF">
        <w:t>от</w:t>
      </w:r>
      <w:r w:rsidR="0073791C" w:rsidRPr="004D07CF">
        <w:rPr>
          <w:color w:val="000000"/>
        </w:rPr>
        <w:t xml:space="preserve"> общего объема затрат на персонал МСЭ</w:t>
      </w:r>
      <w:r w:rsidR="00CF5F2D" w:rsidRPr="004D07CF">
        <w:t>.</w:t>
      </w:r>
    </w:p>
    <w:p w:rsidR="00CF5F2D" w:rsidRPr="004D07CF" w:rsidRDefault="00774443" w:rsidP="0042412F">
      <w:r w:rsidRPr="004D07CF">
        <w:t>20</w:t>
      </w:r>
      <w:r w:rsidRPr="004D07CF">
        <w:tab/>
      </w:r>
      <w:r w:rsidR="001D36B5" w:rsidRPr="004D07CF">
        <w:t xml:space="preserve">Служба </w:t>
      </w:r>
      <w:r w:rsidR="00CF5F2D" w:rsidRPr="004D07CF">
        <w:t xml:space="preserve">IA </w:t>
      </w:r>
      <w:r w:rsidR="001D36B5" w:rsidRPr="004D07CF">
        <w:t>пришла к выводу, что действующая в настоящее время в МСЭ политика</w:t>
      </w:r>
      <w:r w:rsidR="00CF5F2D" w:rsidRPr="004D07CF">
        <w:t xml:space="preserve"> </w:t>
      </w:r>
      <w:r w:rsidR="001D36B5" w:rsidRPr="004D07CF">
        <w:t>устарела</w:t>
      </w:r>
      <w:r w:rsidR="00CF5F2D" w:rsidRPr="004D07CF">
        <w:t xml:space="preserve"> </w:t>
      </w:r>
      <w:r w:rsidR="001D36B5" w:rsidRPr="004D07CF">
        <w:t>и</w:t>
      </w:r>
      <w:r w:rsidR="00CF5F2D" w:rsidRPr="004D07CF">
        <w:t xml:space="preserve"> </w:t>
      </w:r>
      <w:r w:rsidR="001D36B5" w:rsidRPr="004D07CF">
        <w:t xml:space="preserve">не </w:t>
      </w:r>
      <w:r w:rsidR="009F06B3" w:rsidRPr="004D07CF">
        <w:t>содержит</w:t>
      </w:r>
      <w:r w:rsidR="001D36B5" w:rsidRPr="004D07CF">
        <w:t xml:space="preserve"> четких указаний сотрудникам и руководителям</w:t>
      </w:r>
      <w:r w:rsidR="00CF5F2D" w:rsidRPr="004D07CF">
        <w:t xml:space="preserve">. </w:t>
      </w:r>
      <w:r w:rsidR="001D36B5" w:rsidRPr="004D07CF">
        <w:t>Было рекомендовано принять официальную политику</w:t>
      </w:r>
      <w:r w:rsidR="00CF5F2D" w:rsidRPr="004D07CF">
        <w:t xml:space="preserve"> </w:t>
      </w:r>
      <w:r w:rsidR="001D36B5" w:rsidRPr="004D07CF">
        <w:t>и соответствующие процедуры, относящиеся</w:t>
      </w:r>
      <w:r w:rsidR="00CF5F2D" w:rsidRPr="004D07CF">
        <w:t xml:space="preserve"> </w:t>
      </w:r>
      <w:r w:rsidR="001D36B5" w:rsidRPr="004D07CF">
        <w:t>к обучению, профессиональной подготовке и повышению профессиональной квалификации</w:t>
      </w:r>
      <w:r w:rsidR="00CF5F2D" w:rsidRPr="004D07CF">
        <w:t xml:space="preserve">. HRMD </w:t>
      </w:r>
      <w:r w:rsidR="001D36B5" w:rsidRPr="004D07CF">
        <w:t>и другие департаменты</w:t>
      </w:r>
      <w:r w:rsidR="00CF5F2D" w:rsidRPr="004D07CF">
        <w:t xml:space="preserve"> </w:t>
      </w:r>
      <w:r w:rsidR="001D36B5" w:rsidRPr="004D07CF">
        <w:t>согласились с этой рекомендацией</w:t>
      </w:r>
      <w:r w:rsidR="00CF5F2D" w:rsidRPr="004D07CF">
        <w:t xml:space="preserve">. </w:t>
      </w:r>
      <w:r w:rsidR="00667C3D" w:rsidRPr="004D07CF">
        <w:t>Управление бюджетом на профессиональную подготовку</w:t>
      </w:r>
      <w:r w:rsidR="00CF5F2D" w:rsidRPr="004D07CF">
        <w:t xml:space="preserve"> </w:t>
      </w:r>
      <w:r w:rsidR="00667C3D" w:rsidRPr="004D07CF">
        <w:t>является адекватным,</w:t>
      </w:r>
      <w:r w:rsidR="00CF5F2D" w:rsidRPr="004D07CF">
        <w:t xml:space="preserve"> </w:t>
      </w:r>
      <w:r w:rsidR="00667C3D" w:rsidRPr="004D07CF">
        <w:t>однако</w:t>
      </w:r>
      <w:r w:rsidR="00CF5F2D" w:rsidRPr="004D07CF">
        <w:t xml:space="preserve"> </w:t>
      </w:r>
      <w:r w:rsidR="00667C3D" w:rsidRPr="004D07CF">
        <w:t>последний</w:t>
      </w:r>
      <w:r w:rsidR="00CF5F2D" w:rsidRPr="004D07CF">
        <w:t xml:space="preserve"> </w:t>
      </w:r>
      <w:r w:rsidR="00667C3D" w:rsidRPr="004D07CF">
        <w:t>не основан на</w:t>
      </w:r>
      <w:r w:rsidR="00CF5F2D" w:rsidRPr="004D07CF">
        <w:t xml:space="preserve"> </w:t>
      </w:r>
      <w:r w:rsidR="001359CD" w:rsidRPr="004D07CF">
        <w:t>"</w:t>
      </w:r>
      <w:r w:rsidR="00667C3D" w:rsidRPr="004D07CF">
        <w:t>потребностях</w:t>
      </w:r>
      <w:r w:rsidR="001359CD" w:rsidRPr="004D07CF">
        <w:t>"</w:t>
      </w:r>
      <w:r w:rsidR="00CF5F2D" w:rsidRPr="004D07CF">
        <w:t xml:space="preserve">. </w:t>
      </w:r>
      <w:r w:rsidR="00667C3D" w:rsidRPr="004D07CF">
        <w:t>Поэтому было рекомендовано провести анализ</w:t>
      </w:r>
      <w:r w:rsidR="00CF5F2D" w:rsidRPr="004D07CF">
        <w:t xml:space="preserve"> </w:t>
      </w:r>
      <w:r w:rsidR="00667C3D" w:rsidRPr="004D07CF">
        <w:t>разрыва</w:t>
      </w:r>
      <w:r w:rsidR="00CF5F2D" w:rsidRPr="004D07CF">
        <w:t xml:space="preserve"> </w:t>
      </w:r>
      <w:r w:rsidR="00667C3D" w:rsidRPr="004D07CF">
        <w:t>в навыках и компетенциях, чтобы определить</w:t>
      </w:r>
      <w:r w:rsidR="00CF5F2D" w:rsidRPr="004D07CF">
        <w:t xml:space="preserve"> </w:t>
      </w:r>
      <w:r w:rsidR="00667C3D" w:rsidRPr="004D07CF">
        <w:t>среднесрочные программы обучения</w:t>
      </w:r>
      <w:r w:rsidR="00CF5F2D" w:rsidRPr="004D07CF">
        <w:t xml:space="preserve"> </w:t>
      </w:r>
      <w:r w:rsidR="00667C3D" w:rsidRPr="004D07CF">
        <w:t>и соответствующие уровни ресурсов</w:t>
      </w:r>
      <w:r w:rsidR="00CF5F2D" w:rsidRPr="004D07CF">
        <w:t xml:space="preserve">. </w:t>
      </w:r>
      <w:r w:rsidR="00667C3D" w:rsidRPr="004D07CF">
        <w:t>Планирование</w:t>
      </w:r>
      <w:r w:rsidR="00CF5F2D" w:rsidRPr="004D07CF">
        <w:t xml:space="preserve">, </w:t>
      </w:r>
      <w:r w:rsidR="00667C3D" w:rsidRPr="004D07CF">
        <w:t>информация</w:t>
      </w:r>
      <w:r w:rsidR="00CF5F2D" w:rsidRPr="004D07CF">
        <w:t xml:space="preserve"> </w:t>
      </w:r>
      <w:r w:rsidR="00667C3D" w:rsidRPr="004D07CF">
        <w:t>и процессы отчетности</w:t>
      </w:r>
      <w:r w:rsidR="00CF5F2D" w:rsidRPr="004D07CF">
        <w:t xml:space="preserve"> </w:t>
      </w:r>
      <w:r w:rsidR="00667C3D" w:rsidRPr="004D07CF">
        <w:t>не являются оптимальными</w:t>
      </w:r>
      <w:r w:rsidR="00CF5F2D" w:rsidRPr="004D07CF">
        <w:t xml:space="preserve"> </w:t>
      </w:r>
      <w:r w:rsidR="00667C3D" w:rsidRPr="004D07CF">
        <w:t>и не</w:t>
      </w:r>
      <w:r w:rsidR="00CF5F2D" w:rsidRPr="004D07CF">
        <w:t xml:space="preserve"> </w:t>
      </w:r>
      <w:r w:rsidR="00667C3D" w:rsidRPr="004D07CF">
        <w:t>в достаточной степени координируются</w:t>
      </w:r>
      <w:r w:rsidR="00CF5F2D" w:rsidRPr="004D07CF">
        <w:t xml:space="preserve">. </w:t>
      </w:r>
      <w:r w:rsidR="00667C3D" w:rsidRPr="004D07CF">
        <w:t>Поэтому было рекомендовано, чтобы</w:t>
      </w:r>
      <w:r w:rsidR="00CF5F2D" w:rsidRPr="004D07CF">
        <w:t xml:space="preserve"> </w:t>
      </w:r>
      <w:r w:rsidR="00667C3D" w:rsidRPr="004D07CF">
        <w:t>Бюро</w:t>
      </w:r>
      <w:r w:rsidR="00CF5F2D" w:rsidRPr="004D07CF">
        <w:t>/</w:t>
      </w:r>
      <w:r w:rsidR="00667C3D" w:rsidRPr="004D07CF">
        <w:t>Департаменты</w:t>
      </w:r>
      <w:r w:rsidR="00CF5F2D" w:rsidRPr="004D07CF">
        <w:t xml:space="preserve"> </w:t>
      </w:r>
      <w:r w:rsidR="00667C3D" w:rsidRPr="004D07CF">
        <w:t>ежегодно сообщали</w:t>
      </w:r>
      <w:r w:rsidR="00CF5F2D" w:rsidRPr="004D07CF">
        <w:t xml:space="preserve"> </w:t>
      </w:r>
      <w:r w:rsidR="00667C3D" w:rsidRPr="004D07CF">
        <w:t>свои</w:t>
      </w:r>
      <w:r w:rsidR="00CF5F2D" w:rsidRPr="004D07CF">
        <w:t xml:space="preserve"> </w:t>
      </w:r>
      <w:r w:rsidR="00667C3D" w:rsidRPr="004D07CF">
        <w:rPr>
          <w:i/>
          <w:iCs/>
        </w:rPr>
        <w:t>оценки потребностей</w:t>
      </w:r>
      <w:r w:rsidR="00CF5F2D" w:rsidRPr="004D07CF">
        <w:t xml:space="preserve"> </w:t>
      </w:r>
      <w:r w:rsidR="00667C3D" w:rsidRPr="004D07CF">
        <w:t>в шаблоне,</w:t>
      </w:r>
      <w:r w:rsidR="00CF5F2D" w:rsidRPr="004D07CF">
        <w:t xml:space="preserve"> </w:t>
      </w:r>
      <w:r w:rsidR="00667C3D" w:rsidRPr="004D07CF">
        <w:t xml:space="preserve">который должен быть разработан </w:t>
      </w:r>
      <w:r w:rsidR="00CF5F2D" w:rsidRPr="004D07CF">
        <w:t xml:space="preserve">HRMD, </w:t>
      </w:r>
      <w:r w:rsidR="00667C3D" w:rsidRPr="004D07CF">
        <w:t>чтобы они также ежегодно</w:t>
      </w:r>
      <w:r w:rsidR="00CF5F2D" w:rsidRPr="004D07CF">
        <w:t xml:space="preserve"> </w:t>
      </w:r>
      <w:r w:rsidR="00C67ED4" w:rsidRPr="004D07CF">
        <w:t>представляли отчет</w:t>
      </w:r>
      <w:r w:rsidR="00CF5F2D" w:rsidRPr="004D07CF">
        <w:t xml:space="preserve"> </w:t>
      </w:r>
      <w:r w:rsidR="00C67ED4" w:rsidRPr="004D07CF">
        <w:t>о своей деятельности в области профессиональной подготовки</w:t>
      </w:r>
      <w:r w:rsidR="00CF5F2D" w:rsidRPr="004D07CF">
        <w:t xml:space="preserve"> </w:t>
      </w:r>
      <w:r w:rsidR="00C67ED4" w:rsidRPr="004D07CF">
        <w:t>в шаблоне, разработанном</w:t>
      </w:r>
      <w:r w:rsidR="00CF5F2D" w:rsidRPr="004D07CF">
        <w:t xml:space="preserve"> HRMD</w:t>
      </w:r>
      <w:r w:rsidR="00C67ED4" w:rsidRPr="004D07CF">
        <w:t>,</w:t>
      </w:r>
      <w:r w:rsidR="00CF5F2D" w:rsidRPr="004D07CF">
        <w:t xml:space="preserve"> </w:t>
      </w:r>
      <w:r w:rsidR="00C67ED4" w:rsidRPr="004D07CF">
        <w:t>и было рекомендовано облегчить</w:t>
      </w:r>
      <w:r w:rsidR="00CF5F2D" w:rsidRPr="004D07CF">
        <w:t xml:space="preserve"> </w:t>
      </w:r>
      <w:r w:rsidR="00C67ED4" w:rsidRPr="004D07CF">
        <w:t>сопоставление финансовых данных по профессиональной подготовке и</w:t>
      </w:r>
      <w:r w:rsidR="00CF5F2D" w:rsidRPr="004D07CF">
        <w:t xml:space="preserve"> </w:t>
      </w:r>
      <w:r w:rsidR="00C67ED4" w:rsidRPr="004D07CF">
        <w:t>данных по профильной профессиональной подготовк</w:t>
      </w:r>
      <w:r w:rsidR="00077A0F" w:rsidRPr="004D07CF">
        <w:t xml:space="preserve">е, путем </w:t>
      </w:r>
      <w:r w:rsidR="00C67ED4" w:rsidRPr="004D07CF">
        <w:t>использовани</w:t>
      </w:r>
      <w:r w:rsidR="00077A0F" w:rsidRPr="004D07CF">
        <w:t>я</w:t>
      </w:r>
      <w:r w:rsidR="00CF5F2D" w:rsidRPr="004D07CF">
        <w:t xml:space="preserve"> </w:t>
      </w:r>
      <w:r w:rsidR="00C67ED4" w:rsidRPr="004D07CF">
        <w:t>средств автоматизации</w:t>
      </w:r>
      <w:r w:rsidR="00CF5F2D" w:rsidRPr="004D07CF">
        <w:t xml:space="preserve">. </w:t>
      </w:r>
      <w:r w:rsidR="00077A0F" w:rsidRPr="004D07CF">
        <w:t>Большинство Бюро</w:t>
      </w:r>
      <w:r w:rsidR="00CF5F2D" w:rsidRPr="004D07CF">
        <w:t>/</w:t>
      </w:r>
      <w:r w:rsidR="00077A0F" w:rsidRPr="004D07CF">
        <w:t>Департаментов,</w:t>
      </w:r>
      <w:r w:rsidR="00CF5F2D" w:rsidRPr="004D07CF">
        <w:t xml:space="preserve"> </w:t>
      </w:r>
      <w:r w:rsidR="00077A0F" w:rsidRPr="004D07CF">
        <w:t>а также</w:t>
      </w:r>
      <w:r w:rsidR="00CF5F2D" w:rsidRPr="004D07CF">
        <w:t xml:space="preserve"> HRMD</w:t>
      </w:r>
      <w:r w:rsidR="00077A0F" w:rsidRPr="004D07CF">
        <w:t>,</w:t>
      </w:r>
      <w:r w:rsidR="00CF5F2D" w:rsidRPr="004D07CF">
        <w:t xml:space="preserve"> </w:t>
      </w:r>
      <w:r w:rsidR="00077A0F" w:rsidRPr="004D07CF">
        <w:t>выразили свое согласие с</w:t>
      </w:r>
      <w:r w:rsidR="00CF5F2D" w:rsidRPr="004D07CF">
        <w:t xml:space="preserve"> </w:t>
      </w:r>
      <w:r w:rsidR="00077A0F" w:rsidRPr="004D07CF">
        <w:t>этими рекомендациями</w:t>
      </w:r>
      <w:r w:rsidR="00CF5F2D" w:rsidRPr="004D07CF">
        <w:t xml:space="preserve">. </w:t>
      </w:r>
      <w:r w:rsidR="00077A0F" w:rsidRPr="004D07CF">
        <w:t>Что касается</w:t>
      </w:r>
      <w:r w:rsidR="00CF5F2D" w:rsidRPr="004D07CF">
        <w:t xml:space="preserve"> </w:t>
      </w:r>
      <w:r w:rsidR="00077A0F" w:rsidRPr="004D07CF">
        <w:t xml:space="preserve">координаторов по </w:t>
      </w:r>
      <w:r w:rsidR="00CF5F2D" w:rsidRPr="004D07CF">
        <w:t xml:space="preserve">HR </w:t>
      </w:r>
      <w:r w:rsidR="00077A0F" w:rsidRPr="004D07CF">
        <w:t>в Бюро</w:t>
      </w:r>
      <w:r w:rsidR="00CF5F2D" w:rsidRPr="004D07CF">
        <w:t>/</w:t>
      </w:r>
      <w:r w:rsidR="00922EAD" w:rsidRPr="004D07CF">
        <w:t>Д</w:t>
      </w:r>
      <w:r w:rsidR="00077A0F" w:rsidRPr="004D07CF">
        <w:t>епартаментах</w:t>
      </w:r>
      <w:r w:rsidR="00CF5F2D" w:rsidRPr="004D07CF">
        <w:t xml:space="preserve">, </w:t>
      </w:r>
      <w:r w:rsidR="00077A0F" w:rsidRPr="004D07CF">
        <w:t xml:space="preserve">то </w:t>
      </w:r>
      <w:r w:rsidR="00922EAD" w:rsidRPr="004D07CF">
        <w:t>существующая</w:t>
      </w:r>
      <w:r w:rsidR="00077A0F" w:rsidRPr="004D07CF">
        <w:t xml:space="preserve"> текучесть кадров</w:t>
      </w:r>
      <w:r w:rsidR="00CF5F2D" w:rsidRPr="004D07CF">
        <w:t xml:space="preserve"> </w:t>
      </w:r>
      <w:r w:rsidR="00077A0F" w:rsidRPr="004D07CF">
        <w:t>подвергает Союз риску</w:t>
      </w:r>
      <w:r w:rsidR="00CF5F2D" w:rsidRPr="004D07CF">
        <w:t xml:space="preserve"> </w:t>
      </w:r>
      <w:r w:rsidR="00077A0F" w:rsidRPr="004D07CF">
        <w:t xml:space="preserve">нарушения непрерывности </w:t>
      </w:r>
      <w:r w:rsidR="00922EAD" w:rsidRPr="004D07CF">
        <w:t>обяза</w:t>
      </w:r>
      <w:r w:rsidR="00077A0F" w:rsidRPr="004D07CF">
        <w:t>нностей</w:t>
      </w:r>
      <w:r w:rsidR="00CF5F2D" w:rsidRPr="004D07CF">
        <w:t xml:space="preserve">. </w:t>
      </w:r>
      <w:r w:rsidR="00077A0F" w:rsidRPr="004D07CF">
        <w:t>Было рекомендовано</w:t>
      </w:r>
      <w:r w:rsidR="00CF5F2D" w:rsidRPr="004D07CF">
        <w:t xml:space="preserve"> </w:t>
      </w:r>
      <w:r w:rsidR="000F7535" w:rsidRPr="004D07CF">
        <w:t xml:space="preserve">защитить </w:t>
      </w:r>
      <w:r w:rsidR="00CF5F2D" w:rsidRPr="004D07CF">
        <w:t>(</w:t>
      </w:r>
      <w:r w:rsidR="000F7535" w:rsidRPr="004D07CF">
        <w:t>на центральном уровне</w:t>
      </w:r>
      <w:r w:rsidR="00CF5F2D" w:rsidRPr="004D07CF">
        <w:t>)</w:t>
      </w:r>
      <w:r w:rsidR="000F7535" w:rsidRPr="004D07CF">
        <w:t xml:space="preserve"> обязанности координаторов по HR при замене персонала</w:t>
      </w:r>
      <w:r w:rsidR="00CF5F2D" w:rsidRPr="004D07CF">
        <w:t xml:space="preserve">. </w:t>
      </w:r>
    </w:p>
    <w:p w:rsidR="00CF5F2D" w:rsidRPr="004D07CF" w:rsidRDefault="00781ED4" w:rsidP="001359CD">
      <w:pPr>
        <w:rPr>
          <w:rFonts w:asciiTheme="minorHAnsi" w:hAnsiTheme="minorHAnsi" w:cstheme="minorHAnsi"/>
          <w:sz w:val="24"/>
          <w:szCs w:val="24"/>
        </w:rPr>
      </w:pPr>
      <w:r w:rsidRPr="004D07CF">
        <w:t>21</w:t>
      </w:r>
      <w:r w:rsidRPr="004D07CF">
        <w:tab/>
      </w:r>
      <w:r w:rsidR="000F7535" w:rsidRPr="004D07CF">
        <w:t xml:space="preserve">В целом, Служба IA считает, что процессы </w:t>
      </w:r>
      <w:r w:rsidR="0009601F" w:rsidRPr="004D07CF">
        <w:t>руководства</w:t>
      </w:r>
      <w:r w:rsidR="000F7535" w:rsidRPr="004D07CF">
        <w:t xml:space="preserve"> и управления рисками, а также меры внутреннего контроля, не являются достаточно адекватными и эффективными. Следовало бы </w:t>
      </w:r>
      <w:r w:rsidR="0009601F" w:rsidRPr="004D07CF">
        <w:t>добиться у</w:t>
      </w:r>
      <w:r w:rsidR="000F7535" w:rsidRPr="004D07CF">
        <w:t>лучшени</w:t>
      </w:r>
      <w:r w:rsidR="0009601F" w:rsidRPr="004D07CF">
        <w:t>й</w:t>
      </w:r>
      <w:r w:rsidR="000F7535" w:rsidRPr="004D07CF">
        <w:t xml:space="preserve"> в областях</w:t>
      </w:r>
      <w:r w:rsidR="0009601F" w:rsidRPr="004D07CF">
        <w:t xml:space="preserve"> политики</w:t>
      </w:r>
      <w:r w:rsidR="00CF5F2D" w:rsidRPr="004D07CF">
        <w:t xml:space="preserve">, </w:t>
      </w:r>
      <w:r w:rsidR="0009601F" w:rsidRPr="004D07CF">
        <w:t>процедур</w:t>
      </w:r>
      <w:r w:rsidR="00CF5F2D" w:rsidRPr="004D07CF">
        <w:t xml:space="preserve">, </w:t>
      </w:r>
      <w:r w:rsidR="0009601F" w:rsidRPr="004D07CF">
        <w:t>планирования и отчетности</w:t>
      </w:r>
      <w:r w:rsidR="00CF5F2D" w:rsidRPr="004D07CF">
        <w:t xml:space="preserve">. </w:t>
      </w:r>
      <w:r w:rsidR="0009601F" w:rsidRPr="004D07CF">
        <w:t>Вместе с тем имеется</w:t>
      </w:r>
      <w:r w:rsidR="00CF5F2D" w:rsidRPr="004D07CF">
        <w:t xml:space="preserve"> </w:t>
      </w:r>
      <w:r w:rsidR="00922EAD" w:rsidRPr="004D07CF">
        <w:t>надлежащее</w:t>
      </w:r>
      <w:r w:rsidR="0009601F" w:rsidRPr="004D07CF">
        <w:t xml:space="preserve"> соответствие</w:t>
      </w:r>
      <w:r w:rsidR="00CF5F2D" w:rsidRPr="004D07CF">
        <w:t xml:space="preserve"> </w:t>
      </w:r>
      <w:r w:rsidR="0009601F" w:rsidRPr="004D07CF">
        <w:t>транзакций</w:t>
      </w:r>
      <w:r w:rsidR="00CF5F2D" w:rsidRPr="004D07CF">
        <w:t xml:space="preserve"> </w:t>
      </w:r>
      <w:r w:rsidR="0009601F" w:rsidRPr="004D07CF">
        <w:t>существующим процедурам</w:t>
      </w:r>
      <w:r w:rsidR="00CF5F2D" w:rsidRPr="004D07CF">
        <w:t xml:space="preserve"> </w:t>
      </w:r>
      <w:r w:rsidR="0009601F" w:rsidRPr="004D07CF">
        <w:t>и</w:t>
      </w:r>
      <w:r w:rsidR="00CF5F2D" w:rsidRPr="004D07CF">
        <w:t xml:space="preserve"> </w:t>
      </w:r>
      <w:r w:rsidR="0009601F" w:rsidRPr="004D07CF">
        <w:rPr>
          <w:color w:val="000000"/>
        </w:rPr>
        <w:t>установившейся практике</w:t>
      </w:r>
      <w:r w:rsidR="00CF5F2D" w:rsidRPr="004D07CF">
        <w:t>.</w:t>
      </w:r>
      <w:r w:rsidR="00CF5F2D" w:rsidRPr="004D07C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F5F2D" w:rsidRPr="004D07CF" w:rsidRDefault="00781ED4" w:rsidP="001359CD">
      <w:pPr>
        <w:pStyle w:val="Headingb"/>
      </w:pPr>
      <w:r w:rsidRPr="004D07CF">
        <w:t>F)</w:t>
      </w:r>
      <w:r w:rsidRPr="004D07CF">
        <w:tab/>
      </w:r>
      <w:r w:rsidR="00BE23C5" w:rsidRPr="004D07CF">
        <w:t>Аудиторская проверка</w:t>
      </w:r>
      <w:r w:rsidR="00CF5F2D" w:rsidRPr="004D07CF">
        <w:t xml:space="preserve"> </w:t>
      </w:r>
      <w:r w:rsidR="00BE23C5" w:rsidRPr="004D07CF">
        <w:t>контрактов на ИТ</w:t>
      </w:r>
      <w:r w:rsidR="00CF5F2D" w:rsidRPr="004D07CF">
        <w:t xml:space="preserve">, </w:t>
      </w:r>
      <w:r w:rsidR="00BE23C5" w:rsidRPr="004D07CF">
        <w:rPr>
          <w:color w:val="000000"/>
        </w:rPr>
        <w:t>услуг по аренде и эксплуатации</w:t>
      </w:r>
      <w:r w:rsidR="00CF5F2D" w:rsidRPr="004D07CF">
        <w:t xml:space="preserve"> </w:t>
      </w:r>
    </w:p>
    <w:p w:rsidR="00CF5F2D" w:rsidRPr="004D07CF" w:rsidRDefault="00781ED4" w:rsidP="004D07CF">
      <w:r w:rsidRPr="004D07CF">
        <w:t>22</w:t>
      </w:r>
      <w:r w:rsidRPr="004D07CF">
        <w:tab/>
      </w:r>
      <w:r w:rsidR="00BE23C5" w:rsidRPr="004D07CF">
        <w:t xml:space="preserve">Служба </w:t>
      </w:r>
      <w:r w:rsidR="00CF5F2D" w:rsidRPr="004D07CF">
        <w:t xml:space="preserve">IA </w:t>
      </w:r>
      <w:r w:rsidR="00BE23C5" w:rsidRPr="004D07CF">
        <w:t>провела анализ контрактов на ИТ</w:t>
      </w:r>
      <w:r w:rsidR="00CF5F2D" w:rsidRPr="004D07CF">
        <w:t xml:space="preserve">, </w:t>
      </w:r>
      <w:r w:rsidR="00BE23C5" w:rsidRPr="004D07CF">
        <w:rPr>
          <w:color w:val="000000"/>
        </w:rPr>
        <w:t>услуг по аренде и эксплуатации</w:t>
      </w:r>
      <w:r w:rsidR="00BE23C5" w:rsidRPr="004D07CF">
        <w:t xml:space="preserve"> за период с </w:t>
      </w:r>
      <w:r w:rsidR="00CF5F2D" w:rsidRPr="004D07CF">
        <w:t>2013</w:t>
      </w:r>
      <w:r w:rsidR="00BE23C5" w:rsidRPr="004D07CF">
        <w:t xml:space="preserve"> по</w:t>
      </w:r>
      <w:r w:rsidR="00CF5F2D" w:rsidRPr="004D07CF">
        <w:t xml:space="preserve"> 2015</w:t>
      </w:r>
      <w:r w:rsidR="00BE23C5" w:rsidRPr="004D07CF">
        <w:t xml:space="preserve"> год</w:t>
      </w:r>
      <w:r w:rsidR="00CF5F2D" w:rsidRPr="004D07CF">
        <w:t xml:space="preserve">. </w:t>
      </w:r>
      <w:r w:rsidR="00BE23C5" w:rsidRPr="004D07CF">
        <w:t>Цели этой аудиторской проверки заключались в</w:t>
      </w:r>
      <w:r w:rsidRPr="004D07CF">
        <w:t xml:space="preserve">: </w:t>
      </w:r>
      <w:r w:rsidR="00CF5F2D" w:rsidRPr="004D07CF">
        <w:t xml:space="preserve">i) </w:t>
      </w:r>
      <w:r w:rsidR="00BE23C5" w:rsidRPr="004D07CF">
        <w:t>оценке</w:t>
      </w:r>
      <w:r w:rsidR="00CF5F2D" w:rsidRPr="004D07CF">
        <w:t xml:space="preserve"> </w:t>
      </w:r>
      <w:r w:rsidR="00BE23C5" w:rsidRPr="004D07CF">
        <w:rPr>
          <w:color w:val="000000"/>
        </w:rPr>
        <w:t>адекватности</w:t>
      </w:r>
      <w:r w:rsidR="00BE23C5" w:rsidRPr="004D07CF">
        <w:t xml:space="preserve"> политики, регулирующей контракты на ИТ</w:t>
      </w:r>
      <w:r w:rsidR="00CF5F2D" w:rsidRPr="004D07CF">
        <w:t xml:space="preserve">, </w:t>
      </w:r>
      <w:r w:rsidR="00BE23C5" w:rsidRPr="004D07CF">
        <w:rPr>
          <w:color w:val="000000"/>
        </w:rPr>
        <w:t>услуги по аренде и эксплуатации</w:t>
      </w:r>
      <w:r w:rsidR="00BE23C5" w:rsidRPr="004D07CF">
        <w:t xml:space="preserve"> и </w:t>
      </w:r>
      <w:r w:rsidR="002B2E4E" w:rsidRPr="004D07CF">
        <w:t>ее</w:t>
      </w:r>
      <w:r w:rsidR="00CF5F2D" w:rsidRPr="004D07CF">
        <w:t xml:space="preserve"> </w:t>
      </w:r>
      <w:r w:rsidR="002B2E4E" w:rsidRPr="004D07CF">
        <w:t>надежности</w:t>
      </w:r>
      <w:r w:rsidR="00CF5F2D" w:rsidRPr="004D07CF">
        <w:t xml:space="preserve"> </w:t>
      </w:r>
      <w:r w:rsidR="002B2E4E" w:rsidRPr="004D07CF">
        <w:t>с точки зрения обеспечения сохранности активов Союза</w:t>
      </w:r>
      <w:r w:rsidR="00CF5F2D" w:rsidRPr="004D07CF">
        <w:t xml:space="preserve">; ii) </w:t>
      </w:r>
      <w:r w:rsidR="00BE23C5" w:rsidRPr="004D07CF">
        <w:t>оценке</w:t>
      </w:r>
      <w:r w:rsidR="00CF5F2D" w:rsidRPr="004D07CF">
        <w:t xml:space="preserve"> </w:t>
      </w:r>
      <w:r w:rsidR="002B2E4E" w:rsidRPr="004D07CF">
        <w:t>эффективности и экономичности использования ресурсов</w:t>
      </w:r>
      <w:r w:rsidR="00CF5F2D" w:rsidRPr="004D07CF">
        <w:t xml:space="preserve"> </w:t>
      </w:r>
      <w:r w:rsidR="002B2E4E" w:rsidRPr="004D07CF">
        <w:t>для</w:t>
      </w:r>
      <w:r w:rsidR="00CF5F2D" w:rsidRPr="004D07CF">
        <w:t xml:space="preserve"> </w:t>
      </w:r>
      <w:r w:rsidR="002B2E4E" w:rsidRPr="004D07CF">
        <w:t xml:space="preserve">контрактов на ИТ, </w:t>
      </w:r>
      <w:r w:rsidR="002B2E4E" w:rsidRPr="004D07CF">
        <w:rPr>
          <w:color w:val="000000"/>
        </w:rPr>
        <w:t>услуг по аренде и эксплуатации</w:t>
      </w:r>
      <w:r w:rsidR="00CF5F2D" w:rsidRPr="004D07CF">
        <w:t xml:space="preserve">; iii) </w:t>
      </w:r>
      <w:r w:rsidR="00BE23C5" w:rsidRPr="004D07CF">
        <w:t xml:space="preserve">оценке </w:t>
      </w:r>
      <w:r w:rsidR="002B2E4E" w:rsidRPr="004D07CF">
        <w:t>достоверности отчетности</w:t>
      </w:r>
      <w:r w:rsidR="00CF5F2D" w:rsidRPr="004D07CF">
        <w:t xml:space="preserve"> </w:t>
      </w:r>
      <w:r w:rsidR="002B2E4E" w:rsidRPr="004D07CF">
        <w:t xml:space="preserve">по контрактам на ИТ, </w:t>
      </w:r>
      <w:r w:rsidR="002B2E4E" w:rsidRPr="004D07CF">
        <w:rPr>
          <w:color w:val="000000"/>
        </w:rPr>
        <w:t>услугам по аренде и эксплуатации</w:t>
      </w:r>
      <w:r w:rsidR="00CF5F2D" w:rsidRPr="004D07CF">
        <w:t xml:space="preserve">; iv) </w:t>
      </w:r>
      <w:r w:rsidR="00BE23C5" w:rsidRPr="004D07CF">
        <w:t xml:space="preserve">оценке </w:t>
      </w:r>
      <w:r w:rsidR="002B2E4E" w:rsidRPr="004D07CF">
        <w:t>эффективности</w:t>
      </w:r>
      <w:r w:rsidR="00CF5F2D" w:rsidRPr="004D07CF">
        <w:t xml:space="preserve"> </w:t>
      </w:r>
      <w:r w:rsidR="002B2E4E" w:rsidRPr="004D07CF">
        <w:t>мер контроля</w:t>
      </w:r>
      <w:r w:rsidR="00CF5F2D" w:rsidRPr="004D07CF">
        <w:t xml:space="preserve"> </w:t>
      </w:r>
      <w:r w:rsidR="002B2E4E" w:rsidRPr="004D07CF">
        <w:t>и</w:t>
      </w:r>
      <w:r w:rsidR="00CF5F2D" w:rsidRPr="004D07CF">
        <w:t xml:space="preserve"> </w:t>
      </w:r>
      <w:r w:rsidR="002B2E4E" w:rsidRPr="004D07CF">
        <w:t xml:space="preserve">соблюдения </w:t>
      </w:r>
      <w:r w:rsidR="00B5088A" w:rsidRPr="004D07CF">
        <w:t>требований политики при</w:t>
      </w:r>
      <w:r w:rsidR="00CF5F2D" w:rsidRPr="004D07CF">
        <w:t xml:space="preserve"> </w:t>
      </w:r>
      <w:r w:rsidR="00B5088A" w:rsidRPr="004D07CF">
        <w:t xml:space="preserve">управлении контрактами на ИТ, </w:t>
      </w:r>
      <w:r w:rsidR="00B5088A" w:rsidRPr="004D07CF">
        <w:rPr>
          <w:color w:val="000000"/>
        </w:rPr>
        <w:t>услугами по аренде и эксплуатации</w:t>
      </w:r>
      <w:r w:rsidR="00CF5F2D" w:rsidRPr="004D07CF">
        <w:t xml:space="preserve">; </w:t>
      </w:r>
      <w:r w:rsidR="00B5088A" w:rsidRPr="004D07CF">
        <w:t xml:space="preserve">и </w:t>
      </w:r>
      <w:r w:rsidR="00CF5F2D" w:rsidRPr="004D07CF">
        <w:t xml:space="preserve">v) </w:t>
      </w:r>
      <w:r w:rsidR="00BE23C5" w:rsidRPr="004D07CF">
        <w:t xml:space="preserve">оценке </w:t>
      </w:r>
      <w:r w:rsidR="00B5088A" w:rsidRPr="004D07CF">
        <w:t>мониторинга связей с третьими сторонами</w:t>
      </w:r>
      <w:r w:rsidR="00CF5F2D" w:rsidRPr="004D07CF">
        <w:t xml:space="preserve">. </w:t>
      </w:r>
      <w:r w:rsidR="00B5088A" w:rsidRPr="004D07CF">
        <w:t>В</w:t>
      </w:r>
      <w:r w:rsidRPr="004D07CF">
        <w:t> </w:t>
      </w:r>
      <w:r w:rsidR="00B5088A" w:rsidRPr="004D07CF">
        <w:t>целом, было признано, что</w:t>
      </w:r>
      <w:r w:rsidR="00CF5F2D" w:rsidRPr="004D07CF">
        <w:t xml:space="preserve"> </w:t>
      </w:r>
      <w:r w:rsidR="00B5088A" w:rsidRPr="004D07CF">
        <w:t>многие из этих вопросов</w:t>
      </w:r>
      <w:r w:rsidR="00CF5F2D" w:rsidRPr="004D07CF">
        <w:t xml:space="preserve"> </w:t>
      </w:r>
      <w:r w:rsidR="00B5088A" w:rsidRPr="004D07CF">
        <w:t>фактически</w:t>
      </w:r>
      <w:r w:rsidR="00CF5F2D" w:rsidRPr="004D07CF">
        <w:t xml:space="preserve"> </w:t>
      </w:r>
      <w:r w:rsidR="00B5088A" w:rsidRPr="004D07CF">
        <w:rPr>
          <w:u w:val="single"/>
        </w:rPr>
        <w:t>шире</w:t>
      </w:r>
      <w:r w:rsidR="00CF5F2D" w:rsidRPr="004D07CF">
        <w:t xml:space="preserve"> </w:t>
      </w:r>
      <w:r w:rsidR="00B5088A" w:rsidRPr="004D07CF">
        <w:t>и прямо не связаны с</w:t>
      </w:r>
      <w:r w:rsidR="00CF5F2D" w:rsidRPr="004D07CF">
        <w:t xml:space="preserve"> </w:t>
      </w:r>
      <w:r w:rsidR="00B5088A" w:rsidRPr="004D07CF">
        <w:t>контрактам</w:t>
      </w:r>
      <w:r w:rsidR="00575D3C">
        <w:t>и</w:t>
      </w:r>
      <w:r w:rsidR="00B5088A" w:rsidRPr="004D07CF">
        <w:t xml:space="preserve"> на ИТ, </w:t>
      </w:r>
      <w:r w:rsidR="00B5088A" w:rsidRPr="004D07CF">
        <w:rPr>
          <w:color w:val="000000"/>
        </w:rPr>
        <w:t>услугами по аренде и эксплуатации</w:t>
      </w:r>
      <w:r w:rsidR="00CF5F2D" w:rsidRPr="004D07CF">
        <w:t>.</w:t>
      </w:r>
    </w:p>
    <w:p w:rsidR="00CF5F2D" w:rsidRPr="004D07CF" w:rsidRDefault="00781ED4" w:rsidP="001359CD">
      <w:r w:rsidRPr="004D07CF">
        <w:t>23</w:t>
      </w:r>
      <w:r w:rsidRPr="004D07CF">
        <w:tab/>
      </w:r>
      <w:r w:rsidR="00C91410" w:rsidRPr="004D07CF">
        <w:t>Служба IA пришла к выводу, что существующая политика, регулирующая</w:t>
      </w:r>
      <w:r w:rsidR="00BC29FD" w:rsidRPr="004D07CF">
        <w:t xml:space="preserve"> порядок</w:t>
      </w:r>
      <w:r w:rsidR="00CF5F2D" w:rsidRPr="004D07CF">
        <w:t xml:space="preserve"> </w:t>
      </w:r>
      <w:r w:rsidR="00BC29FD" w:rsidRPr="004D07CF">
        <w:t xml:space="preserve">закупок </w:t>
      </w:r>
      <w:r w:rsidR="00CF5F2D" w:rsidRPr="004D07CF">
        <w:t>(</w:t>
      </w:r>
      <w:r w:rsidR="00BC29FD" w:rsidRPr="004D07CF">
        <w:t>заключение контрактов на</w:t>
      </w:r>
      <w:r w:rsidR="00CF5F2D" w:rsidRPr="004D07CF">
        <w:t xml:space="preserve"> </w:t>
      </w:r>
      <w:r w:rsidR="00BC29FD" w:rsidRPr="004D07CF">
        <w:t>ИТ</w:t>
      </w:r>
      <w:r w:rsidR="00CF5F2D" w:rsidRPr="004D07CF">
        <w:t xml:space="preserve">, </w:t>
      </w:r>
      <w:r w:rsidR="00BC29FD" w:rsidRPr="004D07CF">
        <w:t xml:space="preserve">предоставление </w:t>
      </w:r>
      <w:r w:rsidR="00BC29FD" w:rsidRPr="004D07CF">
        <w:rPr>
          <w:color w:val="000000"/>
        </w:rPr>
        <w:t>услуг по аренде и эксплуатации</w:t>
      </w:r>
      <w:r w:rsidR="00CF5F2D" w:rsidRPr="004D07CF">
        <w:t>)</w:t>
      </w:r>
      <w:r w:rsidR="00BC29FD" w:rsidRPr="004D07CF">
        <w:t>,</w:t>
      </w:r>
      <w:r w:rsidR="00CF5F2D" w:rsidRPr="004D07CF">
        <w:t xml:space="preserve"> </w:t>
      </w:r>
      <w:r w:rsidR="00BC29FD" w:rsidRPr="004D07CF">
        <w:t>оценивается как не</w:t>
      </w:r>
      <w:r w:rsidR="00922EAD" w:rsidRPr="004D07CF">
        <w:t>надлежащая</w:t>
      </w:r>
      <w:r w:rsidR="00CF5F2D" w:rsidRPr="004D07CF">
        <w:t xml:space="preserve">, </w:t>
      </w:r>
      <w:r w:rsidR="00BC29FD" w:rsidRPr="004D07CF">
        <w:t>хотя</w:t>
      </w:r>
      <w:r w:rsidR="00CF5F2D" w:rsidRPr="004D07CF">
        <w:t xml:space="preserve"> </w:t>
      </w:r>
      <w:r w:rsidR="00922EAD" w:rsidRPr="004D07CF">
        <w:t>п</w:t>
      </w:r>
      <w:r w:rsidR="00BC29FD" w:rsidRPr="004D07CF">
        <w:rPr>
          <w:color w:val="000000"/>
        </w:rPr>
        <w:t>одразделение по правовым вопросам</w:t>
      </w:r>
      <w:r w:rsidR="00CF5F2D" w:rsidRPr="004D07CF">
        <w:t xml:space="preserve"> (LAU) </w:t>
      </w:r>
      <w:r w:rsidR="00BC29FD" w:rsidRPr="004D07CF">
        <w:t>считает, что</w:t>
      </w:r>
      <w:r w:rsidR="00CF5F2D" w:rsidRPr="004D07CF">
        <w:t xml:space="preserve"> </w:t>
      </w:r>
      <w:r w:rsidR="00BC29FD" w:rsidRPr="004D07CF">
        <w:t>кое-что</w:t>
      </w:r>
      <w:r w:rsidR="00CF5F2D" w:rsidRPr="004D07CF">
        <w:t xml:space="preserve"> </w:t>
      </w:r>
      <w:r w:rsidR="001907C7" w:rsidRPr="004D07CF">
        <w:t xml:space="preserve">в толковании Службы </w:t>
      </w:r>
      <w:r w:rsidR="00CF5F2D" w:rsidRPr="004D07CF">
        <w:t xml:space="preserve">IA </w:t>
      </w:r>
      <w:r w:rsidR="001907C7" w:rsidRPr="004D07CF">
        <w:t>является некорректным</w:t>
      </w:r>
      <w:r w:rsidR="00CF5F2D" w:rsidRPr="004D07CF">
        <w:t xml:space="preserve">. </w:t>
      </w:r>
      <w:r w:rsidR="001907C7" w:rsidRPr="004D07CF">
        <w:t>Было рекомендовано пересмотреть</w:t>
      </w:r>
      <w:r w:rsidR="00CF5F2D" w:rsidRPr="004D07CF">
        <w:t xml:space="preserve"> </w:t>
      </w:r>
      <w:r w:rsidR="001907C7" w:rsidRPr="004D07CF">
        <w:rPr>
          <w:color w:val="000000"/>
        </w:rPr>
        <w:t xml:space="preserve">в минимально </w:t>
      </w:r>
      <w:r w:rsidR="00B877CE" w:rsidRPr="004D07CF">
        <w:rPr>
          <w:color w:val="000000"/>
        </w:rPr>
        <w:t>возможные сроки (например</w:t>
      </w:r>
      <w:r w:rsidR="001907C7" w:rsidRPr="004D07CF">
        <w:rPr>
          <w:color w:val="000000"/>
        </w:rPr>
        <w:t>, в течение одного года) Служебный приказ о правилах и процедурах, регулирующих размещение контрактов</w:t>
      </w:r>
      <w:r w:rsidR="00CF5F2D" w:rsidRPr="004D07CF">
        <w:t xml:space="preserve">. LAU </w:t>
      </w:r>
      <w:r w:rsidR="001907C7" w:rsidRPr="004D07CF">
        <w:t>и</w:t>
      </w:r>
      <w:r w:rsidR="00CF5F2D" w:rsidRPr="004D07CF">
        <w:t xml:space="preserve"> FRMD </w:t>
      </w:r>
      <w:r w:rsidR="001907C7" w:rsidRPr="004D07CF">
        <w:t>отметили, что</w:t>
      </w:r>
      <w:r w:rsidR="00CF5F2D" w:rsidRPr="004D07CF">
        <w:t xml:space="preserve"> </w:t>
      </w:r>
      <w:r w:rsidR="001907C7" w:rsidRPr="004D07CF">
        <w:t>этот пересмотр уже осуществляется</w:t>
      </w:r>
      <w:r w:rsidR="00CF5F2D" w:rsidRPr="004D07CF">
        <w:t xml:space="preserve">. </w:t>
      </w:r>
      <w:r w:rsidR="001907C7" w:rsidRPr="004D07CF">
        <w:t>Существует риск того, что</w:t>
      </w:r>
      <w:r w:rsidR="00CF5F2D" w:rsidRPr="004D07CF">
        <w:t xml:space="preserve"> </w:t>
      </w:r>
      <w:r w:rsidR="001907C7" w:rsidRPr="004D07CF">
        <w:t>эффективность и экономия</w:t>
      </w:r>
      <w:r w:rsidR="00CF5F2D" w:rsidRPr="004D07CF">
        <w:t xml:space="preserve"> </w:t>
      </w:r>
      <w:r w:rsidR="001907C7" w:rsidRPr="004D07CF">
        <w:t>при использовании ресурсов</w:t>
      </w:r>
      <w:r w:rsidR="00CF5F2D" w:rsidRPr="004D07CF">
        <w:t xml:space="preserve"> (</w:t>
      </w:r>
      <w:r w:rsidR="001907C7" w:rsidRPr="004D07CF">
        <w:t>для контрактов на</w:t>
      </w:r>
      <w:r w:rsidR="00CF5F2D" w:rsidRPr="004D07CF">
        <w:t xml:space="preserve"> </w:t>
      </w:r>
      <w:r w:rsidR="001907C7" w:rsidRPr="004D07CF">
        <w:t>ИТ</w:t>
      </w:r>
      <w:r w:rsidR="00CF5F2D" w:rsidRPr="004D07CF">
        <w:t xml:space="preserve">, </w:t>
      </w:r>
      <w:r w:rsidR="001907C7" w:rsidRPr="004D07CF">
        <w:t xml:space="preserve">услуг </w:t>
      </w:r>
      <w:r w:rsidR="001907C7" w:rsidRPr="004D07CF">
        <w:rPr>
          <w:color w:val="000000"/>
        </w:rPr>
        <w:t>по аренде и эксплуатации</w:t>
      </w:r>
      <w:r w:rsidR="00CF5F2D" w:rsidRPr="004D07CF">
        <w:t xml:space="preserve">) </w:t>
      </w:r>
      <w:r w:rsidR="00A22EA2" w:rsidRPr="004D07CF">
        <w:t xml:space="preserve">не </w:t>
      </w:r>
      <w:r w:rsidR="00A22EA2" w:rsidRPr="004D07CF">
        <w:rPr>
          <w:color w:val="000000"/>
        </w:rPr>
        <w:t>оптимизированы</w:t>
      </w:r>
      <w:r w:rsidR="00CF5F2D" w:rsidRPr="004D07CF">
        <w:t xml:space="preserve">. </w:t>
      </w:r>
      <w:r w:rsidR="00A22EA2" w:rsidRPr="004D07CF">
        <w:t>Было рекомендовано</w:t>
      </w:r>
      <w:r w:rsidR="00CF5F2D" w:rsidRPr="004D07CF">
        <w:t xml:space="preserve"> </w:t>
      </w:r>
      <w:r w:rsidR="00A22EA2" w:rsidRPr="004D07CF">
        <w:t>ускорить подготовку</w:t>
      </w:r>
      <w:r w:rsidR="00CF5F2D" w:rsidRPr="004D07CF">
        <w:t xml:space="preserve"> </w:t>
      </w:r>
      <w:r w:rsidR="00A22EA2" w:rsidRPr="004D07CF">
        <w:t>инструкции МСЭ по закупкам с указанием</w:t>
      </w:r>
      <w:r w:rsidR="00CF5F2D" w:rsidRPr="004D07CF">
        <w:t xml:space="preserve">, </w:t>
      </w:r>
      <w:r w:rsidR="00A22EA2" w:rsidRPr="004D07CF">
        <w:t>среди прочего</w:t>
      </w:r>
      <w:r w:rsidR="00CF5F2D" w:rsidRPr="004D07CF">
        <w:t xml:space="preserve">, </w:t>
      </w:r>
      <w:r w:rsidR="00A22EA2" w:rsidRPr="004D07CF">
        <w:t>применимых методов закупки</w:t>
      </w:r>
      <w:r w:rsidR="00CF5F2D" w:rsidRPr="004D07CF">
        <w:t xml:space="preserve">, </w:t>
      </w:r>
      <w:r w:rsidR="00A22EA2" w:rsidRPr="004D07CF">
        <w:t>соответствующих процессов</w:t>
      </w:r>
      <w:r w:rsidR="00CF5F2D" w:rsidRPr="004D07CF">
        <w:t xml:space="preserve">, </w:t>
      </w:r>
      <w:r w:rsidR="00A22EA2" w:rsidRPr="004D07CF">
        <w:rPr>
          <w:color w:val="000000"/>
        </w:rPr>
        <w:t>применимых предельных значений</w:t>
      </w:r>
      <w:r w:rsidR="00CF5F2D" w:rsidRPr="004D07CF">
        <w:t xml:space="preserve"> </w:t>
      </w:r>
      <w:r w:rsidR="00A22EA2" w:rsidRPr="004D07CF">
        <w:t>и т.</w:t>
      </w:r>
      <w:r w:rsidR="001359CD" w:rsidRPr="004D07CF">
        <w:t> </w:t>
      </w:r>
      <w:r w:rsidR="00A22EA2" w:rsidRPr="004D07CF">
        <w:t>д</w:t>
      </w:r>
      <w:r w:rsidR="00CF5F2D" w:rsidRPr="004D07CF">
        <w:t xml:space="preserve">. LAU </w:t>
      </w:r>
      <w:r w:rsidR="00C83A31" w:rsidRPr="004D07CF">
        <w:t>и</w:t>
      </w:r>
      <w:r w:rsidR="00CF5F2D" w:rsidRPr="004D07CF">
        <w:t xml:space="preserve"> FRMD </w:t>
      </w:r>
      <w:r w:rsidR="00C83A31" w:rsidRPr="004D07CF">
        <w:t>указали, что</w:t>
      </w:r>
      <w:r w:rsidR="00CF5F2D" w:rsidRPr="004D07CF">
        <w:t xml:space="preserve"> </w:t>
      </w:r>
      <w:r w:rsidR="00C83A31" w:rsidRPr="004D07CF">
        <w:t>инструкция по закупкам выйдет в</w:t>
      </w:r>
      <w:r w:rsidR="00CF5F2D" w:rsidRPr="004D07CF">
        <w:t xml:space="preserve"> 2017 </w:t>
      </w:r>
      <w:r w:rsidR="00C83A31" w:rsidRPr="004D07CF">
        <w:t>году после консультации с</w:t>
      </w:r>
      <w:r w:rsidR="00CF5F2D" w:rsidRPr="004D07CF">
        <w:t xml:space="preserve"> </w:t>
      </w:r>
      <w:r w:rsidR="00C83A31" w:rsidRPr="004D07CF">
        <w:rPr>
          <w:color w:val="000000"/>
        </w:rPr>
        <w:t>Комитетом по контрактам</w:t>
      </w:r>
      <w:r w:rsidR="00CF5F2D" w:rsidRPr="004D07CF">
        <w:t xml:space="preserve">. </w:t>
      </w:r>
      <w:r w:rsidR="00C83A31" w:rsidRPr="004D07CF">
        <w:lastRenderedPageBreak/>
        <w:t>Существует риск того, что управление связями с третьими сторонами</w:t>
      </w:r>
      <w:r w:rsidR="00CF5F2D" w:rsidRPr="004D07CF">
        <w:t xml:space="preserve"> </w:t>
      </w:r>
      <w:r w:rsidR="00C83A31" w:rsidRPr="004D07CF">
        <w:t>(включая</w:t>
      </w:r>
      <w:r w:rsidR="00CF5F2D" w:rsidRPr="004D07CF">
        <w:t xml:space="preserve"> </w:t>
      </w:r>
      <w:r w:rsidR="00C83A31" w:rsidRPr="004D07CF">
        <w:t xml:space="preserve">управление </w:t>
      </w:r>
      <w:r w:rsidR="00C83A31" w:rsidRPr="004D07CF">
        <w:rPr>
          <w:color w:val="000000"/>
        </w:rPr>
        <w:t>счетами поставщиков</w:t>
      </w:r>
      <w:r w:rsidR="00CF5F2D" w:rsidRPr="004D07CF">
        <w:t xml:space="preserve">) </w:t>
      </w:r>
      <w:r w:rsidR="00C83A31" w:rsidRPr="004D07CF">
        <w:t>не является адекватным</w:t>
      </w:r>
      <w:r w:rsidR="00CF5F2D" w:rsidRPr="004D07CF">
        <w:t xml:space="preserve"> </w:t>
      </w:r>
      <w:r w:rsidR="00C83A31" w:rsidRPr="004D07CF">
        <w:t>и</w:t>
      </w:r>
      <w:r w:rsidR="00CF5F2D" w:rsidRPr="004D07CF">
        <w:t>/</w:t>
      </w:r>
      <w:r w:rsidR="00C83A31" w:rsidRPr="004D07CF">
        <w:t>или</w:t>
      </w:r>
      <w:r w:rsidR="00CF5F2D" w:rsidRPr="004D07CF">
        <w:t xml:space="preserve"> </w:t>
      </w:r>
      <w:r w:rsidR="00C83A31" w:rsidRPr="004D07CF">
        <w:t>оптимальным</w:t>
      </w:r>
      <w:r w:rsidR="00CF5F2D" w:rsidRPr="004D07CF">
        <w:t xml:space="preserve">. </w:t>
      </w:r>
      <w:r w:rsidR="00C83A31" w:rsidRPr="004D07CF">
        <w:t>Было рекомендовано</w:t>
      </w:r>
      <w:r w:rsidR="00CF5F2D" w:rsidRPr="004D07CF">
        <w:t xml:space="preserve"> </w:t>
      </w:r>
      <w:r w:rsidR="00C83A31" w:rsidRPr="004D07CF">
        <w:t>предложить</w:t>
      </w:r>
      <w:r w:rsidR="00CF5F2D" w:rsidRPr="004D07CF">
        <w:t xml:space="preserve"> </w:t>
      </w:r>
      <w:r w:rsidR="00C83A31" w:rsidRPr="004D07CF">
        <w:t xml:space="preserve">FRMD механизм </w:t>
      </w:r>
      <w:r w:rsidR="00285D30" w:rsidRPr="004D07CF">
        <w:t xml:space="preserve">для увязки данных поставщиков системы </w:t>
      </w:r>
      <w:r w:rsidR="00CF5F2D" w:rsidRPr="004D07CF">
        <w:t xml:space="preserve">ERP </w:t>
      </w:r>
      <w:r w:rsidR="00285D30" w:rsidRPr="004D07CF">
        <w:t>с данными</w:t>
      </w:r>
      <w:r w:rsidR="00CF5F2D" w:rsidRPr="004D07CF">
        <w:t xml:space="preserve"> </w:t>
      </w:r>
      <w:r w:rsidR="00285D30" w:rsidRPr="004D07CF">
        <w:t xml:space="preserve">системы </w:t>
      </w:r>
      <w:r w:rsidR="00CF5F2D" w:rsidRPr="004D07CF">
        <w:t xml:space="preserve">CRM (PROC) </w:t>
      </w:r>
      <w:r w:rsidR="00285D30" w:rsidRPr="004D07CF">
        <w:t>и</w:t>
      </w:r>
      <w:r w:rsidR="00CF5F2D" w:rsidRPr="004D07CF">
        <w:t xml:space="preserve"> </w:t>
      </w:r>
      <w:r w:rsidR="00285D30" w:rsidRPr="004D07CF">
        <w:t>Отделом партнерских отношений и связей с Членами в Департаменте</w:t>
      </w:r>
      <w:r w:rsidR="00CF5F2D" w:rsidRPr="004D07CF">
        <w:t xml:space="preserve"> SPM. </w:t>
      </w:r>
      <w:r w:rsidR="005D496D" w:rsidRPr="004D07CF">
        <w:t>Было рекомендовано создать механизм информирования</w:t>
      </w:r>
      <w:r w:rsidR="00CF5F2D" w:rsidRPr="004D07CF">
        <w:t xml:space="preserve"> </w:t>
      </w:r>
      <w:r w:rsidR="005D496D" w:rsidRPr="004D07CF">
        <w:t>Членов Секторов</w:t>
      </w:r>
      <w:r w:rsidR="00CF5F2D" w:rsidRPr="004D07CF">
        <w:t xml:space="preserve"> </w:t>
      </w:r>
      <w:r w:rsidR="005D496D" w:rsidRPr="004D07CF">
        <w:t>о возможностях закупок в МСЭ</w:t>
      </w:r>
      <w:r w:rsidR="00CF5F2D" w:rsidRPr="004D07CF">
        <w:t xml:space="preserve">. </w:t>
      </w:r>
      <w:r w:rsidR="005D496D" w:rsidRPr="004D07CF">
        <w:t>Соответствующие руководители согласились с этими рекомендациями</w:t>
      </w:r>
      <w:r w:rsidR="00CF5F2D" w:rsidRPr="004D07CF">
        <w:t xml:space="preserve">. </w:t>
      </w:r>
      <w:r w:rsidR="005D496D" w:rsidRPr="004D07CF">
        <w:t>Существует риск того, что контракты на ИТ,</w:t>
      </w:r>
      <w:r w:rsidR="00CF5F2D" w:rsidRPr="004D07CF">
        <w:t xml:space="preserve"> </w:t>
      </w:r>
      <w:r w:rsidR="005D496D" w:rsidRPr="004D07CF">
        <w:rPr>
          <w:color w:val="000000"/>
        </w:rPr>
        <w:t>о</w:t>
      </w:r>
      <w:r w:rsidR="001359CD" w:rsidRPr="004D07CF">
        <w:rPr>
          <w:color w:val="000000"/>
        </w:rPr>
        <w:t> </w:t>
      </w:r>
      <w:r w:rsidR="005D496D" w:rsidRPr="004D07CF">
        <w:rPr>
          <w:color w:val="000000"/>
        </w:rPr>
        <w:t>которых сообщалось и которые задокументированы,</w:t>
      </w:r>
      <w:r w:rsidR="005D496D" w:rsidRPr="004D07CF">
        <w:t xml:space="preserve"> не являются надлежащими</w:t>
      </w:r>
      <w:r w:rsidR="00CF5F2D" w:rsidRPr="004D07CF">
        <w:t xml:space="preserve">. </w:t>
      </w:r>
      <w:r w:rsidR="005D496D" w:rsidRPr="004D07CF">
        <w:t>Было рекомендовано рассмотреть вопрос о том, как</w:t>
      </w:r>
      <w:r w:rsidR="00CF5F2D" w:rsidRPr="004D07CF">
        <w:t xml:space="preserve"> </w:t>
      </w:r>
      <w:r w:rsidR="005D496D" w:rsidRPr="004D07CF">
        <w:t>может быть использована</w:t>
      </w:r>
      <w:r w:rsidR="00CF5F2D" w:rsidRPr="004D07CF">
        <w:t xml:space="preserve"> </w:t>
      </w:r>
      <w:r w:rsidR="005D496D" w:rsidRPr="004D07CF">
        <w:t>функциональная возможность управления контрактами</w:t>
      </w:r>
      <w:r w:rsidR="00CF5F2D" w:rsidRPr="004D07CF">
        <w:t xml:space="preserve"> </w:t>
      </w:r>
      <w:r w:rsidR="005D496D" w:rsidRPr="004D07CF">
        <w:t>в системе</w:t>
      </w:r>
      <w:r w:rsidR="00CF5F2D" w:rsidRPr="004D07CF">
        <w:t xml:space="preserve"> SAP</w:t>
      </w:r>
      <w:r w:rsidR="0059228E" w:rsidRPr="004D07CF">
        <w:t>,</w:t>
      </w:r>
      <w:r w:rsidR="00CF5F2D" w:rsidRPr="004D07CF">
        <w:t xml:space="preserve"> </w:t>
      </w:r>
      <w:r w:rsidR="005D496D" w:rsidRPr="004D07CF">
        <w:t>и создать базу данных по</w:t>
      </w:r>
      <w:r w:rsidR="00CF5F2D" w:rsidRPr="004D07CF">
        <w:t xml:space="preserve"> </w:t>
      </w:r>
      <w:r w:rsidR="005D496D" w:rsidRPr="004D07CF">
        <w:t>контрактам в системе</w:t>
      </w:r>
      <w:r w:rsidR="00CF5F2D" w:rsidRPr="004D07CF">
        <w:t xml:space="preserve"> SAP. FRMD </w:t>
      </w:r>
      <w:r w:rsidR="005D496D" w:rsidRPr="004D07CF">
        <w:t>согласился с этой рекомендацией</w:t>
      </w:r>
      <w:r w:rsidR="009B21D4" w:rsidRPr="004D07CF">
        <w:t>, отметив тот факт, что</w:t>
      </w:r>
      <w:r w:rsidR="00CF5F2D" w:rsidRPr="004D07CF">
        <w:t xml:space="preserve"> </w:t>
      </w:r>
      <w:r w:rsidR="009B21D4" w:rsidRPr="004D07CF">
        <w:t>эта база данных может быть создана вне системы</w:t>
      </w:r>
      <w:r w:rsidR="00CF5F2D" w:rsidRPr="004D07CF">
        <w:t xml:space="preserve"> SAP. ISD </w:t>
      </w:r>
      <w:r w:rsidR="009B21D4" w:rsidRPr="004D07CF">
        <w:t>дополнил свое согласие, обратив внимание на то, что,</w:t>
      </w:r>
      <w:r w:rsidR="00CF5F2D" w:rsidRPr="004D07CF">
        <w:t xml:space="preserve"> </w:t>
      </w:r>
      <w:r w:rsidR="009B21D4" w:rsidRPr="004D07CF">
        <w:t>возможно,</w:t>
      </w:r>
      <w:r w:rsidR="00CF5F2D" w:rsidRPr="004D07CF">
        <w:t xml:space="preserve"> </w:t>
      </w:r>
      <w:r w:rsidR="009B21D4" w:rsidRPr="004D07CF">
        <w:t>конструктивн</w:t>
      </w:r>
      <w:r w:rsidR="0059228E" w:rsidRPr="004D07CF">
        <w:t>ее</w:t>
      </w:r>
      <w:r w:rsidR="00CF5F2D" w:rsidRPr="004D07CF">
        <w:t xml:space="preserve"> </w:t>
      </w:r>
      <w:r w:rsidR="0059228E" w:rsidRPr="004D07CF">
        <w:t xml:space="preserve">было бы </w:t>
      </w:r>
      <w:r w:rsidR="009B21D4" w:rsidRPr="004D07CF">
        <w:t>расширить</w:t>
      </w:r>
      <w:r w:rsidR="00CF5F2D" w:rsidRPr="004D07CF">
        <w:t xml:space="preserve"> </w:t>
      </w:r>
      <w:r w:rsidR="009B21D4" w:rsidRPr="004D07CF">
        <w:t>центральный репозиторий</w:t>
      </w:r>
      <w:r w:rsidR="00CF5F2D" w:rsidRPr="004D07CF">
        <w:t xml:space="preserve"> </w:t>
      </w:r>
      <w:r w:rsidR="009B21D4" w:rsidRPr="004D07CF">
        <w:t>контрактов</w:t>
      </w:r>
      <w:r w:rsidR="00CF5F2D" w:rsidRPr="004D07CF">
        <w:t xml:space="preserve">, </w:t>
      </w:r>
      <w:r w:rsidR="009B21D4" w:rsidRPr="004D07CF">
        <w:t>соглашений</w:t>
      </w:r>
      <w:r w:rsidR="00CF5F2D" w:rsidRPr="004D07CF">
        <w:t>, M</w:t>
      </w:r>
      <w:r w:rsidR="009B21D4" w:rsidRPr="004D07CF">
        <w:t>оU</w:t>
      </w:r>
      <w:r w:rsidR="00CF5F2D" w:rsidRPr="004D07CF">
        <w:t xml:space="preserve"> </w:t>
      </w:r>
      <w:r w:rsidR="009B21D4" w:rsidRPr="004D07CF">
        <w:t>и т.</w:t>
      </w:r>
      <w:r w:rsidR="00B877CE" w:rsidRPr="004D07CF">
        <w:t> </w:t>
      </w:r>
      <w:r w:rsidR="009B21D4" w:rsidRPr="004D07CF">
        <w:t>д</w:t>
      </w:r>
      <w:r w:rsidR="00CF5F2D" w:rsidRPr="004D07CF">
        <w:t>. (</w:t>
      </w:r>
      <w:r w:rsidR="009B21D4" w:rsidRPr="004D07CF">
        <w:t>который</w:t>
      </w:r>
      <w:r w:rsidR="00CF5F2D" w:rsidRPr="004D07CF">
        <w:t xml:space="preserve"> LAU </w:t>
      </w:r>
      <w:r w:rsidR="009B21D4" w:rsidRPr="004D07CF">
        <w:t>уже ведет</w:t>
      </w:r>
      <w:r w:rsidR="00CF5F2D" w:rsidRPr="004D07CF">
        <w:t xml:space="preserve">) </w:t>
      </w:r>
      <w:r w:rsidR="009B21D4" w:rsidRPr="004D07CF">
        <w:t>с</w:t>
      </w:r>
      <w:r w:rsidR="00CF5F2D" w:rsidRPr="004D07CF">
        <w:t xml:space="preserve"> </w:t>
      </w:r>
      <w:r w:rsidR="00315394" w:rsidRPr="004D07CF">
        <w:t xml:space="preserve">использованием </w:t>
      </w:r>
      <w:r w:rsidR="009B21D4" w:rsidRPr="004D07CF">
        <w:t>функциональной возможност</w:t>
      </w:r>
      <w:r w:rsidR="00315394" w:rsidRPr="004D07CF">
        <w:t>и</w:t>
      </w:r>
      <w:r w:rsidR="009B21D4" w:rsidRPr="004D07CF">
        <w:t>,</w:t>
      </w:r>
      <w:r w:rsidR="00CF5F2D" w:rsidRPr="004D07CF">
        <w:t xml:space="preserve"> </w:t>
      </w:r>
      <w:r w:rsidR="009B21D4" w:rsidRPr="004D07CF">
        <w:t>которая была бы полезна</w:t>
      </w:r>
      <w:r w:rsidR="00CF5F2D" w:rsidRPr="004D07CF">
        <w:t xml:space="preserve"> PROC </w:t>
      </w:r>
      <w:r w:rsidR="009B21D4" w:rsidRPr="004D07CF">
        <w:t>для управления контрактами</w:t>
      </w:r>
      <w:r w:rsidR="00CF5F2D" w:rsidRPr="004D07CF">
        <w:t xml:space="preserve"> </w:t>
      </w:r>
      <w:r w:rsidR="009B21D4" w:rsidRPr="004D07CF">
        <w:t>и</w:t>
      </w:r>
      <w:r w:rsidR="00315394" w:rsidRPr="004D07CF">
        <w:t xml:space="preserve"> служила бы</w:t>
      </w:r>
      <w:r w:rsidR="00CF5F2D" w:rsidRPr="004D07CF">
        <w:t xml:space="preserve"> </w:t>
      </w:r>
      <w:r w:rsidR="009B21D4" w:rsidRPr="004D07CF">
        <w:t>в качестве</w:t>
      </w:r>
      <w:r w:rsidR="00CF5F2D" w:rsidRPr="004D07CF">
        <w:t xml:space="preserve"> </w:t>
      </w:r>
      <w:r w:rsidR="00315394" w:rsidRPr="004D07CF">
        <w:t>справочной системы</w:t>
      </w:r>
      <w:r w:rsidR="00CF5F2D" w:rsidRPr="004D07CF">
        <w:t xml:space="preserve"> </w:t>
      </w:r>
      <w:r w:rsidR="00315394" w:rsidRPr="004D07CF">
        <w:t>для</w:t>
      </w:r>
      <w:r w:rsidR="00CF5F2D" w:rsidRPr="004D07CF">
        <w:t xml:space="preserve"> </w:t>
      </w:r>
      <w:r w:rsidR="00315394" w:rsidRPr="004D07CF">
        <w:t>внутренних</w:t>
      </w:r>
      <w:r w:rsidR="00CF5F2D" w:rsidRPr="004D07CF">
        <w:t xml:space="preserve"> </w:t>
      </w:r>
      <w:r w:rsidR="00315394" w:rsidRPr="004D07CF">
        <w:t>запрашивающих служб, таких как</w:t>
      </w:r>
      <w:r w:rsidR="00CF5F2D" w:rsidRPr="004D07CF">
        <w:t xml:space="preserve"> ISD. </w:t>
      </w:r>
      <w:r w:rsidR="00315394" w:rsidRPr="004D07CF">
        <w:t>Тогда привилегии доступа</w:t>
      </w:r>
      <w:r w:rsidR="00CF5F2D" w:rsidRPr="004D07CF">
        <w:t xml:space="preserve"> </w:t>
      </w:r>
      <w:r w:rsidR="00315394" w:rsidRPr="004D07CF">
        <w:t xml:space="preserve">соответствовали бы </w:t>
      </w:r>
      <w:r w:rsidR="00F346BD" w:rsidRPr="004D07CF">
        <w:t xml:space="preserve">функциям и </w:t>
      </w:r>
      <w:r w:rsidR="00F346BD" w:rsidRPr="004D07CF">
        <w:rPr>
          <w:color w:val="000000"/>
        </w:rPr>
        <w:t xml:space="preserve">обязанностям </w:t>
      </w:r>
      <w:r w:rsidR="004D07CF" w:rsidRPr="004D07CF">
        <w:rPr>
          <w:color w:val="000000"/>
        </w:rPr>
        <w:t>организации</w:t>
      </w:r>
      <w:r w:rsidR="00CF5F2D" w:rsidRPr="004D07CF">
        <w:t xml:space="preserve">. </w:t>
      </w:r>
      <w:r w:rsidR="00F346BD" w:rsidRPr="004D07CF">
        <w:t xml:space="preserve">Было </w:t>
      </w:r>
      <w:r w:rsidR="0059228E" w:rsidRPr="004D07CF">
        <w:t>констатирова</w:t>
      </w:r>
      <w:r w:rsidR="00F346BD" w:rsidRPr="004D07CF">
        <w:t>но</w:t>
      </w:r>
      <w:r w:rsidR="00CF5F2D" w:rsidRPr="004D07CF">
        <w:t xml:space="preserve"> </w:t>
      </w:r>
      <w:r w:rsidR="00F346BD" w:rsidRPr="004D07CF">
        <w:t>общее соблюдение политики, а меры контроля были оценены как эффективные</w:t>
      </w:r>
      <w:r w:rsidR="00CF5F2D" w:rsidRPr="004D07CF">
        <w:t xml:space="preserve">. </w:t>
      </w:r>
      <w:r w:rsidR="00F346BD" w:rsidRPr="004D07CF">
        <w:t xml:space="preserve">Служба </w:t>
      </w:r>
      <w:r w:rsidR="00CF5F2D" w:rsidRPr="004D07CF">
        <w:t xml:space="preserve">IA </w:t>
      </w:r>
      <w:r w:rsidR="00F346BD" w:rsidRPr="004D07CF">
        <w:t>не</w:t>
      </w:r>
      <w:r w:rsidR="00CF5F2D" w:rsidRPr="004D07CF">
        <w:t xml:space="preserve"> </w:t>
      </w:r>
      <w:r w:rsidR="00F346BD" w:rsidRPr="004D07CF">
        <w:t>предоставила каких-либо рекомендаций</w:t>
      </w:r>
      <w:r w:rsidR="00CF5F2D" w:rsidRPr="004D07CF">
        <w:t xml:space="preserve"> </w:t>
      </w:r>
      <w:r w:rsidR="00F346BD" w:rsidRPr="004D07CF">
        <w:t>в этом отношении</w:t>
      </w:r>
      <w:r w:rsidR="00CF5F2D" w:rsidRPr="004D07CF">
        <w:t>.</w:t>
      </w:r>
    </w:p>
    <w:p w:rsidR="00CF5F2D" w:rsidRPr="004D07CF" w:rsidRDefault="00781ED4" w:rsidP="00B877CE">
      <w:r w:rsidRPr="004D07CF">
        <w:t>24</w:t>
      </w:r>
      <w:r w:rsidRPr="004D07CF">
        <w:tab/>
      </w:r>
      <w:r w:rsidR="00A444C0" w:rsidRPr="004D07CF">
        <w:t>В целом, Служба IA считает, что процессы руководства и управления рисками, а также меры внутреннего контроля, не являются достаточно адекватными и эффективными. Следовало бы добиться улучшений в областях политики, процедур, эффективного/</w:t>
      </w:r>
      <w:r w:rsidR="00CB4B5B" w:rsidRPr="004D07CF">
        <w:t>результатив</w:t>
      </w:r>
      <w:r w:rsidR="00A444C0" w:rsidRPr="004D07CF">
        <w:t xml:space="preserve">ного использования ресурсов и </w:t>
      </w:r>
      <w:r w:rsidR="00937105" w:rsidRPr="004D07CF">
        <w:t xml:space="preserve">предоставления </w:t>
      </w:r>
      <w:r w:rsidR="00A444C0" w:rsidRPr="004D07CF">
        <w:t>отчетности. Вместе с тем имеет</w:t>
      </w:r>
      <w:r w:rsidR="00937105" w:rsidRPr="004D07CF">
        <w:t xml:space="preserve"> место</w:t>
      </w:r>
      <w:r w:rsidR="00A444C0" w:rsidRPr="004D07CF">
        <w:t xml:space="preserve"> адекватное соответствие транзакций существующим процедурам и </w:t>
      </w:r>
      <w:r w:rsidR="00A444C0" w:rsidRPr="004D07CF">
        <w:rPr>
          <w:color w:val="000000"/>
        </w:rPr>
        <w:t>установившейся практике</w:t>
      </w:r>
      <w:r w:rsidR="00CF5F2D" w:rsidRPr="004D07CF">
        <w:t xml:space="preserve">. </w:t>
      </w:r>
      <w:r w:rsidR="00937105" w:rsidRPr="004D07CF">
        <w:t>Если эти недостатки будут устранены, то</w:t>
      </w:r>
      <w:r w:rsidR="00CF5F2D" w:rsidRPr="004D07CF">
        <w:t xml:space="preserve"> </w:t>
      </w:r>
      <w:r w:rsidR="00937105" w:rsidRPr="004D07CF">
        <w:rPr>
          <w:color w:val="000000"/>
        </w:rPr>
        <w:t>Генеральному секретарю могут быть предоставлены разумные гарантии наличия надлежащего руководства, управления рисками</w:t>
      </w:r>
      <w:r w:rsidR="00937105" w:rsidRPr="004D07CF">
        <w:t xml:space="preserve"> и эффективных мер контроля в отношении контрактов на ИТ</w:t>
      </w:r>
      <w:r w:rsidR="00CF5F2D" w:rsidRPr="004D07CF">
        <w:t xml:space="preserve">, </w:t>
      </w:r>
      <w:r w:rsidR="00937105" w:rsidRPr="004D07CF">
        <w:rPr>
          <w:color w:val="000000"/>
        </w:rPr>
        <w:t>услуг по аренде и эксплуатации</w:t>
      </w:r>
      <w:r w:rsidR="00CF5F2D" w:rsidRPr="004D07CF">
        <w:t>.</w:t>
      </w:r>
    </w:p>
    <w:p w:rsidR="00CF5F2D" w:rsidRPr="004D07CF" w:rsidRDefault="00937105" w:rsidP="00781ED4">
      <w:pPr>
        <w:pStyle w:val="Headingb"/>
      </w:pPr>
      <w:r w:rsidRPr="004D07CF">
        <w:t>Выполнение рекомендаций IMAC, касающихся внутреннего аудита</w:t>
      </w:r>
    </w:p>
    <w:p w:rsidR="00CF5F2D" w:rsidRPr="004D07CF" w:rsidRDefault="00781ED4" w:rsidP="001359CD">
      <w:r w:rsidRPr="004D07CF">
        <w:t>25</w:t>
      </w:r>
      <w:r w:rsidRPr="004D07CF">
        <w:tab/>
      </w:r>
      <w:r w:rsidR="00937105" w:rsidRPr="004D07CF">
        <w:t>IMAC регулярно следил за выполнением рекомендаций, касающихся функции внутреннего аудита, и включал отмеченный прогресс в свой отчет Генеральному секретарю и в свой ежегодный отчет Совету</w:t>
      </w:r>
      <w:r w:rsidR="00CF5F2D" w:rsidRPr="004D07CF">
        <w:t xml:space="preserve">. </w:t>
      </w:r>
      <w:r w:rsidR="004F376F" w:rsidRPr="004D07CF">
        <w:t>На данном этапе</w:t>
      </w:r>
      <w:r w:rsidR="00CF5F2D" w:rsidRPr="004D07CF">
        <w:t xml:space="preserve">, </w:t>
      </w:r>
      <w:r w:rsidR="004F376F" w:rsidRPr="004D07CF">
        <w:t xml:space="preserve">Служба </w:t>
      </w:r>
      <w:r w:rsidR="00CF5F2D" w:rsidRPr="004D07CF">
        <w:t xml:space="preserve">IA </w:t>
      </w:r>
      <w:r w:rsidR="004F376F" w:rsidRPr="004D07CF">
        <w:t>рассмотрела все рекомендации</w:t>
      </w:r>
      <w:r w:rsidR="00CF5F2D" w:rsidRPr="004D07CF">
        <w:t xml:space="preserve"> IMAC</w:t>
      </w:r>
      <w:r w:rsidR="004F376F" w:rsidRPr="004D07CF">
        <w:t>,</w:t>
      </w:r>
      <w:r w:rsidR="00CF5F2D" w:rsidRPr="004D07CF">
        <w:t xml:space="preserve"> </w:t>
      </w:r>
      <w:r w:rsidR="004F376F" w:rsidRPr="004D07CF">
        <w:t>касающиеся внутреннего аудита</w:t>
      </w:r>
      <w:r w:rsidR="00CF5F2D" w:rsidRPr="004D07CF">
        <w:t xml:space="preserve">. </w:t>
      </w:r>
    </w:p>
    <w:p w:rsidR="00CF5F2D" w:rsidRPr="004D07CF" w:rsidRDefault="004F376F" w:rsidP="001359CD">
      <w:r w:rsidRPr="004D07CF">
        <w:t>В Дополнительном документе 2 к своему четвертому отчету Совету IMAC одобрил заключения внешней валидационной группы (содержа</w:t>
      </w:r>
      <w:r w:rsidR="008914D9" w:rsidRPr="004D07CF">
        <w:t>щие</w:t>
      </w:r>
      <w:r w:rsidRPr="004D07CF">
        <w:t xml:space="preserve">ся в </w:t>
      </w:r>
      <w:hyperlink r:id="rId9" w:history="1">
        <w:r w:rsidRPr="004D07CF">
          <w:rPr>
            <w:rStyle w:val="Hyperlink"/>
            <w:rFonts w:cstheme="majorBidi"/>
          </w:rPr>
          <w:t>Документе C15/INF/11</w:t>
        </w:r>
      </w:hyperlink>
      <w:r w:rsidRPr="004D07CF">
        <w:t>) и рекомендовал внутреннему аудитору представ</w:t>
      </w:r>
      <w:r w:rsidR="008914D9" w:rsidRPr="004D07CF">
        <w:t>ля</w:t>
      </w:r>
      <w:r w:rsidRPr="004D07CF">
        <w:t>ть Совету</w:t>
      </w:r>
      <w:r w:rsidR="008914D9" w:rsidRPr="004D07CF">
        <w:t xml:space="preserve"> в последующие годы</w:t>
      </w:r>
      <w:r w:rsidRPr="004D07CF">
        <w:t>, используя механизм ежегодных отчетов внутреннего аудитора о деятельности по внутреннему аудиту, отчет о принятых мерах и прогрессе</w:t>
      </w:r>
      <w:r w:rsidR="008914D9" w:rsidRPr="004D07CF">
        <w:t>, достигнутом</w:t>
      </w:r>
      <w:r w:rsidRPr="004D07CF">
        <w:t xml:space="preserve"> в выполнении каждой из девяти рекомендаций, содержащихся в отчете о внешней независимой проверке деятельности по внутреннему аудиту МСЭ</w:t>
      </w:r>
      <w:r w:rsidR="00CF5F2D" w:rsidRPr="004D07CF">
        <w:t xml:space="preserve">. </w:t>
      </w:r>
      <w:r w:rsidRPr="004D07CF">
        <w:t xml:space="preserve">В настоящее время Служба </w:t>
      </w:r>
      <w:r w:rsidR="00CF5F2D" w:rsidRPr="004D07CF">
        <w:t xml:space="preserve">IA </w:t>
      </w:r>
      <w:r w:rsidRPr="004D07CF">
        <w:t>подтверждает, что все девять рекомендаций выполнены</w:t>
      </w:r>
      <w:r w:rsidR="00CF5F2D" w:rsidRPr="004D07CF">
        <w:t>.</w:t>
      </w:r>
      <w:r w:rsidR="008914D9" w:rsidRPr="004D07CF">
        <w:t xml:space="preserve"> </w:t>
      </w:r>
    </w:p>
    <w:p w:rsidR="00CF5F2D" w:rsidRPr="004D07CF" w:rsidRDefault="008914D9" w:rsidP="001359CD">
      <w:pPr>
        <w:pStyle w:val="Headingb"/>
      </w:pPr>
      <w:r w:rsidRPr="004D07CF">
        <w:t>Последующие меры в связи с рекомендациями по итогам внутреннего аудита</w:t>
      </w:r>
    </w:p>
    <w:p w:rsidR="00CF5F2D" w:rsidRPr="004D07CF" w:rsidRDefault="00781ED4" w:rsidP="0042412F">
      <w:pPr>
        <w:spacing w:after="240"/>
        <w:rPr>
          <w:rFonts w:cstheme="majorBidi"/>
        </w:rPr>
      </w:pPr>
      <w:r w:rsidRPr="004D07CF">
        <w:t>26</w:t>
      </w:r>
      <w:r w:rsidRPr="004D07CF">
        <w:tab/>
      </w:r>
      <w:r w:rsidR="008914D9" w:rsidRPr="004D07CF">
        <w:t>На протяжении отчетного периода и в соответствии со стандартом 2500 IIA</w:t>
      </w:r>
      <w:r w:rsidR="00CF5F2D" w:rsidRPr="004D07CF">
        <w:rPr>
          <w:rStyle w:val="FootnoteReference"/>
        </w:rPr>
        <w:footnoteReference w:id="4"/>
      </w:r>
      <w:r w:rsidR="00CF5F2D" w:rsidRPr="004D07CF">
        <w:rPr>
          <w:rFonts w:cstheme="majorBidi"/>
        </w:rPr>
        <w:t xml:space="preserve">, </w:t>
      </w:r>
      <w:r w:rsidR="008914D9" w:rsidRPr="004D07CF">
        <w:t>Служба внутреннего аудита продолжала отслеживать последующие меры</w:t>
      </w:r>
      <w:r w:rsidR="006335F5" w:rsidRPr="004D07CF">
        <w:t>, принятые</w:t>
      </w:r>
      <w:r w:rsidR="008914D9" w:rsidRPr="004D07CF">
        <w:t xml:space="preserve"> </w:t>
      </w:r>
      <w:r w:rsidR="006335F5" w:rsidRPr="004D07CF">
        <w:t>в связи с</w:t>
      </w:r>
      <w:r w:rsidR="008914D9" w:rsidRPr="004D07CF">
        <w:t xml:space="preserve"> рекомендациям</w:t>
      </w:r>
      <w:r w:rsidR="006335F5" w:rsidRPr="004D07CF">
        <w:t>и</w:t>
      </w:r>
      <w:r w:rsidR="008914D9" w:rsidRPr="004D07CF">
        <w:t>, содержащимся в предыдущих отчетах об аудите</w:t>
      </w:r>
      <w:r w:rsidR="00CF5F2D" w:rsidRPr="004D07CF">
        <w:rPr>
          <w:rFonts w:cstheme="majorBidi"/>
        </w:rPr>
        <w:t xml:space="preserve">. </w:t>
      </w:r>
      <w:r w:rsidR="006335F5" w:rsidRPr="004D07CF">
        <w:t>За последние 12 месяцев отмечен дальнейший прогресс, и ниже представлены статистические данные по выполнению рекомендаций (по состоянию на 1 февраля 2017 г</w:t>
      </w:r>
      <w:r w:rsidR="001359CD" w:rsidRPr="004D07CF">
        <w:t>.</w:t>
      </w:r>
      <w:r w:rsidR="00CF5F2D" w:rsidRPr="004D07CF">
        <w:rPr>
          <w:rFonts w:cstheme="majorBidi"/>
        </w:rPr>
        <w:t>):</w:t>
      </w:r>
    </w:p>
    <w:tbl>
      <w:tblPr>
        <w:tblW w:w="9629" w:type="dxa"/>
        <w:tblLayout w:type="fixed"/>
        <w:tblLook w:val="04A0" w:firstRow="1" w:lastRow="0" w:firstColumn="1" w:lastColumn="0" w:noHBand="0" w:noVBand="1"/>
      </w:tblPr>
      <w:tblGrid>
        <w:gridCol w:w="3300"/>
        <w:gridCol w:w="889"/>
        <w:gridCol w:w="890"/>
        <w:gridCol w:w="889"/>
        <w:gridCol w:w="890"/>
        <w:gridCol w:w="889"/>
        <w:gridCol w:w="890"/>
        <w:gridCol w:w="992"/>
      </w:tblGrid>
      <w:tr w:rsidR="00CF5F2D" w:rsidRPr="004D07CF" w:rsidTr="00C22BA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F5F2D" w:rsidRPr="004D07CF" w:rsidRDefault="006335F5" w:rsidP="0042412F">
            <w:pPr>
              <w:pStyle w:val="Tablehead"/>
            </w:pPr>
            <w:r w:rsidRPr="004D07CF">
              <w:lastRenderedPageBreak/>
              <w:t>Год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F5F2D" w:rsidRPr="004D07CF" w:rsidRDefault="00CF5F2D" w:rsidP="0042412F">
            <w:pPr>
              <w:pStyle w:val="Tablehead"/>
            </w:pPr>
            <w:r w:rsidRPr="004D07CF">
              <w:t>2011</w:t>
            </w:r>
            <w:r w:rsidR="006335F5" w:rsidRPr="004D07CF">
              <w:t xml:space="preserve"> г.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F5F2D" w:rsidRPr="004D07CF" w:rsidRDefault="00CF5F2D" w:rsidP="0042412F">
            <w:pPr>
              <w:pStyle w:val="Tablehead"/>
            </w:pPr>
            <w:r w:rsidRPr="004D07CF">
              <w:t>2012</w:t>
            </w:r>
            <w:r w:rsidR="006335F5" w:rsidRPr="004D07CF">
              <w:t xml:space="preserve"> г.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F5F2D" w:rsidRPr="004D07CF" w:rsidRDefault="00CF5F2D" w:rsidP="0042412F">
            <w:pPr>
              <w:pStyle w:val="Tablehead"/>
            </w:pPr>
            <w:r w:rsidRPr="004D07CF">
              <w:t>2013</w:t>
            </w:r>
            <w:r w:rsidR="006335F5" w:rsidRPr="004D07CF">
              <w:t xml:space="preserve"> г.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F5F2D" w:rsidRPr="004D07CF" w:rsidRDefault="00CF5F2D" w:rsidP="0042412F">
            <w:pPr>
              <w:pStyle w:val="Tablehead"/>
            </w:pPr>
            <w:r w:rsidRPr="004D07CF">
              <w:t>2014</w:t>
            </w:r>
            <w:r w:rsidR="006335F5" w:rsidRPr="004D07CF">
              <w:t xml:space="preserve"> г.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F5F2D" w:rsidRPr="004D07CF" w:rsidRDefault="00CF5F2D" w:rsidP="0042412F">
            <w:pPr>
              <w:pStyle w:val="Tablehead"/>
            </w:pPr>
            <w:r w:rsidRPr="004D07CF">
              <w:t>2015</w:t>
            </w:r>
            <w:r w:rsidR="006335F5" w:rsidRPr="004D07CF">
              <w:t xml:space="preserve"> г.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F5F2D" w:rsidRPr="004D07CF" w:rsidRDefault="00CF5F2D" w:rsidP="0042412F">
            <w:pPr>
              <w:pStyle w:val="Tablehead"/>
            </w:pPr>
            <w:r w:rsidRPr="004D07CF">
              <w:t>2016</w:t>
            </w:r>
            <w:r w:rsidR="006335F5" w:rsidRPr="004D07CF"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F5F2D" w:rsidRPr="004D07CF" w:rsidRDefault="006335F5" w:rsidP="0042412F">
            <w:pPr>
              <w:pStyle w:val="Tablehead"/>
            </w:pPr>
            <w:r w:rsidRPr="004D07CF">
              <w:t>Итого</w:t>
            </w:r>
          </w:p>
        </w:tc>
      </w:tr>
      <w:tr w:rsidR="006335F5" w:rsidRPr="004D07CF" w:rsidTr="00C22BA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5F5" w:rsidRPr="004D07CF" w:rsidRDefault="006335F5" w:rsidP="0042412F">
            <w:pPr>
              <w:pStyle w:val="Tabletext"/>
            </w:pPr>
            <w:r w:rsidRPr="004D07CF">
              <w:t>Количество отчетов об аудите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07CF">
              <w:rPr>
                <w:rFonts w:asciiTheme="minorHAnsi" w:hAnsiTheme="minorHAnsi" w:cstheme="minorHAnsi"/>
                <w:b/>
                <w:bCs/>
                <w:szCs w:val="24"/>
              </w:rPr>
              <w:t>21</w:t>
            </w:r>
          </w:p>
        </w:tc>
      </w:tr>
      <w:tr w:rsidR="006335F5" w:rsidRPr="004D07CF" w:rsidTr="00C22BA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5F5" w:rsidRPr="004D07CF" w:rsidRDefault="006335F5" w:rsidP="0042412F">
            <w:pPr>
              <w:pStyle w:val="Tabletext"/>
            </w:pPr>
            <w:r w:rsidRPr="004D07CF">
              <w:t>Количество рекомендаций − всего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17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F5" w:rsidRPr="004D07CF" w:rsidRDefault="0042412F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−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113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55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34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07CF">
              <w:rPr>
                <w:rFonts w:asciiTheme="minorHAnsi" w:hAnsiTheme="minorHAnsi" w:cstheme="minorHAnsi"/>
                <w:b/>
                <w:bCs/>
                <w:szCs w:val="24"/>
              </w:rPr>
              <w:t>241</w:t>
            </w:r>
          </w:p>
        </w:tc>
      </w:tr>
      <w:tr w:rsidR="006335F5" w:rsidRPr="004D07CF" w:rsidTr="00C22BA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5F5" w:rsidRPr="004D07CF" w:rsidRDefault="006335F5" w:rsidP="0042412F">
            <w:pPr>
              <w:pStyle w:val="Tabletext"/>
            </w:pPr>
            <w:r w:rsidRPr="004D07CF">
              <w:tab/>
              <w:t>Выполняемые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F5" w:rsidRPr="004D07CF" w:rsidRDefault="0042412F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−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07CF">
              <w:rPr>
                <w:rFonts w:asciiTheme="minorHAnsi" w:hAnsiTheme="minorHAnsi" w:cstheme="minorHAnsi"/>
                <w:b/>
                <w:bCs/>
                <w:szCs w:val="24"/>
              </w:rPr>
              <w:t>41</w:t>
            </w:r>
          </w:p>
        </w:tc>
      </w:tr>
      <w:tr w:rsidR="006335F5" w:rsidRPr="004D07CF" w:rsidTr="00C22BA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5F5" w:rsidRPr="004D07CF" w:rsidRDefault="006335F5" w:rsidP="0042412F">
            <w:pPr>
              <w:pStyle w:val="Tabletext"/>
            </w:pPr>
            <w:r w:rsidRPr="004D07CF">
              <w:tab/>
              <w:t>Просроченные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F5" w:rsidRPr="004D07CF" w:rsidRDefault="0042412F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−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07CF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</w:p>
        </w:tc>
      </w:tr>
      <w:tr w:rsidR="006335F5" w:rsidRPr="004D07CF" w:rsidTr="00C22BA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5F5" w:rsidRPr="004D07CF" w:rsidRDefault="006335F5" w:rsidP="0042412F">
            <w:pPr>
              <w:pStyle w:val="Tabletext"/>
            </w:pPr>
            <w:r w:rsidRPr="004D07CF">
              <w:tab/>
              <w:t>Выполненные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14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F5" w:rsidRPr="004D07CF" w:rsidRDefault="0042412F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−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105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26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07CF">
              <w:rPr>
                <w:rFonts w:asciiTheme="minorHAnsi" w:hAnsiTheme="minorHAnsi" w:cstheme="minorHAnsi"/>
                <w:b/>
                <w:bCs/>
                <w:szCs w:val="24"/>
              </w:rPr>
              <w:t>197</w:t>
            </w:r>
          </w:p>
        </w:tc>
      </w:tr>
      <w:tr w:rsidR="00781ED4" w:rsidRPr="004D07CF" w:rsidTr="00C22BA7"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81ED4" w:rsidRPr="004D07CF" w:rsidRDefault="00781ED4" w:rsidP="00781ED4">
            <w:pPr>
              <w:pStyle w:val="Tabletext"/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781ED4" w:rsidRPr="004D07CF" w:rsidRDefault="00781ED4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81ED4" w:rsidRPr="004D07CF" w:rsidRDefault="00781ED4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781ED4" w:rsidRPr="004D07CF" w:rsidRDefault="00781ED4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781ED4" w:rsidRPr="004D07CF" w:rsidRDefault="00781ED4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781ED4" w:rsidRPr="004D07CF" w:rsidRDefault="00781ED4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781ED4" w:rsidRPr="004D07CF" w:rsidRDefault="00781ED4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781ED4" w:rsidRPr="004D07CF" w:rsidRDefault="00781ED4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  <w:tr w:rsidR="006335F5" w:rsidRPr="004D07CF" w:rsidTr="00C22BA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5F5" w:rsidRPr="004D07CF" w:rsidRDefault="006335F5" w:rsidP="0042412F">
            <w:pPr>
              <w:pStyle w:val="Tabletext"/>
            </w:pPr>
            <w:r w:rsidRPr="004D07CF">
              <w:t>% выполняемых рекомендаций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0%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F5" w:rsidRPr="004D07CF" w:rsidRDefault="0042412F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−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7%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9%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24%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91%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07CF">
              <w:rPr>
                <w:rFonts w:asciiTheme="minorHAnsi" w:hAnsiTheme="minorHAnsi" w:cstheme="minorHAnsi"/>
                <w:b/>
                <w:bCs/>
                <w:szCs w:val="24"/>
              </w:rPr>
              <w:t>17%</w:t>
            </w:r>
          </w:p>
        </w:tc>
      </w:tr>
      <w:tr w:rsidR="006335F5" w:rsidRPr="004D07CF" w:rsidTr="00C22BA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5F5" w:rsidRPr="004D07CF" w:rsidRDefault="006335F5" w:rsidP="0042412F">
            <w:pPr>
              <w:pStyle w:val="Tabletext"/>
            </w:pPr>
            <w:r w:rsidRPr="004D07CF">
              <w:t>% просроченных рекомендаций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18%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F5" w:rsidRPr="004D07CF" w:rsidRDefault="0042412F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−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szCs w:val="24"/>
              </w:rPr>
            </w:pPr>
            <w:r w:rsidRPr="004D07CF">
              <w:rPr>
                <w:rFonts w:asciiTheme="minorHAnsi" w:hAnsiTheme="minorHAnsi" w:cstheme="minorHAnsi"/>
                <w:szCs w:val="24"/>
              </w:rPr>
              <w:t>0%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szCs w:val="24"/>
              </w:rPr>
            </w:pPr>
            <w:r w:rsidRPr="004D07CF">
              <w:rPr>
                <w:rFonts w:asciiTheme="minorHAnsi" w:hAnsiTheme="minorHAnsi" w:cstheme="minorHAnsi"/>
                <w:szCs w:val="24"/>
              </w:rPr>
              <w:t>0%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0%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07CF">
              <w:rPr>
                <w:rFonts w:asciiTheme="minorHAnsi" w:hAnsiTheme="minorHAnsi" w:cstheme="minorHAnsi"/>
                <w:b/>
                <w:bCs/>
                <w:szCs w:val="24"/>
              </w:rPr>
              <w:t>1%</w:t>
            </w:r>
          </w:p>
        </w:tc>
      </w:tr>
      <w:tr w:rsidR="006335F5" w:rsidRPr="004D07CF" w:rsidTr="00C22BA7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5F5" w:rsidRPr="004D07CF" w:rsidRDefault="006335F5" w:rsidP="0042412F">
            <w:pPr>
              <w:pStyle w:val="Tabletext"/>
            </w:pPr>
            <w:r w:rsidRPr="004D07CF">
              <w:t>% выполненных рекомендаций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82%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F5" w:rsidRPr="004D07CF" w:rsidRDefault="0042412F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szCs w:val="24"/>
              </w:rPr>
            </w:pPr>
            <w:r w:rsidRPr="004D07CF">
              <w:rPr>
                <w:rFonts w:asciiTheme="minorHAnsi" w:hAnsiTheme="minorHAnsi" w:cstheme="minorHAnsi"/>
                <w:szCs w:val="24"/>
              </w:rPr>
              <w:t>−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93%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91%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76%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4D07CF">
              <w:rPr>
                <w:rFonts w:asciiTheme="minorHAnsi" w:hAnsiTheme="minorHAnsi" w:cstheme="minorHAnsi"/>
                <w:color w:val="000000"/>
                <w:szCs w:val="24"/>
              </w:rPr>
              <w:t>9%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6335F5" w:rsidRPr="004D07CF" w:rsidRDefault="006335F5" w:rsidP="004D07CF">
            <w:pPr>
              <w:pStyle w:val="Tabletext"/>
              <w:tabs>
                <w:tab w:val="clear" w:pos="284"/>
                <w:tab w:val="clear" w:pos="567"/>
              </w:tabs>
              <w:ind w:right="170"/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D07CF">
              <w:rPr>
                <w:rFonts w:asciiTheme="minorHAnsi" w:hAnsiTheme="minorHAnsi" w:cstheme="minorHAnsi"/>
                <w:b/>
                <w:bCs/>
                <w:szCs w:val="24"/>
              </w:rPr>
              <w:t>82%</w:t>
            </w:r>
          </w:p>
        </w:tc>
      </w:tr>
    </w:tbl>
    <w:p w:rsidR="00CF5F2D" w:rsidRPr="004D07CF" w:rsidRDefault="00E027F7" w:rsidP="003D1FF4">
      <w:pPr>
        <w:pStyle w:val="Normalaftertitle"/>
      </w:pPr>
      <w:r w:rsidRPr="004D07CF">
        <w:t>27</w:t>
      </w:r>
      <w:r w:rsidRPr="004D07CF">
        <w:tab/>
      </w:r>
      <w:r w:rsidR="006335F5" w:rsidRPr="004D07CF">
        <w:t xml:space="preserve">Были выполнены все особо важные или очень важные рекомендации, </w:t>
      </w:r>
      <w:r w:rsidR="00FF4F51" w:rsidRPr="004D07CF">
        <w:t>сдела</w:t>
      </w:r>
      <w:r w:rsidR="006335F5" w:rsidRPr="004D07CF">
        <w:t>нные до 2012 года</w:t>
      </w:r>
      <w:r w:rsidR="00CF5F2D" w:rsidRPr="004D07CF">
        <w:t xml:space="preserve">. </w:t>
      </w:r>
      <w:r w:rsidR="00FA16F4" w:rsidRPr="004D07CF">
        <w:t>Рекомендации, остаю</w:t>
      </w:r>
      <w:r w:rsidR="00FF4F51" w:rsidRPr="004D07CF">
        <w:t>щиеся</w:t>
      </w:r>
      <w:r w:rsidR="00FA16F4" w:rsidRPr="004D07CF">
        <w:t xml:space="preserve"> невыполненными с 2011 года, касаются внутреннего аудита определения затрат на публикации</w:t>
      </w:r>
      <w:r w:rsidR="00FF4F51" w:rsidRPr="004D07CF">
        <w:t xml:space="preserve"> МСЭ</w:t>
      </w:r>
      <w:r w:rsidR="00FA16F4" w:rsidRPr="004D07CF">
        <w:t>. Руководство регулярно информировало Службу IA</w:t>
      </w:r>
      <w:r w:rsidRPr="004D07CF">
        <w:t xml:space="preserve"> (и </w:t>
      </w:r>
      <w:r w:rsidR="00FA16F4" w:rsidRPr="004D07CF">
        <w:t>IMAC) о достигнутом прогрессе, и, по оценке Внешнего аудито</w:t>
      </w:r>
      <w:r w:rsidRPr="004D07CF">
        <w:t>ра, некоторые рекомендации 2011 </w:t>
      </w:r>
      <w:r w:rsidR="00FA16F4" w:rsidRPr="004D07CF">
        <w:t>года были выполнены. В 2017 году Служба IA продолжает контролировать выполнение различных рекомендаций, содержащихся в предыдущих отчетах об аудите, и представит в установленном порядке отчет IMAC и Генеральному секрета</w:t>
      </w:r>
      <w:r w:rsidR="003D1FF4" w:rsidRPr="004D07CF">
        <w:t>рю по этим последующим мерам. В </w:t>
      </w:r>
      <w:r w:rsidR="00FA16F4" w:rsidRPr="004D07CF">
        <w:t xml:space="preserve">целом, отмечается постоянный прогресс, хотя очень часто приоритеты меняются и это может влиять на степень важности первоначально сделанных рекомендаций. </w:t>
      </w:r>
      <w:r w:rsidR="00A57989" w:rsidRPr="004D07CF">
        <w:t>Что касается</w:t>
      </w:r>
      <w:r w:rsidR="00CF5F2D" w:rsidRPr="004D07CF">
        <w:t xml:space="preserve"> 2016</w:t>
      </w:r>
      <w:r w:rsidR="00A57989" w:rsidRPr="004D07CF">
        <w:t xml:space="preserve"> года, то</w:t>
      </w:r>
      <w:r w:rsidR="00CF5F2D" w:rsidRPr="004D07CF">
        <w:t xml:space="preserve"> </w:t>
      </w:r>
      <w:r w:rsidR="00A57989" w:rsidRPr="004D07CF">
        <w:t>многие</w:t>
      </w:r>
      <w:r w:rsidR="00CF5F2D" w:rsidRPr="004D07CF">
        <w:t xml:space="preserve"> </w:t>
      </w:r>
      <w:r w:rsidR="00A57989" w:rsidRPr="004D07CF">
        <w:t>отчеты о внутреннем аудите были завершены в последнем квартале</w:t>
      </w:r>
      <w:r w:rsidR="00CF5F2D" w:rsidRPr="004D07CF">
        <w:t xml:space="preserve"> </w:t>
      </w:r>
      <w:r w:rsidR="00A57989" w:rsidRPr="004D07CF">
        <w:t>этого года</w:t>
      </w:r>
      <w:r w:rsidR="0042412F" w:rsidRPr="004D07CF">
        <w:t>,</w:t>
      </w:r>
      <w:r w:rsidR="00A57989" w:rsidRPr="004D07CF">
        <w:t xml:space="preserve"> и поэтому</w:t>
      </w:r>
      <w:r w:rsidR="00CF5F2D" w:rsidRPr="004D07CF">
        <w:t xml:space="preserve"> </w:t>
      </w:r>
      <w:r w:rsidR="00A57989" w:rsidRPr="004D07CF">
        <w:t xml:space="preserve">трудно </w:t>
      </w:r>
      <w:r w:rsidR="003D1FF4" w:rsidRPr="004D07CF">
        <w:t xml:space="preserve">обеспечить, чтобы </w:t>
      </w:r>
      <w:r w:rsidR="00A57989" w:rsidRPr="004D07CF">
        <w:t xml:space="preserve">многие рекомендации </w:t>
      </w:r>
      <w:r w:rsidR="003D1FF4" w:rsidRPr="004D07CF">
        <w:t xml:space="preserve">были </w:t>
      </w:r>
      <w:r w:rsidR="00A57989" w:rsidRPr="004D07CF">
        <w:t>уже выполненными в начале 2017 года</w:t>
      </w:r>
      <w:r w:rsidR="00CF5F2D" w:rsidRPr="004D07CF">
        <w:t xml:space="preserve">. </w:t>
      </w:r>
    </w:p>
    <w:p w:rsidR="00CF5F2D" w:rsidRPr="004D07CF" w:rsidRDefault="00A57989" w:rsidP="00E027F7">
      <w:pPr>
        <w:pStyle w:val="Headingb"/>
        <w:rPr>
          <w:szCs w:val="22"/>
        </w:rPr>
      </w:pPr>
      <w:r w:rsidRPr="004D07CF">
        <w:t>Аспекты, связанные с методикой аудита</w:t>
      </w:r>
    </w:p>
    <w:p w:rsidR="00CF5F2D" w:rsidRPr="004D07CF" w:rsidRDefault="00E027F7" w:rsidP="00041955">
      <w:pPr>
        <w:rPr>
          <w:rFonts w:cstheme="majorBidi"/>
        </w:rPr>
      </w:pPr>
      <w:r w:rsidRPr="004D07CF">
        <w:t>28</w:t>
      </w:r>
      <w:r w:rsidRPr="004D07CF">
        <w:tab/>
      </w:r>
      <w:r w:rsidR="00A57989" w:rsidRPr="004D07CF">
        <w:t xml:space="preserve">В 2013 году Служба внутреннего аудита стала использовать </w:t>
      </w:r>
      <w:r w:rsidR="00A57989" w:rsidRPr="004D07CF">
        <w:rPr>
          <w:i/>
          <w:iCs/>
        </w:rPr>
        <w:t>Вопросники по эффективности аудита</w:t>
      </w:r>
      <w:r w:rsidR="00A57989" w:rsidRPr="004D07CF">
        <w:t>, которые были направлены лицам, отвечающим за процессы, и руководителям структур, в отношении которых проводилась аудиторская проверка, в целях оценки эффективности работы по аудиту и определения областей для совершенствования</w:t>
      </w:r>
      <w:r w:rsidR="00041955" w:rsidRPr="004D07CF">
        <w:t>.</w:t>
      </w:r>
      <w:r w:rsidR="00CF5F2D" w:rsidRPr="004D07CF">
        <w:rPr>
          <w:rFonts w:cstheme="majorBidi"/>
        </w:rPr>
        <w:t xml:space="preserve"> </w:t>
      </w:r>
      <w:r w:rsidR="00A57989" w:rsidRPr="004D07CF">
        <w:t xml:space="preserve">Такая практика была продолжена в период, охваченный в настоящем документе. </w:t>
      </w:r>
      <w:r w:rsidR="00FF4F51" w:rsidRPr="004D07CF">
        <w:t>Судя по ответам на</w:t>
      </w:r>
      <w:r w:rsidR="00A57989" w:rsidRPr="004D07CF">
        <w:t xml:space="preserve"> четыре </w:t>
      </w:r>
      <w:r w:rsidR="00A57989" w:rsidRPr="004D07CF">
        <w:rPr>
          <w:i/>
          <w:iCs/>
        </w:rPr>
        <w:t>вопросник</w:t>
      </w:r>
      <w:r w:rsidR="00FF4F51" w:rsidRPr="004D07CF">
        <w:rPr>
          <w:i/>
          <w:iCs/>
        </w:rPr>
        <w:t>а</w:t>
      </w:r>
      <w:r w:rsidR="00A57989" w:rsidRPr="004D07CF">
        <w:t xml:space="preserve">, </w:t>
      </w:r>
      <w:r w:rsidR="00FF4F51" w:rsidRPr="004D07CF">
        <w:t>полученным</w:t>
      </w:r>
      <w:r w:rsidR="00A57989" w:rsidRPr="004D07CF">
        <w:t xml:space="preserve"> Служб</w:t>
      </w:r>
      <w:r w:rsidR="00FF4F51" w:rsidRPr="004D07CF">
        <w:t>ой</w:t>
      </w:r>
      <w:r w:rsidR="00A57989" w:rsidRPr="004D07CF">
        <w:t xml:space="preserve"> внутреннего аудита в 2016 году, отзывы </w:t>
      </w:r>
      <w:r w:rsidR="00FF4F51" w:rsidRPr="004D07CF">
        <w:t>оказались</w:t>
      </w:r>
      <w:r w:rsidR="00A57989" w:rsidRPr="004D07CF">
        <w:t xml:space="preserve"> весьма поло</w:t>
      </w:r>
      <w:r w:rsidR="003D1FF4" w:rsidRPr="004D07CF">
        <w:t>жительными (средняя оценка 4 по </w:t>
      </w:r>
      <w:r w:rsidR="00A57989" w:rsidRPr="004D07CF">
        <w:t>шкале от 1 до 5)</w:t>
      </w:r>
      <w:r w:rsidR="00CF5F2D" w:rsidRPr="004D07CF">
        <w:rPr>
          <w:rFonts w:cstheme="majorBidi"/>
        </w:rPr>
        <w:t>.</w:t>
      </w:r>
    </w:p>
    <w:p w:rsidR="00E25A17" w:rsidRPr="004D07CF" w:rsidRDefault="00E25A17" w:rsidP="00E25A17">
      <w:pPr>
        <w:spacing w:before="720"/>
        <w:jc w:val="center"/>
      </w:pPr>
      <w:r w:rsidRPr="004D07CF">
        <w:t>______________</w:t>
      </w:r>
    </w:p>
    <w:sectPr w:rsidR="00E25A17" w:rsidRPr="004D07CF" w:rsidSect="00CF629C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ECB" w:rsidRDefault="00112ECB">
      <w:r>
        <w:separator/>
      </w:r>
    </w:p>
  </w:endnote>
  <w:endnote w:type="continuationSeparator" w:id="0">
    <w:p w:rsidR="00112ECB" w:rsidRDefault="0011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F5" w:rsidRPr="00E25A17" w:rsidRDefault="00575D3C" w:rsidP="00E25A17">
    <w:pPr>
      <w:pStyle w:val="Footer"/>
    </w:pPr>
    <w:fldSimple w:instr=" FILENAME \p  \* MERGEFORMAT ">
      <w:r w:rsidR="00C22BA7">
        <w:t>P:\RUS\SG\CONSEIL\C17\000\044R.docx</w:t>
      </w:r>
    </w:fldSimple>
    <w:r w:rsidR="00E25A17" w:rsidRPr="00A341F7">
      <w:t xml:space="preserve"> (</w:t>
    </w:r>
    <w:r w:rsidR="00E25A17" w:rsidRPr="004D07CF">
      <w:rPr>
        <w:lang w:val="fr-CH"/>
      </w:rPr>
      <w:t>409494</w:t>
    </w:r>
    <w:r w:rsidR="00E25A17" w:rsidRPr="00A341F7">
      <w:t>)</w:t>
    </w:r>
    <w:r w:rsidR="00E25A17" w:rsidRPr="00A341F7">
      <w:tab/>
    </w:r>
    <w:r w:rsidR="00E25A17">
      <w:fldChar w:fldCharType="begin"/>
    </w:r>
    <w:r w:rsidR="00E25A17">
      <w:instrText xml:space="preserve"> SAVEDATE \@ DD.MM.YY </w:instrText>
    </w:r>
    <w:r w:rsidR="00E25A17">
      <w:fldChar w:fldCharType="separate"/>
    </w:r>
    <w:r w:rsidR="003A2E41">
      <w:t>18.04.17</w:t>
    </w:r>
    <w:r w:rsidR="00E25A17">
      <w:fldChar w:fldCharType="end"/>
    </w:r>
    <w:r w:rsidR="00E25A17" w:rsidRPr="00A341F7">
      <w:tab/>
    </w:r>
    <w:r w:rsidR="00E25A17">
      <w:fldChar w:fldCharType="begin"/>
    </w:r>
    <w:r w:rsidR="00E25A17">
      <w:instrText xml:space="preserve"> PRINTDATE \@ DD.MM.YY </w:instrText>
    </w:r>
    <w:r w:rsidR="00E25A17">
      <w:fldChar w:fldCharType="separate"/>
    </w:r>
    <w:r w:rsidR="00C22BA7">
      <w:t>12.04.17</w:t>
    </w:r>
    <w:r w:rsidR="00E25A1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F5" w:rsidRDefault="006335F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6335F5" w:rsidRPr="00A341F7" w:rsidRDefault="00575D3C" w:rsidP="00E25A17">
    <w:pPr>
      <w:pStyle w:val="Footer"/>
    </w:pPr>
    <w:fldSimple w:instr=" FILENAME \p  \* MERGEFORMAT ">
      <w:r w:rsidR="00C22BA7">
        <w:t>P:\RUS\SG\CONSEIL\C17\000\044R.docx</w:t>
      </w:r>
    </w:fldSimple>
    <w:r w:rsidR="006335F5" w:rsidRPr="00A341F7">
      <w:t xml:space="preserve"> (</w:t>
    </w:r>
    <w:r w:rsidR="00E25A17" w:rsidRPr="004D07CF">
      <w:rPr>
        <w:lang w:val="fr-CH"/>
      </w:rPr>
      <w:t>409494</w:t>
    </w:r>
    <w:r w:rsidR="006335F5" w:rsidRPr="00A341F7">
      <w:t>)</w:t>
    </w:r>
    <w:r w:rsidR="006335F5" w:rsidRPr="00A341F7">
      <w:tab/>
    </w:r>
    <w:r w:rsidR="006335F5">
      <w:fldChar w:fldCharType="begin"/>
    </w:r>
    <w:r w:rsidR="006335F5">
      <w:instrText xml:space="preserve"> SAVEDATE \@ DD.MM.YY </w:instrText>
    </w:r>
    <w:r w:rsidR="006335F5">
      <w:fldChar w:fldCharType="separate"/>
    </w:r>
    <w:r w:rsidR="003A2E41">
      <w:t>18.04.17</w:t>
    </w:r>
    <w:r w:rsidR="006335F5">
      <w:fldChar w:fldCharType="end"/>
    </w:r>
    <w:r w:rsidR="006335F5" w:rsidRPr="00A341F7">
      <w:tab/>
    </w:r>
    <w:r w:rsidR="006335F5">
      <w:fldChar w:fldCharType="begin"/>
    </w:r>
    <w:r w:rsidR="006335F5">
      <w:instrText xml:space="preserve"> PRINTDATE \@ DD.MM.YY </w:instrText>
    </w:r>
    <w:r w:rsidR="006335F5">
      <w:fldChar w:fldCharType="separate"/>
    </w:r>
    <w:r w:rsidR="00C22BA7">
      <w:t>12.04.17</w:t>
    </w:r>
    <w:r w:rsidR="006335F5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ECB" w:rsidRDefault="00112ECB">
      <w:r>
        <w:t>____________________</w:t>
      </w:r>
    </w:p>
  </w:footnote>
  <w:footnote w:type="continuationSeparator" w:id="0">
    <w:p w:rsidR="00112ECB" w:rsidRDefault="00112ECB">
      <w:r>
        <w:continuationSeparator/>
      </w:r>
    </w:p>
  </w:footnote>
  <w:footnote w:id="1">
    <w:p w:rsidR="006335F5" w:rsidRPr="00E25A17" w:rsidRDefault="006335F5" w:rsidP="007D38BA">
      <w:pPr>
        <w:pStyle w:val="FootnoteText"/>
        <w:spacing w:before="40"/>
      </w:pPr>
      <w:r w:rsidRPr="00E25A17">
        <w:rPr>
          <w:rStyle w:val="FootnoteReference"/>
        </w:rPr>
        <w:footnoteRef/>
      </w:r>
      <w:r w:rsidR="00E25A17">
        <w:rPr>
          <w:sz w:val="18"/>
          <w:szCs w:val="18"/>
        </w:rPr>
        <w:tab/>
      </w:r>
      <w:r w:rsidRPr="00E25A17">
        <w:t>Служебный приказ № 13/09, принятый Генеральным секретарем 27 июня 2013 года</w:t>
      </w:r>
      <w:r w:rsidR="00E25A17">
        <w:t>.</w:t>
      </w:r>
    </w:p>
  </w:footnote>
  <w:footnote w:id="2">
    <w:p w:rsidR="006335F5" w:rsidRPr="00E25A17" w:rsidRDefault="006335F5" w:rsidP="00E25A17">
      <w:pPr>
        <w:pStyle w:val="FootnoteText"/>
      </w:pPr>
      <w:r w:rsidRPr="00E25A17">
        <w:rPr>
          <w:rStyle w:val="FootnoteReference"/>
        </w:rPr>
        <w:footnoteRef/>
      </w:r>
      <w:r w:rsidR="00E25A17">
        <w:tab/>
      </w:r>
      <w:r w:rsidRPr="00E25A17">
        <w:t xml:space="preserve">Институт внутренних аудиторов, </w:t>
      </w:r>
      <w:hyperlink r:id="rId1" w:history="1">
        <w:r w:rsidRPr="00E25A17">
          <w:rPr>
            <w:rStyle w:val="Hyperlink"/>
          </w:rPr>
          <w:t>www.theiia.org</w:t>
        </w:r>
      </w:hyperlink>
      <w:r w:rsidR="00E25A17">
        <w:rPr>
          <w:rStyle w:val="Hyperlink"/>
          <w:color w:val="auto"/>
          <w:u w:val="none"/>
        </w:rPr>
        <w:t>.</w:t>
      </w:r>
    </w:p>
  </w:footnote>
  <w:footnote w:id="3">
    <w:p w:rsidR="006335F5" w:rsidRPr="00E25A17" w:rsidRDefault="006335F5" w:rsidP="00E25A17">
      <w:pPr>
        <w:pStyle w:val="FootnoteText"/>
      </w:pPr>
      <w:r w:rsidRPr="00E25A17">
        <w:rPr>
          <w:rStyle w:val="FootnoteReference"/>
        </w:rPr>
        <w:footnoteRef/>
      </w:r>
      <w:r w:rsidR="00E25A17">
        <w:tab/>
      </w:r>
      <w:r w:rsidRPr="00E25A17">
        <w:t>Служебный приказ № 13/09, принятый Генеральным секретарем 27 июня 2013 года</w:t>
      </w:r>
      <w:r w:rsidR="00E25A17">
        <w:t>.</w:t>
      </w:r>
    </w:p>
  </w:footnote>
  <w:footnote w:id="4">
    <w:p w:rsidR="006335F5" w:rsidRPr="001359CD" w:rsidRDefault="006335F5" w:rsidP="003D1FF4">
      <w:pPr>
        <w:pStyle w:val="FootnoteText"/>
      </w:pPr>
      <w:r w:rsidRPr="001359CD">
        <w:rPr>
          <w:rStyle w:val="FootnoteReference"/>
        </w:rPr>
        <w:footnoteRef/>
      </w:r>
      <w:r w:rsidR="001359CD">
        <w:tab/>
      </w:r>
      <w:r w:rsidR="003D1FF4">
        <w:t>Институт внутренних аудиторов</w:t>
      </w:r>
      <w:r w:rsidRPr="001359CD">
        <w:t xml:space="preserve">, </w:t>
      </w:r>
      <w:hyperlink r:id="rId2" w:history="1">
        <w:r w:rsidRPr="001359CD">
          <w:rPr>
            <w:rStyle w:val="Hyperlink"/>
          </w:rPr>
          <w:t>www.theiia.org</w:t>
        </w:r>
      </w:hyperlink>
      <w:r w:rsidRPr="001359CD">
        <w:rPr>
          <w:rStyle w:val="Hyperlink"/>
          <w:color w:val="auto"/>
          <w:u w:val="none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5F5" w:rsidRDefault="006335F5" w:rsidP="00BD57B7">
    <w:pPr>
      <w:pStyle w:val="Header"/>
    </w:pPr>
    <w:r>
      <w:fldChar w:fldCharType="begin"/>
    </w:r>
    <w:r>
      <w:instrText>PAGE</w:instrText>
    </w:r>
    <w:r>
      <w:fldChar w:fldCharType="separate"/>
    </w:r>
    <w:r w:rsidR="00E64480">
      <w:rPr>
        <w:noProof/>
      </w:rPr>
      <w:t>8</w:t>
    </w:r>
    <w:r>
      <w:rPr>
        <w:noProof/>
      </w:rPr>
      <w:fldChar w:fldCharType="end"/>
    </w:r>
  </w:p>
  <w:p w:rsidR="006335F5" w:rsidRDefault="006335F5" w:rsidP="007D38BA">
    <w:pPr>
      <w:pStyle w:val="Header"/>
      <w:spacing w:after="480"/>
    </w:pPr>
    <w:r>
      <w:t>C1</w:t>
    </w:r>
    <w:r>
      <w:rPr>
        <w:lang w:val="ru-RU"/>
      </w:rPr>
      <w:t>7</w:t>
    </w:r>
    <w:r>
      <w:t>/</w:t>
    </w:r>
    <w:r>
      <w:rPr>
        <w:lang w:val="ru-RU"/>
      </w:rPr>
      <w:t>44</w:t>
    </w:r>
    <w: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4D548A"/>
    <w:multiLevelType w:val="hybridMultilevel"/>
    <w:tmpl w:val="A46AF6FC"/>
    <w:lvl w:ilvl="0" w:tplc="C902F800">
      <w:start w:val="1"/>
      <w:numFmt w:val="upperLetter"/>
      <w:lvlText w:val="%1."/>
      <w:lvlJc w:val="left"/>
      <w:pPr>
        <w:ind w:left="1211" w:hanging="360"/>
      </w:pPr>
      <w:rPr>
        <w:rFonts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C314B"/>
    <w:multiLevelType w:val="hybridMultilevel"/>
    <w:tmpl w:val="A27E4584"/>
    <w:lvl w:ilvl="0" w:tplc="6A92C332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B7"/>
    <w:rsid w:val="00013946"/>
    <w:rsid w:val="0002183E"/>
    <w:rsid w:val="00022420"/>
    <w:rsid w:val="00041955"/>
    <w:rsid w:val="000465EA"/>
    <w:rsid w:val="000569B4"/>
    <w:rsid w:val="00061F78"/>
    <w:rsid w:val="00065107"/>
    <w:rsid w:val="00077A0F"/>
    <w:rsid w:val="00080E82"/>
    <w:rsid w:val="00086335"/>
    <w:rsid w:val="0009601F"/>
    <w:rsid w:val="000E568E"/>
    <w:rsid w:val="000F0E9C"/>
    <w:rsid w:val="000F47E8"/>
    <w:rsid w:val="000F7535"/>
    <w:rsid w:val="00112ECB"/>
    <w:rsid w:val="001359CD"/>
    <w:rsid w:val="0014734F"/>
    <w:rsid w:val="0015710D"/>
    <w:rsid w:val="00163A32"/>
    <w:rsid w:val="001646EB"/>
    <w:rsid w:val="00164C9A"/>
    <w:rsid w:val="001907C7"/>
    <w:rsid w:val="00192B41"/>
    <w:rsid w:val="001B7B09"/>
    <w:rsid w:val="001D24D1"/>
    <w:rsid w:val="001D36B5"/>
    <w:rsid w:val="001D3CF4"/>
    <w:rsid w:val="001E033A"/>
    <w:rsid w:val="001E6719"/>
    <w:rsid w:val="00225368"/>
    <w:rsid w:val="00227FF0"/>
    <w:rsid w:val="00244A45"/>
    <w:rsid w:val="00263871"/>
    <w:rsid w:val="00271F78"/>
    <w:rsid w:val="002840FF"/>
    <w:rsid w:val="00285D30"/>
    <w:rsid w:val="00291EB6"/>
    <w:rsid w:val="00294A5A"/>
    <w:rsid w:val="002B2E4E"/>
    <w:rsid w:val="002D2F57"/>
    <w:rsid w:val="002D48C5"/>
    <w:rsid w:val="002F3EAB"/>
    <w:rsid w:val="00311F5A"/>
    <w:rsid w:val="00315394"/>
    <w:rsid w:val="00324F07"/>
    <w:rsid w:val="00337164"/>
    <w:rsid w:val="00381475"/>
    <w:rsid w:val="003A2E41"/>
    <w:rsid w:val="003B5527"/>
    <w:rsid w:val="003D1FF4"/>
    <w:rsid w:val="003F099E"/>
    <w:rsid w:val="003F235E"/>
    <w:rsid w:val="004023E0"/>
    <w:rsid w:val="00403DD8"/>
    <w:rsid w:val="00404945"/>
    <w:rsid w:val="0042412F"/>
    <w:rsid w:val="0043397D"/>
    <w:rsid w:val="00451646"/>
    <w:rsid w:val="0045686C"/>
    <w:rsid w:val="00462A03"/>
    <w:rsid w:val="004918C4"/>
    <w:rsid w:val="004A45B5"/>
    <w:rsid w:val="004D0129"/>
    <w:rsid w:val="004D07CF"/>
    <w:rsid w:val="004F250D"/>
    <w:rsid w:val="004F376F"/>
    <w:rsid w:val="00520415"/>
    <w:rsid w:val="0052226D"/>
    <w:rsid w:val="00564E81"/>
    <w:rsid w:val="00575D3C"/>
    <w:rsid w:val="0059228E"/>
    <w:rsid w:val="005A64D5"/>
    <w:rsid w:val="005C2F71"/>
    <w:rsid w:val="005C7778"/>
    <w:rsid w:val="005D496D"/>
    <w:rsid w:val="005E43DE"/>
    <w:rsid w:val="00601994"/>
    <w:rsid w:val="00603453"/>
    <w:rsid w:val="00607E2D"/>
    <w:rsid w:val="00613129"/>
    <w:rsid w:val="006335F5"/>
    <w:rsid w:val="00667C3D"/>
    <w:rsid w:val="00671A4E"/>
    <w:rsid w:val="00684300"/>
    <w:rsid w:val="00690F6F"/>
    <w:rsid w:val="00697D89"/>
    <w:rsid w:val="006E2D42"/>
    <w:rsid w:val="00703676"/>
    <w:rsid w:val="00707304"/>
    <w:rsid w:val="00732269"/>
    <w:rsid w:val="0073791C"/>
    <w:rsid w:val="00750043"/>
    <w:rsid w:val="00760F34"/>
    <w:rsid w:val="0077267A"/>
    <w:rsid w:val="00774443"/>
    <w:rsid w:val="00781ED4"/>
    <w:rsid w:val="00785ABD"/>
    <w:rsid w:val="00797BAD"/>
    <w:rsid w:val="007A0B3C"/>
    <w:rsid w:val="007A1405"/>
    <w:rsid w:val="007A2DD4"/>
    <w:rsid w:val="007D37E3"/>
    <w:rsid w:val="007D38B5"/>
    <w:rsid w:val="007D38BA"/>
    <w:rsid w:val="007E45DA"/>
    <w:rsid w:val="007E7EA0"/>
    <w:rsid w:val="00807255"/>
    <w:rsid w:val="0081023E"/>
    <w:rsid w:val="00812D3B"/>
    <w:rsid w:val="008173AA"/>
    <w:rsid w:val="0082206A"/>
    <w:rsid w:val="00822436"/>
    <w:rsid w:val="00840A14"/>
    <w:rsid w:val="00847031"/>
    <w:rsid w:val="00850933"/>
    <w:rsid w:val="00854876"/>
    <w:rsid w:val="008634B6"/>
    <w:rsid w:val="008753C1"/>
    <w:rsid w:val="00887B63"/>
    <w:rsid w:val="008914D9"/>
    <w:rsid w:val="00894A2F"/>
    <w:rsid w:val="008965C9"/>
    <w:rsid w:val="008B0EBD"/>
    <w:rsid w:val="008B3EA4"/>
    <w:rsid w:val="008D2D7B"/>
    <w:rsid w:val="008D57DE"/>
    <w:rsid w:val="008E0737"/>
    <w:rsid w:val="008E4FD8"/>
    <w:rsid w:val="008E6799"/>
    <w:rsid w:val="008F7C2C"/>
    <w:rsid w:val="00906D7B"/>
    <w:rsid w:val="009164BF"/>
    <w:rsid w:val="00922EAD"/>
    <w:rsid w:val="009324B7"/>
    <w:rsid w:val="00937105"/>
    <w:rsid w:val="00940E96"/>
    <w:rsid w:val="0097249A"/>
    <w:rsid w:val="00976521"/>
    <w:rsid w:val="00985C13"/>
    <w:rsid w:val="009A1FE5"/>
    <w:rsid w:val="009B0BAE"/>
    <w:rsid w:val="009B21D4"/>
    <w:rsid w:val="009C1C89"/>
    <w:rsid w:val="009F01AA"/>
    <w:rsid w:val="009F06B3"/>
    <w:rsid w:val="00A20519"/>
    <w:rsid w:val="00A22EA2"/>
    <w:rsid w:val="00A341F7"/>
    <w:rsid w:val="00A444C0"/>
    <w:rsid w:val="00A50BAB"/>
    <w:rsid w:val="00A57989"/>
    <w:rsid w:val="00A71773"/>
    <w:rsid w:val="00A95B82"/>
    <w:rsid w:val="00AA0570"/>
    <w:rsid w:val="00AC55C2"/>
    <w:rsid w:val="00AD702C"/>
    <w:rsid w:val="00AE2C85"/>
    <w:rsid w:val="00AE5DA1"/>
    <w:rsid w:val="00B12A37"/>
    <w:rsid w:val="00B27578"/>
    <w:rsid w:val="00B5088A"/>
    <w:rsid w:val="00B63EF2"/>
    <w:rsid w:val="00B65230"/>
    <w:rsid w:val="00B71467"/>
    <w:rsid w:val="00B80E7A"/>
    <w:rsid w:val="00B82822"/>
    <w:rsid w:val="00B877CE"/>
    <w:rsid w:val="00B96424"/>
    <w:rsid w:val="00BA5750"/>
    <w:rsid w:val="00BB23D9"/>
    <w:rsid w:val="00BB5DA1"/>
    <w:rsid w:val="00BC0D39"/>
    <w:rsid w:val="00BC0D6B"/>
    <w:rsid w:val="00BC29FD"/>
    <w:rsid w:val="00BC7BC0"/>
    <w:rsid w:val="00BD57B7"/>
    <w:rsid w:val="00BD5C12"/>
    <w:rsid w:val="00BE23C5"/>
    <w:rsid w:val="00BE63E2"/>
    <w:rsid w:val="00C12870"/>
    <w:rsid w:val="00C16DC6"/>
    <w:rsid w:val="00C22BA7"/>
    <w:rsid w:val="00C23F84"/>
    <w:rsid w:val="00C677B2"/>
    <w:rsid w:val="00C67ED4"/>
    <w:rsid w:val="00C71B9D"/>
    <w:rsid w:val="00C83A31"/>
    <w:rsid w:val="00C91410"/>
    <w:rsid w:val="00CA4363"/>
    <w:rsid w:val="00CA5450"/>
    <w:rsid w:val="00CB4B5B"/>
    <w:rsid w:val="00CD2009"/>
    <w:rsid w:val="00CD3BE0"/>
    <w:rsid w:val="00CD3E6A"/>
    <w:rsid w:val="00CE798C"/>
    <w:rsid w:val="00CF5F2D"/>
    <w:rsid w:val="00CF629C"/>
    <w:rsid w:val="00D10F3C"/>
    <w:rsid w:val="00D1433D"/>
    <w:rsid w:val="00D17A34"/>
    <w:rsid w:val="00D74F9E"/>
    <w:rsid w:val="00D80222"/>
    <w:rsid w:val="00D838EC"/>
    <w:rsid w:val="00D92EEA"/>
    <w:rsid w:val="00D94249"/>
    <w:rsid w:val="00DA5D4E"/>
    <w:rsid w:val="00DB6EE6"/>
    <w:rsid w:val="00DC2A28"/>
    <w:rsid w:val="00DF0342"/>
    <w:rsid w:val="00DF193D"/>
    <w:rsid w:val="00E027F7"/>
    <w:rsid w:val="00E03BA7"/>
    <w:rsid w:val="00E049D6"/>
    <w:rsid w:val="00E07EAF"/>
    <w:rsid w:val="00E176BA"/>
    <w:rsid w:val="00E20A4D"/>
    <w:rsid w:val="00E2577F"/>
    <w:rsid w:val="00E25A17"/>
    <w:rsid w:val="00E41948"/>
    <w:rsid w:val="00E423EC"/>
    <w:rsid w:val="00E64480"/>
    <w:rsid w:val="00E73548"/>
    <w:rsid w:val="00E824AE"/>
    <w:rsid w:val="00E855D8"/>
    <w:rsid w:val="00EA166C"/>
    <w:rsid w:val="00EB4A73"/>
    <w:rsid w:val="00EC6BC5"/>
    <w:rsid w:val="00EE3DA5"/>
    <w:rsid w:val="00EF21CB"/>
    <w:rsid w:val="00EF4396"/>
    <w:rsid w:val="00F1250A"/>
    <w:rsid w:val="00F20F8A"/>
    <w:rsid w:val="00F346BD"/>
    <w:rsid w:val="00F35898"/>
    <w:rsid w:val="00F5225B"/>
    <w:rsid w:val="00F56F04"/>
    <w:rsid w:val="00F67E80"/>
    <w:rsid w:val="00F941DD"/>
    <w:rsid w:val="00FA16F4"/>
    <w:rsid w:val="00FA1A7C"/>
    <w:rsid w:val="00FB3C6A"/>
    <w:rsid w:val="00FB4E73"/>
    <w:rsid w:val="00FC7A6D"/>
    <w:rsid w:val="00FE5701"/>
    <w:rsid w:val="00FF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E84FECC-9A1F-4699-BAED-B04B3927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B8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781ED4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A95B82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E798C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A95B82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A95B82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A95B8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character" w:customStyle="1" w:styleId="NormalaftertitleChar">
    <w:name w:val="Normal after title Char"/>
    <w:basedOn w:val="DefaultParagraphFont"/>
    <w:link w:val="Normalaftertitle"/>
    <w:rsid w:val="009324B7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CF5F2D"/>
    <w:pPr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Times New Roman" w:eastAsiaTheme="minorEastAsia" w:hAnsi="Times New Roman" w:cstheme="minorBidi"/>
      <w:szCs w:val="22"/>
      <w:lang w:val="fr-CH" w:eastAsia="zh-CN"/>
    </w:rPr>
  </w:style>
  <w:style w:type="character" w:customStyle="1" w:styleId="FootnoteTextChar">
    <w:name w:val="Footnote Text Char"/>
    <w:link w:val="FootnoteText"/>
    <w:rsid w:val="00CF5F2D"/>
    <w:rPr>
      <w:rFonts w:ascii="Calibri" w:hAnsi="Calibri"/>
      <w:lang w:val="ru-RU" w:eastAsia="en-US"/>
    </w:rPr>
  </w:style>
  <w:style w:type="character" w:styleId="Emphasis">
    <w:name w:val="Emphasis"/>
    <w:basedOn w:val="DefaultParagraphFont"/>
    <w:qFormat/>
    <w:rsid w:val="00CF5F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md/S15-CL-INF-0011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iia.org" TargetMode="External"/><Relationship Id="rId1" Type="http://schemas.openxmlformats.org/officeDocument/2006/relationships/hyperlink" Target="http://www.thei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0C1E2-93DB-47D1-90F6-7D0A16BD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4024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ПРЕДЛАГАЕМЫЕ СРОКИ И ПРОДОЛЖИТЕЛЬНОСТЬ СЕССИЙ СОВЕТА 2017, 2018 И 2019 ГОДОВ</vt:lpstr>
    </vt:vector>
  </TitlesOfParts>
  <Manager>General Secretariat - Pool</Manager>
  <Company>International Telecommunication Union (ITU)</Company>
  <LinksUpToDate>false</LinksUpToDate>
  <CharactersWithSpaces>26914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ПРЕДЛАГАЕМЫЕ СРОКИ И ПРОДОЛЖИТЕЛЬНОСТЬ СЕССИЙ СОВЕТА 2017, 2018 И 2019 ГОДОВ</dc:title>
  <dc:subject>Council 2004</dc:subject>
  <dc:creator>Olga Komissarova</dc:creator>
  <cp:keywords>C2017, C17</cp:keywords>
  <dc:description/>
  <cp:lastModifiedBy>Janin</cp:lastModifiedBy>
  <cp:revision>3</cp:revision>
  <cp:lastPrinted>2017-04-12T15:14:00Z</cp:lastPrinted>
  <dcterms:created xsi:type="dcterms:W3CDTF">2017-04-19T06:13:00Z</dcterms:created>
  <dcterms:modified xsi:type="dcterms:W3CDTF">2017-04-19T06:13:00Z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