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92392D">
        <w:trPr>
          <w:cantSplit/>
        </w:trPr>
        <w:tc>
          <w:tcPr>
            <w:tcW w:w="6912" w:type="dxa"/>
          </w:tcPr>
          <w:p w:rsidR="00520F36" w:rsidRPr="0092392D" w:rsidRDefault="00520F36" w:rsidP="00520F36">
            <w:pPr>
              <w:spacing w:before="360"/>
              <w:rPr>
                <w:lang w:val="fr-CH"/>
              </w:rPr>
            </w:pPr>
            <w:bookmarkStart w:id="0" w:name="dc06"/>
            <w:bookmarkEnd w:id="0"/>
            <w:r w:rsidRPr="00520F36">
              <w:rPr>
                <w:b/>
                <w:bCs/>
                <w:sz w:val="30"/>
                <w:szCs w:val="30"/>
                <w:lang w:val="fr-CH"/>
              </w:rPr>
              <w:t>Conseil 2017</w:t>
            </w:r>
            <w:r w:rsidRPr="00520F36">
              <w:rPr>
                <w:rFonts w:ascii="Verdana" w:hAnsi="Verdana"/>
                <w:b/>
                <w:bCs/>
                <w:sz w:val="26"/>
                <w:szCs w:val="26"/>
                <w:lang w:val="fr-CH"/>
              </w:rPr>
              <w:br/>
            </w:r>
            <w:r w:rsidRPr="00520F36">
              <w:rPr>
                <w:b/>
                <w:bCs/>
                <w:szCs w:val="24"/>
                <w:lang w:val="fr-CH"/>
              </w:rPr>
              <w:t>Gen</w:t>
            </w:r>
            <w:proofErr w:type="spellStart"/>
            <w:r w:rsidRPr="00520F36">
              <w:rPr>
                <w:b/>
                <w:bCs/>
                <w:szCs w:val="24"/>
                <w:lang w:val="en-US"/>
              </w:rPr>
              <w:t>ève</w:t>
            </w:r>
            <w:proofErr w:type="spellEnd"/>
            <w:r w:rsidRPr="00520F36">
              <w:rPr>
                <w:b/>
                <w:bCs/>
                <w:szCs w:val="24"/>
                <w:lang w:val="fr-CH"/>
              </w:rPr>
              <w:t>, 15-25 mai 2017</w:t>
            </w:r>
          </w:p>
        </w:tc>
        <w:tc>
          <w:tcPr>
            <w:tcW w:w="3261" w:type="dxa"/>
          </w:tcPr>
          <w:p w:rsidR="00520F36" w:rsidRPr="0092392D" w:rsidRDefault="00520F36" w:rsidP="00520F36">
            <w:pPr>
              <w:spacing w:before="0"/>
              <w:jc w:val="right"/>
              <w:rPr>
                <w:lang w:val="fr-CH"/>
              </w:rPr>
            </w:pPr>
            <w:bookmarkStart w:id="1" w:name="ditulogo"/>
            <w:bookmarkEnd w:id="1"/>
            <w:r w:rsidRPr="00520F36">
              <w:rPr>
                <w:rFonts w:cstheme="minorHAnsi"/>
                <w:b/>
                <w:bCs/>
                <w:noProof/>
                <w:lang w:val="en-US"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92392D" w:rsidTr="00EF41DD">
        <w:trPr>
          <w:cantSplit/>
          <w:trHeight w:val="20"/>
        </w:trPr>
        <w:tc>
          <w:tcPr>
            <w:tcW w:w="6912" w:type="dxa"/>
            <w:tcBorders>
              <w:bottom w:val="single" w:sz="12" w:space="0" w:color="auto"/>
            </w:tcBorders>
            <w:vAlign w:val="center"/>
          </w:tcPr>
          <w:p w:rsidR="00520F36" w:rsidRPr="00361350" w:rsidRDefault="00520F36" w:rsidP="004C37A9">
            <w:pPr>
              <w:spacing w:before="0"/>
              <w:rPr>
                <w:b/>
                <w:bCs/>
                <w:sz w:val="26"/>
                <w:szCs w:val="26"/>
                <w:lang w:val="fr-CH"/>
              </w:rPr>
            </w:pPr>
          </w:p>
        </w:tc>
        <w:tc>
          <w:tcPr>
            <w:tcW w:w="3261" w:type="dxa"/>
            <w:tcBorders>
              <w:bottom w:val="single" w:sz="12" w:space="0" w:color="auto"/>
            </w:tcBorders>
          </w:tcPr>
          <w:p w:rsidR="00520F36" w:rsidRPr="0092392D" w:rsidRDefault="00520F36" w:rsidP="00DF74DD">
            <w:pPr>
              <w:spacing w:before="0"/>
              <w:rPr>
                <w:b/>
                <w:bCs/>
              </w:rPr>
            </w:pPr>
          </w:p>
        </w:tc>
      </w:tr>
      <w:tr w:rsidR="00520F36" w:rsidRPr="0092392D">
        <w:trPr>
          <w:cantSplit/>
          <w:trHeight w:val="20"/>
        </w:trPr>
        <w:tc>
          <w:tcPr>
            <w:tcW w:w="6912" w:type="dxa"/>
            <w:tcBorders>
              <w:top w:val="single" w:sz="12" w:space="0" w:color="auto"/>
            </w:tcBorders>
          </w:tcPr>
          <w:p w:rsidR="00520F36" w:rsidRPr="0092392D" w:rsidRDefault="00520F36" w:rsidP="00DF74DD">
            <w:pPr>
              <w:spacing w:before="0"/>
              <w:rPr>
                <w:smallCaps/>
                <w:sz w:val="22"/>
                <w:lang w:val="fr-CH"/>
              </w:rPr>
            </w:pPr>
          </w:p>
        </w:tc>
        <w:tc>
          <w:tcPr>
            <w:tcW w:w="3261" w:type="dxa"/>
            <w:tcBorders>
              <w:top w:val="single" w:sz="12" w:space="0" w:color="auto"/>
            </w:tcBorders>
          </w:tcPr>
          <w:p w:rsidR="00520F36" w:rsidRPr="0092392D" w:rsidRDefault="00520F36" w:rsidP="00DF74DD">
            <w:pPr>
              <w:spacing w:before="0"/>
              <w:rPr>
                <w:b/>
                <w:bCs/>
              </w:rPr>
            </w:pPr>
          </w:p>
        </w:tc>
      </w:tr>
      <w:tr w:rsidR="00520F36" w:rsidRPr="0092392D">
        <w:trPr>
          <w:cantSplit/>
          <w:trHeight w:val="20"/>
        </w:trPr>
        <w:tc>
          <w:tcPr>
            <w:tcW w:w="6912" w:type="dxa"/>
            <w:vMerge w:val="restart"/>
          </w:tcPr>
          <w:p w:rsidR="00520F36" w:rsidRPr="00520F36" w:rsidRDefault="00F4407E" w:rsidP="00DF74DD">
            <w:pPr>
              <w:spacing w:before="0"/>
              <w:rPr>
                <w:rFonts w:cs="Times"/>
                <w:b/>
                <w:bCs/>
                <w:szCs w:val="24"/>
                <w:lang w:val="fr-CH"/>
              </w:rPr>
            </w:pPr>
            <w:bookmarkStart w:id="2" w:name="dnum" w:colFirst="1" w:colLast="1"/>
            <w:bookmarkStart w:id="3" w:name="dmeeting" w:colFirst="0" w:colLast="0"/>
            <w:r>
              <w:rPr>
                <w:rFonts w:cs="Times"/>
                <w:b/>
                <w:bCs/>
                <w:szCs w:val="24"/>
                <w:lang w:val="fr-CH"/>
              </w:rPr>
              <w:t>Point de l'ordre du jour: ADM 13</w:t>
            </w:r>
          </w:p>
        </w:tc>
        <w:tc>
          <w:tcPr>
            <w:tcW w:w="3261" w:type="dxa"/>
          </w:tcPr>
          <w:p w:rsidR="00520F36" w:rsidRPr="00520F36" w:rsidRDefault="00520F36" w:rsidP="00F4407E">
            <w:pPr>
              <w:spacing w:before="0"/>
              <w:rPr>
                <w:b/>
                <w:bCs/>
              </w:rPr>
            </w:pPr>
            <w:r>
              <w:rPr>
                <w:b/>
                <w:bCs/>
              </w:rPr>
              <w:t>Document C17/</w:t>
            </w:r>
            <w:r w:rsidR="00F4407E">
              <w:rPr>
                <w:b/>
                <w:bCs/>
              </w:rPr>
              <w:t>44</w:t>
            </w:r>
            <w:r>
              <w:rPr>
                <w:b/>
                <w:bCs/>
              </w:rPr>
              <w:t>-F</w:t>
            </w:r>
          </w:p>
        </w:tc>
      </w:tr>
      <w:tr w:rsidR="00520F36" w:rsidRPr="0092392D">
        <w:trPr>
          <w:cantSplit/>
          <w:trHeight w:val="20"/>
        </w:trPr>
        <w:tc>
          <w:tcPr>
            <w:tcW w:w="6912" w:type="dxa"/>
            <w:vMerge/>
          </w:tcPr>
          <w:p w:rsidR="00520F36" w:rsidRPr="0092392D" w:rsidRDefault="00520F36" w:rsidP="00DF74DD">
            <w:pPr>
              <w:shd w:val="solid" w:color="FFFFFF" w:fill="FFFFFF"/>
              <w:spacing w:before="180"/>
              <w:rPr>
                <w:smallCaps/>
                <w:lang w:val="fr-CH"/>
              </w:rPr>
            </w:pPr>
            <w:bookmarkStart w:id="4" w:name="ddate" w:colFirst="1" w:colLast="1"/>
            <w:bookmarkEnd w:id="2"/>
            <w:bookmarkEnd w:id="3"/>
          </w:p>
        </w:tc>
        <w:tc>
          <w:tcPr>
            <w:tcW w:w="3261" w:type="dxa"/>
          </w:tcPr>
          <w:p w:rsidR="00520F36" w:rsidRPr="00520F36" w:rsidRDefault="00F4407E" w:rsidP="00520F36">
            <w:pPr>
              <w:spacing w:before="0"/>
              <w:rPr>
                <w:b/>
                <w:bCs/>
              </w:rPr>
            </w:pPr>
            <w:r>
              <w:rPr>
                <w:b/>
                <w:bCs/>
              </w:rPr>
              <w:t xml:space="preserve">14 mars </w:t>
            </w:r>
            <w:r w:rsidR="00520F36">
              <w:rPr>
                <w:b/>
                <w:bCs/>
              </w:rPr>
              <w:t>2017</w:t>
            </w:r>
          </w:p>
        </w:tc>
      </w:tr>
      <w:tr w:rsidR="00520F36" w:rsidRPr="0092392D">
        <w:trPr>
          <w:cantSplit/>
          <w:trHeight w:val="20"/>
        </w:trPr>
        <w:tc>
          <w:tcPr>
            <w:tcW w:w="6912" w:type="dxa"/>
            <w:vMerge/>
          </w:tcPr>
          <w:p w:rsidR="00520F36" w:rsidRPr="0092392D" w:rsidRDefault="00520F36" w:rsidP="00DF74DD">
            <w:pPr>
              <w:shd w:val="solid" w:color="FFFFFF" w:fill="FFFFFF"/>
              <w:spacing w:before="180"/>
              <w:rPr>
                <w:smallCaps/>
                <w:lang w:val="fr-CH"/>
              </w:rPr>
            </w:pPr>
            <w:bookmarkStart w:id="5" w:name="dorlang" w:colFirst="1" w:colLast="1"/>
            <w:bookmarkEnd w:id="4"/>
          </w:p>
        </w:tc>
        <w:tc>
          <w:tcPr>
            <w:tcW w:w="3261" w:type="dxa"/>
          </w:tcPr>
          <w:p w:rsidR="00520F36" w:rsidRPr="00520F36" w:rsidRDefault="00520F36" w:rsidP="00520F36">
            <w:pPr>
              <w:spacing w:before="0"/>
              <w:rPr>
                <w:b/>
                <w:bCs/>
              </w:rPr>
            </w:pPr>
            <w:r>
              <w:rPr>
                <w:b/>
                <w:bCs/>
              </w:rPr>
              <w:t>Original: anglais</w:t>
            </w:r>
          </w:p>
        </w:tc>
      </w:tr>
      <w:tr w:rsidR="00520F36" w:rsidRPr="0092392D">
        <w:trPr>
          <w:cantSplit/>
        </w:trPr>
        <w:tc>
          <w:tcPr>
            <w:tcW w:w="10173" w:type="dxa"/>
            <w:gridSpan w:val="2"/>
          </w:tcPr>
          <w:p w:rsidR="00520F36" w:rsidRPr="0092392D" w:rsidRDefault="00F4407E" w:rsidP="00DF74DD">
            <w:pPr>
              <w:pStyle w:val="Source"/>
            </w:pPr>
            <w:bookmarkStart w:id="6" w:name="dsource" w:colFirst="0" w:colLast="0"/>
            <w:bookmarkEnd w:id="5"/>
            <w:r>
              <w:t>Rapport du Secrétaire général</w:t>
            </w:r>
          </w:p>
        </w:tc>
      </w:tr>
      <w:tr w:rsidR="00520F36" w:rsidRPr="0092392D">
        <w:trPr>
          <w:cantSplit/>
        </w:trPr>
        <w:tc>
          <w:tcPr>
            <w:tcW w:w="10173" w:type="dxa"/>
            <w:gridSpan w:val="2"/>
          </w:tcPr>
          <w:p w:rsidR="00520F36" w:rsidRPr="0092392D" w:rsidRDefault="00F4407E" w:rsidP="00DF74DD">
            <w:pPr>
              <w:pStyle w:val="Title1"/>
            </w:pPr>
            <w:bookmarkStart w:id="7" w:name="dtitle1" w:colFirst="0" w:colLast="0"/>
            <w:bookmarkEnd w:id="6"/>
            <w:r>
              <w:t>rapport de l'auditeur interne sur les activités d'audit interne</w:t>
            </w:r>
          </w:p>
        </w:tc>
      </w:tr>
      <w:bookmarkEnd w:id="7"/>
    </w:tbl>
    <w:p w:rsidR="00520F36" w:rsidRPr="0092392D" w:rsidRDefault="00520F36">
      <w:pPr>
        <w:rPr>
          <w:lang w:val="fr-CH"/>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92392D">
        <w:trPr>
          <w:trHeight w:val="3372"/>
        </w:trPr>
        <w:tc>
          <w:tcPr>
            <w:tcW w:w="8080" w:type="dxa"/>
            <w:tcBorders>
              <w:top w:val="single" w:sz="12" w:space="0" w:color="auto"/>
              <w:left w:val="single" w:sz="12" w:space="0" w:color="auto"/>
              <w:bottom w:val="single" w:sz="12" w:space="0" w:color="auto"/>
              <w:right w:val="single" w:sz="12" w:space="0" w:color="auto"/>
            </w:tcBorders>
          </w:tcPr>
          <w:p w:rsidR="00520F36" w:rsidRPr="0092392D" w:rsidRDefault="00520F36">
            <w:pPr>
              <w:pStyle w:val="Headingb"/>
              <w:rPr>
                <w:lang w:val="fr-CH"/>
              </w:rPr>
            </w:pPr>
            <w:r w:rsidRPr="0092392D">
              <w:rPr>
                <w:lang w:val="fr-CH"/>
              </w:rPr>
              <w:t>Résumé</w:t>
            </w:r>
          </w:p>
          <w:p w:rsidR="00520F36" w:rsidRPr="0092392D" w:rsidRDefault="00F4407E" w:rsidP="00F4407E">
            <w:pPr>
              <w:rPr>
                <w:lang w:val="fr-CH"/>
              </w:rPr>
            </w:pPr>
            <w:r w:rsidRPr="005B597C">
              <w:rPr>
                <w:lang w:val="fr-CH"/>
              </w:rPr>
              <w:t>Le présent rapport couvre les activités d'audit interne menées durant la période comprise entre mars 2016 et février 2017.</w:t>
            </w:r>
          </w:p>
          <w:p w:rsidR="00520F36" w:rsidRPr="0092392D" w:rsidRDefault="00520F36">
            <w:pPr>
              <w:pStyle w:val="Headingb"/>
              <w:rPr>
                <w:lang w:val="fr-CH"/>
              </w:rPr>
            </w:pPr>
            <w:r w:rsidRPr="0092392D">
              <w:rPr>
                <w:lang w:val="fr-CH"/>
              </w:rPr>
              <w:t>Suite à donner</w:t>
            </w:r>
          </w:p>
          <w:p w:rsidR="00520F36" w:rsidRPr="0092392D" w:rsidRDefault="00F4407E" w:rsidP="00F4407E">
            <w:pPr>
              <w:rPr>
                <w:lang w:val="fr-CH"/>
              </w:rPr>
            </w:pPr>
            <w:r w:rsidRPr="005B597C">
              <w:rPr>
                <w:lang w:val="fr-CH"/>
              </w:rPr>
              <w:t xml:space="preserve">Le présent rapport est transmis au Conseil </w:t>
            </w:r>
            <w:r w:rsidRPr="005B597C">
              <w:rPr>
                <w:b/>
                <w:bCs/>
                <w:lang w:val="fr-CH"/>
              </w:rPr>
              <w:t>pour examen</w:t>
            </w:r>
            <w:r w:rsidRPr="005B597C">
              <w:rPr>
                <w:lang w:val="fr-CH"/>
              </w:rPr>
              <w:t>.</w:t>
            </w:r>
          </w:p>
          <w:p w:rsidR="00520F36" w:rsidRPr="0092392D" w:rsidRDefault="00520F36">
            <w:pPr>
              <w:pStyle w:val="Table"/>
              <w:keepNext w:val="0"/>
              <w:spacing w:before="0" w:after="0"/>
              <w:rPr>
                <w:rFonts w:ascii="Calibri" w:hAnsi="Calibri"/>
                <w:caps w:val="0"/>
                <w:sz w:val="22"/>
                <w:lang w:val="fr-CH"/>
              </w:rPr>
            </w:pPr>
            <w:r w:rsidRPr="0092392D">
              <w:rPr>
                <w:rFonts w:ascii="Calibri" w:hAnsi="Calibri"/>
                <w:caps w:val="0"/>
                <w:sz w:val="22"/>
                <w:lang w:val="fr-CH"/>
              </w:rPr>
              <w:t>____________</w:t>
            </w:r>
          </w:p>
          <w:p w:rsidR="00520F36" w:rsidRPr="0092392D" w:rsidRDefault="00520F36">
            <w:pPr>
              <w:pStyle w:val="Headingb"/>
              <w:rPr>
                <w:lang w:val="fr-CH"/>
              </w:rPr>
            </w:pPr>
            <w:r w:rsidRPr="0092392D">
              <w:rPr>
                <w:lang w:val="fr-CH"/>
              </w:rPr>
              <w:t>Références</w:t>
            </w:r>
          </w:p>
          <w:p w:rsidR="00520F36" w:rsidRPr="00F4407E" w:rsidRDefault="00F4407E" w:rsidP="00F4407E">
            <w:pPr>
              <w:rPr>
                <w:i/>
                <w:iCs/>
                <w:lang w:val="fr-CH"/>
              </w:rPr>
            </w:pPr>
            <w:r w:rsidRPr="00F4407E">
              <w:rPr>
                <w:i/>
                <w:iCs/>
                <w:lang w:val="fr-CH"/>
              </w:rPr>
              <w:t>Règlement financier et Règles financières de l’UIT (2010), Article 29</w:t>
            </w:r>
          </w:p>
        </w:tc>
      </w:tr>
    </w:tbl>
    <w:p w:rsidR="00520F36" w:rsidRPr="00CA08ED" w:rsidRDefault="00520F36" w:rsidP="00CA08ED"/>
    <w:p w:rsidR="00F4407E" w:rsidRPr="005B597C" w:rsidRDefault="00F4407E" w:rsidP="00F4407E">
      <w:pPr>
        <w:pStyle w:val="Headingb"/>
      </w:pPr>
      <w:r w:rsidRPr="005B597C">
        <w:t>Introduction</w:t>
      </w:r>
    </w:p>
    <w:p w:rsidR="00F4407E" w:rsidRPr="005B597C" w:rsidRDefault="00F4407E" w:rsidP="00F4407E">
      <w:pPr>
        <w:rPr>
          <w:rFonts w:cstheme="minorHAnsi"/>
          <w:szCs w:val="24"/>
          <w:lang w:val="fr-CH"/>
        </w:rPr>
      </w:pPr>
      <w:r>
        <w:rPr>
          <w:lang w:val="fr-CH"/>
        </w:rPr>
        <w:t>1</w:t>
      </w:r>
      <w:r>
        <w:rPr>
          <w:lang w:val="fr-CH"/>
        </w:rPr>
        <w:tab/>
      </w:r>
      <w:r w:rsidRPr="005B597C">
        <w:rPr>
          <w:lang w:val="fr-CH"/>
        </w:rPr>
        <w:t>Le présent rapport est transmis au Conseil au titre de l'Article 29 du Règlement financier (2010)</w:t>
      </w:r>
      <w:r w:rsidRPr="005B597C">
        <w:rPr>
          <w:rFonts w:cstheme="minorHAnsi"/>
          <w:szCs w:val="24"/>
          <w:lang w:val="fr-CH"/>
        </w:rPr>
        <w:t>.</w:t>
      </w:r>
      <w:r w:rsidRPr="005B597C">
        <w:rPr>
          <w:lang w:val="fr-CH"/>
        </w:rPr>
        <w:t xml:space="preserve"> Conformément à la Charte d'audit interne de l'UIT</w:t>
      </w:r>
      <w:r>
        <w:rPr>
          <w:rStyle w:val="FootnoteReference"/>
          <w:lang w:val="fr-CH"/>
        </w:rPr>
        <w:footnoteReference w:id="1"/>
      </w:r>
      <w:r w:rsidRPr="005B597C">
        <w:rPr>
          <w:lang w:val="fr-CH"/>
        </w:rPr>
        <w:t xml:space="preserve">, le présent rapport est soumis au Secrétaire général et présenté au Conseil pour examen. </w:t>
      </w:r>
      <w:r>
        <w:rPr>
          <w:lang w:val="fr-CH"/>
        </w:rPr>
        <w:t>Il</w:t>
      </w:r>
      <w:r w:rsidRPr="005B597C">
        <w:rPr>
          <w:lang w:val="fr-CH"/>
        </w:rPr>
        <w:t xml:space="preserve"> couvre les activités men</w:t>
      </w:r>
      <w:r>
        <w:rPr>
          <w:lang w:val="fr-CH"/>
        </w:rPr>
        <w:t>ées durant la période allant de</w:t>
      </w:r>
      <w:r w:rsidRPr="005B597C">
        <w:rPr>
          <w:lang w:val="fr-CH"/>
        </w:rPr>
        <w:t xml:space="preserve"> mars 2016 </w:t>
      </w:r>
      <w:r>
        <w:rPr>
          <w:lang w:val="fr-CH"/>
        </w:rPr>
        <w:t>à</w:t>
      </w:r>
      <w:r w:rsidRPr="005B597C">
        <w:rPr>
          <w:lang w:val="fr-CH"/>
        </w:rPr>
        <w:t xml:space="preserve"> février 2017</w:t>
      </w:r>
      <w:r w:rsidRPr="005B597C">
        <w:rPr>
          <w:rFonts w:cstheme="minorHAnsi"/>
          <w:color w:val="000000" w:themeColor="text1"/>
          <w:szCs w:val="24"/>
          <w:lang w:val="fr-CH"/>
        </w:rPr>
        <w:t>.</w:t>
      </w:r>
    </w:p>
    <w:p w:rsidR="00F4407E" w:rsidRDefault="00F4407E" w:rsidP="00F4407E">
      <w:r>
        <w:t>2</w:t>
      </w:r>
      <w:r>
        <w:tab/>
      </w:r>
      <w:r w:rsidRPr="00633187">
        <w:t xml:space="preserve">S’agissant de la période couverte par le rapport, l’Unité de l’audit interne se composait–pendant toute la durée de la période–de deux fonctionnaires de la catégorie professionnelle– un P.5 (Chef de l’Unité Unit) et un P.2 (Auditeur interne junior). Jusqu’en juin 2016, l’Unité comptait également un P.3 (Auditeur interne) </w:t>
      </w:r>
      <w:r>
        <w:t>qui travaillait</w:t>
      </w:r>
      <w:r w:rsidRPr="00633187">
        <w:t xml:space="preserve"> à titre temporaire </w:t>
      </w:r>
      <w:r>
        <w:t>pendant</w:t>
      </w:r>
      <w:r w:rsidRPr="00633187">
        <w:t xml:space="preserve"> que le poste faisait l’objet d’un avis de vacance. Or, </w:t>
      </w:r>
      <w:r>
        <w:t>cette personne</w:t>
      </w:r>
      <w:r w:rsidRPr="00633187">
        <w:t xml:space="preserve"> est tombé</w:t>
      </w:r>
      <w:r>
        <w:t>e</w:t>
      </w:r>
      <w:r w:rsidRPr="00633187">
        <w:t xml:space="preserve"> malade et a été absent</w:t>
      </w:r>
      <w:r>
        <w:t>e</w:t>
      </w:r>
      <w:r w:rsidRPr="00633187">
        <w:t xml:space="preserve"> pendant une période assez longue. Pour combler cette absence, un consultant a été recruté à temps partiel, du 15 août au 31 octobre 2016, puis un autre du 1er décembre 2016 au 28 février 2017. Un fonctionnaire de la catégorie des services généraux (Assistant d’audit) a travaillé à temps plein à l’Unité.</w:t>
      </w:r>
    </w:p>
    <w:p w:rsidR="00F4407E" w:rsidRPr="00633187" w:rsidRDefault="00F4407E" w:rsidP="00F4407E">
      <w:r>
        <w:rPr>
          <w:color w:val="000000"/>
        </w:rPr>
        <w:t>A</w:t>
      </w:r>
      <w:r w:rsidRPr="00633187">
        <w:rPr>
          <w:color w:val="000000"/>
        </w:rPr>
        <w:t xml:space="preserve"> ce jour, l’Unité compte donc trois postes de la catégorie professionnelle et un poste de la catégorie des services généraux.</w:t>
      </w:r>
    </w:p>
    <w:p w:rsidR="00F4407E" w:rsidRPr="00201EBB" w:rsidRDefault="00F4407E" w:rsidP="00F4407E">
      <w:r>
        <w:lastRenderedPageBreak/>
        <w:t>3</w:t>
      </w:r>
      <w:r>
        <w:tab/>
      </w:r>
      <w:r w:rsidRPr="00D07CFA">
        <w:t xml:space="preserve">L’Unité de l’audit interne confirme qu’elle </w:t>
      </w:r>
      <w:r>
        <w:t>se conforme dans ses activités d’audit aux</w:t>
      </w:r>
      <w:r w:rsidRPr="00D07CFA">
        <w:t xml:space="preserve"> Normes internationales pour la pratique professionnelle de l’audit interne </w:t>
      </w:r>
      <w:r>
        <w:t>et au Code de déontologie établis par l’Institut des auditeurs internes</w:t>
      </w:r>
      <w:r>
        <w:rPr>
          <w:rStyle w:val="FootnoteReference"/>
        </w:rPr>
        <w:footnoteReference w:id="2"/>
      </w:r>
      <w:r w:rsidRPr="00D07CFA">
        <w:t xml:space="preserve"> (IIA), </w:t>
      </w:r>
      <w:r>
        <w:t>ainsi qu’aux dispositions de la Charte d’audit interne de l’UIT</w:t>
      </w:r>
      <w:r w:rsidRPr="00D07CFA">
        <w:t>.</w:t>
      </w:r>
      <w:r>
        <w:rPr>
          <w:rStyle w:val="FootnoteReference"/>
        </w:rPr>
        <w:footnoteReference w:id="3"/>
      </w:r>
      <w:r w:rsidRPr="00D07CFA">
        <w:t xml:space="preserve"> En outre, </w:t>
      </w:r>
      <w:r>
        <w:t>elle</w:t>
      </w:r>
      <w:r w:rsidRPr="00D07CFA">
        <w:t xml:space="preserve"> confirme qu'au cours de la période </w:t>
      </w:r>
      <w:r>
        <w:t xml:space="preserve">couverte par </w:t>
      </w:r>
      <w:r w:rsidRPr="00D07CFA">
        <w:t>le présent rapport, ses membres n'ont supervisé aucune des activités ayant fait l'objet d'un audit, ni n'en ont été responsables, et qu'ils n'ont pas exercé à l'UIT de fonctions comptables ou opérationnelles</w:t>
      </w:r>
      <w:r>
        <w:t>.</w:t>
      </w:r>
    </w:p>
    <w:p w:rsidR="00F4407E" w:rsidRPr="00457A6D" w:rsidRDefault="00F4407E" w:rsidP="00AA68E2">
      <w:pPr>
        <w:pStyle w:val="Headingb"/>
        <w:rPr>
          <w:lang w:val="fr-CH"/>
        </w:rPr>
      </w:pPr>
      <w:r w:rsidRPr="00457A6D">
        <w:rPr>
          <w:lang w:val="fr-CH"/>
        </w:rPr>
        <w:t xml:space="preserve">Orientation et </w:t>
      </w:r>
      <w:r w:rsidR="00AA68E2">
        <w:rPr>
          <w:lang w:val="fr-CH"/>
        </w:rPr>
        <w:t>champ</w:t>
      </w:r>
      <w:r w:rsidRPr="00457A6D">
        <w:rPr>
          <w:lang w:val="fr-CH"/>
        </w:rPr>
        <w:t xml:space="preserve"> des activités d’audit interne</w:t>
      </w:r>
    </w:p>
    <w:p w:rsidR="00F4407E" w:rsidRPr="00AB507A" w:rsidRDefault="00AA68E2" w:rsidP="00AA68E2">
      <w:r>
        <w:t>4</w:t>
      </w:r>
      <w:r>
        <w:tab/>
      </w:r>
      <w:r w:rsidR="00F4407E" w:rsidRPr="00910969">
        <w:t>Conformément à la Charte d’audit interne, le plan proposé pour l’Unité d</w:t>
      </w:r>
      <w:r w:rsidR="00F4407E">
        <w:t>e l’audit interne</w:t>
      </w:r>
      <w:r w:rsidR="00F4407E" w:rsidRPr="00910969">
        <w:t xml:space="preserve"> pour 2016 a été examiné par le Comité consultatif indépendant pour les questions de gestion </w:t>
      </w:r>
      <w:r w:rsidR="00F4407E">
        <w:t xml:space="preserve">(CCIG) en février 2016 et, par la suite, approuvé par le Secrétaire général. </w:t>
      </w:r>
      <w:r w:rsidR="00F4407E" w:rsidRPr="00910969">
        <w:t xml:space="preserve">Il a également été transmis </w:t>
      </w:r>
      <w:r w:rsidR="00F4407E">
        <w:t>au Vérificateur extérieur</w:t>
      </w:r>
      <w:r w:rsidR="00F4407E" w:rsidRPr="00910969">
        <w:t xml:space="preserve"> des comptes dans un souci d’efficacité et </w:t>
      </w:r>
      <w:r w:rsidR="00F4407E">
        <w:t>de coordination</w:t>
      </w:r>
      <w:r w:rsidR="00F4407E" w:rsidRPr="00910969">
        <w:t xml:space="preserve">. </w:t>
      </w:r>
      <w:r w:rsidR="00F4407E">
        <w:t>Les activités d’audit ont été axées principalement sur les missions d’assurance</w:t>
      </w:r>
      <w:r w:rsidR="00F4407E" w:rsidRPr="00910969">
        <w:t xml:space="preserve">. Un des sept audits planifiés n’a pas été réalisé (en raison de l’attention considérable accordée </w:t>
      </w:r>
      <w:r w:rsidR="00F4407E">
        <w:t>à la question</w:t>
      </w:r>
      <w:r w:rsidR="00F4407E" w:rsidRPr="00910969">
        <w:t xml:space="preserve"> par </w:t>
      </w:r>
      <w:r w:rsidR="00F4407E">
        <w:t>le groupe d’action intersectoriel) et un autre audit a été reporté à 2017</w:t>
      </w:r>
      <w:r w:rsidR="00F4407E" w:rsidRPr="00AB507A">
        <w:t xml:space="preserve">. </w:t>
      </w:r>
    </w:p>
    <w:p w:rsidR="00F4407E" w:rsidRPr="00AA7638" w:rsidRDefault="00AA68E2" w:rsidP="00AA68E2">
      <w:r>
        <w:t>5</w:t>
      </w:r>
      <w:r>
        <w:tab/>
      </w:r>
      <w:r w:rsidR="00F4407E" w:rsidRPr="00AB507A">
        <w:t xml:space="preserve">L’Unité de l’audit interne remet systématiquement </w:t>
      </w:r>
      <w:r w:rsidR="00F4407E">
        <w:t>des exemplaires des rapports d’a</w:t>
      </w:r>
      <w:r w:rsidR="00F4407E" w:rsidRPr="00AB507A">
        <w:t xml:space="preserve">udit interne </w:t>
      </w:r>
      <w:r w:rsidR="00F4407E">
        <w:t xml:space="preserve">au Vérificateur extérieur des comptes de l’UIT ainsi qu’au CCIG. Conformément à la disposition 29.5 du Règlement financier de l’UIT, des rapports finals d’audit interne peuvent être mis à la disposition des </w:t>
      </w:r>
      <w:r>
        <w:t>E</w:t>
      </w:r>
      <w:r w:rsidR="00F4407E">
        <w:t>tats Membres</w:t>
      </w:r>
      <w:r>
        <w:t xml:space="preserve"> ou</w:t>
      </w:r>
      <w:r w:rsidR="00F4407E">
        <w:t xml:space="preserve"> de leurs représentants désignés</w:t>
      </w:r>
      <w:r w:rsidR="00F4407E" w:rsidRPr="00AB507A">
        <w:t>.</w:t>
      </w:r>
      <w:r w:rsidR="00F4407E">
        <w:t xml:space="preserve"> Un mécanisme simplifié d’accès aux rapports d’audit interne est mis en place depuis octobre 2015. Au cours de la période couverte par le présent rapport, deux demandes d’accès à des rapports d’audit interne ont été reçues via le nouveau mécanisme en ligne</w:t>
      </w:r>
      <w:r w:rsidR="00F4407E" w:rsidRPr="00AB507A">
        <w:t>. Il a été donné suite à ces demandes et les réponses</w:t>
      </w:r>
      <w:r w:rsidR="00F4407E">
        <w:t xml:space="preserve"> apportées, y compris celles de la direction (sur l’état d’avancement de la mise en œuvre des recommandations) sont disponibles</w:t>
      </w:r>
      <w:r w:rsidR="00F4407E" w:rsidRPr="00AB507A">
        <w:rPr>
          <w:bCs/>
          <w:iCs/>
          <w:color w:val="000000"/>
        </w:rPr>
        <w:t xml:space="preserve">. </w:t>
      </w:r>
      <w:r w:rsidR="00F4407E" w:rsidRPr="00AA7638">
        <w:rPr>
          <w:bCs/>
          <w:iCs/>
          <w:color w:val="000000"/>
        </w:rPr>
        <w:t>Le Corps commun d’inspection</w:t>
      </w:r>
      <w:r>
        <w:rPr>
          <w:bCs/>
          <w:iCs/>
          <w:color w:val="000000"/>
        </w:rPr>
        <w:t xml:space="preserve"> </w:t>
      </w:r>
      <w:r w:rsidR="00F4407E">
        <w:rPr>
          <w:bCs/>
          <w:iCs/>
          <w:color w:val="000000"/>
        </w:rPr>
        <w:t>(CCI) a félicité</w:t>
      </w:r>
      <w:r w:rsidR="00F4407E" w:rsidRPr="00AA7638">
        <w:rPr>
          <w:bCs/>
          <w:iCs/>
          <w:color w:val="000000"/>
        </w:rPr>
        <w:t xml:space="preserve"> l’UIT</w:t>
      </w:r>
      <w:r w:rsidR="00F4407E">
        <w:rPr>
          <w:bCs/>
          <w:iCs/>
          <w:color w:val="000000"/>
        </w:rPr>
        <w:t xml:space="preserve"> qui, dans les rapports qu’elle communique aux </w:t>
      </w:r>
      <w:r>
        <w:rPr>
          <w:bCs/>
          <w:iCs/>
          <w:color w:val="000000"/>
        </w:rPr>
        <w:t>E</w:t>
      </w:r>
      <w:r w:rsidR="00F4407E">
        <w:rPr>
          <w:bCs/>
          <w:iCs/>
          <w:color w:val="000000"/>
        </w:rPr>
        <w:t xml:space="preserve">tats Membres, </w:t>
      </w:r>
      <w:r>
        <w:rPr>
          <w:bCs/>
          <w:iCs/>
          <w:color w:val="000000"/>
        </w:rPr>
        <w:t>fait part de</w:t>
      </w:r>
      <w:r w:rsidR="00F4407E">
        <w:rPr>
          <w:bCs/>
          <w:iCs/>
          <w:color w:val="000000"/>
        </w:rPr>
        <w:t xml:space="preserve"> s</w:t>
      </w:r>
      <w:r w:rsidR="00F4407E" w:rsidRPr="00AA7638">
        <w:rPr>
          <w:bCs/>
          <w:iCs/>
          <w:color w:val="000000"/>
        </w:rPr>
        <w:t>a réponse et</w:t>
      </w:r>
      <w:r>
        <w:rPr>
          <w:bCs/>
          <w:iCs/>
          <w:color w:val="000000"/>
        </w:rPr>
        <w:t xml:space="preserve"> rend compte de</w:t>
      </w:r>
      <w:r w:rsidR="00F4407E" w:rsidRPr="00AA7638">
        <w:rPr>
          <w:bCs/>
          <w:iCs/>
          <w:color w:val="000000"/>
        </w:rPr>
        <w:t xml:space="preserve"> l’état </w:t>
      </w:r>
      <w:r w:rsidR="00F4407E">
        <w:rPr>
          <w:bCs/>
          <w:iCs/>
          <w:color w:val="000000"/>
        </w:rPr>
        <w:t>d’avancement</w:t>
      </w:r>
      <w:r w:rsidR="00F4407E" w:rsidRPr="00AA7638">
        <w:rPr>
          <w:bCs/>
          <w:iCs/>
          <w:color w:val="000000"/>
        </w:rPr>
        <w:t xml:space="preserve"> de la mise en œuvre des recommandations </w:t>
      </w:r>
      <w:r w:rsidR="00F4407E">
        <w:rPr>
          <w:bCs/>
          <w:iCs/>
          <w:color w:val="000000"/>
        </w:rPr>
        <w:t xml:space="preserve">(voir le </w:t>
      </w:r>
      <w:r>
        <w:rPr>
          <w:bCs/>
          <w:iCs/>
          <w:color w:val="000000"/>
        </w:rPr>
        <w:t>R</w:t>
      </w:r>
      <w:r w:rsidR="00F4407E">
        <w:rPr>
          <w:bCs/>
          <w:iCs/>
          <w:color w:val="000000"/>
        </w:rPr>
        <w:t xml:space="preserve">apport </w:t>
      </w:r>
      <w:r w:rsidR="00F4407E" w:rsidRPr="00AA7638">
        <w:rPr>
          <w:bCs/>
          <w:iCs/>
          <w:color w:val="000000"/>
        </w:rPr>
        <w:t>2016/8</w:t>
      </w:r>
      <w:r w:rsidR="00F4407E">
        <w:rPr>
          <w:bCs/>
          <w:iCs/>
          <w:color w:val="000000"/>
        </w:rPr>
        <w:t xml:space="preserve"> du Corps commun d’inspection</w:t>
      </w:r>
      <w:r w:rsidR="00F4407E" w:rsidRPr="00AA7638">
        <w:rPr>
          <w:bCs/>
          <w:iCs/>
          <w:color w:val="000000"/>
        </w:rPr>
        <w:t xml:space="preserve"> - </w:t>
      </w:r>
      <w:r w:rsidR="00F4407E">
        <w:rPr>
          <w:bCs/>
          <w:iCs/>
          <w:color w:val="000000"/>
        </w:rPr>
        <w:t xml:space="preserve">Etat de la fonction d’audit interne dans le système des Nations Unies </w:t>
      </w:r>
      <w:r w:rsidR="00F4407E" w:rsidRPr="00AA7638">
        <w:rPr>
          <w:bCs/>
          <w:iCs/>
          <w:color w:val="000000"/>
        </w:rPr>
        <w:t>- § 197).</w:t>
      </w:r>
    </w:p>
    <w:p w:rsidR="00F4407E" w:rsidRPr="00457A6D" w:rsidRDefault="00F4407E" w:rsidP="00AA68E2">
      <w:pPr>
        <w:pStyle w:val="Headingb"/>
        <w:rPr>
          <w:lang w:val="fr-CH"/>
        </w:rPr>
      </w:pPr>
      <w:r w:rsidRPr="00457A6D">
        <w:rPr>
          <w:lang w:val="fr-CH"/>
        </w:rPr>
        <w:t xml:space="preserve">Objectifs et conclusions des </w:t>
      </w:r>
      <w:r>
        <w:rPr>
          <w:lang w:val="fr-CH"/>
        </w:rPr>
        <w:t xml:space="preserve">missions d’assurance </w:t>
      </w:r>
    </w:p>
    <w:p w:rsidR="00F4407E" w:rsidRPr="00A01B11" w:rsidRDefault="00AA68E2" w:rsidP="00AA68E2">
      <w:r>
        <w:t>6</w:t>
      </w:r>
      <w:r>
        <w:tab/>
      </w:r>
      <w:r w:rsidR="00F4407E" w:rsidRPr="00A01B11">
        <w:t>Les missions d’assurance avaient pour objectif d’évaluer</w:t>
      </w:r>
      <w:r w:rsidR="00226765">
        <w:t>:</w:t>
      </w:r>
      <w:r w:rsidR="00F4407E" w:rsidRPr="00A01B11">
        <w:t xml:space="preserve"> (i) les aspects liés la gouvernance des opérations de </w:t>
      </w:r>
      <w:r w:rsidR="00F4407E">
        <w:t>l’Union auditées</w:t>
      </w:r>
      <w:r w:rsidR="00F4407E" w:rsidRPr="00A01B11">
        <w:t xml:space="preserve">; (ii) </w:t>
      </w:r>
      <w:r w:rsidR="00F4407E">
        <w:t>les pratiques en</w:t>
      </w:r>
      <w:r w:rsidR="00226765">
        <w:t xml:space="preserve"> matière de gestion des risques</w:t>
      </w:r>
      <w:r w:rsidR="00F4407E" w:rsidRPr="00A01B11">
        <w:t xml:space="preserve">; </w:t>
      </w:r>
      <w:r w:rsidR="00F4407E">
        <w:t>et</w:t>
      </w:r>
      <w:r w:rsidR="00F4407E" w:rsidRPr="00A01B11">
        <w:t xml:space="preserve"> (iii) </w:t>
      </w:r>
      <w:r w:rsidR="00F4407E">
        <w:t>l’efficacité des contrôles (internes)</w:t>
      </w:r>
      <w:r w:rsidR="00F4407E" w:rsidRPr="00A01B11">
        <w:t>. Un niveau de priorité est attribué aux recommandations résultant des travaux d’audit</w:t>
      </w:r>
      <w:r w:rsidR="00F4407E">
        <w:t>,</w:t>
      </w:r>
      <w:r w:rsidR="00F4407E" w:rsidRPr="00A01B11">
        <w:t xml:space="preserve"> en fonction des incidences et de la probabilité </w:t>
      </w:r>
      <w:r w:rsidR="00F4407E">
        <w:t>d’une déficience (critique, élevée, moyenne, faible</w:t>
      </w:r>
      <w:r w:rsidR="00F4407E" w:rsidRPr="00A01B11">
        <w:t>).</w:t>
      </w:r>
    </w:p>
    <w:p w:rsidR="00F4407E" w:rsidRPr="0077095E" w:rsidRDefault="00F4407E" w:rsidP="00AA68E2">
      <w:pPr>
        <w:rPr>
          <w:lang w:val="fr-CH"/>
        </w:rPr>
      </w:pPr>
      <w:r w:rsidRPr="00A01B11">
        <w:rPr>
          <w:lang w:val="fr-CH"/>
        </w:rPr>
        <w:t>Sur la base des différentes missions d’assurance men</w:t>
      </w:r>
      <w:r w:rsidR="00AA68E2">
        <w:rPr>
          <w:lang w:val="fr-CH"/>
        </w:rPr>
        <w:t>ées</w:t>
      </w:r>
      <w:r w:rsidRPr="00A01B11">
        <w:rPr>
          <w:lang w:val="fr-CH"/>
        </w:rPr>
        <w:t xml:space="preserve"> à bien, </w:t>
      </w:r>
      <w:r>
        <w:rPr>
          <w:lang w:val="fr-CH"/>
        </w:rPr>
        <w:t xml:space="preserve">l’Unité de l’audit interne a conclu que, </w:t>
      </w:r>
      <w:r w:rsidR="00AA68E2">
        <w:rPr>
          <w:lang w:val="fr-CH"/>
        </w:rPr>
        <w:t>globalement</w:t>
      </w:r>
      <w:r>
        <w:rPr>
          <w:lang w:val="fr-CH"/>
        </w:rPr>
        <w:t>, les transactions et les processus sont conformes aux procédures et aux pratiques établies. Dans certains cas toutefois, les processus</w:t>
      </w:r>
      <w:r w:rsidR="00AA68E2" w:rsidRPr="00AA68E2">
        <w:rPr>
          <w:lang w:val="fr-CH"/>
        </w:rPr>
        <w:t xml:space="preserve"> </w:t>
      </w:r>
      <w:r w:rsidR="00AA68E2">
        <w:rPr>
          <w:lang w:val="fr-CH"/>
        </w:rPr>
        <w:t>de gouvernance</w:t>
      </w:r>
      <w:r>
        <w:rPr>
          <w:lang w:val="fr-CH"/>
        </w:rPr>
        <w:t xml:space="preserve"> </w:t>
      </w:r>
      <w:r w:rsidR="00AA68E2">
        <w:rPr>
          <w:lang w:val="fr-CH"/>
        </w:rPr>
        <w:t>et</w:t>
      </w:r>
      <w:r>
        <w:rPr>
          <w:lang w:val="fr-CH"/>
        </w:rPr>
        <w:t xml:space="preserve"> de gestion des risques et les contrôles internes ne sont pas </w:t>
      </w:r>
      <w:r w:rsidR="00AA68E2">
        <w:rPr>
          <w:lang w:val="fr-CH"/>
        </w:rPr>
        <w:t>adaptés</w:t>
      </w:r>
      <w:r>
        <w:rPr>
          <w:lang w:val="fr-CH"/>
        </w:rPr>
        <w:t xml:space="preserve"> </w:t>
      </w:r>
      <w:r w:rsidR="00AA68E2">
        <w:rPr>
          <w:lang w:val="fr-CH"/>
        </w:rPr>
        <w:t>ni</w:t>
      </w:r>
      <w:r>
        <w:rPr>
          <w:lang w:val="fr-CH"/>
        </w:rPr>
        <w:t xml:space="preserve"> </w:t>
      </w:r>
      <w:r w:rsidR="00AA68E2">
        <w:rPr>
          <w:lang w:val="fr-CH"/>
        </w:rPr>
        <w:t>suffisamment</w:t>
      </w:r>
      <w:r>
        <w:rPr>
          <w:lang w:val="fr-CH"/>
        </w:rPr>
        <w:t xml:space="preserve"> efficaces</w:t>
      </w:r>
      <w:r w:rsidRPr="0077095E">
        <w:rPr>
          <w:lang w:val="fr-CH"/>
        </w:rPr>
        <w:t>. Pour certains des audits, des améliorations</w:t>
      </w:r>
      <w:r w:rsidR="00AA68E2">
        <w:rPr>
          <w:lang w:val="fr-CH"/>
        </w:rPr>
        <w:t xml:space="preserve"> pourraient être apportées</w:t>
      </w:r>
      <w:r w:rsidRPr="0077095E">
        <w:rPr>
          <w:lang w:val="fr-CH"/>
        </w:rPr>
        <w:t xml:space="preserve"> dans ces domaines permett</w:t>
      </w:r>
      <w:r w:rsidR="00AA68E2">
        <w:rPr>
          <w:lang w:val="fr-CH"/>
        </w:rPr>
        <w:t>ant ainsi</w:t>
      </w:r>
      <w:r w:rsidRPr="0077095E">
        <w:rPr>
          <w:lang w:val="fr-CH"/>
        </w:rPr>
        <w:t xml:space="preserve"> à l’Unité de l’audit interne de fournir au Secrétaire général</w:t>
      </w:r>
      <w:r>
        <w:rPr>
          <w:lang w:val="fr-CH"/>
        </w:rPr>
        <w:t xml:space="preserve"> une assurance raisonnable que </w:t>
      </w:r>
      <w:r w:rsidR="00AA68E2">
        <w:rPr>
          <w:lang w:val="fr-CH"/>
        </w:rPr>
        <w:t>la</w:t>
      </w:r>
      <w:r>
        <w:rPr>
          <w:lang w:val="fr-CH"/>
        </w:rPr>
        <w:t xml:space="preserve"> gouvernance et </w:t>
      </w:r>
      <w:r w:rsidR="00AA68E2">
        <w:rPr>
          <w:lang w:val="fr-CH"/>
        </w:rPr>
        <w:t>la</w:t>
      </w:r>
      <w:r>
        <w:rPr>
          <w:lang w:val="fr-CH"/>
        </w:rPr>
        <w:t xml:space="preserve"> gestion des risques </w:t>
      </w:r>
      <w:r w:rsidR="00AA68E2">
        <w:rPr>
          <w:lang w:val="fr-CH"/>
        </w:rPr>
        <w:t>sont adaptées</w:t>
      </w:r>
      <w:r>
        <w:rPr>
          <w:lang w:val="fr-CH"/>
        </w:rPr>
        <w:t xml:space="preserve"> et que les contrôles sont efficaces. </w:t>
      </w:r>
      <w:r w:rsidRPr="0077095E">
        <w:rPr>
          <w:lang w:val="fr-CH"/>
        </w:rPr>
        <w:t xml:space="preserve">Les recommandations </w:t>
      </w:r>
      <w:r w:rsidRPr="0077095E">
        <w:rPr>
          <w:lang w:val="fr-CH"/>
        </w:rPr>
        <w:lastRenderedPageBreak/>
        <w:t>adressées à la direction sont actuellement mises en œuvre, avec l’appui du Secrétaire général</w:t>
      </w:r>
      <w:r>
        <w:rPr>
          <w:lang w:val="fr-CH"/>
        </w:rPr>
        <w:t>, ce qui renforcera encore la capacité de l’UIT à remplir son mandat.</w:t>
      </w:r>
    </w:p>
    <w:p w:rsidR="00F4407E" w:rsidRPr="0077095E" w:rsidRDefault="00AA68E2" w:rsidP="00AA68E2">
      <w:r>
        <w:t>7</w:t>
      </w:r>
      <w:r>
        <w:tab/>
      </w:r>
      <w:r w:rsidR="00F4407E" w:rsidRPr="0077095E">
        <w:t>L’Unité de l’audit interne assure le suivi de la mise en œuvre des mesures recommandées, si nécessaire</w:t>
      </w:r>
      <w:r w:rsidR="00F4407E">
        <w:t xml:space="preserve"> (voir aussi le paragraphe consacré au suivi</w:t>
      </w:r>
      <w:r>
        <w:t>,</w:t>
      </w:r>
      <w:r w:rsidR="00F4407E">
        <w:t xml:space="preserve"> plus loin dans le présent rapport).</w:t>
      </w:r>
    </w:p>
    <w:p w:rsidR="00F4407E" w:rsidRPr="00AA68E2" w:rsidRDefault="00F4407E" w:rsidP="00AA68E2">
      <w:pPr>
        <w:rPr>
          <w:i/>
          <w:iCs/>
          <w:lang w:val="fr-CH"/>
        </w:rPr>
      </w:pPr>
      <w:r w:rsidRPr="00AA68E2">
        <w:rPr>
          <w:i/>
          <w:iCs/>
          <w:lang w:val="fr-CH"/>
        </w:rPr>
        <w:t>Les missions d’assurance suivantes ont été menées:</w:t>
      </w:r>
    </w:p>
    <w:p w:rsidR="00F4407E" w:rsidRPr="00AA68E2" w:rsidRDefault="00AA68E2" w:rsidP="00AA68E2">
      <w:pPr>
        <w:pStyle w:val="Headingb"/>
        <w:rPr>
          <w:i/>
          <w:iCs/>
          <w:lang w:val="fr-CH"/>
        </w:rPr>
      </w:pPr>
      <w:r w:rsidRPr="00AA68E2">
        <w:rPr>
          <w:i/>
          <w:iCs/>
          <w:lang w:val="fr-CH"/>
        </w:rPr>
        <w:t>A</w:t>
      </w:r>
      <w:r w:rsidRPr="00AA68E2">
        <w:rPr>
          <w:i/>
          <w:iCs/>
          <w:lang w:val="fr-CH"/>
        </w:rPr>
        <w:tab/>
      </w:r>
      <w:r w:rsidR="00F4407E" w:rsidRPr="00AA68E2">
        <w:rPr>
          <w:i/>
          <w:iCs/>
          <w:lang w:val="fr-CH"/>
        </w:rPr>
        <w:t>Audit sur l'utilisation du papier en</w:t>
      </w:r>
      <w:r>
        <w:rPr>
          <w:i/>
          <w:iCs/>
          <w:lang w:val="fr-CH"/>
        </w:rPr>
        <w:t xml:space="preserve"> interne au sein du secrétariat</w:t>
      </w:r>
    </w:p>
    <w:p w:rsidR="00F4407E" w:rsidRPr="0090071A" w:rsidRDefault="00AA68E2" w:rsidP="00AA68E2">
      <w:r>
        <w:t>8</w:t>
      </w:r>
      <w:r>
        <w:tab/>
      </w:r>
      <w:r w:rsidR="00F4407E" w:rsidRPr="0090071A">
        <w:t>Le principal objectif de cet audit</w:t>
      </w:r>
      <w:r>
        <w:t xml:space="preserve"> était</w:t>
      </w:r>
      <w:r w:rsidR="00F4407E" w:rsidRPr="0090071A">
        <w:t xml:space="preserve"> </w:t>
      </w:r>
      <w:r w:rsidR="00F4407E">
        <w:t>d’évaluer l’</w:t>
      </w:r>
      <w:r w:rsidR="00F4407E" w:rsidRPr="0090071A">
        <w:t xml:space="preserve">utilisation du papier en interne au sein du secrétariat et de </w:t>
      </w:r>
      <w:r>
        <w:t>faire en sorte de ramener</w:t>
      </w:r>
      <w:r w:rsidR="00F4407E">
        <w:t xml:space="preserve"> cette utilisation à un niveau acceptable.</w:t>
      </w:r>
      <w:r w:rsidR="00F4407E" w:rsidRPr="0090071A">
        <w:t xml:space="preserve"> </w:t>
      </w:r>
      <w:r w:rsidR="00F4407E">
        <w:t>Les coûts pour l’</w:t>
      </w:r>
      <w:r w:rsidR="00F4407E" w:rsidRPr="0090071A">
        <w:t xml:space="preserve">achat </w:t>
      </w:r>
      <w:r w:rsidR="00F4407E">
        <w:t>du</w:t>
      </w:r>
      <w:r w:rsidR="00F4407E" w:rsidRPr="0090071A">
        <w:t xml:space="preserve"> papier </w:t>
      </w:r>
      <w:r w:rsidR="00F4407E">
        <w:t xml:space="preserve">se chiffrent </w:t>
      </w:r>
      <w:r w:rsidR="00F4407E" w:rsidRPr="0090071A">
        <w:t xml:space="preserve">en moyenne </w:t>
      </w:r>
      <w:r w:rsidR="00F4407E">
        <w:t xml:space="preserve">à près de </w:t>
      </w:r>
      <w:r w:rsidR="00F4407E" w:rsidRPr="0090071A">
        <w:t>36 000</w:t>
      </w:r>
      <w:r w:rsidRPr="00AA68E2">
        <w:t xml:space="preserve"> </w:t>
      </w:r>
      <w:r w:rsidRPr="0090071A">
        <w:t>CHF</w:t>
      </w:r>
      <w:r w:rsidR="00F4407E" w:rsidRPr="0090071A">
        <w:t xml:space="preserve"> </w:t>
      </w:r>
      <w:r w:rsidR="00F4407E">
        <w:t>par an</w:t>
      </w:r>
      <w:r>
        <w:t>,</w:t>
      </w:r>
      <w:r w:rsidR="00F4407E">
        <w:t xml:space="preserve"> </w:t>
      </w:r>
      <w:r w:rsidR="00F4407E" w:rsidRPr="0090071A">
        <w:t>pour la période couverte par le rapport (janvier 2010 à décembre 2015), un tiers environ de la quantité de papier acheté</w:t>
      </w:r>
      <w:r>
        <w:t>e</w:t>
      </w:r>
      <w:r w:rsidR="00F4407E" w:rsidRPr="0090071A">
        <w:t xml:space="preserve"> é</w:t>
      </w:r>
      <w:r w:rsidR="00F4407E">
        <w:t>tant</w:t>
      </w:r>
      <w:r w:rsidR="00F4407E" w:rsidRPr="0090071A">
        <w:t xml:space="preserve"> utilisé </w:t>
      </w:r>
      <w:r w:rsidR="00F4407E">
        <w:t xml:space="preserve">par la Reprographie pour les publications et/ou les documents des </w:t>
      </w:r>
      <w:r>
        <w:t>réunions</w:t>
      </w:r>
      <w:r w:rsidR="00F4407E">
        <w:t xml:space="preserve">/conférences. </w:t>
      </w:r>
    </w:p>
    <w:p w:rsidR="00F4407E" w:rsidRPr="00A07DA8" w:rsidRDefault="00AA68E2" w:rsidP="009E086F">
      <w:r>
        <w:t>9</w:t>
      </w:r>
      <w:r>
        <w:tab/>
      </w:r>
      <w:r w:rsidR="00F4407E" w:rsidRPr="00201EBB">
        <w:t xml:space="preserve">Il a été conclu que la </w:t>
      </w:r>
      <w:r w:rsidR="00F4407E">
        <w:t>conso</w:t>
      </w:r>
      <w:r w:rsidR="00F4407E" w:rsidRPr="00201EBB">
        <w:t xml:space="preserve">mmation de papier peut être </w:t>
      </w:r>
      <w:r>
        <w:t>déterminée à partir de</w:t>
      </w:r>
      <w:r w:rsidR="00F4407E">
        <w:t xml:space="preserve"> diverses sources</w:t>
      </w:r>
      <w:r>
        <w:t>.</w:t>
      </w:r>
      <w:r w:rsidR="00F4407E">
        <w:t xml:space="preserve"> </w:t>
      </w:r>
      <w:r>
        <w:t>O</w:t>
      </w:r>
      <w:r w:rsidR="00F4407E">
        <w:t>n a observé une baisse importante de la consommation de papier</w:t>
      </w:r>
      <w:r>
        <w:t xml:space="preserve"> année après année</w:t>
      </w:r>
      <w:r w:rsidR="00F4407E" w:rsidRPr="00201EBB">
        <w:t xml:space="preserve">. </w:t>
      </w:r>
      <w:r w:rsidR="00F4407E">
        <w:t>L’Unité de l’audit interne a par ailleurs noté que des initiatives comme le vote électronique, l’archivage électronique et la soumission sur support électronique des documents pour les conférences/réunions et manifestations sont autant</w:t>
      </w:r>
      <w:r>
        <w:t xml:space="preserve"> de</w:t>
      </w:r>
      <w:r w:rsidR="00F4407E">
        <w:t xml:space="preserve"> mesures </w:t>
      </w:r>
      <w:r w:rsidR="00E81B6E">
        <w:t xml:space="preserve">qui contribuent à </w:t>
      </w:r>
      <w:r w:rsidR="00F4407E">
        <w:t>une utilisation économique et écologique des ressources</w:t>
      </w:r>
      <w:r w:rsidR="00F4407E" w:rsidRPr="0004314B">
        <w:t xml:space="preserve">. </w:t>
      </w:r>
      <w:r w:rsidR="00F4407E" w:rsidRPr="00970692">
        <w:t xml:space="preserve">Il a également été conclu que les outils </w:t>
      </w:r>
      <w:r w:rsidR="00F4407E">
        <w:t>de contrôle</w:t>
      </w:r>
      <w:r w:rsidR="00E81B6E">
        <w:t xml:space="preserve"> de</w:t>
      </w:r>
      <w:r w:rsidR="00F4407E" w:rsidRPr="00970692">
        <w:t xml:space="preserve"> la consommation de papier en interne </w:t>
      </w:r>
      <w:r w:rsidR="00F4407E">
        <w:t>au</w:t>
      </w:r>
      <w:r w:rsidR="00E81B6E">
        <w:t xml:space="preserve"> sein du</w:t>
      </w:r>
      <w:r w:rsidR="00F4407E">
        <w:t xml:space="preserve"> secrétariat n’étaient pas les</w:t>
      </w:r>
      <w:r w:rsidR="00E81B6E">
        <w:t xml:space="preserve"> outils les</w:t>
      </w:r>
      <w:r w:rsidR="00F4407E">
        <w:t xml:space="preserve"> mieux adaptés et que le personnel</w:t>
      </w:r>
      <w:r w:rsidR="00E81B6E">
        <w:t>, faute d'orientations,</w:t>
      </w:r>
      <w:r w:rsidR="00F4407E">
        <w:t xml:space="preserve"> n’était pas suffisamment sensibilisé à un environnement sans papier.</w:t>
      </w:r>
      <w:r w:rsidR="00F4407E" w:rsidRPr="00D97A25">
        <w:t xml:space="preserve"> La </w:t>
      </w:r>
      <w:r w:rsidR="00F4407E">
        <w:t xml:space="preserve">haute </w:t>
      </w:r>
      <w:r w:rsidR="00F4407E" w:rsidRPr="00D97A25">
        <w:t xml:space="preserve">direction devrait envisager d’envoyer à tous les membres du personnel un message afin de renforcer l’engagement pris par l’Union en faveur </w:t>
      </w:r>
      <w:r w:rsidR="00F4407E">
        <w:t xml:space="preserve">d’une </w:t>
      </w:r>
      <w:r w:rsidR="00E81B6E">
        <w:t>administration</w:t>
      </w:r>
      <w:r w:rsidR="00F4407E">
        <w:t xml:space="preserve"> intelligente</w:t>
      </w:r>
      <w:r w:rsidR="00E81B6E">
        <w:t xml:space="preserve"> et</w:t>
      </w:r>
      <w:r w:rsidR="00F4407E">
        <w:t xml:space="preserve"> sans papier</w:t>
      </w:r>
      <w:r w:rsidR="00F4407E" w:rsidRPr="00D97A25">
        <w:t xml:space="preserve">. </w:t>
      </w:r>
      <w:r w:rsidR="00F4407E" w:rsidRPr="00A07DA8">
        <w:t>Autre observation secondaire, il a été relevé pendant l’audit que la coordination entre les divers services concernés était insuffisante, ce qui pourrait conduire à des achats</w:t>
      </w:r>
      <w:r w:rsidR="00F4407E">
        <w:t xml:space="preserve"> de toner en quantités inadéquates et ainsi exposer l’Union à un risque économique. </w:t>
      </w:r>
      <w:r w:rsidR="00F4407E" w:rsidRPr="00A07DA8">
        <w:t xml:space="preserve">Pour remédier à ce problème, il faudrait mettre à disposition les données d’inventaire </w:t>
      </w:r>
      <w:r w:rsidR="00E81B6E">
        <w:t>relatives aux</w:t>
      </w:r>
      <w:r w:rsidR="00F4407E" w:rsidRPr="00A07DA8">
        <w:t xml:space="preserve"> imprimantes </w:t>
      </w:r>
      <w:r w:rsidR="00E81B6E">
        <w:t>afin de</w:t>
      </w:r>
      <w:r w:rsidR="00F4407E" w:rsidRPr="00A07DA8">
        <w:t xml:space="preserve"> contrôle</w:t>
      </w:r>
      <w:r w:rsidR="00E81B6E">
        <w:t>r</w:t>
      </w:r>
      <w:r w:rsidR="00F4407E">
        <w:t xml:space="preserve"> </w:t>
      </w:r>
      <w:r w:rsidR="00E81B6E">
        <w:t>l</w:t>
      </w:r>
      <w:r w:rsidR="00F4407E">
        <w:t>es achats</w:t>
      </w:r>
      <w:r w:rsidR="00F4407E" w:rsidRPr="00A07DA8">
        <w:t xml:space="preserve">. </w:t>
      </w:r>
    </w:p>
    <w:p w:rsidR="00F4407E" w:rsidRPr="00A07DA8" w:rsidRDefault="00E81B6E" w:rsidP="00E81B6E">
      <w:r>
        <w:t>10</w:t>
      </w:r>
      <w:r>
        <w:tab/>
      </w:r>
      <w:r w:rsidR="00F4407E" w:rsidRPr="00A07DA8">
        <w:t xml:space="preserve">Globalement, l’Unité de l’audit interne a fourni au Secrétaire général une assurance raisonnable </w:t>
      </w:r>
      <w:r w:rsidR="00F4407E">
        <w:t xml:space="preserve">que les contrôles internes, la gouvernance, et les processus de gestion des risques pour ce qui est de la consommation de papier en interne au sein du secrétariat fonctionnent bien. </w:t>
      </w:r>
      <w:r w:rsidR="00F4407E" w:rsidRPr="00A07DA8">
        <w:t>L’Unité de l’audit interne a également confirmé que l’utilisation du papier en inte</w:t>
      </w:r>
      <w:r w:rsidR="00F4407E">
        <w:t>rne au sein du secrétariat a</w:t>
      </w:r>
      <w:r w:rsidR="00F4407E" w:rsidRPr="00A07DA8">
        <w:t xml:space="preserve"> été ramenée à un niveau acceptable.</w:t>
      </w:r>
    </w:p>
    <w:p w:rsidR="00F4407E" w:rsidRPr="00E81B6E" w:rsidRDefault="00E81B6E" w:rsidP="00E81B6E">
      <w:pPr>
        <w:pStyle w:val="Headingb"/>
        <w:rPr>
          <w:i/>
          <w:iCs/>
          <w:lang w:val="fr-CH"/>
        </w:rPr>
      </w:pPr>
      <w:r w:rsidRPr="00E81B6E">
        <w:rPr>
          <w:i/>
          <w:iCs/>
          <w:lang w:val="fr-CH"/>
        </w:rPr>
        <w:t>B</w:t>
      </w:r>
      <w:r w:rsidRPr="00E81B6E">
        <w:rPr>
          <w:i/>
          <w:iCs/>
          <w:lang w:val="fr-CH"/>
        </w:rPr>
        <w:tab/>
      </w:r>
      <w:r>
        <w:rPr>
          <w:i/>
          <w:iCs/>
          <w:lang w:val="fr-CH"/>
        </w:rPr>
        <w:t>Vérification</w:t>
      </w:r>
      <w:r w:rsidR="00F4407E" w:rsidRPr="00E81B6E">
        <w:rPr>
          <w:i/>
          <w:iCs/>
          <w:lang w:val="fr-CH"/>
        </w:rPr>
        <w:t xml:space="preserve"> des contrats </w:t>
      </w:r>
      <w:r>
        <w:rPr>
          <w:i/>
          <w:iCs/>
          <w:lang w:val="fr-CH"/>
        </w:rPr>
        <w:t xml:space="preserve">relatifs aux </w:t>
      </w:r>
      <w:r w:rsidR="00F4407E" w:rsidRPr="00E81B6E">
        <w:rPr>
          <w:i/>
          <w:iCs/>
          <w:lang w:val="fr-CH"/>
        </w:rPr>
        <w:t xml:space="preserve">experts extérieurs </w:t>
      </w:r>
    </w:p>
    <w:p w:rsidR="00F4407E" w:rsidRPr="00A07DA8" w:rsidRDefault="00E81B6E" w:rsidP="00E81B6E">
      <w:r>
        <w:t>11</w:t>
      </w:r>
      <w:r>
        <w:tab/>
      </w:r>
      <w:r w:rsidR="00F4407E" w:rsidRPr="00A07DA8">
        <w:t xml:space="preserve">L’Unité de l’audit interne </w:t>
      </w:r>
      <w:r w:rsidR="00F4407E">
        <w:t>a procédé à un examen du</w:t>
      </w:r>
      <w:r w:rsidR="00F4407E" w:rsidRPr="00A07DA8">
        <w:t xml:space="preserve"> recrutement et </w:t>
      </w:r>
      <w:r w:rsidR="00F4407E">
        <w:t xml:space="preserve">de </w:t>
      </w:r>
      <w:r w:rsidR="00F4407E" w:rsidRPr="00A07DA8">
        <w:t>l’utilisation d</w:t>
      </w:r>
      <w:r>
        <w:t>'</w:t>
      </w:r>
      <w:r w:rsidR="00F4407E" w:rsidRPr="00A07DA8">
        <w:t xml:space="preserve">experts extérieurs </w:t>
      </w:r>
      <w:r w:rsidR="00F4407E">
        <w:t xml:space="preserve">pendant la période allant de janvier 2013 à décembre 2015. </w:t>
      </w:r>
      <w:r w:rsidR="00F4407E" w:rsidRPr="00A07DA8">
        <w:t xml:space="preserve">Les objectifs de </w:t>
      </w:r>
      <w:r w:rsidR="00F4407E">
        <w:t xml:space="preserve">cette </w:t>
      </w:r>
      <w:r>
        <w:t>vérification</w:t>
      </w:r>
      <w:r w:rsidR="00F4407E">
        <w:t xml:space="preserve"> étaient</w:t>
      </w:r>
      <w:r w:rsidR="00F4407E" w:rsidRPr="00A07DA8">
        <w:t xml:space="preserve"> les suivants: (i) évaluer les lignes directrices et les politiques en place ainsi que la fiabilité des contrôles internes pour ce qui est du recrutement </w:t>
      </w:r>
      <w:r w:rsidR="00F4407E">
        <w:t>d’</w:t>
      </w:r>
      <w:r w:rsidR="00F4407E" w:rsidRPr="00A07DA8">
        <w:t>expert</w:t>
      </w:r>
      <w:r w:rsidR="00226765">
        <w:t>s</w:t>
      </w:r>
      <w:r w:rsidR="00F4407E" w:rsidRPr="00A07DA8">
        <w:t xml:space="preserve">; (ii) évaluer l’efficacité de la communication entre les bureaux régionaux et le siège </w:t>
      </w:r>
      <w:r w:rsidR="00F4407E">
        <w:t>lors du recrutement d’experts</w:t>
      </w:r>
      <w:r w:rsidR="00F4407E" w:rsidRPr="00A07DA8">
        <w:t xml:space="preserve">; (iii) </w:t>
      </w:r>
      <w:r>
        <w:t>analyser</w:t>
      </w:r>
      <w:r w:rsidR="00F4407E">
        <w:t xml:space="preserve"> le processus d’évaluation des risques actuellement en place pour ce qui est des modalités de sélection des experts et d’évaluation de leurs performances</w:t>
      </w:r>
      <w:r w:rsidR="00F4407E" w:rsidRPr="00A07DA8">
        <w:t xml:space="preserve">; (iv) </w:t>
      </w:r>
      <w:r w:rsidR="00F4407E">
        <w:t>évaluer la conformité des procédures de recrutement d</w:t>
      </w:r>
      <w:r>
        <w:t>'</w:t>
      </w:r>
      <w:r w:rsidR="00F4407E">
        <w:t>experts extérieurs aux politiques et procédures en place et</w:t>
      </w:r>
      <w:r w:rsidR="00F4407E" w:rsidRPr="00A07DA8">
        <w:t xml:space="preserve"> (v) </w:t>
      </w:r>
      <w:r>
        <w:t>contrôler</w:t>
      </w:r>
      <w:r w:rsidR="00F4407E">
        <w:t xml:space="preserve"> l’utilisation effective des ressources </w:t>
      </w:r>
      <w:r>
        <w:t>allouées</w:t>
      </w:r>
      <w:r w:rsidR="00F4407E">
        <w:t xml:space="preserve"> pour le recrutement d’experts</w:t>
      </w:r>
      <w:r w:rsidR="00226765">
        <w:t>.</w:t>
      </w:r>
    </w:p>
    <w:p w:rsidR="00F4407E" w:rsidRPr="00553B29" w:rsidRDefault="00E81B6E" w:rsidP="009E086F">
      <w:r>
        <w:lastRenderedPageBreak/>
        <w:t>12</w:t>
      </w:r>
      <w:r>
        <w:tab/>
      </w:r>
      <w:r w:rsidR="00F4407E">
        <w:t>Il a été conclu qu’il n’y a</w:t>
      </w:r>
      <w:r w:rsidR="00F4407E" w:rsidRPr="004E249E">
        <w:t xml:space="preserve"> pas</w:t>
      </w:r>
      <w:r>
        <w:t xml:space="preserve"> actuellement</w:t>
      </w:r>
      <w:r w:rsidR="00F4407E" w:rsidRPr="004E249E">
        <w:t xml:space="preserve"> de politiques et de lignes directrices adéquates </w:t>
      </w:r>
      <w:r>
        <w:t xml:space="preserve">pour gérer les </w:t>
      </w:r>
      <w:r w:rsidR="00F4407E" w:rsidRPr="004E249E">
        <w:t>experts</w:t>
      </w:r>
      <w:r w:rsidR="00F4407E">
        <w:t xml:space="preserve">/consultants. </w:t>
      </w:r>
      <w:r w:rsidR="00F4407E" w:rsidRPr="004E249E">
        <w:t xml:space="preserve">Le Mémorandum de 2010, même s’il est considéré par beaucoup comme la </w:t>
      </w:r>
      <w:r>
        <w:t>directive</w:t>
      </w:r>
      <w:r w:rsidR="00F4407E" w:rsidRPr="004E249E">
        <w:t xml:space="preserve"> applicable, ne contient pas</w:t>
      </w:r>
      <w:r w:rsidR="00F4407E">
        <w:t xml:space="preserve"> tous les éléments nécessaires pour pouvoir servir de cadre politique. </w:t>
      </w:r>
      <w:r w:rsidR="00F4407E" w:rsidRPr="004E249E">
        <w:t>Il a été recommandé d’élaborer des politiques et des l</w:t>
      </w:r>
      <w:r w:rsidR="00F4407E">
        <w:t>ignes directrices appropriées pour assurer le suivi et le contrôle du recrutement d’experts/</w:t>
      </w:r>
      <w:r>
        <w:t xml:space="preserve">de </w:t>
      </w:r>
      <w:r w:rsidR="00F4407E">
        <w:t>consultant</w:t>
      </w:r>
      <w:r>
        <w:t>s</w:t>
      </w:r>
      <w:r w:rsidR="00F4407E">
        <w:t xml:space="preserve">. </w:t>
      </w:r>
      <w:r w:rsidR="00F4407E" w:rsidRPr="004E249E">
        <w:t xml:space="preserve">Le Chef du </w:t>
      </w:r>
      <w:r w:rsidRPr="004E249E">
        <w:t>D</w:t>
      </w:r>
      <w:r w:rsidR="00F4407E" w:rsidRPr="004E249E">
        <w:t xml:space="preserve">épartement </w:t>
      </w:r>
      <w:r w:rsidR="00F4407E">
        <w:t xml:space="preserve">de la gestion </w:t>
      </w:r>
      <w:r w:rsidR="00F4407E" w:rsidRPr="004E249E">
        <w:t>des ressources humaines</w:t>
      </w:r>
      <w:r w:rsidR="00F4407E">
        <w:t xml:space="preserve"> (HRMD)</w:t>
      </w:r>
      <w:r w:rsidR="00F4407E" w:rsidRPr="004E249E">
        <w:t xml:space="preserve"> a souscrit à cette recommandation et indiqué </w:t>
      </w:r>
      <w:r w:rsidR="00F4407E">
        <w:t xml:space="preserve">qu’un plan de mise en œuvre sera élaboré. </w:t>
      </w:r>
      <w:r w:rsidR="00F4407E" w:rsidRPr="004E249E">
        <w:t xml:space="preserve">Le Directeur du BDT a fait savoir que le BDT, fort de son expérience en ce qui concerne le recrutement de consultants, était disposé à contribuer à l’élaboration </w:t>
      </w:r>
      <w:r>
        <w:t xml:space="preserve">des politiques et lignes directrices nécessaires pour mettre en place </w:t>
      </w:r>
      <w:r w:rsidR="00F4407E" w:rsidRPr="004E249E">
        <w:t xml:space="preserve">un cadre </w:t>
      </w:r>
      <w:r w:rsidR="00F4407E">
        <w:t xml:space="preserve">juridique et réglementaire clair pour le recrutement d’experts/de consultants, sous la coordination du Département de la gestion des ressources humaines. </w:t>
      </w:r>
      <w:r w:rsidR="00F4407E" w:rsidRPr="008809A5">
        <w:t xml:space="preserve">Il a également été relevé que l’examen </w:t>
      </w:r>
      <w:r>
        <w:t>visant à contrôler</w:t>
      </w:r>
      <w:r w:rsidR="00F4407E">
        <w:t xml:space="preserve"> </w:t>
      </w:r>
      <w:r w:rsidR="00F4407E" w:rsidRPr="008809A5">
        <w:t>les descriptions d’emploi et les Notices personnelles (PHF)</w:t>
      </w:r>
      <w:r w:rsidR="00F4407E">
        <w:t xml:space="preserve"> n’est pas optimal et que les ressources risquent de ne pas être utilisées de façon efficace et efficiente</w:t>
      </w:r>
      <w:r w:rsidR="00F4407E" w:rsidRPr="008809A5">
        <w:t xml:space="preserve">. </w:t>
      </w:r>
      <w:r w:rsidR="00F4407E" w:rsidRPr="00553B29">
        <w:t xml:space="preserve">Il a été recommandé </w:t>
      </w:r>
      <w:r>
        <w:t>de revoir et de documenter</w:t>
      </w:r>
      <w:r w:rsidR="00F4407E">
        <w:t xml:space="preserve"> le processus de recrutement d’</w:t>
      </w:r>
      <w:r w:rsidR="00F4407E" w:rsidRPr="00553B29">
        <w:t xml:space="preserve">experts (définition des rôles et des responsabilités des départements/unités concernés) </w:t>
      </w:r>
      <w:r>
        <w:t xml:space="preserve">et de </w:t>
      </w:r>
      <w:r w:rsidR="009E086F">
        <w:t>d’’élaborer avec soin</w:t>
      </w:r>
      <w:r>
        <w:t xml:space="preserve"> la partie relative aux "</w:t>
      </w:r>
      <w:r w:rsidR="00F4407E">
        <w:t>conflits d’intérêts</w:t>
      </w:r>
      <w:r>
        <w:t>"</w:t>
      </w:r>
      <w:r w:rsidR="00F4407E">
        <w:t xml:space="preserve"> afin que tous les experts signent </w:t>
      </w:r>
      <w:r w:rsidR="009E086F">
        <w:t>régulièrement et dans un délai fixé</w:t>
      </w:r>
      <w:r w:rsidR="00F4407E">
        <w:t xml:space="preserve"> un code </w:t>
      </w:r>
      <w:r w:rsidR="00D924B6">
        <w:t>d'éthique</w:t>
      </w:r>
      <w:r w:rsidR="00F4407E">
        <w:t xml:space="preserve"> comportant une déclaration sur les conflits d’intérêts. </w:t>
      </w:r>
      <w:r w:rsidR="00D924B6">
        <w:t>L</w:t>
      </w:r>
      <w:r w:rsidR="00F4407E" w:rsidRPr="00553B29">
        <w:t xml:space="preserve">e Chef du Département de la gestion des ressources humaines a </w:t>
      </w:r>
      <w:r w:rsidR="00D924B6">
        <w:t>souscrit à cette recommandation</w:t>
      </w:r>
      <w:r w:rsidR="00F4407E" w:rsidRPr="00553B29">
        <w:t xml:space="preserve"> et indiqué qu</w:t>
      </w:r>
      <w:r w:rsidR="00F4407E">
        <w:t>’un plan de mise en œuvre sera</w:t>
      </w:r>
      <w:r w:rsidR="00F4407E" w:rsidRPr="00553B29">
        <w:t xml:space="preserve"> élaboré.</w:t>
      </w:r>
      <w:r w:rsidR="00F4407E">
        <w:t xml:space="preserve"> </w:t>
      </w:r>
      <w:r w:rsidR="00F4407E" w:rsidRPr="00553B29">
        <w:t xml:space="preserve">Le Directeur du BDT a indiqué que le BDT, </w:t>
      </w:r>
      <w:r w:rsidR="00D924B6">
        <w:t>aux côtés des</w:t>
      </w:r>
      <w:r w:rsidR="00F4407E" w:rsidRPr="00553B29">
        <w:t xml:space="preserve"> autres Bureaux, contribuera aux travaux du Département de la gestion des ressources humaines relatifs à l’examen et l’amélioration du processus de recrutement</w:t>
      </w:r>
      <w:r w:rsidR="00F4407E">
        <w:t xml:space="preserve"> de façon à mieux définir les rôles et </w:t>
      </w:r>
      <w:r w:rsidR="00D924B6">
        <w:t>l</w:t>
      </w:r>
      <w:r w:rsidR="00F4407E">
        <w:t xml:space="preserve">es responsabilités et </w:t>
      </w:r>
      <w:r w:rsidR="00D924B6">
        <w:t xml:space="preserve">à </w:t>
      </w:r>
      <w:r w:rsidR="00F4407E">
        <w:t xml:space="preserve">garantir un niveau de contrôle </w:t>
      </w:r>
      <w:r w:rsidR="009E086F">
        <w:t>adéquat</w:t>
      </w:r>
    </w:p>
    <w:p w:rsidR="00F4407E" w:rsidRPr="00553B29" w:rsidRDefault="00D924B6" w:rsidP="00D924B6">
      <w:r>
        <w:t>13</w:t>
      </w:r>
      <w:r>
        <w:tab/>
        <w:t>Globalement</w:t>
      </w:r>
      <w:r w:rsidR="00F4407E" w:rsidRPr="00553B29">
        <w:t xml:space="preserve">, l’Unité de l’audit interne est d’avis que les processus </w:t>
      </w:r>
      <w:r>
        <w:t>de</w:t>
      </w:r>
      <w:r w:rsidRPr="00553B29">
        <w:t xml:space="preserve"> gouvernance </w:t>
      </w:r>
      <w:r>
        <w:t xml:space="preserve">et </w:t>
      </w:r>
      <w:r w:rsidR="00F4407E" w:rsidRPr="00553B29">
        <w:t xml:space="preserve">de gestion des risques et les contrôles internes </w:t>
      </w:r>
      <w:r w:rsidR="00F4407E">
        <w:t>pour ce qui est du recrutement d</w:t>
      </w:r>
      <w:r>
        <w:t>'</w:t>
      </w:r>
      <w:r w:rsidR="00F4407E">
        <w:t>experts extérieurs doivent être améliorés. L’Unité de l’audit interne a identifié</w:t>
      </w:r>
      <w:r w:rsidR="00F4407E" w:rsidRPr="00553B29">
        <w:t xml:space="preserve"> </w:t>
      </w:r>
      <w:r>
        <w:t>des points qui pourraient être améliorés</w:t>
      </w:r>
      <w:r w:rsidR="00F4407E">
        <w:t xml:space="preserve"> en ce qui concerne les politiques régissant le recrutement des experts, l’examen de </w:t>
      </w:r>
      <w:r>
        <w:t xml:space="preserve">leurs </w:t>
      </w:r>
      <w:r w:rsidR="00F4407E">
        <w:t>profils et des descriptions d’emploi</w:t>
      </w:r>
      <w:r w:rsidR="00F4407E" w:rsidRPr="00553B29">
        <w:t xml:space="preserve"> </w:t>
      </w:r>
      <w:r w:rsidR="00F4407E">
        <w:t xml:space="preserve">correspondantes et la gestion du fichier d’experts. </w:t>
      </w:r>
      <w:r w:rsidR="00F4407E" w:rsidRPr="00553B29">
        <w:t>Si ces améliorations sont apportées, le Secrétaire général pourrait avoir une assurance raisonnable</w:t>
      </w:r>
      <w:r w:rsidR="00F4407E">
        <w:t xml:space="preserve"> que la gouvernance et la gestion des risques sont</w:t>
      </w:r>
      <w:r w:rsidR="00F4407E" w:rsidRPr="00553B29">
        <w:t xml:space="preserve"> </w:t>
      </w:r>
      <w:r w:rsidR="00F4407E">
        <w:t>suffisantes et que les contrôles sont efficaces en ce qui concerne les processus de recrutement d’</w:t>
      </w:r>
      <w:r>
        <w:t>experts extérieurs.</w:t>
      </w:r>
    </w:p>
    <w:p w:rsidR="00F4407E" w:rsidRPr="00D924B6" w:rsidRDefault="00D924B6" w:rsidP="00D924B6">
      <w:pPr>
        <w:pStyle w:val="Headingb"/>
        <w:rPr>
          <w:i/>
          <w:iCs/>
        </w:rPr>
      </w:pPr>
      <w:r w:rsidRPr="00D924B6">
        <w:rPr>
          <w:i/>
          <w:iCs/>
        </w:rPr>
        <w:t>C</w:t>
      </w:r>
      <w:r w:rsidRPr="00D924B6">
        <w:rPr>
          <w:i/>
          <w:iCs/>
        </w:rPr>
        <w:tab/>
      </w:r>
      <w:r w:rsidR="00F4407E" w:rsidRPr="00D924B6">
        <w:rPr>
          <w:i/>
          <w:iCs/>
        </w:rPr>
        <w:t xml:space="preserve">Audit des fonds d’affectation spéciale </w:t>
      </w:r>
    </w:p>
    <w:p w:rsidR="00F4407E" w:rsidRPr="001774F1" w:rsidRDefault="00D924B6" w:rsidP="00D924B6">
      <w:r>
        <w:t>14</w:t>
      </w:r>
      <w:r>
        <w:tab/>
      </w:r>
      <w:r w:rsidR="00F4407E" w:rsidRPr="00553B29">
        <w:t>L’Unité de l’audit interne</w:t>
      </w:r>
      <w:r w:rsidR="00F4407E">
        <w:t xml:space="preserve"> a réalisé</w:t>
      </w:r>
      <w:r w:rsidR="00F4407E" w:rsidRPr="00553B29">
        <w:t xml:space="preserve"> un audit des </w:t>
      </w:r>
      <w:r w:rsidRPr="00553B29">
        <w:t>F</w:t>
      </w:r>
      <w:r w:rsidR="00F4407E" w:rsidRPr="00553B29">
        <w:t>onds d’affectation spéciale</w:t>
      </w:r>
      <w:r w:rsidR="00F4407E">
        <w:t xml:space="preserve"> pour la période allant de 2013 à 2015</w:t>
      </w:r>
      <w:r w:rsidR="00F4407E" w:rsidRPr="00553B29">
        <w:t xml:space="preserve">. </w:t>
      </w:r>
      <w:r w:rsidR="00F4407E" w:rsidRPr="001774F1">
        <w:t xml:space="preserve">Les objectifs de cet audit étaient d’évaluer: (i) les politiques en place et la fiabilité des contrôles internes régissant l’utilisation des fonds d’affectation spéciale; (ii) le bien-fondé de la planification de l’utilisation des ressources </w:t>
      </w:r>
      <w:r w:rsidR="00F4407E">
        <w:t>des fonds d’affectation spéciale</w:t>
      </w:r>
      <w:r w:rsidR="00F4407E" w:rsidRPr="001774F1">
        <w:t xml:space="preserve">; (iii) </w:t>
      </w:r>
      <w:r w:rsidR="00F4407E">
        <w:t>le fait que les fonds d’affectation spéciale sont utilisés de façon adéquate et efficace dans l’intérêt des buts de l’Union</w:t>
      </w:r>
      <w:r w:rsidR="00F4407E" w:rsidRPr="001774F1">
        <w:t>;</w:t>
      </w:r>
      <w:r w:rsidR="00F4407E">
        <w:t xml:space="preserve"> et </w:t>
      </w:r>
      <w:r w:rsidR="00F4407E" w:rsidRPr="001774F1">
        <w:t xml:space="preserve">(iv) </w:t>
      </w:r>
      <w:r w:rsidR="00F4407E">
        <w:t>le fait que l’utilisation des fonds d’affectation spéciale est conforme aux règles et procédures applicables</w:t>
      </w:r>
      <w:r w:rsidR="00F4407E" w:rsidRPr="001774F1">
        <w:t xml:space="preserve">. </w:t>
      </w:r>
    </w:p>
    <w:p w:rsidR="00F4407E" w:rsidRPr="00650F70" w:rsidRDefault="00D924B6" w:rsidP="00D924B6">
      <w:r>
        <w:t>15</w:t>
      </w:r>
      <w:r>
        <w:tab/>
      </w:r>
      <w:r w:rsidR="00F4407E" w:rsidRPr="001774F1">
        <w:t xml:space="preserve">L’Unité de l’audit interne a noté des points positifs, par exemple le fait que </w:t>
      </w:r>
      <w:r w:rsidR="00F4407E">
        <w:t xml:space="preserve">le BDT et en particulier </w:t>
      </w:r>
      <w:r w:rsidR="00F4407E" w:rsidRPr="001774F1">
        <w:t xml:space="preserve">la Division </w:t>
      </w:r>
      <w:r w:rsidR="00F4407E">
        <w:t xml:space="preserve">d’appui aux projets </w:t>
      </w:r>
      <w:r w:rsidR="00F4407E" w:rsidRPr="001774F1">
        <w:t>(PRJ)</w:t>
      </w:r>
      <w:r w:rsidR="00F4407E">
        <w:t xml:space="preserve"> du BDT tient à jour des lignes directrices précises relatives à la gestion des projets qui sont conformes aux bonnes pratiques par exemple</w:t>
      </w:r>
      <w:r w:rsidR="00F4407E" w:rsidRPr="001774F1">
        <w:t xml:space="preserve">, PMI </w:t>
      </w:r>
      <w:r w:rsidR="00F4407E">
        <w:t>et</w:t>
      </w:r>
      <w:r w:rsidR="00F4407E" w:rsidRPr="001774F1">
        <w:t xml:space="preserve"> Prince2. Des efforts </w:t>
      </w:r>
      <w:r>
        <w:t>ont été</w:t>
      </w:r>
      <w:r w:rsidR="00F4407E" w:rsidRPr="001774F1">
        <w:t xml:space="preserve"> faits pour </w:t>
      </w:r>
      <w:r w:rsidR="00F4407E">
        <w:t>uniformiser</w:t>
      </w:r>
      <w:r w:rsidR="00F4407E" w:rsidRPr="001774F1">
        <w:t xml:space="preserve"> les documents utilisés </w:t>
      </w:r>
      <w:r>
        <w:t>pour</w:t>
      </w:r>
      <w:r w:rsidR="00F4407E" w:rsidRPr="001774F1">
        <w:t xml:space="preserve"> la gestion des projets </w:t>
      </w:r>
      <w:r w:rsidR="00F4407E">
        <w:t xml:space="preserve">et la Division </w:t>
      </w:r>
      <w:r w:rsidR="00F4407E" w:rsidRPr="001774F1">
        <w:t xml:space="preserve">PRJ </w:t>
      </w:r>
      <w:r w:rsidR="00F4407E">
        <w:t xml:space="preserve">tient à jour divers gabarits, par exemple les gabarits utilisés pour les descriptifs de projet et les accords de coopération, entre autres, afin d’assurer une certaine uniformité et une certaine </w:t>
      </w:r>
      <w:r>
        <w:t>efficacité en ce qui concerne</w:t>
      </w:r>
      <w:r w:rsidR="00F4407E">
        <w:t xml:space="preserve"> la mise en œuvre des projets. </w:t>
      </w:r>
      <w:r w:rsidR="00F4407E" w:rsidRPr="00971C0E">
        <w:t xml:space="preserve">Cette même </w:t>
      </w:r>
      <w:r w:rsidR="00F4407E" w:rsidRPr="00971C0E">
        <w:lastRenderedPageBreak/>
        <w:t>Division a également dispensé une séance de formation à l’intention</w:t>
      </w:r>
      <w:r w:rsidR="00F4407E">
        <w:t xml:space="preserve"> des fonctionnaires P3 concernés par la gestion des projets et elle envisage d’en dispenser d’autres, à intervalles réguliers, afin d’améliorer les compétences de ces fonctionnaires qui pourront ainsi mieux assumer leurs fonctions d’appui à la mise en œuvre des projets. L’Unité de l’audit interne a constaté qu’il existe au sein du Bureau des structures adéquates qui sont adaptées à la gestion des principaux risques liés </w:t>
      </w:r>
      <w:r>
        <w:t>à l'utilisation des</w:t>
      </w:r>
      <w:r w:rsidR="00F4407E">
        <w:t xml:space="preserve"> fonds d’affectation spéciale. L’Unité de l’audit interne a également constaté au cours de l’audit que d’autres bonnes pratiques viennent étayer l’évaluation des projets. </w:t>
      </w:r>
      <w:r w:rsidR="00F4407E" w:rsidRPr="00FA1208">
        <w:t xml:space="preserve">En outre, </w:t>
      </w:r>
      <w:r w:rsidR="00F4407E">
        <w:t xml:space="preserve">il ressort d’un examen et d’une </w:t>
      </w:r>
      <w:r w:rsidR="00F4407E" w:rsidRPr="00FA1208">
        <w:t>évaluation des politiques que les politiques régissant l’utilisation des fonds d’affectation spéciale</w:t>
      </w:r>
      <w:r w:rsidR="00F4407E">
        <w:t xml:space="preserve"> sont adéquates et correctement interprétées par les utilisateurs. </w:t>
      </w:r>
      <w:r w:rsidR="00F4407E" w:rsidRPr="00FA1208">
        <w:t xml:space="preserve">Un examen par échantillonnage des projets financés par des fonds d’affectation spéciale </w:t>
      </w:r>
      <w:r w:rsidR="00F4407E">
        <w:t>a montré que les descriptifs</w:t>
      </w:r>
      <w:r>
        <w:t xml:space="preserve"> de projet</w:t>
      </w:r>
      <w:r w:rsidR="00F4407E">
        <w:t xml:space="preserve"> et les accords juridiques correspondants sont bien préparés et dûment signés. Tous les documents ont été jugés cohérents entre eux, dans la mesure où aucune clause contradictoire n’a été relevée.</w:t>
      </w:r>
    </w:p>
    <w:p w:rsidR="00F4407E" w:rsidRPr="005B597C" w:rsidRDefault="00D924B6" w:rsidP="009E086F">
      <w:r>
        <w:t>16</w:t>
      </w:r>
      <w:r>
        <w:tab/>
      </w:r>
      <w:r w:rsidR="00F4407E" w:rsidRPr="00650F70">
        <w:t xml:space="preserve">Il a toutefois été conclu que la durée des projets risque de ne pas être suffisante pour </w:t>
      </w:r>
      <w:r w:rsidR="009E086F">
        <w:t>permettre</w:t>
      </w:r>
      <w:r w:rsidR="00F4407E">
        <w:t xml:space="preserve"> l’utilisation des ressources dans un laps de temps donné. </w:t>
      </w:r>
      <w:r w:rsidR="00F4407E" w:rsidRPr="00650F70">
        <w:t>Il a été recommandé de tenir compte de la nature d</w:t>
      </w:r>
      <w:r>
        <w:t>e</w:t>
      </w:r>
      <w:r w:rsidR="009E086F">
        <w:t xml:space="preserve"> chaque</w:t>
      </w:r>
      <w:r w:rsidR="00F4407E" w:rsidRPr="00650F70">
        <w:t xml:space="preserve"> projet</w:t>
      </w:r>
      <w:r w:rsidR="009E086F">
        <w:t xml:space="preserve"> concret</w:t>
      </w:r>
      <w:r w:rsidR="00F4407E" w:rsidRPr="00650F70">
        <w:t xml:space="preserve"> et de</w:t>
      </w:r>
      <w:r w:rsidR="009E086F">
        <w:t>s questions</w:t>
      </w:r>
      <w:r w:rsidR="00F4407E" w:rsidRPr="00650F70">
        <w:t xml:space="preserve"> régionale</w:t>
      </w:r>
      <w:r w:rsidR="009E086F">
        <w:t>s</w:t>
      </w:r>
      <w:r w:rsidR="00F4407E" w:rsidRPr="00650F70">
        <w:t>/nationale</w:t>
      </w:r>
      <w:r w:rsidR="009E086F">
        <w:t>s</w:t>
      </w:r>
      <w:r w:rsidR="00F4407E">
        <w:t xml:space="preserve"> lors</w:t>
      </w:r>
      <w:r w:rsidR="009E086F">
        <w:t xml:space="preserve"> de la définition des projets et de la détermination de leur durée</w:t>
      </w:r>
      <w:r w:rsidR="00F4407E">
        <w:t xml:space="preserve">, afin de limiter </w:t>
      </w:r>
      <w:r>
        <w:t>le plus possible</w:t>
      </w:r>
      <w:r w:rsidR="00F4407E">
        <w:t xml:space="preserve"> les amendements/addenda visant à reporter </w:t>
      </w:r>
      <w:r>
        <w:t>ou</w:t>
      </w:r>
      <w:r w:rsidR="00F4407E">
        <w:t xml:space="preserve"> prolonger la date de fin des projets. Le BDT a souscrit à cette recommandation et précisé qu’il continue d’insister sur le respect des dates de fin de projet, même si parfois l’argument de la force majeure est avancé </w:t>
      </w:r>
      <w:r>
        <w:t>ou</w:t>
      </w:r>
      <w:r w:rsidR="00F4407E">
        <w:t xml:space="preserve"> si des pays bénéficiaires retardent la mise en œuvre pour diverses raisons. </w:t>
      </w:r>
      <w:r w:rsidR="00F4407E" w:rsidRPr="006D4C0B">
        <w:t>Un autre problème</w:t>
      </w:r>
      <w:r>
        <w:t xml:space="preserve"> a été</w:t>
      </w:r>
      <w:r w:rsidR="00F4407E" w:rsidRPr="006D4C0B">
        <w:t xml:space="preserve"> relevé</w:t>
      </w:r>
      <w:r>
        <w:t>:</w:t>
      </w:r>
      <w:r w:rsidR="00F4407E" w:rsidRPr="006D4C0B">
        <w:t xml:space="preserve"> même si les contrôles </w:t>
      </w:r>
      <w:r w:rsidR="00F4407E">
        <w:t>sont</w:t>
      </w:r>
      <w:r w:rsidR="00F4407E" w:rsidRPr="006D4C0B">
        <w:t xml:space="preserve"> jugés efficaces, </w:t>
      </w:r>
      <w:r>
        <w:t>les ressources</w:t>
      </w:r>
      <w:r w:rsidR="00F4407E" w:rsidRPr="006D4C0B">
        <w:t xml:space="preserve"> des fonds d’affectation spéciale </w:t>
      </w:r>
      <w:r w:rsidR="00F4407E">
        <w:t>risque</w:t>
      </w:r>
      <w:r>
        <w:t>nt</w:t>
      </w:r>
      <w:r w:rsidR="00F4407E">
        <w:t xml:space="preserve"> de ne pas être</w:t>
      </w:r>
      <w:r>
        <w:t xml:space="preserve"> utilisées de façon</w:t>
      </w:r>
      <w:r w:rsidR="00F4407E" w:rsidRPr="006D4C0B">
        <w:t xml:space="preserve"> optimale</w:t>
      </w:r>
      <w:r w:rsidR="00F4407E">
        <w:t xml:space="preserve"> pour atteindre les objectifs de l’Union. </w:t>
      </w:r>
      <w:r w:rsidR="00F4407E" w:rsidRPr="006D4C0B">
        <w:t xml:space="preserve">Il a été recommandé de réfléchir à l’élaboration d’un outil en ligne </w:t>
      </w:r>
      <w:r w:rsidR="00F4407E">
        <w:t>pour la</w:t>
      </w:r>
      <w:r w:rsidR="00F4407E" w:rsidRPr="006D4C0B">
        <w:t xml:space="preserve"> gestion des projets et </w:t>
      </w:r>
      <w:r w:rsidR="00F4407E">
        <w:t>le</w:t>
      </w:r>
      <w:r w:rsidR="00F4407E" w:rsidRPr="006D4C0B">
        <w:t xml:space="preserve"> partage des connaissances.</w:t>
      </w:r>
      <w:r w:rsidR="00F4407E">
        <w:t xml:space="preserve"> </w:t>
      </w:r>
      <w:r w:rsidR="00F4407E" w:rsidRPr="006D4C0B">
        <w:t xml:space="preserve">Le BDT a confirmé que les efforts déployés pour mettre au point </w:t>
      </w:r>
      <w:r w:rsidR="00F4407E">
        <w:t>d’autres</w:t>
      </w:r>
      <w:r w:rsidR="00F4407E" w:rsidRPr="006D4C0B">
        <w:t xml:space="preserve"> outils de ge</w:t>
      </w:r>
      <w:r w:rsidR="00F4407E">
        <w:t>stion des projets et de partage</w:t>
      </w:r>
      <w:r w:rsidR="00F4407E" w:rsidRPr="006D4C0B">
        <w:t xml:space="preserve"> des connaissances se poursuivront </w:t>
      </w:r>
      <w:r w:rsidR="00F4407E">
        <w:t xml:space="preserve">et qu’il sera tenu compte des incidences financières correspondantes. </w:t>
      </w:r>
      <w:r w:rsidR="00F4407E" w:rsidRPr="006D4C0B">
        <w:t>Enfin, l’Unité de l’audit interne a noté que les politiques existantes qui régissent l’utilisation des fonds d’affectation spéciale sont</w:t>
      </w:r>
      <w:r>
        <w:t>,</w:t>
      </w:r>
      <w:r w:rsidR="00F4407E" w:rsidRPr="006D4C0B">
        <w:t xml:space="preserve"> dans une large mesure</w:t>
      </w:r>
      <w:r>
        <w:t>,</w:t>
      </w:r>
      <w:r w:rsidR="00F4407E" w:rsidRPr="006D4C0B">
        <w:t xml:space="preserve"> fiables et adéquates.</w:t>
      </w:r>
      <w:r w:rsidR="00F4407E">
        <w:t xml:space="preserve"> Aucune recommandation particulière n’a été faite dans ce domaine.</w:t>
      </w:r>
    </w:p>
    <w:p w:rsidR="00F4407E" w:rsidRPr="006D4C0B" w:rsidRDefault="00D924B6" w:rsidP="009E086F">
      <w:pPr>
        <w:rPr>
          <w:b/>
          <w:i/>
          <w:color w:val="000000"/>
        </w:rPr>
      </w:pPr>
      <w:r>
        <w:t>17</w:t>
      </w:r>
      <w:r>
        <w:tab/>
        <w:t>Globalement</w:t>
      </w:r>
      <w:r w:rsidR="00F4407E" w:rsidRPr="006D4C0B">
        <w:t>, l’Unité de l’audit interne est d’avis que les processus</w:t>
      </w:r>
      <w:r w:rsidRPr="00D924B6">
        <w:t xml:space="preserve"> </w:t>
      </w:r>
      <w:r>
        <w:t>de</w:t>
      </w:r>
      <w:r w:rsidRPr="006D4C0B">
        <w:t xml:space="preserve"> gouvernance</w:t>
      </w:r>
      <w:r>
        <w:t xml:space="preserve"> et</w:t>
      </w:r>
      <w:r w:rsidR="00F4407E" w:rsidRPr="006D4C0B">
        <w:t xml:space="preserve"> de gestion des risques et les contrôles internes </w:t>
      </w:r>
      <w:r w:rsidR="00F4407E">
        <w:t xml:space="preserve">sont adéquats et </w:t>
      </w:r>
      <w:r w:rsidR="009E086F">
        <w:t xml:space="preserve">dans l’ensemble </w:t>
      </w:r>
      <w:r w:rsidR="00F4407E">
        <w:t xml:space="preserve">raisonnablement efficaces. </w:t>
      </w:r>
      <w:r w:rsidR="00F4407E" w:rsidRPr="006D4C0B">
        <w:t xml:space="preserve">Des améliorations pourraient être apportées en ce qui concerne la durée des projets </w:t>
      </w:r>
      <w:r w:rsidR="00F4407E">
        <w:t xml:space="preserve">et le renforcement des outils de gestion des projets et des améliorations </w:t>
      </w:r>
      <w:r w:rsidR="009E086F">
        <w:t>importantes</w:t>
      </w:r>
      <w:r w:rsidR="00F4407E">
        <w:t xml:space="preserve"> pourraient être </w:t>
      </w:r>
      <w:proofErr w:type="gramStart"/>
      <w:r w:rsidR="00F4407E">
        <w:t>apportées</w:t>
      </w:r>
      <w:proofErr w:type="gramEnd"/>
      <w:r w:rsidR="00F4407E">
        <w:t xml:space="preserve"> concernant les reliquats des fonds d’affectation spéciale ne relevant pas du BDT</w:t>
      </w:r>
      <w:r w:rsidR="00F4407E" w:rsidRPr="006D4C0B">
        <w:t>.</w:t>
      </w:r>
    </w:p>
    <w:p w:rsidR="00F4407E" w:rsidRPr="005B0EA6" w:rsidRDefault="005B0EA6" w:rsidP="005B0EA6">
      <w:pPr>
        <w:pStyle w:val="Headingb"/>
        <w:rPr>
          <w:i/>
          <w:iCs/>
          <w:lang w:val="fr-CH"/>
        </w:rPr>
      </w:pPr>
      <w:proofErr w:type="spellStart"/>
      <w:r w:rsidRPr="005B0EA6">
        <w:rPr>
          <w:i/>
          <w:iCs/>
          <w:lang w:val="fr-CH"/>
        </w:rPr>
        <w:t>D</w:t>
      </w:r>
      <w:r w:rsidRPr="005B0EA6">
        <w:rPr>
          <w:i/>
          <w:iCs/>
          <w:lang w:val="fr-CH"/>
        </w:rPr>
        <w:tab/>
        <w:t>E</w:t>
      </w:r>
      <w:r w:rsidR="00F4407E" w:rsidRPr="005B0EA6">
        <w:rPr>
          <w:i/>
          <w:iCs/>
          <w:lang w:val="fr-CH"/>
        </w:rPr>
        <w:t>valuation</w:t>
      </w:r>
      <w:proofErr w:type="spellEnd"/>
      <w:r w:rsidR="00F4407E" w:rsidRPr="005B0EA6">
        <w:rPr>
          <w:i/>
          <w:iCs/>
          <w:lang w:val="fr-CH"/>
        </w:rPr>
        <w:t xml:space="preserve"> des risques de fraude institutionnelle</w:t>
      </w:r>
    </w:p>
    <w:p w:rsidR="00F4407E" w:rsidRPr="00E75340" w:rsidRDefault="005B0EA6" w:rsidP="009E086F">
      <w:pPr>
        <w:rPr>
          <w:bCs/>
          <w:iCs/>
          <w:color w:val="000000"/>
        </w:rPr>
      </w:pPr>
      <w:r>
        <w:t>18</w:t>
      </w:r>
      <w:r>
        <w:tab/>
      </w:r>
      <w:r w:rsidR="00F4407E" w:rsidRPr="00574FBB">
        <w:t xml:space="preserve">Le rapport du Corps commun d’inspection intitulé </w:t>
      </w:r>
      <w:r>
        <w:t>"</w:t>
      </w:r>
      <w:r w:rsidR="00F4407E" w:rsidRPr="00574FBB">
        <w:t>Prévention, détection et répression de la fraude dans les organismes des Nations Unies</w:t>
      </w:r>
      <w:r>
        <w:t>"</w:t>
      </w:r>
      <w:r w:rsidR="00F4407E" w:rsidRPr="00574FBB">
        <w:t xml:space="preserve"> </w:t>
      </w:r>
      <w:r w:rsidR="00F4407E">
        <w:t xml:space="preserve">met en lumière un certain nombre de carences dans ce domaine, dont certaines </w:t>
      </w:r>
      <w:r>
        <w:t>s'appliquent</w:t>
      </w:r>
      <w:r w:rsidR="00F4407E">
        <w:t xml:space="preserve"> </w:t>
      </w:r>
      <w:r>
        <w:t>aussi à</w:t>
      </w:r>
      <w:r w:rsidR="00F4407E">
        <w:t xml:space="preserve"> l’UIT. </w:t>
      </w:r>
      <w:r>
        <w:t>E</w:t>
      </w:r>
      <w:r w:rsidR="00F4407E" w:rsidRPr="00574FBB">
        <w:t xml:space="preserve">tant donné </w:t>
      </w:r>
      <w:r w:rsidR="009E086F">
        <w:t>le lien assez étroit qui existe entre</w:t>
      </w:r>
      <w:r w:rsidR="00F4407E">
        <w:t xml:space="preserve"> </w:t>
      </w:r>
      <w:r w:rsidR="00F4407E" w:rsidRPr="00574FBB">
        <w:t xml:space="preserve">les audits et </w:t>
      </w:r>
      <w:r w:rsidR="00F4407E">
        <w:t>les investigations concernant la fraude</w:t>
      </w:r>
      <w:r w:rsidR="009E086F">
        <w:t xml:space="preserve"> et compte tenu aussi </w:t>
      </w:r>
      <w:r>
        <w:t>des</w:t>
      </w:r>
      <w:r w:rsidR="00F4407E">
        <w:t xml:space="preserve"> compétence</w:t>
      </w:r>
      <w:r>
        <w:t>s et d</w:t>
      </w:r>
      <w:r w:rsidR="00F4407E">
        <w:t xml:space="preserve">es qualifications des auditeurs, il était important de donner suite à la recommandation relative à la nécessité pour </w:t>
      </w:r>
      <w:r w:rsidR="009E086F">
        <w:t>l’</w:t>
      </w:r>
      <w:r w:rsidR="00F4407E">
        <w:t>organisation de procéder à une évaluation globale du risque de fraude institutionnel</w:t>
      </w:r>
      <w:r>
        <w:t>le</w:t>
      </w:r>
      <w:r w:rsidR="00F4407E">
        <w:t xml:space="preserve">. Un tel examen sera déterminant pour la suite donnée par l’Union à d’autres recommandations figurant dans le rapport du Corps commun d’inspection. </w:t>
      </w:r>
      <w:r w:rsidR="00F4407E" w:rsidRPr="00574FBB">
        <w:t>La planification de l’évaluation du risque de fraude</w:t>
      </w:r>
      <w:r w:rsidR="00F4407E">
        <w:t xml:space="preserve"> institutionnelle</w:t>
      </w:r>
      <w:r w:rsidR="00F4407E" w:rsidRPr="00574FBB">
        <w:t xml:space="preserve">, l’examen des documents et </w:t>
      </w:r>
      <w:r w:rsidR="00F4407E">
        <w:t xml:space="preserve">les entretiens ont été </w:t>
      </w:r>
      <w:r>
        <w:t>achevés</w:t>
      </w:r>
      <w:r w:rsidR="00F4407E">
        <w:t xml:space="preserve"> en 2016. </w:t>
      </w:r>
      <w:r w:rsidR="00F4407E" w:rsidRPr="00CD010C">
        <w:t xml:space="preserve">L’évaluation </w:t>
      </w:r>
      <w:r>
        <w:t>repose</w:t>
      </w:r>
      <w:r w:rsidR="00F4407E" w:rsidRPr="00CD010C">
        <w:t xml:space="preserve"> sur des cadres réglementaires</w:t>
      </w:r>
      <w:r w:rsidR="00F4407E">
        <w:t xml:space="preserve"> </w:t>
      </w:r>
      <w:r w:rsidR="009E086F">
        <w:t xml:space="preserve">dans les cas ou </w:t>
      </w:r>
      <w:r w:rsidR="00F4407E">
        <w:t xml:space="preserve">des </w:t>
      </w:r>
      <w:r w:rsidR="009E086F">
        <w:t>transactions</w:t>
      </w:r>
      <w:r w:rsidR="00F4407E">
        <w:t xml:space="preserve">, des processus, des lignes directrices et des procédures </w:t>
      </w:r>
      <w:r w:rsidR="009E086F">
        <w:t>pourraient</w:t>
      </w:r>
      <w:r w:rsidR="00F4407E">
        <w:t xml:space="preserve"> signaler </w:t>
      </w:r>
      <w:r w:rsidR="00F4407E">
        <w:lastRenderedPageBreak/>
        <w:t xml:space="preserve">ou prévenir une fraude ainsi que </w:t>
      </w:r>
      <w:r w:rsidR="009E086F">
        <w:t xml:space="preserve">sur </w:t>
      </w:r>
      <w:r w:rsidR="00F4407E">
        <w:t xml:space="preserve">des entretiens pour déterminer comment le personnel de direction à des niveaux inférieurs et le personnel en première ligne perçoivent la vulnérabilité de l’organisation. </w:t>
      </w:r>
      <w:r w:rsidR="00F4407E" w:rsidRPr="00CD010C">
        <w:t>Le projet de rapport a été communiqué aux fonctionnaires concernés de l’UIT.</w:t>
      </w:r>
      <w:r w:rsidR="00F4407E">
        <w:t xml:space="preserve"> </w:t>
      </w:r>
      <w:r w:rsidR="00F4407E" w:rsidRPr="00D71C5F">
        <w:t>Les commentaires reçus ont été pris en compte, et un projet final a été envoyé</w:t>
      </w:r>
      <w:r w:rsidR="00F4407E">
        <w:t xml:space="preserve"> le 30 janvier 2017 aux dirigeants concernés pour qu’ils </w:t>
      </w:r>
      <w:r>
        <w:t>fassent part de leurs</w:t>
      </w:r>
      <w:r w:rsidR="00F4407E">
        <w:t xml:space="preserve"> observations</w:t>
      </w:r>
      <w:r>
        <w:t xml:space="preserve"> finales</w:t>
      </w:r>
      <w:r w:rsidR="00F4407E">
        <w:t>.</w:t>
      </w:r>
      <w:r w:rsidR="00F4407E" w:rsidRPr="00D71C5F">
        <w:t xml:space="preserve"> </w:t>
      </w:r>
      <w:r>
        <w:t>L</w:t>
      </w:r>
      <w:r w:rsidR="00F4407E" w:rsidRPr="00D71C5F">
        <w:t>e rapport sera</w:t>
      </w:r>
      <w:r>
        <w:t xml:space="preserve"> vraisemblablement</w:t>
      </w:r>
      <w:r w:rsidR="00F4407E" w:rsidRPr="00D71C5F">
        <w:t xml:space="preserve"> publié pendant le premier </w:t>
      </w:r>
      <w:r w:rsidR="00F4407E">
        <w:t xml:space="preserve">ou le deuxième trimestre de 2017 et la mise en œuvre des recommandations </w:t>
      </w:r>
      <w:proofErr w:type="gramStart"/>
      <w:r>
        <w:t>contribuera</w:t>
      </w:r>
      <w:proofErr w:type="gramEnd"/>
      <w:r w:rsidR="00F4407E">
        <w:t xml:space="preserve"> directe</w:t>
      </w:r>
      <w:r>
        <w:t>ment à la suite donnée</w:t>
      </w:r>
      <w:r w:rsidR="00F4407E">
        <w:t xml:space="preserve"> aux  recommandations du Corps commun d’inspection.</w:t>
      </w:r>
    </w:p>
    <w:p w:rsidR="00F4407E" w:rsidRPr="005B0EA6" w:rsidRDefault="005B0EA6" w:rsidP="005B0EA6">
      <w:pPr>
        <w:pStyle w:val="Headingb"/>
        <w:rPr>
          <w:i/>
          <w:iCs/>
        </w:rPr>
      </w:pPr>
      <w:r>
        <w:rPr>
          <w:i/>
          <w:iCs/>
        </w:rPr>
        <w:t>E</w:t>
      </w:r>
      <w:r w:rsidRPr="005B0EA6">
        <w:rPr>
          <w:i/>
          <w:iCs/>
        </w:rPr>
        <w:tab/>
      </w:r>
      <w:r w:rsidR="00F4407E" w:rsidRPr="005B0EA6">
        <w:rPr>
          <w:i/>
          <w:iCs/>
        </w:rPr>
        <w:t xml:space="preserve">Audit </w:t>
      </w:r>
      <w:r>
        <w:rPr>
          <w:i/>
          <w:iCs/>
        </w:rPr>
        <w:t>des activités relatives à</w:t>
      </w:r>
      <w:r w:rsidR="00F4407E" w:rsidRPr="005B0EA6">
        <w:rPr>
          <w:i/>
          <w:iCs/>
        </w:rPr>
        <w:t xml:space="preserve"> l’apprentissage, la formation professionnelle et la formation continue. </w:t>
      </w:r>
    </w:p>
    <w:p w:rsidR="00F4407E" w:rsidRPr="00E851CC" w:rsidRDefault="005B0EA6" w:rsidP="005B0EA6">
      <w:r>
        <w:t>19</w:t>
      </w:r>
      <w:r>
        <w:tab/>
      </w:r>
      <w:r w:rsidR="00F4407E" w:rsidRPr="00E75340">
        <w:t xml:space="preserve">L’Unité de l’audit interne a procédé à un examen des activités relatives à l’apprentissage, la formation professionnelle </w:t>
      </w:r>
      <w:r w:rsidR="00F4407E">
        <w:t>et la</w:t>
      </w:r>
      <w:r>
        <w:t xml:space="preserve"> </w:t>
      </w:r>
      <w:r w:rsidR="00F4407E" w:rsidRPr="0008729A">
        <w:t xml:space="preserve">formation continue </w:t>
      </w:r>
      <w:r w:rsidR="00F4407E">
        <w:t>p</w:t>
      </w:r>
      <w:r w:rsidR="00F4407E" w:rsidRPr="00E75340">
        <w:t xml:space="preserve">our la période allant de janvier 2014 à décembre </w:t>
      </w:r>
      <w:r w:rsidR="00F4407E">
        <w:t>2015.</w:t>
      </w:r>
      <w:r w:rsidR="00F4407E" w:rsidRPr="00E75340">
        <w:t xml:space="preserve"> </w:t>
      </w:r>
      <w:r w:rsidR="00F4407E" w:rsidRPr="00E851CC">
        <w:t>Les objectifs de l’audit étaient les suivants: (i) évaluer les politiques et les orientations existantes; (ii) évaluer le budget alloué à la formation professionnelle;</w:t>
      </w:r>
      <w:r w:rsidR="00F4407E">
        <w:t xml:space="preserve"> (iii) </w:t>
      </w:r>
      <w:r w:rsidR="00F4407E" w:rsidRPr="00E851CC">
        <w:t xml:space="preserve">évaluer la planification </w:t>
      </w:r>
      <w:r w:rsidR="00F4407E">
        <w:t xml:space="preserve">des activités </w:t>
      </w:r>
      <w:r>
        <w:t>relatives</w:t>
      </w:r>
      <w:r w:rsidR="00F4407E">
        <w:t xml:space="preserve"> à l’apprentissage, la formation professionnelle et la</w:t>
      </w:r>
      <w:r>
        <w:t xml:space="preserve"> </w:t>
      </w:r>
      <w:r w:rsidR="00F4407E" w:rsidRPr="0008729A">
        <w:t>formation continue</w:t>
      </w:r>
      <w:r w:rsidR="00F4407E" w:rsidRPr="00E851CC">
        <w:t xml:space="preserve">; (iv) </w:t>
      </w:r>
      <w:r w:rsidR="00F4407E">
        <w:t>évaluer les informations, la communication et les rapports concernant l’apprentissage, la formation professionnelle et la</w:t>
      </w:r>
      <w:r>
        <w:t xml:space="preserve"> </w:t>
      </w:r>
      <w:r w:rsidR="00F4407E" w:rsidRPr="0008729A">
        <w:t>formation continue</w:t>
      </w:r>
      <w:r w:rsidR="00F4407E" w:rsidRPr="00E851CC">
        <w:t xml:space="preserve">; </w:t>
      </w:r>
      <w:r w:rsidR="00F4407E">
        <w:t>et</w:t>
      </w:r>
      <w:r w:rsidR="00F4407E" w:rsidRPr="00E851CC">
        <w:t xml:space="preserve"> (v) </w:t>
      </w:r>
      <w:r w:rsidR="00F4407E">
        <w:t>examiner la mise en place du cadre pour les activités des coordonnateurs des ressources humaines</w:t>
      </w:r>
      <w:r w:rsidR="00F4407E" w:rsidRPr="00E851CC">
        <w:t xml:space="preserve">. Les dépenses afférentes à la formation professionnelle, y compris les dépenses au niveau central et les dépenses </w:t>
      </w:r>
      <w:r w:rsidR="00F4407E">
        <w:t>affectées au</w:t>
      </w:r>
      <w:r w:rsidR="00F4407E" w:rsidRPr="00E851CC">
        <w:t xml:space="preserve"> BR, </w:t>
      </w:r>
      <w:r w:rsidR="00F4407E">
        <w:t xml:space="preserve">au </w:t>
      </w:r>
      <w:r w:rsidR="00F4407E" w:rsidRPr="00E851CC">
        <w:t xml:space="preserve">TSB, </w:t>
      </w:r>
      <w:r w:rsidR="00F4407E">
        <w:t xml:space="preserve">au </w:t>
      </w:r>
      <w:r w:rsidR="00F4407E" w:rsidRPr="00E851CC">
        <w:t>BDT</w:t>
      </w:r>
      <w:r w:rsidR="00F4407E">
        <w:t xml:space="preserve"> et au Département des services informatiques, s’établiss</w:t>
      </w:r>
      <w:r>
        <w:t>aient</w:t>
      </w:r>
      <w:r w:rsidR="00F4407E">
        <w:t xml:space="preserve"> à</w:t>
      </w:r>
      <w:r w:rsidR="00F4407E" w:rsidRPr="00E851CC">
        <w:t xml:space="preserve"> 509</w:t>
      </w:r>
      <w:r>
        <w:t> </w:t>
      </w:r>
      <w:r w:rsidR="00F4407E" w:rsidRPr="00E851CC">
        <w:t>614</w:t>
      </w:r>
      <w:r w:rsidRPr="005B0EA6">
        <w:t xml:space="preserve"> </w:t>
      </w:r>
      <w:r>
        <w:t>CHF</w:t>
      </w:r>
      <w:r w:rsidR="00F4407E" w:rsidRPr="00E851CC">
        <w:t xml:space="preserve"> </w:t>
      </w:r>
      <w:r w:rsidR="00F4407E">
        <w:t>en</w:t>
      </w:r>
      <w:r w:rsidR="00F4407E" w:rsidRPr="00E851CC">
        <w:t xml:space="preserve"> 2014 (</w:t>
      </w:r>
      <w:r w:rsidR="00F4407E">
        <w:t xml:space="preserve">le budget était de </w:t>
      </w:r>
      <w:r w:rsidR="00F4407E" w:rsidRPr="00E851CC">
        <w:t>683</w:t>
      </w:r>
      <w:r>
        <w:t> </w:t>
      </w:r>
      <w:r w:rsidR="00F4407E" w:rsidRPr="00E851CC">
        <w:t>500</w:t>
      </w:r>
      <w:r w:rsidRPr="005B0EA6">
        <w:t xml:space="preserve"> </w:t>
      </w:r>
      <w:r w:rsidRPr="00E851CC">
        <w:t>CHF</w:t>
      </w:r>
      <w:r w:rsidR="00F4407E" w:rsidRPr="00E851CC">
        <w:t xml:space="preserve">) </w:t>
      </w:r>
      <w:r>
        <w:t>et à</w:t>
      </w:r>
      <w:r w:rsidR="00F4407E" w:rsidRPr="00E851CC">
        <w:t xml:space="preserve"> 636</w:t>
      </w:r>
      <w:r>
        <w:t> </w:t>
      </w:r>
      <w:r w:rsidR="00F4407E" w:rsidRPr="00E851CC">
        <w:t>120</w:t>
      </w:r>
      <w:r w:rsidRPr="005B0EA6">
        <w:t xml:space="preserve"> </w:t>
      </w:r>
      <w:r w:rsidRPr="00E851CC">
        <w:t>CHF</w:t>
      </w:r>
      <w:r w:rsidR="00F4407E" w:rsidRPr="00E851CC">
        <w:t xml:space="preserve"> </w:t>
      </w:r>
      <w:r w:rsidR="00F4407E">
        <w:t>en</w:t>
      </w:r>
      <w:r w:rsidR="00F4407E" w:rsidRPr="00E851CC">
        <w:t xml:space="preserve"> 2015 (</w:t>
      </w:r>
      <w:r w:rsidR="00F4407E">
        <w:t xml:space="preserve">le budget était de </w:t>
      </w:r>
      <w:r w:rsidR="00F4407E" w:rsidRPr="00E851CC">
        <w:t>678</w:t>
      </w:r>
      <w:r>
        <w:t> </w:t>
      </w:r>
      <w:r w:rsidR="00F4407E" w:rsidRPr="00E851CC">
        <w:t>500</w:t>
      </w:r>
      <w:r w:rsidRPr="005B0EA6">
        <w:t xml:space="preserve"> </w:t>
      </w:r>
      <w:r w:rsidRPr="00E851CC">
        <w:t>CHF</w:t>
      </w:r>
      <w:r w:rsidR="00F4407E" w:rsidRPr="00E851CC">
        <w:t>)</w:t>
      </w:r>
      <w:r w:rsidR="00F4407E">
        <w:t>, ce qui représente environ</w:t>
      </w:r>
      <w:r w:rsidR="00F4407E" w:rsidRPr="00E851CC">
        <w:t xml:space="preserve"> 1 %</w:t>
      </w:r>
      <w:r w:rsidR="00F4407E">
        <w:t xml:space="preserve"> des dépenses de personnel de l’UIT.</w:t>
      </w:r>
    </w:p>
    <w:p w:rsidR="00F4407E" w:rsidRPr="004A6961" w:rsidRDefault="0079047F" w:rsidP="002C384E">
      <w:r>
        <w:t>20</w:t>
      </w:r>
      <w:r>
        <w:tab/>
      </w:r>
      <w:r w:rsidR="00F4407E" w:rsidRPr="00E851CC">
        <w:t>L’Unité de l’audit interne a conclu que la politique actuellement en vigueur au sein de l’</w:t>
      </w:r>
      <w:r w:rsidR="00F4407E">
        <w:t>U</w:t>
      </w:r>
      <w:r w:rsidR="00F4407E" w:rsidRPr="00E851CC">
        <w:t>nion est obsolète</w:t>
      </w:r>
      <w:r w:rsidR="00F4407E">
        <w:t xml:space="preserve"> et ne donne pas des orientations claires aux fonctionnaires et à la direction</w:t>
      </w:r>
      <w:r w:rsidR="00F4407E" w:rsidRPr="00E851CC">
        <w:t xml:space="preserve">. Il a été recommandé d’adopter officiellement une politique et une procédure associée pour tous les processus liés à l’apprentissage, à la formation professionnelle </w:t>
      </w:r>
      <w:r w:rsidR="00F4407E">
        <w:t xml:space="preserve">et </w:t>
      </w:r>
      <w:r>
        <w:t>à la formation continue</w:t>
      </w:r>
      <w:r w:rsidR="00F4407E">
        <w:t xml:space="preserve">. </w:t>
      </w:r>
      <w:r w:rsidR="00F4407E" w:rsidRPr="00E851CC">
        <w:t xml:space="preserve">Le Département de la gestion des ressources humaines et d’autres départements </w:t>
      </w:r>
      <w:proofErr w:type="gramStart"/>
      <w:r w:rsidR="00F4407E" w:rsidRPr="00E851CC">
        <w:t>ont</w:t>
      </w:r>
      <w:proofErr w:type="gramEnd"/>
      <w:r w:rsidR="00F4407E" w:rsidRPr="00E851CC">
        <w:t xml:space="preserve"> souscrit à cette recommandation. </w:t>
      </w:r>
      <w:r w:rsidR="00F4407E" w:rsidRPr="00542859">
        <w:t xml:space="preserve">La gestion du budget alloué à la formation professionnelle est adéquate mais </w:t>
      </w:r>
      <w:r w:rsidR="002C384E">
        <w:t>ce dernier</w:t>
      </w:r>
      <w:r>
        <w:t xml:space="preserve"> n'est pas </w:t>
      </w:r>
      <w:r w:rsidR="00F4407E" w:rsidRPr="00542859">
        <w:t>fonction des besoins</w:t>
      </w:r>
      <w:r w:rsidR="00F4407E">
        <w:t xml:space="preserve">. </w:t>
      </w:r>
      <w:r w:rsidR="00F4407E" w:rsidRPr="00542859">
        <w:t xml:space="preserve">Il a donc été recommandé de procéder à une analyse des carences au niveau des qualifications et des compétences </w:t>
      </w:r>
      <w:r w:rsidR="00F4407E">
        <w:t>afin de définir les programmes d’apprentissage pour le moyen terme et de déterminer les niveaux de ressources correspondants. L</w:t>
      </w:r>
      <w:r>
        <w:t>a</w:t>
      </w:r>
      <w:r w:rsidR="00F4407E">
        <w:t xml:space="preserve"> planification, </w:t>
      </w:r>
      <w:r>
        <w:t>l</w:t>
      </w:r>
      <w:r w:rsidR="00F4407E">
        <w:t>’information et</w:t>
      </w:r>
      <w:r>
        <w:t xml:space="preserve"> le processus</w:t>
      </w:r>
      <w:r w:rsidR="00F4407E">
        <w:t xml:space="preserve"> d’établissement de rapports ne sont pas optimaux et ne sont pas suffisamment coordonnés. Il a donc été recommandé que les Bureaux/Départements soumettent chaque année des évaluations de leurs besoins à l’aide d’un gabarit qui sera élaboré par le Département de la gestion des ressources humaines</w:t>
      </w:r>
      <w:r>
        <w:t>,</w:t>
      </w:r>
      <w:r w:rsidR="00F4407E">
        <w:t xml:space="preserve"> rendent compte chaque année de leurs activités en matière de formation professionnelle en utilisant un gabarit qui lui aussi sera élaboré par le Département de la gestion des ressources humaines</w:t>
      </w:r>
      <w:r>
        <w:t xml:space="preserve"> et que</w:t>
      </w:r>
      <w:r w:rsidR="00F4407E">
        <w:t xml:space="preserve"> </w:t>
      </w:r>
      <w:r>
        <w:t>l</w:t>
      </w:r>
      <w:r w:rsidR="00F4407E">
        <w:t xml:space="preserve">’exercice de mise en concordance des données financières concernant la formation et des données concernant les profils de formation </w:t>
      </w:r>
      <w:r>
        <w:t>soit</w:t>
      </w:r>
      <w:r w:rsidR="00F4407E">
        <w:t xml:space="preserve"> facilité </w:t>
      </w:r>
      <w:r>
        <w:t>grâce à</w:t>
      </w:r>
      <w:r w:rsidR="00F4407E">
        <w:t xml:space="preserve"> un outil d’automatisation</w:t>
      </w:r>
      <w:r w:rsidR="00F4407E" w:rsidRPr="00542859">
        <w:t xml:space="preserve">. </w:t>
      </w:r>
      <w:r w:rsidR="00F4407E">
        <w:t xml:space="preserve">La plupart des Bureaux/Départements et le Département de la gestion des ressources humaines ont souscrit à ces recommandations. </w:t>
      </w:r>
      <w:r w:rsidR="00F4407E" w:rsidRPr="00542859">
        <w:t xml:space="preserve">Pour ce qui est des coordonnateurs des ressources humaines </w:t>
      </w:r>
      <w:r w:rsidR="00F4407E">
        <w:t xml:space="preserve">au sein des Bureaux/Départements, la rotation des effectifs expose l’Union au risque d’une rupture au niveau des responsabilités. </w:t>
      </w:r>
      <w:r w:rsidR="00F4407E" w:rsidRPr="004A6961">
        <w:t xml:space="preserve">Il a été recommandé </w:t>
      </w:r>
      <w:r>
        <w:t>de conserver</w:t>
      </w:r>
      <w:r w:rsidR="00F4407E" w:rsidRPr="004A6961">
        <w:t xml:space="preserve"> les responsabilités des coordonnateurs des ressources humaines</w:t>
      </w:r>
      <w:r w:rsidR="00F4407E">
        <w:t xml:space="preserve"> (au niveau central).</w:t>
      </w:r>
      <w:r w:rsidR="00F4407E" w:rsidRPr="004A6961">
        <w:t xml:space="preserve"> </w:t>
      </w:r>
    </w:p>
    <w:p w:rsidR="00F4407E" w:rsidRPr="004A6961" w:rsidRDefault="0079047F" w:rsidP="0079047F">
      <w:r>
        <w:t>21</w:t>
      </w:r>
      <w:r>
        <w:tab/>
        <w:t>Globalement</w:t>
      </w:r>
      <w:r w:rsidR="00F4407E" w:rsidRPr="004A6961">
        <w:t>, l’Unité de l’audit interne est d’avis que les processus</w:t>
      </w:r>
      <w:r w:rsidRPr="0079047F">
        <w:t xml:space="preserve"> </w:t>
      </w:r>
      <w:r>
        <w:t>de</w:t>
      </w:r>
      <w:r w:rsidRPr="004A6961">
        <w:t xml:space="preserve"> gouvernance</w:t>
      </w:r>
      <w:r>
        <w:t xml:space="preserve"> et</w:t>
      </w:r>
      <w:r w:rsidR="00F4407E" w:rsidRPr="004A6961">
        <w:t xml:space="preserve"> de gestion des risques </w:t>
      </w:r>
      <w:r>
        <w:t>ainsi que</w:t>
      </w:r>
      <w:r w:rsidR="00F4407E" w:rsidRPr="004A6961">
        <w:t xml:space="preserve"> les contrôles internes </w:t>
      </w:r>
      <w:r w:rsidR="00F4407E">
        <w:t xml:space="preserve">ne sont pas suffisants et pas assez efficaces. </w:t>
      </w:r>
      <w:r w:rsidR="00F4407E" w:rsidRPr="004A6961">
        <w:lastRenderedPageBreak/>
        <w:t xml:space="preserve">Des améliorations devraient être apportées dans </w:t>
      </w:r>
      <w:r w:rsidR="00F4407E">
        <w:t xml:space="preserve">les domaines des politiques, des procédures, de la planification et de l’établissement des rapports. </w:t>
      </w:r>
      <w:r w:rsidR="00F4407E" w:rsidRPr="004A6961">
        <w:t>Les transactions sont toutefois conformes aux procédures existantes et à la pratique établie.</w:t>
      </w:r>
    </w:p>
    <w:p w:rsidR="00F4407E" w:rsidRPr="0079047F" w:rsidRDefault="0079047F" w:rsidP="002C384E">
      <w:pPr>
        <w:pStyle w:val="Headingb"/>
        <w:rPr>
          <w:i/>
          <w:iCs/>
          <w:lang w:val="fr-CH"/>
        </w:rPr>
      </w:pPr>
      <w:r w:rsidRPr="0079047F">
        <w:rPr>
          <w:i/>
          <w:iCs/>
          <w:lang w:val="fr-CH"/>
        </w:rPr>
        <w:t>F</w:t>
      </w:r>
      <w:r w:rsidRPr="0079047F">
        <w:rPr>
          <w:i/>
          <w:iCs/>
          <w:lang w:val="fr-CH"/>
        </w:rPr>
        <w:tab/>
      </w:r>
      <w:r w:rsidR="002C384E">
        <w:rPr>
          <w:i/>
          <w:iCs/>
          <w:lang w:val="fr-CH"/>
        </w:rPr>
        <w:t xml:space="preserve">Audit des contrats ainsi que </w:t>
      </w:r>
      <w:r w:rsidR="000B228D" w:rsidRPr="0079047F">
        <w:rPr>
          <w:i/>
          <w:iCs/>
          <w:lang w:val="fr-CH"/>
        </w:rPr>
        <w:t>des services</w:t>
      </w:r>
      <w:r w:rsidR="00F4407E" w:rsidRPr="0079047F">
        <w:rPr>
          <w:i/>
          <w:iCs/>
          <w:lang w:val="fr-CH"/>
        </w:rPr>
        <w:t xml:space="preserve"> </w:t>
      </w:r>
      <w:r w:rsidR="002C384E">
        <w:rPr>
          <w:i/>
          <w:iCs/>
          <w:lang w:val="fr-CH"/>
        </w:rPr>
        <w:t xml:space="preserve"> de location et </w:t>
      </w:r>
      <w:r w:rsidR="00F4407E" w:rsidRPr="0079047F">
        <w:rPr>
          <w:i/>
          <w:iCs/>
          <w:lang w:val="fr-CH"/>
        </w:rPr>
        <w:t xml:space="preserve">de maintenance pour les équipements informatiques </w:t>
      </w:r>
    </w:p>
    <w:p w:rsidR="00F4407E" w:rsidRPr="008224BE" w:rsidRDefault="000B228D" w:rsidP="002C384E">
      <w:r>
        <w:t>22</w:t>
      </w:r>
      <w:r>
        <w:tab/>
      </w:r>
      <w:r w:rsidR="00F4407E" w:rsidRPr="004A6961">
        <w:t>L’Unité de l’audit interne a procédé à un examen des contrats</w:t>
      </w:r>
      <w:r w:rsidR="002C384E">
        <w:t xml:space="preserve"> ainsi que des services de location</w:t>
      </w:r>
      <w:r w:rsidR="00F4407E" w:rsidRPr="004A6961">
        <w:t xml:space="preserve"> </w:t>
      </w:r>
      <w:r>
        <w:t>de</w:t>
      </w:r>
      <w:r w:rsidR="00F4407E" w:rsidRPr="0008729A">
        <w:t xml:space="preserve"> maintenance pour les équipements informatiques </w:t>
      </w:r>
      <w:r w:rsidR="00F4407E">
        <w:t>pour la période allant de 2013 à 2015</w:t>
      </w:r>
      <w:r w:rsidR="00F4407E" w:rsidRPr="004A6961">
        <w:t>. Les object</w:t>
      </w:r>
      <w:r>
        <w:t>ifs de cet audit ont été les suivants</w:t>
      </w:r>
      <w:r w:rsidR="00F4407E" w:rsidRPr="004A6961">
        <w:t>: (i) évaluer l’adéquation des politiques régissant les contrats</w:t>
      </w:r>
      <w:r w:rsidR="00F4407E">
        <w:t>,</w:t>
      </w:r>
      <w:r w:rsidR="002C384E">
        <w:t xml:space="preserve"> les services de</w:t>
      </w:r>
      <w:r w:rsidR="00F4407E" w:rsidRPr="0008729A">
        <w:t xml:space="preserve"> location et de maintenance pour les équipements informatiques</w:t>
      </w:r>
      <w:r w:rsidR="00F4407E" w:rsidRPr="004A6961">
        <w:t xml:space="preserve"> ainsi que leur fiabilité </w:t>
      </w:r>
      <w:r>
        <w:t>pour ce qui est de</w:t>
      </w:r>
      <w:r w:rsidR="00F4407E" w:rsidRPr="004A6961">
        <w:t xml:space="preserve"> la sauvegarde des biens de l’Union; (ii) </w:t>
      </w:r>
      <w:r w:rsidR="00F4407E">
        <w:t xml:space="preserve">évaluer l’efficacité et l’utilisation économique des ressources pour les </w:t>
      </w:r>
      <w:r w:rsidR="00F4407E" w:rsidRPr="004A6961">
        <w:t>contrats</w:t>
      </w:r>
      <w:r w:rsidR="00F4407E">
        <w:t>,</w:t>
      </w:r>
      <w:r w:rsidR="00F4407E" w:rsidRPr="004A6961">
        <w:t xml:space="preserve"> </w:t>
      </w:r>
      <w:r>
        <w:t>les</w:t>
      </w:r>
      <w:r w:rsidRPr="0008729A">
        <w:t xml:space="preserve"> services</w:t>
      </w:r>
      <w:r w:rsidR="00F4407E" w:rsidRPr="0008729A">
        <w:t xml:space="preserve"> de </w:t>
      </w:r>
      <w:r w:rsidR="002C384E">
        <w:t xml:space="preserve">location et de </w:t>
      </w:r>
      <w:r w:rsidR="00F4407E" w:rsidRPr="0008729A">
        <w:t>maintenance pour les équipements informatiques</w:t>
      </w:r>
      <w:r w:rsidR="00F4407E" w:rsidRPr="004A6961">
        <w:t xml:space="preserve">; (iii) </w:t>
      </w:r>
      <w:r w:rsidR="00F4407E">
        <w:t>évaluer la fiabilité de</w:t>
      </w:r>
      <w:r>
        <w:t>s</w:t>
      </w:r>
      <w:r w:rsidR="00F4407E">
        <w:t xml:space="preserve"> rapports</w:t>
      </w:r>
      <w:r>
        <w:t xml:space="preserve"> établis</w:t>
      </w:r>
      <w:r w:rsidR="00F4407E">
        <w:t xml:space="preserve"> concernant les </w:t>
      </w:r>
      <w:r w:rsidR="00F4407E" w:rsidRPr="004A6961">
        <w:t>contrats</w:t>
      </w:r>
      <w:r w:rsidR="002C384E">
        <w:t>,</w:t>
      </w:r>
      <w:r w:rsidRPr="000B228D">
        <w:t xml:space="preserve"> </w:t>
      </w:r>
      <w:r>
        <w:t>les</w:t>
      </w:r>
      <w:r w:rsidRPr="0008729A">
        <w:t xml:space="preserve"> services</w:t>
      </w:r>
      <w:r w:rsidR="002C384E">
        <w:t xml:space="preserve"> de location et</w:t>
      </w:r>
      <w:r w:rsidR="00F4407E" w:rsidRPr="0008729A">
        <w:t xml:space="preserve"> de maintenance pour les équipements informatiques</w:t>
      </w:r>
      <w:r w:rsidR="00F4407E" w:rsidRPr="004A6961">
        <w:t xml:space="preserve">; (iv) </w:t>
      </w:r>
      <w:r w:rsidR="00F4407E">
        <w:t xml:space="preserve">évaluer l’efficacité des contrôles et la conformité des </w:t>
      </w:r>
      <w:r w:rsidR="00F4407E" w:rsidRPr="004A6961">
        <w:t>contrats</w:t>
      </w:r>
      <w:r w:rsidR="00F4407E">
        <w:t>,</w:t>
      </w:r>
      <w:r w:rsidR="002C384E">
        <w:t xml:space="preserve"> d</w:t>
      </w:r>
      <w:r w:rsidR="00F4407E">
        <w:t>es</w:t>
      </w:r>
      <w:r w:rsidR="00F4407E" w:rsidRPr="0008729A">
        <w:t xml:space="preserve"> services de location et de maintenance pour les équipements informatiques</w:t>
      </w:r>
      <w:r w:rsidR="00F4407E">
        <w:t xml:space="preserve"> </w:t>
      </w:r>
      <w:r w:rsidR="002C384E">
        <w:t>avec</w:t>
      </w:r>
      <w:r>
        <w:t xml:space="preserve"> politiques applicables</w:t>
      </w:r>
      <w:r w:rsidR="00F4407E" w:rsidRPr="004A6961">
        <w:t xml:space="preserve">; </w:t>
      </w:r>
      <w:r w:rsidR="00F4407E">
        <w:t>et</w:t>
      </w:r>
      <w:r w:rsidR="00F4407E" w:rsidRPr="004A6961">
        <w:t xml:space="preserve"> (v) </w:t>
      </w:r>
      <w:r w:rsidR="00F4407E">
        <w:t>évaluer le suivi des relations avec les tiers</w:t>
      </w:r>
      <w:r w:rsidR="00F4407E" w:rsidRPr="004A6961">
        <w:t xml:space="preserve">. </w:t>
      </w:r>
      <w:r w:rsidR="00F4407E" w:rsidRPr="008224BE">
        <w:t xml:space="preserve">D’une façon générale, on a constaté </w:t>
      </w:r>
      <w:r w:rsidR="00F4407E">
        <w:t>que les problèmes, pour un grand nombre d’entre eux</w:t>
      </w:r>
      <w:r w:rsidR="00F4407E" w:rsidRPr="008224BE">
        <w:t xml:space="preserve"> étaient plus vastes et ne concernai</w:t>
      </w:r>
      <w:r w:rsidR="00F4407E">
        <w:t>en</w:t>
      </w:r>
      <w:r w:rsidR="00F4407E" w:rsidRPr="008224BE">
        <w:t>t pas spécifiquement</w:t>
      </w:r>
      <w:r w:rsidR="00F4407E">
        <w:t xml:space="preserve"> les contrats,</w:t>
      </w:r>
      <w:r w:rsidR="00F4407E" w:rsidRPr="004A6961">
        <w:t xml:space="preserve"> </w:t>
      </w:r>
      <w:r>
        <w:t>la</w:t>
      </w:r>
      <w:r w:rsidR="00F4407E" w:rsidRPr="0008729A">
        <w:t xml:space="preserve"> location et</w:t>
      </w:r>
      <w:r w:rsidRPr="000B228D">
        <w:t xml:space="preserve"> </w:t>
      </w:r>
      <w:r>
        <w:t>les</w:t>
      </w:r>
      <w:r w:rsidRPr="0008729A">
        <w:t xml:space="preserve"> services</w:t>
      </w:r>
      <w:r w:rsidR="00F4407E" w:rsidRPr="0008729A">
        <w:t xml:space="preserve"> de maintenance pour les équipements informatiques</w:t>
      </w:r>
      <w:r w:rsidR="00F4407E" w:rsidRPr="008224BE">
        <w:t>.</w:t>
      </w:r>
    </w:p>
    <w:p w:rsidR="00F4407E" w:rsidRPr="005B597C" w:rsidRDefault="000B228D" w:rsidP="002C384E">
      <w:r>
        <w:t>23</w:t>
      </w:r>
      <w:r>
        <w:tab/>
      </w:r>
      <w:r w:rsidR="00F4407E" w:rsidRPr="008224BE">
        <w:t xml:space="preserve">L’Unité de l’audit interne a conclu que les politiques actuellement en place qui régissent </w:t>
      </w:r>
      <w:r w:rsidR="00F4407E">
        <w:t>la passation de</w:t>
      </w:r>
      <w:r w:rsidR="00F4407E" w:rsidRPr="008224BE">
        <w:t xml:space="preserve"> </w:t>
      </w:r>
      <w:r w:rsidR="00F4407E">
        <w:t>marché</w:t>
      </w:r>
      <w:r w:rsidR="00F4407E" w:rsidRPr="008224BE">
        <w:t>s</w:t>
      </w:r>
      <w:r w:rsidR="00F4407E">
        <w:t xml:space="preserve"> (contrats,</w:t>
      </w:r>
      <w:r w:rsidR="00F4407E" w:rsidRPr="0008729A">
        <w:t xml:space="preserve"> </w:t>
      </w:r>
      <w:r w:rsidRPr="0008729A">
        <w:t xml:space="preserve">services </w:t>
      </w:r>
      <w:r w:rsidR="002C384E">
        <w:t xml:space="preserve">de location et </w:t>
      </w:r>
      <w:r w:rsidR="00F4407E" w:rsidRPr="0008729A">
        <w:t>de maintenance pour les équipements informatiques</w:t>
      </w:r>
      <w:r w:rsidR="00F4407E">
        <w:t>)</w:t>
      </w:r>
      <w:r w:rsidR="00F4407E" w:rsidRPr="008224BE">
        <w:t xml:space="preserve"> </w:t>
      </w:r>
      <w:r w:rsidR="00F4407E">
        <w:t xml:space="preserve">sont jugées insuffisantes même si l’Unité des affaires juridiques </w:t>
      </w:r>
      <w:r w:rsidR="00F4407E" w:rsidRPr="008224BE">
        <w:t xml:space="preserve">(LAU) </w:t>
      </w:r>
      <w:r w:rsidR="00F4407E">
        <w:t xml:space="preserve">considère que l’interprétation de l’Unité de l’audit interne est en partie incorrecte. </w:t>
      </w:r>
      <w:r w:rsidR="00F4407E" w:rsidRPr="004D26D6">
        <w:t xml:space="preserve">Il a été recommandé de revoir l’Ordre de service </w:t>
      </w:r>
      <w:r>
        <w:t>relatif aux</w:t>
      </w:r>
      <w:r w:rsidR="00F4407E" w:rsidRPr="004D26D6">
        <w:t xml:space="preserve"> règles et procédures en matière de passation des marchés </w:t>
      </w:r>
      <w:r w:rsidR="00F4407E">
        <w:t xml:space="preserve">dans un délai raisonnable (par exemple </w:t>
      </w:r>
      <w:r>
        <w:t xml:space="preserve">d'ici </w:t>
      </w:r>
      <w:r w:rsidR="00F4407E">
        <w:t>un an). L’Unité des affaires juridiques et le Département de la gestion des ressources humaines ont indiqué que la révision de cet ordre de service e</w:t>
      </w:r>
      <w:r>
        <w:t>s</w:t>
      </w:r>
      <w:r w:rsidR="00F4407E">
        <w:t xml:space="preserve">t déjà en cours. </w:t>
      </w:r>
      <w:r w:rsidR="00F4407E" w:rsidRPr="004D26D6">
        <w:t xml:space="preserve">Il y a un risque que l’efficacité et l’économie dans l’utilisation des ressources </w:t>
      </w:r>
      <w:r w:rsidR="00F4407E">
        <w:t>(pour les contrats relatifs aux équipements informatiques, la location et la maintenance) ne soient pas optimales</w:t>
      </w:r>
      <w:r w:rsidR="00F4407E" w:rsidRPr="004D26D6">
        <w:t xml:space="preserve">. Il a été recommandé d’accélérer l’élaboration d’un Manuel de l’UIT sur la passation des marchés précisant, entre autres choses, </w:t>
      </w:r>
      <w:r w:rsidR="00F4407E">
        <w:t xml:space="preserve">les méthodes applicables en la matière, les processus en jeu et les seuils applicables etc. </w:t>
      </w:r>
      <w:r w:rsidR="00F4407E" w:rsidRPr="004D26D6">
        <w:t xml:space="preserve">L’Unité des affaires juridiques et le Département de la gestion des ressources financières </w:t>
      </w:r>
      <w:r w:rsidR="00F4407E">
        <w:t xml:space="preserve">ont indiqué que le Manuel sur la passation des marchés serait publié en 2017 après consultation de la Commission des marchés. Il y a </w:t>
      </w:r>
      <w:r w:rsidR="002C384E">
        <w:t xml:space="preserve">un </w:t>
      </w:r>
      <w:r w:rsidR="00F4407E">
        <w:t xml:space="preserve">risque que la gestion de la relation avec les tiers (y compris la gestion des comptes vendeurs) ne soit pas adéquate et/ou optimale. </w:t>
      </w:r>
      <w:r w:rsidR="00F4407E" w:rsidRPr="00380D9A">
        <w:t xml:space="preserve">Il a été recommandé de proposer un mécanisme permettant d’établir un lien entre les données </w:t>
      </w:r>
      <w:r w:rsidR="00F4407E">
        <w:t>fournisseur</w:t>
      </w:r>
      <w:r w:rsidR="00F4407E" w:rsidRPr="00380D9A">
        <w:t xml:space="preserve"> ERP </w:t>
      </w:r>
      <w:r w:rsidR="00F4407E">
        <w:t xml:space="preserve">et les données </w:t>
      </w:r>
      <w:r w:rsidR="00F4407E" w:rsidRPr="00380D9A">
        <w:t>CRM</w:t>
      </w:r>
      <w:r w:rsidR="00F4407E">
        <w:t xml:space="preserve"> au Département de la gestion des ressources financières </w:t>
      </w:r>
      <w:r w:rsidR="00F4407E" w:rsidRPr="00380D9A">
        <w:t xml:space="preserve">(PROC) </w:t>
      </w:r>
      <w:r w:rsidR="00F4407E">
        <w:t>et à la Division des relations avec les membres et les partenaires au sein de</w:t>
      </w:r>
      <w:r w:rsidR="00F4407E" w:rsidRPr="00380D9A">
        <w:t xml:space="preserve"> SPM. Il a également été recommandé de mettre en place un mécanisme permettant au</w:t>
      </w:r>
      <w:r w:rsidR="00F4407E">
        <w:t>x</w:t>
      </w:r>
      <w:r w:rsidR="00F4407E" w:rsidRPr="00380D9A">
        <w:t xml:space="preserve"> </w:t>
      </w:r>
      <w:r w:rsidR="00F4407E">
        <w:t>Membres de Secteur de s’informer sur les possibilités de passation de marché</w:t>
      </w:r>
      <w:r w:rsidR="002C384E">
        <w:t>s</w:t>
      </w:r>
      <w:r w:rsidR="00F4407E">
        <w:t xml:space="preserve"> à l’UIT. </w:t>
      </w:r>
      <w:r w:rsidR="00F4407E" w:rsidRPr="00380D9A">
        <w:t xml:space="preserve">Ces recommandations ont été acceptées par les responsables concernés. Il y a </w:t>
      </w:r>
      <w:r w:rsidR="00F4407E">
        <w:t xml:space="preserve">un </w:t>
      </w:r>
      <w:r w:rsidR="00F4407E" w:rsidRPr="00380D9A">
        <w:t xml:space="preserve">risque que l’enregistrement des contrats relatifs aux systèmes informatiques </w:t>
      </w:r>
      <w:r w:rsidR="00F4407E">
        <w:t>et l’</w:t>
      </w:r>
      <w:r w:rsidR="00F4407E" w:rsidRPr="00380D9A">
        <w:t>établissement de rapports</w:t>
      </w:r>
      <w:r w:rsidR="00F4407E">
        <w:t xml:space="preserve"> au sujet de ces contrats ne soient pas adéquats. </w:t>
      </w:r>
      <w:r w:rsidR="00F4407E" w:rsidRPr="00380D9A">
        <w:t>Il a été recommandé de procéder à un examen sur la façon dont la fonction</w:t>
      </w:r>
      <w:r w:rsidR="00F4407E">
        <w:t xml:space="preserve"> de gestion des contrats dans</w:t>
      </w:r>
      <w:r w:rsidR="00F4407E" w:rsidRPr="00380D9A">
        <w:t xml:space="preserve"> </w:t>
      </w:r>
      <w:r w:rsidR="002C384E">
        <w:t xml:space="preserve">le système </w:t>
      </w:r>
      <w:r w:rsidR="00F4407E" w:rsidRPr="00380D9A">
        <w:t>SAP peut être utilisée et de réfléchir à la création d’une base de données sur les contrats</w:t>
      </w:r>
      <w:r w:rsidR="00F4407E">
        <w:t xml:space="preserve"> au sein d</w:t>
      </w:r>
      <w:r w:rsidR="002C384E">
        <w:t>u système</w:t>
      </w:r>
      <w:r w:rsidR="00F4407E" w:rsidRPr="00380D9A">
        <w:t xml:space="preserve"> SAP. Le Département de la gestion des ressources financières a souscrit à cette recommandation</w:t>
      </w:r>
      <w:r w:rsidR="00F4407E">
        <w:t xml:space="preserve">, tout en précisant que la base de données peut être créée </w:t>
      </w:r>
      <w:r>
        <w:t>en dehors</w:t>
      </w:r>
      <w:r w:rsidR="00F4407E">
        <w:t xml:space="preserve"> </w:t>
      </w:r>
      <w:r w:rsidR="002C384E">
        <w:t>du système</w:t>
      </w:r>
      <w:r w:rsidR="00F4407E" w:rsidRPr="00380D9A">
        <w:t xml:space="preserve"> SAP. </w:t>
      </w:r>
      <w:r w:rsidR="00F4407E">
        <w:t>Le D</w:t>
      </w:r>
      <w:r w:rsidR="00F4407E" w:rsidRPr="00583E9D">
        <w:t xml:space="preserve">épartement des </w:t>
      </w:r>
      <w:r w:rsidR="00F4407E" w:rsidRPr="00583E9D">
        <w:lastRenderedPageBreak/>
        <w:t xml:space="preserve">services informatiques a lui aussi </w:t>
      </w:r>
      <w:r w:rsidR="00F4407E">
        <w:t>donné son accord</w:t>
      </w:r>
      <w:r w:rsidR="00F4407E" w:rsidRPr="00583E9D">
        <w:t xml:space="preserve"> et précisé en outre qu’il serait peut-être plus constructif</w:t>
      </w:r>
      <w:r w:rsidR="00F4407E">
        <w:t xml:space="preserve"> d’ajouter au répertoire central des contrats, accords, mémorandum</w:t>
      </w:r>
      <w:r>
        <w:t>s</w:t>
      </w:r>
      <w:r w:rsidR="00F4407E">
        <w:t xml:space="preserve"> d’accord etc. </w:t>
      </w:r>
      <w:r w:rsidR="00F4407E" w:rsidRPr="00583E9D">
        <w:t>(que l’Unité des affaires juridiques tient déjà à jour) une fonctionnalité</w:t>
      </w:r>
      <w:r w:rsidR="00F4407E">
        <w:t xml:space="preserve"> qui serait utile à</w:t>
      </w:r>
      <w:r w:rsidR="00F4407E" w:rsidRPr="00583E9D">
        <w:t xml:space="preserve"> PROC </w:t>
      </w:r>
      <w:r w:rsidR="00F4407E">
        <w:t>pour la gestion des contrats et qui servirait d’outil de référence pour les services</w:t>
      </w:r>
      <w:r w:rsidR="00C93F5D">
        <w:t xml:space="preserve"> demandeurs</w:t>
      </w:r>
      <w:r w:rsidR="00F4407E">
        <w:t xml:space="preserve">, par exemple le Département des services informatiques. </w:t>
      </w:r>
      <w:r w:rsidR="00F4407E" w:rsidRPr="00583E9D">
        <w:t xml:space="preserve">Les privilèges d’accès seraient accordés en fonction </w:t>
      </w:r>
      <w:r w:rsidR="00F4407E">
        <w:t xml:space="preserve">des rôles et des responsabilités sur le plan administratif. </w:t>
      </w:r>
      <w:r w:rsidR="00F4407E" w:rsidRPr="00583E9D">
        <w:t>Les politiques en place sont, en règle générale</w:t>
      </w:r>
      <w:r w:rsidR="00F4407E">
        <w:t xml:space="preserve">, respectées et les contrôles ont été jugés efficaces. </w:t>
      </w:r>
      <w:r w:rsidR="00F4407E" w:rsidRPr="00583E9D">
        <w:t>L’Unité de l’audit interne n’a pas formulé d’aut</w:t>
      </w:r>
      <w:r w:rsidR="00F4407E">
        <w:t>res recommandations à cet effet</w:t>
      </w:r>
      <w:r w:rsidR="00F4407E" w:rsidRPr="005B597C">
        <w:t>.</w:t>
      </w:r>
    </w:p>
    <w:p w:rsidR="00F4407E" w:rsidRPr="00EE490A" w:rsidRDefault="00F16BEC" w:rsidP="00F16BEC">
      <w:r>
        <w:t>24</w:t>
      </w:r>
      <w:r>
        <w:tab/>
        <w:t>Globalement</w:t>
      </w:r>
      <w:r w:rsidR="00F4407E" w:rsidRPr="002F4F7D">
        <w:t>, l’Unité de l’audit interne est d’avis que les processus</w:t>
      </w:r>
      <w:r w:rsidRPr="00F16BEC">
        <w:t xml:space="preserve"> </w:t>
      </w:r>
      <w:r>
        <w:t>de</w:t>
      </w:r>
      <w:r w:rsidRPr="002F4F7D">
        <w:t xml:space="preserve"> gouvernance</w:t>
      </w:r>
      <w:r>
        <w:t xml:space="preserve"> et</w:t>
      </w:r>
      <w:r w:rsidR="00F4407E" w:rsidRPr="002F4F7D">
        <w:t xml:space="preserve"> de gestion des risques et les contrôles internes</w:t>
      </w:r>
      <w:r w:rsidR="00F4407E">
        <w:t xml:space="preserve"> ne sont pas suffisamment</w:t>
      </w:r>
      <w:r>
        <w:t xml:space="preserve"> adéquats et</w:t>
      </w:r>
      <w:r w:rsidR="00F4407E">
        <w:t xml:space="preserve"> efficaces. </w:t>
      </w:r>
      <w:r w:rsidR="00F4407E" w:rsidRPr="002F4F7D">
        <w:t>Des améliorations devraient être apportées dans les domaines des politiques, des procédures,</w:t>
      </w:r>
      <w:r w:rsidR="00F4407E">
        <w:t xml:space="preserve"> de l’utilisation efficace/efficiente des ressources et de l’établissement des rapports. </w:t>
      </w:r>
      <w:r w:rsidR="00F4407E" w:rsidRPr="002F4F7D">
        <w:t>Cependant, les transactions sont suffisamment conformes aux procédures en place et à la pratique établie.</w:t>
      </w:r>
      <w:r w:rsidR="00F4407E" w:rsidRPr="00EE490A">
        <w:t xml:space="preserve"> </w:t>
      </w:r>
      <w:r w:rsidR="00F4407E">
        <w:t>S’il est remédié</w:t>
      </w:r>
      <w:r w:rsidR="00F4407E" w:rsidRPr="00EE490A">
        <w:t xml:space="preserve"> aux carences susmentionnées, une assurance raisonnable pourrait être donnée au Secrétaire général </w:t>
      </w:r>
      <w:r w:rsidR="00F4407E">
        <w:t>que la gouvernance et la gestion des risques sont adéquats et que les contrôles sont efficaces pour ce qui est des contrats, ainsi que des services de location et de maintenance relatif</w:t>
      </w:r>
      <w:r>
        <w:t>s aux équipements informatiques.</w:t>
      </w:r>
    </w:p>
    <w:p w:rsidR="00F4407E" w:rsidRPr="00A01B11" w:rsidRDefault="00F4407E" w:rsidP="00F16BEC">
      <w:pPr>
        <w:pStyle w:val="Headingb"/>
        <w:rPr>
          <w:lang w:val="fr-CH"/>
        </w:rPr>
      </w:pPr>
      <w:r w:rsidRPr="00A01B11">
        <w:rPr>
          <w:lang w:val="fr-CH"/>
        </w:rPr>
        <w:t xml:space="preserve">Mise en œuvre des </w:t>
      </w:r>
      <w:r>
        <w:rPr>
          <w:lang w:val="fr-CH"/>
        </w:rPr>
        <w:t xml:space="preserve">recommandations du CCIG relatives à l’audit interne </w:t>
      </w:r>
    </w:p>
    <w:p w:rsidR="00F4407E" w:rsidRPr="008F2CF5" w:rsidRDefault="00F16BEC" w:rsidP="00F16BEC">
      <w:r>
        <w:t>25</w:t>
      </w:r>
      <w:r>
        <w:tab/>
      </w:r>
      <w:r w:rsidR="00F4407E" w:rsidRPr="008809A5">
        <w:t xml:space="preserve">Le CCIG </w:t>
      </w:r>
      <w:r>
        <w:t>a</w:t>
      </w:r>
      <w:r w:rsidR="00F4407E" w:rsidRPr="008809A5">
        <w:t xml:space="preserve"> suivi de manière régulière la suite donnée aux recommandations relatives à la fonction d’audit interne et a rendu compte des progrès</w:t>
      </w:r>
      <w:r w:rsidR="00F4407E">
        <w:t xml:space="preserve"> accomplis dans le rapport qu’il a soumis au Secrétaire général ainsi que dans</w:t>
      </w:r>
      <w:r>
        <w:t xml:space="preserve"> son rapport annuel au Conseil.</w:t>
      </w:r>
      <w:r w:rsidR="00F4407E">
        <w:t xml:space="preserve"> </w:t>
      </w:r>
      <w:r>
        <w:t>A</w:t>
      </w:r>
      <w:r w:rsidR="00F4407E" w:rsidRPr="008809A5">
        <w:t xml:space="preserve"> cet égard, l’Unité de l’audit interne a examiné toutes les recommandations du</w:t>
      </w:r>
      <w:r w:rsidR="00F4407E">
        <w:t xml:space="preserve"> </w:t>
      </w:r>
      <w:r w:rsidR="00F4407E" w:rsidRPr="008809A5">
        <w:t>CC</w:t>
      </w:r>
      <w:r w:rsidR="00F4407E">
        <w:t>IG relatives à l’audit interne.</w:t>
      </w:r>
      <w:r w:rsidR="00F4407E" w:rsidRPr="008F2CF5">
        <w:t xml:space="preserve"> </w:t>
      </w:r>
    </w:p>
    <w:p w:rsidR="00F4407E" w:rsidRPr="008F2CF5" w:rsidRDefault="00F4407E" w:rsidP="00F16BEC">
      <w:r w:rsidRPr="008F2CF5">
        <w:t>Dans l’Addendum 2 de son qu</w:t>
      </w:r>
      <w:r w:rsidR="00F16BEC">
        <w:t xml:space="preserve">atrième rapport au Conseil, le </w:t>
      </w:r>
      <w:r w:rsidRPr="008F2CF5">
        <w:t xml:space="preserve">CCIG a </w:t>
      </w:r>
      <w:r w:rsidR="00F16BEC">
        <w:t>souscrit aux</w:t>
      </w:r>
      <w:r w:rsidRPr="008F2CF5">
        <w:t xml:space="preserve"> conclusions d</w:t>
      </w:r>
      <w:r w:rsidR="00F16BEC">
        <w:t>e</w:t>
      </w:r>
      <w:r w:rsidRPr="008F2CF5">
        <w:t xml:space="preserve"> </w:t>
      </w:r>
      <w:r w:rsidR="00F16BEC">
        <w:t>l'Equipe</w:t>
      </w:r>
      <w:r w:rsidRPr="008F2CF5">
        <w:t xml:space="preserve"> de validation extérieure (figurant dans le </w:t>
      </w:r>
      <w:hyperlink r:id="rId9" w:history="1">
        <w:r w:rsidRPr="00226765">
          <w:rPr>
            <w:rStyle w:val="Hyperlink"/>
            <w:rFonts w:cstheme="minorHAnsi"/>
            <w:szCs w:val="24"/>
          </w:rPr>
          <w:t>Document C15/INF/11</w:t>
        </w:r>
      </w:hyperlink>
      <w:r w:rsidRPr="008F2CF5">
        <w:t>) et recommandé que l’Auditeur interne–</w:t>
      </w:r>
      <w:r w:rsidR="00F16BEC">
        <w:t>par le biais</w:t>
      </w:r>
      <w:r w:rsidRPr="008F2CF5">
        <w:t xml:space="preserve"> du </w:t>
      </w:r>
      <w:r w:rsidR="00F16BEC" w:rsidRPr="008F2CF5">
        <w:t>r</w:t>
      </w:r>
      <w:r w:rsidRPr="008F2CF5">
        <w:t xml:space="preserve">apport annuel </w:t>
      </w:r>
      <w:r>
        <w:t>de l’auditeur interne sur les activités d’audit interne–fa</w:t>
      </w:r>
      <w:r w:rsidR="00F16BEC">
        <w:t>sse</w:t>
      </w:r>
      <w:r>
        <w:t xml:space="preserve"> rapport au Conseil </w:t>
      </w:r>
      <w:r w:rsidR="00F16BEC">
        <w:t>sur les</w:t>
      </w:r>
      <w:r>
        <w:t xml:space="preserve"> mesures prises et </w:t>
      </w:r>
      <w:r w:rsidR="00F16BEC">
        <w:t>les</w:t>
      </w:r>
      <w:r>
        <w:t xml:space="preserve"> progrès réalisés </w:t>
      </w:r>
      <w:r w:rsidR="00F16BEC">
        <w:t>en ce qui concerne</w:t>
      </w:r>
      <w:r>
        <w:t xml:space="preserve"> la mise en </w:t>
      </w:r>
      <w:proofErr w:type="spellStart"/>
      <w:r w:rsidR="00F16BEC">
        <w:t>oeuvre</w:t>
      </w:r>
      <w:proofErr w:type="spellEnd"/>
      <w:r>
        <w:t xml:space="preserve"> de chacune des neuf recommandations figurant dans</w:t>
      </w:r>
      <w:r w:rsidR="00F16BEC">
        <w:t xml:space="preserve"> le rapport sur</w:t>
      </w:r>
      <w:r>
        <w:t xml:space="preserve"> la validation indépendante extérieure de</w:t>
      </w:r>
      <w:r w:rsidR="00F16BEC">
        <w:t>s</w:t>
      </w:r>
      <w:r>
        <w:t xml:space="preserve"> activité</w:t>
      </w:r>
      <w:r w:rsidR="00F16BEC">
        <w:t>s</w:t>
      </w:r>
      <w:r>
        <w:t xml:space="preserve"> d’audit interne à l’UIT. </w:t>
      </w:r>
      <w:r w:rsidRPr="008F2CF5">
        <w:t>L’Unité de l’audit interne confirme maintenant que les neuf recommandations ont toutes été mises en œuvre.</w:t>
      </w:r>
    </w:p>
    <w:p w:rsidR="00F4407E" w:rsidRPr="00A01B11" w:rsidRDefault="00F16BEC" w:rsidP="00F16BEC">
      <w:pPr>
        <w:pStyle w:val="Headingb"/>
        <w:rPr>
          <w:lang w:val="fr-CH"/>
        </w:rPr>
      </w:pPr>
      <w:r>
        <w:rPr>
          <w:lang w:val="fr-CH"/>
        </w:rPr>
        <w:t>Suite donnée aux</w:t>
      </w:r>
      <w:r w:rsidR="00F4407E" w:rsidRPr="00A01B11">
        <w:rPr>
          <w:lang w:val="fr-CH"/>
        </w:rPr>
        <w:t xml:space="preserve"> recommandations </w:t>
      </w:r>
      <w:r>
        <w:rPr>
          <w:lang w:val="fr-CH"/>
        </w:rPr>
        <w:t>formulées par l'Unité de</w:t>
      </w:r>
      <w:r w:rsidR="00F4407E" w:rsidRPr="00A01B11">
        <w:rPr>
          <w:lang w:val="fr-CH"/>
        </w:rPr>
        <w:t xml:space="preserve"> l’audit interne </w:t>
      </w:r>
    </w:p>
    <w:p w:rsidR="00F4407E" w:rsidRDefault="00F16BEC" w:rsidP="00F16BEC">
      <w:r>
        <w:t>26</w:t>
      </w:r>
      <w:r>
        <w:tab/>
      </w:r>
      <w:r w:rsidR="00F4407E" w:rsidRPr="008F2CF5">
        <w:t xml:space="preserve">Durant la période couverte par le rapport et conformément à la Norme </w:t>
      </w:r>
      <w:r w:rsidR="00F4407E">
        <w:t>2500 de l’IIA</w:t>
      </w:r>
      <w:r w:rsidR="00F4407E" w:rsidRPr="005B597C">
        <w:rPr>
          <w:rStyle w:val="FootnoteReference"/>
          <w:rFonts w:ascii="Helvetica" w:hAnsi="Helvetica" w:cstheme="minorHAnsi"/>
          <w:sz w:val="18"/>
          <w:szCs w:val="18"/>
          <w:lang w:val="en-CA"/>
        </w:rPr>
        <w:footnoteReference w:id="4"/>
      </w:r>
      <w:r w:rsidR="00226765">
        <w:t>,</w:t>
      </w:r>
      <w:r w:rsidR="00F4407E">
        <w:t xml:space="preserve"> l’Unité de l’audit interne </w:t>
      </w:r>
      <w:r>
        <w:t>a</w:t>
      </w:r>
      <w:r w:rsidR="00F4407E">
        <w:t xml:space="preserve"> continu</w:t>
      </w:r>
      <w:r>
        <w:t>é</w:t>
      </w:r>
      <w:r w:rsidR="00F4407E">
        <w:t xml:space="preserve"> de donner suite aux recommandations formulées dans les rapports d’audit précédent</w:t>
      </w:r>
      <w:r>
        <w:t>s</w:t>
      </w:r>
      <w:r w:rsidR="00F4407E">
        <w:t>. Il a été noté que des progrès avaient été accomplis au cours des 12 derniers mois et les statistiques relatives à la mise en œuvre se présentent comme suit (au 1</w:t>
      </w:r>
      <w:r w:rsidR="00F4407E" w:rsidRPr="008F2CF5">
        <w:rPr>
          <w:vertAlign w:val="superscript"/>
        </w:rPr>
        <w:t>er</w:t>
      </w:r>
      <w:r w:rsidR="00F4407E">
        <w:t xml:space="preserve"> février 2017)</w:t>
      </w:r>
      <w:r w:rsidR="00F4407E" w:rsidRPr="008F2CF5">
        <w:t>:</w:t>
      </w:r>
    </w:p>
    <w:p w:rsidR="00082EC3" w:rsidRDefault="00082EC3">
      <w:pPr>
        <w:tabs>
          <w:tab w:val="clear" w:pos="567"/>
          <w:tab w:val="clear" w:pos="1134"/>
          <w:tab w:val="clear" w:pos="1701"/>
          <w:tab w:val="clear" w:pos="2268"/>
          <w:tab w:val="clear" w:pos="2835"/>
        </w:tabs>
        <w:overflowPunct/>
        <w:autoSpaceDE/>
        <w:autoSpaceDN/>
        <w:adjustRightInd/>
        <w:spacing w:before="0"/>
        <w:textAlignment w:val="auto"/>
      </w:pPr>
      <w:r>
        <w:br w:type="page"/>
      </w:r>
    </w:p>
    <w:p w:rsidR="00814C82" w:rsidRPr="00082EC3" w:rsidRDefault="00814C82" w:rsidP="00F16BEC">
      <w:pPr>
        <w:rPr>
          <w:sz w:val="16"/>
          <w:szCs w:val="16"/>
        </w:rPr>
      </w:pPr>
    </w:p>
    <w:tbl>
      <w:tblPr>
        <w:tblW w:w="9854" w:type="dxa"/>
        <w:tblLook w:val="04A0" w:firstRow="1" w:lastRow="0" w:firstColumn="1" w:lastColumn="0" w:noHBand="0" w:noVBand="1"/>
      </w:tblPr>
      <w:tblGrid>
        <w:gridCol w:w="3300"/>
        <w:gridCol w:w="943"/>
        <w:gridCol w:w="850"/>
        <w:gridCol w:w="993"/>
        <w:gridCol w:w="992"/>
        <w:gridCol w:w="992"/>
        <w:gridCol w:w="851"/>
        <w:gridCol w:w="933"/>
      </w:tblGrid>
      <w:tr w:rsidR="00814C82" w:rsidRPr="00B763B8" w:rsidTr="00BF152A">
        <w:trPr>
          <w:trHeight w:val="315"/>
        </w:trPr>
        <w:tc>
          <w:tcPr>
            <w:tcW w:w="3300" w:type="dxa"/>
            <w:tcBorders>
              <w:top w:val="single" w:sz="8" w:space="0" w:color="auto"/>
              <w:left w:val="single" w:sz="8" w:space="0" w:color="auto"/>
              <w:bottom w:val="nil"/>
              <w:right w:val="nil"/>
            </w:tcBorders>
            <w:shd w:val="clear" w:color="000000" w:fill="000000"/>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60" w:after="60"/>
              <w:rPr>
                <w:rFonts w:asciiTheme="minorHAnsi" w:hAnsiTheme="minorHAnsi" w:cstheme="minorHAnsi"/>
                <w:b/>
                <w:bCs/>
                <w:color w:val="FFFFFF"/>
                <w:szCs w:val="24"/>
              </w:rPr>
            </w:pPr>
            <w:r>
              <w:rPr>
                <w:rFonts w:asciiTheme="minorHAnsi" w:hAnsiTheme="minorHAnsi" w:cstheme="minorHAnsi"/>
                <w:b/>
                <w:bCs/>
                <w:color w:val="FFFFFF"/>
                <w:szCs w:val="24"/>
              </w:rPr>
              <w:t>Année</w:t>
            </w:r>
          </w:p>
        </w:tc>
        <w:tc>
          <w:tcPr>
            <w:tcW w:w="943" w:type="dxa"/>
            <w:tcBorders>
              <w:top w:val="single" w:sz="8" w:space="0" w:color="auto"/>
              <w:left w:val="nil"/>
              <w:bottom w:val="nil"/>
              <w:right w:val="nil"/>
            </w:tcBorders>
            <w:shd w:val="clear" w:color="000000" w:fill="000000"/>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60" w:after="60"/>
              <w:jc w:val="center"/>
              <w:rPr>
                <w:rFonts w:asciiTheme="minorHAnsi" w:hAnsiTheme="minorHAnsi" w:cstheme="minorHAnsi"/>
                <w:b/>
                <w:bCs/>
                <w:color w:val="FFFFFF"/>
                <w:szCs w:val="24"/>
              </w:rPr>
            </w:pPr>
            <w:r w:rsidRPr="00B763B8">
              <w:rPr>
                <w:rFonts w:asciiTheme="minorHAnsi" w:hAnsiTheme="minorHAnsi" w:cstheme="minorHAnsi"/>
                <w:b/>
                <w:bCs/>
                <w:color w:val="FFFFFF"/>
                <w:szCs w:val="24"/>
              </w:rPr>
              <w:t>2011</w:t>
            </w:r>
          </w:p>
        </w:tc>
        <w:tc>
          <w:tcPr>
            <w:tcW w:w="850" w:type="dxa"/>
            <w:tcBorders>
              <w:top w:val="single" w:sz="8" w:space="0" w:color="auto"/>
              <w:left w:val="nil"/>
              <w:bottom w:val="nil"/>
              <w:right w:val="nil"/>
            </w:tcBorders>
            <w:shd w:val="clear" w:color="000000" w:fill="000000"/>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60" w:after="60"/>
              <w:jc w:val="center"/>
              <w:rPr>
                <w:rFonts w:asciiTheme="minorHAnsi" w:hAnsiTheme="minorHAnsi" w:cstheme="minorHAnsi"/>
                <w:b/>
                <w:bCs/>
                <w:color w:val="FFFFFF"/>
                <w:szCs w:val="24"/>
              </w:rPr>
            </w:pPr>
            <w:r w:rsidRPr="00B763B8">
              <w:rPr>
                <w:rFonts w:asciiTheme="minorHAnsi" w:hAnsiTheme="minorHAnsi" w:cstheme="minorHAnsi"/>
                <w:b/>
                <w:bCs/>
                <w:color w:val="FFFFFF"/>
                <w:szCs w:val="24"/>
              </w:rPr>
              <w:t>2012</w:t>
            </w:r>
          </w:p>
        </w:tc>
        <w:tc>
          <w:tcPr>
            <w:tcW w:w="993" w:type="dxa"/>
            <w:tcBorders>
              <w:top w:val="single" w:sz="8" w:space="0" w:color="auto"/>
              <w:left w:val="nil"/>
              <w:bottom w:val="nil"/>
              <w:right w:val="nil"/>
            </w:tcBorders>
            <w:shd w:val="clear" w:color="000000" w:fill="000000"/>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60" w:after="60"/>
              <w:jc w:val="center"/>
              <w:rPr>
                <w:rFonts w:asciiTheme="minorHAnsi" w:hAnsiTheme="minorHAnsi" w:cstheme="minorHAnsi"/>
                <w:b/>
                <w:bCs/>
                <w:color w:val="FFFFFF"/>
                <w:szCs w:val="24"/>
              </w:rPr>
            </w:pPr>
            <w:r w:rsidRPr="00B763B8">
              <w:rPr>
                <w:rFonts w:asciiTheme="minorHAnsi" w:hAnsiTheme="minorHAnsi" w:cstheme="minorHAnsi"/>
                <w:b/>
                <w:bCs/>
                <w:color w:val="FFFFFF"/>
                <w:szCs w:val="24"/>
              </w:rPr>
              <w:t>2013</w:t>
            </w:r>
          </w:p>
        </w:tc>
        <w:tc>
          <w:tcPr>
            <w:tcW w:w="992" w:type="dxa"/>
            <w:tcBorders>
              <w:top w:val="single" w:sz="8" w:space="0" w:color="auto"/>
              <w:left w:val="nil"/>
              <w:bottom w:val="nil"/>
              <w:right w:val="nil"/>
            </w:tcBorders>
            <w:shd w:val="clear" w:color="000000" w:fill="000000"/>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60" w:after="60"/>
              <w:jc w:val="center"/>
              <w:rPr>
                <w:rFonts w:asciiTheme="minorHAnsi" w:hAnsiTheme="minorHAnsi" w:cstheme="minorHAnsi"/>
                <w:b/>
                <w:bCs/>
                <w:color w:val="FFFFFF"/>
                <w:szCs w:val="24"/>
              </w:rPr>
            </w:pPr>
            <w:r w:rsidRPr="00B763B8">
              <w:rPr>
                <w:rFonts w:asciiTheme="minorHAnsi" w:hAnsiTheme="minorHAnsi" w:cstheme="minorHAnsi"/>
                <w:b/>
                <w:bCs/>
                <w:color w:val="FFFFFF"/>
                <w:szCs w:val="24"/>
              </w:rPr>
              <w:t>2014</w:t>
            </w:r>
          </w:p>
        </w:tc>
        <w:tc>
          <w:tcPr>
            <w:tcW w:w="992" w:type="dxa"/>
            <w:tcBorders>
              <w:top w:val="single" w:sz="8" w:space="0" w:color="auto"/>
              <w:left w:val="nil"/>
              <w:bottom w:val="nil"/>
              <w:right w:val="nil"/>
            </w:tcBorders>
            <w:shd w:val="clear" w:color="000000" w:fill="000000"/>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60" w:after="60"/>
              <w:jc w:val="center"/>
              <w:rPr>
                <w:rFonts w:asciiTheme="minorHAnsi" w:hAnsiTheme="minorHAnsi" w:cstheme="minorHAnsi"/>
                <w:b/>
                <w:bCs/>
                <w:color w:val="FFFFFF"/>
                <w:szCs w:val="24"/>
              </w:rPr>
            </w:pPr>
            <w:r w:rsidRPr="00B763B8">
              <w:rPr>
                <w:rFonts w:asciiTheme="minorHAnsi" w:hAnsiTheme="minorHAnsi" w:cstheme="minorHAnsi"/>
                <w:b/>
                <w:bCs/>
                <w:color w:val="FFFFFF"/>
                <w:szCs w:val="24"/>
              </w:rPr>
              <w:t>2015</w:t>
            </w:r>
          </w:p>
        </w:tc>
        <w:tc>
          <w:tcPr>
            <w:tcW w:w="851" w:type="dxa"/>
            <w:tcBorders>
              <w:top w:val="single" w:sz="8" w:space="0" w:color="auto"/>
              <w:left w:val="nil"/>
              <w:bottom w:val="nil"/>
              <w:right w:val="nil"/>
            </w:tcBorders>
            <w:shd w:val="clear" w:color="000000" w:fill="000000"/>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60" w:after="60"/>
              <w:jc w:val="center"/>
              <w:rPr>
                <w:rFonts w:asciiTheme="minorHAnsi" w:hAnsiTheme="minorHAnsi" w:cstheme="minorHAnsi"/>
                <w:b/>
                <w:bCs/>
                <w:color w:val="FFFFFF"/>
                <w:szCs w:val="24"/>
              </w:rPr>
            </w:pPr>
            <w:r w:rsidRPr="00B763B8">
              <w:rPr>
                <w:rFonts w:asciiTheme="minorHAnsi" w:hAnsiTheme="minorHAnsi" w:cstheme="minorHAnsi"/>
                <w:b/>
                <w:bCs/>
                <w:color w:val="FFFFFF"/>
                <w:szCs w:val="24"/>
              </w:rPr>
              <w:t>2016</w:t>
            </w:r>
          </w:p>
        </w:tc>
        <w:tc>
          <w:tcPr>
            <w:tcW w:w="933" w:type="dxa"/>
            <w:tcBorders>
              <w:top w:val="single" w:sz="8" w:space="0" w:color="auto"/>
              <w:left w:val="nil"/>
              <w:bottom w:val="nil"/>
              <w:right w:val="single" w:sz="8" w:space="0" w:color="auto"/>
            </w:tcBorders>
            <w:shd w:val="clear" w:color="000000" w:fill="000000"/>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60" w:after="60"/>
              <w:jc w:val="center"/>
              <w:rPr>
                <w:rFonts w:asciiTheme="minorHAnsi" w:hAnsiTheme="minorHAnsi" w:cstheme="minorHAnsi"/>
                <w:b/>
                <w:bCs/>
                <w:color w:val="FFFFFF"/>
                <w:szCs w:val="24"/>
              </w:rPr>
            </w:pPr>
            <w:r w:rsidRPr="00B763B8">
              <w:rPr>
                <w:rFonts w:asciiTheme="minorHAnsi" w:hAnsiTheme="minorHAnsi" w:cstheme="minorHAnsi"/>
                <w:b/>
                <w:bCs/>
                <w:color w:val="FFFFFF"/>
                <w:szCs w:val="24"/>
              </w:rPr>
              <w:t xml:space="preserve">Total </w:t>
            </w:r>
          </w:p>
        </w:tc>
      </w:tr>
      <w:tr w:rsidR="00814C82" w:rsidRPr="00B763B8" w:rsidTr="00BF152A">
        <w:trPr>
          <w:trHeight w:val="300"/>
        </w:trPr>
        <w:tc>
          <w:tcPr>
            <w:tcW w:w="33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rPr>
                <w:rFonts w:asciiTheme="minorHAnsi" w:hAnsiTheme="minorHAnsi" w:cstheme="minorHAnsi"/>
                <w:color w:val="000000"/>
                <w:szCs w:val="24"/>
              </w:rPr>
            </w:pPr>
            <w:r w:rsidRPr="00F16BEC">
              <w:rPr>
                <w:rFonts w:cstheme="minorHAnsi"/>
                <w:color w:val="000000"/>
                <w:szCs w:val="24"/>
              </w:rPr>
              <w:t>Nombre de rapports d’audit</w:t>
            </w:r>
          </w:p>
        </w:tc>
        <w:tc>
          <w:tcPr>
            <w:tcW w:w="943" w:type="dxa"/>
            <w:tcBorders>
              <w:top w:val="single" w:sz="8" w:space="0" w:color="auto"/>
              <w:left w:val="nil"/>
              <w:bottom w:val="single" w:sz="4" w:space="0" w:color="auto"/>
              <w:right w:val="single" w:sz="4" w:space="0" w:color="auto"/>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2</w:t>
            </w:r>
          </w:p>
        </w:tc>
        <w:tc>
          <w:tcPr>
            <w:tcW w:w="850" w:type="dxa"/>
            <w:tcBorders>
              <w:top w:val="single" w:sz="8" w:space="0" w:color="auto"/>
              <w:left w:val="nil"/>
              <w:bottom w:val="single" w:sz="4" w:space="0" w:color="auto"/>
              <w:right w:val="single" w:sz="4" w:space="0" w:color="auto"/>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0</w:t>
            </w:r>
          </w:p>
        </w:tc>
        <w:tc>
          <w:tcPr>
            <w:tcW w:w="993" w:type="dxa"/>
            <w:tcBorders>
              <w:top w:val="single" w:sz="8" w:space="0" w:color="auto"/>
              <w:left w:val="nil"/>
              <w:bottom w:val="single" w:sz="4" w:space="0" w:color="auto"/>
              <w:right w:val="single" w:sz="4" w:space="0" w:color="auto"/>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4</w:t>
            </w:r>
          </w:p>
        </w:tc>
        <w:tc>
          <w:tcPr>
            <w:tcW w:w="992" w:type="dxa"/>
            <w:tcBorders>
              <w:top w:val="single" w:sz="8" w:space="0" w:color="auto"/>
              <w:left w:val="nil"/>
              <w:bottom w:val="single" w:sz="4" w:space="0" w:color="auto"/>
              <w:right w:val="nil"/>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4</w:t>
            </w:r>
          </w:p>
        </w:tc>
        <w:tc>
          <w:tcPr>
            <w:tcW w:w="992" w:type="dxa"/>
            <w:tcBorders>
              <w:top w:val="single" w:sz="8" w:space="0" w:color="auto"/>
              <w:left w:val="single" w:sz="4" w:space="0" w:color="auto"/>
              <w:bottom w:val="single" w:sz="4" w:space="0" w:color="auto"/>
              <w:right w:val="nil"/>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7</w:t>
            </w:r>
          </w:p>
        </w:tc>
        <w:tc>
          <w:tcPr>
            <w:tcW w:w="851" w:type="dxa"/>
            <w:tcBorders>
              <w:top w:val="single" w:sz="8" w:space="0" w:color="auto"/>
              <w:left w:val="single" w:sz="4" w:space="0" w:color="auto"/>
              <w:bottom w:val="single" w:sz="4" w:space="0" w:color="auto"/>
              <w:right w:val="nil"/>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4</w:t>
            </w:r>
          </w:p>
        </w:tc>
        <w:tc>
          <w:tcPr>
            <w:tcW w:w="933" w:type="dxa"/>
            <w:tcBorders>
              <w:top w:val="single" w:sz="8" w:space="0" w:color="auto"/>
              <w:left w:val="single" w:sz="4" w:space="0" w:color="auto"/>
              <w:bottom w:val="single" w:sz="4" w:space="0" w:color="auto"/>
              <w:right w:val="single" w:sz="8" w:space="0" w:color="auto"/>
            </w:tcBorders>
            <w:shd w:val="clear" w:color="000000" w:fill="AEAAAA"/>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b/>
                <w:bCs/>
                <w:szCs w:val="24"/>
              </w:rPr>
            </w:pPr>
            <w:r w:rsidRPr="00B763B8">
              <w:rPr>
                <w:rFonts w:asciiTheme="minorHAnsi" w:hAnsiTheme="minorHAnsi" w:cstheme="minorHAnsi"/>
                <w:b/>
                <w:bCs/>
                <w:szCs w:val="24"/>
              </w:rPr>
              <w:t>21</w:t>
            </w:r>
          </w:p>
        </w:tc>
      </w:tr>
      <w:tr w:rsidR="00814C82" w:rsidRPr="00B763B8" w:rsidTr="00BF152A">
        <w:trPr>
          <w:trHeight w:val="300"/>
        </w:trPr>
        <w:tc>
          <w:tcPr>
            <w:tcW w:w="3300" w:type="dxa"/>
            <w:tcBorders>
              <w:top w:val="nil"/>
              <w:left w:val="single" w:sz="8" w:space="0" w:color="auto"/>
              <w:bottom w:val="single" w:sz="4" w:space="0" w:color="auto"/>
              <w:right w:val="single" w:sz="4" w:space="0" w:color="auto"/>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rPr>
                <w:rFonts w:asciiTheme="minorHAnsi" w:hAnsiTheme="minorHAnsi" w:cstheme="minorHAnsi"/>
                <w:color w:val="000000"/>
                <w:szCs w:val="24"/>
              </w:rPr>
            </w:pPr>
            <w:r w:rsidRPr="00F16BEC">
              <w:rPr>
                <w:rFonts w:cstheme="minorHAnsi"/>
                <w:color w:val="000000"/>
                <w:szCs w:val="24"/>
              </w:rPr>
              <w:t>Recommandations - Total</w:t>
            </w:r>
          </w:p>
        </w:tc>
        <w:tc>
          <w:tcPr>
            <w:tcW w:w="943" w:type="dxa"/>
            <w:tcBorders>
              <w:top w:val="nil"/>
              <w:left w:val="nil"/>
              <w:bottom w:val="single" w:sz="4" w:space="0" w:color="auto"/>
              <w:right w:val="single" w:sz="4" w:space="0" w:color="auto"/>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17</w:t>
            </w:r>
          </w:p>
        </w:tc>
        <w:tc>
          <w:tcPr>
            <w:tcW w:w="850" w:type="dxa"/>
            <w:tcBorders>
              <w:top w:val="nil"/>
              <w:left w:val="nil"/>
              <w:bottom w:val="single" w:sz="4" w:space="0" w:color="auto"/>
              <w:right w:val="single" w:sz="4" w:space="0" w:color="auto"/>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w:t>
            </w:r>
          </w:p>
        </w:tc>
        <w:tc>
          <w:tcPr>
            <w:tcW w:w="993" w:type="dxa"/>
            <w:tcBorders>
              <w:top w:val="nil"/>
              <w:left w:val="nil"/>
              <w:bottom w:val="single" w:sz="4" w:space="0" w:color="auto"/>
              <w:right w:val="single" w:sz="4" w:space="0" w:color="auto"/>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113</w:t>
            </w:r>
          </w:p>
        </w:tc>
        <w:tc>
          <w:tcPr>
            <w:tcW w:w="992" w:type="dxa"/>
            <w:tcBorders>
              <w:top w:val="nil"/>
              <w:left w:val="nil"/>
              <w:bottom w:val="single" w:sz="4" w:space="0" w:color="auto"/>
              <w:right w:val="nil"/>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55</w:t>
            </w:r>
          </w:p>
        </w:tc>
        <w:tc>
          <w:tcPr>
            <w:tcW w:w="992" w:type="dxa"/>
            <w:tcBorders>
              <w:top w:val="nil"/>
              <w:left w:val="single" w:sz="4" w:space="0" w:color="auto"/>
              <w:bottom w:val="single" w:sz="4" w:space="0" w:color="auto"/>
              <w:right w:val="nil"/>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34</w:t>
            </w:r>
          </w:p>
        </w:tc>
        <w:tc>
          <w:tcPr>
            <w:tcW w:w="851" w:type="dxa"/>
            <w:tcBorders>
              <w:top w:val="nil"/>
              <w:left w:val="single" w:sz="4" w:space="0" w:color="auto"/>
              <w:bottom w:val="single" w:sz="4" w:space="0" w:color="auto"/>
              <w:right w:val="nil"/>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22</w:t>
            </w:r>
          </w:p>
        </w:tc>
        <w:tc>
          <w:tcPr>
            <w:tcW w:w="933" w:type="dxa"/>
            <w:tcBorders>
              <w:top w:val="nil"/>
              <w:left w:val="single" w:sz="4" w:space="0" w:color="auto"/>
              <w:bottom w:val="single" w:sz="4" w:space="0" w:color="auto"/>
              <w:right w:val="single" w:sz="8" w:space="0" w:color="auto"/>
            </w:tcBorders>
            <w:shd w:val="clear" w:color="000000" w:fill="AEAAAA"/>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b/>
                <w:bCs/>
                <w:szCs w:val="24"/>
              </w:rPr>
            </w:pPr>
            <w:r w:rsidRPr="00B763B8">
              <w:rPr>
                <w:rFonts w:asciiTheme="minorHAnsi" w:hAnsiTheme="minorHAnsi" w:cstheme="minorHAnsi"/>
                <w:b/>
                <w:bCs/>
                <w:szCs w:val="24"/>
              </w:rPr>
              <w:t>241</w:t>
            </w:r>
          </w:p>
        </w:tc>
      </w:tr>
      <w:tr w:rsidR="00814C82" w:rsidRPr="00B763B8" w:rsidTr="00BF152A">
        <w:trPr>
          <w:trHeight w:val="300"/>
        </w:trPr>
        <w:tc>
          <w:tcPr>
            <w:tcW w:w="3300" w:type="dxa"/>
            <w:tcBorders>
              <w:top w:val="nil"/>
              <w:left w:val="single" w:sz="8" w:space="0" w:color="auto"/>
              <w:bottom w:val="single" w:sz="4" w:space="0" w:color="auto"/>
              <w:right w:val="single" w:sz="4" w:space="0" w:color="auto"/>
            </w:tcBorders>
            <w:shd w:val="clear" w:color="auto" w:fill="auto"/>
            <w:noWrap/>
            <w:vAlign w:val="bottom"/>
            <w:hideMark/>
          </w:tcPr>
          <w:p w:rsidR="00814C82" w:rsidRPr="00B763B8" w:rsidRDefault="00814C82" w:rsidP="00814C82">
            <w:pPr>
              <w:tabs>
                <w:tab w:val="clear" w:pos="567"/>
                <w:tab w:val="clear" w:pos="1134"/>
                <w:tab w:val="clear" w:pos="1701"/>
                <w:tab w:val="clear" w:pos="2268"/>
                <w:tab w:val="clear" w:pos="2835"/>
                <w:tab w:val="left" w:pos="308"/>
              </w:tabs>
              <w:snapToGrid w:val="0"/>
              <w:spacing w:before="20" w:after="20"/>
              <w:rPr>
                <w:rFonts w:asciiTheme="minorHAnsi" w:hAnsiTheme="minorHAnsi" w:cstheme="minorHAnsi"/>
                <w:color w:val="000000"/>
                <w:szCs w:val="24"/>
              </w:rPr>
            </w:pPr>
            <w:r>
              <w:rPr>
                <w:rFonts w:asciiTheme="minorHAnsi" w:hAnsiTheme="minorHAnsi" w:cstheme="minorHAnsi"/>
                <w:color w:val="000000"/>
                <w:szCs w:val="24"/>
              </w:rPr>
              <w:tab/>
            </w:r>
            <w:r w:rsidRPr="00F16BEC">
              <w:rPr>
                <w:rFonts w:cstheme="minorHAnsi"/>
                <w:color w:val="000000"/>
                <w:szCs w:val="24"/>
              </w:rPr>
              <w:t>En cours</w:t>
            </w:r>
          </w:p>
        </w:tc>
        <w:tc>
          <w:tcPr>
            <w:tcW w:w="943" w:type="dxa"/>
            <w:tcBorders>
              <w:top w:val="nil"/>
              <w:left w:val="nil"/>
              <w:bottom w:val="single" w:sz="4" w:space="0" w:color="auto"/>
              <w:right w:val="single" w:sz="4" w:space="0" w:color="auto"/>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0</w:t>
            </w:r>
          </w:p>
        </w:tc>
        <w:tc>
          <w:tcPr>
            <w:tcW w:w="850" w:type="dxa"/>
            <w:tcBorders>
              <w:top w:val="nil"/>
              <w:left w:val="nil"/>
              <w:bottom w:val="single" w:sz="4" w:space="0" w:color="auto"/>
              <w:right w:val="single" w:sz="4" w:space="0" w:color="auto"/>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w:t>
            </w:r>
          </w:p>
        </w:tc>
        <w:tc>
          <w:tcPr>
            <w:tcW w:w="993" w:type="dxa"/>
            <w:tcBorders>
              <w:top w:val="nil"/>
              <w:left w:val="nil"/>
              <w:bottom w:val="single" w:sz="4" w:space="0" w:color="auto"/>
              <w:right w:val="single" w:sz="4" w:space="0" w:color="auto"/>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8</w:t>
            </w:r>
          </w:p>
        </w:tc>
        <w:tc>
          <w:tcPr>
            <w:tcW w:w="992" w:type="dxa"/>
            <w:tcBorders>
              <w:top w:val="nil"/>
              <w:left w:val="nil"/>
              <w:bottom w:val="single" w:sz="4" w:space="0" w:color="auto"/>
              <w:right w:val="nil"/>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5</w:t>
            </w:r>
          </w:p>
        </w:tc>
        <w:tc>
          <w:tcPr>
            <w:tcW w:w="992" w:type="dxa"/>
            <w:tcBorders>
              <w:top w:val="nil"/>
              <w:left w:val="single" w:sz="4" w:space="0" w:color="auto"/>
              <w:bottom w:val="single" w:sz="4" w:space="0" w:color="auto"/>
              <w:right w:val="nil"/>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8</w:t>
            </w:r>
          </w:p>
        </w:tc>
        <w:tc>
          <w:tcPr>
            <w:tcW w:w="851" w:type="dxa"/>
            <w:tcBorders>
              <w:top w:val="nil"/>
              <w:left w:val="single" w:sz="4" w:space="0" w:color="auto"/>
              <w:bottom w:val="single" w:sz="4" w:space="0" w:color="auto"/>
              <w:right w:val="nil"/>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20</w:t>
            </w:r>
          </w:p>
        </w:tc>
        <w:tc>
          <w:tcPr>
            <w:tcW w:w="933" w:type="dxa"/>
            <w:tcBorders>
              <w:top w:val="nil"/>
              <w:left w:val="single" w:sz="4" w:space="0" w:color="auto"/>
              <w:bottom w:val="single" w:sz="4" w:space="0" w:color="auto"/>
              <w:right w:val="single" w:sz="8" w:space="0" w:color="auto"/>
            </w:tcBorders>
            <w:shd w:val="clear" w:color="000000" w:fill="AEAAAA"/>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b/>
                <w:bCs/>
                <w:szCs w:val="24"/>
              </w:rPr>
            </w:pPr>
            <w:r w:rsidRPr="00B763B8">
              <w:rPr>
                <w:rFonts w:asciiTheme="minorHAnsi" w:hAnsiTheme="minorHAnsi" w:cstheme="minorHAnsi"/>
                <w:b/>
                <w:bCs/>
                <w:szCs w:val="24"/>
              </w:rPr>
              <w:t>41</w:t>
            </w:r>
          </w:p>
        </w:tc>
      </w:tr>
      <w:tr w:rsidR="00814C82" w:rsidRPr="00B763B8" w:rsidTr="00BF152A">
        <w:trPr>
          <w:trHeight w:val="300"/>
        </w:trPr>
        <w:tc>
          <w:tcPr>
            <w:tcW w:w="3300" w:type="dxa"/>
            <w:tcBorders>
              <w:top w:val="nil"/>
              <w:left w:val="single" w:sz="8" w:space="0" w:color="auto"/>
              <w:bottom w:val="single" w:sz="4" w:space="0" w:color="auto"/>
              <w:right w:val="single" w:sz="4" w:space="0" w:color="auto"/>
            </w:tcBorders>
            <w:shd w:val="clear" w:color="auto" w:fill="auto"/>
            <w:noWrap/>
            <w:vAlign w:val="bottom"/>
            <w:hideMark/>
          </w:tcPr>
          <w:p w:rsidR="00814C82" w:rsidRPr="00B763B8" w:rsidRDefault="00814C82" w:rsidP="00814C82">
            <w:pPr>
              <w:tabs>
                <w:tab w:val="clear" w:pos="567"/>
                <w:tab w:val="clear" w:pos="1134"/>
                <w:tab w:val="clear" w:pos="1701"/>
                <w:tab w:val="clear" w:pos="2268"/>
                <w:tab w:val="clear" w:pos="2835"/>
                <w:tab w:val="left" w:pos="308"/>
              </w:tabs>
              <w:snapToGrid w:val="0"/>
              <w:spacing w:before="20" w:after="20"/>
              <w:rPr>
                <w:rFonts w:asciiTheme="minorHAnsi" w:hAnsiTheme="minorHAnsi" w:cstheme="minorHAnsi"/>
                <w:color w:val="000000"/>
                <w:szCs w:val="24"/>
              </w:rPr>
            </w:pPr>
            <w:r>
              <w:rPr>
                <w:rFonts w:asciiTheme="minorHAnsi" w:hAnsiTheme="minorHAnsi" w:cstheme="minorHAnsi"/>
                <w:color w:val="000000"/>
                <w:szCs w:val="24"/>
              </w:rPr>
              <w:tab/>
            </w:r>
            <w:r w:rsidRPr="00F16BEC">
              <w:rPr>
                <w:rFonts w:cstheme="minorHAnsi"/>
                <w:color w:val="000000"/>
                <w:szCs w:val="24"/>
              </w:rPr>
              <w:t>Retardées</w:t>
            </w:r>
          </w:p>
        </w:tc>
        <w:tc>
          <w:tcPr>
            <w:tcW w:w="943" w:type="dxa"/>
            <w:tcBorders>
              <w:top w:val="nil"/>
              <w:left w:val="nil"/>
              <w:bottom w:val="single" w:sz="4" w:space="0" w:color="auto"/>
              <w:right w:val="single" w:sz="4" w:space="0" w:color="auto"/>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3</w:t>
            </w:r>
          </w:p>
        </w:tc>
        <w:tc>
          <w:tcPr>
            <w:tcW w:w="850" w:type="dxa"/>
            <w:tcBorders>
              <w:top w:val="nil"/>
              <w:left w:val="nil"/>
              <w:bottom w:val="single" w:sz="4" w:space="0" w:color="auto"/>
              <w:right w:val="single" w:sz="4" w:space="0" w:color="auto"/>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w:t>
            </w:r>
          </w:p>
        </w:tc>
        <w:tc>
          <w:tcPr>
            <w:tcW w:w="993" w:type="dxa"/>
            <w:tcBorders>
              <w:top w:val="nil"/>
              <w:left w:val="nil"/>
              <w:bottom w:val="single" w:sz="4" w:space="0" w:color="auto"/>
              <w:right w:val="single" w:sz="4" w:space="0" w:color="auto"/>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0</w:t>
            </w:r>
          </w:p>
        </w:tc>
        <w:tc>
          <w:tcPr>
            <w:tcW w:w="992" w:type="dxa"/>
            <w:tcBorders>
              <w:top w:val="nil"/>
              <w:left w:val="nil"/>
              <w:bottom w:val="single" w:sz="4" w:space="0" w:color="auto"/>
              <w:right w:val="nil"/>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0</w:t>
            </w:r>
          </w:p>
        </w:tc>
        <w:tc>
          <w:tcPr>
            <w:tcW w:w="992" w:type="dxa"/>
            <w:tcBorders>
              <w:top w:val="nil"/>
              <w:left w:val="single" w:sz="4" w:space="0" w:color="auto"/>
              <w:bottom w:val="single" w:sz="4" w:space="0" w:color="auto"/>
              <w:right w:val="nil"/>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0</w:t>
            </w:r>
          </w:p>
        </w:tc>
        <w:tc>
          <w:tcPr>
            <w:tcW w:w="851" w:type="dxa"/>
            <w:tcBorders>
              <w:top w:val="nil"/>
              <w:left w:val="single" w:sz="4" w:space="0" w:color="auto"/>
              <w:bottom w:val="single" w:sz="4" w:space="0" w:color="auto"/>
              <w:right w:val="nil"/>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0</w:t>
            </w:r>
          </w:p>
        </w:tc>
        <w:tc>
          <w:tcPr>
            <w:tcW w:w="933" w:type="dxa"/>
            <w:tcBorders>
              <w:top w:val="nil"/>
              <w:left w:val="single" w:sz="4" w:space="0" w:color="auto"/>
              <w:bottom w:val="single" w:sz="4" w:space="0" w:color="auto"/>
              <w:right w:val="single" w:sz="8" w:space="0" w:color="auto"/>
            </w:tcBorders>
            <w:shd w:val="clear" w:color="000000" w:fill="AEAAAA"/>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b/>
                <w:bCs/>
                <w:szCs w:val="24"/>
              </w:rPr>
            </w:pPr>
            <w:r w:rsidRPr="00B763B8">
              <w:rPr>
                <w:rFonts w:asciiTheme="minorHAnsi" w:hAnsiTheme="minorHAnsi" w:cstheme="minorHAnsi"/>
                <w:b/>
                <w:bCs/>
                <w:szCs w:val="24"/>
              </w:rPr>
              <w:t>3</w:t>
            </w:r>
          </w:p>
        </w:tc>
      </w:tr>
      <w:tr w:rsidR="00814C82" w:rsidRPr="00B763B8" w:rsidTr="00BF152A">
        <w:trPr>
          <w:trHeight w:val="315"/>
        </w:trPr>
        <w:tc>
          <w:tcPr>
            <w:tcW w:w="3300" w:type="dxa"/>
            <w:tcBorders>
              <w:top w:val="nil"/>
              <w:left w:val="single" w:sz="8" w:space="0" w:color="auto"/>
              <w:bottom w:val="single" w:sz="8" w:space="0" w:color="auto"/>
              <w:right w:val="single" w:sz="4" w:space="0" w:color="auto"/>
            </w:tcBorders>
            <w:shd w:val="clear" w:color="auto" w:fill="auto"/>
            <w:noWrap/>
            <w:vAlign w:val="bottom"/>
            <w:hideMark/>
          </w:tcPr>
          <w:p w:rsidR="00814C82" w:rsidRPr="00B763B8" w:rsidRDefault="00814C82" w:rsidP="00814C82">
            <w:pPr>
              <w:tabs>
                <w:tab w:val="clear" w:pos="567"/>
                <w:tab w:val="clear" w:pos="1134"/>
                <w:tab w:val="clear" w:pos="1701"/>
                <w:tab w:val="clear" w:pos="2268"/>
                <w:tab w:val="clear" w:pos="2835"/>
                <w:tab w:val="left" w:pos="308"/>
              </w:tabs>
              <w:snapToGrid w:val="0"/>
              <w:spacing w:before="20" w:after="20"/>
              <w:rPr>
                <w:rFonts w:asciiTheme="minorHAnsi" w:hAnsiTheme="minorHAnsi" w:cstheme="minorHAnsi"/>
                <w:color w:val="000000"/>
                <w:szCs w:val="24"/>
              </w:rPr>
            </w:pPr>
            <w:r>
              <w:rPr>
                <w:rFonts w:asciiTheme="minorHAnsi" w:hAnsiTheme="minorHAnsi" w:cstheme="minorHAnsi"/>
                <w:color w:val="000000"/>
                <w:szCs w:val="24"/>
              </w:rPr>
              <w:tab/>
            </w:r>
            <w:r>
              <w:rPr>
                <w:rFonts w:cstheme="minorHAnsi"/>
                <w:color w:val="000000"/>
                <w:szCs w:val="24"/>
              </w:rPr>
              <w:t>Closes</w:t>
            </w:r>
          </w:p>
        </w:tc>
        <w:tc>
          <w:tcPr>
            <w:tcW w:w="943" w:type="dxa"/>
            <w:tcBorders>
              <w:top w:val="nil"/>
              <w:left w:val="nil"/>
              <w:bottom w:val="single" w:sz="8" w:space="0" w:color="auto"/>
              <w:right w:val="single" w:sz="4" w:space="0" w:color="auto"/>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14</w:t>
            </w:r>
          </w:p>
        </w:tc>
        <w:tc>
          <w:tcPr>
            <w:tcW w:w="850" w:type="dxa"/>
            <w:tcBorders>
              <w:top w:val="nil"/>
              <w:left w:val="nil"/>
              <w:bottom w:val="single" w:sz="8" w:space="0" w:color="auto"/>
              <w:right w:val="single" w:sz="4" w:space="0" w:color="auto"/>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w:t>
            </w:r>
          </w:p>
        </w:tc>
        <w:tc>
          <w:tcPr>
            <w:tcW w:w="993" w:type="dxa"/>
            <w:tcBorders>
              <w:top w:val="nil"/>
              <w:left w:val="nil"/>
              <w:bottom w:val="single" w:sz="8" w:space="0" w:color="auto"/>
              <w:right w:val="single" w:sz="4" w:space="0" w:color="auto"/>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105</w:t>
            </w:r>
          </w:p>
        </w:tc>
        <w:tc>
          <w:tcPr>
            <w:tcW w:w="992" w:type="dxa"/>
            <w:tcBorders>
              <w:top w:val="nil"/>
              <w:left w:val="nil"/>
              <w:bottom w:val="single" w:sz="8" w:space="0" w:color="auto"/>
              <w:right w:val="nil"/>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50</w:t>
            </w:r>
          </w:p>
        </w:tc>
        <w:tc>
          <w:tcPr>
            <w:tcW w:w="992" w:type="dxa"/>
            <w:tcBorders>
              <w:top w:val="nil"/>
              <w:left w:val="single" w:sz="4" w:space="0" w:color="auto"/>
              <w:bottom w:val="single" w:sz="8" w:space="0" w:color="auto"/>
              <w:right w:val="nil"/>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26</w:t>
            </w:r>
          </w:p>
        </w:tc>
        <w:tc>
          <w:tcPr>
            <w:tcW w:w="851" w:type="dxa"/>
            <w:tcBorders>
              <w:top w:val="nil"/>
              <w:left w:val="single" w:sz="4" w:space="0" w:color="auto"/>
              <w:bottom w:val="single" w:sz="8" w:space="0" w:color="auto"/>
              <w:right w:val="nil"/>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2</w:t>
            </w:r>
          </w:p>
        </w:tc>
        <w:tc>
          <w:tcPr>
            <w:tcW w:w="933" w:type="dxa"/>
            <w:tcBorders>
              <w:top w:val="nil"/>
              <w:left w:val="single" w:sz="4" w:space="0" w:color="auto"/>
              <w:bottom w:val="single" w:sz="8" w:space="0" w:color="auto"/>
              <w:right w:val="single" w:sz="8" w:space="0" w:color="auto"/>
            </w:tcBorders>
            <w:shd w:val="clear" w:color="000000" w:fill="AEAAAA"/>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b/>
                <w:bCs/>
                <w:szCs w:val="24"/>
              </w:rPr>
            </w:pPr>
            <w:r w:rsidRPr="00B763B8">
              <w:rPr>
                <w:rFonts w:asciiTheme="minorHAnsi" w:hAnsiTheme="minorHAnsi" w:cstheme="minorHAnsi"/>
                <w:b/>
                <w:bCs/>
                <w:szCs w:val="24"/>
              </w:rPr>
              <w:t>197</w:t>
            </w:r>
          </w:p>
        </w:tc>
      </w:tr>
      <w:tr w:rsidR="00814C82" w:rsidRPr="00B763B8" w:rsidTr="00BF152A">
        <w:trPr>
          <w:trHeight w:val="315"/>
        </w:trPr>
        <w:tc>
          <w:tcPr>
            <w:tcW w:w="3300" w:type="dxa"/>
            <w:tcBorders>
              <w:top w:val="nil"/>
              <w:left w:val="nil"/>
              <w:bottom w:val="nil"/>
              <w:right w:val="nil"/>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0"/>
              <w:jc w:val="center"/>
              <w:rPr>
                <w:rFonts w:asciiTheme="minorHAnsi" w:hAnsiTheme="minorHAnsi" w:cstheme="minorHAnsi"/>
                <w:b/>
                <w:bCs/>
                <w:szCs w:val="24"/>
              </w:rPr>
            </w:pPr>
          </w:p>
        </w:tc>
        <w:tc>
          <w:tcPr>
            <w:tcW w:w="943" w:type="dxa"/>
            <w:tcBorders>
              <w:top w:val="nil"/>
              <w:left w:val="nil"/>
              <w:bottom w:val="nil"/>
              <w:right w:val="nil"/>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0"/>
              <w:jc w:val="center"/>
              <w:rPr>
                <w:rFonts w:asciiTheme="minorHAnsi" w:hAnsiTheme="minorHAnsi" w:cstheme="minorHAnsi"/>
                <w:color w:val="000000"/>
                <w:szCs w:val="24"/>
              </w:rPr>
            </w:pPr>
            <w:r w:rsidRPr="00B763B8">
              <w:rPr>
                <w:rFonts w:asciiTheme="minorHAnsi" w:hAnsiTheme="minorHAnsi" w:cstheme="minorHAnsi"/>
                <w:color w:val="000000"/>
                <w:szCs w:val="24"/>
              </w:rPr>
              <w:t> </w:t>
            </w:r>
          </w:p>
        </w:tc>
        <w:tc>
          <w:tcPr>
            <w:tcW w:w="850" w:type="dxa"/>
            <w:tcBorders>
              <w:top w:val="nil"/>
              <w:left w:val="nil"/>
              <w:bottom w:val="nil"/>
              <w:right w:val="nil"/>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0"/>
              <w:jc w:val="center"/>
              <w:rPr>
                <w:rFonts w:asciiTheme="minorHAnsi" w:hAnsiTheme="minorHAnsi" w:cstheme="minorHAnsi"/>
                <w:color w:val="000000"/>
                <w:szCs w:val="24"/>
              </w:rPr>
            </w:pPr>
          </w:p>
        </w:tc>
        <w:tc>
          <w:tcPr>
            <w:tcW w:w="993" w:type="dxa"/>
            <w:tcBorders>
              <w:top w:val="nil"/>
              <w:left w:val="nil"/>
              <w:bottom w:val="nil"/>
              <w:right w:val="nil"/>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0"/>
              <w:jc w:val="center"/>
              <w:rPr>
                <w:rFonts w:asciiTheme="minorHAnsi" w:hAnsiTheme="minorHAnsi" w:cstheme="minorHAnsi"/>
                <w:color w:val="000000"/>
                <w:szCs w:val="24"/>
              </w:rPr>
            </w:pPr>
            <w:r w:rsidRPr="00B763B8">
              <w:rPr>
                <w:rFonts w:asciiTheme="minorHAnsi" w:hAnsiTheme="minorHAnsi" w:cstheme="minorHAnsi"/>
                <w:color w:val="000000"/>
                <w:szCs w:val="24"/>
              </w:rPr>
              <w:t> </w:t>
            </w:r>
          </w:p>
        </w:tc>
        <w:tc>
          <w:tcPr>
            <w:tcW w:w="992" w:type="dxa"/>
            <w:tcBorders>
              <w:top w:val="nil"/>
              <w:left w:val="nil"/>
              <w:bottom w:val="nil"/>
              <w:right w:val="nil"/>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0"/>
              <w:jc w:val="center"/>
              <w:rPr>
                <w:rFonts w:asciiTheme="minorHAnsi" w:hAnsiTheme="minorHAnsi" w:cstheme="minorHAnsi"/>
                <w:color w:val="000000"/>
                <w:szCs w:val="24"/>
              </w:rPr>
            </w:pPr>
            <w:r w:rsidRPr="00B763B8">
              <w:rPr>
                <w:rFonts w:asciiTheme="minorHAnsi" w:hAnsiTheme="minorHAnsi" w:cstheme="minorHAnsi"/>
                <w:color w:val="000000"/>
                <w:szCs w:val="24"/>
              </w:rPr>
              <w:t> </w:t>
            </w:r>
          </w:p>
        </w:tc>
        <w:tc>
          <w:tcPr>
            <w:tcW w:w="992" w:type="dxa"/>
            <w:tcBorders>
              <w:top w:val="nil"/>
              <w:left w:val="nil"/>
              <w:bottom w:val="nil"/>
              <w:right w:val="nil"/>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0"/>
              <w:jc w:val="center"/>
              <w:rPr>
                <w:rFonts w:asciiTheme="minorHAnsi" w:hAnsiTheme="minorHAnsi" w:cstheme="minorHAnsi"/>
                <w:color w:val="000000"/>
                <w:szCs w:val="24"/>
              </w:rPr>
            </w:pPr>
            <w:r w:rsidRPr="00B763B8">
              <w:rPr>
                <w:rFonts w:asciiTheme="minorHAnsi" w:hAnsiTheme="minorHAnsi" w:cstheme="minorHAnsi"/>
                <w:color w:val="000000"/>
                <w:szCs w:val="24"/>
              </w:rPr>
              <w:t> </w:t>
            </w:r>
          </w:p>
        </w:tc>
        <w:tc>
          <w:tcPr>
            <w:tcW w:w="851" w:type="dxa"/>
            <w:tcBorders>
              <w:top w:val="nil"/>
              <w:left w:val="nil"/>
              <w:bottom w:val="nil"/>
              <w:right w:val="nil"/>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0"/>
              <w:jc w:val="center"/>
              <w:rPr>
                <w:rFonts w:asciiTheme="minorHAnsi" w:hAnsiTheme="minorHAnsi" w:cstheme="minorHAnsi"/>
                <w:color w:val="000000"/>
                <w:szCs w:val="24"/>
              </w:rPr>
            </w:pPr>
            <w:r w:rsidRPr="00B763B8">
              <w:rPr>
                <w:rFonts w:asciiTheme="minorHAnsi" w:hAnsiTheme="minorHAnsi" w:cstheme="minorHAnsi"/>
                <w:color w:val="000000"/>
                <w:szCs w:val="24"/>
              </w:rPr>
              <w:t> </w:t>
            </w:r>
          </w:p>
        </w:tc>
        <w:tc>
          <w:tcPr>
            <w:tcW w:w="933" w:type="dxa"/>
            <w:tcBorders>
              <w:top w:val="nil"/>
              <w:left w:val="nil"/>
              <w:bottom w:val="nil"/>
              <w:right w:val="nil"/>
            </w:tcBorders>
            <w:shd w:val="clear" w:color="000000" w:fill="AEAAAA"/>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0"/>
              <w:jc w:val="center"/>
              <w:rPr>
                <w:rFonts w:asciiTheme="minorHAnsi" w:hAnsiTheme="minorHAnsi" w:cstheme="minorHAnsi"/>
                <w:b/>
                <w:bCs/>
                <w:szCs w:val="24"/>
              </w:rPr>
            </w:pPr>
            <w:r w:rsidRPr="00B763B8">
              <w:rPr>
                <w:rFonts w:asciiTheme="minorHAnsi" w:hAnsiTheme="minorHAnsi" w:cstheme="minorHAnsi"/>
                <w:b/>
                <w:bCs/>
                <w:szCs w:val="24"/>
              </w:rPr>
              <w:t> </w:t>
            </w:r>
          </w:p>
        </w:tc>
      </w:tr>
      <w:tr w:rsidR="00814C82" w:rsidRPr="00B763B8" w:rsidTr="00BF152A">
        <w:trPr>
          <w:trHeight w:val="315"/>
        </w:trPr>
        <w:tc>
          <w:tcPr>
            <w:tcW w:w="33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rPr>
                <w:rFonts w:asciiTheme="minorHAnsi" w:hAnsiTheme="minorHAnsi" w:cstheme="minorHAnsi"/>
                <w:szCs w:val="24"/>
              </w:rPr>
            </w:pPr>
            <w:r w:rsidRPr="00F16BEC">
              <w:rPr>
                <w:rFonts w:cstheme="minorHAnsi"/>
                <w:szCs w:val="24"/>
                <w:lang w:val="fr-CH"/>
              </w:rPr>
              <w:t>% de recommandations en cours</w:t>
            </w:r>
          </w:p>
        </w:tc>
        <w:tc>
          <w:tcPr>
            <w:tcW w:w="943" w:type="dxa"/>
            <w:tcBorders>
              <w:top w:val="single" w:sz="8" w:space="0" w:color="auto"/>
              <w:left w:val="nil"/>
              <w:bottom w:val="single" w:sz="8" w:space="0" w:color="auto"/>
              <w:right w:val="single" w:sz="4" w:space="0" w:color="auto"/>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0%</w:t>
            </w:r>
          </w:p>
        </w:tc>
        <w:tc>
          <w:tcPr>
            <w:tcW w:w="850" w:type="dxa"/>
            <w:tcBorders>
              <w:top w:val="single" w:sz="8" w:space="0" w:color="auto"/>
              <w:left w:val="nil"/>
              <w:bottom w:val="single" w:sz="8" w:space="0" w:color="auto"/>
              <w:right w:val="single" w:sz="4" w:space="0" w:color="auto"/>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w:t>
            </w:r>
          </w:p>
        </w:tc>
        <w:tc>
          <w:tcPr>
            <w:tcW w:w="993" w:type="dxa"/>
            <w:tcBorders>
              <w:top w:val="single" w:sz="8" w:space="0" w:color="auto"/>
              <w:left w:val="nil"/>
              <w:bottom w:val="single" w:sz="8" w:space="0" w:color="auto"/>
              <w:right w:val="single" w:sz="4" w:space="0" w:color="auto"/>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7%</w:t>
            </w:r>
          </w:p>
        </w:tc>
        <w:tc>
          <w:tcPr>
            <w:tcW w:w="992" w:type="dxa"/>
            <w:tcBorders>
              <w:top w:val="single" w:sz="8" w:space="0" w:color="auto"/>
              <w:left w:val="nil"/>
              <w:bottom w:val="single" w:sz="8" w:space="0" w:color="auto"/>
              <w:right w:val="single" w:sz="4" w:space="0" w:color="auto"/>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9%</w:t>
            </w:r>
          </w:p>
        </w:tc>
        <w:tc>
          <w:tcPr>
            <w:tcW w:w="992" w:type="dxa"/>
            <w:tcBorders>
              <w:top w:val="single" w:sz="8" w:space="0" w:color="auto"/>
              <w:left w:val="nil"/>
              <w:bottom w:val="single" w:sz="8" w:space="0" w:color="auto"/>
              <w:right w:val="single" w:sz="4" w:space="0" w:color="auto"/>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24%</w:t>
            </w:r>
          </w:p>
        </w:tc>
        <w:tc>
          <w:tcPr>
            <w:tcW w:w="851" w:type="dxa"/>
            <w:tcBorders>
              <w:top w:val="single" w:sz="8" w:space="0" w:color="auto"/>
              <w:left w:val="nil"/>
              <w:bottom w:val="single" w:sz="8" w:space="0" w:color="auto"/>
              <w:right w:val="single" w:sz="4" w:space="0" w:color="auto"/>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91%</w:t>
            </w:r>
          </w:p>
        </w:tc>
        <w:tc>
          <w:tcPr>
            <w:tcW w:w="933" w:type="dxa"/>
            <w:tcBorders>
              <w:top w:val="single" w:sz="8" w:space="0" w:color="auto"/>
              <w:left w:val="nil"/>
              <w:bottom w:val="single" w:sz="8" w:space="0" w:color="auto"/>
              <w:right w:val="single" w:sz="8" w:space="0" w:color="auto"/>
            </w:tcBorders>
            <w:shd w:val="clear" w:color="000000" w:fill="AEAAAA"/>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b/>
                <w:bCs/>
                <w:szCs w:val="24"/>
              </w:rPr>
            </w:pPr>
            <w:r w:rsidRPr="00B763B8">
              <w:rPr>
                <w:rFonts w:asciiTheme="minorHAnsi" w:hAnsiTheme="minorHAnsi" w:cstheme="minorHAnsi"/>
                <w:b/>
                <w:bCs/>
                <w:szCs w:val="24"/>
              </w:rPr>
              <w:t>17%</w:t>
            </w:r>
          </w:p>
        </w:tc>
      </w:tr>
      <w:tr w:rsidR="00814C82" w:rsidRPr="00B763B8" w:rsidTr="00BF152A">
        <w:trPr>
          <w:trHeight w:val="315"/>
        </w:trPr>
        <w:tc>
          <w:tcPr>
            <w:tcW w:w="3300" w:type="dxa"/>
            <w:tcBorders>
              <w:top w:val="nil"/>
              <w:left w:val="single" w:sz="8" w:space="0" w:color="auto"/>
              <w:bottom w:val="single" w:sz="8" w:space="0" w:color="auto"/>
              <w:right w:val="single" w:sz="4" w:space="0" w:color="auto"/>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rPr>
                <w:rFonts w:asciiTheme="minorHAnsi" w:hAnsiTheme="minorHAnsi" w:cstheme="minorHAnsi"/>
                <w:szCs w:val="24"/>
              </w:rPr>
            </w:pPr>
            <w:r w:rsidRPr="00F16BEC">
              <w:rPr>
                <w:rFonts w:cstheme="minorHAnsi"/>
                <w:szCs w:val="24"/>
              </w:rPr>
              <w:t>% de recommandations retardées</w:t>
            </w:r>
          </w:p>
        </w:tc>
        <w:tc>
          <w:tcPr>
            <w:tcW w:w="943" w:type="dxa"/>
            <w:tcBorders>
              <w:top w:val="nil"/>
              <w:left w:val="nil"/>
              <w:bottom w:val="single" w:sz="8" w:space="0" w:color="auto"/>
              <w:right w:val="single" w:sz="4" w:space="0" w:color="auto"/>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18%</w:t>
            </w:r>
          </w:p>
        </w:tc>
        <w:tc>
          <w:tcPr>
            <w:tcW w:w="850" w:type="dxa"/>
            <w:tcBorders>
              <w:top w:val="nil"/>
              <w:left w:val="nil"/>
              <w:bottom w:val="single" w:sz="8" w:space="0" w:color="auto"/>
              <w:right w:val="single" w:sz="4" w:space="0" w:color="auto"/>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w:t>
            </w:r>
          </w:p>
        </w:tc>
        <w:tc>
          <w:tcPr>
            <w:tcW w:w="993" w:type="dxa"/>
            <w:tcBorders>
              <w:top w:val="nil"/>
              <w:left w:val="nil"/>
              <w:bottom w:val="single" w:sz="8" w:space="0" w:color="auto"/>
              <w:right w:val="single" w:sz="4" w:space="0" w:color="auto"/>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szCs w:val="24"/>
              </w:rPr>
            </w:pPr>
            <w:r w:rsidRPr="00B763B8">
              <w:rPr>
                <w:rFonts w:asciiTheme="minorHAnsi" w:hAnsiTheme="minorHAnsi" w:cstheme="minorHAnsi"/>
                <w:szCs w:val="24"/>
              </w:rPr>
              <w:t>0%</w:t>
            </w:r>
          </w:p>
        </w:tc>
        <w:tc>
          <w:tcPr>
            <w:tcW w:w="992" w:type="dxa"/>
            <w:tcBorders>
              <w:top w:val="nil"/>
              <w:left w:val="nil"/>
              <w:bottom w:val="single" w:sz="8" w:space="0" w:color="auto"/>
              <w:right w:val="single" w:sz="4" w:space="0" w:color="auto"/>
            </w:tcBorders>
            <w:shd w:val="clear" w:color="000000" w:fill="FFFFFF"/>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szCs w:val="24"/>
              </w:rPr>
            </w:pPr>
            <w:r w:rsidRPr="00B763B8">
              <w:rPr>
                <w:rFonts w:asciiTheme="minorHAnsi" w:hAnsiTheme="minorHAnsi" w:cstheme="minorHAnsi"/>
                <w:szCs w:val="24"/>
              </w:rPr>
              <w:t>0%</w:t>
            </w:r>
          </w:p>
        </w:tc>
        <w:tc>
          <w:tcPr>
            <w:tcW w:w="992" w:type="dxa"/>
            <w:tcBorders>
              <w:top w:val="nil"/>
              <w:left w:val="nil"/>
              <w:bottom w:val="single" w:sz="8" w:space="0" w:color="auto"/>
              <w:right w:val="single" w:sz="4" w:space="0" w:color="auto"/>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0%</w:t>
            </w:r>
          </w:p>
        </w:tc>
        <w:tc>
          <w:tcPr>
            <w:tcW w:w="851" w:type="dxa"/>
            <w:tcBorders>
              <w:top w:val="nil"/>
              <w:left w:val="nil"/>
              <w:bottom w:val="single" w:sz="8" w:space="0" w:color="auto"/>
              <w:right w:val="single" w:sz="4" w:space="0" w:color="auto"/>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0%</w:t>
            </w:r>
          </w:p>
        </w:tc>
        <w:tc>
          <w:tcPr>
            <w:tcW w:w="933" w:type="dxa"/>
            <w:tcBorders>
              <w:top w:val="nil"/>
              <w:left w:val="nil"/>
              <w:bottom w:val="single" w:sz="8" w:space="0" w:color="auto"/>
              <w:right w:val="single" w:sz="8" w:space="0" w:color="auto"/>
            </w:tcBorders>
            <w:shd w:val="clear" w:color="000000" w:fill="AEAAAA"/>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b/>
                <w:bCs/>
                <w:szCs w:val="24"/>
              </w:rPr>
            </w:pPr>
            <w:r w:rsidRPr="00B763B8">
              <w:rPr>
                <w:rFonts w:asciiTheme="minorHAnsi" w:hAnsiTheme="minorHAnsi" w:cstheme="minorHAnsi"/>
                <w:b/>
                <w:bCs/>
                <w:szCs w:val="24"/>
              </w:rPr>
              <w:t>1%</w:t>
            </w:r>
          </w:p>
        </w:tc>
      </w:tr>
      <w:tr w:rsidR="00814C82" w:rsidRPr="00B763B8" w:rsidTr="00BF152A">
        <w:trPr>
          <w:trHeight w:val="315"/>
        </w:trPr>
        <w:tc>
          <w:tcPr>
            <w:tcW w:w="3300" w:type="dxa"/>
            <w:tcBorders>
              <w:top w:val="nil"/>
              <w:left w:val="single" w:sz="8" w:space="0" w:color="auto"/>
              <w:bottom w:val="single" w:sz="8" w:space="0" w:color="auto"/>
              <w:right w:val="single" w:sz="4" w:space="0" w:color="auto"/>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rPr>
                <w:rFonts w:asciiTheme="minorHAnsi" w:hAnsiTheme="minorHAnsi" w:cstheme="minorHAnsi"/>
                <w:szCs w:val="24"/>
              </w:rPr>
            </w:pPr>
            <w:r w:rsidRPr="00F16BEC">
              <w:rPr>
                <w:rFonts w:cstheme="minorHAnsi"/>
                <w:szCs w:val="24"/>
              </w:rPr>
              <w:t>% de recommandations closes</w:t>
            </w:r>
          </w:p>
        </w:tc>
        <w:tc>
          <w:tcPr>
            <w:tcW w:w="943" w:type="dxa"/>
            <w:tcBorders>
              <w:top w:val="nil"/>
              <w:left w:val="nil"/>
              <w:bottom w:val="single" w:sz="8" w:space="0" w:color="auto"/>
              <w:right w:val="single" w:sz="4" w:space="0" w:color="auto"/>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82%</w:t>
            </w:r>
          </w:p>
        </w:tc>
        <w:tc>
          <w:tcPr>
            <w:tcW w:w="850" w:type="dxa"/>
            <w:tcBorders>
              <w:top w:val="nil"/>
              <w:left w:val="nil"/>
              <w:bottom w:val="single" w:sz="8" w:space="0" w:color="auto"/>
              <w:right w:val="single" w:sz="4" w:space="0" w:color="auto"/>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szCs w:val="24"/>
              </w:rPr>
            </w:pPr>
            <w:r w:rsidRPr="00B763B8">
              <w:rPr>
                <w:rFonts w:asciiTheme="minorHAnsi" w:hAnsiTheme="minorHAnsi" w:cstheme="minorHAnsi"/>
                <w:szCs w:val="24"/>
              </w:rPr>
              <w:t>-</w:t>
            </w:r>
          </w:p>
        </w:tc>
        <w:tc>
          <w:tcPr>
            <w:tcW w:w="993" w:type="dxa"/>
            <w:tcBorders>
              <w:top w:val="nil"/>
              <w:left w:val="nil"/>
              <w:bottom w:val="single" w:sz="8" w:space="0" w:color="auto"/>
              <w:right w:val="single" w:sz="4" w:space="0" w:color="auto"/>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93%</w:t>
            </w:r>
          </w:p>
        </w:tc>
        <w:tc>
          <w:tcPr>
            <w:tcW w:w="992" w:type="dxa"/>
            <w:tcBorders>
              <w:top w:val="nil"/>
              <w:left w:val="nil"/>
              <w:bottom w:val="single" w:sz="8" w:space="0" w:color="auto"/>
              <w:right w:val="single" w:sz="4" w:space="0" w:color="auto"/>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91%</w:t>
            </w:r>
          </w:p>
        </w:tc>
        <w:tc>
          <w:tcPr>
            <w:tcW w:w="992" w:type="dxa"/>
            <w:tcBorders>
              <w:top w:val="nil"/>
              <w:left w:val="nil"/>
              <w:bottom w:val="single" w:sz="8" w:space="0" w:color="auto"/>
              <w:right w:val="single" w:sz="4" w:space="0" w:color="auto"/>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76%</w:t>
            </w:r>
          </w:p>
        </w:tc>
        <w:tc>
          <w:tcPr>
            <w:tcW w:w="851" w:type="dxa"/>
            <w:tcBorders>
              <w:top w:val="nil"/>
              <w:left w:val="nil"/>
              <w:bottom w:val="single" w:sz="8" w:space="0" w:color="auto"/>
              <w:right w:val="single" w:sz="4" w:space="0" w:color="auto"/>
            </w:tcBorders>
            <w:shd w:val="clear" w:color="auto" w:fill="auto"/>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color w:val="000000"/>
                <w:szCs w:val="24"/>
              </w:rPr>
            </w:pPr>
            <w:r w:rsidRPr="00B763B8">
              <w:rPr>
                <w:rFonts w:asciiTheme="minorHAnsi" w:hAnsiTheme="minorHAnsi" w:cstheme="minorHAnsi"/>
                <w:color w:val="000000"/>
                <w:szCs w:val="24"/>
              </w:rPr>
              <w:t>9%</w:t>
            </w:r>
          </w:p>
        </w:tc>
        <w:tc>
          <w:tcPr>
            <w:tcW w:w="933" w:type="dxa"/>
            <w:tcBorders>
              <w:top w:val="nil"/>
              <w:left w:val="nil"/>
              <w:bottom w:val="single" w:sz="8" w:space="0" w:color="auto"/>
              <w:right w:val="single" w:sz="8" w:space="0" w:color="auto"/>
            </w:tcBorders>
            <w:shd w:val="clear" w:color="000000" w:fill="AEAAAA"/>
            <w:noWrap/>
            <w:vAlign w:val="bottom"/>
            <w:hideMark/>
          </w:tcPr>
          <w:p w:rsidR="00814C82" w:rsidRPr="00B763B8" w:rsidRDefault="00814C82" w:rsidP="00BF152A">
            <w:pPr>
              <w:tabs>
                <w:tab w:val="clear" w:pos="567"/>
                <w:tab w:val="clear" w:pos="1134"/>
                <w:tab w:val="clear" w:pos="1701"/>
                <w:tab w:val="clear" w:pos="2268"/>
                <w:tab w:val="clear" w:pos="2835"/>
              </w:tabs>
              <w:snapToGrid w:val="0"/>
              <w:spacing w:before="20" w:after="20"/>
              <w:jc w:val="center"/>
              <w:rPr>
                <w:rFonts w:asciiTheme="minorHAnsi" w:hAnsiTheme="minorHAnsi" w:cstheme="minorHAnsi"/>
                <w:b/>
                <w:bCs/>
                <w:szCs w:val="24"/>
              </w:rPr>
            </w:pPr>
            <w:r w:rsidRPr="00B763B8">
              <w:rPr>
                <w:rFonts w:asciiTheme="minorHAnsi" w:hAnsiTheme="minorHAnsi" w:cstheme="minorHAnsi"/>
                <w:b/>
                <w:bCs/>
                <w:szCs w:val="24"/>
              </w:rPr>
              <w:t>82%</w:t>
            </w:r>
          </w:p>
        </w:tc>
      </w:tr>
    </w:tbl>
    <w:p w:rsidR="00F4407E" w:rsidRPr="00291AEC" w:rsidRDefault="00814C82" w:rsidP="00814C82">
      <w:r>
        <w:t>27</w:t>
      </w:r>
      <w:r>
        <w:tab/>
      </w:r>
      <w:r w:rsidR="00F4407E" w:rsidRPr="008F2CF5">
        <w:t>Toutes les recommandations essentielles ou d’une importance majeure datant d’</w:t>
      </w:r>
      <w:r w:rsidR="00F4407E">
        <w:t xml:space="preserve">avant 2012 ont été mises en œuvre. </w:t>
      </w:r>
      <w:r w:rsidR="00F4407E" w:rsidRPr="008F2CF5">
        <w:t>Les recommandations datant de 2011 toujours retardées concernent</w:t>
      </w:r>
      <w:r w:rsidR="00F4407E">
        <w:t xml:space="preserve"> l’audit interne du coût des publications. </w:t>
      </w:r>
      <w:r w:rsidR="00F4407E" w:rsidRPr="008F2CF5">
        <w:t xml:space="preserve">La direction a informé régulièrement l’Unité de l’audit interne </w:t>
      </w:r>
      <w:r w:rsidR="00F4407E">
        <w:t xml:space="preserve">(et le CCIG) des progrès accomplis et le Vérificateur extérieur des comptes avait déjà déterminé que certaines des recommandations datant de 2011 étaient closes. </w:t>
      </w:r>
      <w:r w:rsidR="00F4407E" w:rsidRPr="00291AEC">
        <w:t>En 2017, l’Unité de l’audit interne continuera de suivre l’avancement de la mise en œuvre des diverses recommandations</w:t>
      </w:r>
      <w:r w:rsidR="00F4407E">
        <w:t xml:space="preserve"> figurant dans les rapports d’audit précédents, et, au besoin, fera rapport en la matière au CCIG et au Secrétaire général</w:t>
      </w:r>
      <w:r w:rsidR="00F4407E" w:rsidRPr="00291AEC">
        <w:t xml:space="preserve">. Globalement, on note des progrès continus, bien que très souvent les priorités changent, ce qui peut avoir une incidence sur </w:t>
      </w:r>
      <w:r w:rsidR="00F4407E">
        <w:t>le degré d’importance des recomma</w:t>
      </w:r>
      <w:r w:rsidR="00226765">
        <w:t>ndations formulées initialement</w:t>
      </w:r>
      <w:r w:rsidR="00F4407E">
        <w:t>: L</w:t>
      </w:r>
      <w:r w:rsidR="00F4407E" w:rsidRPr="00291AEC">
        <w:t>es rapports d’audit interne</w:t>
      </w:r>
      <w:r w:rsidR="00F4407E">
        <w:t xml:space="preserve"> pour 2016</w:t>
      </w:r>
      <w:r w:rsidR="00F4407E" w:rsidRPr="00291AEC">
        <w:t>, pour un grand nombre d’entre eux, ont été finalisé</w:t>
      </w:r>
      <w:r w:rsidR="00F4407E">
        <w:t>s pendant le dernier trimestre de l’année et il sera donc difficile qu’un grand nombre des recommandations soient déjà mises en œuvre début 2017</w:t>
      </w:r>
      <w:r w:rsidR="00F4407E" w:rsidRPr="00291AEC">
        <w:t xml:space="preserve">. </w:t>
      </w:r>
    </w:p>
    <w:p w:rsidR="00F4407E" w:rsidRPr="00A01B11" w:rsidRDefault="00814C82" w:rsidP="00814C82">
      <w:pPr>
        <w:pStyle w:val="Headingb"/>
        <w:rPr>
          <w:lang w:val="fr-CH"/>
        </w:rPr>
      </w:pPr>
      <w:r>
        <w:rPr>
          <w:lang w:val="fr-CH"/>
        </w:rPr>
        <w:t>Questions relatives à la</w:t>
      </w:r>
      <w:r w:rsidR="00F4407E" w:rsidRPr="00A01B11">
        <w:rPr>
          <w:lang w:val="fr-CH"/>
        </w:rPr>
        <w:t xml:space="preserve"> à la méthod</w:t>
      </w:r>
      <w:r>
        <w:rPr>
          <w:lang w:val="fr-CH"/>
        </w:rPr>
        <w:t>ologie</w:t>
      </w:r>
      <w:r w:rsidR="00F4407E" w:rsidRPr="00A01B11">
        <w:rPr>
          <w:lang w:val="fr-CH"/>
        </w:rPr>
        <w:t xml:space="preserve"> </w:t>
      </w:r>
      <w:r w:rsidR="00F4407E">
        <w:rPr>
          <w:lang w:val="fr-CH"/>
        </w:rPr>
        <w:t>d’audit</w:t>
      </w:r>
    </w:p>
    <w:p w:rsidR="00F4407E" w:rsidRDefault="00814C82" w:rsidP="00814C82">
      <w:r>
        <w:t>28</w:t>
      </w:r>
      <w:r>
        <w:tab/>
        <w:t>Dès</w:t>
      </w:r>
      <w:r w:rsidR="00F4407E" w:rsidRPr="00291AEC">
        <w:t xml:space="preserve"> 2013, l’Unité de l’audit interne a commencé à utiliser des </w:t>
      </w:r>
      <w:r w:rsidR="00F4407E" w:rsidRPr="00291AEC">
        <w:rPr>
          <w:i/>
          <w:iCs/>
        </w:rPr>
        <w:t>questionnaires d’évaluation de l’efficacité des audits</w:t>
      </w:r>
      <w:r w:rsidR="00F4407E" w:rsidRPr="00291AEC">
        <w:t xml:space="preserve"> </w:t>
      </w:r>
      <w:r w:rsidR="00F4407E">
        <w:t xml:space="preserve">qui ont été envoyés au superviseur des processus et des entités faisant l’objet d’un audit, afin d’évaluer l’efficacité des travaux d’audit et de repérer les possibilités d’amélioration. </w:t>
      </w:r>
      <w:r w:rsidR="00F4407E" w:rsidRPr="00291AEC">
        <w:t xml:space="preserve">Cette pratique s’est poursuivie pendant la période considérée dans le présent document. Sur la base des quatre questionnaires retournés à l’Unité de l’audit interne en 2016, les évaluations ont été </w:t>
      </w:r>
      <w:r w:rsidR="00F4407E">
        <w:t>très positives (note moyenne de 4 sur une échelle de 1 à 5).</w:t>
      </w:r>
    </w:p>
    <w:p w:rsidR="00814C82" w:rsidRDefault="00814C82" w:rsidP="0032202E">
      <w:pPr>
        <w:pStyle w:val="Reasons"/>
      </w:pPr>
    </w:p>
    <w:p w:rsidR="00814C82" w:rsidRDefault="00814C82">
      <w:pPr>
        <w:jc w:val="center"/>
      </w:pPr>
      <w:r>
        <w:t>______________</w:t>
      </w:r>
    </w:p>
    <w:p w:rsidR="00814C82" w:rsidRPr="00291AEC" w:rsidRDefault="00814C82" w:rsidP="00814C82">
      <w:bookmarkStart w:id="8" w:name="_GoBack"/>
      <w:bookmarkEnd w:id="8"/>
    </w:p>
    <w:sectPr w:rsidR="00814C82" w:rsidRPr="00291AEC" w:rsidSect="005C3890">
      <w:headerReference w:type="even" r:id="rId10"/>
      <w:headerReference w:type="default" r:id="rId11"/>
      <w:footerReference w:type="even" r:id="rId12"/>
      <w:footerReference w:type="default" r:id="rId13"/>
      <w:footerReference w:type="first" r:id="rId14"/>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07E" w:rsidRDefault="00F4407E">
      <w:r>
        <w:separator/>
      </w:r>
    </w:p>
  </w:endnote>
  <w:endnote w:type="continuationSeparator" w:id="0">
    <w:p w:rsidR="00F4407E" w:rsidRDefault="00F4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082EC3">
    <w:pPr>
      <w:pStyle w:val="Footer"/>
    </w:pPr>
    <w:r>
      <w:fldChar w:fldCharType="begin"/>
    </w:r>
    <w:r>
      <w:instrText xml:space="preserve"> FILENAME \p \* MERGEFORMAT </w:instrText>
    </w:r>
    <w:r>
      <w:fldChar w:fldCharType="separate"/>
    </w:r>
    <w:r w:rsidR="00F4407E">
      <w:t>Document1</w:t>
    </w:r>
    <w:r>
      <w:fldChar w:fldCharType="end"/>
    </w:r>
    <w:r w:rsidR="00732045">
      <w:tab/>
    </w:r>
    <w:r w:rsidR="002F1B76">
      <w:fldChar w:fldCharType="begin"/>
    </w:r>
    <w:r w:rsidR="00732045">
      <w:instrText xml:space="preserve"> savedate \@ dd.MM.yy </w:instrText>
    </w:r>
    <w:r w:rsidR="002F1B76">
      <w:fldChar w:fldCharType="separate"/>
    </w:r>
    <w:r w:rsidR="00DB58B2">
      <w:t>25.04.17</w:t>
    </w:r>
    <w:r w:rsidR="002F1B76">
      <w:fldChar w:fldCharType="end"/>
    </w:r>
    <w:r w:rsidR="00732045">
      <w:tab/>
    </w:r>
    <w:r w:rsidR="002F1B76">
      <w:fldChar w:fldCharType="begin"/>
    </w:r>
    <w:r w:rsidR="00732045">
      <w:instrText xml:space="preserve"> printdate \@ dd.MM.yy </w:instrText>
    </w:r>
    <w:r w:rsidR="002F1B76">
      <w:fldChar w:fldCharType="separate"/>
    </w:r>
    <w:r w:rsidR="00F4407E">
      <w:t>18.07.00</w:t>
    </w:r>
    <w:r w:rsidR="002F1B7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EC3" w:rsidRPr="00586A31" w:rsidRDefault="00082EC3" w:rsidP="00082EC3">
    <w:pPr>
      <w:pStyle w:val="Footer"/>
      <w:rPr>
        <w:lang w:val="fr-CH"/>
      </w:rPr>
    </w:pPr>
    <w:r w:rsidRPr="00586A31">
      <w:fldChar w:fldCharType="begin"/>
    </w:r>
    <w:r w:rsidRPr="00586A31">
      <w:rPr>
        <w:lang w:val="fr-CH"/>
      </w:rPr>
      <w:instrText xml:space="preserve"> FILENAME \p  \* MERGEFORMAT </w:instrText>
    </w:r>
    <w:r w:rsidRPr="00586A31">
      <w:fldChar w:fldCharType="separate"/>
    </w:r>
    <w:r>
      <w:rPr>
        <w:lang w:val="fr-CH"/>
      </w:rPr>
      <w:t>SG\CONSEIL\C17\000\044V2F.docx</w:t>
    </w:r>
    <w:r w:rsidRPr="00586A31">
      <w:fldChar w:fldCharType="end"/>
    </w:r>
    <w:r w:rsidRPr="00586A31">
      <w:rPr>
        <w:lang w:val="fr-CH"/>
      </w:rPr>
      <w:t xml:space="preserve"> (</w:t>
    </w:r>
    <w:r w:rsidRPr="00082EC3">
      <w:rPr>
        <w:lang w:val="fr-CH"/>
      </w:rPr>
      <w:t>409494</w:t>
    </w:r>
    <w:r w:rsidRPr="00586A31">
      <w:rPr>
        <w:lang w:val="fr-CH"/>
      </w:rPr>
      <w:t>)</w:t>
    </w:r>
    <w:r w:rsidRPr="00586A31">
      <w:rPr>
        <w:lang w:val="fr-CH"/>
      </w:rPr>
      <w:tab/>
    </w:r>
    <w:r w:rsidRPr="00586A31">
      <w:fldChar w:fldCharType="begin"/>
    </w:r>
    <w:r w:rsidRPr="00586A31">
      <w:instrText xml:space="preserve"> SAVEDATE \@ DD.MM.YY </w:instrText>
    </w:r>
    <w:r w:rsidRPr="00586A31">
      <w:fldChar w:fldCharType="separate"/>
    </w:r>
    <w:r>
      <w:t>24.04.17</w:t>
    </w:r>
    <w:r w:rsidRPr="00586A31">
      <w:fldChar w:fldCharType="end"/>
    </w:r>
    <w:r w:rsidRPr="00586A31">
      <w:rPr>
        <w:lang w:val="fr-CH"/>
      </w:rPr>
      <w:tab/>
    </w:r>
    <w:r w:rsidRPr="00586A31">
      <w:fldChar w:fldCharType="begin"/>
    </w:r>
    <w:r w:rsidRPr="00586A31">
      <w:instrText xml:space="preserve"> PRINTDATE \@ DD.MM.YY </w:instrText>
    </w:r>
    <w:r w:rsidRPr="00586A31">
      <w:fldChar w:fldCharType="separate"/>
    </w:r>
    <w:r>
      <w:t>18.04.16</w:t>
    </w:r>
    <w:r w:rsidRPr="00586A3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spacing w:after="120"/>
      <w:jc w:val="center"/>
    </w:pPr>
    <w:r>
      <w:t xml:space="preserve">• </w:t>
    </w:r>
    <w:hyperlink r:id="rId1" w:history="1">
      <w:r>
        <w:rPr>
          <w:rStyle w:val="Hyperlink"/>
        </w:rPr>
        <w:t>http://www.itu.int/council</w:t>
      </w:r>
    </w:hyperlink>
    <w:r>
      <w:t xml:space="preserve"> •</w:t>
    </w:r>
  </w:p>
  <w:p w:rsidR="00082EC3" w:rsidRPr="00586A31" w:rsidRDefault="00082EC3" w:rsidP="00082EC3">
    <w:pPr>
      <w:pStyle w:val="Footer"/>
      <w:rPr>
        <w:lang w:val="fr-CH"/>
      </w:rPr>
    </w:pPr>
    <w:r w:rsidRPr="00586A31">
      <w:fldChar w:fldCharType="begin"/>
    </w:r>
    <w:r w:rsidRPr="00586A31">
      <w:rPr>
        <w:lang w:val="fr-CH"/>
      </w:rPr>
      <w:instrText xml:space="preserve"> FILENAME \p  \* MERGEFORMAT </w:instrText>
    </w:r>
    <w:r w:rsidRPr="00586A31">
      <w:fldChar w:fldCharType="separate"/>
    </w:r>
    <w:r>
      <w:rPr>
        <w:lang w:val="fr-CH"/>
      </w:rPr>
      <w:t>SG\CONSEIL\C17\000\044V2F</w:t>
    </w:r>
    <w:r>
      <w:rPr>
        <w:lang w:val="fr-CH"/>
      </w:rPr>
      <w:t>.docx</w:t>
    </w:r>
    <w:r w:rsidRPr="00586A31">
      <w:fldChar w:fldCharType="end"/>
    </w:r>
    <w:r w:rsidRPr="00586A31">
      <w:rPr>
        <w:lang w:val="fr-CH"/>
      </w:rPr>
      <w:t xml:space="preserve"> (</w:t>
    </w:r>
    <w:r w:rsidRPr="00082EC3">
      <w:rPr>
        <w:lang w:val="fr-CH"/>
      </w:rPr>
      <w:t>409494</w:t>
    </w:r>
    <w:r w:rsidRPr="00586A31">
      <w:rPr>
        <w:lang w:val="fr-CH"/>
      </w:rPr>
      <w:t>)</w:t>
    </w:r>
    <w:r w:rsidRPr="00586A31">
      <w:rPr>
        <w:lang w:val="fr-CH"/>
      </w:rPr>
      <w:tab/>
    </w:r>
    <w:r w:rsidRPr="00586A31">
      <w:fldChar w:fldCharType="begin"/>
    </w:r>
    <w:r w:rsidRPr="00586A31">
      <w:instrText xml:space="preserve"> SAVEDATE \@ DD.MM.YY </w:instrText>
    </w:r>
    <w:r w:rsidRPr="00586A31">
      <w:fldChar w:fldCharType="separate"/>
    </w:r>
    <w:r>
      <w:t>24.04.17</w:t>
    </w:r>
    <w:r w:rsidRPr="00586A31">
      <w:fldChar w:fldCharType="end"/>
    </w:r>
    <w:r w:rsidRPr="00586A31">
      <w:rPr>
        <w:lang w:val="fr-CH"/>
      </w:rPr>
      <w:tab/>
    </w:r>
    <w:r w:rsidRPr="00586A31">
      <w:fldChar w:fldCharType="begin"/>
    </w:r>
    <w:r w:rsidRPr="00586A31">
      <w:instrText xml:space="preserve"> PRINTDATE \@ DD.MM.YY </w:instrText>
    </w:r>
    <w:r w:rsidRPr="00586A31">
      <w:fldChar w:fldCharType="separate"/>
    </w:r>
    <w:r>
      <w:t>18.04.16</w:t>
    </w:r>
    <w:r w:rsidRPr="00586A3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07E" w:rsidRDefault="00F4407E">
      <w:r>
        <w:t>____________________</w:t>
      </w:r>
    </w:p>
  </w:footnote>
  <w:footnote w:type="continuationSeparator" w:id="0">
    <w:p w:rsidR="00F4407E" w:rsidRDefault="00F4407E">
      <w:r>
        <w:continuationSeparator/>
      </w:r>
    </w:p>
  </w:footnote>
  <w:footnote w:id="1">
    <w:p w:rsidR="00F4407E" w:rsidRPr="00F4407E" w:rsidRDefault="00F4407E" w:rsidP="00F4407E">
      <w:pPr>
        <w:pStyle w:val="FootnoteText"/>
      </w:pPr>
      <w:r>
        <w:rPr>
          <w:rStyle w:val="FootnoteReference"/>
        </w:rPr>
        <w:footnoteRef/>
      </w:r>
      <w:r>
        <w:t xml:space="preserve"> </w:t>
      </w:r>
      <w:r>
        <w:tab/>
      </w:r>
      <w:r w:rsidRPr="00D07CFA">
        <w:rPr>
          <w:sz w:val="18"/>
          <w:szCs w:val="18"/>
          <w:lang w:val="fr-CH"/>
        </w:rPr>
        <w:t xml:space="preserve">Ordre de service </w:t>
      </w:r>
      <w:r w:rsidRPr="00D07CFA">
        <w:rPr>
          <w:rFonts w:cs="Calibri"/>
          <w:sz w:val="18"/>
          <w:szCs w:val="18"/>
          <w:lang w:val="fr-CH"/>
        </w:rPr>
        <w:t>13/09, promulgué par le Secrétaire général le 27 juin 2013</w:t>
      </w:r>
    </w:p>
  </w:footnote>
  <w:footnote w:id="2">
    <w:p w:rsidR="00F4407E" w:rsidRPr="00F4407E" w:rsidRDefault="00F4407E">
      <w:pPr>
        <w:pStyle w:val="FootnoteText"/>
        <w:rPr>
          <w:lang w:val="fr-CH"/>
        </w:rPr>
      </w:pPr>
      <w:r>
        <w:rPr>
          <w:rStyle w:val="FootnoteReference"/>
        </w:rPr>
        <w:footnoteRef/>
      </w:r>
      <w:r>
        <w:t xml:space="preserve"> </w:t>
      </w:r>
      <w:r>
        <w:rPr>
          <w:lang w:val="fr-CH"/>
        </w:rPr>
        <w:tab/>
      </w:r>
      <w:r w:rsidRPr="00D07CFA">
        <w:rPr>
          <w:sz w:val="18"/>
          <w:szCs w:val="18"/>
          <w:lang w:val="fr-CH"/>
        </w:rPr>
        <w:t>Institut</w:t>
      </w:r>
      <w:r>
        <w:rPr>
          <w:sz w:val="18"/>
          <w:szCs w:val="18"/>
          <w:lang w:val="fr-CH"/>
        </w:rPr>
        <w:t xml:space="preserve"> des auditeurs internes</w:t>
      </w:r>
      <w:r w:rsidRPr="00D07CFA">
        <w:rPr>
          <w:sz w:val="18"/>
          <w:szCs w:val="18"/>
          <w:lang w:val="fr-CH"/>
        </w:rPr>
        <w:t xml:space="preserve">, </w:t>
      </w:r>
      <w:hyperlink r:id="rId1" w:history="1">
        <w:r w:rsidRPr="00D07CFA">
          <w:rPr>
            <w:rStyle w:val="Hyperlink"/>
            <w:sz w:val="18"/>
            <w:szCs w:val="18"/>
            <w:lang w:val="fr-CH"/>
          </w:rPr>
          <w:t>www.theiia.org</w:t>
        </w:r>
      </w:hyperlink>
    </w:p>
  </w:footnote>
  <w:footnote w:id="3">
    <w:p w:rsidR="00F4407E" w:rsidRPr="00F4407E" w:rsidRDefault="00F4407E">
      <w:pPr>
        <w:pStyle w:val="FootnoteText"/>
      </w:pPr>
      <w:r>
        <w:rPr>
          <w:rStyle w:val="FootnoteReference"/>
        </w:rPr>
        <w:footnoteRef/>
      </w:r>
      <w:r>
        <w:t xml:space="preserve"> </w:t>
      </w:r>
      <w:r>
        <w:tab/>
      </w:r>
      <w:r w:rsidRPr="00D07CFA">
        <w:rPr>
          <w:sz w:val="18"/>
          <w:szCs w:val="18"/>
          <w:lang w:val="fr-CH"/>
        </w:rPr>
        <w:t xml:space="preserve">Ordre de service </w:t>
      </w:r>
      <w:r w:rsidRPr="00D07CFA">
        <w:rPr>
          <w:rFonts w:cs="Calibri"/>
          <w:sz w:val="18"/>
          <w:szCs w:val="18"/>
          <w:lang w:val="fr-CH"/>
        </w:rPr>
        <w:t>13/09, promulgué par le Secrétaire général le 27 juin 2013</w:t>
      </w:r>
    </w:p>
  </w:footnote>
  <w:footnote w:id="4">
    <w:p w:rsidR="00F4407E" w:rsidRPr="002F4F7D" w:rsidRDefault="00F4407E" w:rsidP="00F16BEC">
      <w:pPr>
        <w:pStyle w:val="FootnoteText"/>
        <w:spacing w:before="40"/>
        <w:rPr>
          <w:lang w:val="fr-CH"/>
        </w:rPr>
      </w:pPr>
      <w:r w:rsidRPr="002869AC">
        <w:rPr>
          <w:rStyle w:val="FootnoteReference"/>
          <w:sz w:val="18"/>
          <w:szCs w:val="18"/>
        </w:rPr>
        <w:footnoteRef/>
      </w:r>
      <w:r w:rsidR="00F16BEC">
        <w:rPr>
          <w:lang w:val="fr-CH"/>
        </w:rPr>
        <w:tab/>
      </w:r>
      <w:r w:rsidRPr="002F4F7D">
        <w:rPr>
          <w:sz w:val="20"/>
          <w:lang w:val="fr-CH"/>
        </w:rPr>
        <w:t>I</w:t>
      </w:r>
      <w:r>
        <w:rPr>
          <w:sz w:val="20"/>
          <w:lang w:val="fr-CH"/>
        </w:rPr>
        <w:t>nstitut des auditeurs internes</w:t>
      </w:r>
      <w:r w:rsidRPr="002F4F7D">
        <w:rPr>
          <w:sz w:val="20"/>
          <w:lang w:val="fr-CH"/>
        </w:rPr>
        <w:t xml:space="preserve"> </w:t>
      </w:r>
      <w:hyperlink r:id="rId2" w:history="1">
        <w:r w:rsidRPr="002F4F7D">
          <w:rPr>
            <w:rStyle w:val="Hyperlink"/>
            <w:sz w:val="20"/>
            <w:lang w:val="fr-CH"/>
          </w:rPr>
          <w:t>www.theiia.org</w:t>
        </w:r>
      </w:hyperlink>
      <w:r w:rsidRPr="002F4F7D">
        <w:rPr>
          <w:rStyle w:val="Hyperlink"/>
          <w:sz w:val="20"/>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rsidR="00732045" w:rsidRDefault="0073204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27A7C" w:rsidP="00475FB3">
    <w:pPr>
      <w:pStyle w:val="Header"/>
    </w:pPr>
    <w:r>
      <w:fldChar w:fldCharType="begin"/>
    </w:r>
    <w:r>
      <w:instrText>PAGE</w:instrText>
    </w:r>
    <w:r>
      <w:fldChar w:fldCharType="separate"/>
    </w:r>
    <w:r w:rsidR="00082EC3">
      <w:rPr>
        <w:noProof/>
      </w:rPr>
      <w:t>9</w:t>
    </w:r>
    <w:r>
      <w:rPr>
        <w:noProof/>
      </w:rPr>
      <w:fldChar w:fldCharType="end"/>
    </w:r>
  </w:p>
  <w:p w:rsidR="00732045" w:rsidRDefault="00732045" w:rsidP="00F4407E">
    <w:pPr>
      <w:pStyle w:val="Header"/>
    </w:pPr>
    <w:r>
      <w:t>C1</w:t>
    </w:r>
    <w:r w:rsidR="0093234A">
      <w:t>7</w:t>
    </w:r>
    <w:r>
      <w:t>/</w:t>
    </w:r>
    <w:r w:rsidR="00F4407E">
      <w:t>44</w:t>
    </w:r>
    <w:r>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D548A"/>
    <w:multiLevelType w:val="hybridMultilevel"/>
    <w:tmpl w:val="A46AF6FC"/>
    <w:lvl w:ilvl="0" w:tplc="C902F800">
      <w:start w:val="1"/>
      <w:numFmt w:val="upperLetter"/>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8C314B"/>
    <w:multiLevelType w:val="hybridMultilevel"/>
    <w:tmpl w:val="A27E4584"/>
    <w:lvl w:ilvl="0" w:tplc="6A92C332">
      <w:start w:val="1"/>
      <w:numFmt w:val="decimal"/>
      <w:lvlText w:val="%1."/>
      <w:lvlJc w:val="left"/>
      <w:pPr>
        <w:ind w:left="502" w:hanging="360"/>
      </w:pPr>
      <w:rPr>
        <w:rFonts w:asciiTheme="minorHAnsi" w:hAnsiTheme="minorHAnsi"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07E"/>
    <w:rsid w:val="00082EC3"/>
    <w:rsid w:val="000B228D"/>
    <w:rsid w:val="000D0D0A"/>
    <w:rsid w:val="00103163"/>
    <w:rsid w:val="00115D93"/>
    <w:rsid w:val="001247A8"/>
    <w:rsid w:val="001378C0"/>
    <w:rsid w:val="0018694A"/>
    <w:rsid w:val="001A3287"/>
    <w:rsid w:val="001A6508"/>
    <w:rsid w:val="001D4C31"/>
    <w:rsid w:val="001E4D21"/>
    <w:rsid w:val="00207CD1"/>
    <w:rsid w:val="00226765"/>
    <w:rsid w:val="002477A2"/>
    <w:rsid w:val="00263A51"/>
    <w:rsid w:val="00267E02"/>
    <w:rsid w:val="002A5D44"/>
    <w:rsid w:val="002C384E"/>
    <w:rsid w:val="002E0BC4"/>
    <w:rsid w:val="002F1B76"/>
    <w:rsid w:val="00355FF5"/>
    <w:rsid w:val="00361350"/>
    <w:rsid w:val="004038CB"/>
    <w:rsid w:val="0040546F"/>
    <w:rsid w:val="0042404A"/>
    <w:rsid w:val="0044618F"/>
    <w:rsid w:val="0046769A"/>
    <w:rsid w:val="00475FB3"/>
    <w:rsid w:val="004C37A9"/>
    <w:rsid w:val="004F259E"/>
    <w:rsid w:val="00511F1D"/>
    <w:rsid w:val="00520F36"/>
    <w:rsid w:val="00540615"/>
    <w:rsid w:val="00540A6D"/>
    <w:rsid w:val="00571EEA"/>
    <w:rsid w:val="00575417"/>
    <w:rsid w:val="005768E1"/>
    <w:rsid w:val="005A4B0E"/>
    <w:rsid w:val="005B0EA6"/>
    <w:rsid w:val="005C3890"/>
    <w:rsid w:val="005F7BFE"/>
    <w:rsid w:val="00600017"/>
    <w:rsid w:val="006235CA"/>
    <w:rsid w:val="006643AB"/>
    <w:rsid w:val="006812CB"/>
    <w:rsid w:val="007210CD"/>
    <w:rsid w:val="00732045"/>
    <w:rsid w:val="007369DB"/>
    <w:rsid w:val="0079047F"/>
    <w:rsid w:val="007956C2"/>
    <w:rsid w:val="007A187E"/>
    <w:rsid w:val="007C72C2"/>
    <w:rsid w:val="007D4436"/>
    <w:rsid w:val="007F257A"/>
    <w:rsid w:val="007F3665"/>
    <w:rsid w:val="00800037"/>
    <w:rsid w:val="00814C82"/>
    <w:rsid w:val="00861D73"/>
    <w:rsid w:val="008A4E87"/>
    <w:rsid w:val="008D76E6"/>
    <w:rsid w:val="0092392D"/>
    <w:rsid w:val="0093234A"/>
    <w:rsid w:val="009C307F"/>
    <w:rsid w:val="009E086F"/>
    <w:rsid w:val="00A2113E"/>
    <w:rsid w:val="00A23A51"/>
    <w:rsid w:val="00A24607"/>
    <w:rsid w:val="00A25CD3"/>
    <w:rsid w:val="00A82767"/>
    <w:rsid w:val="00AA332F"/>
    <w:rsid w:val="00AA68E2"/>
    <w:rsid w:val="00AA7BBB"/>
    <w:rsid w:val="00AB64A8"/>
    <w:rsid w:val="00AC0266"/>
    <w:rsid w:val="00AD24EC"/>
    <w:rsid w:val="00B309F9"/>
    <w:rsid w:val="00B32B60"/>
    <w:rsid w:val="00B61619"/>
    <w:rsid w:val="00BB4545"/>
    <w:rsid w:val="00BD5873"/>
    <w:rsid w:val="00C04BE3"/>
    <w:rsid w:val="00C25D29"/>
    <w:rsid w:val="00C27A7C"/>
    <w:rsid w:val="00C93F5D"/>
    <w:rsid w:val="00CA08ED"/>
    <w:rsid w:val="00CF183B"/>
    <w:rsid w:val="00D0325F"/>
    <w:rsid w:val="00D375CD"/>
    <w:rsid w:val="00D553A2"/>
    <w:rsid w:val="00D774D3"/>
    <w:rsid w:val="00D904E8"/>
    <w:rsid w:val="00D924B6"/>
    <w:rsid w:val="00DA08C3"/>
    <w:rsid w:val="00DB58B2"/>
    <w:rsid w:val="00DB5A3E"/>
    <w:rsid w:val="00DC22AA"/>
    <w:rsid w:val="00DF74DD"/>
    <w:rsid w:val="00E25AD0"/>
    <w:rsid w:val="00E81B6E"/>
    <w:rsid w:val="00EB6350"/>
    <w:rsid w:val="00F15B57"/>
    <w:rsid w:val="00F16BEC"/>
    <w:rsid w:val="00F427DB"/>
    <w:rsid w:val="00F4407E"/>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1368AE6-82A1-4D83-B1FB-29C72761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link w:val="FooterChar"/>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link w:val="FootnoteTextChar"/>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styleId="ListParagraph">
    <w:name w:val="List Paragraph"/>
    <w:basedOn w:val="Normal"/>
    <w:uiPriority w:val="34"/>
    <w:qFormat/>
    <w:rsid w:val="00F4407E"/>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200" w:line="276" w:lineRule="auto"/>
      <w:ind w:left="720"/>
      <w:contextualSpacing/>
      <w:textAlignment w:val="auto"/>
    </w:pPr>
    <w:rPr>
      <w:rFonts w:ascii="Times New Roman" w:eastAsiaTheme="minorEastAsia" w:hAnsi="Times New Roman" w:cstheme="minorBidi"/>
      <w:sz w:val="22"/>
      <w:szCs w:val="22"/>
      <w:lang w:val="fr-CH" w:eastAsia="zh-CN"/>
    </w:rPr>
  </w:style>
  <w:style w:type="character" w:customStyle="1" w:styleId="Heading1Char">
    <w:name w:val="Heading 1 Char"/>
    <w:link w:val="Heading1"/>
    <w:rsid w:val="00F4407E"/>
    <w:rPr>
      <w:rFonts w:ascii="Calibri" w:hAnsi="Calibri"/>
      <w:b/>
      <w:sz w:val="28"/>
      <w:lang w:val="fr-FR" w:eastAsia="en-US"/>
    </w:rPr>
  </w:style>
  <w:style w:type="character" w:customStyle="1" w:styleId="FootnoteTextChar">
    <w:name w:val="Footnote Text Char"/>
    <w:link w:val="FootnoteText"/>
    <w:rsid w:val="00F4407E"/>
    <w:rPr>
      <w:rFonts w:ascii="Calibri" w:hAnsi="Calibri"/>
      <w:sz w:val="24"/>
      <w:lang w:val="fr-FR" w:eastAsia="en-US"/>
    </w:rPr>
  </w:style>
  <w:style w:type="character" w:customStyle="1" w:styleId="FooterChar">
    <w:name w:val="Footer Char"/>
    <w:basedOn w:val="DefaultParagraphFont"/>
    <w:link w:val="Footer"/>
    <w:rsid w:val="00082EC3"/>
    <w:rPr>
      <w:rFonts w:ascii="Calibri" w:hAnsi="Calibri"/>
      <w:caps/>
      <w:noProof/>
      <w:sz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u.int/md/S15-CL-INF-0011/en"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theiia.org" TargetMode="External"/><Relationship Id="rId1" Type="http://schemas.openxmlformats.org/officeDocument/2006/relationships/hyperlink" Target="http://www.thei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4FA56-C8C3-462F-9960-42B1DB1AE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4822</Words>
  <Characters>26375</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31135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2010</dc:subject>
  <dc:creator>Ferrer, Jacqueline</dc:creator>
  <cp:keywords>C2017, C17</cp:keywords>
  <dc:description/>
  <cp:lastModifiedBy>Janin</cp:lastModifiedBy>
  <cp:revision>4</cp:revision>
  <cp:lastPrinted>2000-07-18T08:55:00Z</cp:lastPrinted>
  <dcterms:created xsi:type="dcterms:W3CDTF">2017-04-25T13:57:00Z</dcterms:created>
  <dcterms:modified xsi:type="dcterms:W3CDTF">2017-04-25T14:01:00Z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