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763B8" w:rsidRPr="00813E5E" w14:paraId="624D8F40" w14:textId="77777777">
        <w:trPr>
          <w:cantSplit/>
        </w:trPr>
        <w:tc>
          <w:tcPr>
            <w:tcW w:w="6911" w:type="dxa"/>
          </w:tcPr>
          <w:p w14:paraId="7FDB3EB3" w14:textId="77777777" w:rsidR="00B763B8" w:rsidRPr="00813E5E" w:rsidRDefault="00B763B8" w:rsidP="00B763B8">
            <w:pPr>
              <w:spacing w:before="360" w:after="48" w:line="240" w:lineRule="atLeast"/>
              <w:rPr>
                <w:position w:val="6"/>
              </w:rPr>
            </w:pPr>
            <w:bookmarkStart w:id="0" w:name="dc06"/>
            <w:bookmarkStart w:id="1" w:name="_GoBack"/>
            <w:bookmarkEnd w:id="0"/>
            <w:bookmarkEnd w:id="1"/>
            <w:r w:rsidRPr="00B763B8">
              <w:rPr>
                <w:b/>
                <w:bCs/>
                <w:position w:val="6"/>
                <w:sz w:val="30"/>
                <w:szCs w:val="30"/>
                <w:lang w:val="fr-CH"/>
              </w:rPr>
              <w:t>Council 2017</w:t>
            </w:r>
            <w:r w:rsidRPr="00B763B8">
              <w:rPr>
                <w:rFonts w:cs="Times"/>
                <w:b/>
                <w:position w:val="6"/>
                <w:sz w:val="26"/>
                <w:szCs w:val="26"/>
                <w:lang w:val="en-US"/>
              </w:rPr>
              <w:br/>
            </w:r>
            <w:r w:rsidRPr="00B763B8">
              <w:rPr>
                <w:b/>
                <w:bCs/>
                <w:position w:val="6"/>
                <w:szCs w:val="24"/>
                <w:lang w:val="fr-CH"/>
              </w:rPr>
              <w:t>Geneva, 15-25 May 2017</w:t>
            </w:r>
          </w:p>
        </w:tc>
        <w:tc>
          <w:tcPr>
            <w:tcW w:w="3120" w:type="dxa"/>
          </w:tcPr>
          <w:p w14:paraId="19014F58" w14:textId="77777777" w:rsidR="00B763B8" w:rsidRPr="00813E5E" w:rsidRDefault="00B763B8" w:rsidP="00B763B8">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32EB1FFD" wp14:editId="0136EE67">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B763B8" w:rsidRPr="00813E5E" w14:paraId="7A92285C" w14:textId="77777777">
        <w:trPr>
          <w:cantSplit/>
        </w:trPr>
        <w:tc>
          <w:tcPr>
            <w:tcW w:w="6911" w:type="dxa"/>
            <w:tcBorders>
              <w:bottom w:val="single" w:sz="12" w:space="0" w:color="auto"/>
            </w:tcBorders>
          </w:tcPr>
          <w:p w14:paraId="547D7180" w14:textId="77777777" w:rsidR="00B763B8" w:rsidRPr="00813E5E" w:rsidRDefault="00B763B8">
            <w:pPr>
              <w:spacing w:before="0" w:after="48" w:line="240" w:lineRule="atLeast"/>
              <w:rPr>
                <w:b/>
                <w:smallCaps/>
                <w:szCs w:val="24"/>
              </w:rPr>
            </w:pPr>
          </w:p>
        </w:tc>
        <w:tc>
          <w:tcPr>
            <w:tcW w:w="3120" w:type="dxa"/>
            <w:tcBorders>
              <w:bottom w:val="single" w:sz="12" w:space="0" w:color="auto"/>
            </w:tcBorders>
          </w:tcPr>
          <w:p w14:paraId="6B7820E0" w14:textId="77777777" w:rsidR="00B763B8" w:rsidRPr="00813E5E" w:rsidRDefault="00B763B8">
            <w:pPr>
              <w:spacing w:before="0" w:line="240" w:lineRule="atLeast"/>
              <w:rPr>
                <w:szCs w:val="24"/>
              </w:rPr>
            </w:pPr>
          </w:p>
        </w:tc>
      </w:tr>
      <w:tr w:rsidR="00B763B8" w:rsidRPr="00813E5E" w14:paraId="29182A6C" w14:textId="77777777">
        <w:trPr>
          <w:cantSplit/>
        </w:trPr>
        <w:tc>
          <w:tcPr>
            <w:tcW w:w="6911" w:type="dxa"/>
            <w:tcBorders>
              <w:top w:val="single" w:sz="12" w:space="0" w:color="auto"/>
            </w:tcBorders>
          </w:tcPr>
          <w:p w14:paraId="54233C58" w14:textId="77777777" w:rsidR="00B763B8" w:rsidRPr="00813E5E" w:rsidRDefault="00B763B8" w:rsidP="00B763B8">
            <w:pPr>
              <w:spacing w:before="0" w:line="240" w:lineRule="atLeast"/>
              <w:rPr>
                <w:b/>
                <w:smallCaps/>
                <w:szCs w:val="24"/>
              </w:rPr>
            </w:pPr>
          </w:p>
        </w:tc>
        <w:tc>
          <w:tcPr>
            <w:tcW w:w="3120" w:type="dxa"/>
            <w:tcBorders>
              <w:top w:val="single" w:sz="12" w:space="0" w:color="auto"/>
            </w:tcBorders>
          </w:tcPr>
          <w:p w14:paraId="66CEDD99" w14:textId="77777777" w:rsidR="00B763B8" w:rsidRPr="00813E5E" w:rsidRDefault="00B763B8" w:rsidP="00B763B8">
            <w:pPr>
              <w:spacing w:before="0" w:line="240" w:lineRule="atLeast"/>
              <w:rPr>
                <w:szCs w:val="24"/>
              </w:rPr>
            </w:pPr>
          </w:p>
        </w:tc>
      </w:tr>
      <w:tr w:rsidR="00B763B8" w:rsidRPr="00813E5E" w14:paraId="01EEA413" w14:textId="77777777">
        <w:trPr>
          <w:cantSplit/>
          <w:trHeight w:val="23"/>
        </w:trPr>
        <w:tc>
          <w:tcPr>
            <w:tcW w:w="6911" w:type="dxa"/>
            <w:vMerge w:val="restart"/>
          </w:tcPr>
          <w:p w14:paraId="1F204408" w14:textId="77777777" w:rsidR="00B763B8" w:rsidRPr="00B763B8" w:rsidRDefault="00B763B8" w:rsidP="00B763B8">
            <w:pPr>
              <w:tabs>
                <w:tab w:val="left" w:pos="851"/>
              </w:tabs>
              <w:spacing w:before="0" w:line="240" w:lineRule="atLeast"/>
              <w:rPr>
                <w:b/>
              </w:rPr>
            </w:pPr>
            <w:bookmarkStart w:id="3" w:name="dmeeting" w:colFirst="0" w:colLast="0"/>
            <w:bookmarkStart w:id="4" w:name="dnum" w:colFirst="1" w:colLast="1"/>
            <w:r>
              <w:rPr>
                <w:b/>
              </w:rPr>
              <w:t xml:space="preserve">Agenda item: ADM 13 </w:t>
            </w:r>
          </w:p>
        </w:tc>
        <w:tc>
          <w:tcPr>
            <w:tcW w:w="3120" w:type="dxa"/>
          </w:tcPr>
          <w:p w14:paraId="33DEB5BB" w14:textId="77777777" w:rsidR="00B763B8" w:rsidRPr="00B763B8" w:rsidRDefault="00B763B8" w:rsidP="00B763B8">
            <w:pPr>
              <w:tabs>
                <w:tab w:val="left" w:pos="851"/>
              </w:tabs>
              <w:spacing w:before="0" w:line="240" w:lineRule="atLeast"/>
              <w:rPr>
                <w:b/>
              </w:rPr>
            </w:pPr>
            <w:r>
              <w:rPr>
                <w:b/>
              </w:rPr>
              <w:t>Document C17/44-E</w:t>
            </w:r>
          </w:p>
        </w:tc>
      </w:tr>
      <w:tr w:rsidR="00B763B8" w:rsidRPr="00813E5E" w14:paraId="29C0EF65" w14:textId="77777777">
        <w:trPr>
          <w:cantSplit/>
          <w:trHeight w:val="23"/>
        </w:trPr>
        <w:tc>
          <w:tcPr>
            <w:tcW w:w="6911" w:type="dxa"/>
            <w:vMerge/>
          </w:tcPr>
          <w:p w14:paraId="3B1917E9" w14:textId="77777777" w:rsidR="00B763B8" w:rsidRPr="00813E5E" w:rsidRDefault="00B763B8">
            <w:pPr>
              <w:tabs>
                <w:tab w:val="left" w:pos="851"/>
              </w:tabs>
              <w:spacing w:line="240" w:lineRule="atLeast"/>
              <w:rPr>
                <w:b/>
              </w:rPr>
            </w:pPr>
            <w:bookmarkStart w:id="5" w:name="ddate" w:colFirst="1" w:colLast="1"/>
            <w:bookmarkEnd w:id="3"/>
            <w:bookmarkEnd w:id="4"/>
          </w:p>
        </w:tc>
        <w:tc>
          <w:tcPr>
            <w:tcW w:w="3120" w:type="dxa"/>
          </w:tcPr>
          <w:p w14:paraId="4CB72987" w14:textId="77777777" w:rsidR="00B763B8" w:rsidRPr="00B763B8" w:rsidRDefault="00B763B8" w:rsidP="00B763B8">
            <w:pPr>
              <w:tabs>
                <w:tab w:val="left" w:pos="993"/>
              </w:tabs>
              <w:spacing w:before="0"/>
              <w:rPr>
                <w:b/>
              </w:rPr>
            </w:pPr>
            <w:r>
              <w:rPr>
                <w:b/>
              </w:rPr>
              <w:t>14 March 2017</w:t>
            </w:r>
          </w:p>
        </w:tc>
      </w:tr>
      <w:tr w:rsidR="00B763B8" w:rsidRPr="00813E5E" w14:paraId="29B4D0A1" w14:textId="77777777">
        <w:trPr>
          <w:cantSplit/>
          <w:trHeight w:val="23"/>
        </w:trPr>
        <w:tc>
          <w:tcPr>
            <w:tcW w:w="6911" w:type="dxa"/>
            <w:vMerge/>
          </w:tcPr>
          <w:p w14:paraId="69ACB6E0" w14:textId="77777777" w:rsidR="00B763B8" w:rsidRPr="00813E5E" w:rsidRDefault="00B763B8">
            <w:pPr>
              <w:tabs>
                <w:tab w:val="left" w:pos="851"/>
              </w:tabs>
              <w:spacing w:line="240" w:lineRule="atLeast"/>
              <w:rPr>
                <w:b/>
              </w:rPr>
            </w:pPr>
            <w:bookmarkStart w:id="6" w:name="dorlang" w:colFirst="1" w:colLast="1"/>
            <w:bookmarkEnd w:id="5"/>
          </w:p>
        </w:tc>
        <w:tc>
          <w:tcPr>
            <w:tcW w:w="3120" w:type="dxa"/>
          </w:tcPr>
          <w:p w14:paraId="21F0B0A1" w14:textId="77777777" w:rsidR="00B763B8" w:rsidRPr="00B763B8" w:rsidRDefault="00B763B8" w:rsidP="00B763B8">
            <w:pPr>
              <w:tabs>
                <w:tab w:val="left" w:pos="993"/>
              </w:tabs>
              <w:spacing w:before="0"/>
              <w:rPr>
                <w:b/>
              </w:rPr>
            </w:pPr>
            <w:r>
              <w:rPr>
                <w:b/>
              </w:rPr>
              <w:t>Original: English</w:t>
            </w:r>
          </w:p>
        </w:tc>
      </w:tr>
      <w:tr w:rsidR="00B763B8" w:rsidRPr="00813E5E" w14:paraId="5E34AC54" w14:textId="77777777">
        <w:trPr>
          <w:cantSplit/>
        </w:trPr>
        <w:tc>
          <w:tcPr>
            <w:tcW w:w="10031" w:type="dxa"/>
            <w:gridSpan w:val="2"/>
          </w:tcPr>
          <w:p w14:paraId="18B4768D" w14:textId="77777777" w:rsidR="00B763B8" w:rsidRPr="00813E5E" w:rsidRDefault="00B763B8">
            <w:pPr>
              <w:pStyle w:val="Source"/>
            </w:pPr>
            <w:bookmarkStart w:id="7" w:name="dsource" w:colFirst="0" w:colLast="0"/>
            <w:bookmarkEnd w:id="6"/>
            <w:r>
              <w:t>Report by the Secretary-General</w:t>
            </w:r>
          </w:p>
        </w:tc>
      </w:tr>
      <w:tr w:rsidR="00B763B8" w:rsidRPr="00813E5E" w14:paraId="6A4ED9B5" w14:textId="77777777">
        <w:trPr>
          <w:cantSplit/>
        </w:trPr>
        <w:tc>
          <w:tcPr>
            <w:tcW w:w="10031" w:type="dxa"/>
            <w:gridSpan w:val="2"/>
          </w:tcPr>
          <w:p w14:paraId="25C3F9B2" w14:textId="77777777" w:rsidR="00B763B8" w:rsidRPr="00813E5E" w:rsidRDefault="00B763B8">
            <w:pPr>
              <w:pStyle w:val="Title1"/>
            </w:pPr>
            <w:bookmarkStart w:id="8" w:name="dtitle1" w:colFirst="0" w:colLast="0"/>
            <w:bookmarkEnd w:id="7"/>
            <w:r w:rsidRPr="00B763B8">
              <w:t>REPORT OF THE INTERNAL AUDITOR ON INTERNAL AUDIT ACTIVITIES</w:t>
            </w:r>
          </w:p>
        </w:tc>
      </w:tr>
      <w:bookmarkEnd w:id="8"/>
    </w:tbl>
    <w:p w14:paraId="6E02EFDC" w14:textId="77777777" w:rsidR="00B763B8" w:rsidRPr="00813E5E" w:rsidRDefault="00B763B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763B8" w:rsidRPr="00813E5E" w14:paraId="612146D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1B8B579" w14:textId="77777777" w:rsidR="00B763B8" w:rsidRPr="00813E5E" w:rsidRDefault="00B763B8">
            <w:pPr>
              <w:pStyle w:val="Headingb"/>
            </w:pPr>
            <w:r w:rsidRPr="00813E5E">
              <w:t>Summary</w:t>
            </w:r>
          </w:p>
          <w:p w14:paraId="2616A1D3" w14:textId="77777777" w:rsidR="00B763B8" w:rsidRPr="00813E5E" w:rsidRDefault="00B763B8" w:rsidP="003144E5">
            <w:pPr>
              <w:jc w:val="both"/>
            </w:pPr>
            <w:r w:rsidRPr="00B763B8">
              <w:t>This report covers the internal audit activities for the period between March 2016 and February 2017.</w:t>
            </w:r>
          </w:p>
          <w:p w14:paraId="4D4ADE57" w14:textId="77777777" w:rsidR="00B763B8" w:rsidRPr="00813E5E" w:rsidRDefault="00B763B8" w:rsidP="003144E5">
            <w:pPr>
              <w:pStyle w:val="Headingb"/>
              <w:jc w:val="both"/>
            </w:pPr>
            <w:r w:rsidRPr="00813E5E">
              <w:t>Action required</w:t>
            </w:r>
          </w:p>
          <w:p w14:paraId="4C409369" w14:textId="77777777" w:rsidR="00B763B8" w:rsidRPr="00813E5E" w:rsidRDefault="00B763B8" w:rsidP="003144E5">
            <w:pPr>
              <w:jc w:val="both"/>
            </w:pPr>
            <w:r w:rsidRPr="00B763B8">
              <w:t xml:space="preserve">This report is transmitted to the Council </w:t>
            </w:r>
            <w:r w:rsidRPr="00B763B8">
              <w:rPr>
                <w:b/>
                <w:bCs/>
              </w:rPr>
              <w:t>for consideration</w:t>
            </w:r>
            <w:r w:rsidRPr="00B763B8">
              <w:t>.</w:t>
            </w:r>
          </w:p>
          <w:p w14:paraId="6463FAE2" w14:textId="77777777" w:rsidR="00B763B8" w:rsidRPr="00813E5E" w:rsidRDefault="00B763B8">
            <w:pPr>
              <w:pStyle w:val="Table"/>
              <w:keepNext w:val="0"/>
              <w:spacing w:before="0" w:after="0"/>
              <w:rPr>
                <w:rFonts w:ascii="Calibri" w:hAnsi="Calibri"/>
                <w:caps w:val="0"/>
                <w:sz w:val="22"/>
              </w:rPr>
            </w:pPr>
            <w:r w:rsidRPr="00813E5E">
              <w:rPr>
                <w:rFonts w:ascii="Calibri" w:hAnsi="Calibri"/>
                <w:caps w:val="0"/>
                <w:sz w:val="22"/>
              </w:rPr>
              <w:t>____________</w:t>
            </w:r>
          </w:p>
          <w:p w14:paraId="6A9CA4D6" w14:textId="77777777" w:rsidR="00B763B8" w:rsidRPr="00813E5E" w:rsidRDefault="00B763B8">
            <w:pPr>
              <w:pStyle w:val="Headingb"/>
            </w:pPr>
            <w:r w:rsidRPr="00813E5E">
              <w:t>References</w:t>
            </w:r>
          </w:p>
          <w:p w14:paraId="166CA5CC" w14:textId="77777777" w:rsidR="00B763B8" w:rsidRPr="00813E5E" w:rsidRDefault="00B763B8" w:rsidP="00B763B8">
            <w:pPr>
              <w:rPr>
                <w:i/>
                <w:iCs/>
              </w:rPr>
            </w:pPr>
            <w:r w:rsidRPr="00B763B8">
              <w:rPr>
                <w:i/>
                <w:iCs/>
              </w:rPr>
              <w:t>ITU Financial Regulations and Rules (2010), Article 29</w:t>
            </w:r>
          </w:p>
        </w:tc>
      </w:tr>
    </w:tbl>
    <w:p w14:paraId="54A7AE19" w14:textId="77777777" w:rsidR="00B763B8" w:rsidRPr="00B763B8" w:rsidRDefault="00B763B8" w:rsidP="00B763B8">
      <w:pPr>
        <w:pStyle w:val="Heading1"/>
        <w:keepNext w:val="0"/>
        <w:keepLines w:val="0"/>
        <w:tabs>
          <w:tab w:val="clear" w:pos="567"/>
          <w:tab w:val="clear" w:pos="1134"/>
          <w:tab w:val="clear" w:pos="1701"/>
          <w:tab w:val="clear" w:pos="2268"/>
          <w:tab w:val="clear" w:pos="2835"/>
        </w:tabs>
        <w:snapToGrid w:val="0"/>
        <w:spacing w:after="120"/>
        <w:ind w:left="0" w:firstLine="0"/>
        <w:rPr>
          <w:rFonts w:asciiTheme="minorHAnsi" w:hAnsiTheme="minorHAnsi" w:cstheme="minorHAnsi"/>
          <w:szCs w:val="28"/>
        </w:rPr>
      </w:pPr>
      <w:bookmarkStart w:id="9" w:name="dstart"/>
      <w:bookmarkStart w:id="10" w:name="dbreak"/>
      <w:bookmarkEnd w:id="9"/>
      <w:bookmarkEnd w:id="10"/>
      <w:r w:rsidRPr="00B763B8">
        <w:rPr>
          <w:rFonts w:asciiTheme="minorHAnsi" w:hAnsiTheme="minorHAnsi" w:cstheme="minorHAnsi"/>
          <w:szCs w:val="28"/>
        </w:rPr>
        <w:t>Introduction</w:t>
      </w:r>
    </w:p>
    <w:p w14:paraId="3FCEE8EC" w14:textId="77777777" w:rsidR="00B763B8" w:rsidRPr="00B763B8" w:rsidRDefault="00B763B8" w:rsidP="00B763B8">
      <w:pPr>
        <w:pStyle w:val="Normalaftertitle"/>
        <w:numPr>
          <w:ilvl w:val="0"/>
          <w:numId w:val="2"/>
        </w:numPr>
        <w:tabs>
          <w:tab w:val="clear" w:pos="567"/>
          <w:tab w:val="clear" w:pos="1134"/>
          <w:tab w:val="clear" w:pos="1701"/>
          <w:tab w:val="clear" w:pos="2268"/>
          <w:tab w:val="clear" w:pos="2835"/>
        </w:tabs>
        <w:overflowPunct/>
        <w:autoSpaceDE/>
        <w:autoSpaceDN/>
        <w:snapToGrid w:val="0"/>
        <w:spacing w:before="120" w:after="120"/>
        <w:ind w:left="0" w:firstLine="0"/>
        <w:jc w:val="both"/>
        <w:textAlignment w:val="auto"/>
        <w:rPr>
          <w:rFonts w:asciiTheme="minorHAnsi" w:hAnsiTheme="minorHAnsi" w:cstheme="minorHAnsi"/>
          <w:szCs w:val="24"/>
        </w:rPr>
      </w:pPr>
      <w:r w:rsidRPr="00B763B8">
        <w:rPr>
          <w:rFonts w:asciiTheme="minorHAnsi" w:hAnsiTheme="minorHAnsi" w:cstheme="minorHAnsi"/>
          <w:szCs w:val="24"/>
        </w:rPr>
        <w:t>This report is transmitted to the Council and responds to Article 29 of the Financial Regulations (2010). In accordance with the ITU Internal Audit charter,</w:t>
      </w:r>
      <w:r w:rsidRPr="00B763B8">
        <w:rPr>
          <w:rStyle w:val="FootnoteReference"/>
          <w:rFonts w:asciiTheme="minorHAnsi" w:hAnsiTheme="minorHAnsi" w:cstheme="minorHAnsi"/>
          <w:sz w:val="18"/>
          <w:szCs w:val="18"/>
        </w:rPr>
        <w:footnoteReference w:id="1"/>
      </w:r>
      <w:r w:rsidRPr="00B763B8">
        <w:rPr>
          <w:rFonts w:asciiTheme="minorHAnsi" w:hAnsiTheme="minorHAnsi" w:cstheme="minorHAnsi"/>
          <w:szCs w:val="24"/>
        </w:rPr>
        <w:t xml:space="preserve"> this report is submitted to the Secretary-General and presented to the Council for consideration. The current report covers activities from the period between </w:t>
      </w:r>
      <w:r w:rsidRPr="00B763B8">
        <w:rPr>
          <w:rFonts w:asciiTheme="minorHAnsi" w:hAnsiTheme="minorHAnsi" w:cstheme="minorHAnsi"/>
          <w:color w:val="000000" w:themeColor="text1"/>
          <w:szCs w:val="24"/>
        </w:rPr>
        <w:t>March 2016 and February 2017.</w:t>
      </w:r>
    </w:p>
    <w:p w14:paraId="7FCA7887" w14:textId="77777777" w:rsidR="00B763B8" w:rsidRPr="00B763B8" w:rsidRDefault="00B763B8" w:rsidP="003144E5">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 xml:space="preserve">For the period reported on, the Internal Audit Unit comprised </w:t>
      </w:r>
      <w:r w:rsidR="003144E5">
        <w:rPr>
          <w:rFonts w:asciiTheme="minorHAnsi" w:hAnsiTheme="minorHAnsi" w:cstheme="minorHAnsi"/>
          <w:sz w:val="24"/>
          <w:szCs w:val="24"/>
          <w:lang w:val="en-US"/>
        </w:rPr>
        <w:t xml:space="preserve">– </w:t>
      </w:r>
      <w:r w:rsidRPr="00B763B8">
        <w:rPr>
          <w:rFonts w:asciiTheme="minorHAnsi" w:hAnsiTheme="minorHAnsi" w:cstheme="minorHAnsi"/>
          <w:sz w:val="24"/>
          <w:szCs w:val="24"/>
          <w:lang w:val="en-US"/>
        </w:rPr>
        <w:t>for the whole duration</w:t>
      </w:r>
      <w:r w:rsidR="003144E5">
        <w:rPr>
          <w:rFonts w:asciiTheme="minorHAnsi" w:hAnsiTheme="minorHAnsi" w:cstheme="minorHAnsi"/>
          <w:sz w:val="24"/>
          <w:szCs w:val="24"/>
          <w:lang w:val="en-US"/>
        </w:rPr>
        <w:t xml:space="preserve"> – two P</w:t>
      </w:r>
      <w:r w:rsidRPr="00B763B8">
        <w:rPr>
          <w:rFonts w:asciiTheme="minorHAnsi" w:hAnsiTheme="minorHAnsi" w:cstheme="minorHAnsi"/>
          <w:sz w:val="24"/>
          <w:szCs w:val="24"/>
          <w:lang w:val="en-US"/>
        </w:rPr>
        <w:t>rofessional staff – a P.5 (Head of the Unit) and a P.2 (Junior Internal Auditor). Until June 2016 there was also a P.3 (Internal Auditor) on an interim basis while the post was advertised but the temporary incumbent fell sick for a reasonably long period; the lack of work force was compensated by contracting a part-time consultant (15 August 2016</w:t>
      </w:r>
      <w:r w:rsidR="003144E5">
        <w:rPr>
          <w:rFonts w:asciiTheme="minorHAnsi" w:hAnsiTheme="minorHAnsi" w:cstheme="minorHAnsi"/>
          <w:sz w:val="24"/>
          <w:szCs w:val="24"/>
          <w:lang w:val="en-US"/>
        </w:rPr>
        <w:t xml:space="preserve"> – </w:t>
      </w:r>
      <w:r w:rsidRPr="00B763B8">
        <w:rPr>
          <w:rFonts w:asciiTheme="minorHAnsi" w:hAnsiTheme="minorHAnsi" w:cstheme="minorHAnsi"/>
          <w:sz w:val="24"/>
          <w:szCs w:val="24"/>
          <w:lang w:val="en-US"/>
        </w:rPr>
        <w:t>31 October 2016) and then another part-time consultant (1 December 2016</w:t>
      </w:r>
      <w:r w:rsidR="008F5E02">
        <w:rPr>
          <w:rFonts w:asciiTheme="minorHAnsi" w:hAnsiTheme="minorHAnsi" w:cstheme="minorHAnsi"/>
          <w:sz w:val="24"/>
          <w:szCs w:val="24"/>
          <w:lang w:val="en-US"/>
        </w:rPr>
        <w:t xml:space="preserve"> </w:t>
      </w:r>
      <w:r w:rsidR="003144E5">
        <w:rPr>
          <w:rFonts w:asciiTheme="minorHAnsi" w:hAnsiTheme="minorHAnsi" w:cstheme="minorHAnsi"/>
          <w:sz w:val="24"/>
          <w:szCs w:val="24"/>
          <w:lang w:val="en-US"/>
        </w:rPr>
        <w:t xml:space="preserve">– </w:t>
      </w:r>
      <w:r w:rsidRPr="00B763B8">
        <w:rPr>
          <w:rFonts w:asciiTheme="minorHAnsi" w:hAnsiTheme="minorHAnsi" w:cstheme="minorHAnsi"/>
          <w:sz w:val="24"/>
          <w:szCs w:val="24"/>
          <w:lang w:val="en-US"/>
        </w:rPr>
        <w:t xml:space="preserve">28 February 2017). A General Services staff (Audit Assistant) was working in the Unit on a full-time basis. </w:t>
      </w:r>
    </w:p>
    <w:p w14:paraId="157EC83C" w14:textId="77777777" w:rsidR="00B763B8" w:rsidRPr="00B763B8" w:rsidRDefault="00B763B8" w:rsidP="00B763B8">
      <w:pPr>
        <w:pStyle w:val="ListParagraph"/>
        <w:tabs>
          <w:tab w:val="clear" w:pos="794"/>
          <w:tab w:val="clear" w:pos="1191"/>
          <w:tab w:val="clear" w:pos="1588"/>
          <w:tab w:val="clear" w:pos="1985"/>
        </w:tabs>
        <w:adjustRightInd w:val="0"/>
        <w:snapToGrid w:val="0"/>
        <w:spacing w:before="120" w:after="120" w:line="240" w:lineRule="auto"/>
        <w:ind w:left="0"/>
        <w:contextualSpacing w:val="0"/>
        <w:jc w:val="both"/>
        <w:rPr>
          <w:rFonts w:asciiTheme="minorHAnsi" w:hAnsiTheme="minorHAnsi" w:cstheme="minorHAnsi"/>
          <w:sz w:val="24"/>
          <w:szCs w:val="24"/>
          <w:lang w:val="en-US"/>
        </w:rPr>
      </w:pPr>
      <w:r w:rsidRPr="00B763B8">
        <w:rPr>
          <w:rFonts w:asciiTheme="minorHAnsi" w:hAnsiTheme="minorHAnsi" w:cstheme="minorHAnsi"/>
          <w:color w:val="000000"/>
          <w:sz w:val="24"/>
          <w:szCs w:val="24"/>
          <w:lang w:val="en-US"/>
        </w:rPr>
        <w:t>Today t</w:t>
      </w:r>
      <w:r w:rsidR="003144E5">
        <w:rPr>
          <w:rFonts w:asciiTheme="minorHAnsi" w:hAnsiTheme="minorHAnsi" w:cstheme="minorHAnsi"/>
          <w:color w:val="000000"/>
          <w:sz w:val="24"/>
          <w:szCs w:val="24"/>
          <w:lang w:val="en-US"/>
        </w:rPr>
        <w:t xml:space="preserve">he Unit consists thus of three </w:t>
      </w:r>
      <w:r w:rsidR="003144E5" w:rsidRPr="00126B36">
        <w:rPr>
          <w:rStyle w:val="Emphasis"/>
          <w:lang w:val="en-US"/>
        </w:rPr>
        <w:t>P</w:t>
      </w:r>
      <w:r w:rsidRPr="00126B36">
        <w:rPr>
          <w:rStyle w:val="Emphasis"/>
          <w:lang w:val="en-US"/>
        </w:rPr>
        <w:t>rofessional</w:t>
      </w:r>
      <w:r w:rsidRPr="00B763B8">
        <w:rPr>
          <w:rFonts w:asciiTheme="minorHAnsi" w:hAnsiTheme="minorHAnsi" w:cstheme="minorHAnsi"/>
          <w:color w:val="000000"/>
          <w:sz w:val="24"/>
          <w:szCs w:val="24"/>
          <w:lang w:val="en-US"/>
        </w:rPr>
        <w:t xml:space="preserve"> posts and one General Services post</w:t>
      </w:r>
      <w:r w:rsidRPr="00B763B8">
        <w:rPr>
          <w:rFonts w:asciiTheme="minorHAnsi" w:hAnsiTheme="minorHAnsi" w:cstheme="minorHAnsi"/>
          <w:sz w:val="24"/>
          <w:szCs w:val="24"/>
          <w:lang w:val="en-US"/>
        </w:rPr>
        <w:t>.</w:t>
      </w:r>
    </w:p>
    <w:p w14:paraId="3BD45C92" w14:textId="77777777" w:rsidR="00B763B8" w:rsidRPr="00B763B8" w:rsidRDefault="00B763B8" w:rsidP="00B763B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 xml:space="preserve">Internal Audit (IA) confirms that it conducts its audits in accordance with the International Standards for the Professional Practice of Internal Auditing and the Code of Ethics established by </w:t>
      </w:r>
      <w:r w:rsidRPr="00B763B8">
        <w:rPr>
          <w:rFonts w:asciiTheme="minorHAnsi" w:hAnsiTheme="minorHAnsi" w:cstheme="minorHAnsi"/>
          <w:sz w:val="24"/>
          <w:szCs w:val="24"/>
          <w:lang w:val="en-US"/>
        </w:rPr>
        <w:lastRenderedPageBreak/>
        <w:t>the Institute of Internal Auditors</w:t>
      </w:r>
      <w:r w:rsidRPr="002869AC">
        <w:rPr>
          <w:rStyle w:val="FootnoteReference"/>
          <w:rFonts w:asciiTheme="minorHAnsi" w:hAnsiTheme="minorHAnsi" w:cstheme="minorHAnsi"/>
          <w:sz w:val="18"/>
          <w:szCs w:val="18"/>
        </w:rPr>
        <w:footnoteReference w:id="2"/>
      </w:r>
      <w:r w:rsidRPr="00B763B8">
        <w:rPr>
          <w:rFonts w:asciiTheme="minorHAnsi" w:hAnsiTheme="minorHAnsi" w:cstheme="minorHAnsi"/>
          <w:sz w:val="24"/>
          <w:szCs w:val="24"/>
          <w:lang w:val="en-US"/>
        </w:rPr>
        <w:t xml:space="preserve"> (IIA), as well as with the provisions of the ITU Internal Audit Charter.</w:t>
      </w:r>
      <w:r w:rsidRPr="002869AC">
        <w:rPr>
          <w:rStyle w:val="FootnoteReference"/>
          <w:rFonts w:asciiTheme="minorHAnsi" w:hAnsiTheme="minorHAnsi" w:cstheme="minorHAnsi"/>
          <w:sz w:val="18"/>
          <w:szCs w:val="18"/>
        </w:rPr>
        <w:footnoteReference w:id="3"/>
      </w:r>
      <w:r w:rsidRPr="00B763B8">
        <w:rPr>
          <w:rFonts w:asciiTheme="minorHAnsi" w:hAnsiTheme="minorHAnsi" w:cstheme="minorHAnsi"/>
          <w:sz w:val="24"/>
          <w:szCs w:val="24"/>
          <w:lang w:val="en-US"/>
        </w:rPr>
        <w:t xml:space="preserve"> In addition, IA confirms that, for the period reported on, its staff had no managerial authority over, nor responsibility for any of the activities audited and did not perform accounting or operational functions within ITU.</w:t>
      </w:r>
    </w:p>
    <w:p w14:paraId="5CF01E69" w14:textId="77777777" w:rsidR="00B763B8" w:rsidRPr="00B763B8" w:rsidRDefault="00B763B8" w:rsidP="00B763B8">
      <w:pPr>
        <w:pStyle w:val="Heading1"/>
        <w:keepNext w:val="0"/>
        <w:keepLines w:val="0"/>
        <w:tabs>
          <w:tab w:val="clear" w:pos="567"/>
          <w:tab w:val="clear" w:pos="1134"/>
          <w:tab w:val="clear" w:pos="1701"/>
          <w:tab w:val="clear" w:pos="2268"/>
          <w:tab w:val="clear" w:pos="2835"/>
        </w:tabs>
        <w:snapToGrid w:val="0"/>
        <w:spacing w:after="120"/>
        <w:ind w:left="0" w:firstLine="0"/>
        <w:rPr>
          <w:rFonts w:asciiTheme="minorHAnsi" w:hAnsiTheme="minorHAnsi" w:cstheme="minorHAnsi"/>
          <w:szCs w:val="28"/>
          <w:lang w:val="en-CA"/>
        </w:rPr>
      </w:pPr>
      <w:r w:rsidRPr="00B763B8">
        <w:rPr>
          <w:rFonts w:asciiTheme="minorHAnsi" w:hAnsiTheme="minorHAnsi" w:cstheme="minorHAnsi"/>
          <w:szCs w:val="28"/>
          <w:lang w:val="en-CA"/>
        </w:rPr>
        <w:t>Orientation and scope of the internal audit activities</w:t>
      </w:r>
    </w:p>
    <w:p w14:paraId="02CB8607" w14:textId="77777777" w:rsidR="00B763B8" w:rsidRPr="00B763B8" w:rsidRDefault="00B763B8" w:rsidP="008F5E02">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CA"/>
        </w:rPr>
        <w:t>In line with the IA Charter, t</w:t>
      </w:r>
      <w:r w:rsidRPr="00B763B8">
        <w:rPr>
          <w:rFonts w:asciiTheme="minorHAnsi" w:hAnsiTheme="minorHAnsi" w:cstheme="minorHAnsi"/>
          <w:sz w:val="24"/>
          <w:szCs w:val="24"/>
          <w:lang w:val="en-US"/>
        </w:rPr>
        <w:t xml:space="preserve">he proposed IA plan for 2016 was reviewed by the Independent Management Advisory Committee (IMAC) in February 2016 and subsequently approved by the Secretary-General. It was also communicated to the External Auditor in an effort to promote efficiency and coordination. The orientation of the audit work was mainly towards the areas of assurance engagements. One of the </w:t>
      </w:r>
      <w:r w:rsidR="008F5E02">
        <w:rPr>
          <w:rFonts w:asciiTheme="minorHAnsi" w:hAnsiTheme="minorHAnsi" w:cstheme="minorHAnsi"/>
          <w:sz w:val="24"/>
          <w:szCs w:val="24"/>
          <w:lang w:val="en-US"/>
        </w:rPr>
        <w:t>seven</w:t>
      </w:r>
      <w:r w:rsidRPr="00B763B8">
        <w:rPr>
          <w:rFonts w:asciiTheme="minorHAnsi" w:hAnsiTheme="minorHAnsi" w:cstheme="minorHAnsi"/>
          <w:sz w:val="24"/>
          <w:szCs w:val="24"/>
          <w:lang w:val="en-US"/>
        </w:rPr>
        <w:t xml:space="preserve"> planned audits was not performed (due to extensive attention given to the topic by the inter-sectoral task force) and another audit extended into 2017. </w:t>
      </w:r>
    </w:p>
    <w:p w14:paraId="54E172E3" w14:textId="77777777" w:rsidR="00B763B8" w:rsidRPr="00B763B8" w:rsidRDefault="00B763B8" w:rsidP="00B763B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 xml:space="preserve">IA systematically shares copies of internal audit reports with the ITU External Auditor and with the IMAC. In accordance with ITU Financial Regulation 29.5, final internal audit reports can be made available to Member States or their designated representatives. A facilitated mechanism for accessing internal audit reports is in place since October 2015. During the period reported on, two requests for accessing internal audit reports were received via the online mechanism. These requests </w:t>
      </w:r>
      <w:r w:rsidRPr="00B763B8">
        <w:rPr>
          <w:rFonts w:asciiTheme="minorHAnsi" w:hAnsiTheme="minorHAnsi" w:cstheme="minorHAnsi"/>
          <w:bCs/>
          <w:iCs/>
          <w:color w:val="000000"/>
          <w:sz w:val="24"/>
          <w:szCs w:val="24"/>
          <w:lang w:val="en-US"/>
        </w:rPr>
        <w:t>were responded to, including the management response available (on the current state of implementation of the recommendations). ITU was commended by the JIU that, when sharing reports with Member States the response and current state of implementation of recommendations is included in the response to the Member State Delegation (refer to JIU report 2016/8 - State of the Internal Audit Function in the UN system - § 197).</w:t>
      </w:r>
      <w:r w:rsidRPr="00B763B8">
        <w:rPr>
          <w:rFonts w:asciiTheme="minorHAnsi" w:hAnsiTheme="minorHAnsi" w:cstheme="minorHAnsi"/>
          <w:sz w:val="24"/>
          <w:szCs w:val="24"/>
          <w:lang w:val="en-US"/>
        </w:rPr>
        <w:t xml:space="preserve"> </w:t>
      </w:r>
    </w:p>
    <w:p w14:paraId="68015F15" w14:textId="77777777" w:rsidR="00B763B8" w:rsidRPr="00B763B8" w:rsidRDefault="00B763B8" w:rsidP="00B763B8">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cstheme="minorHAnsi"/>
          <w:szCs w:val="28"/>
          <w:lang w:val="en-CA"/>
        </w:rPr>
      </w:pPr>
      <w:r w:rsidRPr="00B763B8">
        <w:rPr>
          <w:rFonts w:asciiTheme="minorHAnsi" w:hAnsiTheme="minorHAnsi" w:cstheme="minorHAnsi"/>
          <w:szCs w:val="28"/>
          <w:lang w:val="en-CA"/>
        </w:rPr>
        <w:t>Objectives and conclusions of the assurance engagements</w:t>
      </w:r>
    </w:p>
    <w:p w14:paraId="17A999B3" w14:textId="77777777" w:rsidR="00B763B8" w:rsidRPr="00B763B8" w:rsidRDefault="00B763B8" w:rsidP="00B763B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The objectives of the assurance engagements were to assess</w:t>
      </w:r>
      <w:r w:rsidR="003144E5">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(i) the governance aspects of</w:t>
      </w:r>
      <w:r w:rsidR="003144E5">
        <w:rPr>
          <w:rFonts w:asciiTheme="minorHAnsi" w:hAnsiTheme="minorHAnsi" w:cstheme="minorHAnsi"/>
          <w:sz w:val="24"/>
          <w:szCs w:val="24"/>
          <w:lang w:val="en-US"/>
        </w:rPr>
        <w:t xml:space="preserve"> the Union’s operations audited;</w:t>
      </w:r>
      <w:r w:rsidRPr="00B763B8">
        <w:rPr>
          <w:rFonts w:asciiTheme="minorHAnsi" w:hAnsiTheme="minorHAnsi" w:cstheme="minorHAnsi"/>
          <w:sz w:val="24"/>
          <w:szCs w:val="24"/>
          <w:lang w:val="en-US"/>
        </w:rPr>
        <w:t xml:space="preserve"> (ii) the risk management practices</w:t>
      </w:r>
      <w:r w:rsidR="003144E5">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(iii) the effectiveness of (internal) controls. The priority of the recommendations resulting from the audit work is classified according to the impact and likelihood of the deficiency (critical, high, medium, low).</w:t>
      </w:r>
    </w:p>
    <w:p w14:paraId="607A1F2C" w14:textId="77777777" w:rsidR="00B763B8" w:rsidRPr="00B763B8" w:rsidRDefault="00B763B8" w:rsidP="00E76CE6">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B763B8">
        <w:rPr>
          <w:rFonts w:asciiTheme="minorHAnsi" w:hAnsiTheme="minorHAnsi" w:cstheme="minorHAnsi"/>
          <w:szCs w:val="24"/>
        </w:rPr>
        <w:t>Based on the various assurance engagements performed, IA concluded that, overall, the transactions and processes are in compliance with procedures and established practices. In some instances however the governance, risk management processes and internal controls are not sufficiently adequate and effective. For some of the audits, improvement in these areas would allow IA to provide to the Secretary-General reasonable assurance that there is adequate governance and risk management, and that controls are effe</w:t>
      </w:r>
      <w:r w:rsidR="00E76CE6">
        <w:rPr>
          <w:rFonts w:asciiTheme="minorHAnsi" w:hAnsiTheme="minorHAnsi" w:cstheme="minorHAnsi"/>
          <w:szCs w:val="24"/>
        </w:rPr>
        <w:t>ctive. Recommendations made to m</w:t>
      </w:r>
      <w:r w:rsidRPr="00B763B8">
        <w:rPr>
          <w:rFonts w:asciiTheme="minorHAnsi" w:hAnsiTheme="minorHAnsi" w:cstheme="minorHAnsi"/>
          <w:szCs w:val="24"/>
        </w:rPr>
        <w:t>anagement are being actioned, with the support of the Secretary-General, and this will further strengthen ITU to fulfil its mandate.</w:t>
      </w:r>
    </w:p>
    <w:p w14:paraId="480ACF33" w14:textId="77777777" w:rsidR="00B763B8" w:rsidRPr="00B763B8" w:rsidRDefault="00B763B8" w:rsidP="00B763B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The implementation of recommended actions is followed up by IA, as and when required (see also paragraph on follow-up further in this report).</w:t>
      </w:r>
    </w:p>
    <w:p w14:paraId="61BBA6CD" w14:textId="77777777" w:rsidR="00B763B8" w:rsidRPr="00B763B8" w:rsidRDefault="00B763B8" w:rsidP="00B763B8">
      <w:pPr>
        <w:tabs>
          <w:tab w:val="clear" w:pos="567"/>
          <w:tab w:val="clear" w:pos="1134"/>
          <w:tab w:val="clear" w:pos="1701"/>
          <w:tab w:val="clear" w:pos="2268"/>
          <w:tab w:val="clear" w:pos="2835"/>
        </w:tabs>
        <w:snapToGrid w:val="0"/>
        <w:spacing w:after="120"/>
        <w:jc w:val="both"/>
        <w:rPr>
          <w:rFonts w:asciiTheme="minorHAnsi" w:hAnsiTheme="minorHAnsi" w:cstheme="minorHAnsi"/>
          <w:i/>
          <w:iCs/>
          <w:szCs w:val="24"/>
        </w:rPr>
      </w:pPr>
      <w:r w:rsidRPr="00B763B8">
        <w:rPr>
          <w:rFonts w:asciiTheme="minorHAnsi" w:hAnsiTheme="minorHAnsi" w:cstheme="minorHAnsi"/>
          <w:i/>
          <w:iCs/>
          <w:szCs w:val="24"/>
        </w:rPr>
        <w:t>The following assurance engagements have been conducted:</w:t>
      </w:r>
    </w:p>
    <w:p w14:paraId="76FAE70D" w14:textId="77777777" w:rsidR="00B763B8" w:rsidRPr="00B763B8" w:rsidRDefault="00B763B8" w:rsidP="00913616">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after="120"/>
        <w:ind w:left="709" w:firstLine="0"/>
        <w:textAlignment w:val="auto"/>
        <w:rPr>
          <w:rFonts w:asciiTheme="minorHAnsi" w:hAnsiTheme="minorHAnsi" w:cstheme="minorHAnsi"/>
          <w:b/>
          <w:bCs/>
          <w:i/>
          <w:iCs/>
          <w:szCs w:val="24"/>
        </w:rPr>
      </w:pPr>
      <w:r w:rsidRPr="00B763B8">
        <w:rPr>
          <w:rFonts w:asciiTheme="minorHAnsi" w:hAnsiTheme="minorHAnsi" w:cstheme="minorHAnsi"/>
          <w:b/>
          <w:bCs/>
          <w:i/>
          <w:iCs/>
          <w:szCs w:val="24"/>
        </w:rPr>
        <w:lastRenderedPageBreak/>
        <w:t xml:space="preserve">Audit of the Use of paper internally in the </w:t>
      </w:r>
      <w:r w:rsidR="00913616">
        <w:rPr>
          <w:rFonts w:asciiTheme="minorHAnsi" w:hAnsiTheme="minorHAnsi" w:cstheme="minorHAnsi"/>
          <w:b/>
          <w:bCs/>
          <w:i/>
          <w:iCs/>
          <w:szCs w:val="24"/>
        </w:rPr>
        <w:t>s</w:t>
      </w:r>
      <w:r w:rsidRPr="00B763B8">
        <w:rPr>
          <w:rFonts w:asciiTheme="minorHAnsi" w:hAnsiTheme="minorHAnsi" w:cstheme="minorHAnsi"/>
          <w:b/>
          <w:bCs/>
          <w:i/>
          <w:iCs/>
          <w:szCs w:val="24"/>
        </w:rPr>
        <w:t xml:space="preserve">ecretariat </w:t>
      </w:r>
    </w:p>
    <w:p w14:paraId="127EE319" w14:textId="77777777" w:rsidR="00B763B8" w:rsidRPr="00B763B8" w:rsidRDefault="00B763B8" w:rsidP="00913616">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 xml:space="preserve">The main purpose of the audit was to assess the use of paper internally in the </w:t>
      </w:r>
      <w:r w:rsidR="00913616">
        <w:rPr>
          <w:rFonts w:asciiTheme="minorHAnsi" w:hAnsiTheme="minorHAnsi" w:cstheme="minorHAnsi"/>
          <w:sz w:val="24"/>
          <w:szCs w:val="24"/>
          <w:lang w:val="en-US"/>
        </w:rPr>
        <w:t>s</w:t>
      </w:r>
      <w:r w:rsidRPr="00B763B8">
        <w:rPr>
          <w:rFonts w:asciiTheme="minorHAnsi" w:hAnsiTheme="minorHAnsi" w:cstheme="minorHAnsi"/>
          <w:sz w:val="24"/>
          <w:szCs w:val="24"/>
          <w:lang w:val="en-US"/>
        </w:rPr>
        <w:t>ecretariat and ensure it is reduced to an acceptable level. Costs for purchasing paper amounts to an average of almost CHF 36’000 per year for the period reviewed (</w:t>
      </w:r>
      <w:r w:rsidRPr="00B763B8">
        <w:rPr>
          <w:rFonts w:asciiTheme="minorHAnsi" w:hAnsiTheme="minorHAnsi" w:cstheme="minorHAnsi"/>
          <w:sz w:val="24"/>
          <w:szCs w:val="24"/>
          <w:lang w:val="en-GB"/>
        </w:rPr>
        <w:t>January 2010 to December 2015)</w:t>
      </w:r>
      <w:r w:rsidRPr="00B763B8">
        <w:rPr>
          <w:rFonts w:asciiTheme="minorHAnsi" w:hAnsiTheme="minorHAnsi" w:cstheme="minorHAnsi"/>
          <w:sz w:val="24"/>
          <w:szCs w:val="24"/>
          <w:lang w:val="en-US"/>
        </w:rPr>
        <w:t>, with about one third of that paper being used by Reprography for publications and/or event/conference documents.</w:t>
      </w:r>
    </w:p>
    <w:p w14:paraId="28DAF5D9" w14:textId="77777777" w:rsidR="00B763B8" w:rsidRPr="00B763B8" w:rsidRDefault="00B763B8" w:rsidP="00E76CE6">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 xml:space="preserve">It was concluded that consumption of paper can be identified through various sources and a significant reduction of the paper consumed over the years was observed. IA also noted that initiatives such as electronic voting, electronic archiving and electronic conference/event documentation are steps towards an economic and ecological use of resources. It was also concluded that monitoring tools of paper consumption internally in the </w:t>
      </w:r>
      <w:r w:rsidR="00913616">
        <w:rPr>
          <w:rFonts w:asciiTheme="minorHAnsi" w:hAnsiTheme="minorHAnsi" w:cstheme="minorHAnsi"/>
          <w:sz w:val="24"/>
          <w:szCs w:val="24"/>
          <w:lang w:val="en-US"/>
        </w:rPr>
        <w:t>s</w:t>
      </w:r>
      <w:r w:rsidRPr="00B763B8">
        <w:rPr>
          <w:rFonts w:asciiTheme="minorHAnsi" w:hAnsiTheme="minorHAnsi" w:cstheme="minorHAnsi"/>
          <w:sz w:val="24"/>
          <w:szCs w:val="24"/>
          <w:lang w:val="en-US"/>
        </w:rPr>
        <w:t>ecretariat are not optimal and there is not sufficient guidance to staff to raise awareness o</w:t>
      </w:r>
      <w:r w:rsidR="00E76CE6">
        <w:rPr>
          <w:rFonts w:asciiTheme="minorHAnsi" w:hAnsiTheme="minorHAnsi" w:cstheme="minorHAnsi"/>
          <w:sz w:val="24"/>
          <w:szCs w:val="24"/>
          <w:lang w:val="en-US"/>
        </w:rPr>
        <w:t>f</w:t>
      </w:r>
      <w:r w:rsidRPr="00B763B8">
        <w:rPr>
          <w:rFonts w:asciiTheme="minorHAnsi" w:hAnsiTheme="minorHAnsi" w:cstheme="minorHAnsi"/>
          <w:sz w:val="24"/>
          <w:szCs w:val="24"/>
          <w:lang w:val="en-US"/>
        </w:rPr>
        <w:t xml:space="preserve"> </w:t>
      </w:r>
      <w:r w:rsidR="00E76CE6">
        <w:rPr>
          <w:rFonts w:asciiTheme="minorHAnsi" w:hAnsiTheme="minorHAnsi" w:cstheme="minorHAnsi"/>
          <w:sz w:val="24"/>
          <w:szCs w:val="24"/>
          <w:lang w:val="en-US"/>
        </w:rPr>
        <w:t xml:space="preserve">a </w:t>
      </w:r>
      <w:r w:rsidRPr="00B763B8">
        <w:rPr>
          <w:rFonts w:asciiTheme="minorHAnsi" w:hAnsiTheme="minorHAnsi" w:cstheme="minorHAnsi"/>
          <w:sz w:val="24"/>
          <w:szCs w:val="24"/>
          <w:lang w:val="en-US"/>
        </w:rPr>
        <w:t>paperless environment. A message sent to all staff for reinforcing the Union’s commitment for a paper-smart administ</w:t>
      </w:r>
      <w:r w:rsidR="00E76CE6">
        <w:rPr>
          <w:rFonts w:asciiTheme="minorHAnsi" w:hAnsiTheme="minorHAnsi" w:cstheme="minorHAnsi"/>
          <w:sz w:val="24"/>
          <w:szCs w:val="24"/>
          <w:lang w:val="en-US"/>
        </w:rPr>
        <w:t>ration should be considered by top m</w:t>
      </w:r>
      <w:r w:rsidRPr="00B763B8">
        <w:rPr>
          <w:rFonts w:asciiTheme="minorHAnsi" w:hAnsiTheme="minorHAnsi" w:cstheme="minorHAnsi"/>
          <w:sz w:val="24"/>
          <w:szCs w:val="24"/>
          <w:lang w:val="en-US"/>
        </w:rPr>
        <w:t xml:space="preserve">anagement. As a side observation during the audit, a </w:t>
      </w:r>
      <w:r w:rsidRPr="00B763B8">
        <w:rPr>
          <w:rFonts w:asciiTheme="minorHAnsi" w:hAnsiTheme="minorHAnsi" w:cstheme="minorHAnsi"/>
          <w:sz w:val="24"/>
          <w:szCs w:val="24"/>
          <w:lang w:val="en-GB"/>
        </w:rPr>
        <w:t>lack of coordination between the various services concerned</w:t>
      </w:r>
      <w:r w:rsidRPr="00B763B8">
        <w:rPr>
          <w:rFonts w:asciiTheme="minorHAnsi" w:hAnsiTheme="minorHAnsi" w:cstheme="minorHAnsi"/>
          <w:sz w:val="24"/>
          <w:szCs w:val="24"/>
          <w:lang w:val="en-US"/>
        </w:rPr>
        <w:t xml:space="preserve"> was noted;</w:t>
      </w:r>
      <w:r w:rsidRPr="00B763B8">
        <w:rPr>
          <w:rFonts w:asciiTheme="minorHAnsi" w:hAnsiTheme="minorHAnsi" w:cstheme="minorHAnsi"/>
          <w:sz w:val="24"/>
          <w:szCs w:val="24"/>
          <w:lang w:val="en-GB"/>
        </w:rPr>
        <w:t xml:space="preserve"> </w:t>
      </w:r>
      <w:r w:rsidRPr="00B763B8">
        <w:rPr>
          <w:rFonts w:asciiTheme="minorHAnsi" w:hAnsiTheme="minorHAnsi" w:cstheme="minorHAnsi"/>
          <w:sz w:val="24"/>
          <w:szCs w:val="24"/>
          <w:lang w:val="en-US"/>
        </w:rPr>
        <w:t xml:space="preserve">this may lead to inadequate purchases of printing toner and thus exposing the Union to an economic risk. Making inventory data of printers available for monitoring purchases should remedy this issue. </w:t>
      </w:r>
    </w:p>
    <w:p w14:paraId="73164F69" w14:textId="77777777" w:rsidR="00B763B8" w:rsidRPr="00B763B8" w:rsidRDefault="00B763B8" w:rsidP="00E76CE6">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bCs/>
          <w:sz w:val="24"/>
          <w:szCs w:val="24"/>
          <w:lang w:val="en-US"/>
        </w:rPr>
        <w:t xml:space="preserve">Overall, </w:t>
      </w:r>
      <w:r w:rsidRPr="00B763B8">
        <w:rPr>
          <w:rFonts w:asciiTheme="minorHAnsi" w:hAnsiTheme="minorHAnsi" w:cstheme="minorHAnsi"/>
          <w:sz w:val="24"/>
          <w:szCs w:val="24"/>
          <w:lang w:val="en-GB"/>
        </w:rPr>
        <w:t xml:space="preserve">IA </w:t>
      </w:r>
      <w:r w:rsidRPr="00B763B8">
        <w:rPr>
          <w:rFonts w:asciiTheme="minorHAnsi" w:hAnsiTheme="minorHAnsi" w:cstheme="minorHAnsi"/>
          <w:sz w:val="24"/>
          <w:szCs w:val="24"/>
          <w:lang w:val="en-US"/>
        </w:rPr>
        <w:t>provided reasonable assurance to the Secretary-General that internal controls, governance</w:t>
      </w:r>
      <w:r w:rsidR="00E76CE6">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risk management processes with respect to paper consumption internally in the </w:t>
      </w:r>
      <w:r w:rsidR="00913616">
        <w:rPr>
          <w:rFonts w:asciiTheme="minorHAnsi" w:hAnsiTheme="minorHAnsi" w:cstheme="minorHAnsi"/>
          <w:sz w:val="24"/>
          <w:szCs w:val="24"/>
          <w:lang w:val="en-US"/>
        </w:rPr>
        <w:t>s</w:t>
      </w:r>
      <w:r w:rsidRPr="00B763B8">
        <w:rPr>
          <w:rFonts w:asciiTheme="minorHAnsi" w:hAnsiTheme="minorHAnsi" w:cstheme="minorHAnsi"/>
          <w:sz w:val="24"/>
          <w:szCs w:val="24"/>
          <w:lang w:val="en-US"/>
        </w:rPr>
        <w:t>ecretariat</w:t>
      </w:r>
      <w:r w:rsidRPr="00B763B8">
        <w:rPr>
          <w:rFonts w:asciiTheme="minorHAnsi" w:hAnsiTheme="minorHAnsi" w:cstheme="minorHAnsi"/>
          <w:sz w:val="24"/>
          <w:szCs w:val="24"/>
          <w:lang w:val="en-GB"/>
        </w:rPr>
        <w:t xml:space="preserve"> are functioning. IA also confirmed that the </w:t>
      </w:r>
      <w:r w:rsidR="002869AC">
        <w:rPr>
          <w:rFonts w:asciiTheme="minorHAnsi" w:hAnsiTheme="minorHAnsi" w:cstheme="minorHAnsi"/>
          <w:sz w:val="24"/>
          <w:szCs w:val="24"/>
          <w:lang w:val="en-US"/>
        </w:rPr>
        <w:t>use of paper internally in the s</w:t>
      </w:r>
      <w:r w:rsidRPr="00B763B8">
        <w:rPr>
          <w:rFonts w:asciiTheme="minorHAnsi" w:hAnsiTheme="minorHAnsi" w:cstheme="minorHAnsi"/>
          <w:sz w:val="24"/>
          <w:szCs w:val="24"/>
          <w:lang w:val="en-US"/>
        </w:rPr>
        <w:t>ecretariat is reduced to an acceptable level.</w:t>
      </w:r>
    </w:p>
    <w:p w14:paraId="39F15738" w14:textId="77777777" w:rsidR="00B763B8" w:rsidRPr="00B763B8" w:rsidRDefault="00B763B8" w:rsidP="00B763B8">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360" w:after="120"/>
        <w:ind w:left="709" w:firstLine="0"/>
        <w:textAlignment w:val="auto"/>
        <w:rPr>
          <w:rFonts w:asciiTheme="minorHAnsi" w:hAnsiTheme="minorHAnsi" w:cstheme="minorHAnsi"/>
          <w:b/>
          <w:bCs/>
          <w:i/>
          <w:iCs/>
          <w:szCs w:val="24"/>
        </w:rPr>
      </w:pPr>
      <w:r w:rsidRPr="00B763B8">
        <w:rPr>
          <w:rFonts w:asciiTheme="minorHAnsi" w:hAnsiTheme="minorHAnsi" w:cstheme="minorHAnsi"/>
          <w:b/>
          <w:bCs/>
          <w:i/>
          <w:iCs/>
          <w:szCs w:val="24"/>
        </w:rPr>
        <w:t>Inspection of the External Experts Contracts</w:t>
      </w:r>
    </w:p>
    <w:p w14:paraId="7AABE4B8" w14:textId="77777777" w:rsidR="00B763B8" w:rsidRPr="00B763B8" w:rsidRDefault="00B763B8" w:rsidP="00E76CE6">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IA conducted an inspec</w:t>
      </w:r>
      <w:r w:rsidR="00E76CE6">
        <w:rPr>
          <w:rFonts w:asciiTheme="minorHAnsi" w:hAnsiTheme="minorHAnsi" w:cstheme="minorHAnsi"/>
          <w:sz w:val="24"/>
          <w:szCs w:val="24"/>
          <w:lang w:val="en-US"/>
        </w:rPr>
        <w:t>tion of recruitment and use of external e</w:t>
      </w:r>
      <w:r w:rsidRPr="00B763B8">
        <w:rPr>
          <w:rFonts w:asciiTheme="minorHAnsi" w:hAnsiTheme="minorHAnsi" w:cstheme="minorHAnsi"/>
          <w:sz w:val="24"/>
          <w:szCs w:val="24"/>
          <w:lang w:val="en-US"/>
        </w:rPr>
        <w:t>xperts covering the period from January 2013 to December 2015. The objectives of this Inspection were</w:t>
      </w:r>
      <w:r w:rsidR="00E76CE6">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(i) to </w:t>
      </w:r>
      <w:r w:rsidRPr="00B763B8">
        <w:rPr>
          <w:rFonts w:asciiTheme="minorHAnsi" w:hAnsiTheme="minorHAnsi" w:cstheme="minorHAnsi"/>
          <w:sz w:val="24"/>
          <w:szCs w:val="24"/>
          <w:lang w:val="en-GB"/>
        </w:rPr>
        <w:t xml:space="preserve">assess guidelines and policies in place and reliability of </w:t>
      </w:r>
      <w:r w:rsidR="00E76CE6">
        <w:rPr>
          <w:rFonts w:asciiTheme="minorHAnsi" w:hAnsiTheme="minorHAnsi" w:cstheme="minorHAnsi"/>
          <w:sz w:val="24"/>
          <w:szCs w:val="24"/>
          <w:lang w:val="en-GB"/>
        </w:rPr>
        <w:t>internal controls in hiring of e</w:t>
      </w:r>
      <w:r w:rsidRPr="00B763B8">
        <w:rPr>
          <w:rFonts w:asciiTheme="minorHAnsi" w:hAnsiTheme="minorHAnsi" w:cstheme="minorHAnsi"/>
          <w:sz w:val="24"/>
          <w:szCs w:val="24"/>
          <w:lang w:val="en-GB"/>
        </w:rPr>
        <w:t>xperts</w:t>
      </w:r>
      <w:r w:rsidR="00E76CE6">
        <w:rPr>
          <w:rFonts w:asciiTheme="minorHAnsi" w:hAnsiTheme="minorHAnsi" w:cstheme="minorHAnsi"/>
          <w:sz w:val="24"/>
          <w:szCs w:val="24"/>
          <w:lang w:val="en-GB"/>
        </w:rPr>
        <w:t>;</w:t>
      </w:r>
      <w:r w:rsidRPr="00B763B8">
        <w:rPr>
          <w:rFonts w:asciiTheme="minorHAnsi" w:hAnsiTheme="minorHAnsi" w:cstheme="minorHAnsi"/>
          <w:sz w:val="24"/>
          <w:szCs w:val="24"/>
          <w:lang w:val="en-US"/>
        </w:rPr>
        <w:t xml:space="preserve"> (ii) to </w:t>
      </w:r>
      <w:r w:rsidRPr="00B763B8">
        <w:rPr>
          <w:rFonts w:asciiTheme="minorHAnsi" w:hAnsiTheme="minorHAnsi" w:cstheme="minorHAnsi"/>
          <w:sz w:val="24"/>
          <w:szCs w:val="24"/>
          <w:lang w:val="en-GB"/>
        </w:rPr>
        <w:t>assess the effectiveness of communication between regio</w:t>
      </w:r>
      <w:r w:rsidR="00E76CE6">
        <w:rPr>
          <w:rFonts w:asciiTheme="minorHAnsi" w:hAnsiTheme="minorHAnsi" w:cstheme="minorHAnsi"/>
          <w:sz w:val="24"/>
          <w:szCs w:val="24"/>
          <w:lang w:val="en-GB"/>
        </w:rPr>
        <w:t>nal offices and HQ when hiring e</w:t>
      </w:r>
      <w:r w:rsidRPr="00B763B8">
        <w:rPr>
          <w:rFonts w:asciiTheme="minorHAnsi" w:hAnsiTheme="minorHAnsi" w:cstheme="minorHAnsi"/>
          <w:sz w:val="24"/>
          <w:szCs w:val="24"/>
          <w:lang w:val="en-GB"/>
        </w:rPr>
        <w:t>xperts</w:t>
      </w:r>
      <w:r w:rsidR="00E76CE6">
        <w:rPr>
          <w:rFonts w:asciiTheme="minorHAnsi" w:hAnsiTheme="minorHAnsi" w:cstheme="minorHAnsi"/>
          <w:sz w:val="24"/>
          <w:szCs w:val="24"/>
          <w:lang w:val="en-GB"/>
        </w:rPr>
        <w:t>;</w:t>
      </w:r>
      <w:r w:rsidRPr="00B763B8">
        <w:rPr>
          <w:rFonts w:asciiTheme="minorHAnsi" w:hAnsiTheme="minorHAnsi" w:cstheme="minorHAnsi"/>
          <w:sz w:val="24"/>
          <w:szCs w:val="24"/>
          <w:lang w:val="en-US"/>
        </w:rPr>
        <w:t xml:space="preserve"> (iii) to </w:t>
      </w:r>
      <w:r w:rsidRPr="00B763B8">
        <w:rPr>
          <w:rFonts w:asciiTheme="minorHAnsi" w:hAnsiTheme="minorHAnsi" w:cstheme="minorHAnsi"/>
          <w:sz w:val="24"/>
          <w:szCs w:val="24"/>
          <w:lang w:val="en-GB"/>
        </w:rPr>
        <w:t>assess the process of risk assess</w:t>
      </w:r>
      <w:r w:rsidR="00E76CE6">
        <w:rPr>
          <w:rFonts w:asciiTheme="minorHAnsi" w:hAnsiTheme="minorHAnsi" w:cstheme="minorHAnsi"/>
          <w:sz w:val="24"/>
          <w:szCs w:val="24"/>
          <w:lang w:val="en-GB"/>
        </w:rPr>
        <w:t>ment currently in place on how e</w:t>
      </w:r>
      <w:r w:rsidRPr="00B763B8">
        <w:rPr>
          <w:rFonts w:asciiTheme="minorHAnsi" w:hAnsiTheme="minorHAnsi" w:cstheme="minorHAnsi"/>
          <w:sz w:val="24"/>
          <w:szCs w:val="24"/>
          <w:lang w:val="en-GB"/>
        </w:rPr>
        <w:t xml:space="preserve">xperts are selected </w:t>
      </w:r>
      <w:r w:rsidR="00E76CE6">
        <w:rPr>
          <w:rFonts w:asciiTheme="minorHAnsi" w:hAnsiTheme="minorHAnsi" w:cstheme="minorHAnsi"/>
          <w:sz w:val="24"/>
          <w:szCs w:val="24"/>
          <w:lang w:val="en-GB"/>
        </w:rPr>
        <w:t>and their performance evaluated;</w:t>
      </w:r>
      <w:r w:rsidRPr="00B763B8">
        <w:rPr>
          <w:rFonts w:asciiTheme="minorHAnsi" w:hAnsiTheme="minorHAnsi" w:cstheme="minorHAnsi"/>
          <w:sz w:val="24"/>
          <w:szCs w:val="24"/>
          <w:lang w:val="en-GB"/>
        </w:rPr>
        <w:t xml:space="preserve"> (iv) to assess the co</w:t>
      </w:r>
      <w:r w:rsidR="00E76CE6">
        <w:rPr>
          <w:rFonts w:asciiTheme="minorHAnsi" w:hAnsiTheme="minorHAnsi" w:cstheme="minorHAnsi"/>
          <w:sz w:val="24"/>
          <w:szCs w:val="24"/>
          <w:lang w:val="en-GB"/>
        </w:rPr>
        <w:t>mpliance of the recruitment of external e</w:t>
      </w:r>
      <w:r w:rsidRPr="00B763B8">
        <w:rPr>
          <w:rFonts w:asciiTheme="minorHAnsi" w:hAnsiTheme="minorHAnsi" w:cstheme="minorHAnsi"/>
          <w:sz w:val="24"/>
          <w:szCs w:val="24"/>
          <w:lang w:val="en-GB"/>
        </w:rPr>
        <w:t>xperts with policies and procedures</w:t>
      </w:r>
      <w:r w:rsidR="00E76CE6">
        <w:rPr>
          <w:rFonts w:asciiTheme="minorHAnsi" w:hAnsiTheme="minorHAnsi" w:cstheme="minorHAnsi"/>
          <w:sz w:val="24"/>
          <w:szCs w:val="24"/>
          <w:lang w:val="en-GB"/>
        </w:rPr>
        <w:t>;</w:t>
      </w:r>
      <w:r w:rsidRPr="00B763B8">
        <w:rPr>
          <w:rFonts w:asciiTheme="minorHAnsi" w:hAnsiTheme="minorHAnsi" w:cstheme="minorHAnsi"/>
          <w:sz w:val="24"/>
          <w:szCs w:val="24"/>
          <w:lang w:val="en-GB"/>
        </w:rPr>
        <w:t xml:space="preserve"> and (v) to assess for the monitoring of effective utilization of res</w:t>
      </w:r>
      <w:r w:rsidR="00E76CE6">
        <w:rPr>
          <w:rFonts w:asciiTheme="minorHAnsi" w:hAnsiTheme="minorHAnsi" w:cstheme="minorHAnsi"/>
          <w:sz w:val="24"/>
          <w:szCs w:val="24"/>
          <w:lang w:val="en-GB"/>
        </w:rPr>
        <w:t>ources allocated for hiring of e</w:t>
      </w:r>
      <w:r w:rsidRPr="00B763B8">
        <w:rPr>
          <w:rFonts w:asciiTheme="minorHAnsi" w:hAnsiTheme="minorHAnsi" w:cstheme="minorHAnsi"/>
          <w:sz w:val="24"/>
          <w:szCs w:val="24"/>
          <w:lang w:val="en-GB"/>
        </w:rPr>
        <w:t>xperts</w:t>
      </w:r>
      <w:r w:rsidRPr="00B763B8">
        <w:rPr>
          <w:rFonts w:asciiTheme="minorHAnsi" w:hAnsiTheme="minorHAnsi" w:cstheme="minorHAnsi"/>
          <w:sz w:val="24"/>
          <w:szCs w:val="24"/>
          <w:lang w:val="en-US"/>
        </w:rPr>
        <w:t>.</w:t>
      </w:r>
    </w:p>
    <w:p w14:paraId="2F725DD5" w14:textId="1A4B5F19" w:rsidR="00B763B8" w:rsidRPr="00B763B8" w:rsidRDefault="00B763B8" w:rsidP="00E76CE6">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 xml:space="preserve">It was concluded that there are no adequate policies and guidelines </w:t>
      </w:r>
      <w:r w:rsidR="00E76CE6">
        <w:rPr>
          <w:rFonts w:asciiTheme="minorHAnsi" w:hAnsiTheme="minorHAnsi" w:cstheme="minorHAnsi"/>
          <w:sz w:val="24"/>
          <w:szCs w:val="24"/>
          <w:lang w:val="en-US"/>
        </w:rPr>
        <w:t>in place to govern the area of e</w:t>
      </w:r>
      <w:r w:rsidRPr="00B763B8">
        <w:rPr>
          <w:rFonts w:asciiTheme="minorHAnsi" w:hAnsiTheme="minorHAnsi" w:cstheme="minorHAnsi"/>
          <w:sz w:val="24"/>
          <w:szCs w:val="24"/>
          <w:lang w:val="en-US"/>
        </w:rPr>
        <w:t xml:space="preserve">xperts/consultancies. The Memo of 2010, although largely viewed as the applicable guideline, does not include all the necessary elements to serve the role of a proper policy framework. It was recommended that </w:t>
      </w:r>
      <w:r w:rsidRPr="00B763B8">
        <w:rPr>
          <w:rFonts w:asciiTheme="minorHAnsi" w:eastAsia="Times New Roman" w:hAnsiTheme="minorHAnsi" w:cstheme="minorHAnsi"/>
          <w:sz w:val="24"/>
          <w:szCs w:val="24"/>
          <w:lang w:val="en-GB"/>
        </w:rPr>
        <w:t xml:space="preserve">adequate policies and guidelines to monitor </w:t>
      </w:r>
      <w:r w:rsidR="00E76CE6">
        <w:rPr>
          <w:rFonts w:asciiTheme="minorHAnsi" w:eastAsia="Times New Roman" w:hAnsiTheme="minorHAnsi" w:cstheme="minorHAnsi"/>
          <w:sz w:val="24"/>
          <w:szCs w:val="24"/>
          <w:lang w:val="en-GB"/>
        </w:rPr>
        <w:t>and control the recruitment of e</w:t>
      </w:r>
      <w:r w:rsidRPr="00B763B8">
        <w:rPr>
          <w:rFonts w:asciiTheme="minorHAnsi" w:eastAsia="Times New Roman" w:hAnsiTheme="minorHAnsi" w:cstheme="minorHAnsi"/>
          <w:sz w:val="24"/>
          <w:szCs w:val="24"/>
          <w:lang w:val="en-GB"/>
        </w:rPr>
        <w:t>xperts/cons</w:t>
      </w:r>
      <w:r w:rsidR="00913616">
        <w:rPr>
          <w:rFonts w:asciiTheme="minorHAnsi" w:eastAsia="Times New Roman" w:hAnsiTheme="minorHAnsi" w:cstheme="minorHAnsi"/>
          <w:sz w:val="24"/>
          <w:szCs w:val="24"/>
          <w:lang w:val="en-GB"/>
        </w:rPr>
        <w:t>ultants be developed. The Chief of</w:t>
      </w:r>
      <w:r w:rsidRPr="00B763B8">
        <w:rPr>
          <w:rFonts w:asciiTheme="minorHAnsi" w:eastAsia="Times New Roman" w:hAnsiTheme="minorHAnsi" w:cstheme="minorHAnsi"/>
          <w:sz w:val="24"/>
          <w:szCs w:val="24"/>
          <w:lang w:val="en-GB"/>
        </w:rPr>
        <w:t xml:space="preserve"> HRMD agreed and indicated that an </w:t>
      </w:r>
      <w:r w:rsidRPr="00B763B8">
        <w:rPr>
          <w:rFonts w:asciiTheme="minorHAnsi" w:hAnsiTheme="minorHAnsi" w:cstheme="minorHAnsi"/>
          <w:sz w:val="24"/>
          <w:szCs w:val="24"/>
          <w:lang w:val="en-US"/>
        </w:rPr>
        <w:t>implementation plan will be worked on</w:t>
      </w:r>
      <w:r w:rsidRPr="00B763B8">
        <w:rPr>
          <w:rFonts w:asciiTheme="minorHAnsi" w:hAnsiTheme="minorHAnsi" w:cstheme="minorHAnsi"/>
          <w:i/>
          <w:iCs/>
          <w:sz w:val="24"/>
          <w:szCs w:val="24"/>
          <w:lang w:val="en-US"/>
        </w:rPr>
        <w:t>.</w:t>
      </w:r>
      <w:r w:rsidRPr="00B763B8">
        <w:rPr>
          <w:rFonts w:asciiTheme="minorHAnsi" w:eastAsia="Times New Roman" w:hAnsiTheme="minorHAnsi" w:cstheme="minorHAnsi"/>
          <w:sz w:val="24"/>
          <w:szCs w:val="24"/>
          <w:lang w:val="en-GB"/>
        </w:rPr>
        <w:t xml:space="preserve"> The Director </w:t>
      </w:r>
      <w:r w:rsidR="00913616">
        <w:rPr>
          <w:rFonts w:asciiTheme="minorHAnsi" w:eastAsia="Times New Roman" w:hAnsiTheme="minorHAnsi" w:cstheme="minorHAnsi"/>
          <w:sz w:val="24"/>
          <w:szCs w:val="24"/>
          <w:lang w:val="en-GB"/>
        </w:rPr>
        <w:t xml:space="preserve">of BDT </w:t>
      </w:r>
      <w:r w:rsidRPr="00B763B8">
        <w:rPr>
          <w:rFonts w:asciiTheme="minorHAnsi" w:eastAsia="Times New Roman" w:hAnsiTheme="minorHAnsi" w:cstheme="minorHAnsi"/>
          <w:sz w:val="24"/>
          <w:szCs w:val="24"/>
          <w:lang w:val="en-GB"/>
        </w:rPr>
        <w:t xml:space="preserve">commented that BDT </w:t>
      </w:r>
      <w:r w:rsidRPr="00B763B8">
        <w:rPr>
          <w:rFonts w:asciiTheme="minorHAnsi" w:hAnsiTheme="minorHAnsi" w:cstheme="minorHAnsi"/>
          <w:sz w:val="24"/>
          <w:szCs w:val="24"/>
          <w:lang w:val="en-US"/>
        </w:rPr>
        <w:t>is ready to contribute, with its experience in initiating recruitment of consultants, to the development of policies and guidelines to establish a clear legal and regulatory fr</w:t>
      </w:r>
      <w:r w:rsidR="00E76CE6">
        <w:rPr>
          <w:rFonts w:asciiTheme="minorHAnsi" w:hAnsiTheme="minorHAnsi" w:cstheme="minorHAnsi"/>
          <w:sz w:val="24"/>
          <w:szCs w:val="24"/>
          <w:lang w:val="en-US"/>
        </w:rPr>
        <w:t>amework for the recruitment of e</w:t>
      </w:r>
      <w:r w:rsidRPr="00B763B8">
        <w:rPr>
          <w:rFonts w:asciiTheme="minorHAnsi" w:hAnsiTheme="minorHAnsi" w:cstheme="minorHAnsi"/>
          <w:sz w:val="24"/>
          <w:szCs w:val="24"/>
          <w:lang w:val="en-US"/>
        </w:rPr>
        <w:t xml:space="preserve">xperts/consultants under the coordination of HRMD. It was also found that </w:t>
      </w:r>
      <w:r w:rsidRPr="00B763B8">
        <w:rPr>
          <w:rFonts w:asciiTheme="minorHAnsi" w:hAnsiTheme="minorHAnsi" w:cstheme="minorHAnsi"/>
          <w:sz w:val="24"/>
          <w:szCs w:val="24"/>
          <w:lang w:val="en-GB"/>
        </w:rPr>
        <w:t xml:space="preserve">review control for job descriptions and Personal History Forms (PHF) is not optimal and there is a risk that resources are not being efficiently and effectively utilized. It was recommended that the </w:t>
      </w:r>
      <w:r w:rsidR="00E76CE6">
        <w:rPr>
          <w:rFonts w:asciiTheme="minorHAnsi" w:eastAsia="Times New Roman" w:hAnsiTheme="minorHAnsi" w:cstheme="minorHAnsi"/>
          <w:sz w:val="24"/>
          <w:szCs w:val="24"/>
          <w:lang w:val="en-GB"/>
        </w:rPr>
        <w:t>e</w:t>
      </w:r>
      <w:r w:rsidRPr="00B763B8">
        <w:rPr>
          <w:rFonts w:asciiTheme="minorHAnsi" w:eastAsia="Times New Roman" w:hAnsiTheme="minorHAnsi" w:cstheme="minorHAnsi"/>
          <w:sz w:val="24"/>
          <w:szCs w:val="24"/>
          <w:lang w:val="en-GB"/>
        </w:rPr>
        <w:t>xperts’ recruitment process (to define roles and responsibilities of the concerned departments/units) be reviewed and documented, and the conflict of interest component be specifically</w:t>
      </w:r>
      <w:r w:rsidR="00E76CE6">
        <w:rPr>
          <w:rFonts w:asciiTheme="minorHAnsi" w:eastAsia="Times New Roman" w:hAnsiTheme="minorHAnsi" w:cstheme="minorHAnsi"/>
          <w:sz w:val="24"/>
          <w:szCs w:val="24"/>
          <w:lang w:val="en-GB"/>
        </w:rPr>
        <w:t xml:space="preserve"> elaborated to ensure that all e</w:t>
      </w:r>
      <w:r w:rsidRPr="00B763B8">
        <w:rPr>
          <w:rFonts w:asciiTheme="minorHAnsi" w:eastAsia="Times New Roman" w:hAnsiTheme="minorHAnsi" w:cstheme="minorHAnsi"/>
          <w:sz w:val="24"/>
          <w:szCs w:val="24"/>
          <w:lang w:val="en-GB"/>
        </w:rPr>
        <w:t xml:space="preserve">xperts sign punctually or regularly a code of ethics which comprises a conflict of interest statement. </w:t>
      </w:r>
      <w:r w:rsidR="00E76CE6">
        <w:rPr>
          <w:rFonts w:asciiTheme="minorHAnsi" w:eastAsia="Times New Roman" w:hAnsiTheme="minorHAnsi" w:cstheme="minorHAnsi"/>
          <w:sz w:val="24"/>
          <w:szCs w:val="24"/>
          <w:lang w:val="en-GB"/>
        </w:rPr>
        <w:lastRenderedPageBreak/>
        <w:t>Again, t</w:t>
      </w:r>
      <w:r w:rsidR="00913616">
        <w:rPr>
          <w:rFonts w:asciiTheme="minorHAnsi" w:eastAsia="Times New Roman" w:hAnsiTheme="minorHAnsi" w:cstheme="minorHAnsi"/>
          <w:sz w:val="24"/>
          <w:szCs w:val="24"/>
          <w:lang w:val="en-GB"/>
        </w:rPr>
        <w:t>he Chief of</w:t>
      </w:r>
      <w:r w:rsidRPr="00B763B8">
        <w:rPr>
          <w:rFonts w:asciiTheme="minorHAnsi" w:eastAsia="Times New Roman" w:hAnsiTheme="minorHAnsi" w:cstheme="minorHAnsi"/>
          <w:sz w:val="24"/>
          <w:szCs w:val="24"/>
          <w:lang w:val="en-GB"/>
        </w:rPr>
        <w:t xml:space="preserve"> HRMD agreed and indicated that an </w:t>
      </w:r>
      <w:r w:rsidRPr="00B763B8">
        <w:rPr>
          <w:rFonts w:asciiTheme="minorHAnsi" w:hAnsiTheme="minorHAnsi" w:cstheme="minorHAnsi"/>
          <w:sz w:val="24"/>
          <w:szCs w:val="24"/>
          <w:lang w:val="en-US"/>
        </w:rPr>
        <w:t xml:space="preserve">implementation plan will be worked on. The Director </w:t>
      </w:r>
      <w:r w:rsidR="00913616">
        <w:rPr>
          <w:rFonts w:asciiTheme="minorHAnsi" w:hAnsiTheme="minorHAnsi" w:cstheme="minorHAnsi"/>
          <w:sz w:val="24"/>
          <w:szCs w:val="24"/>
          <w:lang w:val="en-US"/>
        </w:rPr>
        <w:t xml:space="preserve">of BDT </w:t>
      </w:r>
      <w:r w:rsidRPr="00B763B8">
        <w:rPr>
          <w:rFonts w:asciiTheme="minorHAnsi" w:hAnsiTheme="minorHAnsi" w:cstheme="minorHAnsi"/>
          <w:sz w:val="24"/>
          <w:szCs w:val="24"/>
          <w:lang w:val="en-US"/>
        </w:rPr>
        <w:t>commented that BDT, together with other Bureaux, will contribute to the work of HRMD to review and improve the recruitment process so as to better define the roles and responsibilities and ens</w:t>
      </w:r>
      <w:r w:rsidR="00913616">
        <w:rPr>
          <w:rFonts w:asciiTheme="minorHAnsi" w:hAnsiTheme="minorHAnsi" w:cstheme="minorHAnsi"/>
          <w:sz w:val="24"/>
          <w:szCs w:val="24"/>
          <w:lang w:val="en-US"/>
        </w:rPr>
        <w:t>ure adequate level of control.</w:t>
      </w:r>
    </w:p>
    <w:p w14:paraId="518678F0" w14:textId="33CD659C" w:rsidR="00B763B8" w:rsidRPr="00B763B8" w:rsidRDefault="00B763B8" w:rsidP="00E76CE6">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 xml:space="preserve">Overall, IA is of the opinion that the governance, risk management processes and internal controls, related to the area of </w:t>
      </w:r>
      <w:r w:rsidR="00E76CE6">
        <w:rPr>
          <w:rFonts w:asciiTheme="minorHAnsi" w:hAnsiTheme="minorHAnsi" w:cstheme="minorHAnsi"/>
          <w:sz w:val="24"/>
          <w:szCs w:val="24"/>
          <w:lang w:val="en-US"/>
        </w:rPr>
        <w:t>e</w:t>
      </w:r>
      <w:r w:rsidRPr="00B763B8">
        <w:rPr>
          <w:rFonts w:asciiTheme="minorHAnsi" w:hAnsiTheme="minorHAnsi" w:cstheme="minorHAnsi"/>
          <w:sz w:val="24"/>
          <w:szCs w:val="24"/>
          <w:lang w:val="en-US"/>
        </w:rPr>
        <w:t xml:space="preserve">xternal </w:t>
      </w:r>
      <w:r w:rsidR="00E76CE6">
        <w:rPr>
          <w:rFonts w:asciiTheme="minorHAnsi" w:hAnsiTheme="minorHAnsi" w:cstheme="minorHAnsi"/>
          <w:sz w:val="24"/>
          <w:szCs w:val="24"/>
          <w:lang w:val="en-US"/>
        </w:rPr>
        <w:t>e</w:t>
      </w:r>
      <w:r w:rsidRPr="00B763B8">
        <w:rPr>
          <w:rFonts w:asciiTheme="minorHAnsi" w:hAnsiTheme="minorHAnsi" w:cstheme="minorHAnsi"/>
          <w:sz w:val="24"/>
          <w:szCs w:val="24"/>
          <w:lang w:val="en-US"/>
        </w:rPr>
        <w:t xml:space="preserve">xperts recruitment need improvement. </w:t>
      </w:r>
      <w:r w:rsidR="00E76CE6">
        <w:rPr>
          <w:rFonts w:asciiTheme="minorHAnsi" w:hAnsiTheme="minorHAnsi" w:cstheme="minorHAnsi"/>
          <w:sz w:val="24"/>
          <w:szCs w:val="24"/>
          <w:lang w:val="en-US"/>
        </w:rPr>
        <w:t>IA</w:t>
      </w:r>
      <w:r w:rsidRPr="00B763B8">
        <w:rPr>
          <w:rFonts w:asciiTheme="minorHAnsi" w:hAnsiTheme="minorHAnsi" w:cstheme="minorHAnsi"/>
          <w:sz w:val="24"/>
          <w:szCs w:val="24"/>
          <w:lang w:val="en-US"/>
        </w:rPr>
        <w:t xml:space="preserve"> identified areas for improvement with respect to policies guiding the recruitment of </w:t>
      </w:r>
      <w:r w:rsidR="00E76CE6">
        <w:rPr>
          <w:rFonts w:asciiTheme="minorHAnsi" w:hAnsiTheme="minorHAnsi" w:cstheme="minorHAnsi"/>
          <w:sz w:val="24"/>
          <w:szCs w:val="24"/>
          <w:lang w:val="en-US"/>
        </w:rPr>
        <w:t>e</w:t>
      </w:r>
      <w:r w:rsidRPr="00B763B8">
        <w:rPr>
          <w:rFonts w:asciiTheme="minorHAnsi" w:hAnsiTheme="minorHAnsi" w:cstheme="minorHAnsi"/>
          <w:sz w:val="24"/>
          <w:szCs w:val="24"/>
          <w:lang w:val="en-US"/>
        </w:rPr>
        <w:t xml:space="preserve">xperts, review of </w:t>
      </w:r>
      <w:r w:rsidR="00E76CE6">
        <w:rPr>
          <w:rFonts w:asciiTheme="minorHAnsi" w:hAnsiTheme="minorHAnsi" w:cstheme="minorHAnsi"/>
          <w:sz w:val="24"/>
          <w:szCs w:val="24"/>
          <w:lang w:val="en-US"/>
        </w:rPr>
        <w:t>e</w:t>
      </w:r>
      <w:r w:rsidRPr="00B763B8">
        <w:rPr>
          <w:rFonts w:asciiTheme="minorHAnsi" w:hAnsiTheme="minorHAnsi" w:cstheme="minorHAnsi"/>
          <w:sz w:val="24"/>
          <w:szCs w:val="24"/>
          <w:lang w:val="en-US"/>
        </w:rPr>
        <w:t xml:space="preserve">xperts’ profiles and job descriptions and the </w:t>
      </w:r>
      <w:r w:rsidR="00E76CE6">
        <w:rPr>
          <w:rFonts w:asciiTheme="minorHAnsi" w:hAnsiTheme="minorHAnsi" w:cstheme="minorHAnsi"/>
          <w:sz w:val="24"/>
          <w:szCs w:val="24"/>
          <w:lang w:val="en-US"/>
        </w:rPr>
        <w:t>e</w:t>
      </w:r>
      <w:r w:rsidRPr="00B763B8">
        <w:rPr>
          <w:rFonts w:asciiTheme="minorHAnsi" w:hAnsiTheme="minorHAnsi" w:cstheme="minorHAnsi"/>
          <w:sz w:val="24"/>
          <w:szCs w:val="24"/>
          <w:lang w:val="en-US"/>
        </w:rPr>
        <w:t xml:space="preserve">xpert roster management. If these areas were addressed, the Secretary-General could be provided with reasonable assurance that there is adequate </w:t>
      </w:r>
      <w:r w:rsidRPr="00B763B8">
        <w:rPr>
          <w:rFonts w:asciiTheme="minorHAnsi" w:hAnsiTheme="minorHAnsi" w:cstheme="minorHAnsi"/>
          <w:sz w:val="24"/>
          <w:szCs w:val="24"/>
          <w:lang w:val="en-GB"/>
        </w:rPr>
        <w:t xml:space="preserve">governance and risk management, and that controls are effective in the </w:t>
      </w:r>
      <w:r w:rsidR="00E76CE6">
        <w:rPr>
          <w:rFonts w:asciiTheme="minorHAnsi" w:hAnsiTheme="minorHAnsi" w:cstheme="minorHAnsi"/>
          <w:sz w:val="24"/>
          <w:szCs w:val="24"/>
          <w:lang w:val="en-GB"/>
        </w:rPr>
        <w:t>e</w:t>
      </w:r>
      <w:r w:rsidRPr="00B763B8">
        <w:rPr>
          <w:rFonts w:asciiTheme="minorHAnsi" w:hAnsiTheme="minorHAnsi" w:cstheme="minorHAnsi"/>
          <w:sz w:val="24"/>
          <w:szCs w:val="24"/>
          <w:lang w:val="en-GB"/>
        </w:rPr>
        <w:t xml:space="preserve">xternal </w:t>
      </w:r>
      <w:r w:rsidR="00E76CE6">
        <w:rPr>
          <w:rFonts w:asciiTheme="minorHAnsi" w:hAnsiTheme="minorHAnsi" w:cstheme="minorHAnsi"/>
          <w:sz w:val="24"/>
          <w:szCs w:val="24"/>
          <w:lang w:val="en-GB"/>
        </w:rPr>
        <w:t>e</w:t>
      </w:r>
      <w:r w:rsidRPr="00B763B8">
        <w:rPr>
          <w:rFonts w:asciiTheme="minorHAnsi" w:hAnsiTheme="minorHAnsi" w:cstheme="minorHAnsi"/>
          <w:sz w:val="24"/>
          <w:szCs w:val="24"/>
          <w:lang w:val="en-GB"/>
        </w:rPr>
        <w:t>xperts recruitment processes.</w:t>
      </w:r>
    </w:p>
    <w:p w14:paraId="2EDA70BF" w14:textId="77777777" w:rsidR="00B763B8" w:rsidRPr="00B763B8" w:rsidRDefault="00B763B8" w:rsidP="00B763B8">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360" w:after="120"/>
        <w:ind w:left="709" w:firstLine="0"/>
        <w:textAlignment w:val="auto"/>
        <w:rPr>
          <w:rFonts w:asciiTheme="minorHAnsi" w:hAnsiTheme="minorHAnsi" w:cstheme="minorHAnsi"/>
          <w:b/>
          <w:bCs/>
          <w:i/>
          <w:iCs/>
          <w:szCs w:val="24"/>
        </w:rPr>
      </w:pPr>
      <w:r w:rsidRPr="00B763B8">
        <w:rPr>
          <w:rFonts w:asciiTheme="minorHAnsi" w:hAnsiTheme="minorHAnsi" w:cstheme="minorHAnsi"/>
          <w:b/>
          <w:bCs/>
          <w:i/>
          <w:iCs/>
          <w:szCs w:val="24"/>
        </w:rPr>
        <w:t>Audit of Trust Funds</w:t>
      </w:r>
    </w:p>
    <w:p w14:paraId="0D2415E6" w14:textId="56464C02" w:rsidR="00B763B8" w:rsidRPr="00B763B8" w:rsidRDefault="00B763B8" w:rsidP="00E76CE6">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GB"/>
        </w:rPr>
        <w:t>IA conducted an audit of the Trust Funds for the period from 2013 to 2015.</w:t>
      </w:r>
      <w:r w:rsidRPr="00B763B8">
        <w:rPr>
          <w:rFonts w:asciiTheme="minorHAnsi" w:hAnsiTheme="minorHAnsi" w:cstheme="minorHAnsi"/>
          <w:sz w:val="24"/>
          <w:szCs w:val="24"/>
          <w:lang w:val="en-US"/>
        </w:rPr>
        <w:t xml:space="preserve"> The objectives of </w:t>
      </w:r>
      <w:r w:rsidRPr="00B763B8">
        <w:rPr>
          <w:rFonts w:asciiTheme="minorHAnsi" w:hAnsiTheme="minorHAnsi" w:cstheme="minorHAnsi"/>
          <w:sz w:val="24"/>
          <w:szCs w:val="24"/>
          <w:lang w:val="en-GB"/>
        </w:rPr>
        <w:t>the audit were to assess</w:t>
      </w:r>
      <w:r w:rsidR="00E76CE6">
        <w:rPr>
          <w:rFonts w:asciiTheme="minorHAnsi" w:hAnsiTheme="minorHAnsi" w:cstheme="minorHAnsi"/>
          <w:sz w:val="24"/>
          <w:szCs w:val="24"/>
          <w:lang w:val="en-GB"/>
        </w:rPr>
        <w:t>:</w:t>
      </w:r>
      <w:r w:rsidRPr="00B763B8">
        <w:rPr>
          <w:rFonts w:asciiTheme="minorHAnsi" w:hAnsiTheme="minorHAnsi" w:cstheme="minorHAnsi"/>
          <w:sz w:val="24"/>
          <w:szCs w:val="24"/>
          <w:lang w:val="en-GB"/>
        </w:rPr>
        <w:t xml:space="preserve"> (i) policies in place and reliability of the internal controls to govern utilization of trust funds</w:t>
      </w:r>
      <w:r w:rsidR="00E76CE6">
        <w:rPr>
          <w:rFonts w:asciiTheme="minorHAnsi" w:hAnsiTheme="minorHAnsi" w:cstheme="minorHAnsi"/>
          <w:sz w:val="24"/>
          <w:szCs w:val="24"/>
          <w:lang w:val="en-GB"/>
        </w:rPr>
        <w:t>;</w:t>
      </w:r>
      <w:r w:rsidRPr="00B763B8">
        <w:rPr>
          <w:rFonts w:asciiTheme="minorHAnsi" w:hAnsiTheme="minorHAnsi" w:cstheme="minorHAnsi"/>
          <w:sz w:val="24"/>
          <w:szCs w:val="24"/>
          <w:lang w:val="en-GB"/>
        </w:rPr>
        <w:t xml:space="preserve"> (ii) the adequacy of trust funds resource utilization planning</w:t>
      </w:r>
      <w:r w:rsidR="00E76CE6">
        <w:rPr>
          <w:rFonts w:asciiTheme="minorHAnsi" w:hAnsiTheme="minorHAnsi" w:cstheme="minorHAnsi"/>
          <w:sz w:val="24"/>
          <w:szCs w:val="24"/>
          <w:lang w:val="en-GB"/>
        </w:rPr>
        <w:t>;</w:t>
      </w:r>
      <w:r w:rsidRPr="00B763B8">
        <w:rPr>
          <w:rFonts w:asciiTheme="minorHAnsi" w:hAnsiTheme="minorHAnsi" w:cstheme="minorHAnsi"/>
          <w:sz w:val="24"/>
          <w:szCs w:val="24"/>
          <w:lang w:val="en-GB"/>
        </w:rPr>
        <w:t xml:space="preserve"> (iii) if the trust funds are being adequately and efficiently utilized to achieve the goals of the Union</w:t>
      </w:r>
      <w:r w:rsidR="00E76CE6">
        <w:rPr>
          <w:rFonts w:asciiTheme="minorHAnsi" w:hAnsiTheme="minorHAnsi" w:cstheme="minorHAnsi"/>
          <w:sz w:val="24"/>
          <w:szCs w:val="24"/>
          <w:lang w:val="en-GB"/>
        </w:rPr>
        <w:t>;</w:t>
      </w:r>
      <w:r w:rsidRPr="00B763B8">
        <w:rPr>
          <w:rFonts w:asciiTheme="minorHAnsi" w:hAnsiTheme="minorHAnsi" w:cstheme="minorHAnsi"/>
          <w:sz w:val="24"/>
          <w:szCs w:val="24"/>
          <w:lang w:val="en-GB"/>
        </w:rPr>
        <w:t xml:space="preserve"> and (iv) the utilization of the Trust Funds for compliance with the applicable rules and procedures. </w:t>
      </w:r>
    </w:p>
    <w:p w14:paraId="3C68C91C" w14:textId="64EFD596" w:rsidR="00B763B8" w:rsidRPr="00B763B8" w:rsidRDefault="00B763B8" w:rsidP="00E76CE6">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 xml:space="preserve">IA noted positive aspects such as </w:t>
      </w:r>
      <w:r w:rsidRPr="00B763B8">
        <w:rPr>
          <w:rFonts w:asciiTheme="minorHAnsi" w:hAnsiTheme="minorHAnsi" w:cstheme="minorHAnsi"/>
          <w:sz w:val="24"/>
          <w:szCs w:val="24"/>
          <w:lang w:val="en-GB"/>
        </w:rPr>
        <w:t xml:space="preserve">BDT, and in particular </w:t>
      </w:r>
      <w:r w:rsidR="00126B36">
        <w:rPr>
          <w:rFonts w:asciiTheme="minorHAnsi" w:hAnsiTheme="minorHAnsi" w:cstheme="minorHAnsi"/>
          <w:sz w:val="24"/>
          <w:szCs w:val="24"/>
          <w:lang w:val="en-GB"/>
        </w:rPr>
        <w:t>BDT’s Project Support Division (</w:t>
      </w:r>
      <w:r w:rsidRPr="00282799">
        <w:rPr>
          <w:rFonts w:asciiTheme="minorHAnsi" w:hAnsiTheme="minorHAnsi" w:cstheme="minorHAnsi"/>
          <w:sz w:val="24"/>
          <w:szCs w:val="24"/>
          <w:lang w:val="en-GB"/>
        </w:rPr>
        <w:t>PRJ</w:t>
      </w:r>
      <w:r w:rsidR="00126B36">
        <w:rPr>
          <w:rFonts w:asciiTheme="minorHAnsi" w:hAnsiTheme="minorHAnsi" w:cstheme="minorHAnsi"/>
          <w:sz w:val="24"/>
          <w:szCs w:val="24"/>
          <w:lang w:val="en-GB"/>
        </w:rPr>
        <w:t>)</w:t>
      </w:r>
      <w:r w:rsidRPr="00B763B8">
        <w:rPr>
          <w:rFonts w:asciiTheme="minorHAnsi" w:hAnsiTheme="minorHAnsi" w:cstheme="minorHAnsi"/>
          <w:sz w:val="24"/>
          <w:szCs w:val="24"/>
          <w:lang w:val="en-GB"/>
        </w:rPr>
        <w:t>, maintaining elaborate project management guidelines that are in line with best practices such as the PMI and Prince2. There have been efforts in place to standardize documents used in project management and PRJ maintains various templates such as templates for project document and cooperation agreement among others to create uniformity and efficiency in suppo</w:t>
      </w:r>
      <w:r w:rsidR="00913616">
        <w:rPr>
          <w:rFonts w:asciiTheme="minorHAnsi" w:hAnsiTheme="minorHAnsi" w:cstheme="minorHAnsi"/>
          <w:sz w:val="24"/>
          <w:szCs w:val="24"/>
          <w:lang w:val="en-GB"/>
        </w:rPr>
        <w:t xml:space="preserve">rting projects implementation. </w:t>
      </w:r>
      <w:r w:rsidRPr="00B763B8">
        <w:rPr>
          <w:rFonts w:asciiTheme="minorHAnsi" w:hAnsiTheme="minorHAnsi" w:cstheme="minorHAnsi"/>
          <w:sz w:val="24"/>
          <w:szCs w:val="24"/>
          <w:lang w:val="en-GB"/>
        </w:rPr>
        <w:t>PRJ also held a training session for the P3 staff involved in project management and is planning to conduct more on an ongoing basis in a bid to improve their skills to better support project implementation roles. IA found there are proper structures within the Bureau that are good for management of key risks of Trust Funds</w:t>
      </w:r>
      <w:r w:rsidRPr="00B763B8">
        <w:rPr>
          <w:rFonts w:asciiTheme="minorHAnsi" w:hAnsiTheme="minorHAnsi" w:cstheme="minorHAnsi"/>
          <w:sz w:val="24"/>
          <w:szCs w:val="24"/>
          <w:lang w:val="en-US"/>
        </w:rPr>
        <w:t xml:space="preserve">. </w:t>
      </w:r>
      <w:r w:rsidRPr="00B763B8">
        <w:rPr>
          <w:rFonts w:asciiTheme="minorHAnsi" w:hAnsiTheme="minorHAnsi" w:cstheme="minorHAnsi"/>
          <w:sz w:val="24"/>
          <w:szCs w:val="24"/>
          <w:lang w:val="en-GB"/>
        </w:rPr>
        <w:t xml:space="preserve">During the audit, the IA also found other good practices currently in place that complement project evaluation. Furthermore, </w:t>
      </w:r>
      <w:r w:rsidRPr="00B763B8">
        <w:rPr>
          <w:rFonts w:asciiTheme="minorHAnsi" w:hAnsiTheme="minorHAnsi" w:cstheme="minorHAnsi"/>
          <w:sz w:val="24"/>
          <w:szCs w:val="24"/>
          <w:lang w:val="en-US"/>
        </w:rPr>
        <w:t xml:space="preserve">review and assessment of policies indicated that policies governing the utilization of the Trust Funds are adequate and are correctly interpreted by the users. Sample review of projects financed using the Trust Funds indicated </w:t>
      </w:r>
      <w:r w:rsidR="00E76CE6">
        <w:rPr>
          <w:rFonts w:asciiTheme="minorHAnsi" w:hAnsiTheme="minorHAnsi" w:cstheme="minorHAnsi"/>
          <w:sz w:val="24"/>
          <w:szCs w:val="24"/>
          <w:lang w:val="en-US"/>
        </w:rPr>
        <w:t xml:space="preserve">the </w:t>
      </w:r>
      <w:r w:rsidRPr="00B763B8">
        <w:rPr>
          <w:rFonts w:asciiTheme="minorHAnsi" w:hAnsiTheme="minorHAnsi" w:cstheme="minorHAnsi"/>
          <w:sz w:val="24"/>
          <w:szCs w:val="24"/>
          <w:lang w:val="en-US"/>
        </w:rPr>
        <w:t xml:space="preserve">presence of duly prepared and signed project documents and legal agreements. All policy documents were found to be consistent with each other in that no opposing clauses were noted from one policy to another. </w:t>
      </w:r>
    </w:p>
    <w:p w14:paraId="1AF805A0" w14:textId="77777777" w:rsidR="00B763B8" w:rsidRPr="00B763B8" w:rsidRDefault="00B763B8" w:rsidP="001447A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rPr>
      </w:pPr>
      <w:r w:rsidRPr="00B763B8">
        <w:rPr>
          <w:rFonts w:asciiTheme="minorHAnsi" w:hAnsiTheme="minorHAnsi" w:cstheme="minorHAnsi"/>
          <w:sz w:val="24"/>
          <w:szCs w:val="24"/>
          <w:lang w:val="en-US"/>
        </w:rPr>
        <w:t>It was however concluded that there is a risk that project durations are not sufficient to allow resource utilization within a given time</w:t>
      </w:r>
      <w:r w:rsidR="00E76CE6">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frame. It was recommended that, </w:t>
      </w:r>
      <w:r w:rsidRPr="00B763B8">
        <w:rPr>
          <w:rFonts w:asciiTheme="minorHAnsi" w:eastAsia="Times New Roman" w:hAnsiTheme="minorHAnsi" w:cstheme="minorHAnsi"/>
          <w:sz w:val="24"/>
          <w:szCs w:val="24"/>
          <w:lang w:val="en-GB"/>
        </w:rPr>
        <w:t>while drafting projects and setting project durations the nature of the project and regional/national issues are taken into account in order to minimize project end date extension via Amendments/Addendum</w:t>
      </w:r>
      <w:r w:rsidRPr="00B763B8">
        <w:rPr>
          <w:rFonts w:asciiTheme="minorHAnsi" w:hAnsiTheme="minorHAnsi" w:cstheme="minorHAnsi"/>
          <w:sz w:val="24"/>
          <w:szCs w:val="24"/>
          <w:lang w:val="en-US"/>
        </w:rPr>
        <w:t xml:space="preserve">. BDT agreed to the recommendation and commented that it continues to insist on adherence to end dates, even if force majeure sometimes creeps in or beneficiary countries delay implementation due to a variety of reasons. Another issue noted was that </w:t>
      </w:r>
      <w:r w:rsidRPr="00B763B8">
        <w:rPr>
          <w:rFonts w:asciiTheme="minorHAnsi" w:hAnsiTheme="minorHAnsi" w:cstheme="minorHAnsi"/>
          <w:sz w:val="24"/>
          <w:szCs w:val="24"/>
          <w:lang w:val="en-GB"/>
        </w:rPr>
        <w:t>controls are found to be effective but there is a risk that the utilization of Trust Funds is not optimal to achieve the goals of the Union. It was recommended that consideration be given to the development of an online project management and knowledge sharing tool. BDT confirmed</w:t>
      </w:r>
      <w:r w:rsidRPr="00B763B8">
        <w:rPr>
          <w:rFonts w:asciiTheme="minorHAnsi" w:hAnsiTheme="minorHAnsi" w:cstheme="minorHAnsi"/>
          <w:sz w:val="24"/>
          <w:szCs w:val="24"/>
          <w:lang w:val="en-US"/>
        </w:rPr>
        <w:t xml:space="preserve"> that efforts to develop additional online project management and knowledge sharing tools will continue, taking into account the respective financial implications. Lastly IA noted that the existing policies governing the utilization of Trust Funds are largely reliable and adequate. </w:t>
      </w:r>
      <w:r w:rsidRPr="00B763B8">
        <w:rPr>
          <w:rFonts w:asciiTheme="minorHAnsi" w:hAnsiTheme="minorHAnsi" w:cstheme="minorHAnsi"/>
          <w:sz w:val="24"/>
          <w:szCs w:val="24"/>
        </w:rPr>
        <w:t>No particular recommendation was made in this area</w:t>
      </w:r>
      <w:r w:rsidR="001447A8">
        <w:rPr>
          <w:rFonts w:asciiTheme="minorHAnsi" w:hAnsiTheme="minorHAnsi" w:cstheme="minorHAnsi"/>
          <w:sz w:val="24"/>
          <w:szCs w:val="24"/>
        </w:rPr>
        <w:t>.</w:t>
      </w:r>
    </w:p>
    <w:p w14:paraId="37FC856C" w14:textId="77777777" w:rsidR="00B763B8" w:rsidRPr="00B763B8" w:rsidRDefault="00B763B8" w:rsidP="00B763B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b/>
          <w:i/>
          <w:color w:val="000000"/>
          <w:sz w:val="24"/>
          <w:szCs w:val="24"/>
          <w:lang w:val="en-US"/>
        </w:rPr>
      </w:pPr>
      <w:r w:rsidRPr="00B763B8">
        <w:rPr>
          <w:rFonts w:asciiTheme="minorHAnsi" w:hAnsiTheme="minorHAnsi" w:cstheme="minorHAnsi"/>
          <w:sz w:val="24"/>
          <w:szCs w:val="24"/>
          <w:lang w:val="en-US"/>
        </w:rPr>
        <w:lastRenderedPageBreak/>
        <w:t>Overall, IA is of the opinion that the governance, risk management processes</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internal controls are adequate and overall reasonably effective. Some improvement could be achieved in the areas of project durations and reinforcement of project management tools as well as major improvement for long outstanding balances of non-BDT trust funds.</w:t>
      </w:r>
    </w:p>
    <w:p w14:paraId="6D973FD9" w14:textId="77777777" w:rsidR="00B763B8" w:rsidRPr="00B763B8" w:rsidRDefault="00B763B8" w:rsidP="00B763B8">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360" w:after="120"/>
        <w:ind w:left="709" w:firstLine="0"/>
        <w:textAlignment w:val="auto"/>
        <w:rPr>
          <w:rFonts w:asciiTheme="minorHAnsi" w:hAnsiTheme="minorHAnsi" w:cstheme="minorHAnsi"/>
          <w:szCs w:val="24"/>
        </w:rPr>
      </w:pPr>
      <w:r w:rsidRPr="00B763B8">
        <w:rPr>
          <w:rFonts w:asciiTheme="minorHAnsi" w:hAnsiTheme="minorHAnsi" w:cstheme="minorHAnsi"/>
          <w:b/>
          <w:i/>
          <w:szCs w:val="24"/>
        </w:rPr>
        <w:t>Corporate Fraud Risk Assessment</w:t>
      </w:r>
    </w:p>
    <w:p w14:paraId="5E7949D6" w14:textId="619E9BC7" w:rsidR="00B763B8" w:rsidRPr="00B763B8" w:rsidRDefault="00B763B8" w:rsidP="00B30B17">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bCs/>
          <w:iCs/>
          <w:color w:val="000000"/>
          <w:sz w:val="24"/>
          <w:szCs w:val="24"/>
          <w:lang w:val="en-US"/>
        </w:rPr>
      </w:pPr>
      <w:r w:rsidRPr="00B763B8">
        <w:rPr>
          <w:rFonts w:asciiTheme="minorHAnsi" w:hAnsiTheme="minorHAnsi" w:cstheme="minorHAnsi"/>
          <w:sz w:val="24"/>
          <w:szCs w:val="24"/>
          <w:lang w:val="en-US"/>
        </w:rPr>
        <w:t xml:space="preserve">The JIU report on “fraud prevention, detection and response in UN Organizations” highlights a number of deficiencies in that area and some of those are applicable to ITU also. Given the relatively close link between audits and fraud investigations and the competence and skills of auditors, it was important to respond to the recommendation that relates to Organizations’ need for a comprehensive corporate fraud risk assessment. Such </w:t>
      </w:r>
      <w:r w:rsidR="00B30B17">
        <w:rPr>
          <w:rFonts w:asciiTheme="minorHAnsi" w:hAnsiTheme="minorHAnsi" w:cstheme="minorHAnsi"/>
          <w:sz w:val="24"/>
          <w:szCs w:val="24"/>
          <w:lang w:val="en-US"/>
        </w:rPr>
        <w:t xml:space="preserve">a </w:t>
      </w:r>
      <w:r w:rsidRPr="00B763B8">
        <w:rPr>
          <w:rFonts w:asciiTheme="minorHAnsi" w:hAnsiTheme="minorHAnsi" w:cstheme="minorHAnsi"/>
          <w:sz w:val="24"/>
          <w:szCs w:val="24"/>
          <w:lang w:val="en-US"/>
        </w:rPr>
        <w:t>review would constitute a corner stone for the Union’s overall response to other JIU recommendations of that report. The corporate fraud risk assessment planning, document review</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interviewing were completed in 2016. The assessment is based on regulatory frameworks, where transactions, processes, guidelines</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procedures would alert or prevent a fraud</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interviews to determine how lower tiers of management and frontline staff perceive the organization’s vulnerability. The draft report was shared with the relevant ITU Officials. The comments obtained were taken into account, as appropriate, and a final draft was sent </w:t>
      </w:r>
      <w:r w:rsidR="00B30B17" w:rsidRPr="00B763B8">
        <w:rPr>
          <w:rFonts w:asciiTheme="minorHAnsi" w:hAnsiTheme="minorHAnsi" w:cstheme="minorHAnsi"/>
          <w:sz w:val="24"/>
          <w:szCs w:val="24"/>
          <w:lang w:val="en-US"/>
        </w:rPr>
        <w:t xml:space="preserve">on 30 January 2017 </w:t>
      </w:r>
      <w:r w:rsidRPr="00B763B8">
        <w:rPr>
          <w:rFonts w:asciiTheme="minorHAnsi" w:hAnsiTheme="minorHAnsi" w:cstheme="minorHAnsi"/>
          <w:sz w:val="24"/>
          <w:szCs w:val="24"/>
          <w:lang w:val="en-US"/>
        </w:rPr>
        <w:t>to the relevant managers for final comments. The issuing of the report will most probably take place in Q1 or Q2 of 2017 and the recommendations implementation will be a direct input into the response to the JIU recommendations.</w:t>
      </w:r>
    </w:p>
    <w:p w14:paraId="6E12870F" w14:textId="77777777" w:rsidR="00B763B8" w:rsidRPr="00B763B8" w:rsidRDefault="00B763B8" w:rsidP="00B763B8">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360" w:after="120"/>
        <w:ind w:left="709" w:firstLine="0"/>
        <w:textAlignment w:val="auto"/>
        <w:rPr>
          <w:rFonts w:asciiTheme="minorHAnsi" w:hAnsiTheme="minorHAnsi" w:cstheme="minorHAnsi"/>
          <w:b/>
          <w:bCs/>
          <w:i/>
          <w:iCs/>
          <w:szCs w:val="24"/>
        </w:rPr>
      </w:pPr>
      <w:r w:rsidRPr="00B763B8">
        <w:rPr>
          <w:rFonts w:asciiTheme="minorHAnsi" w:hAnsiTheme="minorHAnsi" w:cstheme="minorHAnsi"/>
          <w:b/>
          <w:bCs/>
          <w:i/>
          <w:iCs/>
          <w:szCs w:val="24"/>
        </w:rPr>
        <w:t>Audit of Learning, Training</w:t>
      </w:r>
      <w:r w:rsidR="00934B11">
        <w:rPr>
          <w:rFonts w:asciiTheme="minorHAnsi" w:hAnsiTheme="minorHAnsi" w:cstheme="minorHAnsi"/>
          <w:b/>
          <w:bCs/>
          <w:i/>
          <w:iCs/>
          <w:szCs w:val="24"/>
        </w:rPr>
        <w:t>,</w:t>
      </w:r>
      <w:r w:rsidRPr="00B763B8">
        <w:rPr>
          <w:rFonts w:asciiTheme="minorHAnsi" w:hAnsiTheme="minorHAnsi" w:cstheme="minorHAnsi"/>
          <w:b/>
          <w:bCs/>
          <w:i/>
          <w:iCs/>
          <w:szCs w:val="24"/>
        </w:rPr>
        <w:t xml:space="preserve"> and Professional Development</w:t>
      </w:r>
    </w:p>
    <w:p w14:paraId="57D42F00" w14:textId="72C31897" w:rsidR="00B763B8" w:rsidRPr="001447A8" w:rsidRDefault="00B763B8" w:rsidP="00B30B17">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 xml:space="preserve">IA </w:t>
      </w:r>
      <w:r w:rsidRPr="00B763B8">
        <w:rPr>
          <w:rFonts w:asciiTheme="minorHAnsi" w:hAnsiTheme="minorHAnsi" w:cstheme="minorHAnsi"/>
          <w:sz w:val="24"/>
          <w:szCs w:val="24"/>
          <w:lang w:val="en-GB"/>
        </w:rPr>
        <w:t>conducted a review of the Learning, Training</w:t>
      </w:r>
      <w:r w:rsidR="00B30B17">
        <w:rPr>
          <w:rFonts w:asciiTheme="minorHAnsi" w:hAnsiTheme="minorHAnsi" w:cstheme="minorHAnsi"/>
          <w:sz w:val="24"/>
          <w:szCs w:val="24"/>
          <w:lang w:val="en-GB"/>
        </w:rPr>
        <w:t>,</w:t>
      </w:r>
      <w:r w:rsidRPr="00B763B8">
        <w:rPr>
          <w:rFonts w:asciiTheme="minorHAnsi" w:hAnsiTheme="minorHAnsi" w:cstheme="minorHAnsi"/>
          <w:sz w:val="24"/>
          <w:szCs w:val="24"/>
          <w:lang w:val="en-GB"/>
        </w:rPr>
        <w:t xml:space="preserve"> and Professional development activities covering the period from January 2014 to December 2015. The objectives of the audit were</w:t>
      </w:r>
      <w:r w:rsidR="00B30B17">
        <w:rPr>
          <w:rFonts w:asciiTheme="minorHAnsi" w:hAnsiTheme="minorHAnsi" w:cstheme="minorHAnsi"/>
          <w:sz w:val="24"/>
          <w:szCs w:val="24"/>
          <w:lang w:val="en-GB"/>
        </w:rPr>
        <w:t>:</w:t>
      </w:r>
      <w:r w:rsidRPr="00B763B8">
        <w:rPr>
          <w:rFonts w:asciiTheme="minorHAnsi" w:hAnsiTheme="minorHAnsi" w:cstheme="minorHAnsi"/>
          <w:sz w:val="24"/>
          <w:szCs w:val="24"/>
          <w:lang w:val="en-GB"/>
        </w:rPr>
        <w:t xml:space="preserve"> </w:t>
      </w:r>
      <w:r w:rsidRPr="00B763B8">
        <w:rPr>
          <w:rFonts w:asciiTheme="minorHAnsi" w:hAnsiTheme="minorHAnsi" w:cstheme="minorHAnsi"/>
          <w:sz w:val="24"/>
          <w:szCs w:val="24"/>
          <w:lang w:val="en-US"/>
        </w:rPr>
        <w:t xml:space="preserve">(i) </w:t>
      </w:r>
      <w:r w:rsidRPr="00B763B8">
        <w:rPr>
          <w:rFonts w:asciiTheme="minorHAnsi" w:hAnsiTheme="minorHAnsi" w:cstheme="minorHAnsi"/>
          <w:sz w:val="24"/>
          <w:szCs w:val="24"/>
          <w:lang w:val="en-GB"/>
        </w:rPr>
        <w:t xml:space="preserve">to </w:t>
      </w:r>
      <w:r w:rsidRPr="00B763B8">
        <w:rPr>
          <w:rFonts w:asciiTheme="minorHAnsi" w:hAnsiTheme="minorHAnsi" w:cstheme="minorHAnsi"/>
          <w:sz w:val="24"/>
          <w:szCs w:val="24"/>
          <w:lang w:val="en-US"/>
        </w:rPr>
        <w:t>assess the policies and guidance in place</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(ii) to assess the training budget</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(iii) to assess the planning of learning, training</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professional development</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(iv) to assess the information, communication</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reporting of learning, training</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professional development</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(v) to review the set-up of the HR Focal points’ framework. The training expenses, including central and allotted to BR, </w:t>
      </w:r>
      <w:r w:rsidR="001447A8">
        <w:rPr>
          <w:rFonts w:asciiTheme="minorHAnsi" w:hAnsiTheme="minorHAnsi" w:cstheme="minorHAnsi"/>
          <w:sz w:val="24"/>
          <w:szCs w:val="24"/>
          <w:lang w:val="en-US"/>
        </w:rPr>
        <w:t xml:space="preserve">TSB, </w:t>
      </w:r>
      <w:r w:rsidRPr="00B763B8">
        <w:rPr>
          <w:rFonts w:asciiTheme="minorHAnsi" w:hAnsiTheme="minorHAnsi" w:cstheme="minorHAnsi"/>
          <w:sz w:val="24"/>
          <w:szCs w:val="24"/>
          <w:lang w:val="en-US"/>
        </w:rPr>
        <w:t>BDT, an</w:t>
      </w:r>
      <w:r w:rsidR="001447A8">
        <w:rPr>
          <w:rFonts w:asciiTheme="minorHAnsi" w:hAnsiTheme="minorHAnsi" w:cstheme="minorHAnsi"/>
          <w:sz w:val="24"/>
          <w:szCs w:val="24"/>
          <w:lang w:val="en-US"/>
        </w:rPr>
        <w:t>d ISD department, amount to CHF </w:t>
      </w:r>
      <w:r w:rsidRPr="00B763B8">
        <w:rPr>
          <w:rFonts w:asciiTheme="minorHAnsi" w:hAnsiTheme="minorHAnsi" w:cstheme="minorHAnsi"/>
          <w:sz w:val="24"/>
          <w:szCs w:val="24"/>
          <w:lang w:val="en-US"/>
        </w:rPr>
        <w:t>509’614 in 2014 (budget was CHF 683’500) and CHF</w:t>
      </w:r>
      <w:r w:rsidR="001447A8">
        <w:rPr>
          <w:rFonts w:asciiTheme="minorHAnsi" w:hAnsiTheme="minorHAnsi" w:cstheme="minorHAnsi"/>
          <w:sz w:val="24"/>
          <w:szCs w:val="24"/>
          <w:lang w:val="en-US"/>
        </w:rPr>
        <w:t> </w:t>
      </w:r>
      <w:r w:rsidRPr="00B763B8">
        <w:rPr>
          <w:rFonts w:asciiTheme="minorHAnsi" w:hAnsiTheme="minorHAnsi" w:cstheme="minorHAnsi"/>
          <w:sz w:val="24"/>
          <w:szCs w:val="24"/>
          <w:lang w:val="en-US"/>
        </w:rPr>
        <w:t>636’120 in 2015</w:t>
      </w:r>
      <w:r w:rsidR="001447A8">
        <w:rPr>
          <w:rFonts w:asciiTheme="minorHAnsi" w:hAnsiTheme="minorHAnsi" w:cstheme="minorHAnsi"/>
          <w:sz w:val="24"/>
          <w:szCs w:val="24"/>
          <w:lang w:val="en-US"/>
        </w:rPr>
        <w:t xml:space="preserve"> (budget was CHF </w:t>
      </w:r>
      <w:r w:rsidRPr="00B763B8">
        <w:rPr>
          <w:rFonts w:asciiTheme="minorHAnsi" w:hAnsiTheme="minorHAnsi" w:cstheme="minorHAnsi"/>
          <w:sz w:val="24"/>
          <w:szCs w:val="24"/>
          <w:lang w:val="en-US"/>
        </w:rPr>
        <w:t xml:space="preserve">678’500). </w:t>
      </w:r>
      <w:r w:rsidRPr="001447A8">
        <w:rPr>
          <w:rFonts w:asciiTheme="minorHAnsi" w:hAnsiTheme="minorHAnsi" w:cstheme="minorHAnsi"/>
          <w:sz w:val="24"/>
          <w:szCs w:val="24"/>
          <w:lang w:val="en-US"/>
        </w:rPr>
        <w:t>It corresponds to approximatively 1% of the ITU staff costs.</w:t>
      </w:r>
    </w:p>
    <w:p w14:paraId="021C0A37" w14:textId="77777777" w:rsidR="00B763B8" w:rsidRPr="00B763B8" w:rsidRDefault="00B763B8" w:rsidP="001447A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IA concluded that the policy currently in force in the Union is obsolete and does</w:t>
      </w:r>
      <w:r w:rsidR="001447A8">
        <w:rPr>
          <w:rFonts w:asciiTheme="minorHAnsi" w:hAnsiTheme="minorHAnsi" w:cstheme="minorHAnsi"/>
          <w:sz w:val="24"/>
          <w:szCs w:val="24"/>
          <w:lang w:val="en-US"/>
        </w:rPr>
        <w:t xml:space="preserve"> not</w:t>
      </w:r>
      <w:r w:rsidRPr="00B763B8">
        <w:rPr>
          <w:rFonts w:asciiTheme="minorHAnsi" w:hAnsiTheme="minorHAnsi" w:cstheme="minorHAnsi"/>
          <w:sz w:val="24"/>
          <w:szCs w:val="24"/>
          <w:lang w:val="en-US"/>
        </w:rPr>
        <w:t xml:space="preserve"> give a clear guidance to staff and managers. It was recommended that a </w:t>
      </w:r>
      <w:r w:rsidRPr="00B763B8">
        <w:rPr>
          <w:rFonts w:asciiTheme="minorHAnsi" w:eastAsia="Times New Roman" w:hAnsiTheme="minorHAnsi" w:cstheme="minorHAnsi"/>
          <w:sz w:val="24"/>
          <w:szCs w:val="24"/>
          <w:lang w:val="en"/>
        </w:rPr>
        <w:t>policy and associated procedure dealing with all learning, training</w:t>
      </w:r>
      <w:r w:rsidR="00B30B17">
        <w:rPr>
          <w:rFonts w:asciiTheme="minorHAnsi" w:eastAsia="Times New Roman" w:hAnsiTheme="minorHAnsi" w:cstheme="minorHAnsi"/>
          <w:sz w:val="24"/>
          <w:szCs w:val="24"/>
          <w:lang w:val="en"/>
        </w:rPr>
        <w:t>,</w:t>
      </w:r>
      <w:r w:rsidRPr="00B763B8">
        <w:rPr>
          <w:rFonts w:asciiTheme="minorHAnsi" w:eastAsia="Times New Roman" w:hAnsiTheme="minorHAnsi" w:cstheme="minorHAnsi"/>
          <w:sz w:val="24"/>
          <w:szCs w:val="24"/>
          <w:lang w:val="en"/>
        </w:rPr>
        <w:t xml:space="preserve"> and professional development processes is fo</w:t>
      </w:r>
      <w:r w:rsidR="001447A8">
        <w:rPr>
          <w:rFonts w:asciiTheme="minorHAnsi" w:eastAsia="Times New Roman" w:hAnsiTheme="minorHAnsi" w:cstheme="minorHAnsi"/>
          <w:sz w:val="24"/>
          <w:szCs w:val="24"/>
          <w:lang w:val="en"/>
        </w:rPr>
        <w:t>rmally adopted. HRMD and other d</w:t>
      </w:r>
      <w:r w:rsidRPr="00B763B8">
        <w:rPr>
          <w:rFonts w:asciiTheme="minorHAnsi" w:eastAsia="Times New Roman" w:hAnsiTheme="minorHAnsi" w:cstheme="minorHAnsi"/>
          <w:sz w:val="24"/>
          <w:szCs w:val="24"/>
          <w:lang w:val="en"/>
        </w:rPr>
        <w:t xml:space="preserve">epartments agreed with the recommendation. </w:t>
      </w:r>
      <w:r w:rsidRPr="00B763B8">
        <w:rPr>
          <w:rFonts w:asciiTheme="minorHAnsi" w:hAnsiTheme="minorHAnsi" w:cstheme="minorHAnsi"/>
          <w:sz w:val="24"/>
          <w:szCs w:val="24"/>
          <w:lang w:val="en-US"/>
        </w:rPr>
        <w:t xml:space="preserve">The management of the training budget is adequate but the latter is not on a “needs” basis. It was thus recommended that </w:t>
      </w:r>
      <w:r w:rsidRPr="00B763B8">
        <w:rPr>
          <w:rFonts w:asciiTheme="minorHAnsi" w:eastAsia="Times New Roman" w:hAnsiTheme="minorHAnsi" w:cstheme="minorHAnsi"/>
          <w:sz w:val="24"/>
          <w:szCs w:val="24"/>
          <w:lang w:val="en"/>
        </w:rPr>
        <w:t>a skills and competencies gap analysis is conducted to determine the medium term learning program</w:t>
      </w:r>
      <w:r w:rsidR="00B30B17">
        <w:rPr>
          <w:rFonts w:asciiTheme="minorHAnsi" w:eastAsia="Times New Roman" w:hAnsiTheme="minorHAnsi" w:cstheme="minorHAnsi"/>
          <w:sz w:val="24"/>
          <w:szCs w:val="24"/>
          <w:lang w:val="en"/>
        </w:rPr>
        <w:t>me</w:t>
      </w:r>
      <w:r w:rsidRPr="00B763B8">
        <w:rPr>
          <w:rFonts w:asciiTheme="minorHAnsi" w:eastAsia="Times New Roman" w:hAnsiTheme="minorHAnsi" w:cstheme="minorHAnsi"/>
          <w:sz w:val="24"/>
          <w:szCs w:val="24"/>
          <w:lang w:val="en"/>
        </w:rPr>
        <w:t>s and related resource levels.</w:t>
      </w:r>
      <w:r w:rsidRPr="00B763B8">
        <w:rPr>
          <w:rFonts w:asciiTheme="minorHAnsi" w:eastAsia="Times New Roman" w:hAnsiTheme="minorHAnsi" w:cstheme="minorHAnsi"/>
          <w:sz w:val="24"/>
          <w:szCs w:val="24"/>
          <w:lang w:val="en-GB"/>
        </w:rPr>
        <w:t xml:space="preserve"> </w:t>
      </w:r>
      <w:r w:rsidRPr="00B763B8">
        <w:rPr>
          <w:rFonts w:asciiTheme="minorHAnsi" w:hAnsiTheme="minorHAnsi" w:cstheme="minorHAnsi"/>
          <w:sz w:val="24"/>
          <w:szCs w:val="24"/>
          <w:lang w:val="en-US"/>
        </w:rPr>
        <w:t>The planning, information</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reporting processes are not optimal and not sufficiently coordinated. It was therefore recommended that Bureaux/Departments annually submit their </w:t>
      </w:r>
      <w:r w:rsidRPr="00B763B8">
        <w:rPr>
          <w:rFonts w:asciiTheme="minorHAnsi" w:hAnsiTheme="minorHAnsi" w:cstheme="minorHAnsi"/>
          <w:i/>
          <w:iCs/>
          <w:sz w:val="24"/>
          <w:szCs w:val="24"/>
          <w:lang w:val="en-US"/>
        </w:rPr>
        <w:t>needs assessments</w:t>
      </w:r>
      <w:r w:rsidRPr="00B763B8">
        <w:rPr>
          <w:rFonts w:asciiTheme="minorHAnsi" w:hAnsiTheme="minorHAnsi" w:cstheme="minorHAnsi"/>
          <w:sz w:val="24"/>
          <w:szCs w:val="24"/>
          <w:lang w:val="en-US"/>
        </w:rPr>
        <w:t xml:space="preserve"> in a template to be developed by HRMD, that they also annually report back on their training activities in a template developed by HRMD and that the reconciliation exercise of training financial data and training profile data is facilitated by an automation tool. Most Bureaux/Departments and HRMD expressed their agreement with the recommendations. With respect to the HR focal points in Bureaux/Departments, the staff turnover is exposing the Union to </w:t>
      </w:r>
      <w:r w:rsidRPr="00B763B8">
        <w:rPr>
          <w:rFonts w:asciiTheme="minorHAnsi" w:hAnsiTheme="minorHAnsi" w:cstheme="minorHAnsi"/>
          <w:sz w:val="24"/>
          <w:szCs w:val="24"/>
          <w:lang w:val="en-US"/>
        </w:rPr>
        <w:lastRenderedPageBreak/>
        <w:t xml:space="preserve">a risk of discontinuing responsibilities. It was recommended that the HR focal point responsibilities of changing staff are safeguarded (at the central level). </w:t>
      </w:r>
    </w:p>
    <w:p w14:paraId="08C09316" w14:textId="77777777" w:rsidR="00B763B8" w:rsidRPr="00B763B8" w:rsidRDefault="00B763B8" w:rsidP="00B763B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Overall, IA is of the opinion that the governance, risk management processes</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internal controls are not sufficiently adequate and effective. Improvement should be achieved in the areas of policies, procedures, planning</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reporting. There is however adequate compliance of transactions with the current procedures and established practice. </w:t>
      </w:r>
    </w:p>
    <w:p w14:paraId="5ED761D3" w14:textId="77777777" w:rsidR="00B763B8" w:rsidRPr="00B763B8" w:rsidRDefault="00B763B8" w:rsidP="00B763B8">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360" w:after="120"/>
        <w:ind w:left="709" w:firstLine="0"/>
        <w:textAlignment w:val="auto"/>
        <w:rPr>
          <w:rFonts w:asciiTheme="minorHAnsi" w:hAnsiTheme="minorHAnsi" w:cstheme="minorHAnsi"/>
          <w:b/>
          <w:bCs/>
          <w:i/>
          <w:iCs/>
          <w:szCs w:val="24"/>
        </w:rPr>
      </w:pPr>
      <w:r w:rsidRPr="00B763B8">
        <w:rPr>
          <w:rFonts w:asciiTheme="minorHAnsi" w:hAnsiTheme="minorHAnsi" w:cstheme="minorHAnsi"/>
          <w:b/>
          <w:bCs/>
          <w:i/>
          <w:iCs/>
          <w:szCs w:val="24"/>
        </w:rPr>
        <w:t>Audit of IT Contracts, Rental</w:t>
      </w:r>
      <w:r w:rsidR="00B30B17">
        <w:rPr>
          <w:rFonts w:asciiTheme="minorHAnsi" w:hAnsiTheme="minorHAnsi" w:cstheme="minorHAnsi"/>
          <w:b/>
          <w:bCs/>
          <w:i/>
          <w:iCs/>
          <w:szCs w:val="24"/>
        </w:rPr>
        <w:t>,</w:t>
      </w:r>
      <w:r w:rsidRPr="00B763B8">
        <w:rPr>
          <w:rFonts w:asciiTheme="minorHAnsi" w:hAnsiTheme="minorHAnsi" w:cstheme="minorHAnsi"/>
          <w:b/>
          <w:bCs/>
          <w:i/>
          <w:iCs/>
          <w:szCs w:val="24"/>
        </w:rPr>
        <w:t xml:space="preserve"> and Maintenance Services </w:t>
      </w:r>
    </w:p>
    <w:p w14:paraId="07D0BA48" w14:textId="2806CA01" w:rsidR="00B763B8" w:rsidRPr="00B763B8" w:rsidRDefault="00B763B8" w:rsidP="008A2865">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 xml:space="preserve">IA conducted </w:t>
      </w:r>
      <w:r w:rsidRPr="00B763B8">
        <w:rPr>
          <w:rFonts w:asciiTheme="minorHAnsi" w:hAnsiTheme="minorHAnsi" w:cstheme="minorHAnsi"/>
          <w:sz w:val="24"/>
          <w:szCs w:val="24"/>
          <w:lang w:val="en-GB"/>
        </w:rPr>
        <w:t xml:space="preserve">a review of IT </w:t>
      </w:r>
      <w:r w:rsidR="00B30B17">
        <w:rPr>
          <w:rFonts w:asciiTheme="minorHAnsi" w:hAnsiTheme="minorHAnsi" w:cstheme="minorHAnsi"/>
          <w:sz w:val="24"/>
          <w:szCs w:val="24"/>
          <w:lang w:val="en-GB"/>
        </w:rPr>
        <w:t>c</w:t>
      </w:r>
      <w:r w:rsidRPr="00B763B8">
        <w:rPr>
          <w:rFonts w:asciiTheme="minorHAnsi" w:hAnsiTheme="minorHAnsi" w:cstheme="minorHAnsi"/>
          <w:sz w:val="24"/>
          <w:szCs w:val="24"/>
          <w:lang w:val="en-GB"/>
        </w:rPr>
        <w:t xml:space="preserve">ontracts, </w:t>
      </w:r>
      <w:r w:rsidR="00B30B17">
        <w:rPr>
          <w:rFonts w:asciiTheme="minorHAnsi" w:hAnsiTheme="minorHAnsi" w:cstheme="minorHAnsi"/>
          <w:sz w:val="24"/>
          <w:szCs w:val="24"/>
          <w:lang w:val="en-GB"/>
        </w:rPr>
        <w:t>r</w:t>
      </w:r>
      <w:r w:rsidRPr="00B763B8">
        <w:rPr>
          <w:rFonts w:asciiTheme="minorHAnsi" w:hAnsiTheme="minorHAnsi" w:cstheme="minorHAnsi"/>
          <w:sz w:val="24"/>
          <w:szCs w:val="24"/>
          <w:lang w:val="en-GB"/>
        </w:rPr>
        <w:t>ental</w:t>
      </w:r>
      <w:r w:rsidR="00B30B17">
        <w:rPr>
          <w:rFonts w:asciiTheme="minorHAnsi" w:hAnsiTheme="minorHAnsi" w:cstheme="minorHAnsi"/>
          <w:sz w:val="24"/>
          <w:szCs w:val="24"/>
          <w:lang w:val="en-GB"/>
        </w:rPr>
        <w:t>,</w:t>
      </w:r>
      <w:r w:rsidRPr="00B763B8">
        <w:rPr>
          <w:rFonts w:asciiTheme="minorHAnsi" w:hAnsiTheme="minorHAnsi" w:cstheme="minorHAnsi"/>
          <w:sz w:val="24"/>
          <w:szCs w:val="24"/>
          <w:lang w:val="en-GB"/>
        </w:rPr>
        <w:t xml:space="preserve"> and </w:t>
      </w:r>
      <w:r w:rsidR="00B30B17">
        <w:rPr>
          <w:rFonts w:asciiTheme="minorHAnsi" w:hAnsiTheme="minorHAnsi" w:cstheme="minorHAnsi"/>
          <w:sz w:val="24"/>
          <w:szCs w:val="24"/>
          <w:lang w:val="en-GB"/>
        </w:rPr>
        <w:t>m</w:t>
      </w:r>
      <w:r w:rsidRPr="00B763B8">
        <w:rPr>
          <w:rFonts w:asciiTheme="minorHAnsi" w:hAnsiTheme="minorHAnsi" w:cstheme="minorHAnsi"/>
          <w:sz w:val="24"/>
          <w:szCs w:val="24"/>
          <w:lang w:val="en-GB"/>
        </w:rPr>
        <w:t xml:space="preserve">aintenance </w:t>
      </w:r>
      <w:r w:rsidR="00B30B17">
        <w:rPr>
          <w:rFonts w:asciiTheme="minorHAnsi" w:hAnsiTheme="minorHAnsi" w:cstheme="minorHAnsi"/>
          <w:sz w:val="24"/>
          <w:szCs w:val="24"/>
          <w:lang w:val="en-GB"/>
        </w:rPr>
        <w:t>s</w:t>
      </w:r>
      <w:r w:rsidRPr="00B763B8">
        <w:rPr>
          <w:rFonts w:asciiTheme="minorHAnsi" w:hAnsiTheme="minorHAnsi" w:cstheme="minorHAnsi"/>
          <w:sz w:val="24"/>
          <w:szCs w:val="24"/>
          <w:lang w:val="en-GB"/>
        </w:rPr>
        <w:t>ervices for the period from 2013 to 2015. The objectives of the audit were</w:t>
      </w:r>
      <w:r w:rsidR="00B30B17">
        <w:rPr>
          <w:rFonts w:asciiTheme="minorHAnsi" w:hAnsiTheme="minorHAnsi" w:cstheme="minorHAnsi"/>
          <w:sz w:val="24"/>
          <w:szCs w:val="24"/>
          <w:lang w:val="en-GB"/>
        </w:rPr>
        <w:t>:</w:t>
      </w:r>
      <w:r w:rsidRPr="00B763B8">
        <w:rPr>
          <w:rFonts w:asciiTheme="minorHAnsi" w:hAnsiTheme="minorHAnsi" w:cstheme="minorHAnsi"/>
          <w:sz w:val="24"/>
          <w:szCs w:val="24"/>
          <w:lang w:val="en-GB"/>
        </w:rPr>
        <w:t xml:space="preserve"> </w:t>
      </w:r>
      <w:r w:rsidRPr="00B763B8">
        <w:rPr>
          <w:rFonts w:asciiTheme="minorHAnsi" w:hAnsiTheme="minorHAnsi" w:cstheme="minorHAnsi"/>
          <w:sz w:val="24"/>
          <w:szCs w:val="24"/>
          <w:lang w:val="en-US"/>
        </w:rPr>
        <w:t xml:space="preserve">(i) </w:t>
      </w:r>
      <w:r w:rsidRPr="00B763B8">
        <w:rPr>
          <w:rFonts w:asciiTheme="minorHAnsi" w:hAnsiTheme="minorHAnsi" w:cstheme="minorHAnsi"/>
          <w:sz w:val="24"/>
          <w:szCs w:val="24"/>
          <w:lang w:val="en-GB"/>
        </w:rPr>
        <w:t xml:space="preserve">to </w:t>
      </w:r>
      <w:r w:rsidRPr="00B763B8">
        <w:rPr>
          <w:rFonts w:asciiTheme="minorHAnsi" w:hAnsiTheme="minorHAnsi" w:cstheme="minorHAnsi"/>
          <w:sz w:val="24"/>
          <w:szCs w:val="24"/>
          <w:lang w:val="en-US"/>
        </w:rPr>
        <w:t xml:space="preserve">assess the </w:t>
      </w:r>
      <w:r w:rsidRPr="00B763B8">
        <w:rPr>
          <w:rFonts w:asciiTheme="minorHAnsi" w:hAnsiTheme="minorHAnsi" w:cstheme="minorHAnsi"/>
          <w:sz w:val="24"/>
          <w:szCs w:val="24"/>
          <w:lang w:val="en-GB"/>
        </w:rPr>
        <w:t>adequacy of policies governing IT contracts, rental</w:t>
      </w:r>
      <w:r w:rsidR="00B30B17">
        <w:rPr>
          <w:rFonts w:asciiTheme="minorHAnsi" w:hAnsiTheme="minorHAnsi" w:cstheme="minorHAnsi"/>
          <w:sz w:val="24"/>
          <w:szCs w:val="24"/>
          <w:lang w:val="en-GB"/>
        </w:rPr>
        <w:t>,</w:t>
      </w:r>
      <w:r w:rsidRPr="00B763B8">
        <w:rPr>
          <w:rFonts w:asciiTheme="minorHAnsi" w:hAnsiTheme="minorHAnsi" w:cstheme="minorHAnsi"/>
          <w:sz w:val="24"/>
          <w:szCs w:val="24"/>
          <w:lang w:val="en-GB"/>
        </w:rPr>
        <w:t xml:space="preserve"> and maintenance services and their reliability in safeguarding assets of the Union</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(ii) to assess </w:t>
      </w:r>
      <w:r w:rsidRPr="00B763B8">
        <w:rPr>
          <w:rFonts w:asciiTheme="minorHAnsi" w:hAnsiTheme="minorHAnsi" w:cstheme="minorHAnsi"/>
          <w:sz w:val="24"/>
          <w:szCs w:val="24"/>
          <w:lang w:val="en-GB"/>
        </w:rPr>
        <w:t>for efficiency and economic use of resources for IT contracts, rental</w:t>
      </w:r>
      <w:r w:rsidR="00B30B17">
        <w:rPr>
          <w:rFonts w:asciiTheme="minorHAnsi" w:hAnsiTheme="minorHAnsi" w:cstheme="minorHAnsi"/>
          <w:sz w:val="24"/>
          <w:szCs w:val="24"/>
          <w:lang w:val="en-GB"/>
        </w:rPr>
        <w:t>,</w:t>
      </w:r>
      <w:r w:rsidRPr="00B763B8">
        <w:rPr>
          <w:rFonts w:asciiTheme="minorHAnsi" w:hAnsiTheme="minorHAnsi" w:cstheme="minorHAnsi"/>
          <w:sz w:val="24"/>
          <w:szCs w:val="24"/>
          <w:lang w:val="en-GB"/>
        </w:rPr>
        <w:t xml:space="preserve"> and maintenance services</w:t>
      </w:r>
      <w:r w:rsidR="00B30B17">
        <w:rPr>
          <w:rFonts w:asciiTheme="minorHAnsi" w:hAnsiTheme="minorHAnsi" w:cstheme="minorHAnsi"/>
          <w:sz w:val="24"/>
          <w:szCs w:val="24"/>
          <w:lang w:val="en-GB"/>
        </w:rPr>
        <w:t>;</w:t>
      </w:r>
      <w:r w:rsidRPr="00B763B8">
        <w:rPr>
          <w:rFonts w:asciiTheme="minorHAnsi" w:hAnsiTheme="minorHAnsi" w:cstheme="minorHAnsi"/>
          <w:sz w:val="24"/>
          <w:szCs w:val="24"/>
          <w:lang w:val="en-US"/>
        </w:rPr>
        <w:t xml:space="preserve"> (iii) to assess the</w:t>
      </w:r>
      <w:r w:rsidRPr="00B763B8">
        <w:rPr>
          <w:rFonts w:asciiTheme="minorHAnsi" w:hAnsiTheme="minorHAnsi" w:cstheme="minorHAnsi"/>
          <w:sz w:val="24"/>
          <w:szCs w:val="24"/>
          <w:lang w:val="en-GB"/>
        </w:rPr>
        <w:t xml:space="preserve"> reliability of reporting on IT contracts, rental and maintenance services</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(iv) to assess </w:t>
      </w:r>
      <w:r w:rsidRPr="00B763B8">
        <w:rPr>
          <w:rFonts w:asciiTheme="minorHAnsi" w:hAnsiTheme="minorHAnsi" w:cstheme="minorHAnsi"/>
          <w:sz w:val="24"/>
          <w:szCs w:val="24"/>
          <w:lang w:val="en-GB"/>
        </w:rPr>
        <w:t>for effectiveness of controls and for compliance in management of IT contracts, rental</w:t>
      </w:r>
      <w:r w:rsidR="00B30B17">
        <w:rPr>
          <w:rFonts w:asciiTheme="minorHAnsi" w:hAnsiTheme="minorHAnsi" w:cstheme="minorHAnsi"/>
          <w:sz w:val="24"/>
          <w:szCs w:val="24"/>
          <w:lang w:val="en-GB"/>
        </w:rPr>
        <w:t>,</w:t>
      </w:r>
      <w:r w:rsidRPr="00B763B8">
        <w:rPr>
          <w:rFonts w:asciiTheme="minorHAnsi" w:hAnsiTheme="minorHAnsi" w:cstheme="minorHAnsi"/>
          <w:sz w:val="24"/>
          <w:szCs w:val="24"/>
          <w:lang w:val="en-GB"/>
        </w:rPr>
        <w:t xml:space="preserve"> and maintenance with applicable policies</w:t>
      </w:r>
      <w:r w:rsidR="00B30B17">
        <w:rPr>
          <w:rFonts w:asciiTheme="minorHAnsi" w:hAnsiTheme="minorHAnsi" w:cstheme="minorHAnsi"/>
          <w:sz w:val="24"/>
          <w:szCs w:val="24"/>
          <w:lang w:val="en-GB"/>
        </w:rPr>
        <w:t>;</w:t>
      </w:r>
      <w:r w:rsidRPr="00B763B8">
        <w:rPr>
          <w:rFonts w:asciiTheme="minorHAnsi" w:hAnsiTheme="minorHAnsi" w:cstheme="minorHAnsi"/>
          <w:sz w:val="24"/>
          <w:szCs w:val="24"/>
          <w:lang w:val="en-GB"/>
        </w:rPr>
        <w:t xml:space="preserve"> and (v) to assess the monitoring of relationships with third parties. </w:t>
      </w:r>
      <w:r w:rsidRPr="00B763B8">
        <w:rPr>
          <w:rFonts w:asciiTheme="minorHAnsi" w:hAnsiTheme="minorHAnsi" w:cstheme="minorHAnsi"/>
          <w:sz w:val="24"/>
          <w:szCs w:val="24"/>
          <w:lang w:val="en-US"/>
        </w:rPr>
        <w:t xml:space="preserve">In general it was found that many of the issues are actually </w:t>
      </w:r>
      <w:r w:rsidRPr="00B763B8">
        <w:rPr>
          <w:rFonts w:asciiTheme="minorHAnsi" w:hAnsiTheme="minorHAnsi" w:cstheme="minorHAnsi"/>
          <w:sz w:val="24"/>
          <w:szCs w:val="24"/>
          <w:u w:val="single"/>
          <w:lang w:val="en-US"/>
        </w:rPr>
        <w:t>broader</w:t>
      </w:r>
      <w:r w:rsidRPr="00B763B8">
        <w:rPr>
          <w:rFonts w:asciiTheme="minorHAnsi" w:hAnsiTheme="minorHAnsi" w:cstheme="minorHAnsi"/>
          <w:sz w:val="24"/>
          <w:szCs w:val="24"/>
          <w:lang w:val="en-US"/>
        </w:rPr>
        <w:t xml:space="preserve"> and not specifically related to </w:t>
      </w:r>
      <w:r w:rsidRPr="00B763B8">
        <w:rPr>
          <w:rFonts w:asciiTheme="minorHAnsi" w:hAnsiTheme="minorHAnsi" w:cstheme="minorHAnsi"/>
          <w:sz w:val="24"/>
          <w:szCs w:val="24"/>
          <w:lang w:val="en-GB"/>
        </w:rPr>
        <w:t xml:space="preserve">IT </w:t>
      </w:r>
      <w:r w:rsidR="00B30B17">
        <w:rPr>
          <w:rFonts w:asciiTheme="minorHAnsi" w:hAnsiTheme="minorHAnsi" w:cstheme="minorHAnsi"/>
          <w:sz w:val="24"/>
          <w:szCs w:val="24"/>
          <w:lang w:val="en-GB"/>
        </w:rPr>
        <w:t>c</w:t>
      </w:r>
      <w:r w:rsidRPr="00B763B8">
        <w:rPr>
          <w:rFonts w:asciiTheme="minorHAnsi" w:hAnsiTheme="minorHAnsi" w:cstheme="minorHAnsi"/>
          <w:sz w:val="24"/>
          <w:szCs w:val="24"/>
          <w:lang w:val="en-GB"/>
        </w:rPr>
        <w:t xml:space="preserve">ontracts, </w:t>
      </w:r>
      <w:r w:rsidR="00B30B17">
        <w:rPr>
          <w:rFonts w:asciiTheme="minorHAnsi" w:hAnsiTheme="minorHAnsi" w:cstheme="minorHAnsi"/>
          <w:sz w:val="24"/>
          <w:szCs w:val="24"/>
          <w:lang w:val="en-GB"/>
        </w:rPr>
        <w:t>r</w:t>
      </w:r>
      <w:r w:rsidRPr="00B763B8">
        <w:rPr>
          <w:rFonts w:asciiTheme="minorHAnsi" w:hAnsiTheme="minorHAnsi" w:cstheme="minorHAnsi"/>
          <w:sz w:val="24"/>
          <w:szCs w:val="24"/>
          <w:lang w:val="en-GB"/>
        </w:rPr>
        <w:t>ental</w:t>
      </w:r>
      <w:r w:rsidR="00B30B17">
        <w:rPr>
          <w:rFonts w:asciiTheme="minorHAnsi" w:hAnsiTheme="minorHAnsi" w:cstheme="minorHAnsi"/>
          <w:sz w:val="24"/>
          <w:szCs w:val="24"/>
          <w:lang w:val="en-GB"/>
        </w:rPr>
        <w:t>,</w:t>
      </w:r>
      <w:r w:rsidRPr="00B763B8">
        <w:rPr>
          <w:rFonts w:asciiTheme="minorHAnsi" w:hAnsiTheme="minorHAnsi" w:cstheme="minorHAnsi"/>
          <w:sz w:val="24"/>
          <w:szCs w:val="24"/>
          <w:lang w:val="en-GB"/>
        </w:rPr>
        <w:t xml:space="preserve"> and </w:t>
      </w:r>
      <w:r w:rsidR="00B30B17">
        <w:rPr>
          <w:rFonts w:asciiTheme="minorHAnsi" w:hAnsiTheme="minorHAnsi" w:cstheme="minorHAnsi"/>
          <w:sz w:val="24"/>
          <w:szCs w:val="24"/>
          <w:lang w:val="en-GB"/>
        </w:rPr>
        <w:t>m</w:t>
      </w:r>
      <w:r w:rsidRPr="00B763B8">
        <w:rPr>
          <w:rFonts w:asciiTheme="minorHAnsi" w:hAnsiTheme="minorHAnsi" w:cstheme="minorHAnsi"/>
          <w:sz w:val="24"/>
          <w:szCs w:val="24"/>
          <w:lang w:val="en-GB"/>
        </w:rPr>
        <w:t xml:space="preserve">aintenance </w:t>
      </w:r>
      <w:r w:rsidR="00B30B17">
        <w:rPr>
          <w:rFonts w:asciiTheme="minorHAnsi" w:hAnsiTheme="minorHAnsi" w:cstheme="minorHAnsi"/>
          <w:sz w:val="24"/>
          <w:szCs w:val="24"/>
          <w:lang w:val="en-GB"/>
        </w:rPr>
        <w:t>s</w:t>
      </w:r>
      <w:r w:rsidRPr="00B763B8">
        <w:rPr>
          <w:rFonts w:asciiTheme="minorHAnsi" w:hAnsiTheme="minorHAnsi" w:cstheme="minorHAnsi"/>
          <w:sz w:val="24"/>
          <w:szCs w:val="24"/>
          <w:lang w:val="en-GB"/>
        </w:rPr>
        <w:t>ervices</w:t>
      </w:r>
      <w:r w:rsidR="001447A8">
        <w:rPr>
          <w:rFonts w:asciiTheme="minorHAnsi" w:hAnsiTheme="minorHAnsi" w:cstheme="minorHAnsi"/>
          <w:sz w:val="24"/>
          <w:szCs w:val="24"/>
          <w:lang w:val="en-GB"/>
        </w:rPr>
        <w:t>.</w:t>
      </w:r>
    </w:p>
    <w:p w14:paraId="6D871027" w14:textId="77777777" w:rsidR="00B763B8" w:rsidRPr="00B763B8" w:rsidRDefault="00B763B8" w:rsidP="001447A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outlineLvl w:val="0"/>
        <w:rPr>
          <w:rFonts w:asciiTheme="minorHAnsi" w:hAnsiTheme="minorHAnsi" w:cstheme="minorHAnsi"/>
          <w:sz w:val="24"/>
          <w:szCs w:val="24"/>
        </w:rPr>
      </w:pPr>
      <w:r w:rsidRPr="00B763B8">
        <w:rPr>
          <w:rFonts w:asciiTheme="minorHAnsi" w:hAnsiTheme="minorHAnsi" w:cstheme="minorHAnsi"/>
          <w:sz w:val="24"/>
          <w:szCs w:val="24"/>
          <w:lang w:val="en-US"/>
        </w:rPr>
        <w:t>IA concluded that the existing policies governing the procurement (of IT contracts, rental</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maintenance services) are assessed as not adequate, although the Legal Affairs Unit (LAU) considers that some of IA’s interpretation is not correct. It was recommended that </w:t>
      </w:r>
      <w:r w:rsidRPr="00B763B8">
        <w:rPr>
          <w:rFonts w:asciiTheme="minorHAnsi" w:eastAsia="Times New Roman" w:hAnsiTheme="minorHAnsi" w:cstheme="minorHAnsi"/>
          <w:sz w:val="24"/>
          <w:szCs w:val="24"/>
          <w:lang w:val="en-GB"/>
        </w:rPr>
        <w:t>the Service Order on Rules and Procedures Governing the Placement of Contracts be revised within a reasonable time (e.g. a year). LAU and FRMD indicated that the revision is already underway.</w:t>
      </w:r>
      <w:r w:rsidRPr="00B763B8">
        <w:rPr>
          <w:rFonts w:asciiTheme="minorHAnsi" w:eastAsia="Times New Roman" w:hAnsiTheme="minorHAnsi" w:cstheme="minorHAnsi"/>
          <w:sz w:val="24"/>
          <w:szCs w:val="24"/>
          <w:lang w:val="en"/>
        </w:rPr>
        <w:t xml:space="preserve"> </w:t>
      </w:r>
      <w:r w:rsidRPr="00B763B8">
        <w:rPr>
          <w:rFonts w:asciiTheme="minorHAnsi" w:hAnsiTheme="minorHAnsi" w:cstheme="minorHAnsi"/>
          <w:sz w:val="24"/>
          <w:szCs w:val="24"/>
          <w:lang w:val="en-US"/>
        </w:rPr>
        <w:t>There is a risk that efficiency and economy in utilization of resources (for IT contracts, rental</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maintenance) are not optimized. It was recommended that</w:t>
      </w:r>
      <w:r w:rsidRPr="00B763B8">
        <w:rPr>
          <w:rFonts w:asciiTheme="minorHAnsi" w:eastAsia="Times New Roman" w:hAnsiTheme="minorHAnsi" w:cstheme="minorHAnsi"/>
          <w:sz w:val="24"/>
          <w:szCs w:val="24"/>
          <w:lang w:val="en-GB"/>
        </w:rPr>
        <w:t xml:space="preserve"> the preparation of an ITU Procurement Manual is fast-tracked, with </w:t>
      </w:r>
      <w:r w:rsidR="00B30B17">
        <w:rPr>
          <w:rFonts w:asciiTheme="minorHAnsi" w:eastAsia="Times New Roman" w:hAnsiTheme="minorHAnsi" w:cstheme="minorHAnsi"/>
          <w:sz w:val="24"/>
          <w:szCs w:val="24"/>
          <w:lang w:val="en-GB"/>
        </w:rPr>
        <w:t xml:space="preserve">an </w:t>
      </w:r>
      <w:r w:rsidRPr="00B763B8">
        <w:rPr>
          <w:rFonts w:asciiTheme="minorHAnsi" w:eastAsia="Times New Roman" w:hAnsiTheme="minorHAnsi" w:cstheme="minorHAnsi"/>
          <w:sz w:val="24"/>
          <w:szCs w:val="24"/>
          <w:lang w:val="en-GB"/>
        </w:rPr>
        <w:t>indication of, among other things</w:t>
      </w:r>
      <w:r w:rsidR="00B30B17">
        <w:rPr>
          <w:rFonts w:asciiTheme="minorHAnsi" w:eastAsia="Times New Roman" w:hAnsiTheme="minorHAnsi" w:cstheme="minorHAnsi"/>
          <w:sz w:val="24"/>
          <w:szCs w:val="24"/>
          <w:lang w:val="en-GB"/>
        </w:rPr>
        <w:t>,</w:t>
      </w:r>
      <w:r w:rsidRPr="00B763B8">
        <w:rPr>
          <w:rFonts w:asciiTheme="minorHAnsi" w:eastAsia="Times New Roman" w:hAnsiTheme="minorHAnsi" w:cstheme="minorHAnsi"/>
          <w:sz w:val="24"/>
          <w:szCs w:val="24"/>
          <w:lang w:val="en-GB"/>
        </w:rPr>
        <w:t xml:space="preserve"> applicable procurement methods, processes involved, applicable thresholds</w:t>
      </w:r>
      <w:r w:rsidR="00B30B17">
        <w:rPr>
          <w:rFonts w:asciiTheme="minorHAnsi" w:eastAsia="Times New Roman" w:hAnsiTheme="minorHAnsi" w:cstheme="minorHAnsi"/>
          <w:sz w:val="24"/>
          <w:szCs w:val="24"/>
          <w:lang w:val="en-GB"/>
        </w:rPr>
        <w:t>,</w:t>
      </w:r>
      <w:r w:rsidRPr="00B763B8">
        <w:rPr>
          <w:rFonts w:asciiTheme="minorHAnsi" w:eastAsia="Times New Roman" w:hAnsiTheme="minorHAnsi" w:cstheme="minorHAnsi"/>
          <w:sz w:val="24"/>
          <w:szCs w:val="24"/>
          <w:lang w:val="en-GB"/>
        </w:rPr>
        <w:t xml:space="preserve"> etc. LAU and FRMD indicated that the </w:t>
      </w:r>
      <w:r w:rsidRPr="00B763B8">
        <w:rPr>
          <w:rFonts w:asciiTheme="minorHAnsi" w:hAnsiTheme="minorHAnsi" w:cstheme="minorHAnsi"/>
          <w:sz w:val="24"/>
          <w:szCs w:val="24"/>
          <w:lang w:val="en-US"/>
        </w:rPr>
        <w:t>Procurement Manual will be issued in 2017 after consultation with the Contracts Committee</w:t>
      </w:r>
      <w:r w:rsidRPr="00B763B8">
        <w:rPr>
          <w:rFonts w:asciiTheme="minorHAnsi" w:eastAsia="Times New Roman" w:hAnsiTheme="minorHAnsi" w:cstheme="minorHAnsi"/>
          <w:sz w:val="24"/>
          <w:szCs w:val="24"/>
          <w:lang w:val="en"/>
        </w:rPr>
        <w:t xml:space="preserve">. </w:t>
      </w:r>
      <w:r w:rsidRPr="00B763B8">
        <w:rPr>
          <w:rFonts w:asciiTheme="minorHAnsi" w:hAnsiTheme="minorHAnsi" w:cstheme="minorHAnsi"/>
          <w:sz w:val="24"/>
          <w:szCs w:val="24"/>
          <w:lang w:val="en-US"/>
        </w:rPr>
        <w:t xml:space="preserve">There is a risk that the third party relationship management (including the vendor account management) is not adequate and/or optimal. It was recommended that </w:t>
      </w:r>
      <w:r w:rsidRPr="00B763B8">
        <w:rPr>
          <w:rFonts w:asciiTheme="minorHAnsi" w:eastAsia="Times New Roman" w:hAnsiTheme="minorHAnsi" w:cstheme="minorHAnsi"/>
          <w:sz w:val="24"/>
          <w:szCs w:val="24"/>
          <w:lang w:val="en-GB"/>
        </w:rPr>
        <w:t xml:space="preserve">a mechanism to link ERP supplier data with CRM data is proposed to FRMD (PROC) and Membership and Partner Relations Division in SPM. It was also recommended that a mechanism be set up to </w:t>
      </w:r>
      <w:r w:rsidRPr="00B763B8">
        <w:rPr>
          <w:rFonts w:asciiTheme="minorHAnsi" w:hAnsiTheme="minorHAnsi" w:cstheme="minorHAnsi"/>
          <w:sz w:val="24"/>
          <w:szCs w:val="24"/>
          <w:lang w:val="en-GB"/>
        </w:rPr>
        <w:t>make Sector Members aware of ITU procurement opportunities.</w:t>
      </w:r>
      <w:r w:rsidRPr="00B763B8">
        <w:rPr>
          <w:rFonts w:asciiTheme="minorHAnsi" w:eastAsia="Times New Roman" w:hAnsiTheme="minorHAnsi" w:cstheme="minorHAnsi"/>
          <w:sz w:val="24"/>
          <w:szCs w:val="24"/>
          <w:lang w:val="en-GB"/>
        </w:rPr>
        <w:t xml:space="preserve"> These recommendations were agreed by the managers concerned.</w:t>
      </w:r>
      <w:r w:rsidRPr="00B763B8">
        <w:rPr>
          <w:rFonts w:asciiTheme="minorHAnsi" w:hAnsiTheme="minorHAnsi" w:cstheme="minorHAnsi"/>
          <w:sz w:val="24"/>
          <w:szCs w:val="24"/>
          <w:lang w:val="en-GB"/>
        </w:rPr>
        <w:t xml:space="preserve"> There is</w:t>
      </w:r>
      <w:r w:rsidR="00B30B17">
        <w:rPr>
          <w:rFonts w:asciiTheme="minorHAnsi" w:hAnsiTheme="minorHAnsi" w:cstheme="minorHAnsi"/>
          <w:sz w:val="24"/>
          <w:szCs w:val="24"/>
          <w:lang w:val="en-GB"/>
        </w:rPr>
        <w:t xml:space="preserve"> a</w:t>
      </w:r>
      <w:r w:rsidRPr="00B763B8">
        <w:rPr>
          <w:rFonts w:asciiTheme="minorHAnsi" w:hAnsiTheme="minorHAnsi" w:cstheme="minorHAnsi"/>
          <w:sz w:val="24"/>
          <w:szCs w:val="24"/>
          <w:lang w:val="en-GB"/>
        </w:rPr>
        <w:t xml:space="preserve"> risk that IT contracts recording and reporting are not adequate. It was recommended that a </w:t>
      </w:r>
      <w:r w:rsidRPr="00B763B8">
        <w:rPr>
          <w:rFonts w:asciiTheme="minorHAnsi" w:eastAsia="Times New Roman" w:hAnsiTheme="minorHAnsi" w:cstheme="minorHAnsi"/>
          <w:sz w:val="24"/>
          <w:szCs w:val="24"/>
          <w:lang w:val="en-GB"/>
        </w:rPr>
        <w:t xml:space="preserve">review takes place on how the contract management functionality in SAP may be used and that a contract database in SAP is created. FRMD agreed with the recommendation specifying that the database may be created outside SAP. ISD complemented its agreement by specifying that </w:t>
      </w:r>
      <w:r w:rsidRPr="00B763B8">
        <w:rPr>
          <w:rFonts w:asciiTheme="minorHAnsi" w:hAnsiTheme="minorHAnsi" w:cstheme="minorHAnsi"/>
          <w:sz w:val="24"/>
          <w:szCs w:val="24"/>
          <w:lang w:val="en-US"/>
        </w:rPr>
        <w:t xml:space="preserve">it might be more constructive to expand a central repository of contracts, Agreements, MOUs, etc. (which LAU is already maintaining) with functionality that would be useful to PROC for contract management and as a reference tool for internal requesting services such as ISD. Access privileges would then be according to organizational roles and responsibilities. There was general compliance with policies and controls were assessed as effective. </w:t>
      </w:r>
      <w:r w:rsidRPr="00B763B8">
        <w:rPr>
          <w:rFonts w:asciiTheme="minorHAnsi" w:hAnsiTheme="minorHAnsi" w:cstheme="minorHAnsi"/>
          <w:sz w:val="24"/>
          <w:szCs w:val="24"/>
        </w:rPr>
        <w:t>IA did not issue any recommendation to this effect.</w:t>
      </w:r>
    </w:p>
    <w:p w14:paraId="7183AA9E" w14:textId="4FE1A47B" w:rsidR="00B763B8" w:rsidRPr="00B763B8" w:rsidRDefault="00B763B8" w:rsidP="00B763B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Overall, IA is of the opinion that the governance, risk management processes</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and internal controls are not sufficiently adequate and effective. Improvement should be achieved in the areas of policies, procedures, efficient/effective use of resources, and reporting. There is however adequate compliance of transactions with the current procedures and established practice. If the </w:t>
      </w:r>
      <w:r w:rsidRPr="00B763B8">
        <w:rPr>
          <w:rFonts w:asciiTheme="minorHAnsi" w:hAnsiTheme="minorHAnsi" w:cstheme="minorHAnsi"/>
          <w:sz w:val="24"/>
          <w:szCs w:val="24"/>
          <w:lang w:val="en-US"/>
        </w:rPr>
        <w:lastRenderedPageBreak/>
        <w:t xml:space="preserve">abovementioned shortcomings were addressed, the Secretary-General could be provided with reasonable assurance that there is adequate governance and risk management, and that controls are effective in the </w:t>
      </w:r>
      <w:r w:rsidRPr="00B763B8">
        <w:rPr>
          <w:rFonts w:asciiTheme="minorHAnsi" w:hAnsiTheme="minorHAnsi" w:cstheme="minorHAnsi"/>
          <w:sz w:val="24"/>
          <w:szCs w:val="24"/>
          <w:lang w:val="en-GB"/>
        </w:rPr>
        <w:t xml:space="preserve">IT </w:t>
      </w:r>
      <w:r w:rsidR="00B30B17">
        <w:rPr>
          <w:rFonts w:asciiTheme="minorHAnsi" w:hAnsiTheme="minorHAnsi" w:cstheme="minorHAnsi"/>
          <w:sz w:val="24"/>
          <w:szCs w:val="24"/>
          <w:lang w:val="en-GB"/>
        </w:rPr>
        <w:t>c</w:t>
      </w:r>
      <w:r w:rsidRPr="00B763B8">
        <w:rPr>
          <w:rFonts w:asciiTheme="minorHAnsi" w:hAnsiTheme="minorHAnsi" w:cstheme="minorHAnsi"/>
          <w:sz w:val="24"/>
          <w:szCs w:val="24"/>
          <w:lang w:val="en-GB"/>
        </w:rPr>
        <w:t xml:space="preserve">ontracts, </w:t>
      </w:r>
      <w:r w:rsidR="00B30B17">
        <w:rPr>
          <w:rFonts w:asciiTheme="minorHAnsi" w:hAnsiTheme="minorHAnsi" w:cstheme="minorHAnsi"/>
          <w:sz w:val="24"/>
          <w:szCs w:val="24"/>
          <w:lang w:val="en-GB"/>
        </w:rPr>
        <w:t>r</w:t>
      </w:r>
      <w:r w:rsidRPr="00B763B8">
        <w:rPr>
          <w:rFonts w:asciiTheme="minorHAnsi" w:hAnsiTheme="minorHAnsi" w:cstheme="minorHAnsi"/>
          <w:sz w:val="24"/>
          <w:szCs w:val="24"/>
          <w:lang w:val="en-GB"/>
        </w:rPr>
        <w:t xml:space="preserve">ental and </w:t>
      </w:r>
      <w:r w:rsidR="00B30B17">
        <w:rPr>
          <w:rFonts w:asciiTheme="minorHAnsi" w:hAnsiTheme="minorHAnsi" w:cstheme="minorHAnsi"/>
          <w:sz w:val="24"/>
          <w:szCs w:val="24"/>
          <w:lang w:val="en-GB"/>
        </w:rPr>
        <w:t>m</w:t>
      </w:r>
      <w:r w:rsidRPr="00B763B8">
        <w:rPr>
          <w:rFonts w:asciiTheme="minorHAnsi" w:hAnsiTheme="minorHAnsi" w:cstheme="minorHAnsi"/>
          <w:sz w:val="24"/>
          <w:szCs w:val="24"/>
          <w:lang w:val="en-GB"/>
        </w:rPr>
        <w:t xml:space="preserve">aintenance </w:t>
      </w:r>
      <w:r w:rsidR="00B30B17">
        <w:rPr>
          <w:rFonts w:asciiTheme="minorHAnsi" w:hAnsiTheme="minorHAnsi" w:cstheme="minorHAnsi"/>
          <w:sz w:val="24"/>
          <w:szCs w:val="24"/>
          <w:lang w:val="en-GB"/>
        </w:rPr>
        <w:t>s</w:t>
      </w:r>
      <w:r w:rsidRPr="00B763B8">
        <w:rPr>
          <w:rFonts w:asciiTheme="minorHAnsi" w:hAnsiTheme="minorHAnsi" w:cstheme="minorHAnsi"/>
          <w:sz w:val="24"/>
          <w:szCs w:val="24"/>
          <w:lang w:val="en-GB"/>
        </w:rPr>
        <w:t>ervices</w:t>
      </w:r>
      <w:r w:rsidRPr="00B763B8">
        <w:rPr>
          <w:rFonts w:asciiTheme="minorHAnsi" w:hAnsiTheme="minorHAnsi" w:cstheme="minorHAnsi"/>
          <w:sz w:val="24"/>
          <w:szCs w:val="24"/>
          <w:lang w:val="en-US"/>
        </w:rPr>
        <w:t>.</w:t>
      </w:r>
    </w:p>
    <w:p w14:paraId="63355260" w14:textId="77777777" w:rsidR="00B763B8" w:rsidRPr="00B763B8" w:rsidRDefault="00B763B8" w:rsidP="00B763B8">
      <w:pPr>
        <w:pStyle w:val="Heading1"/>
        <w:keepNext w:val="0"/>
        <w:keepLines w:val="0"/>
        <w:tabs>
          <w:tab w:val="clear" w:pos="567"/>
          <w:tab w:val="clear" w:pos="1134"/>
          <w:tab w:val="clear" w:pos="1701"/>
          <w:tab w:val="clear" w:pos="2268"/>
          <w:tab w:val="clear" w:pos="2835"/>
        </w:tabs>
        <w:snapToGrid w:val="0"/>
        <w:spacing w:after="120"/>
        <w:ind w:left="0" w:firstLine="0"/>
        <w:rPr>
          <w:rFonts w:asciiTheme="minorHAnsi" w:hAnsiTheme="minorHAnsi" w:cstheme="minorHAnsi"/>
          <w:szCs w:val="28"/>
          <w:lang w:val="en-CA"/>
        </w:rPr>
      </w:pPr>
      <w:r w:rsidRPr="00B763B8">
        <w:rPr>
          <w:rFonts w:asciiTheme="minorHAnsi" w:hAnsiTheme="minorHAnsi" w:cstheme="minorHAnsi"/>
          <w:szCs w:val="28"/>
          <w:lang w:val="en-CA"/>
        </w:rPr>
        <w:t>Implementation of IMAC recommendations pertaining to Internal Audit</w:t>
      </w:r>
    </w:p>
    <w:p w14:paraId="0FA62B22" w14:textId="77777777" w:rsidR="00B763B8" w:rsidRPr="00B763B8" w:rsidRDefault="00B763B8" w:rsidP="00B763B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 xml:space="preserve">IMAC performed regular follow-up of the recommendations with respect to the internal audit function and included progress noted in its report to the Secretary-General and in its annual report to the Council. At this stage, IA has addressed all IMAC recommendations with respect to internal audit. </w:t>
      </w:r>
    </w:p>
    <w:p w14:paraId="74D16D4C" w14:textId="65BBBB02" w:rsidR="00B763B8" w:rsidRPr="00B763B8" w:rsidRDefault="00B763B8" w:rsidP="00B30B17">
      <w:pPr>
        <w:pStyle w:val="ListParagraph"/>
        <w:tabs>
          <w:tab w:val="clear" w:pos="794"/>
          <w:tab w:val="clear" w:pos="1191"/>
          <w:tab w:val="clear" w:pos="1588"/>
          <w:tab w:val="clear" w:pos="1985"/>
        </w:tabs>
        <w:adjustRightInd w:val="0"/>
        <w:snapToGrid w:val="0"/>
        <w:spacing w:before="120" w:after="120" w:line="240" w:lineRule="auto"/>
        <w:ind w:left="0"/>
        <w:contextualSpacing w:val="0"/>
        <w:jc w:val="both"/>
        <w:rPr>
          <w:rFonts w:asciiTheme="minorHAnsi" w:hAnsiTheme="minorHAnsi" w:cstheme="minorHAnsi"/>
          <w:sz w:val="24"/>
          <w:szCs w:val="24"/>
          <w:lang w:val="en-US"/>
        </w:rPr>
      </w:pPr>
      <w:r w:rsidRPr="00B763B8">
        <w:rPr>
          <w:rFonts w:asciiTheme="minorHAnsi" w:hAnsiTheme="minorHAnsi" w:cstheme="minorHAnsi"/>
          <w:sz w:val="24"/>
          <w:szCs w:val="24"/>
          <w:lang w:val="en-US"/>
        </w:rPr>
        <w:t>In the Addendum 2 of its fourth report to Council</w:t>
      </w:r>
      <w:r w:rsidR="008F5E02">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IMAC also endorsed the findings of the external validation team (contained in </w:t>
      </w:r>
      <w:hyperlink r:id="rId12" w:history="1">
        <w:r w:rsidRPr="00B763B8">
          <w:rPr>
            <w:rStyle w:val="Hyperlink"/>
            <w:rFonts w:asciiTheme="minorHAnsi" w:hAnsiTheme="minorHAnsi" w:cstheme="minorHAnsi"/>
            <w:sz w:val="24"/>
            <w:szCs w:val="24"/>
            <w:lang w:val="en-US"/>
          </w:rPr>
          <w:t>Document C15/INF/11</w:t>
        </w:r>
      </w:hyperlink>
      <w:r w:rsidRPr="00B763B8">
        <w:rPr>
          <w:rFonts w:asciiTheme="minorHAnsi" w:hAnsiTheme="minorHAnsi" w:cstheme="minorHAnsi"/>
          <w:sz w:val="24"/>
          <w:szCs w:val="24"/>
          <w:lang w:val="en-US"/>
        </w:rPr>
        <w:t xml:space="preserve">) and recommended that the Internal Auditor </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through the mechanism of the annual report of the Internal Auditor on Internal Audit Activities </w:t>
      </w:r>
      <w:r w:rsidR="00B30B17">
        <w:rPr>
          <w:rFonts w:asciiTheme="minorHAnsi" w:hAnsiTheme="minorHAnsi" w:cstheme="minorHAnsi"/>
          <w:sz w:val="24"/>
          <w:szCs w:val="24"/>
          <w:lang w:val="en-US"/>
        </w:rPr>
        <w:t>–</w:t>
      </w:r>
      <w:r w:rsidRPr="00B763B8">
        <w:rPr>
          <w:rFonts w:asciiTheme="minorHAnsi" w:hAnsiTheme="minorHAnsi" w:cstheme="minorHAnsi"/>
          <w:sz w:val="24"/>
          <w:szCs w:val="24"/>
          <w:lang w:val="en-US"/>
        </w:rPr>
        <w:t xml:space="preserve"> report to the Council in subsequent years on action taken and progress made in the implementation of each of the nine recommendations contained in the External Independent Validation of ITU’s IA activity. IA confirms now that all nine recommendations have been implemented.</w:t>
      </w:r>
    </w:p>
    <w:p w14:paraId="215AF46C" w14:textId="77777777" w:rsidR="00B763B8" w:rsidRPr="00B763B8" w:rsidRDefault="00B763B8" w:rsidP="00B763B8">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cstheme="minorHAnsi"/>
          <w:szCs w:val="28"/>
          <w:lang w:val="en-CA"/>
        </w:rPr>
      </w:pPr>
      <w:r w:rsidRPr="00B763B8">
        <w:rPr>
          <w:rFonts w:asciiTheme="minorHAnsi" w:hAnsiTheme="minorHAnsi" w:cstheme="minorHAnsi"/>
          <w:szCs w:val="28"/>
          <w:lang w:val="en-CA"/>
        </w:rPr>
        <w:t>Follow-up of internal audit recommendations</w:t>
      </w:r>
    </w:p>
    <w:p w14:paraId="395F97CB" w14:textId="77777777" w:rsidR="00B763B8" w:rsidRPr="00B763B8" w:rsidRDefault="00B763B8" w:rsidP="001447A8">
      <w:pPr>
        <w:pStyle w:val="ListParagraph"/>
        <w:numPr>
          <w:ilvl w:val="0"/>
          <w:numId w:val="2"/>
        </w:numPr>
        <w:tabs>
          <w:tab w:val="clear" w:pos="794"/>
          <w:tab w:val="clear" w:pos="1191"/>
          <w:tab w:val="clear" w:pos="1588"/>
          <w:tab w:val="clear" w:pos="1985"/>
        </w:tabs>
        <w:adjustRightInd w:val="0"/>
        <w:snapToGrid w:val="0"/>
        <w:spacing w:before="120" w:after="240" w:line="240" w:lineRule="auto"/>
        <w:ind w:left="0" w:firstLine="0"/>
        <w:contextualSpacing w:val="0"/>
        <w:jc w:val="both"/>
        <w:rPr>
          <w:rFonts w:asciiTheme="minorHAnsi" w:hAnsiTheme="minorHAnsi" w:cstheme="minorHAnsi"/>
          <w:sz w:val="24"/>
          <w:szCs w:val="24"/>
          <w:lang w:val="en-CA"/>
        </w:rPr>
      </w:pPr>
      <w:r w:rsidRPr="00B763B8">
        <w:rPr>
          <w:rFonts w:asciiTheme="minorHAnsi" w:hAnsiTheme="minorHAnsi" w:cstheme="minorHAnsi"/>
          <w:sz w:val="24"/>
          <w:szCs w:val="24"/>
          <w:lang w:val="en-CA"/>
        </w:rPr>
        <w:t>Throughout the period reported on, and in compliance with IIA</w:t>
      </w:r>
      <w:r w:rsidR="002869AC" w:rsidRPr="002869AC">
        <w:rPr>
          <w:rStyle w:val="FootnoteReference"/>
          <w:rFonts w:cstheme="minorHAnsi"/>
          <w:sz w:val="18"/>
          <w:szCs w:val="18"/>
          <w:lang w:val="en-CA"/>
        </w:rPr>
        <w:footnoteReference w:id="4"/>
      </w:r>
      <w:r w:rsidRPr="00B763B8">
        <w:rPr>
          <w:rFonts w:asciiTheme="minorHAnsi" w:hAnsiTheme="minorHAnsi" w:cstheme="minorHAnsi"/>
          <w:sz w:val="24"/>
          <w:szCs w:val="24"/>
          <w:lang w:val="en-CA"/>
        </w:rPr>
        <w:t xml:space="preserve"> Standard 2500, Internal Audit continued to follow up on recommendations made in previous audit reports. Further progress was noted over the last 12 months and statistics on the implementation are (at 1 February 2017):</w:t>
      </w:r>
    </w:p>
    <w:tbl>
      <w:tblPr>
        <w:tblW w:w="9854" w:type="dxa"/>
        <w:tblLook w:val="04A0" w:firstRow="1" w:lastRow="0" w:firstColumn="1" w:lastColumn="0" w:noHBand="0" w:noVBand="1"/>
      </w:tblPr>
      <w:tblGrid>
        <w:gridCol w:w="3300"/>
        <w:gridCol w:w="943"/>
        <w:gridCol w:w="850"/>
        <w:gridCol w:w="993"/>
        <w:gridCol w:w="992"/>
        <w:gridCol w:w="992"/>
        <w:gridCol w:w="851"/>
        <w:gridCol w:w="933"/>
      </w:tblGrid>
      <w:tr w:rsidR="00B763B8" w:rsidRPr="00B763B8" w14:paraId="31D347F0" w14:textId="77777777" w:rsidTr="00BF51A0">
        <w:trPr>
          <w:trHeight w:val="315"/>
        </w:trPr>
        <w:tc>
          <w:tcPr>
            <w:tcW w:w="3300" w:type="dxa"/>
            <w:tcBorders>
              <w:top w:val="single" w:sz="8" w:space="0" w:color="auto"/>
              <w:left w:val="single" w:sz="8" w:space="0" w:color="auto"/>
              <w:bottom w:val="nil"/>
              <w:right w:val="nil"/>
            </w:tcBorders>
            <w:shd w:val="clear" w:color="000000" w:fill="000000"/>
            <w:noWrap/>
            <w:vAlign w:val="bottom"/>
            <w:hideMark/>
          </w:tcPr>
          <w:p w14:paraId="234F284E" w14:textId="77777777" w:rsidR="00B763B8" w:rsidRPr="00B763B8" w:rsidRDefault="00B763B8" w:rsidP="001447A8">
            <w:pPr>
              <w:tabs>
                <w:tab w:val="clear" w:pos="567"/>
                <w:tab w:val="clear" w:pos="1134"/>
                <w:tab w:val="clear" w:pos="1701"/>
                <w:tab w:val="clear" w:pos="2268"/>
                <w:tab w:val="clear" w:pos="2835"/>
              </w:tabs>
              <w:snapToGrid w:val="0"/>
              <w:spacing w:before="60" w:after="60"/>
              <w:rPr>
                <w:rFonts w:asciiTheme="minorHAnsi" w:hAnsiTheme="minorHAnsi" w:cstheme="minorHAnsi"/>
                <w:b/>
                <w:bCs/>
                <w:color w:val="FFFFFF"/>
                <w:szCs w:val="24"/>
              </w:rPr>
            </w:pPr>
            <w:r w:rsidRPr="00B763B8">
              <w:rPr>
                <w:rFonts w:asciiTheme="minorHAnsi" w:hAnsiTheme="minorHAnsi" w:cstheme="minorHAnsi"/>
                <w:b/>
                <w:bCs/>
                <w:color w:val="FFFFFF"/>
                <w:szCs w:val="24"/>
              </w:rPr>
              <w:t>Year</w:t>
            </w:r>
          </w:p>
        </w:tc>
        <w:tc>
          <w:tcPr>
            <w:tcW w:w="943" w:type="dxa"/>
            <w:tcBorders>
              <w:top w:val="single" w:sz="8" w:space="0" w:color="auto"/>
              <w:left w:val="nil"/>
              <w:bottom w:val="nil"/>
              <w:right w:val="nil"/>
            </w:tcBorders>
            <w:shd w:val="clear" w:color="000000" w:fill="000000"/>
            <w:noWrap/>
            <w:vAlign w:val="bottom"/>
            <w:hideMark/>
          </w:tcPr>
          <w:p w14:paraId="2EC9FED8" w14:textId="77777777" w:rsidR="00B763B8" w:rsidRPr="00B763B8" w:rsidRDefault="00B763B8" w:rsidP="001447A8">
            <w:pPr>
              <w:tabs>
                <w:tab w:val="clear" w:pos="567"/>
                <w:tab w:val="clear" w:pos="1134"/>
                <w:tab w:val="clear" w:pos="1701"/>
                <w:tab w:val="clear" w:pos="2268"/>
                <w:tab w:val="clear" w:pos="2835"/>
              </w:tabs>
              <w:snapToGrid w:val="0"/>
              <w:spacing w:before="60" w:after="60"/>
              <w:jc w:val="center"/>
              <w:rPr>
                <w:rFonts w:asciiTheme="minorHAnsi" w:hAnsiTheme="minorHAnsi" w:cstheme="minorHAnsi"/>
                <w:b/>
                <w:bCs/>
                <w:color w:val="FFFFFF"/>
                <w:szCs w:val="24"/>
              </w:rPr>
            </w:pPr>
            <w:r w:rsidRPr="00B763B8">
              <w:rPr>
                <w:rFonts w:asciiTheme="minorHAnsi" w:hAnsiTheme="minorHAnsi" w:cstheme="minorHAnsi"/>
                <w:b/>
                <w:bCs/>
                <w:color w:val="FFFFFF"/>
                <w:szCs w:val="24"/>
              </w:rPr>
              <w:t>2011</w:t>
            </w:r>
          </w:p>
        </w:tc>
        <w:tc>
          <w:tcPr>
            <w:tcW w:w="850" w:type="dxa"/>
            <w:tcBorders>
              <w:top w:val="single" w:sz="8" w:space="0" w:color="auto"/>
              <w:left w:val="nil"/>
              <w:bottom w:val="nil"/>
              <w:right w:val="nil"/>
            </w:tcBorders>
            <w:shd w:val="clear" w:color="000000" w:fill="000000"/>
            <w:noWrap/>
            <w:vAlign w:val="bottom"/>
            <w:hideMark/>
          </w:tcPr>
          <w:p w14:paraId="16427B63" w14:textId="77777777" w:rsidR="00B763B8" w:rsidRPr="00B763B8" w:rsidRDefault="00B763B8" w:rsidP="001447A8">
            <w:pPr>
              <w:tabs>
                <w:tab w:val="clear" w:pos="567"/>
                <w:tab w:val="clear" w:pos="1134"/>
                <w:tab w:val="clear" w:pos="1701"/>
                <w:tab w:val="clear" w:pos="2268"/>
                <w:tab w:val="clear" w:pos="2835"/>
              </w:tabs>
              <w:snapToGrid w:val="0"/>
              <w:spacing w:before="60" w:after="60"/>
              <w:jc w:val="center"/>
              <w:rPr>
                <w:rFonts w:asciiTheme="minorHAnsi" w:hAnsiTheme="minorHAnsi" w:cstheme="minorHAnsi"/>
                <w:b/>
                <w:bCs/>
                <w:color w:val="FFFFFF"/>
                <w:szCs w:val="24"/>
              </w:rPr>
            </w:pPr>
            <w:r w:rsidRPr="00B763B8">
              <w:rPr>
                <w:rFonts w:asciiTheme="minorHAnsi" w:hAnsiTheme="minorHAnsi" w:cstheme="minorHAnsi"/>
                <w:b/>
                <w:bCs/>
                <w:color w:val="FFFFFF"/>
                <w:szCs w:val="24"/>
              </w:rPr>
              <w:t>2012</w:t>
            </w:r>
          </w:p>
        </w:tc>
        <w:tc>
          <w:tcPr>
            <w:tcW w:w="993" w:type="dxa"/>
            <w:tcBorders>
              <w:top w:val="single" w:sz="8" w:space="0" w:color="auto"/>
              <w:left w:val="nil"/>
              <w:bottom w:val="nil"/>
              <w:right w:val="nil"/>
            </w:tcBorders>
            <w:shd w:val="clear" w:color="000000" w:fill="000000"/>
            <w:noWrap/>
            <w:vAlign w:val="bottom"/>
            <w:hideMark/>
          </w:tcPr>
          <w:p w14:paraId="0F84536B" w14:textId="77777777" w:rsidR="00B763B8" w:rsidRPr="00B763B8" w:rsidRDefault="00B763B8" w:rsidP="001447A8">
            <w:pPr>
              <w:tabs>
                <w:tab w:val="clear" w:pos="567"/>
                <w:tab w:val="clear" w:pos="1134"/>
                <w:tab w:val="clear" w:pos="1701"/>
                <w:tab w:val="clear" w:pos="2268"/>
                <w:tab w:val="clear" w:pos="2835"/>
              </w:tabs>
              <w:snapToGrid w:val="0"/>
              <w:spacing w:before="60" w:after="60"/>
              <w:jc w:val="center"/>
              <w:rPr>
                <w:rFonts w:asciiTheme="minorHAnsi" w:hAnsiTheme="minorHAnsi" w:cstheme="minorHAnsi"/>
                <w:b/>
                <w:bCs/>
                <w:color w:val="FFFFFF"/>
                <w:szCs w:val="24"/>
              </w:rPr>
            </w:pPr>
            <w:r w:rsidRPr="00B763B8">
              <w:rPr>
                <w:rFonts w:asciiTheme="minorHAnsi" w:hAnsiTheme="minorHAnsi" w:cstheme="minorHAnsi"/>
                <w:b/>
                <w:bCs/>
                <w:color w:val="FFFFFF"/>
                <w:szCs w:val="24"/>
              </w:rPr>
              <w:t>2013</w:t>
            </w:r>
          </w:p>
        </w:tc>
        <w:tc>
          <w:tcPr>
            <w:tcW w:w="992" w:type="dxa"/>
            <w:tcBorders>
              <w:top w:val="single" w:sz="8" w:space="0" w:color="auto"/>
              <w:left w:val="nil"/>
              <w:bottom w:val="nil"/>
              <w:right w:val="nil"/>
            </w:tcBorders>
            <w:shd w:val="clear" w:color="000000" w:fill="000000"/>
            <w:noWrap/>
            <w:vAlign w:val="bottom"/>
            <w:hideMark/>
          </w:tcPr>
          <w:p w14:paraId="6280EA2A" w14:textId="77777777" w:rsidR="00B763B8" w:rsidRPr="00B763B8" w:rsidRDefault="00B763B8" w:rsidP="001447A8">
            <w:pPr>
              <w:tabs>
                <w:tab w:val="clear" w:pos="567"/>
                <w:tab w:val="clear" w:pos="1134"/>
                <w:tab w:val="clear" w:pos="1701"/>
                <w:tab w:val="clear" w:pos="2268"/>
                <w:tab w:val="clear" w:pos="2835"/>
              </w:tabs>
              <w:snapToGrid w:val="0"/>
              <w:spacing w:before="60" w:after="60"/>
              <w:jc w:val="center"/>
              <w:rPr>
                <w:rFonts w:asciiTheme="minorHAnsi" w:hAnsiTheme="minorHAnsi" w:cstheme="minorHAnsi"/>
                <w:b/>
                <w:bCs/>
                <w:color w:val="FFFFFF"/>
                <w:szCs w:val="24"/>
              </w:rPr>
            </w:pPr>
            <w:r w:rsidRPr="00B763B8">
              <w:rPr>
                <w:rFonts w:asciiTheme="minorHAnsi" w:hAnsiTheme="minorHAnsi" w:cstheme="minorHAnsi"/>
                <w:b/>
                <w:bCs/>
                <w:color w:val="FFFFFF"/>
                <w:szCs w:val="24"/>
              </w:rPr>
              <w:t>2014</w:t>
            </w:r>
          </w:p>
        </w:tc>
        <w:tc>
          <w:tcPr>
            <w:tcW w:w="992" w:type="dxa"/>
            <w:tcBorders>
              <w:top w:val="single" w:sz="8" w:space="0" w:color="auto"/>
              <w:left w:val="nil"/>
              <w:bottom w:val="nil"/>
              <w:right w:val="nil"/>
            </w:tcBorders>
            <w:shd w:val="clear" w:color="000000" w:fill="000000"/>
            <w:noWrap/>
            <w:vAlign w:val="bottom"/>
            <w:hideMark/>
          </w:tcPr>
          <w:p w14:paraId="06A4333D" w14:textId="77777777" w:rsidR="00B763B8" w:rsidRPr="00B763B8" w:rsidRDefault="00B763B8" w:rsidP="001447A8">
            <w:pPr>
              <w:tabs>
                <w:tab w:val="clear" w:pos="567"/>
                <w:tab w:val="clear" w:pos="1134"/>
                <w:tab w:val="clear" w:pos="1701"/>
                <w:tab w:val="clear" w:pos="2268"/>
                <w:tab w:val="clear" w:pos="2835"/>
              </w:tabs>
              <w:snapToGrid w:val="0"/>
              <w:spacing w:before="60" w:after="60"/>
              <w:jc w:val="center"/>
              <w:rPr>
                <w:rFonts w:asciiTheme="minorHAnsi" w:hAnsiTheme="minorHAnsi" w:cstheme="minorHAnsi"/>
                <w:b/>
                <w:bCs/>
                <w:color w:val="FFFFFF"/>
                <w:szCs w:val="24"/>
              </w:rPr>
            </w:pPr>
            <w:r w:rsidRPr="00B763B8">
              <w:rPr>
                <w:rFonts w:asciiTheme="minorHAnsi" w:hAnsiTheme="minorHAnsi" w:cstheme="minorHAnsi"/>
                <w:b/>
                <w:bCs/>
                <w:color w:val="FFFFFF"/>
                <w:szCs w:val="24"/>
              </w:rPr>
              <w:t>2015</w:t>
            </w:r>
          </w:p>
        </w:tc>
        <w:tc>
          <w:tcPr>
            <w:tcW w:w="851" w:type="dxa"/>
            <w:tcBorders>
              <w:top w:val="single" w:sz="8" w:space="0" w:color="auto"/>
              <w:left w:val="nil"/>
              <w:bottom w:val="nil"/>
              <w:right w:val="nil"/>
            </w:tcBorders>
            <w:shd w:val="clear" w:color="000000" w:fill="000000"/>
            <w:noWrap/>
            <w:vAlign w:val="bottom"/>
            <w:hideMark/>
          </w:tcPr>
          <w:p w14:paraId="644E66CD" w14:textId="77777777" w:rsidR="00B763B8" w:rsidRPr="00B763B8" w:rsidRDefault="00B763B8" w:rsidP="001447A8">
            <w:pPr>
              <w:tabs>
                <w:tab w:val="clear" w:pos="567"/>
                <w:tab w:val="clear" w:pos="1134"/>
                <w:tab w:val="clear" w:pos="1701"/>
                <w:tab w:val="clear" w:pos="2268"/>
                <w:tab w:val="clear" w:pos="2835"/>
              </w:tabs>
              <w:snapToGrid w:val="0"/>
              <w:spacing w:before="60" w:after="60"/>
              <w:jc w:val="center"/>
              <w:rPr>
                <w:rFonts w:asciiTheme="minorHAnsi" w:hAnsiTheme="minorHAnsi" w:cstheme="minorHAnsi"/>
                <w:b/>
                <w:bCs/>
                <w:color w:val="FFFFFF"/>
                <w:szCs w:val="24"/>
              </w:rPr>
            </w:pPr>
            <w:r w:rsidRPr="00B763B8">
              <w:rPr>
                <w:rFonts w:asciiTheme="minorHAnsi" w:hAnsiTheme="minorHAnsi" w:cstheme="minorHAnsi"/>
                <w:b/>
                <w:bCs/>
                <w:color w:val="FFFFFF"/>
                <w:szCs w:val="24"/>
              </w:rPr>
              <w:t>2016</w:t>
            </w:r>
          </w:p>
        </w:tc>
        <w:tc>
          <w:tcPr>
            <w:tcW w:w="933" w:type="dxa"/>
            <w:tcBorders>
              <w:top w:val="single" w:sz="8" w:space="0" w:color="auto"/>
              <w:left w:val="nil"/>
              <w:bottom w:val="nil"/>
              <w:right w:val="single" w:sz="8" w:space="0" w:color="auto"/>
            </w:tcBorders>
            <w:shd w:val="clear" w:color="000000" w:fill="000000"/>
            <w:noWrap/>
            <w:vAlign w:val="bottom"/>
            <w:hideMark/>
          </w:tcPr>
          <w:p w14:paraId="2ECAB6CB" w14:textId="77777777" w:rsidR="00B763B8" w:rsidRPr="00B763B8" w:rsidRDefault="00B763B8" w:rsidP="001447A8">
            <w:pPr>
              <w:tabs>
                <w:tab w:val="clear" w:pos="567"/>
                <w:tab w:val="clear" w:pos="1134"/>
                <w:tab w:val="clear" w:pos="1701"/>
                <w:tab w:val="clear" w:pos="2268"/>
                <w:tab w:val="clear" w:pos="2835"/>
              </w:tabs>
              <w:snapToGrid w:val="0"/>
              <w:spacing w:before="60" w:after="60"/>
              <w:jc w:val="center"/>
              <w:rPr>
                <w:rFonts w:asciiTheme="minorHAnsi" w:hAnsiTheme="minorHAnsi" w:cstheme="minorHAnsi"/>
                <w:b/>
                <w:bCs/>
                <w:color w:val="FFFFFF"/>
                <w:szCs w:val="24"/>
              </w:rPr>
            </w:pPr>
            <w:r w:rsidRPr="00B763B8">
              <w:rPr>
                <w:rFonts w:asciiTheme="minorHAnsi" w:hAnsiTheme="minorHAnsi" w:cstheme="minorHAnsi"/>
                <w:b/>
                <w:bCs/>
                <w:color w:val="FFFFFF"/>
                <w:szCs w:val="24"/>
              </w:rPr>
              <w:t xml:space="preserve">Total </w:t>
            </w:r>
          </w:p>
        </w:tc>
      </w:tr>
      <w:tr w:rsidR="00B763B8" w:rsidRPr="00B763B8" w14:paraId="3397497E" w14:textId="77777777" w:rsidTr="00BF51A0">
        <w:trPr>
          <w:trHeight w:val="300"/>
        </w:trPr>
        <w:tc>
          <w:tcPr>
            <w:tcW w:w="33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17B92E3" w14:textId="77777777" w:rsidR="00B763B8" w:rsidRPr="00B763B8" w:rsidRDefault="00B763B8" w:rsidP="00B763B8">
            <w:pPr>
              <w:tabs>
                <w:tab w:val="clear" w:pos="567"/>
                <w:tab w:val="clear" w:pos="1134"/>
                <w:tab w:val="clear" w:pos="1701"/>
                <w:tab w:val="clear" w:pos="2268"/>
                <w:tab w:val="clear" w:pos="2835"/>
              </w:tabs>
              <w:snapToGrid w:val="0"/>
              <w:spacing w:before="20" w:after="20"/>
              <w:rPr>
                <w:rFonts w:asciiTheme="minorHAnsi" w:hAnsiTheme="minorHAnsi" w:cstheme="minorHAnsi"/>
                <w:color w:val="000000"/>
                <w:szCs w:val="24"/>
              </w:rPr>
            </w:pPr>
            <w:r w:rsidRPr="00B763B8">
              <w:rPr>
                <w:rFonts w:asciiTheme="minorHAnsi" w:hAnsiTheme="minorHAnsi" w:cstheme="minorHAnsi"/>
                <w:color w:val="000000"/>
                <w:szCs w:val="24"/>
              </w:rPr>
              <w:t>Number of audit reports</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4CBED9FE"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2</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50BDC2B5"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0</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14:paraId="1AE38700"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4</w:t>
            </w:r>
          </w:p>
        </w:tc>
        <w:tc>
          <w:tcPr>
            <w:tcW w:w="992" w:type="dxa"/>
            <w:tcBorders>
              <w:top w:val="single" w:sz="8" w:space="0" w:color="auto"/>
              <w:left w:val="nil"/>
              <w:bottom w:val="single" w:sz="4" w:space="0" w:color="auto"/>
              <w:right w:val="nil"/>
            </w:tcBorders>
            <w:shd w:val="clear" w:color="000000" w:fill="FFFFFF"/>
            <w:noWrap/>
            <w:vAlign w:val="bottom"/>
            <w:hideMark/>
          </w:tcPr>
          <w:p w14:paraId="25BEDE66"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4</w:t>
            </w:r>
          </w:p>
        </w:tc>
        <w:tc>
          <w:tcPr>
            <w:tcW w:w="992" w:type="dxa"/>
            <w:tcBorders>
              <w:top w:val="single" w:sz="8" w:space="0" w:color="auto"/>
              <w:left w:val="single" w:sz="4" w:space="0" w:color="auto"/>
              <w:bottom w:val="single" w:sz="4" w:space="0" w:color="auto"/>
              <w:right w:val="nil"/>
            </w:tcBorders>
            <w:shd w:val="clear" w:color="000000" w:fill="FFFFFF"/>
            <w:noWrap/>
            <w:vAlign w:val="bottom"/>
            <w:hideMark/>
          </w:tcPr>
          <w:p w14:paraId="2666A8E7"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7</w:t>
            </w:r>
          </w:p>
        </w:tc>
        <w:tc>
          <w:tcPr>
            <w:tcW w:w="851" w:type="dxa"/>
            <w:tcBorders>
              <w:top w:val="single" w:sz="8" w:space="0" w:color="auto"/>
              <w:left w:val="single" w:sz="4" w:space="0" w:color="auto"/>
              <w:bottom w:val="single" w:sz="4" w:space="0" w:color="auto"/>
              <w:right w:val="nil"/>
            </w:tcBorders>
            <w:shd w:val="clear" w:color="000000" w:fill="FFFFFF"/>
            <w:noWrap/>
            <w:vAlign w:val="bottom"/>
            <w:hideMark/>
          </w:tcPr>
          <w:p w14:paraId="4B6A6216"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4</w:t>
            </w:r>
          </w:p>
        </w:tc>
        <w:tc>
          <w:tcPr>
            <w:tcW w:w="933" w:type="dxa"/>
            <w:tcBorders>
              <w:top w:val="single" w:sz="8" w:space="0" w:color="auto"/>
              <w:left w:val="single" w:sz="4" w:space="0" w:color="auto"/>
              <w:bottom w:val="single" w:sz="4" w:space="0" w:color="auto"/>
              <w:right w:val="single" w:sz="8" w:space="0" w:color="auto"/>
            </w:tcBorders>
            <w:shd w:val="clear" w:color="000000" w:fill="AEAAAA"/>
            <w:noWrap/>
            <w:vAlign w:val="bottom"/>
            <w:hideMark/>
          </w:tcPr>
          <w:p w14:paraId="4B41BA5C"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b/>
                <w:bCs/>
                <w:szCs w:val="24"/>
              </w:rPr>
            </w:pPr>
            <w:r w:rsidRPr="00B763B8">
              <w:rPr>
                <w:rFonts w:asciiTheme="minorHAnsi" w:hAnsiTheme="minorHAnsi" w:cstheme="minorHAnsi"/>
                <w:b/>
                <w:bCs/>
                <w:szCs w:val="24"/>
              </w:rPr>
              <w:t>21</w:t>
            </w:r>
          </w:p>
        </w:tc>
      </w:tr>
      <w:tr w:rsidR="00B763B8" w:rsidRPr="00B763B8" w14:paraId="26297DFE" w14:textId="77777777" w:rsidTr="00BF51A0">
        <w:trPr>
          <w:trHeight w:val="300"/>
        </w:trPr>
        <w:tc>
          <w:tcPr>
            <w:tcW w:w="3300" w:type="dxa"/>
            <w:tcBorders>
              <w:top w:val="nil"/>
              <w:left w:val="single" w:sz="8" w:space="0" w:color="auto"/>
              <w:bottom w:val="single" w:sz="4" w:space="0" w:color="auto"/>
              <w:right w:val="single" w:sz="4" w:space="0" w:color="auto"/>
            </w:tcBorders>
            <w:shd w:val="clear" w:color="auto" w:fill="auto"/>
            <w:noWrap/>
            <w:vAlign w:val="bottom"/>
            <w:hideMark/>
          </w:tcPr>
          <w:p w14:paraId="4DEB3A18" w14:textId="77777777" w:rsidR="00B763B8" w:rsidRPr="00B763B8" w:rsidRDefault="00B763B8" w:rsidP="00B763B8">
            <w:pPr>
              <w:tabs>
                <w:tab w:val="clear" w:pos="567"/>
                <w:tab w:val="clear" w:pos="1134"/>
                <w:tab w:val="clear" w:pos="1701"/>
                <w:tab w:val="clear" w:pos="2268"/>
                <w:tab w:val="clear" w:pos="2835"/>
              </w:tabs>
              <w:snapToGrid w:val="0"/>
              <w:spacing w:before="20" w:after="20"/>
              <w:rPr>
                <w:rFonts w:asciiTheme="minorHAnsi" w:hAnsiTheme="minorHAnsi" w:cstheme="minorHAnsi"/>
                <w:color w:val="000000"/>
                <w:szCs w:val="24"/>
              </w:rPr>
            </w:pPr>
            <w:r w:rsidRPr="00B763B8">
              <w:rPr>
                <w:rFonts w:asciiTheme="minorHAnsi" w:hAnsiTheme="minorHAnsi" w:cstheme="minorHAnsi"/>
                <w:color w:val="000000"/>
                <w:szCs w:val="24"/>
              </w:rPr>
              <w:t>Recommendations - Total</w:t>
            </w:r>
          </w:p>
        </w:tc>
        <w:tc>
          <w:tcPr>
            <w:tcW w:w="943" w:type="dxa"/>
            <w:tcBorders>
              <w:top w:val="nil"/>
              <w:left w:val="nil"/>
              <w:bottom w:val="single" w:sz="4" w:space="0" w:color="auto"/>
              <w:right w:val="single" w:sz="4" w:space="0" w:color="auto"/>
            </w:tcBorders>
            <w:shd w:val="clear" w:color="auto" w:fill="auto"/>
            <w:noWrap/>
            <w:vAlign w:val="bottom"/>
            <w:hideMark/>
          </w:tcPr>
          <w:p w14:paraId="542083F5"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17</w:t>
            </w:r>
          </w:p>
        </w:tc>
        <w:tc>
          <w:tcPr>
            <w:tcW w:w="850" w:type="dxa"/>
            <w:tcBorders>
              <w:top w:val="nil"/>
              <w:left w:val="nil"/>
              <w:bottom w:val="single" w:sz="4" w:space="0" w:color="auto"/>
              <w:right w:val="single" w:sz="4" w:space="0" w:color="auto"/>
            </w:tcBorders>
            <w:shd w:val="clear" w:color="auto" w:fill="auto"/>
            <w:noWrap/>
            <w:vAlign w:val="bottom"/>
            <w:hideMark/>
          </w:tcPr>
          <w:p w14:paraId="7E7334A7"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w:t>
            </w:r>
          </w:p>
        </w:tc>
        <w:tc>
          <w:tcPr>
            <w:tcW w:w="993" w:type="dxa"/>
            <w:tcBorders>
              <w:top w:val="nil"/>
              <w:left w:val="nil"/>
              <w:bottom w:val="single" w:sz="4" w:space="0" w:color="auto"/>
              <w:right w:val="single" w:sz="4" w:space="0" w:color="auto"/>
            </w:tcBorders>
            <w:shd w:val="clear" w:color="000000" w:fill="FFFFFF"/>
            <w:noWrap/>
            <w:vAlign w:val="bottom"/>
            <w:hideMark/>
          </w:tcPr>
          <w:p w14:paraId="24B7E507"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113</w:t>
            </w:r>
          </w:p>
        </w:tc>
        <w:tc>
          <w:tcPr>
            <w:tcW w:w="992" w:type="dxa"/>
            <w:tcBorders>
              <w:top w:val="nil"/>
              <w:left w:val="nil"/>
              <w:bottom w:val="single" w:sz="4" w:space="0" w:color="auto"/>
              <w:right w:val="nil"/>
            </w:tcBorders>
            <w:shd w:val="clear" w:color="000000" w:fill="FFFFFF"/>
            <w:noWrap/>
            <w:vAlign w:val="bottom"/>
            <w:hideMark/>
          </w:tcPr>
          <w:p w14:paraId="3DDA08D9"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55</w:t>
            </w:r>
          </w:p>
        </w:tc>
        <w:tc>
          <w:tcPr>
            <w:tcW w:w="992" w:type="dxa"/>
            <w:tcBorders>
              <w:top w:val="nil"/>
              <w:left w:val="single" w:sz="4" w:space="0" w:color="auto"/>
              <w:bottom w:val="single" w:sz="4" w:space="0" w:color="auto"/>
              <w:right w:val="nil"/>
            </w:tcBorders>
            <w:shd w:val="clear" w:color="000000" w:fill="FFFFFF"/>
            <w:noWrap/>
            <w:vAlign w:val="bottom"/>
            <w:hideMark/>
          </w:tcPr>
          <w:p w14:paraId="7092355C"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34</w:t>
            </w:r>
          </w:p>
        </w:tc>
        <w:tc>
          <w:tcPr>
            <w:tcW w:w="851" w:type="dxa"/>
            <w:tcBorders>
              <w:top w:val="nil"/>
              <w:left w:val="single" w:sz="4" w:space="0" w:color="auto"/>
              <w:bottom w:val="single" w:sz="4" w:space="0" w:color="auto"/>
              <w:right w:val="nil"/>
            </w:tcBorders>
            <w:shd w:val="clear" w:color="000000" w:fill="FFFFFF"/>
            <w:noWrap/>
            <w:vAlign w:val="bottom"/>
            <w:hideMark/>
          </w:tcPr>
          <w:p w14:paraId="34160408"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22</w:t>
            </w:r>
          </w:p>
        </w:tc>
        <w:tc>
          <w:tcPr>
            <w:tcW w:w="933" w:type="dxa"/>
            <w:tcBorders>
              <w:top w:val="nil"/>
              <w:left w:val="single" w:sz="4" w:space="0" w:color="auto"/>
              <w:bottom w:val="single" w:sz="4" w:space="0" w:color="auto"/>
              <w:right w:val="single" w:sz="8" w:space="0" w:color="auto"/>
            </w:tcBorders>
            <w:shd w:val="clear" w:color="000000" w:fill="AEAAAA"/>
            <w:noWrap/>
            <w:vAlign w:val="bottom"/>
            <w:hideMark/>
          </w:tcPr>
          <w:p w14:paraId="4BA57941"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b/>
                <w:bCs/>
                <w:szCs w:val="24"/>
              </w:rPr>
            </w:pPr>
            <w:r w:rsidRPr="00B763B8">
              <w:rPr>
                <w:rFonts w:asciiTheme="minorHAnsi" w:hAnsiTheme="minorHAnsi" w:cstheme="minorHAnsi"/>
                <w:b/>
                <w:bCs/>
                <w:szCs w:val="24"/>
              </w:rPr>
              <w:t>241</w:t>
            </w:r>
          </w:p>
        </w:tc>
      </w:tr>
      <w:tr w:rsidR="00B763B8" w:rsidRPr="00B763B8" w14:paraId="2713A190" w14:textId="77777777" w:rsidTr="00BF51A0">
        <w:trPr>
          <w:trHeight w:val="300"/>
        </w:trPr>
        <w:tc>
          <w:tcPr>
            <w:tcW w:w="3300" w:type="dxa"/>
            <w:tcBorders>
              <w:top w:val="nil"/>
              <w:left w:val="single" w:sz="8" w:space="0" w:color="auto"/>
              <w:bottom w:val="single" w:sz="4" w:space="0" w:color="auto"/>
              <w:right w:val="single" w:sz="4" w:space="0" w:color="auto"/>
            </w:tcBorders>
            <w:shd w:val="clear" w:color="auto" w:fill="auto"/>
            <w:noWrap/>
            <w:vAlign w:val="bottom"/>
            <w:hideMark/>
          </w:tcPr>
          <w:p w14:paraId="20D348C6" w14:textId="77777777" w:rsidR="00B763B8" w:rsidRPr="00B763B8" w:rsidRDefault="00B763B8" w:rsidP="00B763B8">
            <w:pPr>
              <w:tabs>
                <w:tab w:val="clear" w:pos="567"/>
                <w:tab w:val="clear" w:pos="1134"/>
                <w:tab w:val="clear" w:pos="1701"/>
                <w:tab w:val="clear" w:pos="2268"/>
                <w:tab w:val="clear" w:pos="2835"/>
              </w:tabs>
              <w:snapToGrid w:val="0"/>
              <w:spacing w:before="20" w:after="20"/>
              <w:rPr>
                <w:rFonts w:asciiTheme="minorHAnsi" w:hAnsiTheme="minorHAnsi" w:cstheme="minorHAnsi"/>
                <w:color w:val="000000"/>
                <w:szCs w:val="24"/>
              </w:rPr>
            </w:pPr>
            <w:r w:rsidRPr="00B763B8">
              <w:rPr>
                <w:rFonts w:asciiTheme="minorHAnsi" w:hAnsiTheme="minorHAnsi" w:cstheme="minorHAnsi"/>
                <w:color w:val="000000"/>
                <w:szCs w:val="24"/>
              </w:rPr>
              <w:t xml:space="preserve">    In Progress</w:t>
            </w:r>
          </w:p>
        </w:tc>
        <w:tc>
          <w:tcPr>
            <w:tcW w:w="943" w:type="dxa"/>
            <w:tcBorders>
              <w:top w:val="nil"/>
              <w:left w:val="nil"/>
              <w:bottom w:val="single" w:sz="4" w:space="0" w:color="auto"/>
              <w:right w:val="single" w:sz="4" w:space="0" w:color="auto"/>
            </w:tcBorders>
            <w:shd w:val="clear" w:color="000000" w:fill="FFFFFF"/>
            <w:noWrap/>
            <w:vAlign w:val="bottom"/>
            <w:hideMark/>
          </w:tcPr>
          <w:p w14:paraId="649BA30D"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0</w:t>
            </w:r>
          </w:p>
        </w:tc>
        <w:tc>
          <w:tcPr>
            <w:tcW w:w="850" w:type="dxa"/>
            <w:tcBorders>
              <w:top w:val="nil"/>
              <w:left w:val="nil"/>
              <w:bottom w:val="single" w:sz="4" w:space="0" w:color="auto"/>
              <w:right w:val="single" w:sz="4" w:space="0" w:color="auto"/>
            </w:tcBorders>
            <w:shd w:val="clear" w:color="auto" w:fill="auto"/>
            <w:noWrap/>
            <w:vAlign w:val="bottom"/>
            <w:hideMark/>
          </w:tcPr>
          <w:p w14:paraId="41CB22BB"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w:t>
            </w:r>
          </w:p>
        </w:tc>
        <w:tc>
          <w:tcPr>
            <w:tcW w:w="993" w:type="dxa"/>
            <w:tcBorders>
              <w:top w:val="nil"/>
              <w:left w:val="nil"/>
              <w:bottom w:val="single" w:sz="4" w:space="0" w:color="auto"/>
              <w:right w:val="single" w:sz="4" w:space="0" w:color="auto"/>
            </w:tcBorders>
            <w:shd w:val="clear" w:color="000000" w:fill="FFFFFF"/>
            <w:noWrap/>
            <w:vAlign w:val="bottom"/>
            <w:hideMark/>
          </w:tcPr>
          <w:p w14:paraId="29004730"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8</w:t>
            </w:r>
          </w:p>
        </w:tc>
        <w:tc>
          <w:tcPr>
            <w:tcW w:w="992" w:type="dxa"/>
            <w:tcBorders>
              <w:top w:val="nil"/>
              <w:left w:val="nil"/>
              <w:bottom w:val="single" w:sz="4" w:space="0" w:color="auto"/>
              <w:right w:val="nil"/>
            </w:tcBorders>
            <w:shd w:val="clear" w:color="000000" w:fill="FFFFFF"/>
            <w:noWrap/>
            <w:vAlign w:val="bottom"/>
            <w:hideMark/>
          </w:tcPr>
          <w:p w14:paraId="0AB7BB75"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5</w:t>
            </w:r>
          </w:p>
        </w:tc>
        <w:tc>
          <w:tcPr>
            <w:tcW w:w="992" w:type="dxa"/>
            <w:tcBorders>
              <w:top w:val="nil"/>
              <w:left w:val="single" w:sz="4" w:space="0" w:color="auto"/>
              <w:bottom w:val="single" w:sz="4" w:space="0" w:color="auto"/>
              <w:right w:val="nil"/>
            </w:tcBorders>
            <w:shd w:val="clear" w:color="000000" w:fill="FFFFFF"/>
            <w:noWrap/>
            <w:vAlign w:val="bottom"/>
            <w:hideMark/>
          </w:tcPr>
          <w:p w14:paraId="459F21C3"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8</w:t>
            </w:r>
          </w:p>
        </w:tc>
        <w:tc>
          <w:tcPr>
            <w:tcW w:w="851" w:type="dxa"/>
            <w:tcBorders>
              <w:top w:val="nil"/>
              <w:left w:val="single" w:sz="4" w:space="0" w:color="auto"/>
              <w:bottom w:val="single" w:sz="4" w:space="0" w:color="auto"/>
              <w:right w:val="nil"/>
            </w:tcBorders>
            <w:shd w:val="clear" w:color="000000" w:fill="FFFFFF"/>
            <w:noWrap/>
            <w:vAlign w:val="bottom"/>
            <w:hideMark/>
          </w:tcPr>
          <w:p w14:paraId="04DF20C4"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20</w:t>
            </w:r>
          </w:p>
        </w:tc>
        <w:tc>
          <w:tcPr>
            <w:tcW w:w="933" w:type="dxa"/>
            <w:tcBorders>
              <w:top w:val="nil"/>
              <w:left w:val="single" w:sz="4" w:space="0" w:color="auto"/>
              <w:bottom w:val="single" w:sz="4" w:space="0" w:color="auto"/>
              <w:right w:val="single" w:sz="8" w:space="0" w:color="auto"/>
            </w:tcBorders>
            <w:shd w:val="clear" w:color="000000" w:fill="AEAAAA"/>
            <w:noWrap/>
            <w:vAlign w:val="bottom"/>
            <w:hideMark/>
          </w:tcPr>
          <w:p w14:paraId="7EF8BA65"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b/>
                <w:bCs/>
                <w:szCs w:val="24"/>
              </w:rPr>
            </w:pPr>
            <w:r w:rsidRPr="00B763B8">
              <w:rPr>
                <w:rFonts w:asciiTheme="minorHAnsi" w:hAnsiTheme="minorHAnsi" w:cstheme="minorHAnsi"/>
                <w:b/>
                <w:bCs/>
                <w:szCs w:val="24"/>
              </w:rPr>
              <w:t>41</w:t>
            </w:r>
          </w:p>
        </w:tc>
      </w:tr>
      <w:tr w:rsidR="00B763B8" w:rsidRPr="00B763B8" w14:paraId="66D7225F" w14:textId="77777777" w:rsidTr="00BF51A0">
        <w:trPr>
          <w:trHeight w:val="300"/>
        </w:trPr>
        <w:tc>
          <w:tcPr>
            <w:tcW w:w="3300" w:type="dxa"/>
            <w:tcBorders>
              <w:top w:val="nil"/>
              <w:left w:val="single" w:sz="8" w:space="0" w:color="auto"/>
              <w:bottom w:val="single" w:sz="4" w:space="0" w:color="auto"/>
              <w:right w:val="single" w:sz="4" w:space="0" w:color="auto"/>
            </w:tcBorders>
            <w:shd w:val="clear" w:color="auto" w:fill="auto"/>
            <w:noWrap/>
            <w:vAlign w:val="bottom"/>
            <w:hideMark/>
          </w:tcPr>
          <w:p w14:paraId="3729E84E" w14:textId="77777777" w:rsidR="00B763B8" w:rsidRPr="00B763B8" w:rsidRDefault="00B763B8" w:rsidP="00B763B8">
            <w:pPr>
              <w:tabs>
                <w:tab w:val="clear" w:pos="567"/>
                <w:tab w:val="clear" w:pos="1134"/>
                <w:tab w:val="clear" w:pos="1701"/>
                <w:tab w:val="clear" w:pos="2268"/>
                <w:tab w:val="clear" w:pos="2835"/>
              </w:tabs>
              <w:snapToGrid w:val="0"/>
              <w:spacing w:before="20" w:after="20"/>
              <w:rPr>
                <w:rFonts w:asciiTheme="minorHAnsi" w:hAnsiTheme="minorHAnsi" w:cstheme="minorHAnsi"/>
                <w:color w:val="000000"/>
                <w:szCs w:val="24"/>
              </w:rPr>
            </w:pPr>
            <w:r w:rsidRPr="00B763B8">
              <w:rPr>
                <w:rFonts w:asciiTheme="minorHAnsi" w:hAnsiTheme="minorHAnsi" w:cstheme="minorHAnsi"/>
                <w:color w:val="000000"/>
                <w:szCs w:val="24"/>
              </w:rPr>
              <w:t xml:space="preserve">    Delayed</w:t>
            </w:r>
          </w:p>
        </w:tc>
        <w:tc>
          <w:tcPr>
            <w:tcW w:w="943" w:type="dxa"/>
            <w:tcBorders>
              <w:top w:val="nil"/>
              <w:left w:val="nil"/>
              <w:bottom w:val="single" w:sz="4" w:space="0" w:color="auto"/>
              <w:right w:val="single" w:sz="4" w:space="0" w:color="auto"/>
            </w:tcBorders>
            <w:shd w:val="clear" w:color="000000" w:fill="FFFFFF"/>
            <w:noWrap/>
            <w:vAlign w:val="bottom"/>
            <w:hideMark/>
          </w:tcPr>
          <w:p w14:paraId="5DC1CDC1"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3</w:t>
            </w:r>
          </w:p>
        </w:tc>
        <w:tc>
          <w:tcPr>
            <w:tcW w:w="850" w:type="dxa"/>
            <w:tcBorders>
              <w:top w:val="nil"/>
              <w:left w:val="nil"/>
              <w:bottom w:val="single" w:sz="4" w:space="0" w:color="auto"/>
              <w:right w:val="single" w:sz="4" w:space="0" w:color="auto"/>
            </w:tcBorders>
            <w:shd w:val="clear" w:color="auto" w:fill="auto"/>
            <w:noWrap/>
            <w:vAlign w:val="bottom"/>
            <w:hideMark/>
          </w:tcPr>
          <w:p w14:paraId="6EFF41A6"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w:t>
            </w:r>
          </w:p>
        </w:tc>
        <w:tc>
          <w:tcPr>
            <w:tcW w:w="993" w:type="dxa"/>
            <w:tcBorders>
              <w:top w:val="nil"/>
              <w:left w:val="nil"/>
              <w:bottom w:val="single" w:sz="4" w:space="0" w:color="auto"/>
              <w:right w:val="single" w:sz="4" w:space="0" w:color="auto"/>
            </w:tcBorders>
            <w:shd w:val="clear" w:color="000000" w:fill="FFFFFF"/>
            <w:noWrap/>
            <w:vAlign w:val="bottom"/>
            <w:hideMark/>
          </w:tcPr>
          <w:p w14:paraId="518663A8"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0</w:t>
            </w:r>
          </w:p>
        </w:tc>
        <w:tc>
          <w:tcPr>
            <w:tcW w:w="992" w:type="dxa"/>
            <w:tcBorders>
              <w:top w:val="nil"/>
              <w:left w:val="nil"/>
              <w:bottom w:val="single" w:sz="4" w:space="0" w:color="auto"/>
              <w:right w:val="nil"/>
            </w:tcBorders>
            <w:shd w:val="clear" w:color="000000" w:fill="FFFFFF"/>
            <w:noWrap/>
            <w:vAlign w:val="bottom"/>
            <w:hideMark/>
          </w:tcPr>
          <w:p w14:paraId="2BAA02AB"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0</w:t>
            </w:r>
          </w:p>
        </w:tc>
        <w:tc>
          <w:tcPr>
            <w:tcW w:w="992" w:type="dxa"/>
            <w:tcBorders>
              <w:top w:val="nil"/>
              <w:left w:val="single" w:sz="4" w:space="0" w:color="auto"/>
              <w:bottom w:val="single" w:sz="4" w:space="0" w:color="auto"/>
              <w:right w:val="nil"/>
            </w:tcBorders>
            <w:shd w:val="clear" w:color="000000" w:fill="FFFFFF"/>
            <w:noWrap/>
            <w:vAlign w:val="bottom"/>
            <w:hideMark/>
          </w:tcPr>
          <w:p w14:paraId="34351D68"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0</w:t>
            </w:r>
          </w:p>
        </w:tc>
        <w:tc>
          <w:tcPr>
            <w:tcW w:w="851" w:type="dxa"/>
            <w:tcBorders>
              <w:top w:val="nil"/>
              <w:left w:val="single" w:sz="4" w:space="0" w:color="auto"/>
              <w:bottom w:val="single" w:sz="4" w:space="0" w:color="auto"/>
              <w:right w:val="nil"/>
            </w:tcBorders>
            <w:shd w:val="clear" w:color="000000" w:fill="FFFFFF"/>
            <w:noWrap/>
            <w:vAlign w:val="bottom"/>
            <w:hideMark/>
          </w:tcPr>
          <w:p w14:paraId="74B5FCF7"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0</w:t>
            </w:r>
          </w:p>
        </w:tc>
        <w:tc>
          <w:tcPr>
            <w:tcW w:w="933" w:type="dxa"/>
            <w:tcBorders>
              <w:top w:val="nil"/>
              <w:left w:val="single" w:sz="4" w:space="0" w:color="auto"/>
              <w:bottom w:val="single" w:sz="4" w:space="0" w:color="auto"/>
              <w:right w:val="single" w:sz="8" w:space="0" w:color="auto"/>
            </w:tcBorders>
            <w:shd w:val="clear" w:color="000000" w:fill="AEAAAA"/>
            <w:noWrap/>
            <w:vAlign w:val="bottom"/>
            <w:hideMark/>
          </w:tcPr>
          <w:p w14:paraId="04B675F0"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b/>
                <w:bCs/>
                <w:szCs w:val="24"/>
              </w:rPr>
            </w:pPr>
            <w:r w:rsidRPr="00B763B8">
              <w:rPr>
                <w:rFonts w:asciiTheme="minorHAnsi" w:hAnsiTheme="minorHAnsi" w:cstheme="minorHAnsi"/>
                <w:b/>
                <w:bCs/>
                <w:szCs w:val="24"/>
              </w:rPr>
              <w:t>3</w:t>
            </w:r>
          </w:p>
        </w:tc>
      </w:tr>
      <w:tr w:rsidR="00B763B8" w:rsidRPr="00B763B8" w14:paraId="42728BBC" w14:textId="77777777" w:rsidTr="00BF51A0">
        <w:trPr>
          <w:trHeight w:val="315"/>
        </w:trPr>
        <w:tc>
          <w:tcPr>
            <w:tcW w:w="3300" w:type="dxa"/>
            <w:tcBorders>
              <w:top w:val="nil"/>
              <w:left w:val="single" w:sz="8" w:space="0" w:color="auto"/>
              <w:bottom w:val="single" w:sz="8" w:space="0" w:color="auto"/>
              <w:right w:val="single" w:sz="4" w:space="0" w:color="auto"/>
            </w:tcBorders>
            <w:shd w:val="clear" w:color="auto" w:fill="auto"/>
            <w:noWrap/>
            <w:vAlign w:val="bottom"/>
            <w:hideMark/>
          </w:tcPr>
          <w:p w14:paraId="664E7A77" w14:textId="77777777" w:rsidR="00B763B8" w:rsidRPr="00B763B8" w:rsidRDefault="00B763B8" w:rsidP="00B763B8">
            <w:pPr>
              <w:tabs>
                <w:tab w:val="clear" w:pos="567"/>
                <w:tab w:val="clear" w:pos="1134"/>
                <w:tab w:val="clear" w:pos="1701"/>
                <w:tab w:val="clear" w:pos="2268"/>
                <w:tab w:val="clear" w:pos="2835"/>
              </w:tabs>
              <w:snapToGrid w:val="0"/>
              <w:spacing w:before="20" w:after="20"/>
              <w:rPr>
                <w:rFonts w:asciiTheme="minorHAnsi" w:hAnsiTheme="minorHAnsi" w:cstheme="minorHAnsi"/>
                <w:color w:val="000000"/>
                <w:szCs w:val="24"/>
              </w:rPr>
            </w:pPr>
            <w:r w:rsidRPr="00B763B8">
              <w:rPr>
                <w:rFonts w:asciiTheme="minorHAnsi" w:hAnsiTheme="minorHAnsi" w:cstheme="minorHAnsi"/>
                <w:color w:val="000000"/>
                <w:szCs w:val="24"/>
              </w:rPr>
              <w:t xml:space="preserve">    Closed</w:t>
            </w:r>
          </w:p>
        </w:tc>
        <w:tc>
          <w:tcPr>
            <w:tcW w:w="943" w:type="dxa"/>
            <w:tcBorders>
              <w:top w:val="nil"/>
              <w:left w:val="nil"/>
              <w:bottom w:val="single" w:sz="8" w:space="0" w:color="auto"/>
              <w:right w:val="single" w:sz="4" w:space="0" w:color="auto"/>
            </w:tcBorders>
            <w:shd w:val="clear" w:color="000000" w:fill="FFFFFF"/>
            <w:noWrap/>
            <w:vAlign w:val="bottom"/>
            <w:hideMark/>
          </w:tcPr>
          <w:p w14:paraId="6BBD0CE8"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14</w:t>
            </w:r>
          </w:p>
        </w:tc>
        <w:tc>
          <w:tcPr>
            <w:tcW w:w="850" w:type="dxa"/>
            <w:tcBorders>
              <w:top w:val="nil"/>
              <w:left w:val="nil"/>
              <w:bottom w:val="single" w:sz="8" w:space="0" w:color="auto"/>
              <w:right w:val="single" w:sz="4" w:space="0" w:color="auto"/>
            </w:tcBorders>
            <w:shd w:val="clear" w:color="auto" w:fill="auto"/>
            <w:noWrap/>
            <w:vAlign w:val="bottom"/>
            <w:hideMark/>
          </w:tcPr>
          <w:p w14:paraId="4EA50CC7"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w:t>
            </w:r>
          </w:p>
        </w:tc>
        <w:tc>
          <w:tcPr>
            <w:tcW w:w="993" w:type="dxa"/>
            <w:tcBorders>
              <w:top w:val="nil"/>
              <w:left w:val="nil"/>
              <w:bottom w:val="single" w:sz="8" w:space="0" w:color="auto"/>
              <w:right w:val="single" w:sz="4" w:space="0" w:color="auto"/>
            </w:tcBorders>
            <w:shd w:val="clear" w:color="000000" w:fill="FFFFFF"/>
            <w:noWrap/>
            <w:vAlign w:val="bottom"/>
            <w:hideMark/>
          </w:tcPr>
          <w:p w14:paraId="2CE808BC"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105</w:t>
            </w:r>
          </w:p>
        </w:tc>
        <w:tc>
          <w:tcPr>
            <w:tcW w:w="992" w:type="dxa"/>
            <w:tcBorders>
              <w:top w:val="nil"/>
              <w:left w:val="nil"/>
              <w:bottom w:val="single" w:sz="8" w:space="0" w:color="auto"/>
              <w:right w:val="nil"/>
            </w:tcBorders>
            <w:shd w:val="clear" w:color="000000" w:fill="FFFFFF"/>
            <w:noWrap/>
            <w:vAlign w:val="bottom"/>
            <w:hideMark/>
          </w:tcPr>
          <w:p w14:paraId="5CA3D0FD"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50</w:t>
            </w:r>
          </w:p>
        </w:tc>
        <w:tc>
          <w:tcPr>
            <w:tcW w:w="992" w:type="dxa"/>
            <w:tcBorders>
              <w:top w:val="nil"/>
              <w:left w:val="single" w:sz="4" w:space="0" w:color="auto"/>
              <w:bottom w:val="single" w:sz="8" w:space="0" w:color="auto"/>
              <w:right w:val="nil"/>
            </w:tcBorders>
            <w:shd w:val="clear" w:color="000000" w:fill="FFFFFF"/>
            <w:noWrap/>
            <w:vAlign w:val="bottom"/>
            <w:hideMark/>
          </w:tcPr>
          <w:p w14:paraId="139558B3"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26</w:t>
            </w:r>
          </w:p>
        </w:tc>
        <w:tc>
          <w:tcPr>
            <w:tcW w:w="851" w:type="dxa"/>
            <w:tcBorders>
              <w:top w:val="nil"/>
              <w:left w:val="single" w:sz="4" w:space="0" w:color="auto"/>
              <w:bottom w:val="single" w:sz="8" w:space="0" w:color="auto"/>
              <w:right w:val="nil"/>
            </w:tcBorders>
            <w:shd w:val="clear" w:color="000000" w:fill="FFFFFF"/>
            <w:noWrap/>
            <w:vAlign w:val="bottom"/>
            <w:hideMark/>
          </w:tcPr>
          <w:p w14:paraId="637875E2"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2</w:t>
            </w:r>
          </w:p>
        </w:tc>
        <w:tc>
          <w:tcPr>
            <w:tcW w:w="933" w:type="dxa"/>
            <w:tcBorders>
              <w:top w:val="nil"/>
              <w:left w:val="single" w:sz="4" w:space="0" w:color="auto"/>
              <w:bottom w:val="single" w:sz="8" w:space="0" w:color="auto"/>
              <w:right w:val="single" w:sz="8" w:space="0" w:color="auto"/>
            </w:tcBorders>
            <w:shd w:val="clear" w:color="000000" w:fill="AEAAAA"/>
            <w:noWrap/>
            <w:vAlign w:val="bottom"/>
            <w:hideMark/>
          </w:tcPr>
          <w:p w14:paraId="1F4F5B69"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b/>
                <w:bCs/>
                <w:szCs w:val="24"/>
              </w:rPr>
            </w:pPr>
            <w:r w:rsidRPr="00B763B8">
              <w:rPr>
                <w:rFonts w:asciiTheme="minorHAnsi" w:hAnsiTheme="minorHAnsi" w:cstheme="minorHAnsi"/>
                <w:b/>
                <w:bCs/>
                <w:szCs w:val="24"/>
              </w:rPr>
              <w:t>197</w:t>
            </w:r>
          </w:p>
        </w:tc>
      </w:tr>
      <w:tr w:rsidR="00B763B8" w:rsidRPr="00B763B8" w14:paraId="35F09A6B" w14:textId="77777777" w:rsidTr="00BF51A0">
        <w:trPr>
          <w:trHeight w:val="315"/>
        </w:trPr>
        <w:tc>
          <w:tcPr>
            <w:tcW w:w="3300" w:type="dxa"/>
            <w:tcBorders>
              <w:top w:val="nil"/>
              <w:left w:val="nil"/>
              <w:bottom w:val="nil"/>
              <w:right w:val="nil"/>
            </w:tcBorders>
            <w:shd w:val="clear" w:color="auto" w:fill="auto"/>
            <w:noWrap/>
            <w:vAlign w:val="bottom"/>
            <w:hideMark/>
          </w:tcPr>
          <w:p w14:paraId="3F6774CD" w14:textId="77777777" w:rsidR="00B763B8" w:rsidRPr="00B763B8" w:rsidRDefault="00B763B8" w:rsidP="001447A8">
            <w:pPr>
              <w:tabs>
                <w:tab w:val="clear" w:pos="567"/>
                <w:tab w:val="clear" w:pos="1134"/>
                <w:tab w:val="clear" w:pos="1701"/>
                <w:tab w:val="clear" w:pos="2268"/>
                <w:tab w:val="clear" w:pos="2835"/>
              </w:tabs>
              <w:snapToGrid w:val="0"/>
              <w:spacing w:before="0"/>
              <w:jc w:val="center"/>
              <w:rPr>
                <w:rFonts w:asciiTheme="minorHAnsi" w:hAnsiTheme="minorHAnsi" w:cstheme="minorHAnsi"/>
                <w:b/>
                <w:bCs/>
                <w:szCs w:val="24"/>
              </w:rPr>
            </w:pPr>
          </w:p>
        </w:tc>
        <w:tc>
          <w:tcPr>
            <w:tcW w:w="943" w:type="dxa"/>
            <w:tcBorders>
              <w:top w:val="nil"/>
              <w:left w:val="nil"/>
              <w:bottom w:val="nil"/>
              <w:right w:val="nil"/>
            </w:tcBorders>
            <w:shd w:val="clear" w:color="000000" w:fill="FFFFFF"/>
            <w:noWrap/>
            <w:vAlign w:val="bottom"/>
            <w:hideMark/>
          </w:tcPr>
          <w:p w14:paraId="7EF8BD94" w14:textId="77777777" w:rsidR="00B763B8" w:rsidRPr="00B763B8" w:rsidRDefault="00B763B8" w:rsidP="001447A8">
            <w:pPr>
              <w:tabs>
                <w:tab w:val="clear" w:pos="567"/>
                <w:tab w:val="clear" w:pos="1134"/>
                <w:tab w:val="clear" w:pos="1701"/>
                <w:tab w:val="clear" w:pos="2268"/>
                <w:tab w:val="clear" w:pos="2835"/>
              </w:tabs>
              <w:snapToGrid w:val="0"/>
              <w:spacing w:before="0"/>
              <w:jc w:val="center"/>
              <w:rPr>
                <w:rFonts w:asciiTheme="minorHAnsi" w:hAnsiTheme="minorHAnsi" w:cstheme="minorHAnsi"/>
                <w:color w:val="000000"/>
                <w:szCs w:val="24"/>
              </w:rPr>
            </w:pPr>
            <w:r w:rsidRPr="00B763B8">
              <w:rPr>
                <w:rFonts w:asciiTheme="minorHAnsi" w:hAnsiTheme="minorHAnsi" w:cstheme="minorHAnsi"/>
                <w:color w:val="000000"/>
                <w:szCs w:val="24"/>
              </w:rPr>
              <w:t> </w:t>
            </w:r>
          </w:p>
        </w:tc>
        <w:tc>
          <w:tcPr>
            <w:tcW w:w="850" w:type="dxa"/>
            <w:tcBorders>
              <w:top w:val="nil"/>
              <w:left w:val="nil"/>
              <w:bottom w:val="nil"/>
              <w:right w:val="nil"/>
            </w:tcBorders>
            <w:shd w:val="clear" w:color="auto" w:fill="auto"/>
            <w:noWrap/>
            <w:vAlign w:val="bottom"/>
            <w:hideMark/>
          </w:tcPr>
          <w:p w14:paraId="278DC031" w14:textId="77777777" w:rsidR="00B763B8" w:rsidRPr="00B763B8" w:rsidRDefault="00B763B8" w:rsidP="001447A8">
            <w:pPr>
              <w:tabs>
                <w:tab w:val="clear" w:pos="567"/>
                <w:tab w:val="clear" w:pos="1134"/>
                <w:tab w:val="clear" w:pos="1701"/>
                <w:tab w:val="clear" w:pos="2268"/>
                <w:tab w:val="clear" w:pos="2835"/>
              </w:tabs>
              <w:snapToGrid w:val="0"/>
              <w:spacing w:before="0"/>
              <w:jc w:val="center"/>
              <w:rPr>
                <w:rFonts w:asciiTheme="minorHAnsi" w:hAnsiTheme="minorHAnsi" w:cstheme="minorHAnsi"/>
                <w:color w:val="000000"/>
                <w:szCs w:val="24"/>
              </w:rPr>
            </w:pPr>
          </w:p>
        </w:tc>
        <w:tc>
          <w:tcPr>
            <w:tcW w:w="993" w:type="dxa"/>
            <w:tcBorders>
              <w:top w:val="nil"/>
              <w:left w:val="nil"/>
              <w:bottom w:val="nil"/>
              <w:right w:val="nil"/>
            </w:tcBorders>
            <w:shd w:val="clear" w:color="000000" w:fill="FFFFFF"/>
            <w:noWrap/>
            <w:vAlign w:val="bottom"/>
            <w:hideMark/>
          </w:tcPr>
          <w:p w14:paraId="0412E129" w14:textId="77777777" w:rsidR="00B763B8" w:rsidRPr="00B763B8" w:rsidRDefault="00B763B8" w:rsidP="001447A8">
            <w:pPr>
              <w:tabs>
                <w:tab w:val="clear" w:pos="567"/>
                <w:tab w:val="clear" w:pos="1134"/>
                <w:tab w:val="clear" w:pos="1701"/>
                <w:tab w:val="clear" w:pos="2268"/>
                <w:tab w:val="clear" w:pos="2835"/>
              </w:tabs>
              <w:snapToGrid w:val="0"/>
              <w:spacing w:before="0"/>
              <w:jc w:val="center"/>
              <w:rPr>
                <w:rFonts w:asciiTheme="minorHAnsi" w:hAnsiTheme="minorHAnsi" w:cstheme="minorHAnsi"/>
                <w:color w:val="000000"/>
                <w:szCs w:val="24"/>
              </w:rPr>
            </w:pPr>
            <w:r w:rsidRPr="00B763B8">
              <w:rPr>
                <w:rFonts w:asciiTheme="minorHAnsi" w:hAnsiTheme="minorHAnsi" w:cstheme="minorHAnsi"/>
                <w:color w:val="000000"/>
                <w:szCs w:val="24"/>
              </w:rPr>
              <w:t> </w:t>
            </w:r>
          </w:p>
        </w:tc>
        <w:tc>
          <w:tcPr>
            <w:tcW w:w="992" w:type="dxa"/>
            <w:tcBorders>
              <w:top w:val="nil"/>
              <w:left w:val="nil"/>
              <w:bottom w:val="nil"/>
              <w:right w:val="nil"/>
            </w:tcBorders>
            <w:shd w:val="clear" w:color="000000" w:fill="FFFFFF"/>
            <w:noWrap/>
            <w:vAlign w:val="bottom"/>
            <w:hideMark/>
          </w:tcPr>
          <w:p w14:paraId="63548EB3" w14:textId="77777777" w:rsidR="00B763B8" w:rsidRPr="00B763B8" w:rsidRDefault="00B763B8" w:rsidP="001447A8">
            <w:pPr>
              <w:tabs>
                <w:tab w:val="clear" w:pos="567"/>
                <w:tab w:val="clear" w:pos="1134"/>
                <w:tab w:val="clear" w:pos="1701"/>
                <w:tab w:val="clear" w:pos="2268"/>
                <w:tab w:val="clear" w:pos="2835"/>
              </w:tabs>
              <w:snapToGrid w:val="0"/>
              <w:spacing w:before="0"/>
              <w:jc w:val="center"/>
              <w:rPr>
                <w:rFonts w:asciiTheme="minorHAnsi" w:hAnsiTheme="minorHAnsi" w:cstheme="minorHAnsi"/>
                <w:color w:val="000000"/>
                <w:szCs w:val="24"/>
              </w:rPr>
            </w:pPr>
            <w:r w:rsidRPr="00B763B8">
              <w:rPr>
                <w:rFonts w:asciiTheme="minorHAnsi" w:hAnsiTheme="minorHAnsi" w:cstheme="minorHAnsi"/>
                <w:color w:val="000000"/>
                <w:szCs w:val="24"/>
              </w:rPr>
              <w:t> </w:t>
            </w:r>
          </w:p>
        </w:tc>
        <w:tc>
          <w:tcPr>
            <w:tcW w:w="992" w:type="dxa"/>
            <w:tcBorders>
              <w:top w:val="nil"/>
              <w:left w:val="nil"/>
              <w:bottom w:val="nil"/>
              <w:right w:val="nil"/>
            </w:tcBorders>
            <w:shd w:val="clear" w:color="000000" w:fill="FFFFFF"/>
            <w:noWrap/>
            <w:vAlign w:val="bottom"/>
            <w:hideMark/>
          </w:tcPr>
          <w:p w14:paraId="3DF35AB2" w14:textId="77777777" w:rsidR="00B763B8" w:rsidRPr="00B763B8" w:rsidRDefault="00B763B8" w:rsidP="001447A8">
            <w:pPr>
              <w:tabs>
                <w:tab w:val="clear" w:pos="567"/>
                <w:tab w:val="clear" w:pos="1134"/>
                <w:tab w:val="clear" w:pos="1701"/>
                <w:tab w:val="clear" w:pos="2268"/>
                <w:tab w:val="clear" w:pos="2835"/>
              </w:tabs>
              <w:snapToGrid w:val="0"/>
              <w:spacing w:before="0"/>
              <w:jc w:val="center"/>
              <w:rPr>
                <w:rFonts w:asciiTheme="minorHAnsi" w:hAnsiTheme="minorHAnsi" w:cstheme="minorHAnsi"/>
                <w:color w:val="000000"/>
                <w:szCs w:val="24"/>
              </w:rPr>
            </w:pPr>
            <w:r w:rsidRPr="00B763B8">
              <w:rPr>
                <w:rFonts w:asciiTheme="minorHAnsi" w:hAnsiTheme="minorHAnsi" w:cstheme="minorHAnsi"/>
                <w:color w:val="000000"/>
                <w:szCs w:val="24"/>
              </w:rPr>
              <w:t> </w:t>
            </w:r>
          </w:p>
        </w:tc>
        <w:tc>
          <w:tcPr>
            <w:tcW w:w="851" w:type="dxa"/>
            <w:tcBorders>
              <w:top w:val="nil"/>
              <w:left w:val="nil"/>
              <w:bottom w:val="nil"/>
              <w:right w:val="nil"/>
            </w:tcBorders>
            <w:shd w:val="clear" w:color="000000" w:fill="FFFFFF"/>
            <w:noWrap/>
            <w:vAlign w:val="bottom"/>
            <w:hideMark/>
          </w:tcPr>
          <w:p w14:paraId="3BEB2732" w14:textId="77777777" w:rsidR="00B763B8" w:rsidRPr="00B763B8" w:rsidRDefault="00B763B8" w:rsidP="001447A8">
            <w:pPr>
              <w:tabs>
                <w:tab w:val="clear" w:pos="567"/>
                <w:tab w:val="clear" w:pos="1134"/>
                <w:tab w:val="clear" w:pos="1701"/>
                <w:tab w:val="clear" w:pos="2268"/>
                <w:tab w:val="clear" w:pos="2835"/>
              </w:tabs>
              <w:snapToGrid w:val="0"/>
              <w:spacing w:before="0"/>
              <w:jc w:val="center"/>
              <w:rPr>
                <w:rFonts w:asciiTheme="minorHAnsi" w:hAnsiTheme="minorHAnsi" w:cstheme="minorHAnsi"/>
                <w:color w:val="000000"/>
                <w:szCs w:val="24"/>
              </w:rPr>
            </w:pPr>
            <w:r w:rsidRPr="00B763B8">
              <w:rPr>
                <w:rFonts w:asciiTheme="minorHAnsi" w:hAnsiTheme="minorHAnsi" w:cstheme="minorHAnsi"/>
                <w:color w:val="000000"/>
                <w:szCs w:val="24"/>
              </w:rPr>
              <w:t> </w:t>
            </w:r>
          </w:p>
        </w:tc>
        <w:tc>
          <w:tcPr>
            <w:tcW w:w="933" w:type="dxa"/>
            <w:tcBorders>
              <w:top w:val="nil"/>
              <w:left w:val="nil"/>
              <w:bottom w:val="nil"/>
              <w:right w:val="nil"/>
            </w:tcBorders>
            <w:shd w:val="clear" w:color="000000" w:fill="AEAAAA"/>
            <w:noWrap/>
            <w:vAlign w:val="bottom"/>
            <w:hideMark/>
          </w:tcPr>
          <w:p w14:paraId="474B7C69" w14:textId="77777777" w:rsidR="00B763B8" w:rsidRPr="00B763B8" w:rsidRDefault="00B763B8" w:rsidP="001447A8">
            <w:pPr>
              <w:tabs>
                <w:tab w:val="clear" w:pos="567"/>
                <w:tab w:val="clear" w:pos="1134"/>
                <w:tab w:val="clear" w:pos="1701"/>
                <w:tab w:val="clear" w:pos="2268"/>
                <w:tab w:val="clear" w:pos="2835"/>
              </w:tabs>
              <w:snapToGrid w:val="0"/>
              <w:spacing w:before="0"/>
              <w:jc w:val="center"/>
              <w:rPr>
                <w:rFonts w:asciiTheme="minorHAnsi" w:hAnsiTheme="minorHAnsi" w:cstheme="minorHAnsi"/>
                <w:b/>
                <w:bCs/>
                <w:szCs w:val="24"/>
              </w:rPr>
            </w:pPr>
            <w:r w:rsidRPr="00B763B8">
              <w:rPr>
                <w:rFonts w:asciiTheme="minorHAnsi" w:hAnsiTheme="minorHAnsi" w:cstheme="minorHAnsi"/>
                <w:b/>
                <w:bCs/>
                <w:szCs w:val="24"/>
              </w:rPr>
              <w:t> </w:t>
            </w:r>
          </w:p>
        </w:tc>
      </w:tr>
      <w:tr w:rsidR="00B763B8" w:rsidRPr="00B763B8" w14:paraId="4DE760B5" w14:textId="77777777" w:rsidTr="00BF51A0">
        <w:trPr>
          <w:trHeight w:val="315"/>
        </w:trPr>
        <w:tc>
          <w:tcPr>
            <w:tcW w:w="3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A60BF47" w14:textId="77777777" w:rsidR="00B763B8" w:rsidRPr="00B763B8" w:rsidRDefault="00B763B8" w:rsidP="00B763B8">
            <w:pPr>
              <w:tabs>
                <w:tab w:val="clear" w:pos="567"/>
                <w:tab w:val="clear" w:pos="1134"/>
                <w:tab w:val="clear" w:pos="1701"/>
                <w:tab w:val="clear" w:pos="2268"/>
                <w:tab w:val="clear" w:pos="2835"/>
              </w:tabs>
              <w:snapToGrid w:val="0"/>
              <w:spacing w:before="20" w:after="20"/>
              <w:rPr>
                <w:rFonts w:asciiTheme="minorHAnsi" w:hAnsiTheme="minorHAnsi" w:cstheme="minorHAnsi"/>
                <w:szCs w:val="24"/>
              </w:rPr>
            </w:pPr>
            <w:r w:rsidRPr="00B763B8">
              <w:rPr>
                <w:rFonts w:asciiTheme="minorHAnsi" w:hAnsiTheme="minorHAnsi" w:cstheme="minorHAnsi"/>
                <w:szCs w:val="24"/>
              </w:rPr>
              <w:t>% of recommendation In Progress</w:t>
            </w:r>
          </w:p>
        </w:tc>
        <w:tc>
          <w:tcPr>
            <w:tcW w:w="943" w:type="dxa"/>
            <w:tcBorders>
              <w:top w:val="single" w:sz="8" w:space="0" w:color="auto"/>
              <w:left w:val="nil"/>
              <w:bottom w:val="single" w:sz="8" w:space="0" w:color="auto"/>
              <w:right w:val="single" w:sz="4" w:space="0" w:color="auto"/>
            </w:tcBorders>
            <w:shd w:val="clear" w:color="auto" w:fill="auto"/>
            <w:noWrap/>
            <w:vAlign w:val="bottom"/>
            <w:hideMark/>
          </w:tcPr>
          <w:p w14:paraId="1C9700C7"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0%</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6805A10A"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14:paraId="3AFFF92A"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7%</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090695C1"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9%</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5CABCA41"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24%</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14:paraId="457B01D8"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91%</w:t>
            </w:r>
          </w:p>
        </w:tc>
        <w:tc>
          <w:tcPr>
            <w:tcW w:w="933" w:type="dxa"/>
            <w:tcBorders>
              <w:top w:val="single" w:sz="8" w:space="0" w:color="auto"/>
              <w:left w:val="nil"/>
              <w:bottom w:val="single" w:sz="8" w:space="0" w:color="auto"/>
              <w:right w:val="single" w:sz="8" w:space="0" w:color="auto"/>
            </w:tcBorders>
            <w:shd w:val="clear" w:color="000000" w:fill="AEAAAA"/>
            <w:noWrap/>
            <w:vAlign w:val="bottom"/>
            <w:hideMark/>
          </w:tcPr>
          <w:p w14:paraId="1B029A55"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b/>
                <w:bCs/>
                <w:szCs w:val="24"/>
              </w:rPr>
            </w:pPr>
            <w:r w:rsidRPr="00B763B8">
              <w:rPr>
                <w:rFonts w:asciiTheme="minorHAnsi" w:hAnsiTheme="minorHAnsi" w:cstheme="minorHAnsi"/>
                <w:b/>
                <w:bCs/>
                <w:szCs w:val="24"/>
              </w:rPr>
              <w:t>17%</w:t>
            </w:r>
          </w:p>
        </w:tc>
      </w:tr>
      <w:tr w:rsidR="00B763B8" w:rsidRPr="00B763B8" w14:paraId="39A716EF" w14:textId="77777777" w:rsidTr="00BF51A0">
        <w:trPr>
          <w:trHeight w:val="315"/>
        </w:trPr>
        <w:tc>
          <w:tcPr>
            <w:tcW w:w="3300" w:type="dxa"/>
            <w:tcBorders>
              <w:top w:val="nil"/>
              <w:left w:val="single" w:sz="8" w:space="0" w:color="auto"/>
              <w:bottom w:val="single" w:sz="8" w:space="0" w:color="auto"/>
              <w:right w:val="single" w:sz="4" w:space="0" w:color="auto"/>
            </w:tcBorders>
            <w:shd w:val="clear" w:color="auto" w:fill="auto"/>
            <w:noWrap/>
            <w:vAlign w:val="bottom"/>
            <w:hideMark/>
          </w:tcPr>
          <w:p w14:paraId="4075D193" w14:textId="77777777" w:rsidR="00B763B8" w:rsidRPr="00B763B8" w:rsidRDefault="00B763B8" w:rsidP="00B763B8">
            <w:pPr>
              <w:tabs>
                <w:tab w:val="clear" w:pos="567"/>
                <w:tab w:val="clear" w:pos="1134"/>
                <w:tab w:val="clear" w:pos="1701"/>
                <w:tab w:val="clear" w:pos="2268"/>
                <w:tab w:val="clear" w:pos="2835"/>
              </w:tabs>
              <w:snapToGrid w:val="0"/>
              <w:spacing w:before="20" w:after="20"/>
              <w:rPr>
                <w:rFonts w:asciiTheme="minorHAnsi" w:hAnsiTheme="minorHAnsi" w:cstheme="minorHAnsi"/>
                <w:szCs w:val="24"/>
              </w:rPr>
            </w:pPr>
            <w:r w:rsidRPr="00B763B8">
              <w:rPr>
                <w:rFonts w:asciiTheme="minorHAnsi" w:hAnsiTheme="minorHAnsi" w:cstheme="minorHAnsi"/>
                <w:szCs w:val="24"/>
              </w:rPr>
              <w:t>% of recommendations Delayed</w:t>
            </w:r>
          </w:p>
        </w:tc>
        <w:tc>
          <w:tcPr>
            <w:tcW w:w="943" w:type="dxa"/>
            <w:tcBorders>
              <w:top w:val="nil"/>
              <w:left w:val="nil"/>
              <w:bottom w:val="single" w:sz="8" w:space="0" w:color="auto"/>
              <w:right w:val="single" w:sz="4" w:space="0" w:color="auto"/>
            </w:tcBorders>
            <w:shd w:val="clear" w:color="auto" w:fill="auto"/>
            <w:noWrap/>
            <w:vAlign w:val="bottom"/>
            <w:hideMark/>
          </w:tcPr>
          <w:p w14:paraId="02F5DBBC"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18%</w:t>
            </w:r>
          </w:p>
        </w:tc>
        <w:tc>
          <w:tcPr>
            <w:tcW w:w="850" w:type="dxa"/>
            <w:tcBorders>
              <w:top w:val="nil"/>
              <w:left w:val="nil"/>
              <w:bottom w:val="single" w:sz="8" w:space="0" w:color="auto"/>
              <w:right w:val="single" w:sz="4" w:space="0" w:color="auto"/>
            </w:tcBorders>
            <w:shd w:val="clear" w:color="auto" w:fill="auto"/>
            <w:noWrap/>
            <w:vAlign w:val="bottom"/>
            <w:hideMark/>
          </w:tcPr>
          <w:p w14:paraId="2CFB5AEB"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w:t>
            </w:r>
          </w:p>
        </w:tc>
        <w:tc>
          <w:tcPr>
            <w:tcW w:w="993" w:type="dxa"/>
            <w:tcBorders>
              <w:top w:val="nil"/>
              <w:left w:val="nil"/>
              <w:bottom w:val="single" w:sz="8" w:space="0" w:color="auto"/>
              <w:right w:val="single" w:sz="4" w:space="0" w:color="auto"/>
            </w:tcBorders>
            <w:shd w:val="clear" w:color="000000" w:fill="FFFFFF"/>
            <w:noWrap/>
            <w:vAlign w:val="bottom"/>
            <w:hideMark/>
          </w:tcPr>
          <w:p w14:paraId="41DBB5E0"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szCs w:val="24"/>
              </w:rPr>
            </w:pPr>
            <w:r w:rsidRPr="00B763B8">
              <w:rPr>
                <w:rFonts w:asciiTheme="minorHAnsi" w:hAnsiTheme="minorHAnsi" w:cstheme="minorHAnsi"/>
                <w:szCs w:val="24"/>
              </w:rPr>
              <w:t>0%</w:t>
            </w:r>
          </w:p>
        </w:tc>
        <w:tc>
          <w:tcPr>
            <w:tcW w:w="992" w:type="dxa"/>
            <w:tcBorders>
              <w:top w:val="nil"/>
              <w:left w:val="nil"/>
              <w:bottom w:val="single" w:sz="8" w:space="0" w:color="auto"/>
              <w:right w:val="single" w:sz="4" w:space="0" w:color="auto"/>
            </w:tcBorders>
            <w:shd w:val="clear" w:color="000000" w:fill="FFFFFF"/>
            <w:noWrap/>
            <w:vAlign w:val="bottom"/>
            <w:hideMark/>
          </w:tcPr>
          <w:p w14:paraId="24DD2E50"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szCs w:val="24"/>
              </w:rPr>
            </w:pPr>
            <w:r w:rsidRPr="00B763B8">
              <w:rPr>
                <w:rFonts w:asciiTheme="minorHAnsi" w:hAnsiTheme="minorHAnsi" w:cstheme="minorHAnsi"/>
                <w:szCs w:val="24"/>
              </w:rPr>
              <w:t>0%</w:t>
            </w:r>
          </w:p>
        </w:tc>
        <w:tc>
          <w:tcPr>
            <w:tcW w:w="992" w:type="dxa"/>
            <w:tcBorders>
              <w:top w:val="nil"/>
              <w:left w:val="nil"/>
              <w:bottom w:val="single" w:sz="8" w:space="0" w:color="auto"/>
              <w:right w:val="single" w:sz="4" w:space="0" w:color="auto"/>
            </w:tcBorders>
            <w:shd w:val="clear" w:color="auto" w:fill="auto"/>
            <w:noWrap/>
            <w:vAlign w:val="bottom"/>
            <w:hideMark/>
          </w:tcPr>
          <w:p w14:paraId="54468808"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0%</w:t>
            </w:r>
          </w:p>
        </w:tc>
        <w:tc>
          <w:tcPr>
            <w:tcW w:w="851" w:type="dxa"/>
            <w:tcBorders>
              <w:top w:val="nil"/>
              <w:left w:val="nil"/>
              <w:bottom w:val="single" w:sz="8" w:space="0" w:color="auto"/>
              <w:right w:val="single" w:sz="4" w:space="0" w:color="auto"/>
            </w:tcBorders>
            <w:shd w:val="clear" w:color="auto" w:fill="auto"/>
            <w:noWrap/>
            <w:vAlign w:val="bottom"/>
            <w:hideMark/>
          </w:tcPr>
          <w:p w14:paraId="30DD73FF"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0%</w:t>
            </w:r>
          </w:p>
        </w:tc>
        <w:tc>
          <w:tcPr>
            <w:tcW w:w="933" w:type="dxa"/>
            <w:tcBorders>
              <w:top w:val="nil"/>
              <w:left w:val="nil"/>
              <w:bottom w:val="single" w:sz="8" w:space="0" w:color="auto"/>
              <w:right w:val="single" w:sz="8" w:space="0" w:color="auto"/>
            </w:tcBorders>
            <w:shd w:val="clear" w:color="000000" w:fill="AEAAAA"/>
            <w:noWrap/>
            <w:vAlign w:val="bottom"/>
            <w:hideMark/>
          </w:tcPr>
          <w:p w14:paraId="3AB7D65A"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b/>
                <w:bCs/>
                <w:szCs w:val="24"/>
              </w:rPr>
            </w:pPr>
            <w:r w:rsidRPr="00B763B8">
              <w:rPr>
                <w:rFonts w:asciiTheme="minorHAnsi" w:hAnsiTheme="minorHAnsi" w:cstheme="minorHAnsi"/>
                <w:b/>
                <w:bCs/>
                <w:szCs w:val="24"/>
              </w:rPr>
              <w:t>1%</w:t>
            </w:r>
          </w:p>
        </w:tc>
      </w:tr>
      <w:tr w:rsidR="00B763B8" w:rsidRPr="00B763B8" w14:paraId="5499E330" w14:textId="77777777" w:rsidTr="00BF51A0">
        <w:trPr>
          <w:trHeight w:val="315"/>
        </w:trPr>
        <w:tc>
          <w:tcPr>
            <w:tcW w:w="3300" w:type="dxa"/>
            <w:tcBorders>
              <w:top w:val="nil"/>
              <w:left w:val="single" w:sz="8" w:space="0" w:color="auto"/>
              <w:bottom w:val="single" w:sz="8" w:space="0" w:color="auto"/>
              <w:right w:val="single" w:sz="4" w:space="0" w:color="auto"/>
            </w:tcBorders>
            <w:shd w:val="clear" w:color="auto" w:fill="auto"/>
            <w:noWrap/>
            <w:vAlign w:val="bottom"/>
            <w:hideMark/>
          </w:tcPr>
          <w:p w14:paraId="5A27994D" w14:textId="77777777" w:rsidR="00B763B8" w:rsidRPr="00B763B8" w:rsidRDefault="00B763B8" w:rsidP="00B763B8">
            <w:pPr>
              <w:tabs>
                <w:tab w:val="clear" w:pos="567"/>
                <w:tab w:val="clear" w:pos="1134"/>
                <w:tab w:val="clear" w:pos="1701"/>
                <w:tab w:val="clear" w:pos="2268"/>
                <w:tab w:val="clear" w:pos="2835"/>
              </w:tabs>
              <w:snapToGrid w:val="0"/>
              <w:spacing w:before="20" w:after="20"/>
              <w:rPr>
                <w:rFonts w:asciiTheme="minorHAnsi" w:hAnsiTheme="minorHAnsi" w:cstheme="minorHAnsi"/>
                <w:szCs w:val="24"/>
              </w:rPr>
            </w:pPr>
            <w:r w:rsidRPr="00B763B8">
              <w:rPr>
                <w:rFonts w:asciiTheme="minorHAnsi" w:hAnsiTheme="minorHAnsi" w:cstheme="minorHAnsi"/>
                <w:szCs w:val="24"/>
              </w:rPr>
              <w:t>% of recommendations Closed</w:t>
            </w:r>
          </w:p>
        </w:tc>
        <w:tc>
          <w:tcPr>
            <w:tcW w:w="943" w:type="dxa"/>
            <w:tcBorders>
              <w:top w:val="nil"/>
              <w:left w:val="nil"/>
              <w:bottom w:val="single" w:sz="8" w:space="0" w:color="auto"/>
              <w:right w:val="single" w:sz="4" w:space="0" w:color="auto"/>
            </w:tcBorders>
            <w:shd w:val="clear" w:color="auto" w:fill="auto"/>
            <w:noWrap/>
            <w:vAlign w:val="bottom"/>
            <w:hideMark/>
          </w:tcPr>
          <w:p w14:paraId="3C310DF1"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82%</w:t>
            </w:r>
          </w:p>
        </w:tc>
        <w:tc>
          <w:tcPr>
            <w:tcW w:w="850" w:type="dxa"/>
            <w:tcBorders>
              <w:top w:val="nil"/>
              <w:left w:val="nil"/>
              <w:bottom w:val="single" w:sz="8" w:space="0" w:color="auto"/>
              <w:right w:val="single" w:sz="4" w:space="0" w:color="auto"/>
            </w:tcBorders>
            <w:shd w:val="clear" w:color="auto" w:fill="auto"/>
            <w:noWrap/>
            <w:vAlign w:val="bottom"/>
            <w:hideMark/>
          </w:tcPr>
          <w:p w14:paraId="40F0B0C4"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szCs w:val="24"/>
              </w:rPr>
            </w:pPr>
            <w:r w:rsidRPr="00B763B8">
              <w:rPr>
                <w:rFonts w:asciiTheme="minorHAnsi" w:hAnsiTheme="minorHAnsi" w:cstheme="minorHAnsi"/>
                <w:szCs w:val="24"/>
              </w:rPr>
              <w:t>-</w:t>
            </w:r>
          </w:p>
        </w:tc>
        <w:tc>
          <w:tcPr>
            <w:tcW w:w="993" w:type="dxa"/>
            <w:tcBorders>
              <w:top w:val="nil"/>
              <w:left w:val="nil"/>
              <w:bottom w:val="single" w:sz="8" w:space="0" w:color="auto"/>
              <w:right w:val="single" w:sz="4" w:space="0" w:color="auto"/>
            </w:tcBorders>
            <w:shd w:val="clear" w:color="auto" w:fill="auto"/>
            <w:noWrap/>
            <w:vAlign w:val="bottom"/>
            <w:hideMark/>
          </w:tcPr>
          <w:p w14:paraId="6CBA1D5A"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93%</w:t>
            </w:r>
          </w:p>
        </w:tc>
        <w:tc>
          <w:tcPr>
            <w:tcW w:w="992" w:type="dxa"/>
            <w:tcBorders>
              <w:top w:val="nil"/>
              <w:left w:val="nil"/>
              <w:bottom w:val="single" w:sz="8" w:space="0" w:color="auto"/>
              <w:right w:val="single" w:sz="4" w:space="0" w:color="auto"/>
            </w:tcBorders>
            <w:shd w:val="clear" w:color="auto" w:fill="auto"/>
            <w:noWrap/>
            <w:vAlign w:val="bottom"/>
            <w:hideMark/>
          </w:tcPr>
          <w:p w14:paraId="3B04F0D8"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91%</w:t>
            </w:r>
          </w:p>
        </w:tc>
        <w:tc>
          <w:tcPr>
            <w:tcW w:w="992" w:type="dxa"/>
            <w:tcBorders>
              <w:top w:val="nil"/>
              <w:left w:val="nil"/>
              <w:bottom w:val="single" w:sz="8" w:space="0" w:color="auto"/>
              <w:right w:val="single" w:sz="4" w:space="0" w:color="auto"/>
            </w:tcBorders>
            <w:shd w:val="clear" w:color="auto" w:fill="auto"/>
            <w:noWrap/>
            <w:vAlign w:val="bottom"/>
            <w:hideMark/>
          </w:tcPr>
          <w:p w14:paraId="47985EB8"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76%</w:t>
            </w:r>
          </w:p>
        </w:tc>
        <w:tc>
          <w:tcPr>
            <w:tcW w:w="851" w:type="dxa"/>
            <w:tcBorders>
              <w:top w:val="nil"/>
              <w:left w:val="nil"/>
              <w:bottom w:val="single" w:sz="8" w:space="0" w:color="auto"/>
              <w:right w:val="single" w:sz="4" w:space="0" w:color="auto"/>
            </w:tcBorders>
            <w:shd w:val="clear" w:color="auto" w:fill="auto"/>
            <w:noWrap/>
            <w:vAlign w:val="bottom"/>
            <w:hideMark/>
          </w:tcPr>
          <w:p w14:paraId="3B7680ED"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color w:val="000000"/>
                <w:szCs w:val="24"/>
              </w:rPr>
            </w:pPr>
            <w:r w:rsidRPr="00B763B8">
              <w:rPr>
                <w:rFonts w:asciiTheme="minorHAnsi" w:hAnsiTheme="minorHAnsi" w:cstheme="minorHAnsi"/>
                <w:color w:val="000000"/>
                <w:szCs w:val="24"/>
              </w:rPr>
              <w:t>9%</w:t>
            </w:r>
          </w:p>
        </w:tc>
        <w:tc>
          <w:tcPr>
            <w:tcW w:w="933" w:type="dxa"/>
            <w:tcBorders>
              <w:top w:val="nil"/>
              <w:left w:val="nil"/>
              <w:bottom w:val="single" w:sz="8" w:space="0" w:color="auto"/>
              <w:right w:val="single" w:sz="8" w:space="0" w:color="auto"/>
            </w:tcBorders>
            <w:shd w:val="clear" w:color="000000" w:fill="AEAAAA"/>
            <w:noWrap/>
            <w:vAlign w:val="bottom"/>
            <w:hideMark/>
          </w:tcPr>
          <w:p w14:paraId="4C3CD3E5" w14:textId="77777777" w:rsidR="00B763B8" w:rsidRPr="00B763B8" w:rsidRDefault="00B763B8" w:rsidP="00B763B8">
            <w:pPr>
              <w:tabs>
                <w:tab w:val="clear" w:pos="567"/>
                <w:tab w:val="clear" w:pos="1134"/>
                <w:tab w:val="clear" w:pos="1701"/>
                <w:tab w:val="clear" w:pos="2268"/>
                <w:tab w:val="clear" w:pos="2835"/>
              </w:tabs>
              <w:snapToGrid w:val="0"/>
              <w:spacing w:before="20" w:after="20"/>
              <w:jc w:val="center"/>
              <w:rPr>
                <w:rFonts w:asciiTheme="minorHAnsi" w:hAnsiTheme="minorHAnsi" w:cstheme="minorHAnsi"/>
                <w:b/>
                <w:bCs/>
                <w:szCs w:val="24"/>
              </w:rPr>
            </w:pPr>
            <w:r w:rsidRPr="00B763B8">
              <w:rPr>
                <w:rFonts w:asciiTheme="minorHAnsi" w:hAnsiTheme="minorHAnsi" w:cstheme="minorHAnsi"/>
                <w:b/>
                <w:bCs/>
                <w:szCs w:val="24"/>
              </w:rPr>
              <w:t>82%</w:t>
            </w:r>
          </w:p>
        </w:tc>
      </w:tr>
    </w:tbl>
    <w:p w14:paraId="2EAD90F7" w14:textId="1995D50A" w:rsidR="00B763B8" w:rsidRPr="00B763B8" w:rsidRDefault="00B763B8" w:rsidP="00B30B17">
      <w:pPr>
        <w:pStyle w:val="ListParagraph"/>
        <w:numPr>
          <w:ilvl w:val="0"/>
          <w:numId w:val="2"/>
        </w:numPr>
        <w:tabs>
          <w:tab w:val="clear" w:pos="794"/>
          <w:tab w:val="clear" w:pos="1191"/>
          <w:tab w:val="clear" w:pos="1588"/>
          <w:tab w:val="clear" w:pos="1985"/>
        </w:tabs>
        <w:adjustRightInd w:val="0"/>
        <w:snapToGrid w:val="0"/>
        <w:spacing w:before="240" w:after="120" w:line="240" w:lineRule="auto"/>
        <w:ind w:left="0" w:firstLine="0"/>
        <w:contextualSpacing w:val="0"/>
        <w:jc w:val="both"/>
        <w:rPr>
          <w:rFonts w:asciiTheme="minorHAnsi" w:hAnsiTheme="minorHAnsi" w:cstheme="minorHAnsi"/>
          <w:sz w:val="24"/>
          <w:szCs w:val="24"/>
          <w:lang w:val="en-CA"/>
        </w:rPr>
      </w:pPr>
      <w:r w:rsidRPr="001447A8">
        <w:rPr>
          <w:rFonts w:asciiTheme="minorHAnsi" w:hAnsiTheme="minorHAnsi" w:cstheme="minorHAnsi"/>
          <w:spacing w:val="-2"/>
          <w:sz w:val="24"/>
          <w:szCs w:val="24"/>
          <w:lang w:val="en-CA"/>
        </w:rPr>
        <w:t>No critical or high importance recommendations from before 2012 were left unimplemented.</w:t>
      </w:r>
      <w:r w:rsidRPr="00B763B8">
        <w:rPr>
          <w:rFonts w:asciiTheme="minorHAnsi" w:hAnsiTheme="minorHAnsi" w:cstheme="minorHAnsi"/>
          <w:sz w:val="24"/>
          <w:szCs w:val="24"/>
          <w:lang w:val="en-CA"/>
        </w:rPr>
        <w:t xml:space="preserve"> The recommendations still delayed </w:t>
      </w:r>
      <w:r w:rsidR="00B30B17" w:rsidRPr="00B763B8">
        <w:rPr>
          <w:rFonts w:asciiTheme="minorHAnsi" w:hAnsiTheme="minorHAnsi" w:cstheme="minorHAnsi"/>
          <w:sz w:val="24"/>
          <w:szCs w:val="24"/>
          <w:lang w:val="en-CA"/>
        </w:rPr>
        <w:t xml:space="preserve">from 2011 </w:t>
      </w:r>
      <w:r w:rsidRPr="00B763B8">
        <w:rPr>
          <w:rFonts w:asciiTheme="minorHAnsi" w:hAnsiTheme="minorHAnsi" w:cstheme="minorHAnsi"/>
          <w:sz w:val="24"/>
          <w:szCs w:val="24"/>
          <w:lang w:val="en-CA"/>
        </w:rPr>
        <w:t xml:space="preserve">concern an internal audit of costing of ITU publications. Management informed </w:t>
      </w:r>
      <w:r w:rsidR="00B30B17">
        <w:rPr>
          <w:rFonts w:asciiTheme="minorHAnsi" w:hAnsiTheme="minorHAnsi" w:cstheme="minorHAnsi"/>
          <w:sz w:val="24"/>
          <w:szCs w:val="24"/>
          <w:lang w:val="en-CA"/>
        </w:rPr>
        <w:t>IA</w:t>
      </w:r>
      <w:r w:rsidRPr="00B763B8">
        <w:rPr>
          <w:rFonts w:asciiTheme="minorHAnsi" w:hAnsiTheme="minorHAnsi" w:cstheme="minorHAnsi"/>
          <w:sz w:val="24"/>
          <w:szCs w:val="24"/>
          <w:lang w:val="en-CA"/>
        </w:rPr>
        <w:t xml:space="preserve"> (and IMAC) regularly of the progress and the External Auditor had already assessed that some of the recommendations from 2011 were closed. In 2017, </w:t>
      </w:r>
      <w:r w:rsidR="00B30B17">
        <w:rPr>
          <w:rFonts w:asciiTheme="minorHAnsi" w:hAnsiTheme="minorHAnsi" w:cstheme="minorHAnsi"/>
          <w:sz w:val="24"/>
          <w:szCs w:val="24"/>
          <w:lang w:val="en-CA"/>
        </w:rPr>
        <w:t>IA</w:t>
      </w:r>
      <w:r w:rsidRPr="00B763B8">
        <w:rPr>
          <w:rFonts w:asciiTheme="minorHAnsi" w:hAnsiTheme="minorHAnsi" w:cstheme="minorHAnsi"/>
          <w:sz w:val="24"/>
          <w:szCs w:val="24"/>
          <w:lang w:val="en-CA"/>
        </w:rPr>
        <w:t xml:space="preserve"> continues to monitor the implementation of the various recommendations contained in previous audit reports and will report on this follow-up, as appropriate, to IMAC and to the Secretary-</w:t>
      </w:r>
      <w:r w:rsidRPr="00B763B8">
        <w:rPr>
          <w:rFonts w:asciiTheme="minorHAnsi" w:hAnsiTheme="minorHAnsi" w:cstheme="minorHAnsi"/>
          <w:sz w:val="24"/>
          <w:szCs w:val="24"/>
          <w:lang w:val="en-CA"/>
        </w:rPr>
        <w:lastRenderedPageBreak/>
        <w:t xml:space="preserve">General. Overall, continuous progress is noted, yet very often priorities change and these may affect the degree of importance of initially made recommendations. For 2016, many of the internal audit reports were finalized in the last quarter of the year and it would thus be difficult to have many of the recommendations already implemented in early 2017. </w:t>
      </w:r>
    </w:p>
    <w:p w14:paraId="539F161E" w14:textId="77777777" w:rsidR="00B763B8" w:rsidRPr="00B763B8" w:rsidRDefault="00B763B8" w:rsidP="00B763B8">
      <w:pPr>
        <w:tabs>
          <w:tab w:val="clear" w:pos="567"/>
          <w:tab w:val="clear" w:pos="1134"/>
          <w:tab w:val="clear" w:pos="1701"/>
          <w:tab w:val="clear" w:pos="2268"/>
          <w:tab w:val="clear" w:pos="2835"/>
        </w:tabs>
        <w:snapToGrid w:val="0"/>
        <w:spacing w:before="480" w:after="120"/>
        <w:jc w:val="both"/>
        <w:rPr>
          <w:rFonts w:asciiTheme="minorHAnsi" w:hAnsiTheme="minorHAnsi" w:cstheme="minorHAnsi"/>
          <w:b/>
          <w:bCs/>
          <w:sz w:val="28"/>
          <w:szCs w:val="28"/>
          <w:lang w:val="en-CA"/>
        </w:rPr>
      </w:pPr>
      <w:r w:rsidRPr="00B763B8">
        <w:rPr>
          <w:rFonts w:asciiTheme="minorHAnsi" w:hAnsiTheme="minorHAnsi" w:cstheme="minorHAnsi"/>
          <w:b/>
          <w:bCs/>
          <w:sz w:val="28"/>
          <w:szCs w:val="28"/>
          <w:lang w:val="en-CA"/>
        </w:rPr>
        <w:t>Audit methodology related aspects</w:t>
      </w:r>
    </w:p>
    <w:p w14:paraId="19205431" w14:textId="77777777" w:rsidR="00B763B8" w:rsidRDefault="00B763B8" w:rsidP="008F5E02">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CA"/>
        </w:rPr>
      </w:pPr>
      <w:r w:rsidRPr="00B763B8">
        <w:rPr>
          <w:rFonts w:asciiTheme="minorHAnsi" w:hAnsiTheme="minorHAnsi" w:cstheme="minorHAnsi"/>
          <w:sz w:val="24"/>
          <w:szCs w:val="24"/>
          <w:lang w:val="en-CA"/>
        </w:rPr>
        <w:t xml:space="preserve">Since 2013, Internal Audit started using </w:t>
      </w:r>
      <w:r w:rsidRPr="00B763B8">
        <w:rPr>
          <w:rFonts w:asciiTheme="minorHAnsi" w:hAnsiTheme="minorHAnsi" w:cstheme="minorHAnsi"/>
          <w:i/>
          <w:iCs/>
          <w:sz w:val="24"/>
          <w:szCs w:val="24"/>
          <w:lang w:val="en-CA"/>
        </w:rPr>
        <w:t>Audit Effectiveness Questionnaires</w:t>
      </w:r>
      <w:r w:rsidRPr="00B763B8">
        <w:rPr>
          <w:rFonts w:asciiTheme="minorHAnsi" w:hAnsiTheme="minorHAnsi" w:cstheme="minorHAnsi"/>
          <w:sz w:val="24"/>
          <w:szCs w:val="24"/>
          <w:lang w:val="en-CA"/>
        </w:rPr>
        <w:t xml:space="preserve"> which were sent to the audited processes’ and entities’ managers, to assess the effectiveness of the audit work and identify room for improvement. This practice was continued in the period reported on in this document. Based on the </w:t>
      </w:r>
      <w:r w:rsidR="008F5E02">
        <w:rPr>
          <w:rFonts w:asciiTheme="minorHAnsi" w:hAnsiTheme="minorHAnsi" w:cstheme="minorHAnsi"/>
          <w:sz w:val="24"/>
          <w:szCs w:val="24"/>
          <w:lang w:val="en-CA"/>
        </w:rPr>
        <w:t>four</w:t>
      </w:r>
      <w:r w:rsidRPr="00B763B8">
        <w:rPr>
          <w:rFonts w:asciiTheme="minorHAnsi" w:hAnsiTheme="minorHAnsi" w:cstheme="minorHAnsi"/>
          <w:sz w:val="24"/>
          <w:szCs w:val="24"/>
          <w:lang w:val="en-CA"/>
        </w:rPr>
        <w:t xml:space="preserve"> </w:t>
      </w:r>
      <w:r w:rsidRPr="00B763B8">
        <w:rPr>
          <w:rFonts w:asciiTheme="minorHAnsi" w:hAnsiTheme="minorHAnsi" w:cstheme="minorHAnsi"/>
          <w:i/>
          <w:iCs/>
          <w:sz w:val="24"/>
          <w:szCs w:val="24"/>
          <w:lang w:val="en-CA"/>
        </w:rPr>
        <w:t>questionnaires</w:t>
      </w:r>
      <w:r w:rsidRPr="00B763B8">
        <w:rPr>
          <w:rFonts w:asciiTheme="minorHAnsi" w:hAnsiTheme="minorHAnsi" w:cstheme="minorHAnsi"/>
          <w:sz w:val="24"/>
          <w:szCs w:val="24"/>
          <w:lang w:val="en-CA"/>
        </w:rPr>
        <w:t xml:space="preserve"> sent back to Internal Audit in 2016, feedback has been very positive (average score of 4, on a scale from 1 to 5).</w:t>
      </w:r>
    </w:p>
    <w:p w14:paraId="084AA6BC" w14:textId="77777777" w:rsidR="00B763B8" w:rsidRPr="00B763B8" w:rsidRDefault="00B763B8" w:rsidP="00B763B8">
      <w:pPr>
        <w:snapToGrid w:val="0"/>
        <w:spacing w:before="840"/>
        <w:jc w:val="center"/>
        <w:rPr>
          <w:rFonts w:asciiTheme="minorHAnsi" w:hAnsiTheme="minorHAnsi" w:cstheme="minorHAnsi"/>
          <w:szCs w:val="24"/>
          <w:lang w:val="en-CA"/>
        </w:rPr>
      </w:pPr>
      <w:r w:rsidRPr="00B763B8">
        <w:rPr>
          <w:rFonts w:asciiTheme="minorHAnsi" w:hAnsiTheme="minorHAnsi" w:cstheme="minorHAnsi"/>
          <w:szCs w:val="24"/>
          <w:lang w:val="en-CA"/>
        </w:rPr>
        <w:t>___________________</w:t>
      </w:r>
    </w:p>
    <w:sectPr w:rsidR="00B763B8" w:rsidRPr="00B763B8" w:rsidSect="004D185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E9B43" w14:textId="77777777" w:rsidR="00B763B8" w:rsidRDefault="00B763B8">
      <w:r>
        <w:separator/>
      </w:r>
    </w:p>
  </w:endnote>
  <w:endnote w:type="continuationSeparator" w:id="0">
    <w:p w14:paraId="60DF5EAD" w14:textId="77777777" w:rsidR="00B763B8" w:rsidRDefault="00B7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B973" w14:textId="77777777" w:rsidR="00CB18FF" w:rsidRPr="00282799" w:rsidRDefault="00282799">
    <w:pPr>
      <w:pStyle w:val="Footer"/>
      <w:rPr>
        <w:color w:val="D9D9D9" w:themeColor="background1" w:themeShade="D9"/>
      </w:rPr>
    </w:pPr>
    <w:r w:rsidRPr="00282799">
      <w:rPr>
        <w:color w:val="D9D9D9" w:themeColor="background1" w:themeShade="D9"/>
      </w:rPr>
      <w:fldChar w:fldCharType="begin"/>
    </w:r>
    <w:r w:rsidRPr="00282799">
      <w:rPr>
        <w:color w:val="D9D9D9" w:themeColor="background1" w:themeShade="D9"/>
      </w:rPr>
      <w:instrText xml:space="preserve"> FILENAME \p  \* MERGEFORMAT </w:instrText>
    </w:r>
    <w:r w:rsidRPr="00282799">
      <w:rPr>
        <w:color w:val="D9D9D9" w:themeColor="background1" w:themeShade="D9"/>
      </w:rPr>
      <w:fldChar w:fldCharType="separate"/>
    </w:r>
    <w:r w:rsidR="00B763B8" w:rsidRPr="00282799">
      <w:rPr>
        <w:color w:val="D9D9D9" w:themeColor="background1" w:themeShade="D9"/>
      </w:rPr>
      <w:t>Document1</w:t>
    </w:r>
    <w:r w:rsidRPr="00282799">
      <w:rPr>
        <w:color w:val="D9D9D9" w:themeColor="background1" w:themeShade="D9"/>
      </w:rPr>
      <w:fldChar w:fldCharType="end"/>
    </w:r>
    <w:r w:rsidR="00CB18FF" w:rsidRPr="00282799">
      <w:rPr>
        <w:color w:val="D9D9D9" w:themeColor="background1" w:themeShade="D9"/>
      </w:rPr>
      <w:tab/>
    </w:r>
    <w:r w:rsidR="00864AFF" w:rsidRPr="00282799">
      <w:rPr>
        <w:color w:val="D9D9D9" w:themeColor="background1" w:themeShade="D9"/>
      </w:rPr>
      <w:fldChar w:fldCharType="begin"/>
    </w:r>
    <w:r w:rsidR="00CB18FF" w:rsidRPr="00282799">
      <w:rPr>
        <w:color w:val="D9D9D9" w:themeColor="background1" w:themeShade="D9"/>
      </w:rPr>
      <w:instrText xml:space="preserve"> SAVEDATE \@ DD.MM.YY </w:instrText>
    </w:r>
    <w:r w:rsidR="00864AFF" w:rsidRPr="00282799">
      <w:rPr>
        <w:color w:val="D9D9D9" w:themeColor="background1" w:themeShade="D9"/>
      </w:rPr>
      <w:fldChar w:fldCharType="separate"/>
    </w:r>
    <w:r w:rsidR="00BB5299">
      <w:rPr>
        <w:color w:val="D9D9D9" w:themeColor="background1" w:themeShade="D9"/>
      </w:rPr>
      <w:t>09.03.17</w:t>
    </w:r>
    <w:r w:rsidR="00864AFF" w:rsidRPr="00282799">
      <w:rPr>
        <w:color w:val="D9D9D9" w:themeColor="background1" w:themeShade="D9"/>
      </w:rPr>
      <w:fldChar w:fldCharType="end"/>
    </w:r>
    <w:r w:rsidR="00CB18FF" w:rsidRPr="00282799">
      <w:rPr>
        <w:color w:val="D9D9D9" w:themeColor="background1" w:themeShade="D9"/>
      </w:rPr>
      <w:tab/>
    </w:r>
    <w:r w:rsidR="00864AFF" w:rsidRPr="00282799">
      <w:rPr>
        <w:color w:val="D9D9D9" w:themeColor="background1" w:themeShade="D9"/>
      </w:rPr>
      <w:fldChar w:fldCharType="begin"/>
    </w:r>
    <w:r w:rsidR="00CB18FF" w:rsidRPr="00282799">
      <w:rPr>
        <w:color w:val="D9D9D9" w:themeColor="background1" w:themeShade="D9"/>
      </w:rPr>
      <w:instrText xml:space="preserve"> PRINTDATE \@ DD.MM.YY </w:instrText>
    </w:r>
    <w:r w:rsidR="00864AFF" w:rsidRPr="00282799">
      <w:rPr>
        <w:color w:val="D9D9D9" w:themeColor="background1" w:themeShade="D9"/>
      </w:rPr>
      <w:fldChar w:fldCharType="separate"/>
    </w:r>
    <w:r w:rsidR="00B763B8" w:rsidRPr="00282799">
      <w:rPr>
        <w:color w:val="D9D9D9" w:themeColor="background1" w:themeShade="D9"/>
      </w:rPr>
      <w:t>18.07.00</w:t>
    </w:r>
    <w:r w:rsidR="00864AFF" w:rsidRPr="00282799">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9C050" w14:textId="77777777" w:rsidR="00322D0D" w:rsidRDefault="00322D0D">
    <w:pPr>
      <w:spacing w:after="120"/>
      <w:jc w:val="center"/>
    </w:pPr>
    <w:r>
      <w:t xml:space="preserve">• </w:t>
    </w:r>
    <w:hyperlink r:id="rId1" w:history="1">
      <w:r>
        <w:rPr>
          <w:rStyle w:val="Hyperlink"/>
        </w:rPr>
        <w:t>http://www.itu.int/council</w:t>
      </w:r>
    </w:hyperlink>
    <w:r>
      <w:t xml:space="preserve"> •</w:t>
    </w:r>
  </w:p>
  <w:p w14:paraId="0E238466" w14:textId="77777777" w:rsidR="00322D0D" w:rsidRPr="00282799" w:rsidRDefault="00282799">
    <w:pPr>
      <w:pStyle w:val="Footer"/>
      <w:rPr>
        <w:color w:val="D9D9D9" w:themeColor="background1" w:themeShade="D9"/>
      </w:rPr>
    </w:pPr>
    <w:r w:rsidRPr="00282799">
      <w:rPr>
        <w:color w:val="D9D9D9" w:themeColor="background1" w:themeShade="D9"/>
      </w:rPr>
      <w:fldChar w:fldCharType="begin"/>
    </w:r>
    <w:r w:rsidRPr="00282799">
      <w:rPr>
        <w:color w:val="D9D9D9" w:themeColor="background1" w:themeShade="D9"/>
      </w:rPr>
      <w:instrText xml:space="preserve"> FILENAME \p  \* MERGEFORMAT </w:instrText>
    </w:r>
    <w:r w:rsidRPr="00282799">
      <w:rPr>
        <w:color w:val="D9D9D9" w:themeColor="background1" w:themeShade="D9"/>
      </w:rPr>
      <w:fldChar w:fldCharType="separate"/>
    </w:r>
    <w:r w:rsidR="00B763B8" w:rsidRPr="00282799">
      <w:rPr>
        <w:color w:val="D9D9D9" w:themeColor="background1" w:themeShade="D9"/>
      </w:rPr>
      <w:t>Document1</w:t>
    </w:r>
    <w:r w:rsidRPr="00282799">
      <w:rPr>
        <w:color w:val="D9D9D9" w:themeColor="background1" w:themeShade="D9"/>
      </w:rPr>
      <w:fldChar w:fldCharType="end"/>
    </w:r>
    <w:r w:rsidR="00322D0D" w:rsidRPr="00282799">
      <w:rPr>
        <w:color w:val="D9D9D9" w:themeColor="background1" w:themeShade="D9"/>
      </w:rPr>
      <w:tab/>
    </w:r>
    <w:r w:rsidR="00864AFF" w:rsidRPr="00282799">
      <w:rPr>
        <w:color w:val="D9D9D9" w:themeColor="background1" w:themeShade="D9"/>
      </w:rPr>
      <w:fldChar w:fldCharType="begin"/>
    </w:r>
    <w:r w:rsidR="00322D0D" w:rsidRPr="00282799">
      <w:rPr>
        <w:color w:val="D9D9D9" w:themeColor="background1" w:themeShade="D9"/>
      </w:rPr>
      <w:instrText xml:space="preserve"> SAVEDATE \@ DD.MM.YY </w:instrText>
    </w:r>
    <w:r w:rsidR="00864AFF" w:rsidRPr="00282799">
      <w:rPr>
        <w:color w:val="D9D9D9" w:themeColor="background1" w:themeShade="D9"/>
      </w:rPr>
      <w:fldChar w:fldCharType="separate"/>
    </w:r>
    <w:r w:rsidR="00BB5299">
      <w:rPr>
        <w:color w:val="D9D9D9" w:themeColor="background1" w:themeShade="D9"/>
      </w:rPr>
      <w:t>09.03.17</w:t>
    </w:r>
    <w:r w:rsidR="00864AFF" w:rsidRPr="00282799">
      <w:rPr>
        <w:color w:val="D9D9D9" w:themeColor="background1" w:themeShade="D9"/>
      </w:rPr>
      <w:fldChar w:fldCharType="end"/>
    </w:r>
    <w:r w:rsidR="00322D0D" w:rsidRPr="00282799">
      <w:rPr>
        <w:color w:val="D9D9D9" w:themeColor="background1" w:themeShade="D9"/>
      </w:rPr>
      <w:tab/>
    </w:r>
    <w:r w:rsidR="00864AFF" w:rsidRPr="00282799">
      <w:rPr>
        <w:color w:val="D9D9D9" w:themeColor="background1" w:themeShade="D9"/>
      </w:rPr>
      <w:fldChar w:fldCharType="begin"/>
    </w:r>
    <w:r w:rsidR="00322D0D" w:rsidRPr="00282799">
      <w:rPr>
        <w:color w:val="D9D9D9" w:themeColor="background1" w:themeShade="D9"/>
      </w:rPr>
      <w:instrText xml:space="preserve"> PRINTDATE \@ DD.MM.YY </w:instrText>
    </w:r>
    <w:r w:rsidR="00864AFF" w:rsidRPr="00282799">
      <w:rPr>
        <w:color w:val="D9D9D9" w:themeColor="background1" w:themeShade="D9"/>
      </w:rPr>
      <w:fldChar w:fldCharType="separate"/>
    </w:r>
    <w:r w:rsidR="00B763B8" w:rsidRPr="00282799">
      <w:rPr>
        <w:color w:val="D9D9D9" w:themeColor="background1" w:themeShade="D9"/>
      </w:rPr>
      <w:t>18.07.00</w:t>
    </w:r>
    <w:r w:rsidR="00864AFF" w:rsidRPr="00282799">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7F37B" w14:textId="77777777" w:rsidR="00B763B8" w:rsidRDefault="00B763B8" w:rsidP="002869AC">
      <w:pPr>
        <w:spacing w:before="60"/>
      </w:pPr>
      <w:r>
        <w:t>____________________</w:t>
      </w:r>
    </w:p>
  </w:footnote>
  <w:footnote w:type="continuationSeparator" w:id="0">
    <w:p w14:paraId="4E42ADD7" w14:textId="77777777" w:rsidR="00B763B8" w:rsidRDefault="00B763B8">
      <w:r>
        <w:continuationSeparator/>
      </w:r>
    </w:p>
  </w:footnote>
  <w:footnote w:id="1">
    <w:p w14:paraId="70874407" w14:textId="77777777" w:rsidR="00B763B8" w:rsidRPr="00C53531" w:rsidRDefault="00B763B8" w:rsidP="002869AC">
      <w:pPr>
        <w:pStyle w:val="FootnoteText"/>
        <w:spacing w:before="40"/>
        <w:rPr>
          <w:sz w:val="18"/>
          <w:szCs w:val="18"/>
        </w:rPr>
      </w:pPr>
      <w:r w:rsidRPr="00C53531">
        <w:rPr>
          <w:rStyle w:val="FootnoteReference"/>
          <w:sz w:val="18"/>
          <w:szCs w:val="18"/>
        </w:rPr>
        <w:footnoteRef/>
      </w:r>
      <w:r w:rsidRPr="00C53531">
        <w:rPr>
          <w:sz w:val="18"/>
          <w:szCs w:val="18"/>
        </w:rPr>
        <w:t xml:space="preserve"> </w:t>
      </w:r>
      <w:r w:rsidRPr="00C53531">
        <w:rPr>
          <w:rFonts w:cs="Calibri"/>
          <w:sz w:val="18"/>
          <w:szCs w:val="18"/>
        </w:rPr>
        <w:t>Service Order 13/09, promulgated by the Secretary-General on 27 June 2013</w:t>
      </w:r>
    </w:p>
  </w:footnote>
  <w:footnote w:id="2">
    <w:p w14:paraId="1049A626" w14:textId="77777777" w:rsidR="00B763B8" w:rsidRPr="00C53531" w:rsidRDefault="00B763B8" w:rsidP="002869AC">
      <w:pPr>
        <w:pStyle w:val="FootnoteText"/>
        <w:spacing w:before="40"/>
        <w:ind w:left="0" w:firstLine="0"/>
        <w:rPr>
          <w:sz w:val="18"/>
          <w:szCs w:val="18"/>
        </w:rPr>
      </w:pPr>
      <w:r w:rsidRPr="002869AC">
        <w:rPr>
          <w:rStyle w:val="FootnoteReference"/>
          <w:sz w:val="18"/>
          <w:szCs w:val="18"/>
        </w:rPr>
        <w:footnoteRef/>
      </w:r>
      <w:r w:rsidRPr="00141758">
        <w:rPr>
          <w:szCs w:val="24"/>
        </w:rPr>
        <w:t xml:space="preserve"> </w:t>
      </w:r>
      <w:r w:rsidRPr="00C53531">
        <w:rPr>
          <w:sz w:val="18"/>
          <w:szCs w:val="18"/>
        </w:rPr>
        <w:t xml:space="preserve">Institute of Internal Auditors, </w:t>
      </w:r>
      <w:hyperlink r:id="rId1" w:history="1">
        <w:r w:rsidRPr="00C53531">
          <w:rPr>
            <w:rStyle w:val="Hyperlink"/>
            <w:sz w:val="18"/>
            <w:szCs w:val="18"/>
          </w:rPr>
          <w:t>www.theiia.org</w:t>
        </w:r>
      </w:hyperlink>
    </w:p>
  </w:footnote>
  <w:footnote w:id="3">
    <w:p w14:paraId="7477BEF7" w14:textId="77777777" w:rsidR="00B763B8" w:rsidRPr="00FF744D" w:rsidRDefault="00B763B8" w:rsidP="002869AC">
      <w:pPr>
        <w:pStyle w:val="FootnoteText"/>
        <w:spacing w:before="40"/>
        <w:ind w:left="0" w:firstLine="0"/>
      </w:pPr>
      <w:r w:rsidRPr="00C53531">
        <w:rPr>
          <w:rStyle w:val="FootnoteReference"/>
          <w:sz w:val="18"/>
          <w:szCs w:val="18"/>
        </w:rPr>
        <w:footnoteRef/>
      </w:r>
      <w:r w:rsidRPr="00C53531">
        <w:rPr>
          <w:sz w:val="18"/>
          <w:szCs w:val="18"/>
        </w:rPr>
        <w:t xml:space="preserve"> </w:t>
      </w:r>
      <w:r w:rsidRPr="00C53531">
        <w:rPr>
          <w:rFonts w:cs="Calibri"/>
          <w:sz w:val="18"/>
          <w:szCs w:val="18"/>
        </w:rPr>
        <w:t>Service Order 13/09, promulgated by the Secretary-General on 27 June 2013</w:t>
      </w:r>
    </w:p>
  </w:footnote>
  <w:footnote w:id="4">
    <w:p w14:paraId="30E60EA8" w14:textId="77777777" w:rsidR="002869AC" w:rsidRPr="002869AC" w:rsidRDefault="002869AC" w:rsidP="002869AC">
      <w:pPr>
        <w:pStyle w:val="FootnoteText"/>
        <w:spacing w:before="40"/>
        <w:rPr>
          <w:lang w:val="en-US"/>
        </w:rPr>
      </w:pPr>
      <w:r w:rsidRPr="002869AC">
        <w:rPr>
          <w:rStyle w:val="FootnoteReference"/>
          <w:sz w:val="18"/>
          <w:szCs w:val="18"/>
        </w:rPr>
        <w:footnoteRef/>
      </w:r>
      <w:r>
        <w:t xml:space="preserve"> </w:t>
      </w:r>
      <w:r w:rsidRPr="003952C2">
        <w:rPr>
          <w:sz w:val="20"/>
        </w:rPr>
        <w:t xml:space="preserve">Institute of Internal Auditors, </w:t>
      </w:r>
      <w:hyperlink r:id="rId2" w:history="1">
        <w:r w:rsidRPr="003952C2">
          <w:rPr>
            <w:rStyle w:val="Hyperlink"/>
            <w:sz w:val="20"/>
          </w:rPr>
          <w:t>www.theiia.org</w:t>
        </w:r>
      </w:hyperlink>
      <w:r w:rsidRPr="003952C2">
        <w:rPr>
          <w:rStyle w:val="Hyperlink"/>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25A6" w14:textId="77777777" w:rsidR="00322D0D" w:rsidRDefault="006535F1" w:rsidP="00CE433C">
    <w:pPr>
      <w:pStyle w:val="Header"/>
    </w:pPr>
    <w:r>
      <w:fldChar w:fldCharType="begin"/>
    </w:r>
    <w:r>
      <w:instrText>PAGE</w:instrText>
    </w:r>
    <w:r>
      <w:fldChar w:fldCharType="separate"/>
    </w:r>
    <w:r w:rsidR="00BB5299">
      <w:rPr>
        <w:noProof/>
      </w:rPr>
      <w:t>2</w:t>
    </w:r>
    <w:r>
      <w:rPr>
        <w:noProof/>
      </w:rPr>
      <w:fldChar w:fldCharType="end"/>
    </w:r>
  </w:p>
  <w:p w14:paraId="70112359" w14:textId="77777777" w:rsidR="00322D0D" w:rsidRDefault="00B763B8" w:rsidP="005243FF">
    <w:pPr>
      <w:pStyle w:val="Header"/>
    </w:pPr>
    <w:r>
      <w:t>C17/44-E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C314B"/>
    <w:multiLevelType w:val="hybridMultilevel"/>
    <w:tmpl w:val="A27E4584"/>
    <w:lvl w:ilvl="0" w:tplc="6A92C332">
      <w:start w:val="1"/>
      <w:numFmt w:val="decimal"/>
      <w:lvlText w:val="%1."/>
      <w:lvlJc w:val="left"/>
      <w:pPr>
        <w:ind w:left="502" w:hanging="360"/>
      </w:pPr>
      <w:rPr>
        <w:rFonts w:asciiTheme="minorHAnsi" w:hAnsiTheme="minorHAnsi"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B8"/>
    <w:rsid w:val="000210D4"/>
    <w:rsid w:val="00063016"/>
    <w:rsid w:val="00066795"/>
    <w:rsid w:val="00076AF6"/>
    <w:rsid w:val="00085CF2"/>
    <w:rsid w:val="000B1705"/>
    <w:rsid w:val="000D75B2"/>
    <w:rsid w:val="001121F5"/>
    <w:rsid w:val="00126B36"/>
    <w:rsid w:val="001400DC"/>
    <w:rsid w:val="00140CE1"/>
    <w:rsid w:val="001447A8"/>
    <w:rsid w:val="0017539C"/>
    <w:rsid w:val="00175AC2"/>
    <w:rsid w:val="0017609F"/>
    <w:rsid w:val="001C628E"/>
    <w:rsid w:val="001E0F7B"/>
    <w:rsid w:val="002119FD"/>
    <w:rsid w:val="002130E0"/>
    <w:rsid w:val="00264425"/>
    <w:rsid w:val="00265875"/>
    <w:rsid w:val="0027303B"/>
    <w:rsid w:val="0028109B"/>
    <w:rsid w:val="00282799"/>
    <w:rsid w:val="002869AC"/>
    <w:rsid w:val="002B1F58"/>
    <w:rsid w:val="002C1C7A"/>
    <w:rsid w:val="0030160F"/>
    <w:rsid w:val="003144E5"/>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813E5E"/>
    <w:rsid w:val="0083581B"/>
    <w:rsid w:val="00864AFF"/>
    <w:rsid w:val="008A2865"/>
    <w:rsid w:val="008B4A6A"/>
    <w:rsid w:val="008C7E27"/>
    <w:rsid w:val="008F5E02"/>
    <w:rsid w:val="00913616"/>
    <w:rsid w:val="009173EF"/>
    <w:rsid w:val="00932906"/>
    <w:rsid w:val="00934B11"/>
    <w:rsid w:val="00961B0B"/>
    <w:rsid w:val="009B38C3"/>
    <w:rsid w:val="009E17BD"/>
    <w:rsid w:val="00A04CEC"/>
    <w:rsid w:val="00A27F92"/>
    <w:rsid w:val="00A32257"/>
    <w:rsid w:val="00A36D20"/>
    <w:rsid w:val="00A55622"/>
    <w:rsid w:val="00A83502"/>
    <w:rsid w:val="00AD15B3"/>
    <w:rsid w:val="00AF6E49"/>
    <w:rsid w:val="00B04A67"/>
    <w:rsid w:val="00B0583C"/>
    <w:rsid w:val="00B30B17"/>
    <w:rsid w:val="00B40A81"/>
    <w:rsid w:val="00B44910"/>
    <w:rsid w:val="00B72267"/>
    <w:rsid w:val="00B763B8"/>
    <w:rsid w:val="00B76EB6"/>
    <w:rsid w:val="00B7737B"/>
    <w:rsid w:val="00B824C8"/>
    <w:rsid w:val="00BB5299"/>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76CE6"/>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BFB5D4"/>
  <w15:docId w15:val="{0CA5754F-DA8B-4EC4-AA15-7C96E986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B763B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B763B8"/>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Heading1Char">
    <w:name w:val="Heading 1 Char"/>
    <w:link w:val="Heading1"/>
    <w:rsid w:val="00B763B8"/>
    <w:rPr>
      <w:rFonts w:ascii="Calibri" w:hAnsi="Calibri"/>
      <w:b/>
      <w:sz w:val="28"/>
      <w:lang w:val="en-GB" w:eastAsia="en-US"/>
    </w:rPr>
  </w:style>
  <w:style w:type="character" w:customStyle="1" w:styleId="FootnoteTextChar">
    <w:name w:val="Footnote Text Char"/>
    <w:link w:val="FootnoteText"/>
    <w:rsid w:val="00B763B8"/>
    <w:rPr>
      <w:rFonts w:ascii="Calibri" w:hAnsi="Calibri"/>
      <w:sz w:val="24"/>
      <w:lang w:val="en-GB" w:eastAsia="en-US"/>
    </w:rPr>
  </w:style>
  <w:style w:type="character" w:styleId="Emphasis">
    <w:name w:val="Emphasis"/>
    <w:basedOn w:val="DefaultParagraphFont"/>
    <w:qFormat/>
    <w:rsid w:val="003144E5"/>
    <w:rPr>
      <w:i/>
      <w:iCs/>
    </w:rPr>
  </w:style>
  <w:style w:type="paragraph" w:styleId="BalloonText">
    <w:name w:val="Balloon Text"/>
    <w:basedOn w:val="Normal"/>
    <w:link w:val="BalloonTextChar"/>
    <w:semiHidden/>
    <w:unhideWhenUsed/>
    <w:rsid w:val="00E76CE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6CE6"/>
    <w:rPr>
      <w:rFonts w:ascii="Segoe UI" w:hAnsi="Segoe UI" w:cs="Segoe UI"/>
      <w:sz w:val="18"/>
      <w:szCs w:val="18"/>
      <w:lang w:val="en-GB" w:eastAsia="en-US"/>
    </w:rPr>
  </w:style>
  <w:style w:type="character" w:styleId="CommentReference">
    <w:name w:val="annotation reference"/>
    <w:basedOn w:val="DefaultParagraphFont"/>
    <w:semiHidden/>
    <w:unhideWhenUsed/>
    <w:rsid w:val="00E76CE6"/>
    <w:rPr>
      <w:sz w:val="16"/>
      <w:szCs w:val="16"/>
    </w:rPr>
  </w:style>
  <w:style w:type="paragraph" w:styleId="CommentText">
    <w:name w:val="annotation text"/>
    <w:basedOn w:val="Normal"/>
    <w:link w:val="CommentTextChar"/>
    <w:semiHidden/>
    <w:unhideWhenUsed/>
    <w:rsid w:val="00E76CE6"/>
    <w:rPr>
      <w:sz w:val="20"/>
    </w:rPr>
  </w:style>
  <w:style w:type="character" w:customStyle="1" w:styleId="CommentTextChar">
    <w:name w:val="Comment Text Char"/>
    <w:basedOn w:val="DefaultParagraphFont"/>
    <w:link w:val="CommentText"/>
    <w:semiHidden/>
    <w:rsid w:val="00E76CE6"/>
    <w:rPr>
      <w:rFonts w:ascii="Calibri" w:hAnsi="Calibri"/>
      <w:lang w:val="en-GB" w:eastAsia="en-US"/>
    </w:rPr>
  </w:style>
  <w:style w:type="paragraph" w:styleId="CommentSubject">
    <w:name w:val="annotation subject"/>
    <w:basedOn w:val="CommentText"/>
    <w:next w:val="CommentText"/>
    <w:link w:val="CommentSubjectChar"/>
    <w:semiHidden/>
    <w:unhideWhenUsed/>
    <w:rsid w:val="00E76CE6"/>
    <w:rPr>
      <w:b/>
      <w:bCs/>
    </w:rPr>
  </w:style>
  <w:style w:type="character" w:customStyle="1" w:styleId="CommentSubjectChar">
    <w:name w:val="Comment Subject Char"/>
    <w:basedOn w:val="CommentTextChar"/>
    <w:link w:val="CommentSubject"/>
    <w:semiHidden/>
    <w:rsid w:val="00E76CE6"/>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md/S15-CL-INF-0011/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82D05-FB52-4D20-9824-2088206FC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574D7D-4EE6-425F-9A44-64F09A452D3A}">
  <ds:schemaRefs>
    <ds:schemaRef ds:uri="http://schemas.microsoft.com/sharepoint/v3/contenttype/forms"/>
  </ds:schemaRefs>
</ds:datastoreItem>
</file>

<file path=customXml/itemProps3.xml><?xml version="1.0" encoding="utf-8"?>
<ds:datastoreItem xmlns:ds="http://schemas.openxmlformats.org/officeDocument/2006/customXml" ds:itemID="{9E6B209D-0447-46FF-BDD3-8716CA4672E9}">
  <ds:schemaRefs>
    <ds:schemaRef ds:uri="http://purl.org/dc/dcmitype/"/>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0F3E493-B818-4EFF-A70F-AB78AE8A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0</TotalTime>
  <Pages>8</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Internal audit report</vt:lpstr>
    </vt:vector>
  </TitlesOfParts>
  <Manager>General Secretariat - Pool</Manager>
  <Company>International Telecommunication Union (ITU)</Company>
  <LinksUpToDate>false</LinksUpToDate>
  <CharactersWithSpaces>24032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report</dc:title>
  <dc:subject>Council 2017</dc:subject>
  <dc:creator>Brouard, Ricarda</dc:creator>
  <cp:keywords>C2017, C17</cp:keywords>
  <dc:description/>
  <cp:lastModifiedBy>Brouard, Ricarda</cp:lastModifiedBy>
  <cp:revision>2</cp:revision>
  <cp:lastPrinted>2000-07-18T13:30:00Z</cp:lastPrinted>
  <dcterms:created xsi:type="dcterms:W3CDTF">2017-03-14T15:32:00Z</dcterms:created>
  <dcterms:modified xsi:type="dcterms:W3CDTF">2017-03-14T15:32:00Z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