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813B86" w:rsidTr="000E4FF0">
        <w:trPr>
          <w:cantSplit/>
          <w:trHeight w:val="20"/>
          <w:jc w:val="center"/>
        </w:trPr>
        <w:tc>
          <w:tcPr>
            <w:tcW w:w="6620" w:type="dxa"/>
          </w:tcPr>
          <w:p w:rsidR="000E4FF0" w:rsidRPr="00813B86" w:rsidRDefault="000E4FF0" w:rsidP="000E4FF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r w:rsidRPr="00813B86">
              <w:rPr>
                <w:rFonts w:eastAsiaTheme="minorEastAsia" w:hint="cs"/>
                <w:b/>
                <w:bCs/>
                <w:w w:val="110"/>
                <w:sz w:val="32"/>
                <w:szCs w:val="44"/>
                <w:rtl/>
                <w:lang w:eastAsia="zh-CN" w:bidi="ar-EG"/>
              </w:rPr>
              <w:t xml:space="preserve">المجلس </w:t>
            </w:r>
            <w:r w:rsidRPr="00813B86">
              <w:rPr>
                <w:rFonts w:eastAsiaTheme="minorEastAsia"/>
                <w:b/>
                <w:bCs/>
                <w:w w:val="110"/>
                <w:sz w:val="32"/>
                <w:szCs w:val="44"/>
                <w:lang w:eastAsia="zh-CN" w:bidi="ar-SY"/>
              </w:rPr>
              <w:t>2017</w:t>
            </w:r>
            <w:r w:rsidRPr="00813B86">
              <w:rPr>
                <w:rFonts w:eastAsiaTheme="minorEastAsia"/>
                <w:b/>
                <w:bCs/>
                <w:w w:val="110"/>
                <w:sz w:val="32"/>
                <w:szCs w:val="44"/>
                <w:rtl/>
                <w:lang w:eastAsia="zh-CN" w:bidi="ar-SY"/>
              </w:rPr>
              <w:br/>
            </w:r>
            <w:r w:rsidRPr="00813B86">
              <w:rPr>
                <w:rFonts w:eastAsiaTheme="minorEastAsia" w:hint="cs"/>
                <w:b/>
                <w:bCs/>
                <w:sz w:val="24"/>
                <w:szCs w:val="32"/>
                <w:rtl/>
                <w:lang w:eastAsia="zh-CN" w:bidi="ar-EG"/>
              </w:rPr>
              <w:t xml:space="preserve">جنيف، </w:t>
            </w:r>
            <w:r w:rsidRPr="00813B86">
              <w:rPr>
                <w:rFonts w:eastAsiaTheme="minorEastAsia"/>
                <w:b/>
                <w:bCs/>
                <w:sz w:val="24"/>
                <w:szCs w:val="32"/>
                <w:lang w:eastAsia="zh-CN" w:bidi="ar-SY"/>
              </w:rPr>
              <w:t>25-15</w:t>
            </w:r>
            <w:r w:rsidRPr="00813B86">
              <w:rPr>
                <w:rFonts w:eastAsiaTheme="minorEastAsia" w:hint="cs"/>
                <w:b/>
                <w:bCs/>
                <w:sz w:val="24"/>
                <w:szCs w:val="32"/>
                <w:rtl/>
                <w:lang w:eastAsia="zh-CN" w:bidi="ar-EG"/>
              </w:rPr>
              <w:t xml:space="preserve"> مايو </w:t>
            </w:r>
            <w:r w:rsidRPr="00813B86">
              <w:rPr>
                <w:rFonts w:eastAsiaTheme="minorEastAsia"/>
                <w:b/>
                <w:bCs/>
                <w:sz w:val="24"/>
                <w:szCs w:val="32"/>
                <w:lang w:eastAsia="zh-CN" w:bidi="ar-EG"/>
              </w:rPr>
              <w:t>2017</w:t>
            </w:r>
          </w:p>
        </w:tc>
        <w:tc>
          <w:tcPr>
            <w:tcW w:w="3052" w:type="dxa"/>
          </w:tcPr>
          <w:p w:rsidR="000E4FF0" w:rsidRPr="00813B86" w:rsidRDefault="000E4FF0" w:rsidP="000E4FF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0" w:name="ditulogo"/>
            <w:bookmarkEnd w:id="0"/>
            <w:r w:rsidRPr="00813B86">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813B86" w:rsidTr="000E4FF0">
        <w:trPr>
          <w:cantSplit/>
          <w:trHeight w:val="280"/>
          <w:jc w:val="center"/>
        </w:trPr>
        <w:tc>
          <w:tcPr>
            <w:tcW w:w="6620" w:type="dxa"/>
            <w:tcBorders>
              <w:bottom w:val="single" w:sz="12" w:space="0" w:color="auto"/>
            </w:tcBorders>
          </w:tcPr>
          <w:p w:rsidR="000E4FF0" w:rsidRPr="00813B86" w:rsidRDefault="000E4FF0" w:rsidP="000E4FF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813B86" w:rsidRDefault="000E4FF0" w:rsidP="000E4FF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813B86" w:rsidTr="000E4FF0">
        <w:trPr>
          <w:cantSplit/>
          <w:trHeight w:val="20"/>
          <w:jc w:val="center"/>
        </w:trPr>
        <w:tc>
          <w:tcPr>
            <w:tcW w:w="6620" w:type="dxa"/>
            <w:tcBorders>
              <w:top w:val="single" w:sz="12" w:space="0" w:color="auto"/>
            </w:tcBorders>
          </w:tcPr>
          <w:p w:rsidR="000E4FF0" w:rsidRPr="00813B86" w:rsidRDefault="000E4FF0" w:rsidP="000E4FF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813B86" w:rsidRDefault="000E4FF0" w:rsidP="000E4FF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813B86" w:rsidTr="000E4FF0">
        <w:trPr>
          <w:cantSplit/>
          <w:jc w:val="center"/>
        </w:trPr>
        <w:tc>
          <w:tcPr>
            <w:tcW w:w="6620" w:type="dxa"/>
          </w:tcPr>
          <w:p w:rsidR="000E4FF0" w:rsidRPr="00813B86" w:rsidRDefault="000E4FF0" w:rsidP="008D17C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EG"/>
              </w:rPr>
            </w:pPr>
            <w:r w:rsidRPr="00813B86">
              <w:rPr>
                <w:rFonts w:eastAsiaTheme="minorEastAsia" w:hint="cs"/>
                <w:b/>
                <w:bCs/>
                <w:rtl/>
                <w:lang w:eastAsia="zh-CN" w:bidi="ar-EG"/>
              </w:rPr>
              <w:t xml:space="preserve">بند جدول الأعمال: </w:t>
            </w:r>
            <w:bookmarkStart w:id="1" w:name="lt_pId006"/>
            <w:r w:rsidR="00CD72AE" w:rsidRPr="00813B86">
              <w:rPr>
                <w:rFonts w:eastAsiaTheme="minorEastAsia"/>
                <w:b/>
                <w:bCs/>
                <w:lang w:val="en-GB" w:eastAsia="zh-CN" w:bidi="ar-EG"/>
              </w:rPr>
              <w:t>ADM</w:t>
            </w:r>
            <w:r w:rsidR="00593408">
              <w:rPr>
                <w:rFonts w:eastAsiaTheme="minorEastAsia"/>
                <w:b/>
                <w:bCs/>
                <w:lang w:val="en-GB" w:eastAsia="zh-CN" w:bidi="ar-EG"/>
              </w:rPr>
              <w:t> </w:t>
            </w:r>
            <w:r w:rsidR="00CD72AE" w:rsidRPr="00813B86">
              <w:rPr>
                <w:rFonts w:eastAsiaTheme="minorEastAsia"/>
                <w:b/>
                <w:bCs/>
                <w:lang w:val="en-GB" w:eastAsia="zh-CN" w:bidi="ar-EG"/>
              </w:rPr>
              <w:t>13</w:t>
            </w:r>
            <w:bookmarkEnd w:id="1"/>
          </w:p>
        </w:tc>
        <w:tc>
          <w:tcPr>
            <w:tcW w:w="3052" w:type="dxa"/>
            <w:vAlign w:val="center"/>
          </w:tcPr>
          <w:p w:rsidR="000E4FF0" w:rsidRPr="00813B86" w:rsidRDefault="000E4FF0" w:rsidP="008D17C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r w:rsidRPr="00813B86">
              <w:rPr>
                <w:rFonts w:eastAsiaTheme="minorEastAsia" w:hint="cs"/>
                <w:b/>
                <w:bCs/>
                <w:rtl/>
                <w:lang w:eastAsia="zh-CN" w:bidi="ar-EG"/>
              </w:rPr>
              <w:t xml:space="preserve">الوثيقة </w:t>
            </w:r>
            <w:r w:rsidRPr="00813B86">
              <w:rPr>
                <w:rFonts w:eastAsiaTheme="minorEastAsia"/>
                <w:b/>
                <w:bCs/>
                <w:lang w:eastAsia="zh-CN" w:bidi="ar-SY"/>
              </w:rPr>
              <w:t>C17/</w:t>
            </w:r>
            <w:r w:rsidR="00CD72AE" w:rsidRPr="00813B86">
              <w:rPr>
                <w:rFonts w:eastAsiaTheme="minorEastAsia"/>
                <w:b/>
                <w:bCs/>
                <w:lang w:eastAsia="zh-CN" w:bidi="ar-SY"/>
              </w:rPr>
              <w:t>44</w:t>
            </w:r>
            <w:r w:rsidRPr="00813B86">
              <w:rPr>
                <w:rFonts w:eastAsiaTheme="minorEastAsia"/>
                <w:b/>
                <w:bCs/>
                <w:lang w:eastAsia="zh-CN" w:bidi="ar-SY"/>
              </w:rPr>
              <w:t>-A</w:t>
            </w:r>
          </w:p>
        </w:tc>
      </w:tr>
      <w:tr w:rsidR="000E4FF0" w:rsidRPr="00813B86" w:rsidTr="000E4FF0">
        <w:trPr>
          <w:cantSplit/>
          <w:jc w:val="center"/>
        </w:trPr>
        <w:tc>
          <w:tcPr>
            <w:tcW w:w="6620" w:type="dxa"/>
          </w:tcPr>
          <w:p w:rsidR="000E4FF0" w:rsidRPr="00813B86" w:rsidRDefault="000E4FF0" w:rsidP="008D17C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c>
          <w:tcPr>
            <w:tcW w:w="3052" w:type="dxa"/>
            <w:vAlign w:val="center"/>
          </w:tcPr>
          <w:p w:rsidR="000E4FF0" w:rsidRPr="00813B86" w:rsidRDefault="00CD72AE" w:rsidP="008D17C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r w:rsidRPr="00813B86">
              <w:rPr>
                <w:rFonts w:eastAsiaTheme="minorEastAsia"/>
                <w:b/>
                <w:bCs/>
                <w:lang w:eastAsia="zh-CN" w:bidi="ar-SY"/>
              </w:rPr>
              <w:t>14</w:t>
            </w:r>
            <w:r w:rsidR="000E4FF0" w:rsidRPr="00813B86">
              <w:rPr>
                <w:rFonts w:eastAsiaTheme="minorEastAsia" w:hint="cs"/>
                <w:b/>
                <w:bCs/>
                <w:rtl/>
                <w:lang w:eastAsia="zh-CN" w:bidi="ar-EG"/>
              </w:rPr>
              <w:t xml:space="preserve"> </w:t>
            </w:r>
            <w:r w:rsidRPr="00813B86">
              <w:rPr>
                <w:rFonts w:eastAsiaTheme="minorEastAsia" w:hint="cs"/>
                <w:b/>
                <w:bCs/>
                <w:rtl/>
                <w:lang w:eastAsia="zh-CN" w:bidi="ar-EG"/>
              </w:rPr>
              <w:t>مارس</w:t>
            </w:r>
            <w:r w:rsidR="000E4FF0" w:rsidRPr="00813B86">
              <w:rPr>
                <w:rFonts w:eastAsiaTheme="minorEastAsia" w:hint="cs"/>
                <w:b/>
                <w:bCs/>
                <w:rtl/>
                <w:lang w:eastAsia="zh-CN" w:bidi="ar-EG"/>
              </w:rPr>
              <w:t xml:space="preserve"> </w:t>
            </w:r>
            <w:r w:rsidR="000E4FF0" w:rsidRPr="00813B86">
              <w:rPr>
                <w:rFonts w:eastAsiaTheme="minorEastAsia"/>
                <w:b/>
                <w:bCs/>
                <w:lang w:eastAsia="zh-CN" w:bidi="ar-SY"/>
              </w:rPr>
              <w:t>2017</w:t>
            </w:r>
          </w:p>
        </w:tc>
      </w:tr>
      <w:tr w:rsidR="000E4FF0" w:rsidRPr="00813B86" w:rsidTr="000E4FF0">
        <w:trPr>
          <w:cantSplit/>
          <w:jc w:val="center"/>
        </w:trPr>
        <w:tc>
          <w:tcPr>
            <w:tcW w:w="6620" w:type="dxa"/>
          </w:tcPr>
          <w:p w:rsidR="000E4FF0" w:rsidRPr="00813B86" w:rsidRDefault="000E4FF0" w:rsidP="008D17C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EG"/>
              </w:rPr>
            </w:pPr>
          </w:p>
        </w:tc>
        <w:tc>
          <w:tcPr>
            <w:tcW w:w="3052" w:type="dxa"/>
            <w:vAlign w:val="center"/>
          </w:tcPr>
          <w:p w:rsidR="000E4FF0" w:rsidRPr="00813B86" w:rsidRDefault="00CD72AE" w:rsidP="008D17CC">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r w:rsidRPr="00813B86">
              <w:rPr>
                <w:rFonts w:eastAsiaTheme="minorEastAsia"/>
                <w:b/>
                <w:bCs/>
                <w:rtl/>
                <w:lang w:eastAsia="zh-CN" w:bidi="ar-EG"/>
              </w:rPr>
              <w:t xml:space="preserve">الأصل: </w:t>
            </w:r>
            <w:r w:rsidRPr="00813B86">
              <w:rPr>
                <w:rFonts w:eastAsiaTheme="minorEastAsia" w:hint="cs"/>
                <w:b/>
                <w:bCs/>
                <w:rtl/>
                <w:lang w:eastAsia="zh-CN" w:bidi="ar-EG"/>
              </w:rPr>
              <w:t>بالإنكليزية</w:t>
            </w:r>
          </w:p>
        </w:tc>
      </w:tr>
      <w:tr w:rsidR="000E4FF0" w:rsidRPr="00813B86" w:rsidTr="000E4FF0">
        <w:trPr>
          <w:cantSplit/>
          <w:jc w:val="center"/>
        </w:trPr>
        <w:tc>
          <w:tcPr>
            <w:tcW w:w="9672" w:type="dxa"/>
            <w:gridSpan w:val="2"/>
          </w:tcPr>
          <w:p w:rsidR="000E4FF0" w:rsidRPr="00813B86" w:rsidRDefault="00CD72AE" w:rsidP="00593408">
            <w:pPr>
              <w:pStyle w:val="Source"/>
              <w:spacing w:after="0"/>
              <w:rPr>
                <w:rFonts w:eastAsiaTheme="minorEastAsia"/>
                <w:rtl/>
                <w:lang w:eastAsia="zh-CN"/>
              </w:rPr>
            </w:pPr>
            <w:r w:rsidRPr="00813B86">
              <w:rPr>
                <w:rFonts w:eastAsiaTheme="minorEastAsia" w:hint="cs"/>
                <w:rtl/>
                <w:lang w:eastAsia="zh-CN" w:bidi="ar-SY"/>
              </w:rPr>
              <w:t>تقرير من الأمين العام</w:t>
            </w:r>
          </w:p>
        </w:tc>
      </w:tr>
      <w:tr w:rsidR="000E4FF0" w:rsidRPr="00813B86" w:rsidTr="000E4FF0">
        <w:trPr>
          <w:cantSplit/>
          <w:jc w:val="center"/>
        </w:trPr>
        <w:tc>
          <w:tcPr>
            <w:tcW w:w="9672" w:type="dxa"/>
            <w:gridSpan w:val="2"/>
          </w:tcPr>
          <w:p w:rsidR="000E4FF0" w:rsidRPr="00813B86" w:rsidRDefault="00CD72AE" w:rsidP="00593408">
            <w:pPr>
              <w:pStyle w:val="Title1"/>
              <w:spacing w:after="0"/>
              <w:rPr>
                <w:rFonts w:eastAsiaTheme="minorEastAsia"/>
                <w:rtl/>
                <w:lang w:eastAsia="zh-CN"/>
              </w:rPr>
            </w:pPr>
            <w:r w:rsidRPr="00813B86">
              <w:rPr>
                <w:rFonts w:eastAsiaTheme="minorEastAsia"/>
                <w:rtl/>
                <w:lang w:eastAsia="zh-CN" w:bidi="ar-SA"/>
              </w:rPr>
              <w:t xml:space="preserve">تقرير </w:t>
            </w:r>
            <w:r w:rsidR="007C6658" w:rsidRPr="00813B86">
              <w:rPr>
                <w:rFonts w:eastAsiaTheme="minorEastAsia" w:hint="cs"/>
                <w:rtl/>
                <w:lang w:eastAsia="zh-CN" w:bidi="ar-SA"/>
              </w:rPr>
              <w:t>المراجع</w:t>
            </w:r>
            <w:r w:rsidRPr="00813B86">
              <w:rPr>
                <w:rFonts w:eastAsiaTheme="minorEastAsia"/>
                <w:rtl/>
                <w:lang w:eastAsia="zh-CN" w:bidi="ar-SA"/>
              </w:rPr>
              <w:t xml:space="preserve"> الداخلي عن أنشطة </w:t>
            </w:r>
            <w:r w:rsidR="007C6658" w:rsidRPr="00813B86">
              <w:rPr>
                <w:rFonts w:eastAsiaTheme="minorEastAsia" w:hint="cs"/>
                <w:rtl/>
                <w:lang w:eastAsia="zh-CN" w:bidi="ar-SA"/>
              </w:rPr>
              <w:t>المراجعة</w:t>
            </w:r>
            <w:r w:rsidRPr="00813B86">
              <w:rPr>
                <w:rFonts w:eastAsiaTheme="minorEastAsia"/>
                <w:rtl/>
                <w:lang w:eastAsia="zh-CN" w:bidi="ar-SA"/>
              </w:rPr>
              <w:t xml:space="preserve"> الداخلية</w:t>
            </w:r>
          </w:p>
        </w:tc>
      </w:tr>
    </w:tbl>
    <w:p w:rsidR="00593408" w:rsidRDefault="00593408"/>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0"/>
      </w:tblGrid>
      <w:tr w:rsidR="000E4FF0" w:rsidRPr="00813B86" w:rsidTr="00AC6AC1">
        <w:trPr>
          <w:jc w:val="center"/>
        </w:trPr>
        <w:tc>
          <w:tcPr>
            <w:tcW w:w="7230" w:type="dxa"/>
          </w:tcPr>
          <w:p w:rsidR="00CD72AE" w:rsidRPr="00813B86" w:rsidRDefault="00CD72AE" w:rsidP="00CD72AE">
            <w:pPr>
              <w:rPr>
                <w:b/>
                <w:bCs/>
                <w:rtl/>
                <w:lang w:bidi="ar-SY"/>
              </w:rPr>
            </w:pPr>
            <w:r w:rsidRPr="00813B86">
              <w:rPr>
                <w:rFonts w:hint="cs"/>
                <w:b/>
                <w:bCs/>
                <w:rtl/>
                <w:lang w:bidi="ar-SY"/>
              </w:rPr>
              <w:t>ملخص</w:t>
            </w:r>
          </w:p>
          <w:p w:rsidR="00CD72AE" w:rsidRPr="00813B86" w:rsidRDefault="00CD72AE" w:rsidP="00593408">
            <w:pPr>
              <w:rPr>
                <w:rtl/>
                <w:lang w:bidi="ar-SY"/>
              </w:rPr>
            </w:pPr>
            <w:r w:rsidRPr="00813B86">
              <w:rPr>
                <w:rtl/>
              </w:rPr>
              <w:t>ي</w:t>
            </w:r>
            <w:r w:rsidRPr="00813B86">
              <w:rPr>
                <w:rFonts w:hint="cs"/>
                <w:rtl/>
              </w:rPr>
              <w:t>غطي</w:t>
            </w:r>
            <w:r w:rsidRPr="00813B86">
              <w:rPr>
                <w:rtl/>
              </w:rPr>
              <w:t xml:space="preserve"> هذا التقرير </w:t>
            </w:r>
            <w:r w:rsidR="00593408">
              <w:rPr>
                <w:rFonts w:hint="cs"/>
                <w:rtl/>
                <w:lang w:bidi="ar-EG"/>
              </w:rPr>
              <w:t>أنشطة المراجعة الداخلية</w:t>
            </w:r>
            <w:r w:rsidRPr="00813B86">
              <w:rPr>
                <w:rtl/>
              </w:rPr>
              <w:t xml:space="preserve"> </w:t>
            </w:r>
            <w:r w:rsidR="002C777E" w:rsidRPr="00813B86">
              <w:rPr>
                <w:rtl/>
              </w:rPr>
              <w:t>في</w:t>
            </w:r>
            <w:r w:rsidR="002C777E" w:rsidRPr="00813B86">
              <w:rPr>
                <w:rFonts w:hint="cs"/>
                <w:rtl/>
              </w:rPr>
              <w:t> </w:t>
            </w:r>
            <w:r w:rsidR="002C777E" w:rsidRPr="00813B86">
              <w:rPr>
                <w:rtl/>
              </w:rPr>
              <w:t xml:space="preserve">الفترة الممتدة من مارس </w:t>
            </w:r>
            <w:r w:rsidRPr="00813B86">
              <w:rPr>
                <w:lang w:bidi="ar-SY"/>
              </w:rPr>
              <w:t>2016</w:t>
            </w:r>
            <w:r w:rsidRPr="00813B86">
              <w:rPr>
                <w:rtl/>
              </w:rPr>
              <w:t xml:space="preserve"> إلى فبراير</w:t>
            </w:r>
            <w:r w:rsidR="00593408">
              <w:rPr>
                <w:rFonts w:hint="cs"/>
                <w:rtl/>
              </w:rPr>
              <w:t> </w:t>
            </w:r>
            <w:r w:rsidRPr="00813B86">
              <w:rPr>
                <w:lang w:bidi="ar-SY"/>
              </w:rPr>
              <w:t>2017</w:t>
            </w:r>
            <w:r w:rsidRPr="00813B86">
              <w:rPr>
                <w:rtl/>
              </w:rPr>
              <w:t>.</w:t>
            </w:r>
          </w:p>
          <w:p w:rsidR="00CD72AE" w:rsidRPr="00813B86" w:rsidRDefault="00CD72AE" w:rsidP="00CD72AE">
            <w:pPr>
              <w:rPr>
                <w:b/>
                <w:bCs/>
                <w:rtl/>
                <w:lang w:bidi="ar-SY"/>
              </w:rPr>
            </w:pPr>
            <w:r w:rsidRPr="00813B86">
              <w:rPr>
                <w:rFonts w:hint="cs"/>
                <w:b/>
                <w:bCs/>
                <w:rtl/>
                <w:lang w:bidi="ar-SY"/>
              </w:rPr>
              <w:t>الإجراء المطلوب</w:t>
            </w:r>
          </w:p>
          <w:p w:rsidR="00CD72AE" w:rsidRPr="00813B86" w:rsidRDefault="00CD72AE" w:rsidP="00CD72AE">
            <w:pPr>
              <w:rPr>
                <w:rtl/>
                <w:lang w:bidi="ar-SY"/>
              </w:rPr>
            </w:pPr>
            <w:r w:rsidRPr="00813B86">
              <w:rPr>
                <w:rtl/>
              </w:rPr>
              <w:t>يحال هذا التقرير إلى المجلس لكي</w:t>
            </w:r>
            <w:r w:rsidRPr="00813B86">
              <w:rPr>
                <w:b/>
                <w:bCs/>
                <w:rtl/>
              </w:rPr>
              <w:t xml:space="preserve"> ينظر فيه</w:t>
            </w:r>
            <w:r w:rsidRPr="00813B86">
              <w:rPr>
                <w:rtl/>
              </w:rPr>
              <w:t>.</w:t>
            </w:r>
          </w:p>
          <w:p w:rsidR="00CD72AE" w:rsidRPr="00813B86" w:rsidRDefault="00CD72AE" w:rsidP="00CD72AE">
            <w:pPr>
              <w:jc w:val="center"/>
              <w:rPr>
                <w:rtl/>
                <w:lang w:bidi="ar-SY"/>
              </w:rPr>
            </w:pPr>
            <w:r w:rsidRPr="00813B86">
              <w:rPr>
                <w:rFonts w:hint="cs"/>
                <w:rtl/>
                <w:lang w:bidi="ar-SY"/>
              </w:rPr>
              <w:t>_________</w:t>
            </w:r>
          </w:p>
          <w:p w:rsidR="00CD72AE" w:rsidRPr="00813B86" w:rsidRDefault="00CD72AE" w:rsidP="00CD72AE">
            <w:pPr>
              <w:rPr>
                <w:b/>
                <w:bCs/>
                <w:rtl/>
                <w:lang w:bidi="ar-SY"/>
              </w:rPr>
            </w:pPr>
            <w:r w:rsidRPr="00813B86">
              <w:rPr>
                <w:rFonts w:hint="cs"/>
                <w:b/>
                <w:bCs/>
                <w:rtl/>
                <w:lang w:bidi="ar-SY"/>
              </w:rPr>
              <w:t>المراجع</w:t>
            </w:r>
          </w:p>
          <w:p w:rsidR="000E4FF0" w:rsidRPr="00813B86" w:rsidRDefault="00CD72AE" w:rsidP="00CD72AE">
            <w:pPr>
              <w:tabs>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i/>
                <w:iCs/>
                <w:rtl/>
                <w:lang w:eastAsia="zh-CN" w:bidi="ar-SY"/>
              </w:rPr>
            </w:pPr>
            <w:r w:rsidRPr="00813B86">
              <w:rPr>
                <w:i/>
                <w:iCs/>
                <w:rtl/>
              </w:rPr>
              <w:t xml:space="preserve">اللوائح المالية والقواعد المالية للاتحاد </w:t>
            </w:r>
            <w:r w:rsidRPr="00813B86">
              <w:rPr>
                <w:i/>
                <w:iCs/>
                <w:lang w:bidi="ar-SY"/>
              </w:rPr>
              <w:t>(2010)</w:t>
            </w:r>
            <w:r w:rsidRPr="00813B86">
              <w:rPr>
                <w:i/>
                <w:iCs/>
                <w:rtl/>
              </w:rPr>
              <w:t xml:space="preserve">، المادة </w:t>
            </w:r>
            <w:r w:rsidRPr="00813B86">
              <w:rPr>
                <w:i/>
                <w:iCs/>
                <w:lang w:bidi="ar-SY"/>
              </w:rPr>
              <w:t>29</w:t>
            </w:r>
          </w:p>
        </w:tc>
      </w:tr>
    </w:tbl>
    <w:p w:rsidR="000E4FF0" w:rsidRPr="00813B86" w:rsidRDefault="000E4FF0" w:rsidP="0059340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rPr>
          <w:rFonts w:eastAsiaTheme="minorEastAsia"/>
          <w:rtl/>
          <w:lang w:eastAsia="zh-CN" w:bidi="ar-EG"/>
        </w:rPr>
      </w:pPr>
    </w:p>
    <w:p w:rsidR="00AE3D38" w:rsidRPr="00813B86" w:rsidRDefault="00AE3D38" w:rsidP="00AE3D38">
      <w:pPr>
        <w:pStyle w:val="Headingb0"/>
        <w:rPr>
          <w:lang w:bidi="ar-SY"/>
        </w:rPr>
      </w:pPr>
      <w:r w:rsidRPr="00813B86">
        <w:rPr>
          <w:rtl/>
        </w:rPr>
        <w:t>مقدمة</w:t>
      </w:r>
    </w:p>
    <w:p w:rsidR="00AE3D38" w:rsidRPr="00813B86" w:rsidRDefault="00AE3D38" w:rsidP="003B615A">
      <w:pPr>
        <w:rPr>
          <w:rtl/>
        </w:rPr>
      </w:pPr>
      <w:r w:rsidRPr="00813B86">
        <w:rPr>
          <w:lang w:bidi="ar-SY"/>
        </w:rPr>
        <w:t>1</w:t>
      </w:r>
      <w:r w:rsidRPr="00813B86">
        <w:rPr>
          <w:rtl/>
        </w:rPr>
        <w:tab/>
        <w:t>يُحال هذا التقرير إلى المجلس</w:t>
      </w:r>
      <w:r w:rsidR="009925BF">
        <w:rPr>
          <w:rFonts w:hint="cs"/>
          <w:rtl/>
        </w:rPr>
        <w:t>، و</w:t>
      </w:r>
      <w:r w:rsidRPr="00813B86">
        <w:rPr>
          <w:rtl/>
        </w:rPr>
        <w:t xml:space="preserve">قد أُعد عملاً بالمادة </w:t>
      </w:r>
      <w:r w:rsidRPr="00813B86">
        <w:rPr>
          <w:lang w:bidi="ar-SY"/>
        </w:rPr>
        <w:t>29</w:t>
      </w:r>
      <w:r w:rsidRPr="00813B86">
        <w:rPr>
          <w:rtl/>
        </w:rPr>
        <w:t xml:space="preserve"> من اللوائح المالية </w:t>
      </w:r>
      <w:r w:rsidRPr="00813B86">
        <w:rPr>
          <w:lang w:bidi="ar-SY"/>
        </w:rPr>
        <w:t>(2010)</w:t>
      </w:r>
      <w:r w:rsidRPr="00813B86">
        <w:rPr>
          <w:rtl/>
        </w:rPr>
        <w:t>. ووفقاً لميثاق المراجعة الداخلية في الاتحاد</w:t>
      </w:r>
      <w:r w:rsidR="0023700B" w:rsidRPr="00813B86">
        <w:rPr>
          <w:rFonts w:hint="cs"/>
          <w:rtl/>
        </w:rPr>
        <w:t>،</w:t>
      </w:r>
      <w:r w:rsidRPr="00813B86">
        <w:rPr>
          <w:rStyle w:val="FootnoteReference"/>
          <w:rtl/>
        </w:rPr>
        <w:footnoteReference w:id="1"/>
      </w:r>
      <w:r w:rsidRPr="00813B86">
        <w:rPr>
          <w:rtl/>
        </w:rPr>
        <w:t xml:space="preserve"> يقدَّم هذا التقرير إلى الأمين العام ويُعرض على المجلس لكي ينظر فيه. وي</w:t>
      </w:r>
      <w:r w:rsidRPr="00813B86">
        <w:rPr>
          <w:rFonts w:hint="cs"/>
          <w:rtl/>
        </w:rPr>
        <w:t>غطي</w:t>
      </w:r>
      <w:r w:rsidRPr="00813B86">
        <w:rPr>
          <w:rtl/>
        </w:rPr>
        <w:t xml:space="preserve"> هذا التقرير الأنشطة المضطلَع بها في</w:t>
      </w:r>
      <w:r w:rsidRPr="00813B86">
        <w:rPr>
          <w:rFonts w:hint="cs"/>
          <w:rtl/>
        </w:rPr>
        <w:t> </w:t>
      </w:r>
      <w:r w:rsidRPr="00813B86">
        <w:rPr>
          <w:rtl/>
        </w:rPr>
        <w:t xml:space="preserve">الفترة الممتدة من مارس </w:t>
      </w:r>
      <w:r w:rsidRPr="00813B86">
        <w:rPr>
          <w:lang w:bidi="ar-SY"/>
        </w:rPr>
        <w:t>2016</w:t>
      </w:r>
      <w:r w:rsidRPr="00813B86">
        <w:rPr>
          <w:rtl/>
        </w:rPr>
        <w:t xml:space="preserve"> </w:t>
      </w:r>
      <w:r w:rsidR="007C6658" w:rsidRPr="00813B86">
        <w:rPr>
          <w:rFonts w:hint="cs"/>
          <w:rtl/>
        </w:rPr>
        <w:t>إلى</w:t>
      </w:r>
      <w:r w:rsidRPr="00813B86">
        <w:rPr>
          <w:rtl/>
        </w:rPr>
        <w:t xml:space="preserve"> فبراير </w:t>
      </w:r>
      <w:r w:rsidRPr="00813B86">
        <w:rPr>
          <w:lang w:bidi="ar-SY"/>
        </w:rPr>
        <w:t>2017</w:t>
      </w:r>
      <w:r w:rsidRPr="00813B86">
        <w:rPr>
          <w:rtl/>
        </w:rPr>
        <w:t>.</w:t>
      </w:r>
    </w:p>
    <w:p w:rsidR="00CC3288" w:rsidRPr="00813B86" w:rsidRDefault="00AE3D38" w:rsidP="000A52BD">
      <w:pPr>
        <w:rPr>
          <w:rtl/>
          <w:lang w:val="en-CA" w:bidi="ar-EG"/>
        </w:rPr>
      </w:pPr>
      <w:r w:rsidRPr="00813B86">
        <w:t>2</w:t>
      </w:r>
      <w:r w:rsidRPr="00813B86">
        <w:rPr>
          <w:rtl/>
        </w:rPr>
        <w:tab/>
      </w:r>
      <w:r w:rsidR="007C6658" w:rsidRPr="00813B86">
        <w:rPr>
          <w:rFonts w:hint="cs"/>
          <w:rtl/>
        </w:rPr>
        <w:t xml:space="preserve">وخلال الفترة المشمولة بالتقرير، تألفت وحدة المراجعة الداخلية </w:t>
      </w:r>
      <w:r w:rsidR="007C6658" w:rsidRPr="00813B86">
        <w:rPr>
          <w:rtl/>
        </w:rPr>
        <w:t>–</w:t>
      </w:r>
      <w:r w:rsidR="007C6658" w:rsidRPr="00813B86">
        <w:rPr>
          <w:rFonts w:hint="cs"/>
          <w:rtl/>
        </w:rPr>
        <w:t xml:space="preserve"> للفترة الكاملة </w:t>
      </w:r>
      <w:r w:rsidR="007C6658" w:rsidRPr="00813B86">
        <w:rPr>
          <w:rtl/>
        </w:rPr>
        <w:t>–</w:t>
      </w:r>
      <w:r w:rsidR="007C6658" w:rsidRPr="00813B86">
        <w:rPr>
          <w:rFonts w:hint="cs"/>
          <w:rtl/>
        </w:rPr>
        <w:t xml:space="preserve"> من موظفين اثنين من الفئة الفنية</w:t>
      </w:r>
      <w:r w:rsidR="000A52BD">
        <w:rPr>
          <w:rFonts w:hint="eastAsia"/>
          <w:rtl/>
        </w:rPr>
        <w:t> </w:t>
      </w:r>
      <w:r w:rsidR="00E2282A" w:rsidRPr="00813B86">
        <w:rPr>
          <w:rFonts w:hint="cs"/>
          <w:rtl/>
        </w:rPr>
        <w:t>-</w:t>
      </w:r>
      <w:r w:rsidR="007C6658" w:rsidRPr="00813B86">
        <w:rPr>
          <w:rFonts w:hint="cs"/>
          <w:rtl/>
        </w:rPr>
        <w:t xml:space="preserve"> موظف بدرجة</w:t>
      </w:r>
      <w:r w:rsidR="000A52BD">
        <w:rPr>
          <w:rFonts w:hint="eastAsia"/>
          <w:rtl/>
        </w:rPr>
        <w:t> </w:t>
      </w:r>
      <w:r w:rsidR="007C6658" w:rsidRPr="00813B86">
        <w:rPr>
          <w:rFonts w:hint="cs"/>
          <w:rtl/>
        </w:rPr>
        <w:t>ف-</w:t>
      </w:r>
      <w:r w:rsidR="007C6658" w:rsidRPr="00813B86">
        <w:rPr>
          <w:lang w:val="en-CA"/>
        </w:rPr>
        <w:t>5</w:t>
      </w:r>
      <w:r w:rsidR="007C6658" w:rsidRPr="00813B86">
        <w:rPr>
          <w:rFonts w:hint="cs"/>
          <w:rtl/>
          <w:lang w:val="en-CA" w:bidi="ar-EG"/>
        </w:rPr>
        <w:t xml:space="preserve"> (رئيس الوحدة) وموظف بدرجة ف-</w:t>
      </w:r>
      <w:r w:rsidR="007C6658" w:rsidRPr="00813B86">
        <w:rPr>
          <w:lang w:val="en-CA" w:bidi="ar-EG"/>
        </w:rPr>
        <w:t>2</w:t>
      </w:r>
      <w:r w:rsidR="007C6658" w:rsidRPr="00813B86">
        <w:rPr>
          <w:rFonts w:hint="cs"/>
          <w:rtl/>
          <w:lang w:val="en-CA" w:bidi="ar-EG"/>
        </w:rPr>
        <w:t xml:space="preserve"> (مراجع داخلي مبتدئ). وحتى يونيو </w:t>
      </w:r>
      <w:r w:rsidR="007C6658" w:rsidRPr="00813B86">
        <w:rPr>
          <w:lang w:val="en-CA" w:bidi="ar-EG"/>
        </w:rPr>
        <w:t>2016</w:t>
      </w:r>
      <w:r w:rsidR="007C6658" w:rsidRPr="00813B86">
        <w:rPr>
          <w:rFonts w:hint="cs"/>
          <w:rtl/>
          <w:lang w:val="en-CA" w:bidi="ar-EG"/>
        </w:rPr>
        <w:t>، كان هناك أيضاً موظف بدرجة</w:t>
      </w:r>
      <w:r w:rsidR="000A52BD">
        <w:rPr>
          <w:rFonts w:hint="eastAsia"/>
          <w:rtl/>
          <w:lang w:val="en-CA" w:bidi="ar-EG"/>
        </w:rPr>
        <w:t> </w:t>
      </w:r>
      <w:r w:rsidR="007C6658" w:rsidRPr="00813B86">
        <w:rPr>
          <w:rFonts w:hint="cs"/>
          <w:rtl/>
          <w:lang w:val="en-CA" w:bidi="ar-EG"/>
        </w:rPr>
        <w:t>ف-</w:t>
      </w:r>
      <w:r w:rsidR="007C6658" w:rsidRPr="00813B86">
        <w:rPr>
          <w:lang w:val="en-CA" w:bidi="ar-EG"/>
        </w:rPr>
        <w:t>3</w:t>
      </w:r>
      <w:r w:rsidR="007C6658" w:rsidRPr="00813B86">
        <w:rPr>
          <w:rFonts w:hint="cs"/>
          <w:rtl/>
          <w:lang w:val="en-CA" w:bidi="ar-EG"/>
        </w:rPr>
        <w:t xml:space="preserve"> (مراجع داخلي) </w:t>
      </w:r>
      <w:r w:rsidR="00E2282A" w:rsidRPr="00813B86">
        <w:rPr>
          <w:rFonts w:hint="cs"/>
          <w:rtl/>
          <w:lang w:val="en-CA" w:bidi="ar-EG"/>
        </w:rPr>
        <w:t xml:space="preserve">يعمل </w:t>
      </w:r>
      <w:r w:rsidR="007C6658" w:rsidRPr="00813B86">
        <w:rPr>
          <w:rFonts w:hint="cs"/>
          <w:rtl/>
          <w:lang w:val="en-CA" w:bidi="ar-EG"/>
        </w:rPr>
        <w:t xml:space="preserve">على أساس مؤقت </w:t>
      </w:r>
      <w:r w:rsidR="00E2282A" w:rsidRPr="00813B86">
        <w:rPr>
          <w:rFonts w:hint="cs"/>
          <w:rtl/>
          <w:lang w:val="en-CA" w:bidi="ar-EG"/>
        </w:rPr>
        <w:t>خلال فترة</w:t>
      </w:r>
      <w:r w:rsidR="007C6658" w:rsidRPr="00813B86">
        <w:rPr>
          <w:rFonts w:hint="cs"/>
          <w:rtl/>
          <w:lang w:val="en-CA" w:bidi="ar-EG"/>
        </w:rPr>
        <w:t xml:space="preserve"> الإعلان عن الوظيفة</w:t>
      </w:r>
      <w:r w:rsidR="00CC3288" w:rsidRPr="00813B86">
        <w:rPr>
          <w:rFonts w:hint="cs"/>
          <w:rtl/>
          <w:lang w:val="en-CA" w:bidi="ar-EG"/>
        </w:rPr>
        <w:t xml:space="preserve"> ولكن أصيب الشاغل المؤقت للوظيفة بمرض </w:t>
      </w:r>
      <w:r w:rsidR="00E2282A" w:rsidRPr="00813B86">
        <w:rPr>
          <w:rFonts w:hint="cs"/>
          <w:rtl/>
          <w:lang w:val="en-CA" w:bidi="ar-EG"/>
        </w:rPr>
        <w:t>لفترة طويلة</w:t>
      </w:r>
      <w:r w:rsidR="0023700B" w:rsidRPr="00813B86">
        <w:rPr>
          <w:rFonts w:hint="cs"/>
          <w:rtl/>
          <w:lang w:val="en-CA" w:bidi="ar-EG"/>
        </w:rPr>
        <w:t xml:space="preserve"> إلى حد ما</w:t>
      </w:r>
      <w:r w:rsidR="00CC3288" w:rsidRPr="00813B86">
        <w:rPr>
          <w:rFonts w:hint="cs"/>
          <w:rtl/>
          <w:lang w:val="en-CA" w:bidi="ar-EG"/>
        </w:rPr>
        <w:t xml:space="preserve">؛ وتم تعويض نقص قوة العمل بالتعاقد مع استشاري يعمل </w:t>
      </w:r>
      <w:r w:rsidR="002C777E" w:rsidRPr="00813B86">
        <w:rPr>
          <w:rFonts w:hint="cs"/>
          <w:rtl/>
          <w:lang w:val="en-CA" w:bidi="ar-EG"/>
        </w:rPr>
        <w:t xml:space="preserve">بدوام جزئي </w:t>
      </w:r>
      <w:r w:rsidR="00CC3288" w:rsidRPr="00813B86">
        <w:rPr>
          <w:rFonts w:hint="cs"/>
          <w:rtl/>
          <w:lang w:val="en-CA" w:bidi="ar-EG"/>
        </w:rPr>
        <w:t>(</w:t>
      </w:r>
      <w:r w:rsidR="00CC3288" w:rsidRPr="00813B86">
        <w:rPr>
          <w:lang w:val="en-CA" w:bidi="ar-EG"/>
        </w:rPr>
        <w:t>15</w:t>
      </w:r>
      <w:r w:rsidR="00CC3288" w:rsidRPr="00813B86">
        <w:rPr>
          <w:rFonts w:hint="cs"/>
          <w:rtl/>
          <w:lang w:val="en-CA" w:bidi="ar-EG"/>
        </w:rPr>
        <w:t xml:space="preserve"> أغسطس </w:t>
      </w:r>
      <w:r w:rsidR="00CC3288" w:rsidRPr="00813B86">
        <w:rPr>
          <w:lang w:val="en-CA" w:bidi="ar-EG"/>
        </w:rPr>
        <w:t>2016</w:t>
      </w:r>
      <w:r w:rsidR="00CC3288" w:rsidRPr="00813B86">
        <w:rPr>
          <w:rFonts w:hint="cs"/>
          <w:rtl/>
          <w:lang w:val="en-CA" w:bidi="ar-EG"/>
        </w:rPr>
        <w:t xml:space="preserve"> </w:t>
      </w:r>
      <w:r w:rsidR="00CC3288" w:rsidRPr="00813B86">
        <w:rPr>
          <w:rtl/>
          <w:lang w:val="en-CA" w:bidi="ar-EG"/>
        </w:rPr>
        <w:t>–</w:t>
      </w:r>
      <w:r w:rsidR="00CC3288" w:rsidRPr="00813B86">
        <w:rPr>
          <w:rFonts w:hint="cs"/>
          <w:rtl/>
          <w:lang w:val="en-CA" w:bidi="ar-EG"/>
        </w:rPr>
        <w:t xml:space="preserve"> </w:t>
      </w:r>
      <w:r w:rsidR="00CC3288" w:rsidRPr="00813B86">
        <w:rPr>
          <w:lang w:val="en-CA" w:bidi="ar-EG"/>
        </w:rPr>
        <w:t>31</w:t>
      </w:r>
      <w:r w:rsidR="001F70B8">
        <w:rPr>
          <w:rFonts w:hint="eastAsia"/>
          <w:rtl/>
          <w:lang w:val="en-CA" w:bidi="ar-EG"/>
        </w:rPr>
        <w:t> </w:t>
      </w:r>
      <w:r w:rsidR="00CC3288" w:rsidRPr="00813B86">
        <w:rPr>
          <w:rFonts w:hint="cs"/>
          <w:rtl/>
          <w:lang w:val="en-CA" w:bidi="ar-EG"/>
        </w:rPr>
        <w:t xml:space="preserve">أكتوبر </w:t>
      </w:r>
      <w:r w:rsidR="00CC3288" w:rsidRPr="00813B86">
        <w:rPr>
          <w:lang w:val="en-CA" w:bidi="ar-EG"/>
        </w:rPr>
        <w:t>2016</w:t>
      </w:r>
      <w:r w:rsidR="00CC3288" w:rsidRPr="00813B86">
        <w:rPr>
          <w:rFonts w:hint="cs"/>
          <w:rtl/>
          <w:lang w:val="en-CA" w:bidi="ar-EG"/>
        </w:rPr>
        <w:t xml:space="preserve">) ثم باستشاري آخر يعمل </w:t>
      </w:r>
      <w:r w:rsidR="002C777E" w:rsidRPr="00813B86">
        <w:rPr>
          <w:rFonts w:hint="cs"/>
          <w:rtl/>
          <w:lang w:val="en-CA" w:bidi="ar-EG"/>
        </w:rPr>
        <w:t>بدوام جزئي</w:t>
      </w:r>
      <w:r w:rsidR="00CC3288" w:rsidRPr="00813B86">
        <w:rPr>
          <w:rFonts w:hint="cs"/>
          <w:rtl/>
          <w:lang w:val="en-CA" w:bidi="ar-EG"/>
        </w:rPr>
        <w:t xml:space="preserve"> (</w:t>
      </w:r>
      <w:r w:rsidR="00CC3288" w:rsidRPr="00813B86">
        <w:rPr>
          <w:lang w:val="en-CA" w:bidi="ar-EG"/>
        </w:rPr>
        <w:t>1</w:t>
      </w:r>
      <w:r w:rsidR="00CC3288" w:rsidRPr="00813B86">
        <w:rPr>
          <w:rFonts w:hint="cs"/>
          <w:rtl/>
          <w:lang w:val="en-CA" w:bidi="ar-EG"/>
        </w:rPr>
        <w:t xml:space="preserve"> ديسمبر </w:t>
      </w:r>
      <w:r w:rsidR="00CC3288" w:rsidRPr="00813B86">
        <w:rPr>
          <w:lang w:val="en-CA" w:bidi="ar-EG"/>
        </w:rPr>
        <w:t>2016</w:t>
      </w:r>
      <w:r w:rsidR="00CC3288" w:rsidRPr="00813B86">
        <w:rPr>
          <w:rFonts w:hint="cs"/>
          <w:rtl/>
          <w:lang w:val="en-CA" w:bidi="ar-EG"/>
        </w:rPr>
        <w:t xml:space="preserve"> </w:t>
      </w:r>
      <w:r w:rsidR="00CC3288" w:rsidRPr="00813B86">
        <w:rPr>
          <w:rtl/>
          <w:lang w:val="en-CA" w:bidi="ar-EG"/>
        </w:rPr>
        <w:t>–</w:t>
      </w:r>
      <w:r w:rsidR="00CC3288" w:rsidRPr="00813B86">
        <w:rPr>
          <w:rFonts w:hint="cs"/>
          <w:rtl/>
          <w:lang w:val="en-CA" w:bidi="ar-EG"/>
        </w:rPr>
        <w:t xml:space="preserve"> </w:t>
      </w:r>
      <w:r w:rsidR="00CC3288" w:rsidRPr="00813B86">
        <w:rPr>
          <w:lang w:val="en-CA" w:bidi="ar-EG"/>
        </w:rPr>
        <w:t>28</w:t>
      </w:r>
      <w:r w:rsidR="00CC3288" w:rsidRPr="00813B86">
        <w:rPr>
          <w:rFonts w:hint="cs"/>
          <w:rtl/>
          <w:lang w:val="en-CA" w:bidi="ar-EG"/>
        </w:rPr>
        <w:t xml:space="preserve"> فبراير </w:t>
      </w:r>
      <w:r w:rsidR="00CC3288" w:rsidRPr="00813B86">
        <w:rPr>
          <w:lang w:val="en-CA" w:bidi="ar-EG"/>
        </w:rPr>
        <w:t>2017</w:t>
      </w:r>
      <w:r w:rsidR="00CC3288" w:rsidRPr="00813B86">
        <w:rPr>
          <w:rFonts w:hint="cs"/>
          <w:rtl/>
          <w:lang w:val="en-CA" w:bidi="ar-EG"/>
        </w:rPr>
        <w:t>). وكان هناك موظف من فئة الخدمات العامة (مساعد مراجع) يعمل في الوحدة على أساس دوام كامل.</w:t>
      </w:r>
    </w:p>
    <w:p w:rsidR="00AE3D38" w:rsidRPr="00813B86" w:rsidRDefault="00AE3D38" w:rsidP="00CC3288">
      <w:pPr>
        <w:rPr>
          <w:rtl/>
        </w:rPr>
      </w:pPr>
      <w:r w:rsidRPr="00813B86">
        <w:rPr>
          <w:rtl/>
        </w:rPr>
        <w:lastRenderedPageBreak/>
        <w:t>و</w:t>
      </w:r>
      <w:r w:rsidR="00E2282A" w:rsidRPr="00813B86">
        <w:rPr>
          <w:rFonts w:hint="cs"/>
          <w:rtl/>
        </w:rPr>
        <w:t xml:space="preserve">بالتالي </w:t>
      </w:r>
      <w:r w:rsidRPr="00813B86">
        <w:rPr>
          <w:rtl/>
        </w:rPr>
        <w:t xml:space="preserve">تتألف الوحدة حالياً من ثلاثة موظفين من </w:t>
      </w:r>
      <w:r w:rsidRPr="00813B86">
        <w:rPr>
          <w:i/>
          <w:iCs/>
          <w:rtl/>
        </w:rPr>
        <w:t>الفئة الفنية</w:t>
      </w:r>
      <w:r w:rsidRPr="00813B86">
        <w:rPr>
          <w:rtl/>
        </w:rPr>
        <w:t xml:space="preserve"> وموظف </w:t>
      </w:r>
      <w:r w:rsidRPr="00813B86">
        <w:rPr>
          <w:rFonts w:hint="cs"/>
          <w:rtl/>
        </w:rPr>
        <w:t>واحد</w:t>
      </w:r>
      <w:r w:rsidRPr="00813B86">
        <w:rPr>
          <w:rtl/>
        </w:rPr>
        <w:t xml:space="preserve"> من فئة الخدمات العامة</w:t>
      </w:r>
      <w:r w:rsidRPr="00813B86">
        <w:t>.</w:t>
      </w:r>
    </w:p>
    <w:p w:rsidR="00AE3D38" w:rsidRPr="00813B86" w:rsidRDefault="00AE3D38" w:rsidP="0023700B">
      <w:pPr>
        <w:rPr>
          <w:rtl/>
        </w:rPr>
      </w:pPr>
      <w:r w:rsidRPr="00813B86">
        <w:t>3</w:t>
      </w:r>
      <w:r w:rsidRPr="00813B86">
        <w:rPr>
          <w:rtl/>
        </w:rPr>
        <w:tab/>
      </w:r>
      <w:r w:rsidR="002C777E" w:rsidRPr="00813B86">
        <w:rPr>
          <w:rFonts w:hint="cs"/>
          <w:rtl/>
        </w:rPr>
        <w:t>و</w:t>
      </w:r>
      <w:r w:rsidRPr="00813B86">
        <w:rPr>
          <w:rtl/>
        </w:rPr>
        <w:t xml:space="preserve">تؤكد وحدة المراجعة الداخلية </w:t>
      </w:r>
      <w:r w:rsidRPr="00813B86">
        <w:t>(IA)</w:t>
      </w:r>
      <w:r w:rsidRPr="00813B86">
        <w:rPr>
          <w:rtl/>
        </w:rPr>
        <w:t xml:space="preserve"> أنها تجري مراجعاتها وفقاً للمعايير الدولية للممارسة المهنية للمراجعة الداخلية ومدونة قواعد السلوك التي وضعها معهد المراجعين الداخليين</w:t>
      </w:r>
      <w:r w:rsidRPr="00813B86">
        <w:rPr>
          <w:rStyle w:val="FootnoteReference"/>
          <w:rtl/>
        </w:rPr>
        <w:footnoteReference w:id="2"/>
      </w:r>
      <w:r w:rsidRPr="00813B86">
        <w:rPr>
          <w:rtl/>
        </w:rPr>
        <w:t xml:space="preserve"> </w:t>
      </w:r>
      <w:r w:rsidRPr="00813B86">
        <w:t>(IIA)</w:t>
      </w:r>
      <w:r w:rsidRPr="00813B86">
        <w:rPr>
          <w:rtl/>
        </w:rPr>
        <w:t>، ولأحكام ميثاق المراجعة الداخلية في الاتحاد</w:t>
      </w:r>
      <w:r w:rsidR="0023700B" w:rsidRPr="00813B86">
        <w:rPr>
          <w:rFonts w:hint="cs"/>
          <w:rtl/>
        </w:rPr>
        <w:t>.</w:t>
      </w:r>
      <w:r w:rsidRPr="00813B86">
        <w:rPr>
          <w:rStyle w:val="FootnoteReference"/>
          <w:rtl/>
        </w:rPr>
        <w:footnoteReference w:id="3"/>
      </w:r>
      <w:r w:rsidRPr="00813B86">
        <w:rPr>
          <w:rtl/>
        </w:rPr>
        <w:t xml:space="preserve"> وبالإضافة إلى ذلك، تؤكد وحدة المراجعة الداخلية فيما يخص الفترة المشمولة بهذا التقرير أنه لم يكن لموظفيها أي سلطة إدارية ولم</w:t>
      </w:r>
      <w:r w:rsidRPr="00813B86">
        <w:rPr>
          <w:rFonts w:hint="cs"/>
          <w:rtl/>
        </w:rPr>
        <w:t> </w:t>
      </w:r>
      <w:r w:rsidRPr="00813B86">
        <w:rPr>
          <w:rtl/>
        </w:rPr>
        <w:t>يتولوا أي مسؤولية عن أي من الأنشطة التي جرت مراجعتها ولم يؤدوا أي وظائف محاسبية أو تشغيلية ضمن الاتحاد.</w:t>
      </w:r>
    </w:p>
    <w:p w:rsidR="00F01FEC" w:rsidRPr="00813B86" w:rsidRDefault="00F01FEC" w:rsidP="00F01FEC">
      <w:pPr>
        <w:pStyle w:val="Headingb0"/>
        <w:rPr>
          <w:rtl/>
        </w:rPr>
      </w:pPr>
      <w:r w:rsidRPr="00813B86">
        <w:rPr>
          <w:rtl/>
        </w:rPr>
        <w:t>توجُّه أنشطة المراجعة الداخلية ونطاقها</w:t>
      </w:r>
    </w:p>
    <w:p w:rsidR="0023700B" w:rsidRPr="00813B86" w:rsidRDefault="00F01FEC" w:rsidP="00C12BE1">
      <w:pPr>
        <w:rPr>
          <w:lang w:val="en-CA" w:bidi="ar-EG"/>
        </w:rPr>
      </w:pPr>
      <w:r w:rsidRPr="00813B86">
        <w:t>4</w:t>
      </w:r>
      <w:r w:rsidRPr="00813B86">
        <w:rPr>
          <w:rtl/>
        </w:rPr>
        <w:tab/>
      </w:r>
      <w:r w:rsidR="0023700B" w:rsidRPr="00813B86">
        <w:rPr>
          <w:rFonts w:hint="cs"/>
          <w:rtl/>
        </w:rPr>
        <w:t>تمشياً مع ميثاق المراجعة الداخلية، استعرضت</w:t>
      </w:r>
      <w:r w:rsidR="0023700B" w:rsidRPr="00813B86">
        <w:rPr>
          <w:rFonts w:hint="cs"/>
          <w:rtl/>
          <w:lang w:bidi="ar-EG"/>
        </w:rPr>
        <w:t xml:space="preserve"> </w:t>
      </w:r>
      <w:r w:rsidR="0023700B" w:rsidRPr="00813B86">
        <w:rPr>
          <w:rtl/>
        </w:rPr>
        <w:t>اللجنة الاستشارية المستقلة للإدارة </w:t>
      </w:r>
      <w:r w:rsidR="0023700B" w:rsidRPr="00813B86">
        <w:t>(IMAC)</w:t>
      </w:r>
      <w:r w:rsidR="003B615A">
        <w:rPr>
          <w:rFonts w:hint="cs"/>
          <w:rtl/>
        </w:rPr>
        <w:t xml:space="preserve"> </w:t>
      </w:r>
      <w:r w:rsidR="0023700B" w:rsidRPr="00813B86">
        <w:rPr>
          <w:rFonts w:hint="cs"/>
          <w:rtl/>
        </w:rPr>
        <w:t>خطة المراجعة الداخلية المقترحة لعام</w:t>
      </w:r>
      <w:r w:rsidR="00C12BE1">
        <w:rPr>
          <w:rFonts w:hint="eastAsia"/>
          <w:rtl/>
        </w:rPr>
        <w:t> </w:t>
      </w:r>
      <w:r w:rsidR="0023700B" w:rsidRPr="00813B86">
        <w:t>2016</w:t>
      </w:r>
      <w:r w:rsidR="0023700B" w:rsidRPr="00813B86">
        <w:rPr>
          <w:rFonts w:hint="cs"/>
          <w:rtl/>
          <w:lang w:bidi="ar-EG"/>
        </w:rPr>
        <w:t xml:space="preserve"> في فبراير </w:t>
      </w:r>
      <w:r w:rsidR="0023700B" w:rsidRPr="00813B86">
        <w:rPr>
          <w:lang w:val="en-CA" w:bidi="ar-EG"/>
        </w:rPr>
        <w:t>2016</w:t>
      </w:r>
      <w:r w:rsidR="0023700B" w:rsidRPr="00813B86">
        <w:rPr>
          <w:rFonts w:hint="cs"/>
          <w:rtl/>
          <w:lang w:val="en-CA" w:bidi="ar-EG"/>
        </w:rPr>
        <w:t xml:space="preserve"> ووافق عليها الأمين العام في وقت لاحق. </w:t>
      </w:r>
      <w:r w:rsidRPr="00813B86">
        <w:rPr>
          <w:rtl/>
        </w:rPr>
        <w:t>وأ</w:t>
      </w:r>
      <w:r w:rsidR="00487EBB">
        <w:rPr>
          <w:rFonts w:hint="cs"/>
          <w:rtl/>
        </w:rPr>
        <w:t>ُ</w:t>
      </w:r>
      <w:r w:rsidRPr="00813B86">
        <w:rPr>
          <w:rtl/>
        </w:rPr>
        <w:t xml:space="preserve">حيلت </w:t>
      </w:r>
      <w:r w:rsidR="0023700B" w:rsidRPr="00813B86">
        <w:rPr>
          <w:rFonts w:hint="cs"/>
          <w:rtl/>
        </w:rPr>
        <w:t xml:space="preserve">أيضاً </w:t>
      </w:r>
      <w:r w:rsidRPr="00813B86">
        <w:rPr>
          <w:rtl/>
        </w:rPr>
        <w:t xml:space="preserve">إلى المراجع الخارجي سعياً إلى النهوض </w:t>
      </w:r>
      <w:r w:rsidR="0023700B" w:rsidRPr="00813B86">
        <w:rPr>
          <w:rFonts w:hint="cs"/>
          <w:rtl/>
        </w:rPr>
        <w:t>بالكفاءة</w:t>
      </w:r>
      <w:r w:rsidRPr="00813B86">
        <w:rPr>
          <w:rtl/>
        </w:rPr>
        <w:t xml:space="preserve"> والتنسيق. وانصبَّ عمل المراجعة بصورة رئيسية على المهام المتصلة بالتزامات تأكيد صحة البيانات.</w:t>
      </w:r>
      <w:r w:rsidR="0023700B" w:rsidRPr="00813B86">
        <w:rPr>
          <w:rFonts w:hint="cs"/>
          <w:rtl/>
        </w:rPr>
        <w:t xml:space="preserve"> ولم تجر واحدة من المراجعات السبع المقررة (نتيجة للاهتمام الزائد بالموضوع من جانب فريق المهام المشترك بين القطاعات</w:t>
      </w:r>
      <w:r w:rsidR="00D172D6">
        <w:rPr>
          <w:rFonts w:hint="cs"/>
          <w:rtl/>
        </w:rPr>
        <w:t>، وتم تمديد م</w:t>
      </w:r>
      <w:r w:rsidR="001F70B8">
        <w:rPr>
          <w:rFonts w:hint="cs"/>
          <w:rtl/>
        </w:rPr>
        <w:t>راجعة أخرى إلى عام</w:t>
      </w:r>
      <w:r w:rsidR="001F70B8">
        <w:rPr>
          <w:rFonts w:hint="eastAsia"/>
          <w:rtl/>
        </w:rPr>
        <w:t> </w:t>
      </w:r>
      <w:r w:rsidR="0023700B" w:rsidRPr="00813B86">
        <w:rPr>
          <w:lang w:val="en-CA"/>
        </w:rPr>
        <w:t>2017</w:t>
      </w:r>
      <w:r w:rsidR="0023700B" w:rsidRPr="00813B86">
        <w:rPr>
          <w:rFonts w:hint="cs"/>
          <w:rtl/>
          <w:lang w:val="en-CA" w:bidi="ar-EG"/>
        </w:rPr>
        <w:t>.</w:t>
      </w:r>
    </w:p>
    <w:p w:rsidR="004E5FBD" w:rsidRPr="00813B86" w:rsidRDefault="00F01FEC" w:rsidP="00951C62">
      <w:pPr>
        <w:rPr>
          <w:rtl/>
          <w:lang w:val="en-CA" w:bidi="ar-EG"/>
        </w:rPr>
      </w:pPr>
      <w:r w:rsidRPr="00813B86">
        <w:t>5</w:t>
      </w:r>
      <w:r w:rsidRPr="00813B86">
        <w:rPr>
          <w:rtl/>
        </w:rPr>
        <w:tab/>
      </w:r>
      <w:r w:rsidR="0023700B" w:rsidRPr="00813B86">
        <w:rPr>
          <w:rFonts w:hint="cs"/>
          <w:rtl/>
        </w:rPr>
        <w:t>و</w:t>
      </w:r>
      <w:r w:rsidRPr="00813B86">
        <w:rPr>
          <w:rtl/>
        </w:rPr>
        <w:t>تقدِّم وحدة المراجعة الداخلية بانتظام نسخاً من تقارير المراجعة الداخلية إلى المراجع الخارجي لحسابات الاتحاد واللجنة الاستشارية المستقلة للإدارة </w:t>
      </w:r>
      <w:r w:rsidRPr="00813B86">
        <w:t>(IMAC)</w:t>
      </w:r>
      <w:r w:rsidRPr="00813B86">
        <w:rPr>
          <w:rtl/>
        </w:rPr>
        <w:t xml:space="preserve">. ووفقاً للمادة </w:t>
      </w:r>
      <w:r w:rsidRPr="00813B86">
        <w:t>5.29</w:t>
      </w:r>
      <w:r w:rsidRPr="00813B86">
        <w:rPr>
          <w:rtl/>
        </w:rPr>
        <w:t xml:space="preserve"> من اللوائح المالية للاتحاد، يمكن أن تتاح التقارير النهائية للمراجعة الداخلية إلى الدول الأعضاء أو ممثليها المعيَّنين.</w:t>
      </w:r>
      <w:r w:rsidR="004E5FBD" w:rsidRPr="00813B86">
        <w:rPr>
          <w:rFonts w:hint="cs"/>
          <w:rtl/>
        </w:rPr>
        <w:t xml:space="preserve"> وهناك آلية تيسير قائمة منذ أكتوبر </w:t>
      </w:r>
      <w:r w:rsidR="004E5FBD" w:rsidRPr="00813B86">
        <w:rPr>
          <w:lang w:val="en-CA"/>
        </w:rPr>
        <w:t>2015</w:t>
      </w:r>
      <w:r w:rsidR="004E5FBD" w:rsidRPr="00813B86">
        <w:rPr>
          <w:rFonts w:hint="cs"/>
          <w:rtl/>
          <w:lang w:val="en-CA" w:bidi="ar-EG"/>
        </w:rPr>
        <w:t xml:space="preserve"> للحصول على تقارير المراجعة الداخلية. وخلال الفترة المشمولة بالتقرير، تم استلام طلبين للحصول على تقارير المراجعة الداخلية عن طريق الآلية المتاحة عبر الإنترنت. وتم الرد على الطلبين، بما في ذلك رد الإدارة المتاح (بشأن الوضع الحالي لتنفيذ التوصيات). وأشادت وحدة التفتيش المشتركة</w:t>
      </w:r>
      <w:r w:rsidR="00951C62">
        <w:rPr>
          <w:rFonts w:hint="eastAsia"/>
          <w:rtl/>
          <w:lang w:val="en-CA" w:bidi="ar-EG"/>
        </w:rPr>
        <w:t> </w:t>
      </w:r>
      <w:r w:rsidR="004E5FBD" w:rsidRPr="00813B86">
        <w:rPr>
          <w:lang w:val="en-CA" w:bidi="ar-EG"/>
        </w:rPr>
        <w:t>(JIU)</w:t>
      </w:r>
      <w:r w:rsidR="004E5FBD" w:rsidRPr="00813B86">
        <w:rPr>
          <w:rFonts w:hint="cs"/>
          <w:rtl/>
          <w:lang w:val="en-CA" w:bidi="ar-EG"/>
        </w:rPr>
        <w:t xml:space="preserve"> بالاتحاد لإدراجه الرد </w:t>
      </w:r>
      <w:r w:rsidR="00210D49" w:rsidRPr="00813B86">
        <w:rPr>
          <w:rFonts w:hint="cs"/>
          <w:rtl/>
          <w:lang w:val="en-CA" w:bidi="ar-EG"/>
        </w:rPr>
        <w:t xml:space="preserve">على </w:t>
      </w:r>
      <w:r w:rsidR="004E5FBD" w:rsidRPr="00813B86">
        <w:rPr>
          <w:rFonts w:hint="cs"/>
          <w:rtl/>
          <w:lang w:val="en-CA" w:bidi="ar-EG"/>
        </w:rPr>
        <w:t>تنفي</w:t>
      </w:r>
      <w:r w:rsidR="00210D49" w:rsidRPr="00813B86">
        <w:rPr>
          <w:rFonts w:hint="cs"/>
          <w:rtl/>
          <w:lang w:val="en-CA" w:bidi="ar-EG"/>
        </w:rPr>
        <w:t>ذ</w:t>
      </w:r>
      <w:r w:rsidR="004E5FBD" w:rsidRPr="00813B86">
        <w:rPr>
          <w:rFonts w:hint="cs"/>
          <w:rtl/>
          <w:lang w:val="en-CA" w:bidi="ar-EG"/>
        </w:rPr>
        <w:t xml:space="preserve"> التوصيات </w:t>
      </w:r>
      <w:r w:rsidR="00210D49" w:rsidRPr="00813B86">
        <w:rPr>
          <w:rFonts w:hint="cs"/>
          <w:rtl/>
          <w:lang w:val="en-CA" w:bidi="ar-EG"/>
        </w:rPr>
        <w:t xml:space="preserve">ووضع التنفيذ الحالي </w:t>
      </w:r>
      <w:r w:rsidR="004E5FBD" w:rsidRPr="00813B86">
        <w:rPr>
          <w:rFonts w:hint="cs"/>
          <w:rtl/>
          <w:lang w:val="en-CA" w:bidi="ar-EG"/>
        </w:rPr>
        <w:t xml:space="preserve">في الرد على وفود الدول الأعضاء عن طريق تقديم تقارير إليها (يرجى الرجوع إلى تقرير وحدة التفتيش المشتركة </w:t>
      </w:r>
      <w:r w:rsidR="004E5FBD" w:rsidRPr="00813B86">
        <w:rPr>
          <w:lang w:val="en-CA" w:bidi="ar-EG"/>
        </w:rPr>
        <w:t>8/2016</w:t>
      </w:r>
      <w:r w:rsidR="004E5FBD" w:rsidRPr="00813B86">
        <w:rPr>
          <w:rFonts w:hint="cs"/>
          <w:rtl/>
          <w:lang w:val="en-CA" w:bidi="ar-EG"/>
        </w:rPr>
        <w:t xml:space="preserve"> </w:t>
      </w:r>
      <w:r w:rsidR="004E5FBD" w:rsidRPr="00813B86">
        <w:rPr>
          <w:rtl/>
          <w:lang w:val="en-CA" w:bidi="ar-EG"/>
        </w:rPr>
        <w:t>–</w:t>
      </w:r>
      <w:r w:rsidR="004E5FBD" w:rsidRPr="00813B86">
        <w:rPr>
          <w:rFonts w:hint="cs"/>
          <w:rtl/>
          <w:lang w:val="en-CA" w:bidi="ar-EG"/>
        </w:rPr>
        <w:t xml:space="preserve"> حالة وظيفة المراجعة الداخلية في منظومة الأمم المتحدة </w:t>
      </w:r>
      <w:r w:rsidR="004E5FBD" w:rsidRPr="00813B86">
        <w:rPr>
          <w:rtl/>
          <w:lang w:val="en-CA" w:bidi="ar-EG"/>
        </w:rPr>
        <w:t>–</w:t>
      </w:r>
      <w:r w:rsidR="004E5FBD" w:rsidRPr="00813B86">
        <w:rPr>
          <w:rFonts w:hint="cs"/>
          <w:rtl/>
          <w:lang w:val="en-CA" w:bidi="ar-EG"/>
        </w:rPr>
        <w:t xml:space="preserve"> الفقرة </w:t>
      </w:r>
      <w:r w:rsidR="004E5FBD" w:rsidRPr="00813B86">
        <w:rPr>
          <w:lang w:val="en-CA" w:bidi="ar-EG"/>
        </w:rPr>
        <w:t>197</w:t>
      </w:r>
      <w:r w:rsidR="004E5FBD" w:rsidRPr="00813B86">
        <w:rPr>
          <w:rFonts w:hint="cs"/>
          <w:rtl/>
          <w:lang w:val="en-CA" w:bidi="ar-EG"/>
        </w:rPr>
        <w:t>).</w:t>
      </w:r>
    </w:p>
    <w:p w:rsidR="00F01FEC" w:rsidRPr="00813B86" w:rsidRDefault="00F01FEC" w:rsidP="003B615A">
      <w:pPr>
        <w:pStyle w:val="Headingb0"/>
        <w:rPr>
          <w:rtl/>
        </w:rPr>
      </w:pPr>
      <w:r w:rsidRPr="00813B86">
        <w:rPr>
          <w:rtl/>
        </w:rPr>
        <w:t>أهداف المهمات المتصلة بالتزامات تأكيد صحة ال</w:t>
      </w:r>
      <w:r w:rsidR="00CA4B0E">
        <w:rPr>
          <w:rtl/>
        </w:rPr>
        <w:t>بيانات والنتائج التي خلصت إليها</w:t>
      </w:r>
    </w:p>
    <w:p w:rsidR="00F01FEC" w:rsidRPr="00813B86" w:rsidRDefault="00F01FEC" w:rsidP="00F54A38">
      <w:pPr>
        <w:rPr>
          <w:rtl/>
        </w:rPr>
      </w:pPr>
      <w:r w:rsidRPr="00813B86">
        <w:t>6</w:t>
      </w:r>
      <w:r w:rsidRPr="00813B86">
        <w:rPr>
          <w:rtl/>
        </w:rPr>
        <w:tab/>
        <w:t>تتمثل أهداف المهمات المتصلة بالتزامات تأكيد صحة البيانات في تقييم ما يلي: ’</w:t>
      </w:r>
      <w:r w:rsidRPr="00813B86">
        <w:t>1</w:t>
      </w:r>
      <w:r w:rsidRPr="00813B86">
        <w:rPr>
          <w:rtl/>
        </w:rPr>
        <w:t>‘</w:t>
      </w:r>
      <w:r w:rsidRPr="00813B86">
        <w:rPr>
          <w:rFonts w:hint="eastAsia"/>
          <w:rtl/>
        </w:rPr>
        <w:t> </w:t>
      </w:r>
      <w:r w:rsidRPr="00813B86">
        <w:rPr>
          <w:rtl/>
        </w:rPr>
        <w:t xml:space="preserve">جوانب </w:t>
      </w:r>
      <w:r w:rsidR="00F54A38">
        <w:rPr>
          <w:rFonts w:hint="cs"/>
          <w:rtl/>
        </w:rPr>
        <w:t>الإدارة</w:t>
      </w:r>
      <w:r w:rsidR="00AE221B">
        <w:rPr>
          <w:rFonts w:hint="cs"/>
          <w:rtl/>
        </w:rPr>
        <w:t xml:space="preserve"> في</w:t>
      </w:r>
      <w:r w:rsidR="00AE221B">
        <w:rPr>
          <w:rFonts w:hint="eastAsia"/>
          <w:rtl/>
        </w:rPr>
        <w:t> </w:t>
      </w:r>
      <w:r w:rsidRPr="00813B86">
        <w:rPr>
          <w:rtl/>
        </w:rPr>
        <w:t>عمليات الاتحاد التي جرت مراجعتها</w:t>
      </w:r>
      <w:r w:rsidR="00210D49" w:rsidRPr="00813B86">
        <w:rPr>
          <w:rFonts w:hint="cs"/>
          <w:rtl/>
        </w:rPr>
        <w:t>؛</w:t>
      </w:r>
      <w:r w:rsidRPr="00813B86">
        <w:rPr>
          <w:rtl/>
        </w:rPr>
        <w:t xml:space="preserve"> ’</w:t>
      </w:r>
      <w:r w:rsidRPr="00813B86">
        <w:t>2</w:t>
      </w:r>
      <w:r w:rsidRPr="00813B86">
        <w:rPr>
          <w:rtl/>
        </w:rPr>
        <w:t>‘</w:t>
      </w:r>
      <w:r w:rsidRPr="00813B86">
        <w:rPr>
          <w:rFonts w:hint="eastAsia"/>
          <w:rtl/>
        </w:rPr>
        <w:t> </w:t>
      </w:r>
      <w:r w:rsidRPr="00813B86">
        <w:rPr>
          <w:rtl/>
        </w:rPr>
        <w:t>ممارسات إدارة المخاطر</w:t>
      </w:r>
      <w:r w:rsidR="00210D49" w:rsidRPr="00813B86">
        <w:rPr>
          <w:rFonts w:hint="cs"/>
          <w:rtl/>
        </w:rPr>
        <w:t>؛</w:t>
      </w:r>
      <w:r w:rsidRPr="00813B86">
        <w:rPr>
          <w:rtl/>
        </w:rPr>
        <w:t xml:space="preserve"> ’</w:t>
      </w:r>
      <w:r w:rsidRPr="00813B86">
        <w:t>3</w:t>
      </w:r>
      <w:r w:rsidRPr="00813B86">
        <w:rPr>
          <w:rtl/>
        </w:rPr>
        <w:t>‘</w:t>
      </w:r>
      <w:r w:rsidRPr="00813B86">
        <w:rPr>
          <w:rFonts w:hint="eastAsia"/>
          <w:rtl/>
        </w:rPr>
        <w:t> </w:t>
      </w:r>
      <w:r w:rsidRPr="00813B86">
        <w:rPr>
          <w:rtl/>
        </w:rPr>
        <w:t>فعالية الضوابط (الداخلية). وتصنَّف التوصيات الناتجة عن أعمال المراجعة من حيث الأولوية بحسب أثر القصور المعني واحتماله (حاسمة الأهمية، كبيرة الأهمية، متوسطة الأهمية، متدنية الأهمية).</w:t>
      </w:r>
    </w:p>
    <w:p w:rsidR="00F01FEC" w:rsidRPr="00813B86" w:rsidRDefault="00464E72" w:rsidP="001C4CBA">
      <w:pPr>
        <w:rPr>
          <w:rtl/>
        </w:rPr>
      </w:pPr>
      <w:r w:rsidRPr="00813B86">
        <w:rPr>
          <w:rFonts w:hint="cs"/>
          <w:rtl/>
        </w:rPr>
        <w:t>واستناداً إلى مختلف</w:t>
      </w:r>
      <w:r w:rsidRPr="00813B86">
        <w:rPr>
          <w:rtl/>
        </w:rPr>
        <w:t xml:space="preserve"> المهمات المتصلة بالتزامات تأكيد صحة البيانات</w:t>
      </w:r>
      <w:r w:rsidRPr="00813B86">
        <w:rPr>
          <w:rFonts w:hint="cs"/>
          <w:rtl/>
        </w:rPr>
        <w:t xml:space="preserve"> المضطلع بها، خلصت وحدة المراجعة الداخلية عموماً إلى </w:t>
      </w:r>
      <w:r w:rsidR="00FB0BC4" w:rsidRPr="00813B86">
        <w:rPr>
          <w:rFonts w:hint="cs"/>
          <w:rtl/>
        </w:rPr>
        <w:t xml:space="preserve">أن </w:t>
      </w:r>
      <w:r w:rsidRPr="00813B86">
        <w:rPr>
          <w:rFonts w:hint="cs"/>
          <w:rtl/>
        </w:rPr>
        <w:t xml:space="preserve">المعاملات والعمليات ممتثلة للإجراءات والممارسات المعمول بها. غير أنه في بعض الحالات، لا </w:t>
      </w:r>
      <w:r w:rsidR="00FB0BC4" w:rsidRPr="00813B86">
        <w:rPr>
          <w:rFonts w:hint="cs"/>
          <w:rtl/>
        </w:rPr>
        <w:t>ت</w:t>
      </w:r>
      <w:r w:rsidRPr="00813B86">
        <w:rPr>
          <w:rFonts w:hint="cs"/>
          <w:rtl/>
        </w:rPr>
        <w:t xml:space="preserve">كون </w:t>
      </w:r>
      <w:r w:rsidR="001C4CBA">
        <w:rPr>
          <w:rFonts w:hint="cs"/>
          <w:rtl/>
        </w:rPr>
        <w:t>الإدارة</w:t>
      </w:r>
      <w:r w:rsidRPr="00813B86">
        <w:rPr>
          <w:rFonts w:hint="cs"/>
          <w:rtl/>
        </w:rPr>
        <w:t xml:space="preserve"> وعمليات إدارة المخاطر والضوابط الداخلية مناسبة وفع</w:t>
      </w:r>
      <w:r w:rsidR="00350622">
        <w:rPr>
          <w:rFonts w:hint="cs"/>
          <w:rtl/>
          <w:lang w:bidi="ar-EG"/>
        </w:rPr>
        <w:t>ّ</w:t>
      </w:r>
      <w:proofErr w:type="spellStart"/>
      <w:r w:rsidRPr="00813B86">
        <w:rPr>
          <w:rFonts w:hint="cs"/>
          <w:rtl/>
        </w:rPr>
        <w:t>الة</w:t>
      </w:r>
      <w:proofErr w:type="spellEnd"/>
      <w:r w:rsidRPr="00813B86">
        <w:rPr>
          <w:rFonts w:hint="cs"/>
          <w:rtl/>
        </w:rPr>
        <w:t xml:space="preserve"> بما في الكفاية. وبالنسبة إلى بعض المراجعات، ستسمح التحسينات في هذه المجالات لوحدة المراجعة الداخلية بتزويد الأمين العام </w:t>
      </w:r>
      <w:r w:rsidR="001C4CBA">
        <w:rPr>
          <w:rFonts w:hint="cs"/>
          <w:rtl/>
        </w:rPr>
        <w:t>ب</w:t>
      </w:r>
      <w:r w:rsidR="00D12DF7" w:rsidRPr="00813B86">
        <w:rPr>
          <w:rFonts w:hint="cs"/>
          <w:rtl/>
        </w:rPr>
        <w:t>تأكيدات</w:t>
      </w:r>
      <w:r w:rsidRPr="00813B86">
        <w:rPr>
          <w:rFonts w:hint="cs"/>
          <w:rtl/>
        </w:rPr>
        <w:t xml:space="preserve"> </w:t>
      </w:r>
      <w:r w:rsidR="00BC2D37" w:rsidRPr="00813B86">
        <w:rPr>
          <w:rFonts w:hint="cs"/>
          <w:rtl/>
        </w:rPr>
        <w:t>معقولة</w:t>
      </w:r>
      <w:r w:rsidRPr="00813B86">
        <w:rPr>
          <w:rFonts w:hint="cs"/>
          <w:rtl/>
        </w:rPr>
        <w:t xml:space="preserve"> </w:t>
      </w:r>
      <w:r w:rsidR="00D12DF7" w:rsidRPr="00813B86">
        <w:rPr>
          <w:rFonts w:hint="cs"/>
          <w:rtl/>
        </w:rPr>
        <w:t>تفيد ب</w:t>
      </w:r>
      <w:r w:rsidRPr="00813B86">
        <w:rPr>
          <w:rFonts w:hint="cs"/>
          <w:rtl/>
        </w:rPr>
        <w:t xml:space="preserve">أن هناك </w:t>
      </w:r>
      <w:r w:rsidR="001C4CBA">
        <w:rPr>
          <w:rFonts w:hint="cs"/>
          <w:rtl/>
        </w:rPr>
        <w:t>إدارة</w:t>
      </w:r>
      <w:r w:rsidRPr="00813B86">
        <w:rPr>
          <w:rFonts w:hint="cs"/>
          <w:rtl/>
        </w:rPr>
        <w:t xml:space="preserve"> وإدارة للمخاطر كافيتين</w:t>
      </w:r>
      <w:r w:rsidR="00FB0BC4" w:rsidRPr="00813B86">
        <w:rPr>
          <w:rFonts w:hint="cs"/>
          <w:rtl/>
        </w:rPr>
        <w:t xml:space="preserve"> وأن الضوابط فع</w:t>
      </w:r>
      <w:r w:rsidR="00370F37">
        <w:rPr>
          <w:rFonts w:hint="cs"/>
          <w:rtl/>
        </w:rPr>
        <w:t>ّ</w:t>
      </w:r>
      <w:r w:rsidR="00FB0BC4" w:rsidRPr="00813B86">
        <w:rPr>
          <w:rFonts w:hint="cs"/>
          <w:rtl/>
        </w:rPr>
        <w:t>الة</w:t>
      </w:r>
      <w:r w:rsidRPr="00813B86">
        <w:rPr>
          <w:rFonts w:hint="cs"/>
          <w:rtl/>
        </w:rPr>
        <w:t>.</w:t>
      </w:r>
      <w:r w:rsidR="00F01FEC" w:rsidRPr="00813B86">
        <w:rPr>
          <w:rtl/>
        </w:rPr>
        <w:t xml:space="preserve"> وتُتخذ بدعم من الأمين العام تدابير لتنفيذ التوصيات التي قدِّمت إلى الإدارة، ما سيزيد من تعزيز قدرة الاتحاد على النهوض بالمهام المنوطة به في إطار</w:t>
      </w:r>
      <w:r w:rsidR="00F01FEC" w:rsidRPr="00813B86">
        <w:rPr>
          <w:rFonts w:hint="cs"/>
          <w:rtl/>
        </w:rPr>
        <w:t> </w:t>
      </w:r>
      <w:r w:rsidR="00370F37">
        <w:rPr>
          <w:rtl/>
        </w:rPr>
        <w:t>ولايته.</w:t>
      </w:r>
    </w:p>
    <w:p w:rsidR="00931F25" w:rsidRPr="00813B86" w:rsidRDefault="00931F25" w:rsidP="00051750">
      <w:pPr>
        <w:rPr>
          <w:rtl/>
          <w:lang w:bidi="ar-EG"/>
        </w:rPr>
      </w:pPr>
      <w:r w:rsidRPr="00813B86">
        <w:t>7</w:t>
      </w:r>
      <w:r w:rsidRPr="00813B86">
        <w:rPr>
          <w:rtl/>
        </w:rPr>
        <w:tab/>
      </w:r>
      <w:r w:rsidR="00051750" w:rsidRPr="00813B86">
        <w:rPr>
          <w:rFonts w:hint="cs"/>
          <w:rtl/>
          <w:lang w:bidi="ar-EG"/>
        </w:rPr>
        <w:t>و</w:t>
      </w:r>
      <w:r w:rsidRPr="00813B86">
        <w:rPr>
          <w:rFonts w:hint="cs"/>
          <w:rtl/>
        </w:rPr>
        <w:t>تتابع وحدة المراجعة الداخلية</w:t>
      </w:r>
      <w:r w:rsidRPr="00813B86">
        <w:rPr>
          <w:rtl/>
        </w:rPr>
        <w:t xml:space="preserve"> تنفيذ </w:t>
      </w:r>
      <w:r w:rsidR="00051750" w:rsidRPr="00813B86">
        <w:rPr>
          <w:rFonts w:hint="cs"/>
          <w:rtl/>
        </w:rPr>
        <w:t>الإجراءات</w:t>
      </w:r>
      <w:r w:rsidRPr="00813B86">
        <w:rPr>
          <w:rtl/>
        </w:rPr>
        <w:t xml:space="preserve"> الموصى بها، وذلك بحسب الاقتضاء وعند الاقتضاء (انظر أيضاً الفقرة المتعلقة بمتابعة التنفيذ الواردة في هذا التقرير).</w:t>
      </w:r>
    </w:p>
    <w:p w:rsidR="00931F25" w:rsidRPr="00813B86" w:rsidRDefault="00931F25" w:rsidP="00931F25">
      <w:pPr>
        <w:keepNext/>
        <w:spacing w:before="240"/>
        <w:rPr>
          <w:i/>
          <w:iCs/>
          <w:rtl/>
        </w:rPr>
      </w:pPr>
      <w:r w:rsidRPr="00813B86">
        <w:rPr>
          <w:i/>
          <w:iCs/>
          <w:rtl/>
        </w:rPr>
        <w:lastRenderedPageBreak/>
        <w:t>وقد نُفِّذ ما يلي من المهمات المتصلة بالتزامات تأكيد صحة البيانات:</w:t>
      </w:r>
    </w:p>
    <w:p w:rsidR="00931F25" w:rsidRPr="00813B86" w:rsidRDefault="00931F25" w:rsidP="006C22DD">
      <w:pPr>
        <w:pStyle w:val="Headingb0"/>
        <w:rPr>
          <w:rtl/>
        </w:rPr>
      </w:pPr>
      <w:r w:rsidRPr="006C22DD">
        <w:rPr>
          <w:rtl/>
        </w:rPr>
        <w:t>ألف</w:t>
      </w:r>
      <w:r w:rsidRPr="006C22DD">
        <w:rPr>
          <w:rFonts w:hint="cs"/>
          <w:rtl/>
        </w:rPr>
        <w:t xml:space="preserve"> </w:t>
      </w:r>
      <w:r w:rsidRPr="006C22DD">
        <w:rPr>
          <w:rtl/>
        </w:rPr>
        <w:t>-</w:t>
      </w:r>
      <w:r w:rsidRPr="006C22DD">
        <w:rPr>
          <w:rtl/>
        </w:rPr>
        <w:tab/>
      </w:r>
      <w:r w:rsidR="00051750" w:rsidRPr="006C22DD">
        <w:rPr>
          <w:rFonts w:hint="cs"/>
          <w:rtl/>
        </w:rPr>
        <w:t>مراجعة استعمال الورق داخلياً في الأمانة</w:t>
      </w:r>
    </w:p>
    <w:p w:rsidR="00051750" w:rsidRPr="00813B86" w:rsidRDefault="00931F25" w:rsidP="00CC67CF">
      <w:pPr>
        <w:rPr>
          <w:rtl/>
          <w:lang w:val="en-CA" w:bidi="ar-EG"/>
        </w:rPr>
      </w:pPr>
      <w:r w:rsidRPr="00813B86">
        <w:t>8</w:t>
      </w:r>
      <w:r w:rsidRPr="00813B86">
        <w:rPr>
          <w:rtl/>
        </w:rPr>
        <w:tab/>
      </w:r>
      <w:r w:rsidR="00051750" w:rsidRPr="00813B86">
        <w:rPr>
          <w:rFonts w:hint="cs"/>
          <w:rtl/>
        </w:rPr>
        <w:t>الغرض الرئيسي من هذه المراجعة هو تقييم استعمال الورق داخلياً في الأمان</w:t>
      </w:r>
      <w:r w:rsidR="00527EA2" w:rsidRPr="00813B86">
        <w:rPr>
          <w:rFonts w:hint="cs"/>
          <w:rtl/>
        </w:rPr>
        <w:t>ة</w:t>
      </w:r>
      <w:r w:rsidR="00051750" w:rsidRPr="00813B86">
        <w:rPr>
          <w:rFonts w:hint="cs"/>
          <w:rtl/>
        </w:rPr>
        <w:t xml:space="preserve"> وضمان </w:t>
      </w:r>
      <w:r w:rsidR="00527EA2" w:rsidRPr="00813B86">
        <w:rPr>
          <w:rFonts w:hint="cs"/>
          <w:rtl/>
        </w:rPr>
        <w:t xml:space="preserve">تخفيض الاستعمال إلى مستوى مقبول. وتبلغ تكاليف شراء الورق ما يقرب من </w:t>
      </w:r>
      <w:r w:rsidR="00527EA2" w:rsidRPr="00813B86">
        <w:t>36 000</w:t>
      </w:r>
      <w:r w:rsidR="00527EA2" w:rsidRPr="00813B86">
        <w:rPr>
          <w:rFonts w:hint="cs"/>
          <w:rtl/>
          <w:lang w:bidi="ar-EG"/>
        </w:rPr>
        <w:t xml:space="preserve"> فرنك سويسري في المتوسط</w:t>
      </w:r>
      <w:r w:rsidR="00CC67CF">
        <w:rPr>
          <w:rFonts w:hint="cs"/>
          <w:rtl/>
          <w:lang w:bidi="ar-EG"/>
        </w:rPr>
        <w:t xml:space="preserve"> في السنة</w:t>
      </w:r>
      <w:r w:rsidR="00527EA2" w:rsidRPr="00813B86">
        <w:rPr>
          <w:rFonts w:hint="cs"/>
          <w:rtl/>
          <w:lang w:bidi="ar-EG"/>
        </w:rPr>
        <w:t xml:space="preserve"> للفترة قيد المراجعة (يناير</w:t>
      </w:r>
      <w:r w:rsidR="00CC67CF">
        <w:rPr>
          <w:rFonts w:hint="eastAsia"/>
          <w:rtl/>
          <w:lang w:bidi="ar-EG"/>
        </w:rPr>
        <w:t> </w:t>
      </w:r>
      <w:r w:rsidR="00527EA2" w:rsidRPr="00813B86">
        <w:rPr>
          <w:lang w:val="en-CA" w:bidi="ar-EG"/>
        </w:rPr>
        <w:t>2010</w:t>
      </w:r>
      <w:r w:rsidR="003B615A">
        <w:rPr>
          <w:rFonts w:hint="cs"/>
          <w:rtl/>
          <w:lang w:val="en-CA" w:bidi="ar-EG"/>
        </w:rPr>
        <w:t xml:space="preserve"> إلى ديسمبر</w:t>
      </w:r>
      <w:r w:rsidR="003B615A">
        <w:rPr>
          <w:rFonts w:hint="eastAsia"/>
          <w:rtl/>
          <w:lang w:val="en-CA" w:bidi="ar-EG"/>
        </w:rPr>
        <w:t> </w:t>
      </w:r>
      <w:r w:rsidR="00527EA2" w:rsidRPr="00813B86">
        <w:rPr>
          <w:lang w:val="en-CA" w:bidi="ar-EG"/>
        </w:rPr>
        <w:t>2015</w:t>
      </w:r>
      <w:r w:rsidR="00527EA2" w:rsidRPr="00813B86">
        <w:rPr>
          <w:rFonts w:hint="cs"/>
          <w:rtl/>
          <w:lang w:val="en-CA" w:bidi="ar-EG"/>
        </w:rPr>
        <w:t>)</w:t>
      </w:r>
      <w:r w:rsidR="00A52F12" w:rsidRPr="00813B86">
        <w:rPr>
          <w:rFonts w:hint="cs"/>
          <w:rtl/>
          <w:lang w:val="en-CA" w:bidi="ar-EG"/>
        </w:rPr>
        <w:t>، ويستعمل</w:t>
      </w:r>
      <w:r w:rsidR="00451387">
        <w:rPr>
          <w:rFonts w:hint="cs"/>
          <w:rtl/>
          <w:lang w:val="en-CA" w:bidi="ar-EG"/>
        </w:rPr>
        <w:t xml:space="preserve"> ما يقرب من</w:t>
      </w:r>
      <w:r w:rsidR="00A52F12" w:rsidRPr="00813B86">
        <w:rPr>
          <w:rFonts w:hint="cs"/>
          <w:rtl/>
          <w:lang w:val="en-CA" w:bidi="ar-EG"/>
        </w:rPr>
        <w:t xml:space="preserve"> ثلث الورق لاستنساخ المنشورات و</w:t>
      </w:r>
      <w:r w:rsidR="00BC2D37" w:rsidRPr="00813B86">
        <w:rPr>
          <w:rFonts w:hint="cs"/>
          <w:rtl/>
          <w:lang w:val="en-CA" w:bidi="ar-EG"/>
        </w:rPr>
        <w:t xml:space="preserve">/أو </w:t>
      </w:r>
      <w:r w:rsidR="00A52F12" w:rsidRPr="00813B86">
        <w:rPr>
          <w:rFonts w:hint="cs"/>
          <w:rtl/>
          <w:lang w:val="en-CA" w:bidi="ar-EG"/>
        </w:rPr>
        <w:t>وثائق الأحداث</w:t>
      </w:r>
      <w:r w:rsidR="00BC2D37" w:rsidRPr="00813B86">
        <w:rPr>
          <w:rFonts w:hint="cs"/>
          <w:rtl/>
          <w:lang w:val="en-CA" w:bidi="ar-EG"/>
        </w:rPr>
        <w:t>/</w:t>
      </w:r>
      <w:r w:rsidR="00FB0BC4" w:rsidRPr="00813B86">
        <w:rPr>
          <w:rFonts w:hint="cs"/>
          <w:rtl/>
          <w:lang w:val="en-CA" w:bidi="ar-EG"/>
        </w:rPr>
        <w:t>المؤتمرات</w:t>
      </w:r>
      <w:r w:rsidR="00A52F12" w:rsidRPr="00813B86">
        <w:rPr>
          <w:rFonts w:hint="cs"/>
          <w:rtl/>
          <w:lang w:val="en-CA" w:bidi="ar-EG"/>
        </w:rPr>
        <w:t>.</w:t>
      </w:r>
    </w:p>
    <w:p w:rsidR="001641C7" w:rsidRPr="00813B86" w:rsidRDefault="00931F25" w:rsidP="00122A5E">
      <w:pPr>
        <w:rPr>
          <w:rtl/>
        </w:rPr>
      </w:pPr>
      <w:r w:rsidRPr="00813B86">
        <w:t>9</w:t>
      </w:r>
      <w:r w:rsidRPr="00813B86">
        <w:rPr>
          <w:rtl/>
        </w:rPr>
        <w:tab/>
      </w:r>
      <w:r w:rsidR="00A52F12" w:rsidRPr="00813B86">
        <w:rPr>
          <w:rtl/>
        </w:rPr>
        <w:t>وخ</w:t>
      </w:r>
      <w:r w:rsidR="00A52F12" w:rsidRPr="00813B86">
        <w:rPr>
          <w:rFonts w:hint="cs"/>
          <w:rtl/>
        </w:rPr>
        <w:t>ُ</w:t>
      </w:r>
      <w:r w:rsidR="00A52F12" w:rsidRPr="00813B86">
        <w:rPr>
          <w:rtl/>
        </w:rPr>
        <w:t>لص</w:t>
      </w:r>
      <w:r w:rsidR="00A52F12" w:rsidRPr="00813B86">
        <w:rPr>
          <w:rFonts w:hint="cs"/>
          <w:rtl/>
        </w:rPr>
        <w:t xml:space="preserve"> </w:t>
      </w:r>
      <w:r w:rsidR="00A52F12" w:rsidRPr="00813B86">
        <w:rPr>
          <w:rtl/>
        </w:rPr>
        <w:t xml:space="preserve">إلى أنه يمكن تحديد استهلاك الورق من خلال مصادر مختلفة، </w:t>
      </w:r>
      <w:r w:rsidR="00A52F12" w:rsidRPr="00813B86">
        <w:rPr>
          <w:rFonts w:hint="cs"/>
          <w:rtl/>
        </w:rPr>
        <w:t>و</w:t>
      </w:r>
      <w:r w:rsidR="00A52F12" w:rsidRPr="00813B86">
        <w:rPr>
          <w:rtl/>
        </w:rPr>
        <w:t xml:space="preserve">لوحظ انخفاض كبير في </w:t>
      </w:r>
      <w:r w:rsidR="00A52F12" w:rsidRPr="00813B86">
        <w:rPr>
          <w:rFonts w:hint="cs"/>
          <w:rtl/>
        </w:rPr>
        <w:t xml:space="preserve">استهلاك </w:t>
      </w:r>
      <w:r w:rsidR="003B615A">
        <w:rPr>
          <w:rtl/>
        </w:rPr>
        <w:t>الورق على مر</w:t>
      </w:r>
      <w:r w:rsidR="003B615A">
        <w:rPr>
          <w:rFonts w:hint="cs"/>
          <w:rtl/>
        </w:rPr>
        <w:t> </w:t>
      </w:r>
      <w:r w:rsidR="00A52F12" w:rsidRPr="00813B86">
        <w:rPr>
          <w:rtl/>
        </w:rPr>
        <w:t xml:space="preserve">السنين. ولاحظت </w:t>
      </w:r>
      <w:r w:rsidR="00A52F12" w:rsidRPr="00813B86">
        <w:rPr>
          <w:rFonts w:hint="cs"/>
          <w:rtl/>
        </w:rPr>
        <w:t>وحدة المراجعة الداخلية</w:t>
      </w:r>
      <w:r w:rsidR="00A52F12" w:rsidRPr="00813B86">
        <w:rPr>
          <w:rtl/>
        </w:rPr>
        <w:t xml:space="preserve"> أيضا</w:t>
      </w:r>
      <w:r w:rsidR="00A52F12" w:rsidRPr="00813B86">
        <w:rPr>
          <w:rFonts w:hint="cs"/>
          <w:rtl/>
        </w:rPr>
        <w:t>ً</w:t>
      </w:r>
      <w:r w:rsidR="00A52F12" w:rsidRPr="00813B86">
        <w:rPr>
          <w:rtl/>
        </w:rPr>
        <w:t xml:space="preserve"> أن مبادرات مثل التصويت الإلكتروني، والأرشفة الإلكترونية، والوثائق الإلكترونية للمؤتمرات</w:t>
      </w:r>
      <w:r w:rsidR="00A52F12" w:rsidRPr="00813B86">
        <w:rPr>
          <w:rFonts w:hint="cs"/>
          <w:rtl/>
        </w:rPr>
        <w:t>/الأحداث</w:t>
      </w:r>
      <w:r w:rsidR="00A52F12" w:rsidRPr="00813B86">
        <w:rPr>
          <w:rtl/>
        </w:rPr>
        <w:t xml:space="preserve"> هي خطوات نحو </w:t>
      </w:r>
      <w:r w:rsidR="00A52F12" w:rsidRPr="00813B86">
        <w:rPr>
          <w:rFonts w:hint="cs"/>
          <w:rtl/>
        </w:rPr>
        <w:t>استعمال</w:t>
      </w:r>
      <w:r w:rsidR="00A52F12" w:rsidRPr="00813B86">
        <w:rPr>
          <w:rtl/>
        </w:rPr>
        <w:t xml:space="preserve"> اقتصادي وإيكولوجي للموارد. وخ</w:t>
      </w:r>
      <w:r w:rsidR="00A52F12" w:rsidRPr="00813B86">
        <w:rPr>
          <w:rFonts w:hint="cs"/>
          <w:rtl/>
        </w:rPr>
        <w:t>ُ</w:t>
      </w:r>
      <w:r w:rsidR="00A52F12" w:rsidRPr="00813B86">
        <w:rPr>
          <w:rtl/>
        </w:rPr>
        <w:t>لص أيضا</w:t>
      </w:r>
      <w:r w:rsidR="00A52F12" w:rsidRPr="00813B86">
        <w:rPr>
          <w:rFonts w:hint="cs"/>
          <w:rtl/>
        </w:rPr>
        <w:t>ً</w:t>
      </w:r>
      <w:r w:rsidR="00A52F12" w:rsidRPr="00813B86">
        <w:rPr>
          <w:rtl/>
        </w:rPr>
        <w:t xml:space="preserve"> إلى أن أدوات رصد استهلاك الورق داخليا</w:t>
      </w:r>
      <w:r w:rsidR="00A52F12" w:rsidRPr="00813B86">
        <w:rPr>
          <w:rFonts w:hint="cs"/>
          <w:rtl/>
        </w:rPr>
        <w:t>ً</w:t>
      </w:r>
      <w:r w:rsidR="00A52F12" w:rsidRPr="00813B86">
        <w:rPr>
          <w:rtl/>
        </w:rPr>
        <w:t xml:space="preserve"> في الأمانة ليست بالأمثل، ولا يوجد توجيه كاف للموظفين لزيادة الوعي ب</w:t>
      </w:r>
      <w:r w:rsidR="001641C7" w:rsidRPr="00813B86">
        <w:rPr>
          <w:rFonts w:hint="cs"/>
          <w:rtl/>
        </w:rPr>
        <w:t>ال</w:t>
      </w:r>
      <w:r w:rsidR="00A52F12" w:rsidRPr="00813B86">
        <w:rPr>
          <w:rtl/>
        </w:rPr>
        <w:t xml:space="preserve">بيئة غير </w:t>
      </w:r>
      <w:r w:rsidR="001641C7" w:rsidRPr="00813B86">
        <w:rPr>
          <w:rFonts w:hint="cs"/>
          <w:rtl/>
        </w:rPr>
        <w:t>ال</w:t>
      </w:r>
      <w:r w:rsidR="00A52F12" w:rsidRPr="00813B86">
        <w:rPr>
          <w:rtl/>
        </w:rPr>
        <w:t>ورقية. و</w:t>
      </w:r>
      <w:r w:rsidR="00793A5A">
        <w:rPr>
          <w:rtl/>
        </w:rPr>
        <w:t>ينبغي أن تنظر الإدارة العليا في</w:t>
      </w:r>
      <w:r w:rsidR="00793A5A">
        <w:rPr>
          <w:rFonts w:hint="cs"/>
          <w:rtl/>
        </w:rPr>
        <w:t> </w:t>
      </w:r>
      <w:r w:rsidR="001641C7" w:rsidRPr="00813B86">
        <w:rPr>
          <w:rFonts w:hint="cs"/>
          <w:rtl/>
        </w:rPr>
        <w:t xml:space="preserve">توجيه </w:t>
      </w:r>
      <w:r w:rsidR="00A52F12" w:rsidRPr="00813B86">
        <w:rPr>
          <w:rtl/>
        </w:rPr>
        <w:t xml:space="preserve">رسالة إلى جميع الموظفين لتعزيز التزام الاتحاد بالإدارة </w:t>
      </w:r>
      <w:r w:rsidR="00122A5E">
        <w:rPr>
          <w:rFonts w:hint="cs"/>
          <w:rtl/>
        </w:rPr>
        <w:t>الذكية</w:t>
      </w:r>
      <w:r w:rsidR="00A52F12" w:rsidRPr="00813B86">
        <w:rPr>
          <w:rtl/>
        </w:rPr>
        <w:t xml:space="preserve"> للورق. وكملاحظة جان</w:t>
      </w:r>
      <w:r w:rsidR="003B615A">
        <w:rPr>
          <w:rtl/>
        </w:rPr>
        <w:t>بية أثناء المراجعة، لوحظ نقص في</w:t>
      </w:r>
      <w:r w:rsidR="003B615A">
        <w:rPr>
          <w:rFonts w:hint="cs"/>
          <w:rtl/>
        </w:rPr>
        <w:t> </w:t>
      </w:r>
      <w:r w:rsidR="00A52F12" w:rsidRPr="00813B86">
        <w:rPr>
          <w:rtl/>
        </w:rPr>
        <w:t>التنسيق بين مختلف الخدمات المعنية؛ و</w:t>
      </w:r>
      <w:r w:rsidR="001641C7" w:rsidRPr="00813B86">
        <w:rPr>
          <w:rFonts w:hint="cs"/>
          <w:rtl/>
        </w:rPr>
        <w:t>يمكن أن</w:t>
      </w:r>
      <w:r w:rsidR="00A52F12" w:rsidRPr="00813B86">
        <w:rPr>
          <w:rtl/>
        </w:rPr>
        <w:t xml:space="preserve"> يؤدي </w:t>
      </w:r>
      <w:r w:rsidR="001641C7" w:rsidRPr="00813B86">
        <w:rPr>
          <w:rFonts w:hint="cs"/>
          <w:rtl/>
        </w:rPr>
        <w:t xml:space="preserve">ذلك </w:t>
      </w:r>
      <w:r w:rsidR="00A52F12" w:rsidRPr="00813B86">
        <w:rPr>
          <w:rtl/>
        </w:rPr>
        <w:t xml:space="preserve">إلى </w:t>
      </w:r>
      <w:r w:rsidR="001641C7" w:rsidRPr="00813B86">
        <w:rPr>
          <w:rFonts w:hint="cs"/>
          <w:rtl/>
        </w:rPr>
        <w:t xml:space="preserve">شراء كميات غير </w:t>
      </w:r>
      <w:r w:rsidR="00BC2D37" w:rsidRPr="00813B86">
        <w:rPr>
          <w:rFonts w:hint="cs"/>
          <w:rtl/>
        </w:rPr>
        <w:t>سليم</w:t>
      </w:r>
      <w:r w:rsidR="00ED65CB">
        <w:rPr>
          <w:rFonts w:hint="cs"/>
          <w:rtl/>
        </w:rPr>
        <w:t>ة</w:t>
      </w:r>
      <w:r w:rsidR="00A52F12" w:rsidRPr="00813B86">
        <w:rPr>
          <w:rtl/>
        </w:rPr>
        <w:t xml:space="preserve"> من حبر الطباعة وبالتالي يعرض الاتحاد إلى </w:t>
      </w:r>
      <w:r w:rsidR="00FB0BC4" w:rsidRPr="00813B86">
        <w:rPr>
          <w:rFonts w:hint="cs"/>
          <w:rtl/>
        </w:rPr>
        <w:t>مخاطر</w:t>
      </w:r>
      <w:r w:rsidR="00A52F12" w:rsidRPr="00813B86">
        <w:rPr>
          <w:rtl/>
        </w:rPr>
        <w:t xml:space="preserve"> اقتصادي</w:t>
      </w:r>
      <w:r w:rsidR="00FB0BC4" w:rsidRPr="00813B86">
        <w:rPr>
          <w:rFonts w:hint="cs"/>
          <w:rtl/>
        </w:rPr>
        <w:t>ة</w:t>
      </w:r>
      <w:r w:rsidR="00A52F12" w:rsidRPr="00813B86">
        <w:rPr>
          <w:rtl/>
        </w:rPr>
        <w:t>. و</w:t>
      </w:r>
      <w:r w:rsidR="001641C7" w:rsidRPr="00813B86">
        <w:rPr>
          <w:rFonts w:hint="cs"/>
          <w:rtl/>
        </w:rPr>
        <w:t xml:space="preserve">من شأن توفير </w:t>
      </w:r>
      <w:r w:rsidR="00A52F12" w:rsidRPr="00813B86">
        <w:rPr>
          <w:rtl/>
        </w:rPr>
        <w:t xml:space="preserve">بيانات الجرد الخاصة بالطابعات لرصد </w:t>
      </w:r>
      <w:r w:rsidR="001641C7" w:rsidRPr="00813B86">
        <w:rPr>
          <w:rFonts w:hint="cs"/>
          <w:rtl/>
        </w:rPr>
        <w:t>المشتريات أن يحل</w:t>
      </w:r>
      <w:r w:rsidR="00A52F12" w:rsidRPr="00813B86">
        <w:rPr>
          <w:rtl/>
        </w:rPr>
        <w:t xml:space="preserve"> هذه المشكلة.</w:t>
      </w:r>
    </w:p>
    <w:p w:rsidR="001641C7" w:rsidRPr="00813B86" w:rsidRDefault="00931F25" w:rsidP="00ED65CB">
      <w:pPr>
        <w:rPr>
          <w:rtl/>
        </w:rPr>
      </w:pPr>
      <w:r w:rsidRPr="00813B86">
        <w:t>10</w:t>
      </w:r>
      <w:r w:rsidRPr="00813B86">
        <w:rPr>
          <w:rtl/>
        </w:rPr>
        <w:tab/>
      </w:r>
      <w:r w:rsidR="001641C7" w:rsidRPr="00813B86">
        <w:rPr>
          <w:rFonts w:hint="cs"/>
          <w:rtl/>
        </w:rPr>
        <w:t xml:space="preserve">وعموماً، قدمت وحدة المراجعة الداخلية تأكيدات معقولة للأمين العام تفيد بتطبيق الضوابط الداخلية </w:t>
      </w:r>
      <w:r w:rsidR="00ED65CB">
        <w:rPr>
          <w:rFonts w:hint="cs"/>
          <w:rtl/>
        </w:rPr>
        <w:t>والإدارة</w:t>
      </w:r>
      <w:r w:rsidR="00D12DF7" w:rsidRPr="00813B86">
        <w:rPr>
          <w:rFonts w:hint="cs"/>
          <w:rtl/>
        </w:rPr>
        <w:t xml:space="preserve"> وعمليات إدارة المخاطر</w:t>
      </w:r>
      <w:r w:rsidR="001641C7" w:rsidRPr="00813B86">
        <w:rPr>
          <w:rFonts w:hint="cs"/>
          <w:rtl/>
        </w:rPr>
        <w:t xml:space="preserve"> المتعلقة باستهلاك الورق داخلياً في الأمانة. وأكدت وحدة المراجعة الداخلية أي</w:t>
      </w:r>
      <w:r w:rsidR="00ED65CB">
        <w:rPr>
          <w:rFonts w:hint="cs"/>
          <w:rtl/>
        </w:rPr>
        <w:t>ضاً أن استعمال الورق داخلياً في</w:t>
      </w:r>
      <w:r w:rsidR="00ED65CB">
        <w:rPr>
          <w:rFonts w:hint="eastAsia"/>
          <w:rtl/>
        </w:rPr>
        <w:t> </w:t>
      </w:r>
      <w:r w:rsidR="001641C7" w:rsidRPr="00813B86">
        <w:rPr>
          <w:rFonts w:hint="cs"/>
          <w:rtl/>
        </w:rPr>
        <w:t>الأمانة قد انخفض إلى مستوى معقول.</w:t>
      </w:r>
    </w:p>
    <w:p w:rsidR="00931F25" w:rsidRPr="00813B86" w:rsidRDefault="00931F25" w:rsidP="006C22DD">
      <w:pPr>
        <w:pStyle w:val="Headingb0"/>
        <w:rPr>
          <w:rtl/>
        </w:rPr>
      </w:pPr>
      <w:r w:rsidRPr="006C22DD">
        <w:rPr>
          <w:rtl/>
        </w:rPr>
        <w:t>باء -</w:t>
      </w:r>
      <w:r w:rsidRPr="006C22DD">
        <w:rPr>
          <w:rtl/>
        </w:rPr>
        <w:tab/>
      </w:r>
      <w:r w:rsidR="001641C7" w:rsidRPr="006C22DD">
        <w:rPr>
          <w:rFonts w:hint="cs"/>
          <w:rtl/>
        </w:rPr>
        <w:t>فحص عقود الخبراء الخارجيين</w:t>
      </w:r>
    </w:p>
    <w:p w:rsidR="00275358" w:rsidRPr="00813B86" w:rsidRDefault="00931F25" w:rsidP="003A3E33">
      <w:pPr>
        <w:rPr>
          <w:rtl/>
          <w:lang w:val="en-CA" w:bidi="ar-EG"/>
        </w:rPr>
      </w:pPr>
      <w:r w:rsidRPr="00813B86">
        <w:t>11</w:t>
      </w:r>
      <w:r w:rsidRPr="00813B86">
        <w:rPr>
          <w:rtl/>
        </w:rPr>
        <w:tab/>
      </w:r>
      <w:r w:rsidR="00275358" w:rsidRPr="00813B86">
        <w:rPr>
          <w:rFonts w:hint="cs"/>
          <w:rtl/>
        </w:rPr>
        <w:t>أجرت وحدة المراجعة الداخلية فحصاً لعمليات التعيين والاستعانة بالخبراء الخارجيين يغطي الفترة من يناير</w:t>
      </w:r>
      <w:r w:rsidR="003A3E33">
        <w:rPr>
          <w:rFonts w:hint="eastAsia"/>
          <w:rtl/>
        </w:rPr>
        <w:t> </w:t>
      </w:r>
      <w:r w:rsidR="00275358" w:rsidRPr="00813B86">
        <w:rPr>
          <w:lang w:val="en-CA"/>
        </w:rPr>
        <w:t>2013</w:t>
      </w:r>
      <w:r w:rsidR="00275358" w:rsidRPr="00813B86">
        <w:rPr>
          <w:rFonts w:hint="cs"/>
          <w:rtl/>
          <w:lang w:val="en-CA" w:bidi="ar-EG"/>
        </w:rPr>
        <w:t xml:space="preserve"> إلى ديسمبر</w:t>
      </w:r>
      <w:r w:rsidR="00C71579">
        <w:rPr>
          <w:rFonts w:hint="eastAsia"/>
          <w:rtl/>
          <w:lang w:val="en-CA" w:bidi="ar-EG"/>
        </w:rPr>
        <w:t> </w:t>
      </w:r>
      <w:r w:rsidR="00275358" w:rsidRPr="00813B86">
        <w:rPr>
          <w:lang w:val="en-CA" w:bidi="ar-EG"/>
        </w:rPr>
        <w:t>2015</w:t>
      </w:r>
      <w:r w:rsidR="00275358" w:rsidRPr="00813B86">
        <w:rPr>
          <w:rFonts w:hint="cs"/>
          <w:rtl/>
          <w:lang w:val="en-CA" w:bidi="ar-EG"/>
        </w:rPr>
        <w:t xml:space="preserve">. وكانت أهداف عملية الفحص هذه هي: </w:t>
      </w:r>
      <w:r w:rsidR="00275358" w:rsidRPr="00813B86">
        <w:rPr>
          <w:rtl/>
        </w:rPr>
        <w:t>’</w:t>
      </w:r>
      <w:r w:rsidR="00275358" w:rsidRPr="00813B86">
        <w:t>1</w:t>
      </w:r>
      <w:r w:rsidR="00275358" w:rsidRPr="00813B86">
        <w:rPr>
          <w:rtl/>
        </w:rPr>
        <w:t>‘</w:t>
      </w:r>
      <w:r w:rsidR="00275358" w:rsidRPr="00813B86">
        <w:rPr>
          <w:rFonts w:hint="eastAsia"/>
          <w:rtl/>
        </w:rPr>
        <w:t> </w:t>
      </w:r>
      <w:r w:rsidR="00275358" w:rsidRPr="00813B86">
        <w:rPr>
          <w:rFonts w:hint="cs"/>
          <w:rtl/>
        </w:rPr>
        <w:t>تقييم المبادئ التوجيهية والسياسات القائمة وموثوقية الضوابط الداخلية على تعيين الخبراء</w:t>
      </w:r>
      <w:r w:rsidR="0038606D" w:rsidRPr="00813B86">
        <w:rPr>
          <w:rFonts w:hint="cs"/>
          <w:rtl/>
        </w:rPr>
        <w:t xml:space="preserve">؛ </w:t>
      </w:r>
      <w:r w:rsidR="00275358" w:rsidRPr="00813B86">
        <w:rPr>
          <w:rtl/>
        </w:rPr>
        <w:t>’</w:t>
      </w:r>
      <w:r w:rsidR="0038606D" w:rsidRPr="00813B86">
        <w:t>2</w:t>
      </w:r>
      <w:r w:rsidR="00275358" w:rsidRPr="00813B86">
        <w:rPr>
          <w:rtl/>
        </w:rPr>
        <w:t>‘</w:t>
      </w:r>
      <w:r w:rsidR="00275358" w:rsidRPr="00813B86">
        <w:rPr>
          <w:rFonts w:hint="eastAsia"/>
          <w:rtl/>
        </w:rPr>
        <w:t> </w:t>
      </w:r>
      <w:r w:rsidR="0038606D" w:rsidRPr="00813B86">
        <w:rPr>
          <w:rFonts w:hint="cs"/>
          <w:rtl/>
        </w:rPr>
        <w:t xml:space="preserve">تقييم فعالية الاتصال بين المكاتب الإقليمية والمقر عند تعيين الخبراء؛ </w:t>
      </w:r>
      <w:r w:rsidR="00275358" w:rsidRPr="00813B86">
        <w:rPr>
          <w:rtl/>
        </w:rPr>
        <w:t>’</w:t>
      </w:r>
      <w:r w:rsidR="0038606D" w:rsidRPr="00813B86">
        <w:t>3</w:t>
      </w:r>
      <w:r w:rsidR="00275358" w:rsidRPr="00813B86">
        <w:rPr>
          <w:rtl/>
        </w:rPr>
        <w:t>‘</w:t>
      </w:r>
      <w:r w:rsidR="00275358" w:rsidRPr="00813B86">
        <w:rPr>
          <w:rFonts w:hint="eastAsia"/>
          <w:rtl/>
        </w:rPr>
        <w:t> </w:t>
      </w:r>
      <w:r w:rsidR="0038606D" w:rsidRPr="00813B86">
        <w:rPr>
          <w:rFonts w:hint="cs"/>
          <w:rtl/>
        </w:rPr>
        <w:t xml:space="preserve">تقييم عملية تقييم المخاطر القائمة حالياً بشأن كيفية اختيار الخبراء وتقييم أدائهم؛ </w:t>
      </w:r>
      <w:r w:rsidR="00275358" w:rsidRPr="00813B86">
        <w:rPr>
          <w:rtl/>
        </w:rPr>
        <w:t>’</w:t>
      </w:r>
      <w:r w:rsidR="0038606D" w:rsidRPr="00813B86">
        <w:t>4</w:t>
      </w:r>
      <w:r w:rsidR="00275358" w:rsidRPr="00813B86">
        <w:rPr>
          <w:rtl/>
        </w:rPr>
        <w:t>‘</w:t>
      </w:r>
      <w:r w:rsidR="00275358" w:rsidRPr="00813B86">
        <w:rPr>
          <w:rFonts w:hint="eastAsia"/>
          <w:rtl/>
        </w:rPr>
        <w:t> </w:t>
      </w:r>
      <w:r w:rsidR="0038606D" w:rsidRPr="00813B86">
        <w:rPr>
          <w:rFonts w:hint="cs"/>
          <w:rtl/>
        </w:rPr>
        <w:t xml:space="preserve">تقييم الامتثال </w:t>
      </w:r>
      <w:r w:rsidR="0000566C">
        <w:rPr>
          <w:rFonts w:hint="cs"/>
          <w:rtl/>
        </w:rPr>
        <w:t>ل</w:t>
      </w:r>
      <w:r w:rsidR="0038606D" w:rsidRPr="00813B86">
        <w:rPr>
          <w:rFonts w:hint="cs"/>
          <w:rtl/>
        </w:rPr>
        <w:t xml:space="preserve">عملية تعيين الخبراء الخارجيين للسياسات والإجراءات؛ </w:t>
      </w:r>
      <w:r w:rsidR="0038606D" w:rsidRPr="00813B86">
        <w:rPr>
          <w:rtl/>
        </w:rPr>
        <w:t>’</w:t>
      </w:r>
      <w:r w:rsidR="0038606D" w:rsidRPr="00813B86">
        <w:t>5</w:t>
      </w:r>
      <w:r w:rsidR="0038606D" w:rsidRPr="00813B86">
        <w:rPr>
          <w:rtl/>
        </w:rPr>
        <w:t>‘</w:t>
      </w:r>
      <w:r w:rsidR="0038606D" w:rsidRPr="00813B86">
        <w:rPr>
          <w:rFonts w:hint="eastAsia"/>
          <w:rtl/>
        </w:rPr>
        <w:t> </w:t>
      </w:r>
      <w:r w:rsidR="0038606D" w:rsidRPr="00813B86">
        <w:rPr>
          <w:rFonts w:hint="cs"/>
          <w:rtl/>
        </w:rPr>
        <w:t>تقييم</w:t>
      </w:r>
      <w:r w:rsidR="0038606D" w:rsidRPr="00813B86">
        <w:rPr>
          <w:rFonts w:hint="cs"/>
          <w:rtl/>
          <w:lang w:bidi="ar-EG"/>
        </w:rPr>
        <w:t xml:space="preserve"> رصد الاستعمال الفع</w:t>
      </w:r>
      <w:r w:rsidR="006F32CA">
        <w:rPr>
          <w:rFonts w:hint="cs"/>
          <w:rtl/>
          <w:lang w:bidi="ar-EG"/>
        </w:rPr>
        <w:t>ّ</w:t>
      </w:r>
      <w:r w:rsidR="0038606D" w:rsidRPr="00813B86">
        <w:rPr>
          <w:rFonts w:hint="cs"/>
          <w:rtl/>
          <w:lang w:bidi="ar-EG"/>
        </w:rPr>
        <w:t>ال للموارد المخصصة لتعيين الخبراء.</w:t>
      </w:r>
    </w:p>
    <w:p w:rsidR="0038606D" w:rsidRPr="00813B86" w:rsidRDefault="00931F25" w:rsidP="001D433A">
      <w:pPr>
        <w:rPr>
          <w:rtl/>
        </w:rPr>
      </w:pPr>
      <w:r w:rsidRPr="00813B86">
        <w:t>12</w:t>
      </w:r>
      <w:r w:rsidRPr="00813B86">
        <w:rPr>
          <w:rtl/>
        </w:rPr>
        <w:tab/>
      </w:r>
      <w:r w:rsidR="0038606D" w:rsidRPr="00813B86">
        <w:rPr>
          <w:rtl/>
        </w:rPr>
        <w:t>وخ</w:t>
      </w:r>
      <w:r w:rsidR="0038606D" w:rsidRPr="00813B86">
        <w:rPr>
          <w:rFonts w:hint="cs"/>
          <w:rtl/>
        </w:rPr>
        <w:t>ُ</w:t>
      </w:r>
      <w:r w:rsidR="0038606D" w:rsidRPr="00813B86">
        <w:rPr>
          <w:rtl/>
        </w:rPr>
        <w:t xml:space="preserve">لص إلى أنه لا توجد سياسات ومبادئ توجيهية </w:t>
      </w:r>
      <w:r w:rsidR="0038606D" w:rsidRPr="00813B86">
        <w:rPr>
          <w:rFonts w:hint="cs"/>
          <w:rtl/>
        </w:rPr>
        <w:t>كافية</w:t>
      </w:r>
      <w:r w:rsidR="0038606D" w:rsidRPr="00813B86">
        <w:rPr>
          <w:rtl/>
        </w:rPr>
        <w:t xml:space="preserve"> لتنظيم مجال الخبراء</w:t>
      </w:r>
      <w:r w:rsidR="0038606D" w:rsidRPr="00813B86">
        <w:rPr>
          <w:rFonts w:hint="cs"/>
          <w:rtl/>
        </w:rPr>
        <w:t>/</w:t>
      </w:r>
      <w:r w:rsidR="0038606D" w:rsidRPr="00813B86">
        <w:rPr>
          <w:rtl/>
        </w:rPr>
        <w:t>الاستشار</w:t>
      </w:r>
      <w:r w:rsidR="0038606D" w:rsidRPr="00813B86">
        <w:rPr>
          <w:rFonts w:hint="cs"/>
          <w:rtl/>
        </w:rPr>
        <w:t>ات</w:t>
      </w:r>
      <w:r w:rsidR="0038606D" w:rsidRPr="00813B86">
        <w:rPr>
          <w:rtl/>
        </w:rPr>
        <w:t xml:space="preserve">. وعلى الرغم من </w:t>
      </w:r>
      <w:r w:rsidR="00D95C00" w:rsidRPr="00813B86">
        <w:rPr>
          <w:rFonts w:hint="cs"/>
          <w:rtl/>
        </w:rPr>
        <w:t>النظر إلى</w:t>
      </w:r>
      <w:r w:rsidR="0038606D" w:rsidRPr="00813B86">
        <w:rPr>
          <w:rtl/>
        </w:rPr>
        <w:t xml:space="preserve"> مذكرة عام </w:t>
      </w:r>
      <w:r w:rsidR="0038606D" w:rsidRPr="00813B86">
        <w:t>2010</w:t>
      </w:r>
      <w:r w:rsidR="00D95C00" w:rsidRPr="00813B86">
        <w:rPr>
          <w:rFonts w:hint="cs"/>
          <w:rtl/>
        </w:rPr>
        <w:t xml:space="preserve"> </w:t>
      </w:r>
      <w:r w:rsidR="0038606D" w:rsidRPr="00813B86">
        <w:rPr>
          <w:rtl/>
        </w:rPr>
        <w:t xml:space="preserve">إلى حد كبير على أنها المبدأ التوجيهي المنطبق، </w:t>
      </w:r>
      <w:r w:rsidR="00D95C00" w:rsidRPr="00813B86">
        <w:rPr>
          <w:rFonts w:hint="cs"/>
          <w:rtl/>
        </w:rPr>
        <w:t xml:space="preserve">فإنها </w:t>
      </w:r>
      <w:r w:rsidR="0038606D" w:rsidRPr="00813B86">
        <w:rPr>
          <w:rtl/>
        </w:rPr>
        <w:t xml:space="preserve">لا تشمل جميع العناصر </w:t>
      </w:r>
      <w:r w:rsidR="0038606D" w:rsidRPr="00813B86">
        <w:rPr>
          <w:rFonts w:hint="cs"/>
          <w:rtl/>
        </w:rPr>
        <w:t>اللازمة لتأدية</w:t>
      </w:r>
      <w:r w:rsidR="0038606D" w:rsidRPr="00813B86">
        <w:rPr>
          <w:rtl/>
        </w:rPr>
        <w:t xml:space="preserve"> دور إطار </w:t>
      </w:r>
      <w:r w:rsidR="0038606D" w:rsidRPr="00813B86">
        <w:rPr>
          <w:rFonts w:hint="cs"/>
          <w:rtl/>
        </w:rPr>
        <w:t>سليم ل</w:t>
      </w:r>
      <w:r w:rsidR="0038606D" w:rsidRPr="00813B86">
        <w:rPr>
          <w:rtl/>
        </w:rPr>
        <w:t xml:space="preserve">لسياسات. وأوصي بوضع سياسات ومبادئ توجيهية كافية لرصد ومراقبة </w:t>
      </w:r>
      <w:r w:rsidR="00D95C00" w:rsidRPr="00813B86">
        <w:rPr>
          <w:rFonts w:hint="cs"/>
          <w:rtl/>
        </w:rPr>
        <w:t xml:space="preserve">عمليات </w:t>
      </w:r>
      <w:r w:rsidR="0038606D" w:rsidRPr="00813B86">
        <w:rPr>
          <w:rtl/>
        </w:rPr>
        <w:t>تعيين الخبراء</w:t>
      </w:r>
      <w:r w:rsidR="00D95C00" w:rsidRPr="00813B86">
        <w:rPr>
          <w:rFonts w:hint="cs"/>
          <w:rtl/>
        </w:rPr>
        <w:t>/</w:t>
      </w:r>
      <w:r w:rsidR="0038606D" w:rsidRPr="00813B86">
        <w:rPr>
          <w:rtl/>
        </w:rPr>
        <w:t xml:space="preserve">الاستشاريين. ووافق رئيس </w:t>
      </w:r>
      <w:r w:rsidR="00D95C00" w:rsidRPr="00813B86">
        <w:rPr>
          <w:rFonts w:hint="cs"/>
          <w:rtl/>
        </w:rPr>
        <w:t>دائرة</w:t>
      </w:r>
      <w:r w:rsidR="0038606D" w:rsidRPr="00813B86">
        <w:rPr>
          <w:rtl/>
        </w:rPr>
        <w:t xml:space="preserve"> إدارة الموارد البشرية </w:t>
      </w:r>
      <w:r w:rsidR="00D95C00" w:rsidRPr="00813B86">
        <w:rPr>
          <w:rFonts w:hint="cs"/>
          <w:rtl/>
        </w:rPr>
        <w:t xml:space="preserve">على ذلك </w:t>
      </w:r>
      <w:r w:rsidR="0038606D" w:rsidRPr="00813B86">
        <w:rPr>
          <w:rtl/>
        </w:rPr>
        <w:t xml:space="preserve">وأوضح أنه </w:t>
      </w:r>
      <w:r w:rsidR="00D95C00" w:rsidRPr="00813B86">
        <w:rPr>
          <w:rFonts w:hint="cs"/>
          <w:rtl/>
        </w:rPr>
        <w:t xml:space="preserve">سيتم بدء </w:t>
      </w:r>
      <w:r w:rsidR="0038606D" w:rsidRPr="00813B86">
        <w:rPr>
          <w:rtl/>
        </w:rPr>
        <w:t xml:space="preserve">العمل على </w:t>
      </w:r>
      <w:r w:rsidR="00D95C00" w:rsidRPr="00813B86">
        <w:rPr>
          <w:rFonts w:hint="cs"/>
          <w:rtl/>
        </w:rPr>
        <w:t>إعداد</w:t>
      </w:r>
      <w:r w:rsidR="0038606D" w:rsidRPr="00813B86">
        <w:rPr>
          <w:rtl/>
        </w:rPr>
        <w:t xml:space="preserve"> خطة تنفيذ. وعلق مدير مكتب تنمية الاتصالات على أن مكتب تنمية الاتصالات مستعد </w:t>
      </w:r>
      <w:r w:rsidR="00D95C00" w:rsidRPr="00813B86">
        <w:rPr>
          <w:rFonts w:hint="cs"/>
          <w:rtl/>
        </w:rPr>
        <w:t>للمساهمة</w:t>
      </w:r>
      <w:r w:rsidR="0038606D" w:rsidRPr="00813B86">
        <w:rPr>
          <w:rtl/>
        </w:rPr>
        <w:t xml:space="preserve"> بخبرته في </w:t>
      </w:r>
      <w:r w:rsidR="00D95C00" w:rsidRPr="00813B86">
        <w:rPr>
          <w:rFonts w:hint="cs"/>
          <w:rtl/>
        </w:rPr>
        <w:t>مجال بدء عملية</w:t>
      </w:r>
      <w:r w:rsidR="0038606D" w:rsidRPr="00813B86">
        <w:rPr>
          <w:rtl/>
        </w:rPr>
        <w:t xml:space="preserve"> تعيين الاستشاريين </w:t>
      </w:r>
      <w:r w:rsidR="00D95C00" w:rsidRPr="00813B86">
        <w:rPr>
          <w:rFonts w:hint="cs"/>
          <w:rtl/>
        </w:rPr>
        <w:t>ل</w:t>
      </w:r>
      <w:r w:rsidR="0038606D" w:rsidRPr="00813B86">
        <w:rPr>
          <w:rtl/>
        </w:rPr>
        <w:t xml:space="preserve">وضع سياسات ومبادئ توجيهية </w:t>
      </w:r>
      <w:r w:rsidR="001D433A" w:rsidRPr="00813B86">
        <w:rPr>
          <w:rFonts w:hint="cs"/>
          <w:rtl/>
        </w:rPr>
        <w:t>ل</w:t>
      </w:r>
      <w:r w:rsidR="00D95C00" w:rsidRPr="00813B86">
        <w:rPr>
          <w:rFonts w:hint="cs"/>
          <w:rtl/>
        </w:rPr>
        <w:t>تحد</w:t>
      </w:r>
      <w:r w:rsidR="001D433A" w:rsidRPr="00813B86">
        <w:rPr>
          <w:rFonts w:hint="cs"/>
          <w:rtl/>
        </w:rPr>
        <w:t>ي</w:t>
      </w:r>
      <w:r w:rsidR="00D95C00" w:rsidRPr="00813B86">
        <w:rPr>
          <w:rFonts w:hint="cs"/>
          <w:rtl/>
        </w:rPr>
        <w:t>د</w:t>
      </w:r>
      <w:r w:rsidR="0038606D" w:rsidRPr="00813B86">
        <w:rPr>
          <w:rtl/>
        </w:rPr>
        <w:t xml:space="preserve"> إطار قانوني وتنظيمي واضح لتعيين الخبراء</w:t>
      </w:r>
      <w:r w:rsidR="00D95C00" w:rsidRPr="00813B86">
        <w:rPr>
          <w:rFonts w:hint="cs"/>
          <w:rtl/>
        </w:rPr>
        <w:t>/</w:t>
      </w:r>
      <w:r w:rsidR="0038606D" w:rsidRPr="00813B86">
        <w:rPr>
          <w:rtl/>
        </w:rPr>
        <w:t xml:space="preserve">الاستشاريين </w:t>
      </w:r>
      <w:r w:rsidR="00D95C00" w:rsidRPr="00813B86">
        <w:rPr>
          <w:rFonts w:hint="cs"/>
          <w:rtl/>
        </w:rPr>
        <w:t>ب</w:t>
      </w:r>
      <w:r w:rsidR="0038606D" w:rsidRPr="00813B86">
        <w:rPr>
          <w:rtl/>
        </w:rPr>
        <w:t xml:space="preserve">تنسيق </w:t>
      </w:r>
      <w:r w:rsidR="00D95C00" w:rsidRPr="00813B86">
        <w:rPr>
          <w:rFonts w:hint="cs"/>
          <w:rtl/>
        </w:rPr>
        <w:t xml:space="preserve">من </w:t>
      </w:r>
      <w:r w:rsidR="00F3404F" w:rsidRPr="00813B86">
        <w:rPr>
          <w:rFonts w:hint="cs"/>
          <w:rtl/>
        </w:rPr>
        <w:t xml:space="preserve">دائرة </w:t>
      </w:r>
      <w:r w:rsidR="0038606D" w:rsidRPr="00813B86">
        <w:rPr>
          <w:rtl/>
        </w:rPr>
        <w:t xml:space="preserve">إدارة الموارد البشرية. </w:t>
      </w:r>
      <w:r w:rsidR="00D95C00" w:rsidRPr="00813B86">
        <w:rPr>
          <w:rFonts w:hint="cs"/>
          <w:rtl/>
        </w:rPr>
        <w:t xml:space="preserve">وخُلص </w:t>
      </w:r>
      <w:r w:rsidR="0038606D" w:rsidRPr="00813B86">
        <w:rPr>
          <w:rtl/>
        </w:rPr>
        <w:t>أيضا</w:t>
      </w:r>
      <w:r w:rsidR="00D95C00" w:rsidRPr="00813B86">
        <w:rPr>
          <w:rFonts w:hint="cs"/>
          <w:rtl/>
        </w:rPr>
        <w:t>ً</w:t>
      </w:r>
      <w:r w:rsidR="0038606D" w:rsidRPr="00813B86">
        <w:rPr>
          <w:rtl/>
        </w:rPr>
        <w:t xml:space="preserve"> </w:t>
      </w:r>
      <w:r w:rsidR="001D433A" w:rsidRPr="00813B86">
        <w:rPr>
          <w:rFonts w:hint="cs"/>
          <w:rtl/>
        </w:rPr>
        <w:t xml:space="preserve">إلى </w:t>
      </w:r>
      <w:r w:rsidR="0038606D" w:rsidRPr="00813B86">
        <w:rPr>
          <w:rtl/>
        </w:rPr>
        <w:t xml:space="preserve">أن الرقابة على مراجعة التوصيفات الوظيفية </w:t>
      </w:r>
      <w:r w:rsidR="00D95C00" w:rsidRPr="00813B86">
        <w:rPr>
          <w:rFonts w:hint="cs"/>
          <w:rtl/>
        </w:rPr>
        <w:t>ونماذج السيرة الشخصية</w:t>
      </w:r>
      <w:r w:rsidR="0038606D" w:rsidRPr="00813B86">
        <w:rPr>
          <w:rtl/>
        </w:rPr>
        <w:t xml:space="preserve"> ليست </w:t>
      </w:r>
      <w:r w:rsidR="00BC2D37" w:rsidRPr="00813B86">
        <w:rPr>
          <w:rFonts w:hint="cs"/>
          <w:rtl/>
        </w:rPr>
        <w:t>بالأمثل</w:t>
      </w:r>
      <w:r w:rsidR="0038606D" w:rsidRPr="00813B86">
        <w:rPr>
          <w:rtl/>
        </w:rPr>
        <w:t xml:space="preserve"> وأن هناك </w:t>
      </w:r>
      <w:r w:rsidR="00D95C00" w:rsidRPr="00813B86">
        <w:rPr>
          <w:rFonts w:hint="cs"/>
          <w:rtl/>
        </w:rPr>
        <w:t xml:space="preserve">مخاطر </w:t>
      </w:r>
      <w:r w:rsidR="0038606D" w:rsidRPr="00813B86">
        <w:rPr>
          <w:rtl/>
        </w:rPr>
        <w:t xml:space="preserve">عدم </w:t>
      </w:r>
      <w:r w:rsidR="00D95C00" w:rsidRPr="00813B86">
        <w:rPr>
          <w:rFonts w:hint="cs"/>
          <w:rtl/>
        </w:rPr>
        <w:t xml:space="preserve">استعمال </w:t>
      </w:r>
      <w:r w:rsidR="0038606D" w:rsidRPr="00813B86">
        <w:rPr>
          <w:rtl/>
        </w:rPr>
        <w:t xml:space="preserve">الموارد بكفاءة وفعالية. وأوصي </w:t>
      </w:r>
      <w:r w:rsidR="00D95C00" w:rsidRPr="00813B86">
        <w:rPr>
          <w:rFonts w:hint="cs"/>
          <w:rtl/>
        </w:rPr>
        <w:t>بمراجعة</w:t>
      </w:r>
      <w:r w:rsidR="0038606D" w:rsidRPr="00813B86">
        <w:rPr>
          <w:rtl/>
        </w:rPr>
        <w:t xml:space="preserve"> وتوثيق عملية تعيين الخبراء (لتحديد أدوار ومسؤوليات </w:t>
      </w:r>
      <w:r w:rsidR="001D433A" w:rsidRPr="00813B86">
        <w:rPr>
          <w:rFonts w:hint="cs"/>
          <w:rtl/>
        </w:rPr>
        <w:t>الدوائر</w:t>
      </w:r>
      <w:r w:rsidR="00D95C00" w:rsidRPr="00813B86">
        <w:rPr>
          <w:rFonts w:hint="cs"/>
          <w:rtl/>
        </w:rPr>
        <w:t>/</w:t>
      </w:r>
      <w:r w:rsidR="0038606D" w:rsidRPr="00813B86">
        <w:rPr>
          <w:rtl/>
        </w:rPr>
        <w:t xml:space="preserve">الوحدات المعنية)، </w:t>
      </w:r>
      <w:r w:rsidR="00D95C00" w:rsidRPr="00813B86">
        <w:rPr>
          <w:rFonts w:hint="cs"/>
          <w:rtl/>
        </w:rPr>
        <w:t>والاستفاضة على وجه التحديد بمكون</w:t>
      </w:r>
      <w:r w:rsidR="0038606D" w:rsidRPr="00813B86">
        <w:rPr>
          <w:rtl/>
        </w:rPr>
        <w:t xml:space="preserve"> تضارب المصالح لضمان </w:t>
      </w:r>
      <w:r w:rsidR="00D95C00" w:rsidRPr="00813B86">
        <w:rPr>
          <w:rFonts w:hint="cs"/>
          <w:rtl/>
        </w:rPr>
        <w:t>توقيع</w:t>
      </w:r>
      <w:r w:rsidR="0038606D" w:rsidRPr="00813B86">
        <w:rPr>
          <w:rtl/>
        </w:rPr>
        <w:t xml:space="preserve"> جميع الخبراء في الوقت المحدد أو بشكل منتظم على مدونة لقواعد السلوك </w:t>
      </w:r>
      <w:r w:rsidR="00D95C00" w:rsidRPr="00813B86">
        <w:rPr>
          <w:rFonts w:hint="cs"/>
          <w:rtl/>
        </w:rPr>
        <w:t>ت</w:t>
      </w:r>
      <w:r w:rsidR="0038606D" w:rsidRPr="00813B86">
        <w:rPr>
          <w:rtl/>
        </w:rPr>
        <w:t>تضمن بيان</w:t>
      </w:r>
      <w:r w:rsidR="00D95C00" w:rsidRPr="00813B86">
        <w:rPr>
          <w:rFonts w:hint="cs"/>
          <w:rtl/>
        </w:rPr>
        <w:t xml:space="preserve">اً عن </w:t>
      </w:r>
      <w:r w:rsidR="0038606D" w:rsidRPr="00813B86">
        <w:rPr>
          <w:rtl/>
        </w:rPr>
        <w:t xml:space="preserve">تضارب المصالح. ومرة أخرى، وافق رئيس </w:t>
      </w:r>
      <w:r w:rsidR="00D95C00" w:rsidRPr="00813B86">
        <w:rPr>
          <w:rFonts w:hint="cs"/>
          <w:rtl/>
        </w:rPr>
        <w:t>دائرة</w:t>
      </w:r>
      <w:r w:rsidR="0038606D" w:rsidRPr="00813B86">
        <w:rPr>
          <w:rtl/>
        </w:rPr>
        <w:t xml:space="preserve"> إدارة الموارد البشرية </w:t>
      </w:r>
      <w:r w:rsidR="00D95C00" w:rsidRPr="00813B86">
        <w:rPr>
          <w:rFonts w:hint="cs"/>
          <w:rtl/>
        </w:rPr>
        <w:t xml:space="preserve">على ذلك </w:t>
      </w:r>
      <w:r w:rsidR="0038606D" w:rsidRPr="00813B86">
        <w:rPr>
          <w:rtl/>
        </w:rPr>
        <w:t xml:space="preserve">وأشار إلى </w:t>
      </w:r>
      <w:r w:rsidR="00D95C00" w:rsidRPr="00813B86">
        <w:rPr>
          <w:rtl/>
        </w:rPr>
        <w:t xml:space="preserve">أنه </w:t>
      </w:r>
      <w:r w:rsidR="00D95C00" w:rsidRPr="00813B86">
        <w:rPr>
          <w:rFonts w:hint="cs"/>
          <w:rtl/>
        </w:rPr>
        <w:t xml:space="preserve">سيتم بدء </w:t>
      </w:r>
      <w:r w:rsidR="00D95C00" w:rsidRPr="00813B86">
        <w:rPr>
          <w:rtl/>
        </w:rPr>
        <w:t xml:space="preserve">العمل على </w:t>
      </w:r>
      <w:r w:rsidR="00D95C00" w:rsidRPr="00813B86">
        <w:rPr>
          <w:rFonts w:hint="cs"/>
          <w:rtl/>
        </w:rPr>
        <w:t>إعداد</w:t>
      </w:r>
      <w:r w:rsidR="00D95C00" w:rsidRPr="00813B86">
        <w:rPr>
          <w:rtl/>
        </w:rPr>
        <w:t xml:space="preserve"> خطة تنفيذ</w:t>
      </w:r>
      <w:r w:rsidR="0038606D" w:rsidRPr="00813B86">
        <w:rPr>
          <w:rtl/>
        </w:rPr>
        <w:t xml:space="preserve">. وعلق مدير مكتب تنمية الاتصالات </w:t>
      </w:r>
      <w:r w:rsidR="00D95C00" w:rsidRPr="00813B86">
        <w:rPr>
          <w:rFonts w:hint="cs"/>
          <w:rtl/>
        </w:rPr>
        <w:t>قائلاً إن</w:t>
      </w:r>
      <w:r w:rsidR="0038606D" w:rsidRPr="00813B86">
        <w:rPr>
          <w:rtl/>
        </w:rPr>
        <w:t xml:space="preserve"> مكتب تنمية الاتصالات </w:t>
      </w:r>
      <w:r w:rsidR="00D95C00" w:rsidRPr="00813B86">
        <w:rPr>
          <w:rtl/>
        </w:rPr>
        <w:t>سيس</w:t>
      </w:r>
      <w:r w:rsidR="00D95C00" w:rsidRPr="00813B86">
        <w:rPr>
          <w:rFonts w:hint="cs"/>
          <w:rtl/>
        </w:rPr>
        <w:t>ا</w:t>
      </w:r>
      <w:r w:rsidR="00D95C00" w:rsidRPr="00813B86">
        <w:rPr>
          <w:rtl/>
        </w:rPr>
        <w:t>هم</w:t>
      </w:r>
      <w:r w:rsidR="00D95C00" w:rsidRPr="00813B86">
        <w:rPr>
          <w:rFonts w:hint="cs"/>
          <w:rtl/>
        </w:rPr>
        <w:t>،</w:t>
      </w:r>
      <w:r w:rsidR="00D95C00" w:rsidRPr="00813B86">
        <w:rPr>
          <w:rtl/>
        </w:rPr>
        <w:t xml:space="preserve"> </w:t>
      </w:r>
      <w:r w:rsidR="0038606D" w:rsidRPr="00813B86">
        <w:rPr>
          <w:rtl/>
        </w:rPr>
        <w:t xml:space="preserve">مع </w:t>
      </w:r>
      <w:r w:rsidR="00D95C00" w:rsidRPr="00813B86">
        <w:rPr>
          <w:rFonts w:hint="cs"/>
          <w:rtl/>
        </w:rPr>
        <w:t>ال</w:t>
      </w:r>
      <w:r w:rsidR="0038606D" w:rsidRPr="00813B86">
        <w:rPr>
          <w:rtl/>
        </w:rPr>
        <w:t xml:space="preserve">مكاتب </w:t>
      </w:r>
      <w:r w:rsidR="00D95C00" w:rsidRPr="00813B86">
        <w:rPr>
          <w:rFonts w:hint="cs"/>
          <w:rtl/>
        </w:rPr>
        <w:t>ال</w:t>
      </w:r>
      <w:r w:rsidR="0038606D" w:rsidRPr="00813B86">
        <w:rPr>
          <w:rtl/>
        </w:rPr>
        <w:t>أخرى</w:t>
      </w:r>
      <w:r w:rsidR="00D95C00" w:rsidRPr="00813B86">
        <w:rPr>
          <w:rFonts w:hint="cs"/>
          <w:rtl/>
        </w:rPr>
        <w:t>،</w:t>
      </w:r>
      <w:r w:rsidR="0038606D" w:rsidRPr="00813B86">
        <w:rPr>
          <w:rtl/>
        </w:rPr>
        <w:t xml:space="preserve"> في عمل </w:t>
      </w:r>
      <w:r w:rsidR="00D95C00" w:rsidRPr="00813B86">
        <w:rPr>
          <w:rFonts w:hint="cs"/>
          <w:rtl/>
        </w:rPr>
        <w:t xml:space="preserve">دائرة </w:t>
      </w:r>
      <w:r w:rsidR="0038606D" w:rsidRPr="00813B86">
        <w:rPr>
          <w:rtl/>
        </w:rPr>
        <w:t xml:space="preserve">إدارة الموارد البشرية </w:t>
      </w:r>
      <w:r w:rsidR="00D95C00" w:rsidRPr="00813B86">
        <w:rPr>
          <w:rFonts w:hint="cs"/>
          <w:rtl/>
        </w:rPr>
        <w:t>لمراجعة</w:t>
      </w:r>
      <w:r w:rsidR="0038606D" w:rsidRPr="00813B86">
        <w:rPr>
          <w:rtl/>
        </w:rPr>
        <w:t xml:space="preserve"> وتحسين عملية </w:t>
      </w:r>
      <w:r w:rsidR="00D95C00" w:rsidRPr="00813B86">
        <w:rPr>
          <w:rFonts w:hint="cs"/>
          <w:rtl/>
        </w:rPr>
        <w:t>التعيين</w:t>
      </w:r>
      <w:r w:rsidR="0038606D" w:rsidRPr="00813B86">
        <w:rPr>
          <w:rtl/>
        </w:rPr>
        <w:t xml:space="preserve"> من أجل تحديد الأدوار والمسؤوليات بشكل أفضل وضمان مستوى كاف</w:t>
      </w:r>
      <w:r w:rsidR="00A11556">
        <w:rPr>
          <w:rFonts w:hint="cs"/>
          <w:rtl/>
        </w:rPr>
        <w:t>ٍ</w:t>
      </w:r>
      <w:r w:rsidR="0038606D" w:rsidRPr="00813B86">
        <w:rPr>
          <w:rtl/>
        </w:rPr>
        <w:t xml:space="preserve"> من الرقابة.</w:t>
      </w:r>
    </w:p>
    <w:p w:rsidR="001E2BA4" w:rsidRPr="00813B86" w:rsidRDefault="00931F25" w:rsidP="00C10AEE">
      <w:pPr>
        <w:keepNext/>
        <w:keepLines/>
        <w:rPr>
          <w:rtl/>
        </w:rPr>
      </w:pPr>
      <w:r w:rsidRPr="00813B86">
        <w:lastRenderedPageBreak/>
        <w:t>13</w:t>
      </w:r>
      <w:r w:rsidRPr="00813B86">
        <w:rPr>
          <w:rtl/>
        </w:rPr>
        <w:tab/>
      </w:r>
      <w:r w:rsidR="00D95C00" w:rsidRPr="00813B86">
        <w:rPr>
          <w:rFonts w:hint="cs"/>
          <w:rtl/>
        </w:rPr>
        <w:t>وإجمالاً</w:t>
      </w:r>
      <w:r w:rsidR="00D95C00" w:rsidRPr="00813B86">
        <w:rPr>
          <w:rtl/>
        </w:rPr>
        <w:t xml:space="preserve">، ترى </w:t>
      </w:r>
      <w:r w:rsidR="00D95C00" w:rsidRPr="00813B86">
        <w:rPr>
          <w:rFonts w:hint="cs"/>
          <w:rtl/>
        </w:rPr>
        <w:t xml:space="preserve">وحدة المراجعة الداخلية </w:t>
      </w:r>
      <w:r w:rsidR="00D95C00" w:rsidRPr="00813B86">
        <w:rPr>
          <w:rtl/>
        </w:rPr>
        <w:t xml:space="preserve">أن </w:t>
      </w:r>
      <w:r w:rsidR="00E35E0C">
        <w:rPr>
          <w:rFonts w:hint="cs"/>
          <w:rtl/>
        </w:rPr>
        <w:t>الإدارة</w:t>
      </w:r>
      <w:r w:rsidR="00D12DF7" w:rsidRPr="00813B86">
        <w:rPr>
          <w:rtl/>
        </w:rPr>
        <w:t xml:space="preserve"> وعمليات إدارة المخاطر</w:t>
      </w:r>
      <w:r w:rsidR="00D95C00" w:rsidRPr="00813B86">
        <w:rPr>
          <w:rtl/>
        </w:rPr>
        <w:t xml:space="preserve"> والضوابط الداخلية المتعلقة بمجال </w:t>
      </w:r>
      <w:r w:rsidR="00D95C00" w:rsidRPr="00813B86">
        <w:rPr>
          <w:rFonts w:hint="cs"/>
          <w:rtl/>
        </w:rPr>
        <w:t>تعيين</w:t>
      </w:r>
      <w:r w:rsidR="00D95C00" w:rsidRPr="00813B86">
        <w:rPr>
          <w:rtl/>
        </w:rPr>
        <w:t xml:space="preserve"> الخبراء الخارجيين تحتاج إلى تحسين. وحددت </w:t>
      </w:r>
      <w:r w:rsidR="00D95C00" w:rsidRPr="00813B86">
        <w:rPr>
          <w:rFonts w:hint="cs"/>
          <w:rtl/>
        </w:rPr>
        <w:t xml:space="preserve">وحدة المراجعة الداخلية </w:t>
      </w:r>
      <w:r w:rsidR="00D95C00" w:rsidRPr="00813B86">
        <w:rPr>
          <w:rtl/>
        </w:rPr>
        <w:t>مجالات</w:t>
      </w:r>
      <w:r w:rsidR="00D95C00" w:rsidRPr="00813B86">
        <w:rPr>
          <w:rFonts w:hint="cs"/>
          <w:rtl/>
        </w:rPr>
        <w:t xml:space="preserve"> للتحسين فيما يتعلق بالسياسات التي توجه عملية تعيين</w:t>
      </w:r>
      <w:r w:rsidR="00D95C00" w:rsidRPr="00813B86">
        <w:rPr>
          <w:rtl/>
        </w:rPr>
        <w:t xml:space="preserve"> الخبراء، </w:t>
      </w:r>
      <w:r w:rsidR="00247EE3" w:rsidRPr="00813B86">
        <w:rPr>
          <w:rFonts w:hint="cs"/>
          <w:rtl/>
        </w:rPr>
        <w:t>و</w:t>
      </w:r>
      <w:r w:rsidR="00D95C00" w:rsidRPr="00813B86">
        <w:rPr>
          <w:rFonts w:hint="cs"/>
          <w:rtl/>
        </w:rPr>
        <w:t>مراجعة</w:t>
      </w:r>
      <w:r w:rsidR="00D95C00" w:rsidRPr="00813B86">
        <w:rPr>
          <w:rtl/>
        </w:rPr>
        <w:t xml:space="preserve"> ملامح </w:t>
      </w:r>
      <w:r w:rsidR="00D95C00" w:rsidRPr="00813B86">
        <w:rPr>
          <w:rFonts w:hint="cs"/>
          <w:rtl/>
        </w:rPr>
        <w:t>السيرة الذاتية ل</w:t>
      </w:r>
      <w:r w:rsidR="00D95C00" w:rsidRPr="00813B86">
        <w:rPr>
          <w:rtl/>
        </w:rPr>
        <w:t>لخبراء</w:t>
      </w:r>
      <w:r w:rsidR="00D95C00" w:rsidRPr="00813B86">
        <w:rPr>
          <w:rFonts w:hint="cs"/>
          <w:rtl/>
        </w:rPr>
        <w:t xml:space="preserve"> وتوصيف </w:t>
      </w:r>
      <w:r w:rsidR="00D95C00" w:rsidRPr="00813B86">
        <w:rPr>
          <w:rtl/>
        </w:rPr>
        <w:t xml:space="preserve">الوظائف، وإدارة قائمة الخبراء. وفي حالة معالجة هذه المجالات، يمكن تزويد الأمين العام </w:t>
      </w:r>
      <w:r w:rsidR="001E2BA4" w:rsidRPr="00813B86">
        <w:rPr>
          <w:rFonts w:hint="cs"/>
          <w:rtl/>
        </w:rPr>
        <w:t>بتأكيدات</w:t>
      </w:r>
      <w:r w:rsidR="00D95C00" w:rsidRPr="00813B86">
        <w:rPr>
          <w:rtl/>
        </w:rPr>
        <w:t xml:space="preserve"> معقولة بأن هناك </w:t>
      </w:r>
      <w:r w:rsidR="00C10AEE">
        <w:rPr>
          <w:rFonts w:hint="cs"/>
          <w:rtl/>
        </w:rPr>
        <w:t>إدارة</w:t>
      </w:r>
      <w:r w:rsidR="00D95C00" w:rsidRPr="00813B86">
        <w:rPr>
          <w:rtl/>
        </w:rPr>
        <w:t xml:space="preserve"> وإدارة للمخاطر</w:t>
      </w:r>
      <w:r w:rsidR="001E2BA4" w:rsidRPr="00813B86">
        <w:rPr>
          <w:rFonts w:hint="cs"/>
          <w:rtl/>
        </w:rPr>
        <w:t xml:space="preserve"> كافية</w:t>
      </w:r>
      <w:r w:rsidR="00D95C00" w:rsidRPr="00813B86">
        <w:rPr>
          <w:rtl/>
        </w:rPr>
        <w:t>، وأن الضوابط فع</w:t>
      </w:r>
      <w:r w:rsidR="00AB0FFD">
        <w:rPr>
          <w:rFonts w:hint="cs"/>
          <w:rtl/>
        </w:rPr>
        <w:t>ّ</w:t>
      </w:r>
      <w:r w:rsidR="00D95C00" w:rsidRPr="00813B86">
        <w:rPr>
          <w:rtl/>
        </w:rPr>
        <w:t>الة في عمليات تعيين الخبراء الخارجيين.</w:t>
      </w:r>
    </w:p>
    <w:p w:rsidR="00931F25" w:rsidRPr="00813B86" w:rsidRDefault="00931F25" w:rsidP="006C22DD">
      <w:pPr>
        <w:pStyle w:val="Headingb0"/>
        <w:rPr>
          <w:rtl/>
        </w:rPr>
      </w:pPr>
      <w:r w:rsidRPr="006C22DD">
        <w:rPr>
          <w:rtl/>
        </w:rPr>
        <w:t>جيم -</w:t>
      </w:r>
      <w:r w:rsidRPr="006C22DD">
        <w:rPr>
          <w:rtl/>
        </w:rPr>
        <w:tab/>
      </w:r>
      <w:r w:rsidR="001E2BA4" w:rsidRPr="006C22DD">
        <w:rPr>
          <w:rFonts w:hint="cs"/>
          <w:rtl/>
        </w:rPr>
        <w:t xml:space="preserve">مراجعة </w:t>
      </w:r>
      <w:r w:rsidR="001E2BA4" w:rsidRPr="006C22DD">
        <w:rPr>
          <w:rtl/>
        </w:rPr>
        <w:t>الصناديق الاستئمانية</w:t>
      </w:r>
    </w:p>
    <w:p w:rsidR="001E2BA4" w:rsidRPr="00813B86" w:rsidRDefault="00931F25" w:rsidP="00AB61D2">
      <w:pPr>
        <w:rPr>
          <w:rtl/>
          <w:lang w:val="en-CA" w:bidi="ar-EG"/>
        </w:rPr>
      </w:pPr>
      <w:r w:rsidRPr="00813B86">
        <w:t>14</w:t>
      </w:r>
      <w:r w:rsidRPr="00813B86">
        <w:rPr>
          <w:rtl/>
        </w:rPr>
        <w:tab/>
      </w:r>
      <w:r w:rsidR="001E2BA4" w:rsidRPr="00813B86">
        <w:rPr>
          <w:rtl/>
        </w:rPr>
        <w:t xml:space="preserve">أجرت </w:t>
      </w:r>
      <w:r w:rsidR="001E2BA4" w:rsidRPr="00813B86">
        <w:rPr>
          <w:rFonts w:hint="cs"/>
          <w:rtl/>
        </w:rPr>
        <w:t>وحدة المراجعة الداخلية مراجعة للصناديق الاستئمانية للفترة</w:t>
      </w:r>
      <w:r w:rsidR="00D872E6">
        <w:rPr>
          <w:rFonts w:hint="cs"/>
          <w:rtl/>
        </w:rPr>
        <w:t xml:space="preserve"> من</w:t>
      </w:r>
      <w:r w:rsidR="001E2BA4" w:rsidRPr="00813B86">
        <w:rPr>
          <w:rFonts w:hint="cs"/>
          <w:rtl/>
        </w:rPr>
        <w:t xml:space="preserve"> </w:t>
      </w:r>
      <w:r w:rsidR="001E2BA4" w:rsidRPr="00813B86">
        <w:rPr>
          <w:lang w:val="en-CA"/>
        </w:rPr>
        <w:t>2013</w:t>
      </w:r>
      <w:r w:rsidR="001E2BA4" w:rsidRPr="00813B86">
        <w:rPr>
          <w:rFonts w:hint="cs"/>
          <w:rtl/>
          <w:lang w:val="en-CA" w:bidi="ar-EG"/>
        </w:rPr>
        <w:t xml:space="preserve"> إلى </w:t>
      </w:r>
      <w:r w:rsidR="001E2BA4" w:rsidRPr="00813B86">
        <w:rPr>
          <w:lang w:val="en-CA" w:bidi="ar-EG"/>
        </w:rPr>
        <w:t>2015</w:t>
      </w:r>
      <w:r w:rsidR="001E2BA4" w:rsidRPr="00813B86">
        <w:rPr>
          <w:rFonts w:hint="cs"/>
          <w:rtl/>
          <w:lang w:val="en-CA" w:bidi="ar-EG"/>
        </w:rPr>
        <w:t>. وتمثلت أهداف المراجعة في</w:t>
      </w:r>
      <w:r w:rsidR="00AB61D2">
        <w:rPr>
          <w:rFonts w:hint="eastAsia"/>
          <w:rtl/>
          <w:lang w:val="en-CA" w:bidi="ar-EG"/>
        </w:rPr>
        <w:t> </w:t>
      </w:r>
      <w:r w:rsidR="001E2BA4" w:rsidRPr="00813B86">
        <w:rPr>
          <w:rFonts w:hint="cs"/>
          <w:rtl/>
          <w:lang w:val="en-CA" w:bidi="ar-EG"/>
        </w:rPr>
        <w:t xml:space="preserve">تقييم ما يلي: </w:t>
      </w:r>
      <w:r w:rsidR="001E2BA4" w:rsidRPr="00813B86">
        <w:rPr>
          <w:rtl/>
        </w:rPr>
        <w:t>’</w:t>
      </w:r>
      <w:r w:rsidR="001E2BA4" w:rsidRPr="00813B86">
        <w:t>1</w:t>
      </w:r>
      <w:r w:rsidR="001E2BA4" w:rsidRPr="00813B86">
        <w:rPr>
          <w:rtl/>
        </w:rPr>
        <w:t>‘</w:t>
      </w:r>
      <w:r w:rsidR="001E2BA4" w:rsidRPr="00813B86">
        <w:rPr>
          <w:rFonts w:hint="eastAsia"/>
          <w:rtl/>
        </w:rPr>
        <w:t> </w:t>
      </w:r>
      <w:r w:rsidR="001E2BA4" w:rsidRPr="00813B86">
        <w:rPr>
          <w:rFonts w:hint="cs"/>
          <w:rtl/>
        </w:rPr>
        <w:t xml:space="preserve">السياسات القائمة وموثوقية الضوابط الداخلية لتنظيم استعمال الصناديق الاستئمانية؛ </w:t>
      </w:r>
      <w:r w:rsidR="001E2BA4" w:rsidRPr="00813B86">
        <w:rPr>
          <w:rtl/>
        </w:rPr>
        <w:t>’</w:t>
      </w:r>
      <w:r w:rsidR="001E2BA4" w:rsidRPr="00813B86">
        <w:t>2</w:t>
      </w:r>
      <w:r w:rsidR="001E2BA4" w:rsidRPr="00813B86">
        <w:rPr>
          <w:rtl/>
        </w:rPr>
        <w:t>‘</w:t>
      </w:r>
      <w:r w:rsidR="001E2BA4" w:rsidRPr="00813B86">
        <w:rPr>
          <w:rFonts w:hint="eastAsia"/>
          <w:rtl/>
        </w:rPr>
        <w:t> </w:t>
      </w:r>
      <w:r w:rsidR="001E2BA4" w:rsidRPr="00813B86">
        <w:rPr>
          <w:rFonts w:hint="cs"/>
          <w:rtl/>
        </w:rPr>
        <w:t xml:space="preserve">مدى كفاية تخطيط استعمال موارد الصناديق الاستئمانية؛ </w:t>
      </w:r>
      <w:r w:rsidR="001E2BA4" w:rsidRPr="00813B86">
        <w:rPr>
          <w:rtl/>
        </w:rPr>
        <w:t>’</w:t>
      </w:r>
      <w:r w:rsidR="001E2BA4" w:rsidRPr="00813B86">
        <w:t>3</w:t>
      </w:r>
      <w:r w:rsidR="001E2BA4" w:rsidRPr="00813B86">
        <w:rPr>
          <w:rtl/>
        </w:rPr>
        <w:t>‘</w:t>
      </w:r>
      <w:r w:rsidR="001E2BA4" w:rsidRPr="00813B86">
        <w:rPr>
          <w:rFonts w:hint="eastAsia"/>
          <w:rtl/>
        </w:rPr>
        <w:t> </w:t>
      </w:r>
      <w:r w:rsidR="001E2BA4" w:rsidRPr="00813B86">
        <w:rPr>
          <w:rFonts w:hint="cs"/>
          <w:rtl/>
        </w:rPr>
        <w:t>ما إذا كانت الصناديق الاستئمانية تُستعمل بشكل كاف</w:t>
      </w:r>
      <w:r w:rsidR="00AB61D2">
        <w:rPr>
          <w:rFonts w:hint="cs"/>
          <w:rtl/>
        </w:rPr>
        <w:t>ٍ</w:t>
      </w:r>
      <w:r w:rsidR="001E2BA4" w:rsidRPr="00813B86">
        <w:rPr>
          <w:rFonts w:hint="cs"/>
          <w:rtl/>
        </w:rPr>
        <w:t xml:space="preserve"> وبكفاءة لتحقيق أهداف الاتحاد؛ </w:t>
      </w:r>
      <w:r w:rsidR="001E2BA4" w:rsidRPr="00813B86">
        <w:rPr>
          <w:rtl/>
        </w:rPr>
        <w:t>’</w:t>
      </w:r>
      <w:r w:rsidR="001E2BA4" w:rsidRPr="00813B86">
        <w:t>4</w:t>
      </w:r>
      <w:r w:rsidR="001E2BA4" w:rsidRPr="00813B86">
        <w:rPr>
          <w:rtl/>
        </w:rPr>
        <w:t>‘</w:t>
      </w:r>
      <w:r w:rsidR="001E2BA4" w:rsidRPr="00813B86">
        <w:rPr>
          <w:rFonts w:hint="eastAsia"/>
          <w:rtl/>
        </w:rPr>
        <w:t> </w:t>
      </w:r>
      <w:r w:rsidR="001E2BA4" w:rsidRPr="00813B86">
        <w:rPr>
          <w:rFonts w:hint="cs"/>
          <w:rtl/>
        </w:rPr>
        <w:t>اس</w:t>
      </w:r>
      <w:r w:rsidR="005C35F4" w:rsidRPr="00813B86">
        <w:rPr>
          <w:rFonts w:hint="cs"/>
          <w:rtl/>
        </w:rPr>
        <w:t>تعمال الصناديق الاستئمانية</w:t>
      </w:r>
      <w:r w:rsidR="00B11B0E" w:rsidRPr="00813B86">
        <w:rPr>
          <w:rFonts w:hint="cs"/>
          <w:rtl/>
        </w:rPr>
        <w:t xml:space="preserve"> للامتثال للقواعد والإجراءات المعمول بها.</w:t>
      </w:r>
    </w:p>
    <w:p w:rsidR="00B11B0E" w:rsidRPr="00813B86" w:rsidRDefault="00931F25" w:rsidP="00122A5E">
      <w:pPr>
        <w:rPr>
          <w:rtl/>
          <w:lang w:val="en-CA" w:bidi="ar-EG"/>
        </w:rPr>
      </w:pPr>
      <w:r w:rsidRPr="00813B86">
        <w:t>15</w:t>
      </w:r>
      <w:r w:rsidRPr="00813B86">
        <w:rPr>
          <w:rtl/>
        </w:rPr>
        <w:tab/>
      </w:r>
      <w:r w:rsidR="00B11B0E" w:rsidRPr="00813B86">
        <w:rPr>
          <w:rFonts w:hint="cs"/>
          <w:rtl/>
        </w:rPr>
        <w:t xml:space="preserve">ولاحظت وحدة المراجعة الداخلية جوانب إيجابية مثل احتفاظ مكتب تنمية الاتصالات، وخاصة </w:t>
      </w:r>
      <w:r w:rsidR="003B615A">
        <w:rPr>
          <w:rFonts w:hint="cs"/>
          <w:rtl/>
        </w:rPr>
        <w:t>شعبة دعم المشاريع</w:t>
      </w:r>
      <w:r w:rsidR="00A067F3">
        <w:rPr>
          <w:rFonts w:hint="eastAsia"/>
          <w:rtl/>
        </w:rPr>
        <w:t> </w:t>
      </w:r>
      <w:r w:rsidR="00A067F3">
        <w:t>(PRJ)</w:t>
      </w:r>
      <w:r w:rsidR="003B615A">
        <w:rPr>
          <w:rFonts w:hint="cs"/>
          <w:rtl/>
        </w:rPr>
        <w:t xml:space="preserve"> في</w:t>
      </w:r>
      <w:r w:rsidR="003B615A">
        <w:rPr>
          <w:rFonts w:hint="eastAsia"/>
          <w:rtl/>
        </w:rPr>
        <w:t> </w:t>
      </w:r>
      <w:r w:rsidR="00BB6021" w:rsidRPr="00813B86">
        <w:rPr>
          <w:rFonts w:hint="cs"/>
          <w:rtl/>
        </w:rPr>
        <w:t xml:space="preserve">المكتب، </w:t>
      </w:r>
      <w:r w:rsidR="00247EE3" w:rsidRPr="00813B86">
        <w:rPr>
          <w:rFonts w:hint="cs"/>
          <w:rtl/>
        </w:rPr>
        <w:t>ب</w:t>
      </w:r>
      <w:r w:rsidR="00BB6021" w:rsidRPr="00813B86">
        <w:rPr>
          <w:rFonts w:hint="cs"/>
          <w:rtl/>
        </w:rPr>
        <w:t>مبادئ توجيهية مستفيضة لإدارة المشاريع تتماشى مع أفضل الممارسات مثل ا</w:t>
      </w:r>
      <w:r w:rsidR="00BB6021" w:rsidRPr="00813B86">
        <w:rPr>
          <w:rtl/>
        </w:rPr>
        <w:t>لبنية التحتية لإدارة الامتيازات</w:t>
      </w:r>
      <w:r w:rsidR="00BB6021" w:rsidRPr="00813B86">
        <w:rPr>
          <w:rFonts w:hint="cs"/>
          <w:rtl/>
        </w:rPr>
        <w:t> </w:t>
      </w:r>
      <w:r w:rsidR="00BB6021" w:rsidRPr="00813B86">
        <w:rPr>
          <w:lang w:val="en-CA"/>
        </w:rPr>
        <w:t>(</w:t>
      </w:r>
      <w:r w:rsidR="00BB6021" w:rsidRPr="00813B86">
        <w:t>PMI)</w:t>
      </w:r>
      <w:r w:rsidR="00BB6021" w:rsidRPr="00813B86">
        <w:rPr>
          <w:rFonts w:hint="cs"/>
          <w:rtl/>
          <w:lang w:bidi="ar-EG"/>
        </w:rPr>
        <w:t xml:space="preserve"> و</w:t>
      </w:r>
      <w:r w:rsidR="00BB6021" w:rsidRPr="00813B86">
        <w:rPr>
          <w:lang w:val="en-CA" w:bidi="ar-EG"/>
        </w:rPr>
        <w:t>Prince2</w:t>
      </w:r>
      <w:r w:rsidR="00BB6021" w:rsidRPr="00813B86">
        <w:rPr>
          <w:rFonts w:hint="cs"/>
          <w:rtl/>
          <w:lang w:val="en-CA" w:bidi="ar-EG"/>
        </w:rPr>
        <w:t>.</w:t>
      </w:r>
      <w:r w:rsidR="00BF7957" w:rsidRPr="00813B86">
        <w:rPr>
          <w:rFonts w:hint="cs"/>
          <w:rtl/>
          <w:lang w:val="en-CA" w:bidi="ar-EG"/>
        </w:rPr>
        <w:t xml:space="preserve"> وقد بُذلت جهود لتقييس الوثائق المستعملة في إدارة المشاريع</w:t>
      </w:r>
      <w:r w:rsidR="00BF7957" w:rsidRPr="00813B86">
        <w:rPr>
          <w:rFonts w:hint="cs"/>
          <w:rtl/>
        </w:rPr>
        <w:t xml:space="preserve"> وتحتفظ شعبة دعم المشاريع بنماذج مختلفة مثل نماذج لوثائق المشاريع واتفاقات التعاون ضمن غيرها بهدف التوحيد وتحقيق الكفاءة </w:t>
      </w:r>
      <w:r w:rsidR="00247EE3" w:rsidRPr="00813B86">
        <w:rPr>
          <w:rFonts w:hint="cs"/>
          <w:rtl/>
        </w:rPr>
        <w:t>في دعم</w:t>
      </w:r>
      <w:r w:rsidR="00BF7957" w:rsidRPr="00813B86">
        <w:rPr>
          <w:rFonts w:hint="cs"/>
          <w:rtl/>
        </w:rPr>
        <w:t xml:space="preserve"> تنفيذ المشاريع. ونظمت شعبة دعم المشاريع أيضاً دورة تدريبية لموظفي الدرجة ف-</w:t>
      </w:r>
      <w:r w:rsidR="00BF7957" w:rsidRPr="00813B86">
        <w:rPr>
          <w:lang w:val="en-CA"/>
        </w:rPr>
        <w:t>3</w:t>
      </w:r>
      <w:r w:rsidR="00BF7957" w:rsidRPr="00813B86">
        <w:rPr>
          <w:rFonts w:hint="cs"/>
          <w:rtl/>
          <w:lang w:val="en-CA"/>
        </w:rPr>
        <w:t xml:space="preserve"> المعنيين بإدارة المشاريع وتعتزم إجراء المزيد بشكل مستمر سعياً إلى تحسين مهاراتهم لدعم أدوار تنفيذ المشاريع بشكل أفضل. وخلصت وحدة المراجعة الدا</w:t>
      </w:r>
      <w:r w:rsidR="006E5B30">
        <w:rPr>
          <w:rFonts w:hint="cs"/>
          <w:rtl/>
          <w:lang w:val="en-CA"/>
        </w:rPr>
        <w:t>خلية إلى أن هناك هياكل سليمة في</w:t>
      </w:r>
      <w:r w:rsidR="006E5B30">
        <w:rPr>
          <w:rFonts w:hint="eastAsia"/>
          <w:rtl/>
          <w:lang w:val="en-CA"/>
        </w:rPr>
        <w:t> </w:t>
      </w:r>
      <w:r w:rsidR="00BF7957" w:rsidRPr="00813B86">
        <w:rPr>
          <w:rFonts w:hint="cs"/>
          <w:rtl/>
          <w:lang w:val="en-CA"/>
        </w:rPr>
        <w:t>المك</w:t>
      </w:r>
      <w:r w:rsidR="006E5B30">
        <w:rPr>
          <w:rFonts w:hint="cs"/>
          <w:rtl/>
          <w:lang w:val="en-CA"/>
        </w:rPr>
        <w:t xml:space="preserve">تب </w:t>
      </w:r>
      <w:r w:rsidR="00BF7957" w:rsidRPr="00813B86">
        <w:rPr>
          <w:rFonts w:hint="cs"/>
          <w:rtl/>
          <w:lang w:val="en-CA"/>
        </w:rPr>
        <w:t xml:space="preserve">مفيدة لإدارة المخاطر الرئيسية للصناديق الاستئمانية. وخلال عملية المراجعة، خلصت وحدة المراجعة الداخلية أيضاً إلى أن هناك ممارسات جيدة </w:t>
      </w:r>
      <w:r w:rsidR="00122A5E">
        <w:rPr>
          <w:rFonts w:hint="cs"/>
          <w:rtl/>
          <w:lang w:val="en-CA"/>
        </w:rPr>
        <w:t>أخرى</w:t>
      </w:r>
      <w:r w:rsidR="00BF7957" w:rsidRPr="00813B86">
        <w:rPr>
          <w:rFonts w:hint="cs"/>
          <w:rtl/>
          <w:lang w:val="en-CA"/>
        </w:rPr>
        <w:t xml:space="preserve"> مطبقة</w:t>
      </w:r>
      <w:r w:rsidR="00F10CD5">
        <w:rPr>
          <w:rFonts w:hint="cs"/>
          <w:rtl/>
          <w:lang w:val="en-CA"/>
        </w:rPr>
        <w:t xml:space="preserve"> حالياً</w:t>
      </w:r>
      <w:r w:rsidR="00BF7957" w:rsidRPr="00813B86">
        <w:rPr>
          <w:rFonts w:hint="cs"/>
          <w:rtl/>
          <w:lang w:val="en-CA"/>
        </w:rPr>
        <w:t xml:space="preserve"> وتُكمل تقييم المشاريع. وبالإضافة إلى ذلك، أشارت مراجعة وتقييم السياسات إلى أن السياسات التي تنظم استعمال الصناديق الاستئمانية كافية ويُفسرها المستعملون بشكل صحيح. وأشارت مراجعة </w:t>
      </w:r>
      <w:r w:rsidR="00247EE3" w:rsidRPr="00813B86">
        <w:rPr>
          <w:rFonts w:hint="cs"/>
          <w:rtl/>
          <w:lang w:val="en-CA"/>
        </w:rPr>
        <w:t>عينة من</w:t>
      </w:r>
      <w:r w:rsidR="00BF7957" w:rsidRPr="00813B86">
        <w:rPr>
          <w:rFonts w:hint="cs"/>
          <w:rtl/>
          <w:lang w:val="en-CA"/>
        </w:rPr>
        <w:t xml:space="preserve"> المشاريع الممولة باستعمال الصناديق الاستئمانية إلى وجود وثائق للمشاريع واتفاقات قانونية معدة وموقعة على النحو الواجب. ووجد أن </w:t>
      </w:r>
      <w:r w:rsidR="001E4789" w:rsidRPr="00813B86">
        <w:rPr>
          <w:rFonts w:hint="cs"/>
          <w:rtl/>
          <w:lang w:val="en-CA"/>
        </w:rPr>
        <w:t>جميع وثائق السياسات متسقة مع بعضها البعض ولم تُلاحظ بنود متعارضة من سياسة لأخرى.</w:t>
      </w:r>
    </w:p>
    <w:p w:rsidR="001E4789" w:rsidRPr="00813B86" w:rsidRDefault="00931F25" w:rsidP="00326BBC">
      <w:pPr>
        <w:rPr>
          <w:rtl/>
        </w:rPr>
      </w:pPr>
      <w:r w:rsidRPr="00813B86">
        <w:t>16</w:t>
      </w:r>
      <w:r w:rsidRPr="00813B86">
        <w:rPr>
          <w:rtl/>
        </w:rPr>
        <w:tab/>
      </w:r>
      <w:r w:rsidR="001E4789" w:rsidRPr="00813B86">
        <w:rPr>
          <w:rFonts w:hint="cs"/>
          <w:rtl/>
        </w:rPr>
        <w:t xml:space="preserve">غير أنه خُلص إلى أن هناك مخاطر من أن مدد المشاريع ليست كافية بما يسمح باستعمال الموارد في إطار زمني معين. وأوصي بأن يوضع طابع المشروع والقضايا الإقليمية/الوطنية في الاعتبار عند إعداد المشاريع وتحدد مددها من أجل </w:t>
      </w:r>
      <w:r w:rsidR="00A166D8" w:rsidRPr="00813B86">
        <w:rPr>
          <w:rFonts w:hint="cs"/>
          <w:rtl/>
        </w:rPr>
        <w:t>خفض حالات تمديد تاريخ إنها</w:t>
      </w:r>
      <w:r w:rsidR="0028290C">
        <w:rPr>
          <w:rFonts w:hint="cs"/>
          <w:rtl/>
        </w:rPr>
        <w:t>ء</w:t>
      </w:r>
      <w:r w:rsidR="00A166D8" w:rsidRPr="00813B86">
        <w:rPr>
          <w:rFonts w:hint="cs"/>
          <w:rtl/>
        </w:rPr>
        <w:t xml:space="preserve"> المشاريع عن طريق ت</w:t>
      </w:r>
      <w:r w:rsidR="00D3498E" w:rsidRPr="00813B86">
        <w:rPr>
          <w:rFonts w:hint="cs"/>
          <w:rtl/>
        </w:rPr>
        <w:t>عديلات/إضافات إلى أدنى حد. ووافق</w:t>
      </w:r>
      <w:r w:rsidR="00A166D8" w:rsidRPr="00813B86">
        <w:rPr>
          <w:rFonts w:hint="cs"/>
          <w:rtl/>
        </w:rPr>
        <w:t xml:space="preserve"> مكتب تنمية الاتصالات على تلك التوصية وعلق أنه لا</w:t>
      </w:r>
      <w:r w:rsidR="00326BBC">
        <w:rPr>
          <w:rFonts w:hint="eastAsia"/>
          <w:rtl/>
        </w:rPr>
        <w:t> </w:t>
      </w:r>
      <w:r w:rsidR="00A166D8" w:rsidRPr="00813B86">
        <w:rPr>
          <w:rFonts w:hint="cs"/>
          <w:rtl/>
        </w:rPr>
        <w:t>يزال يصر على الالتزام بالتواريخ النهائية، حتى في حالة ظهور قوة قاهرة أو تؤخر البلدان المستفيدة التنفيذ نتيجة أسباب مختلفة. ومن المسائل الأخرى التي لوحظت هي أن الضوابط فع</w:t>
      </w:r>
      <w:r w:rsidR="00A31F7E">
        <w:rPr>
          <w:rFonts w:hint="cs"/>
          <w:rtl/>
        </w:rPr>
        <w:t>ّ</w:t>
      </w:r>
      <w:r w:rsidR="00A166D8" w:rsidRPr="00813B86">
        <w:rPr>
          <w:rFonts w:hint="cs"/>
          <w:rtl/>
        </w:rPr>
        <w:t xml:space="preserve">الة ولكن هناك مخاطر ألا يكون استعمال الصناديق الاستئمانية </w:t>
      </w:r>
      <w:r w:rsidR="00D3498E" w:rsidRPr="00813B86">
        <w:rPr>
          <w:rFonts w:hint="cs"/>
          <w:rtl/>
        </w:rPr>
        <w:t>بالشكل الأمثل</w:t>
      </w:r>
      <w:r w:rsidR="00A166D8" w:rsidRPr="00813B86">
        <w:rPr>
          <w:rFonts w:hint="cs"/>
          <w:rtl/>
        </w:rPr>
        <w:t xml:space="preserve"> لتحقيق أهداف الاتحاد. وأوصي بالنظر في إعداد أداة لإدارة المشاريع وتبادل المعرفة على الإنترنت. وأكد مكتب تنمية الاتصالات أن الجهود المبذولة لإعداد أدوات إضافية بشأن إدارة المشاريع وتبادل المعرفة على الإنترنت سوف تستمر، مع </w:t>
      </w:r>
      <w:r w:rsidR="003B615A">
        <w:rPr>
          <w:rFonts w:hint="cs"/>
          <w:rtl/>
        </w:rPr>
        <w:t>وضع في</w:t>
      </w:r>
      <w:r w:rsidR="003B615A">
        <w:rPr>
          <w:rFonts w:hint="eastAsia"/>
          <w:rtl/>
        </w:rPr>
        <w:t> </w:t>
      </w:r>
      <w:r w:rsidR="00A166D8" w:rsidRPr="00813B86">
        <w:rPr>
          <w:rFonts w:hint="cs"/>
          <w:rtl/>
        </w:rPr>
        <w:t>الاعتبار الانعكاسات المالية ذات الصلة. وأخيراً، لاحظت وحدة المراجعة الداخلية أن السياسات القائمة التي تنظم استعمال الصناديق الاستئمانية موثوقة وكافية إلى حد كبير. ولم تُرفع أي توصية محددة في هذا المجال.</w:t>
      </w:r>
    </w:p>
    <w:p w:rsidR="00AC6AC1" w:rsidRPr="00813B86" w:rsidRDefault="00931F25" w:rsidP="00C86E0F">
      <w:pPr>
        <w:rPr>
          <w:rtl/>
        </w:rPr>
      </w:pPr>
      <w:r w:rsidRPr="00813B86">
        <w:t>17</w:t>
      </w:r>
      <w:r w:rsidRPr="00813B86">
        <w:rPr>
          <w:rtl/>
        </w:rPr>
        <w:tab/>
      </w:r>
      <w:r w:rsidR="00A166D8" w:rsidRPr="00813B86">
        <w:rPr>
          <w:rFonts w:hint="cs"/>
          <w:rtl/>
        </w:rPr>
        <w:t xml:space="preserve">وإجمالاً، </w:t>
      </w:r>
      <w:r w:rsidR="00AC6AC1" w:rsidRPr="00813B86">
        <w:rPr>
          <w:rFonts w:hint="cs"/>
          <w:rtl/>
        </w:rPr>
        <w:t xml:space="preserve">ترى وحدة المراجعة الداخلية أن </w:t>
      </w:r>
      <w:r w:rsidR="00C86E0F">
        <w:rPr>
          <w:rFonts w:hint="cs"/>
          <w:rtl/>
        </w:rPr>
        <w:t>الإدارة</w:t>
      </w:r>
      <w:r w:rsidR="00AC6AC1" w:rsidRPr="00813B86">
        <w:rPr>
          <w:rFonts w:hint="cs"/>
          <w:rtl/>
        </w:rPr>
        <w:t xml:space="preserve"> وعمليات إدارة المخاطر والضوابط الداخلية كافية وفع</w:t>
      </w:r>
      <w:r w:rsidR="0041564F">
        <w:rPr>
          <w:rFonts w:hint="cs"/>
          <w:rtl/>
        </w:rPr>
        <w:t>ّ</w:t>
      </w:r>
      <w:r w:rsidR="00AC6AC1" w:rsidRPr="00813B86">
        <w:rPr>
          <w:rFonts w:hint="cs"/>
          <w:rtl/>
        </w:rPr>
        <w:t xml:space="preserve">الة بشكل معقول </w:t>
      </w:r>
      <w:r w:rsidR="00D3498E" w:rsidRPr="00813B86">
        <w:rPr>
          <w:rFonts w:hint="cs"/>
          <w:rtl/>
        </w:rPr>
        <w:t>ككل</w:t>
      </w:r>
      <w:r w:rsidR="00AC6AC1" w:rsidRPr="00813B86">
        <w:rPr>
          <w:rFonts w:hint="cs"/>
          <w:rtl/>
        </w:rPr>
        <w:t xml:space="preserve">. </w:t>
      </w:r>
      <w:r w:rsidR="009E37EF" w:rsidRPr="00813B86">
        <w:rPr>
          <w:rFonts w:hint="cs"/>
          <w:rtl/>
        </w:rPr>
        <w:t>ويمكن تحقيق بعض التحسن في مجالات مدد المشاريع وتعزيز أدوات إدارة المشاريع فضلاً عن تحسين كبير للأرصدة القائمة لفترة طويلة من غير الصناديق الاستئمانية لمكتب تنمية الاتصالات.</w:t>
      </w:r>
    </w:p>
    <w:p w:rsidR="00931F25" w:rsidRPr="00813B86" w:rsidRDefault="00931F25" w:rsidP="006C22DD">
      <w:pPr>
        <w:pStyle w:val="Headingb0"/>
        <w:rPr>
          <w:rtl/>
        </w:rPr>
      </w:pPr>
      <w:r w:rsidRPr="006C22DD">
        <w:rPr>
          <w:rtl/>
        </w:rPr>
        <w:t>دال -</w:t>
      </w:r>
      <w:r w:rsidRPr="006C22DD">
        <w:rPr>
          <w:rtl/>
        </w:rPr>
        <w:tab/>
      </w:r>
      <w:r w:rsidR="009E37EF" w:rsidRPr="006C22DD">
        <w:rPr>
          <w:rFonts w:hint="cs"/>
          <w:rtl/>
        </w:rPr>
        <w:t>تقييم مخاطر الاحتيال المؤسسية</w:t>
      </w:r>
    </w:p>
    <w:p w:rsidR="009E37EF" w:rsidRPr="00813B86" w:rsidRDefault="00931F25" w:rsidP="00D71938">
      <w:pPr>
        <w:rPr>
          <w:rtl/>
          <w:lang w:val="en-CA" w:bidi="ar-EG"/>
        </w:rPr>
      </w:pPr>
      <w:r w:rsidRPr="00813B86">
        <w:t>18</w:t>
      </w:r>
      <w:r w:rsidRPr="00813B86">
        <w:rPr>
          <w:rtl/>
        </w:rPr>
        <w:tab/>
      </w:r>
      <w:r w:rsidR="009E37EF" w:rsidRPr="00813B86">
        <w:rPr>
          <w:rFonts w:hint="cs"/>
          <w:rtl/>
        </w:rPr>
        <w:t xml:space="preserve"> يسلط تقرير وحدة التفتيش المشتركة </w:t>
      </w:r>
      <w:r w:rsidR="00D3498E" w:rsidRPr="00813B86">
        <w:rPr>
          <w:rFonts w:hint="cs"/>
          <w:rtl/>
        </w:rPr>
        <w:t xml:space="preserve">بشأن </w:t>
      </w:r>
      <w:r w:rsidR="009E37EF" w:rsidRPr="00813B86">
        <w:rPr>
          <w:rFonts w:hint="cs"/>
          <w:rtl/>
        </w:rPr>
        <w:t>"ا</w:t>
      </w:r>
      <w:r w:rsidR="009E37EF" w:rsidRPr="00813B86">
        <w:rPr>
          <w:rtl/>
        </w:rPr>
        <w:t>لغش واكتشافه والتصدي له في مؤسسات منظومة الأمم المتحدة</w:t>
      </w:r>
      <w:r w:rsidR="009E37EF" w:rsidRPr="00813B86">
        <w:rPr>
          <w:rFonts w:hint="cs"/>
          <w:rtl/>
        </w:rPr>
        <w:t>" الضوء</w:t>
      </w:r>
      <w:r w:rsidR="00320656" w:rsidRPr="00813B86">
        <w:rPr>
          <w:rFonts w:hint="cs"/>
          <w:rtl/>
          <w:lang w:bidi="ar-EG"/>
        </w:rPr>
        <w:t xml:space="preserve"> </w:t>
      </w:r>
      <w:r w:rsidR="009E37EF" w:rsidRPr="00813B86">
        <w:rPr>
          <w:rFonts w:hint="cs"/>
          <w:rtl/>
        </w:rPr>
        <w:t>على عدد من أوجه القصور في هذا المجال وتنطبق بعضها على الاتحاد أيضاً</w:t>
      </w:r>
      <w:r w:rsidR="00320656" w:rsidRPr="00813B86">
        <w:rPr>
          <w:rFonts w:hint="cs"/>
          <w:rtl/>
        </w:rPr>
        <w:t xml:space="preserve">. ونظراً للصلة الوثيقة نسبياً بين المراجعات والتحقيقات الخاصة بالاحتيال وكفاءة ومهارات المراجعين، كان من المهم الاستجابة للتوصية المتعلقة بحاجة المنظمة إلى تقييم شامل لمخاطر </w:t>
      </w:r>
      <w:r w:rsidR="00320656" w:rsidRPr="00813B86">
        <w:rPr>
          <w:rFonts w:hint="cs"/>
          <w:rtl/>
        </w:rPr>
        <w:lastRenderedPageBreak/>
        <w:t xml:space="preserve">الاحتيال المؤسسية. وسوف تمثل </w:t>
      </w:r>
      <w:r w:rsidR="00D3498E" w:rsidRPr="00813B86">
        <w:rPr>
          <w:rFonts w:hint="cs"/>
          <w:rtl/>
        </w:rPr>
        <w:t>مثل هذه المراجعة حجر</w:t>
      </w:r>
      <w:r w:rsidR="00320656" w:rsidRPr="00813B86">
        <w:rPr>
          <w:rFonts w:hint="cs"/>
          <w:rtl/>
        </w:rPr>
        <w:t xml:space="preserve"> الزاوية لاستجاب</w:t>
      </w:r>
      <w:r w:rsidR="00D3498E" w:rsidRPr="00813B86">
        <w:rPr>
          <w:rFonts w:hint="cs"/>
          <w:rtl/>
        </w:rPr>
        <w:t>ة</w:t>
      </w:r>
      <w:r w:rsidR="00320656" w:rsidRPr="00813B86">
        <w:rPr>
          <w:rFonts w:hint="cs"/>
          <w:rtl/>
        </w:rPr>
        <w:t xml:space="preserve"> </w:t>
      </w:r>
      <w:r w:rsidR="00D3498E" w:rsidRPr="00813B86">
        <w:rPr>
          <w:rFonts w:hint="cs"/>
          <w:rtl/>
        </w:rPr>
        <w:t>الاتحاد</w:t>
      </w:r>
      <w:r w:rsidR="00320656" w:rsidRPr="00813B86">
        <w:rPr>
          <w:rFonts w:hint="cs"/>
          <w:rtl/>
        </w:rPr>
        <w:t xml:space="preserve"> </w:t>
      </w:r>
      <w:r w:rsidR="00D3498E" w:rsidRPr="00813B86">
        <w:rPr>
          <w:rFonts w:hint="cs"/>
          <w:rtl/>
        </w:rPr>
        <w:t>الكلية</w:t>
      </w:r>
      <w:r w:rsidR="00320656" w:rsidRPr="00813B86">
        <w:rPr>
          <w:rFonts w:hint="cs"/>
          <w:rtl/>
        </w:rPr>
        <w:t xml:space="preserve"> لتوصيات وحدة التفتيش المشتركة</w:t>
      </w:r>
      <w:r w:rsidR="00232C4C">
        <w:rPr>
          <w:rFonts w:hint="cs"/>
          <w:rtl/>
        </w:rPr>
        <w:t xml:space="preserve"> الأخرى</w:t>
      </w:r>
      <w:r w:rsidR="00320656" w:rsidRPr="00813B86">
        <w:rPr>
          <w:rFonts w:hint="cs"/>
          <w:rtl/>
        </w:rPr>
        <w:t xml:space="preserve"> الواردة في هذا التقرير. وأكملت عمليات تقييم مخاطر الاحتيال المؤسسية ومراجعة الوثائق والمقابلات في عام </w:t>
      </w:r>
      <w:r w:rsidR="00320656" w:rsidRPr="00813B86">
        <w:rPr>
          <w:lang w:val="en-CA"/>
        </w:rPr>
        <w:t>2016</w:t>
      </w:r>
      <w:r w:rsidR="00320656" w:rsidRPr="00813B86">
        <w:rPr>
          <w:rFonts w:hint="cs"/>
          <w:rtl/>
          <w:lang w:val="en-CA" w:bidi="ar-EG"/>
        </w:rPr>
        <w:t>. ويستند التقييم إلى أطر تنظيمية</w:t>
      </w:r>
      <w:r w:rsidR="00B46F69" w:rsidRPr="00813B86">
        <w:rPr>
          <w:rFonts w:hint="cs"/>
          <w:rtl/>
          <w:lang w:val="en-CA" w:bidi="ar-EG"/>
        </w:rPr>
        <w:t>، حيث تنبه فيها المعاملات والعمليات والمبادئ التوجيهية والإجراءات عن الاحتيال أو تمنعه، وإلى مقابلات لتحديد كيف ترى المستويات الأدنى من الإدارة وموظفو</w:t>
      </w:r>
      <w:r w:rsidR="009E37EF" w:rsidRPr="00813B86">
        <w:rPr>
          <w:rFonts w:hint="cs"/>
          <w:rtl/>
        </w:rPr>
        <w:t xml:space="preserve"> </w:t>
      </w:r>
      <w:r w:rsidR="00B46F69" w:rsidRPr="00813B86">
        <w:rPr>
          <w:rFonts w:hint="cs"/>
          <w:rtl/>
        </w:rPr>
        <w:t>الخطوط الأمامية مواط</w:t>
      </w:r>
      <w:r w:rsidR="00B46F69" w:rsidRPr="00813B86">
        <w:rPr>
          <w:rFonts w:hint="eastAsia"/>
          <w:rtl/>
        </w:rPr>
        <w:t>ن</w:t>
      </w:r>
      <w:r w:rsidR="00B46F69" w:rsidRPr="00813B86">
        <w:rPr>
          <w:rFonts w:hint="cs"/>
          <w:rtl/>
        </w:rPr>
        <w:t xml:space="preserve"> </w:t>
      </w:r>
      <w:r w:rsidR="00D71938">
        <w:rPr>
          <w:rFonts w:hint="cs"/>
          <w:rtl/>
        </w:rPr>
        <w:t>الضعف</w:t>
      </w:r>
      <w:r w:rsidR="00B46F69" w:rsidRPr="00813B86">
        <w:rPr>
          <w:rFonts w:hint="cs"/>
          <w:rtl/>
        </w:rPr>
        <w:t xml:space="preserve"> في المنظمة. وأُرسِل مشروع التقرير إلى مسؤولي الاتحاد المعنيين. ووضعت التوصيات الواردة في الاعتبار، حسب الاقتضاء، وأُرسِل المشروع النهائي في </w:t>
      </w:r>
      <w:r w:rsidR="00B46F69" w:rsidRPr="00813B86">
        <w:rPr>
          <w:lang w:val="en-CA"/>
        </w:rPr>
        <w:t>30</w:t>
      </w:r>
      <w:r w:rsidR="00B46F69" w:rsidRPr="00813B86">
        <w:rPr>
          <w:rFonts w:hint="cs"/>
          <w:rtl/>
          <w:lang w:val="en-CA" w:bidi="ar-EG"/>
        </w:rPr>
        <w:t xml:space="preserve"> يناير </w:t>
      </w:r>
      <w:r w:rsidR="00B46F69" w:rsidRPr="00813B86">
        <w:rPr>
          <w:lang w:val="en-CA" w:bidi="ar-EG"/>
        </w:rPr>
        <w:t>2017</w:t>
      </w:r>
      <w:r w:rsidR="00B46F69" w:rsidRPr="00813B86">
        <w:rPr>
          <w:rFonts w:hint="cs"/>
          <w:rtl/>
          <w:lang w:val="en-CA" w:bidi="ar-EG"/>
        </w:rPr>
        <w:t xml:space="preserve"> إلى المديرين المعنيين لإبداء التعليقات النهائية. ومن المرجح أن يصدر التقرير في الربع الأول أو الربع الثاني من عام </w:t>
      </w:r>
      <w:r w:rsidR="00B46F69" w:rsidRPr="00813B86">
        <w:rPr>
          <w:lang w:val="en-CA" w:bidi="ar-EG"/>
        </w:rPr>
        <w:t>2017</w:t>
      </w:r>
      <w:r w:rsidR="00D3498E" w:rsidRPr="00813B86">
        <w:rPr>
          <w:rFonts w:hint="cs"/>
          <w:rtl/>
          <w:lang w:val="en-CA" w:bidi="ar-EG"/>
        </w:rPr>
        <w:t xml:space="preserve"> وسيكون تنفيذ</w:t>
      </w:r>
      <w:r w:rsidR="00B46F69" w:rsidRPr="00813B86">
        <w:rPr>
          <w:rFonts w:hint="cs"/>
          <w:rtl/>
          <w:lang w:val="en-CA" w:bidi="ar-EG"/>
        </w:rPr>
        <w:t xml:space="preserve"> التوصيات من الأنشطة المباشرة في الاستجابة لتوصيات وحدة التفتيش المشتركة.</w:t>
      </w:r>
    </w:p>
    <w:p w:rsidR="00931F25" w:rsidRPr="00813B86" w:rsidRDefault="00931F25" w:rsidP="006C22DD">
      <w:pPr>
        <w:pStyle w:val="Headingb0"/>
        <w:rPr>
          <w:rtl/>
        </w:rPr>
      </w:pPr>
      <w:r w:rsidRPr="006C22DD">
        <w:rPr>
          <w:rtl/>
        </w:rPr>
        <w:t>هاء -</w:t>
      </w:r>
      <w:r w:rsidRPr="006C22DD">
        <w:rPr>
          <w:rtl/>
        </w:rPr>
        <w:tab/>
      </w:r>
      <w:r w:rsidR="00B46F69" w:rsidRPr="006C22DD">
        <w:rPr>
          <w:rFonts w:hint="cs"/>
          <w:rtl/>
        </w:rPr>
        <w:t>مراجعة</w:t>
      </w:r>
      <w:r w:rsidR="002E191E" w:rsidRPr="006C22DD">
        <w:rPr>
          <w:rFonts w:hint="cs"/>
          <w:rtl/>
        </w:rPr>
        <w:t xml:space="preserve"> أنشطة</w:t>
      </w:r>
      <w:r w:rsidR="00B46F69" w:rsidRPr="006C22DD">
        <w:rPr>
          <w:rFonts w:hint="cs"/>
          <w:rtl/>
        </w:rPr>
        <w:t xml:space="preserve"> التعلم والتدريب </w:t>
      </w:r>
      <w:r w:rsidR="002E191E" w:rsidRPr="006C22DD">
        <w:rPr>
          <w:rFonts w:hint="cs"/>
          <w:rtl/>
        </w:rPr>
        <w:t>والتطوير</w:t>
      </w:r>
      <w:r w:rsidR="00B46F69" w:rsidRPr="006C22DD">
        <w:rPr>
          <w:rFonts w:hint="cs"/>
          <w:rtl/>
        </w:rPr>
        <w:t xml:space="preserve"> ال</w:t>
      </w:r>
      <w:r w:rsidR="002E191E" w:rsidRPr="006C22DD">
        <w:rPr>
          <w:rFonts w:hint="cs"/>
          <w:rtl/>
        </w:rPr>
        <w:t>مهني</w:t>
      </w:r>
    </w:p>
    <w:p w:rsidR="00B46F69" w:rsidRPr="00813B86" w:rsidRDefault="00931F25" w:rsidP="00B07FD0">
      <w:pPr>
        <w:rPr>
          <w:rtl/>
          <w:lang w:val="en-CA" w:bidi="ar-EG"/>
        </w:rPr>
      </w:pPr>
      <w:r w:rsidRPr="00813B86">
        <w:t>19</w:t>
      </w:r>
      <w:r w:rsidRPr="00813B86">
        <w:rPr>
          <w:rtl/>
        </w:rPr>
        <w:tab/>
      </w:r>
      <w:r w:rsidR="00B46F69" w:rsidRPr="00813B86">
        <w:rPr>
          <w:rFonts w:hint="cs"/>
          <w:rtl/>
        </w:rPr>
        <w:t>أجر</w:t>
      </w:r>
      <w:r w:rsidR="002E191E" w:rsidRPr="00813B86">
        <w:rPr>
          <w:rFonts w:hint="cs"/>
          <w:rtl/>
        </w:rPr>
        <w:t>ت وحدة المراجعة الداخلية مراجعة لأنشطة</w:t>
      </w:r>
      <w:r w:rsidR="002E191E" w:rsidRPr="00813B86">
        <w:rPr>
          <w:rtl/>
        </w:rPr>
        <w:t xml:space="preserve"> التعلم والتدريب </w:t>
      </w:r>
      <w:r w:rsidR="002E191E" w:rsidRPr="00813B86">
        <w:rPr>
          <w:rFonts w:hint="cs"/>
          <w:rtl/>
        </w:rPr>
        <w:t>والتطوير</w:t>
      </w:r>
      <w:r w:rsidR="002E191E" w:rsidRPr="00813B86">
        <w:rPr>
          <w:rtl/>
        </w:rPr>
        <w:t xml:space="preserve"> المهني</w:t>
      </w:r>
      <w:r w:rsidR="002E191E" w:rsidRPr="00813B86">
        <w:rPr>
          <w:rFonts w:hint="cs"/>
          <w:rtl/>
        </w:rPr>
        <w:t xml:space="preserve"> تغطي الفترة من يناير</w:t>
      </w:r>
      <w:r w:rsidR="00787935">
        <w:rPr>
          <w:rFonts w:hint="eastAsia"/>
          <w:rtl/>
        </w:rPr>
        <w:t> </w:t>
      </w:r>
      <w:r w:rsidR="002E191E" w:rsidRPr="00813B86">
        <w:rPr>
          <w:lang w:val="en-CA"/>
        </w:rPr>
        <w:t>2014</w:t>
      </w:r>
      <w:r w:rsidR="00326BBC">
        <w:rPr>
          <w:rFonts w:hint="cs"/>
          <w:rtl/>
          <w:lang w:val="en-CA" w:bidi="ar-EG"/>
        </w:rPr>
        <w:t xml:space="preserve"> إلى ديسمبر</w:t>
      </w:r>
      <w:r w:rsidR="00326BBC">
        <w:rPr>
          <w:rFonts w:hint="eastAsia"/>
          <w:rtl/>
          <w:lang w:val="en-CA" w:bidi="ar-EG"/>
        </w:rPr>
        <w:t> </w:t>
      </w:r>
      <w:r w:rsidR="002E191E" w:rsidRPr="00813B86">
        <w:rPr>
          <w:lang w:val="en-CA" w:bidi="ar-EG"/>
        </w:rPr>
        <w:t>2015</w:t>
      </w:r>
      <w:r w:rsidR="002E191E" w:rsidRPr="00813B86">
        <w:rPr>
          <w:rFonts w:hint="cs"/>
          <w:rtl/>
          <w:lang w:val="en-CA" w:bidi="ar-EG"/>
        </w:rPr>
        <w:t xml:space="preserve">. وكانت أهداف المراجعة هي: </w:t>
      </w:r>
      <w:r w:rsidR="002E191E" w:rsidRPr="00813B86">
        <w:rPr>
          <w:rtl/>
        </w:rPr>
        <w:t>’</w:t>
      </w:r>
      <w:r w:rsidR="002E191E" w:rsidRPr="00813B86">
        <w:t>1</w:t>
      </w:r>
      <w:r w:rsidR="002E191E" w:rsidRPr="00813B86">
        <w:rPr>
          <w:rtl/>
        </w:rPr>
        <w:t>‘</w:t>
      </w:r>
      <w:r w:rsidR="002E191E" w:rsidRPr="00813B86">
        <w:rPr>
          <w:rFonts w:hint="eastAsia"/>
          <w:rtl/>
        </w:rPr>
        <w:t> </w:t>
      </w:r>
      <w:r w:rsidR="002E191E" w:rsidRPr="00813B86">
        <w:rPr>
          <w:rFonts w:hint="cs"/>
          <w:rtl/>
        </w:rPr>
        <w:t xml:space="preserve">تقييم السياسات والتوجيهات القائمة؛ </w:t>
      </w:r>
      <w:r w:rsidR="002E191E" w:rsidRPr="00813B86">
        <w:rPr>
          <w:rtl/>
        </w:rPr>
        <w:t>’</w:t>
      </w:r>
      <w:r w:rsidR="002E191E" w:rsidRPr="00813B86">
        <w:t>2</w:t>
      </w:r>
      <w:r w:rsidR="002E191E" w:rsidRPr="00813B86">
        <w:rPr>
          <w:rtl/>
        </w:rPr>
        <w:t>‘</w:t>
      </w:r>
      <w:r w:rsidR="002E191E" w:rsidRPr="00813B86">
        <w:rPr>
          <w:rFonts w:hint="eastAsia"/>
          <w:rtl/>
        </w:rPr>
        <w:t> </w:t>
      </w:r>
      <w:r w:rsidR="002E191E" w:rsidRPr="00813B86">
        <w:rPr>
          <w:rFonts w:hint="cs"/>
          <w:rtl/>
        </w:rPr>
        <w:t xml:space="preserve">تقييم ميزانية التدريب؛ </w:t>
      </w:r>
      <w:r w:rsidR="002E191E" w:rsidRPr="00813B86">
        <w:rPr>
          <w:rtl/>
        </w:rPr>
        <w:t>’</w:t>
      </w:r>
      <w:r w:rsidR="002E191E" w:rsidRPr="00813B86">
        <w:t>3</w:t>
      </w:r>
      <w:r w:rsidR="002E191E" w:rsidRPr="00813B86">
        <w:rPr>
          <w:rtl/>
        </w:rPr>
        <w:t>‘</w:t>
      </w:r>
      <w:r w:rsidR="002E191E" w:rsidRPr="00813B86">
        <w:rPr>
          <w:rFonts w:hint="eastAsia"/>
          <w:rtl/>
        </w:rPr>
        <w:t> </w:t>
      </w:r>
      <w:r w:rsidR="002E191E" w:rsidRPr="00813B86">
        <w:rPr>
          <w:rFonts w:hint="cs"/>
          <w:rtl/>
        </w:rPr>
        <w:t>تقييم تخطيط أنشطة</w:t>
      </w:r>
      <w:r w:rsidR="002E191E" w:rsidRPr="00813B86">
        <w:rPr>
          <w:rtl/>
        </w:rPr>
        <w:t xml:space="preserve"> التعلم والتدريب </w:t>
      </w:r>
      <w:r w:rsidR="002E191E" w:rsidRPr="00813B86">
        <w:rPr>
          <w:rFonts w:hint="cs"/>
          <w:rtl/>
        </w:rPr>
        <w:t>والتطوير</w:t>
      </w:r>
      <w:r w:rsidR="002E191E" w:rsidRPr="00813B86">
        <w:rPr>
          <w:rtl/>
        </w:rPr>
        <w:t xml:space="preserve"> المهني</w:t>
      </w:r>
      <w:r w:rsidR="002E191E" w:rsidRPr="00813B86">
        <w:rPr>
          <w:rFonts w:hint="cs"/>
          <w:rtl/>
        </w:rPr>
        <w:t xml:space="preserve">؛ </w:t>
      </w:r>
      <w:r w:rsidR="002E191E" w:rsidRPr="00813B86">
        <w:rPr>
          <w:rtl/>
        </w:rPr>
        <w:t>’</w:t>
      </w:r>
      <w:r w:rsidR="002E191E" w:rsidRPr="00813B86">
        <w:t>4</w:t>
      </w:r>
      <w:r w:rsidR="002E191E" w:rsidRPr="00813B86">
        <w:rPr>
          <w:rtl/>
        </w:rPr>
        <w:t>‘</w:t>
      </w:r>
      <w:r w:rsidR="002E191E" w:rsidRPr="00813B86">
        <w:rPr>
          <w:rFonts w:hint="eastAsia"/>
          <w:rtl/>
        </w:rPr>
        <w:t> </w:t>
      </w:r>
      <w:r w:rsidR="002E191E" w:rsidRPr="00813B86">
        <w:rPr>
          <w:rFonts w:hint="cs"/>
          <w:rtl/>
        </w:rPr>
        <w:t xml:space="preserve">تقييم معلومات أنشطة التعلم والتدريب والتطوير المهني والاتصال بشأنها والإبلاغ عنها؛ </w:t>
      </w:r>
      <w:r w:rsidR="002E191E" w:rsidRPr="00813B86">
        <w:rPr>
          <w:rtl/>
        </w:rPr>
        <w:t>’</w:t>
      </w:r>
      <w:r w:rsidR="002E191E" w:rsidRPr="00813B86">
        <w:t>5</w:t>
      </w:r>
      <w:r w:rsidR="002E191E" w:rsidRPr="00813B86">
        <w:rPr>
          <w:rtl/>
        </w:rPr>
        <w:t>‘</w:t>
      </w:r>
      <w:r w:rsidR="002E191E" w:rsidRPr="00813B86">
        <w:rPr>
          <w:rFonts w:hint="eastAsia"/>
          <w:rtl/>
        </w:rPr>
        <w:t> </w:t>
      </w:r>
      <w:r w:rsidR="002E191E" w:rsidRPr="00813B86">
        <w:rPr>
          <w:rFonts w:hint="cs"/>
          <w:rtl/>
        </w:rPr>
        <w:t xml:space="preserve">مراجعة هيكل إطار جهات التنسيق الخاصة بالموارد البشرية. وتبلغ نفقات التدريب، بما في ذلك المركزية والمخصصة لمكتب الاتصالات الراديوية ومكتب </w:t>
      </w:r>
      <w:r w:rsidR="002E4AD3">
        <w:rPr>
          <w:rFonts w:hint="cs"/>
          <w:rtl/>
        </w:rPr>
        <w:t>تقييس</w:t>
      </w:r>
      <w:r w:rsidR="002E191E" w:rsidRPr="00813B86">
        <w:rPr>
          <w:rFonts w:hint="cs"/>
          <w:rtl/>
        </w:rPr>
        <w:t xml:space="preserve"> الاتصالات ومكتب </w:t>
      </w:r>
      <w:r w:rsidR="002E4AD3">
        <w:rPr>
          <w:rFonts w:hint="cs"/>
          <w:rtl/>
        </w:rPr>
        <w:t>تنمية</w:t>
      </w:r>
      <w:r w:rsidR="002E191E" w:rsidRPr="00813B86">
        <w:rPr>
          <w:rFonts w:hint="cs"/>
          <w:rtl/>
        </w:rPr>
        <w:t xml:space="preserve"> الاتصالات، </w:t>
      </w:r>
      <w:r w:rsidR="00B07FD0">
        <w:rPr>
          <w:rFonts w:hint="cs"/>
          <w:rtl/>
        </w:rPr>
        <w:t>دائرة خدمات المعلومات</w:t>
      </w:r>
      <w:r w:rsidR="002E191E" w:rsidRPr="00813B86">
        <w:rPr>
          <w:rFonts w:hint="cs"/>
          <w:rtl/>
          <w:lang w:bidi="ar-EG"/>
        </w:rPr>
        <w:t xml:space="preserve">، </w:t>
      </w:r>
      <w:r w:rsidR="002E191E" w:rsidRPr="00813B86">
        <w:rPr>
          <w:lang w:val="en-CA" w:bidi="ar-EG"/>
        </w:rPr>
        <w:t>509 614</w:t>
      </w:r>
      <w:r w:rsidR="00326BBC">
        <w:rPr>
          <w:rFonts w:hint="eastAsia"/>
          <w:rtl/>
          <w:lang w:val="en-CA" w:bidi="ar-EG"/>
        </w:rPr>
        <w:t> </w:t>
      </w:r>
      <w:r w:rsidR="002E191E" w:rsidRPr="00813B86">
        <w:rPr>
          <w:rFonts w:hint="cs"/>
          <w:rtl/>
          <w:lang w:val="en-CA" w:bidi="ar-EG"/>
        </w:rPr>
        <w:t xml:space="preserve">فرنكاً سويسرياً في عام </w:t>
      </w:r>
      <w:r w:rsidR="002E191E" w:rsidRPr="00813B86">
        <w:rPr>
          <w:lang w:val="en-CA" w:bidi="ar-EG"/>
        </w:rPr>
        <w:t>2014</w:t>
      </w:r>
      <w:r w:rsidR="002E191E" w:rsidRPr="00813B86">
        <w:rPr>
          <w:rFonts w:hint="cs"/>
          <w:rtl/>
          <w:lang w:val="en-CA" w:bidi="ar-EG"/>
        </w:rPr>
        <w:t xml:space="preserve"> (كانت الميزانية قدرها </w:t>
      </w:r>
      <w:r w:rsidR="002E191E" w:rsidRPr="00813B86">
        <w:rPr>
          <w:lang w:val="en-CA" w:bidi="ar-EG"/>
        </w:rPr>
        <w:t>683 500</w:t>
      </w:r>
      <w:r w:rsidR="002E191E" w:rsidRPr="00813B86">
        <w:rPr>
          <w:rFonts w:hint="cs"/>
          <w:rtl/>
          <w:lang w:val="en-CA" w:bidi="ar-EG"/>
        </w:rPr>
        <w:t xml:space="preserve"> فرنك سويسري) و</w:t>
      </w:r>
      <w:r w:rsidR="002E191E" w:rsidRPr="00813B86">
        <w:rPr>
          <w:lang w:val="en-CA" w:bidi="ar-EG"/>
        </w:rPr>
        <w:t>636 120</w:t>
      </w:r>
      <w:r w:rsidR="002E191E" w:rsidRPr="00813B86">
        <w:rPr>
          <w:rFonts w:hint="cs"/>
          <w:rtl/>
          <w:lang w:val="en-CA" w:bidi="ar-EG"/>
        </w:rPr>
        <w:t xml:space="preserve"> فرنكاً سويسرياً </w:t>
      </w:r>
      <w:r w:rsidR="00326BBC">
        <w:rPr>
          <w:rFonts w:hint="cs"/>
          <w:rtl/>
          <w:lang w:val="en-CA" w:bidi="ar-EG"/>
        </w:rPr>
        <w:t>في عام</w:t>
      </w:r>
      <w:r w:rsidR="00326BBC">
        <w:rPr>
          <w:rFonts w:hint="eastAsia"/>
          <w:rtl/>
          <w:lang w:val="en-CA" w:bidi="ar-EG"/>
        </w:rPr>
        <w:t> </w:t>
      </w:r>
      <w:r w:rsidR="00F42EAF">
        <w:rPr>
          <w:lang w:val="en-CA" w:bidi="ar-EG"/>
        </w:rPr>
        <w:t>2015</w:t>
      </w:r>
      <w:r w:rsidR="00D3498E" w:rsidRPr="00813B86">
        <w:rPr>
          <w:rFonts w:hint="cs"/>
          <w:rtl/>
          <w:lang w:val="en-CA" w:bidi="ar-EG"/>
        </w:rPr>
        <w:t xml:space="preserve"> </w:t>
      </w:r>
      <w:r w:rsidR="002E191E" w:rsidRPr="00813B86">
        <w:rPr>
          <w:rFonts w:hint="cs"/>
          <w:rtl/>
          <w:lang w:val="en-CA" w:bidi="ar-EG"/>
        </w:rPr>
        <w:t xml:space="preserve">(كانت الميزانية قدرها </w:t>
      </w:r>
      <w:r w:rsidR="002E191E" w:rsidRPr="00813B86">
        <w:rPr>
          <w:lang w:val="en-CA" w:bidi="ar-EG"/>
        </w:rPr>
        <w:t>678 500</w:t>
      </w:r>
      <w:r w:rsidR="002E191E" w:rsidRPr="00813B86">
        <w:rPr>
          <w:rFonts w:hint="cs"/>
          <w:rtl/>
          <w:lang w:val="en-CA" w:bidi="ar-EG"/>
        </w:rPr>
        <w:t xml:space="preserve"> فرنك سويسري). وهذا المبلغ يقابل ما يقرب من </w:t>
      </w:r>
      <w:r w:rsidR="002E191E" w:rsidRPr="00813B86">
        <w:rPr>
          <w:lang w:val="en-CA" w:bidi="ar-EG"/>
        </w:rPr>
        <w:t>1</w:t>
      </w:r>
      <w:r w:rsidR="002E191E" w:rsidRPr="00813B86">
        <w:rPr>
          <w:rFonts w:hint="cs"/>
          <w:rtl/>
          <w:lang w:val="en-CA" w:bidi="ar-EG"/>
        </w:rPr>
        <w:t xml:space="preserve"> في المائة من تكاليف موظفي الاتحاد.</w:t>
      </w:r>
    </w:p>
    <w:p w:rsidR="00E21FF9" w:rsidRPr="003D5344" w:rsidRDefault="00931F25" w:rsidP="00AD2752">
      <w:pPr>
        <w:rPr>
          <w:spacing w:val="-2"/>
          <w:rtl/>
        </w:rPr>
      </w:pPr>
      <w:bookmarkStart w:id="2" w:name="_GoBack"/>
      <w:r w:rsidRPr="003D5344">
        <w:rPr>
          <w:spacing w:val="-2"/>
        </w:rPr>
        <w:t>20</w:t>
      </w:r>
      <w:r w:rsidRPr="003D5344">
        <w:rPr>
          <w:spacing w:val="-2"/>
          <w:rtl/>
        </w:rPr>
        <w:tab/>
      </w:r>
      <w:r w:rsidR="002E191E" w:rsidRPr="003D5344">
        <w:rPr>
          <w:rFonts w:hint="cs"/>
          <w:spacing w:val="-2"/>
          <w:rtl/>
        </w:rPr>
        <w:t xml:space="preserve">وخلصت وحدة المراجعة الداخلية إلى أن السياسة السارية حالياً في </w:t>
      </w:r>
      <w:r w:rsidR="001C427D" w:rsidRPr="003D5344">
        <w:rPr>
          <w:rFonts w:hint="cs"/>
          <w:spacing w:val="-2"/>
          <w:rtl/>
        </w:rPr>
        <w:t xml:space="preserve">الاتحاد قديمة ولا توفر توجيهات واضحة للموظفين والمديرين. وأوصي </w:t>
      </w:r>
      <w:r w:rsidR="00E21FF9" w:rsidRPr="003D5344">
        <w:rPr>
          <w:rFonts w:hint="cs"/>
          <w:spacing w:val="-2"/>
          <w:rtl/>
        </w:rPr>
        <w:t>باعتماد</w:t>
      </w:r>
      <w:r w:rsidR="001C427D" w:rsidRPr="003D5344">
        <w:rPr>
          <w:rFonts w:hint="cs"/>
          <w:spacing w:val="-2"/>
          <w:rtl/>
        </w:rPr>
        <w:t xml:space="preserve"> </w:t>
      </w:r>
      <w:r w:rsidR="00E21FF9" w:rsidRPr="003D5344">
        <w:rPr>
          <w:rFonts w:hint="cs"/>
          <w:spacing w:val="-2"/>
          <w:rtl/>
        </w:rPr>
        <w:t xml:space="preserve">بشكل رسمي </w:t>
      </w:r>
      <w:r w:rsidR="001C427D" w:rsidRPr="003D5344">
        <w:rPr>
          <w:rFonts w:hint="cs"/>
          <w:spacing w:val="-2"/>
          <w:rtl/>
        </w:rPr>
        <w:t xml:space="preserve">سياسة والإجراء المرتبط بها بشأن </w:t>
      </w:r>
      <w:r w:rsidR="00E21FF9" w:rsidRPr="003D5344">
        <w:rPr>
          <w:rFonts w:hint="cs"/>
          <w:spacing w:val="-2"/>
          <w:rtl/>
        </w:rPr>
        <w:t xml:space="preserve">تناول جميع </w:t>
      </w:r>
      <w:r w:rsidR="001C427D" w:rsidRPr="003D5344">
        <w:rPr>
          <w:rFonts w:hint="cs"/>
          <w:spacing w:val="-2"/>
          <w:rtl/>
        </w:rPr>
        <w:t xml:space="preserve">عمليات التعلم والتدريب والتطوير المهني. ووافقت </w:t>
      </w:r>
      <w:r w:rsidR="00F3404F" w:rsidRPr="003D5344">
        <w:rPr>
          <w:rFonts w:hint="cs"/>
          <w:spacing w:val="-2"/>
          <w:rtl/>
        </w:rPr>
        <w:t xml:space="preserve">دائرة </w:t>
      </w:r>
      <w:r w:rsidR="001C427D" w:rsidRPr="003D5344">
        <w:rPr>
          <w:rFonts w:hint="cs"/>
          <w:spacing w:val="-2"/>
          <w:rtl/>
        </w:rPr>
        <w:t xml:space="preserve">إدارة الموارد البشرية </w:t>
      </w:r>
      <w:r w:rsidR="00AD2752" w:rsidRPr="003D5344">
        <w:rPr>
          <w:rFonts w:hint="cs"/>
          <w:spacing w:val="-2"/>
          <w:rtl/>
        </w:rPr>
        <w:t>والدوائر</w:t>
      </w:r>
      <w:r w:rsidR="001C427D" w:rsidRPr="003D5344">
        <w:rPr>
          <w:rFonts w:hint="cs"/>
          <w:spacing w:val="-2"/>
          <w:rtl/>
        </w:rPr>
        <w:t xml:space="preserve"> الأخرى على هذه التوصية. </w:t>
      </w:r>
      <w:r w:rsidR="00F3404F" w:rsidRPr="003D5344">
        <w:rPr>
          <w:rFonts w:hint="cs"/>
          <w:spacing w:val="-2"/>
          <w:rtl/>
        </w:rPr>
        <w:t>وأشير إلى أن إدارة م</w:t>
      </w:r>
      <w:r w:rsidR="006C0D2A" w:rsidRPr="003D5344">
        <w:rPr>
          <w:rFonts w:hint="cs"/>
          <w:spacing w:val="-2"/>
          <w:rtl/>
        </w:rPr>
        <w:t>يزانية التدريب مناسبة ولكنها لا</w:t>
      </w:r>
      <w:r w:rsidR="006C0D2A" w:rsidRPr="003D5344">
        <w:rPr>
          <w:rFonts w:hint="eastAsia"/>
          <w:spacing w:val="-2"/>
          <w:rtl/>
        </w:rPr>
        <w:t> </w:t>
      </w:r>
      <w:r w:rsidR="00F3404F" w:rsidRPr="003D5344">
        <w:rPr>
          <w:rFonts w:hint="cs"/>
          <w:spacing w:val="-2"/>
          <w:rtl/>
        </w:rPr>
        <w:t>تقوم على أساس "الاحتياجات". وبالتالي، أوصي بإجراء تحليل للفجو</w:t>
      </w:r>
      <w:r w:rsidR="00E21FF9" w:rsidRPr="003D5344">
        <w:rPr>
          <w:rFonts w:hint="cs"/>
          <w:spacing w:val="-2"/>
          <w:rtl/>
        </w:rPr>
        <w:t>ات</w:t>
      </w:r>
      <w:r w:rsidR="00F3404F" w:rsidRPr="003D5344">
        <w:rPr>
          <w:rFonts w:hint="cs"/>
          <w:spacing w:val="-2"/>
          <w:rtl/>
        </w:rPr>
        <w:t xml:space="preserve"> في المهارات والكفاءات لتحديد برامج التدريب متوسطة المدى ومستويات الموارد ذات الصلة. كما أشير إلى أن العمليات المتعلقة بالتخطيط والمعلومات وإعداد التقارير ليست </w:t>
      </w:r>
      <w:r w:rsidR="00BC2D37" w:rsidRPr="003D5344">
        <w:rPr>
          <w:rFonts w:hint="cs"/>
          <w:spacing w:val="-2"/>
          <w:rtl/>
        </w:rPr>
        <w:t>بالأمثل</w:t>
      </w:r>
      <w:r w:rsidR="00F3404F" w:rsidRPr="003D5344">
        <w:rPr>
          <w:rFonts w:hint="cs"/>
          <w:spacing w:val="-2"/>
          <w:rtl/>
        </w:rPr>
        <w:t xml:space="preserve"> وليست منسقة بما فيه الكفاية.</w:t>
      </w:r>
      <w:r w:rsidR="00E21FF9" w:rsidRPr="003D5344">
        <w:rPr>
          <w:rFonts w:hint="cs"/>
          <w:spacing w:val="-2"/>
          <w:rtl/>
        </w:rPr>
        <w:t xml:space="preserve"> </w:t>
      </w:r>
      <w:r w:rsidR="00F3404F" w:rsidRPr="003D5344">
        <w:rPr>
          <w:rFonts w:hint="cs"/>
          <w:spacing w:val="-2"/>
          <w:rtl/>
        </w:rPr>
        <w:t xml:space="preserve">ولذلك، أوصي بأن تقدم المكاتب/الدوائر </w:t>
      </w:r>
      <w:r w:rsidR="00F3404F" w:rsidRPr="003D5344">
        <w:rPr>
          <w:rFonts w:hint="cs"/>
          <w:i/>
          <w:iCs/>
          <w:spacing w:val="-2"/>
          <w:rtl/>
        </w:rPr>
        <w:t>تقييمات احتياجاتها</w:t>
      </w:r>
      <w:r w:rsidR="00F3404F" w:rsidRPr="003D5344">
        <w:rPr>
          <w:rFonts w:hint="cs"/>
          <w:spacing w:val="-2"/>
          <w:rtl/>
        </w:rPr>
        <w:t xml:space="preserve"> سنوياً في نموذج تعده دائرة إدارة الموارد البشرية، بحيث تقدم تقارير عن أنشطتها التدريبية في نموذج تعده دائرة إدارة الموارد البشرية وأن تُيسر عملية المطابقة بين البيانات المالية المتعلقة بالتدريب والبيانات المالية المتعلقة بملامح التدريب بأداة</w:t>
      </w:r>
      <w:r w:rsidR="00147182" w:rsidRPr="003D5344">
        <w:rPr>
          <w:rFonts w:hint="cs"/>
          <w:spacing w:val="-2"/>
          <w:rtl/>
        </w:rPr>
        <w:t xml:space="preserve"> أوتوماتية. وأعرب معظم المكاتب/</w:t>
      </w:r>
      <w:r w:rsidR="00F3404F" w:rsidRPr="003D5344">
        <w:rPr>
          <w:rFonts w:hint="cs"/>
          <w:spacing w:val="-2"/>
          <w:rtl/>
        </w:rPr>
        <w:t>الدوائر ودائرة إدارة الموارد البشرية عن موافقتها على التوصية. وفيما يتعلق بجهات التنسي</w:t>
      </w:r>
      <w:r w:rsidR="00F3404F" w:rsidRPr="003D5344">
        <w:rPr>
          <w:rFonts w:hint="eastAsia"/>
          <w:spacing w:val="-2"/>
          <w:rtl/>
        </w:rPr>
        <w:t>ق</w:t>
      </w:r>
      <w:r w:rsidR="00F3404F" w:rsidRPr="003D5344">
        <w:rPr>
          <w:rFonts w:hint="cs"/>
          <w:spacing w:val="-2"/>
          <w:rtl/>
        </w:rPr>
        <w:t xml:space="preserve"> المعنية بالم</w:t>
      </w:r>
      <w:r w:rsidR="00E21FF9" w:rsidRPr="003D5344">
        <w:rPr>
          <w:rFonts w:hint="cs"/>
          <w:spacing w:val="-2"/>
          <w:rtl/>
        </w:rPr>
        <w:t>و</w:t>
      </w:r>
      <w:r w:rsidR="00F3404F" w:rsidRPr="003D5344">
        <w:rPr>
          <w:rFonts w:hint="cs"/>
          <w:spacing w:val="-2"/>
          <w:rtl/>
        </w:rPr>
        <w:t>ارد البشرية في المكاتب/الدوائر، فإن دوران الموظفين يعرض الاتحاد لمخاطر توقف المسؤوليات. وأوصي بتأمين مسؤوليات تغيير الموظفين في جهات التنسيق المعني</w:t>
      </w:r>
      <w:r w:rsidR="00787935" w:rsidRPr="003D5344">
        <w:rPr>
          <w:rFonts w:hint="cs"/>
          <w:spacing w:val="-2"/>
          <w:rtl/>
        </w:rPr>
        <w:t>ة بالموارد البشرية (على المستوى</w:t>
      </w:r>
      <w:r w:rsidR="00787935" w:rsidRPr="003D5344">
        <w:rPr>
          <w:rFonts w:hint="eastAsia"/>
          <w:spacing w:val="-2"/>
          <w:rtl/>
        </w:rPr>
        <w:t> </w:t>
      </w:r>
      <w:r w:rsidR="00F3404F" w:rsidRPr="003D5344">
        <w:rPr>
          <w:rFonts w:hint="cs"/>
          <w:spacing w:val="-2"/>
          <w:rtl/>
        </w:rPr>
        <w:t>المركزي).</w:t>
      </w:r>
    </w:p>
    <w:bookmarkEnd w:id="2"/>
    <w:p w:rsidR="00E21FF9" w:rsidRPr="00813B86" w:rsidRDefault="00931F25" w:rsidP="00D654C6">
      <w:pPr>
        <w:rPr>
          <w:rtl/>
        </w:rPr>
      </w:pPr>
      <w:r w:rsidRPr="00813B86">
        <w:t>21</w:t>
      </w:r>
      <w:r w:rsidRPr="00813B86">
        <w:rPr>
          <w:rtl/>
        </w:rPr>
        <w:tab/>
      </w:r>
      <w:r w:rsidR="00F3404F" w:rsidRPr="00813B86">
        <w:rPr>
          <w:rFonts w:hint="cs"/>
          <w:rtl/>
        </w:rPr>
        <w:t xml:space="preserve">وإجمالاً، ترى وحدة المراجعة الداخلية أن </w:t>
      </w:r>
      <w:r w:rsidR="00D654C6">
        <w:rPr>
          <w:rFonts w:hint="cs"/>
          <w:rtl/>
        </w:rPr>
        <w:t>الإدارة</w:t>
      </w:r>
      <w:r w:rsidR="00F3404F" w:rsidRPr="00813B86">
        <w:rPr>
          <w:rFonts w:hint="cs"/>
          <w:rtl/>
        </w:rPr>
        <w:t xml:space="preserve"> وعمليات إدارة المخاطر والضوابط </w:t>
      </w:r>
      <w:r w:rsidR="003B615A">
        <w:rPr>
          <w:rFonts w:hint="cs"/>
          <w:rtl/>
        </w:rPr>
        <w:t>الداخلية ليست مناسبة وفع</w:t>
      </w:r>
      <w:r w:rsidR="0034593E">
        <w:rPr>
          <w:rFonts w:hint="cs"/>
          <w:rtl/>
        </w:rPr>
        <w:t>ّ</w:t>
      </w:r>
      <w:r w:rsidR="003B615A">
        <w:rPr>
          <w:rFonts w:hint="cs"/>
          <w:rtl/>
        </w:rPr>
        <w:t>الة بما</w:t>
      </w:r>
      <w:r w:rsidR="003B615A">
        <w:rPr>
          <w:rFonts w:hint="eastAsia"/>
          <w:rtl/>
        </w:rPr>
        <w:t> </w:t>
      </w:r>
      <w:r w:rsidR="00F3404F" w:rsidRPr="00813B86">
        <w:rPr>
          <w:rFonts w:hint="cs"/>
          <w:rtl/>
        </w:rPr>
        <w:t>فيه الكفاية. وينبغي تحقيق تحسينات في مجالات السياسات والإجراءات والتخطيط والإبلاغ. غير أن المعاملات ممتثلة بما فيه الكفاية للإجراءات الحالية والممارسة المعمول بها.</w:t>
      </w:r>
    </w:p>
    <w:p w:rsidR="00931F25" w:rsidRPr="00813B86" w:rsidRDefault="00931F25" w:rsidP="006C22DD">
      <w:pPr>
        <w:pStyle w:val="Headingb0"/>
        <w:rPr>
          <w:rtl/>
        </w:rPr>
      </w:pPr>
      <w:r w:rsidRPr="006C22DD">
        <w:rPr>
          <w:rtl/>
        </w:rPr>
        <w:t>واو -</w:t>
      </w:r>
      <w:r w:rsidRPr="006C22DD">
        <w:rPr>
          <w:rtl/>
        </w:rPr>
        <w:tab/>
      </w:r>
      <w:r w:rsidR="00CE41EC" w:rsidRPr="006C22DD">
        <w:rPr>
          <w:rFonts w:hint="cs"/>
          <w:rtl/>
        </w:rPr>
        <w:t>مراجعة عقود تكنولوجيا المعلومات والاتصالات والإيجارات وخدمات الصيانة</w:t>
      </w:r>
    </w:p>
    <w:p w:rsidR="00CE41EC" w:rsidRPr="00813B86" w:rsidRDefault="00931F25" w:rsidP="008C1836">
      <w:pPr>
        <w:rPr>
          <w:rtl/>
          <w:lang w:val="en-CA" w:bidi="ar-EG"/>
        </w:rPr>
      </w:pPr>
      <w:r w:rsidRPr="00813B86">
        <w:t>22</w:t>
      </w:r>
      <w:r w:rsidRPr="00813B86">
        <w:rPr>
          <w:rtl/>
        </w:rPr>
        <w:tab/>
      </w:r>
      <w:r w:rsidR="00CE41EC" w:rsidRPr="00813B86">
        <w:rPr>
          <w:rFonts w:hint="cs"/>
          <w:rtl/>
        </w:rPr>
        <w:t>أجرت وحدة المراجعة الداخلية مراجعة ل</w:t>
      </w:r>
      <w:r w:rsidR="00CE41EC" w:rsidRPr="00813B86">
        <w:rPr>
          <w:rtl/>
        </w:rPr>
        <w:t>عقود تكنولوجيا المعلومات والاتصالات والإيجارات وخدمات الصيانة</w:t>
      </w:r>
      <w:r w:rsidR="00CE41EC" w:rsidRPr="00813B86">
        <w:rPr>
          <w:rFonts w:hint="cs"/>
          <w:rtl/>
        </w:rPr>
        <w:t xml:space="preserve"> للفترة من عام</w:t>
      </w:r>
      <w:r w:rsidR="00F152AB">
        <w:rPr>
          <w:rFonts w:hint="eastAsia"/>
          <w:rtl/>
        </w:rPr>
        <w:t> </w:t>
      </w:r>
      <w:r w:rsidR="00CE41EC" w:rsidRPr="00813B86">
        <w:rPr>
          <w:lang w:val="en-CA"/>
        </w:rPr>
        <w:t>2013</w:t>
      </w:r>
      <w:r w:rsidR="00CE41EC" w:rsidRPr="00813B86">
        <w:rPr>
          <w:rFonts w:hint="cs"/>
          <w:rtl/>
          <w:lang w:val="en-CA" w:bidi="ar-EG"/>
        </w:rPr>
        <w:t xml:space="preserve"> إلى</w:t>
      </w:r>
      <w:r w:rsidR="00886A19" w:rsidRPr="00813B86">
        <w:rPr>
          <w:rFonts w:hint="cs"/>
          <w:rtl/>
          <w:lang w:val="en-CA" w:bidi="ar-EG"/>
        </w:rPr>
        <w:t xml:space="preserve"> عام</w:t>
      </w:r>
      <w:r w:rsidR="00CE41EC" w:rsidRPr="00813B86">
        <w:rPr>
          <w:rFonts w:hint="cs"/>
          <w:rtl/>
          <w:lang w:val="en-CA" w:bidi="ar-EG"/>
        </w:rPr>
        <w:t xml:space="preserve"> </w:t>
      </w:r>
      <w:r w:rsidR="00CE41EC" w:rsidRPr="00813B86">
        <w:rPr>
          <w:lang w:val="en-CA" w:bidi="ar-EG"/>
        </w:rPr>
        <w:t>2015</w:t>
      </w:r>
      <w:r w:rsidR="00CE41EC" w:rsidRPr="00813B86">
        <w:rPr>
          <w:rFonts w:hint="cs"/>
          <w:rtl/>
          <w:lang w:val="en-CA" w:bidi="ar-EG"/>
        </w:rPr>
        <w:t xml:space="preserve">. وكانت أهداف المراجعة هي: </w:t>
      </w:r>
      <w:r w:rsidR="00CE41EC" w:rsidRPr="00813B86">
        <w:rPr>
          <w:rtl/>
        </w:rPr>
        <w:t>’</w:t>
      </w:r>
      <w:r w:rsidR="00CE41EC" w:rsidRPr="00813B86">
        <w:t>1</w:t>
      </w:r>
      <w:r w:rsidR="00CE41EC" w:rsidRPr="00813B86">
        <w:rPr>
          <w:rtl/>
        </w:rPr>
        <w:t>‘</w:t>
      </w:r>
      <w:r w:rsidR="00CE41EC" w:rsidRPr="00813B86">
        <w:rPr>
          <w:rFonts w:hint="eastAsia"/>
          <w:rtl/>
        </w:rPr>
        <w:t> </w:t>
      </w:r>
      <w:r w:rsidR="00CE41EC" w:rsidRPr="00813B86">
        <w:rPr>
          <w:rFonts w:hint="cs"/>
          <w:rtl/>
        </w:rPr>
        <w:t xml:space="preserve">تقييم مدى كفاية السياسات التي تنظم </w:t>
      </w:r>
      <w:r w:rsidR="00CE41EC" w:rsidRPr="00813B86">
        <w:rPr>
          <w:rtl/>
        </w:rPr>
        <w:t>عقود تكنولوجيا المعلومات والاتصالات والإيجارات وخدمات الصيانة</w:t>
      </w:r>
      <w:r w:rsidR="00CE41EC" w:rsidRPr="00813B86">
        <w:rPr>
          <w:rFonts w:hint="cs"/>
          <w:rtl/>
        </w:rPr>
        <w:t xml:space="preserve"> وموثوقيتها في تأمين أصول الاتحاد؛ </w:t>
      </w:r>
      <w:r w:rsidR="00CE41EC" w:rsidRPr="00813B86">
        <w:rPr>
          <w:rtl/>
        </w:rPr>
        <w:t>’</w:t>
      </w:r>
      <w:r w:rsidR="00CE41EC" w:rsidRPr="00813B86">
        <w:t>2</w:t>
      </w:r>
      <w:r w:rsidR="00CE41EC" w:rsidRPr="00813B86">
        <w:rPr>
          <w:rtl/>
        </w:rPr>
        <w:t>‘</w:t>
      </w:r>
      <w:r w:rsidR="00CE41EC" w:rsidRPr="00813B86">
        <w:rPr>
          <w:rFonts w:hint="eastAsia"/>
          <w:rtl/>
        </w:rPr>
        <w:t> </w:t>
      </w:r>
      <w:r w:rsidR="00CE41EC" w:rsidRPr="00813B86">
        <w:rPr>
          <w:rFonts w:hint="cs"/>
          <w:rtl/>
        </w:rPr>
        <w:t xml:space="preserve">تقييم الكفاءة </w:t>
      </w:r>
      <w:r w:rsidR="000C614D">
        <w:rPr>
          <w:rFonts w:hint="cs"/>
          <w:rtl/>
        </w:rPr>
        <w:t>والاستعمال الاقتصادي للموارد في</w:t>
      </w:r>
      <w:r w:rsidR="000C614D">
        <w:rPr>
          <w:rFonts w:hint="eastAsia"/>
          <w:rtl/>
        </w:rPr>
        <w:t> </w:t>
      </w:r>
      <w:r w:rsidR="00CE41EC" w:rsidRPr="00813B86">
        <w:rPr>
          <w:rtl/>
        </w:rPr>
        <w:t>عقود تكنولوجيا المعلومات والاتصالات والإيجارات وخدمات الصيانة</w:t>
      </w:r>
      <w:r w:rsidR="00CE41EC" w:rsidRPr="00813B86">
        <w:rPr>
          <w:rFonts w:hint="cs"/>
          <w:rtl/>
        </w:rPr>
        <w:t xml:space="preserve">؛ </w:t>
      </w:r>
      <w:r w:rsidR="00CE41EC" w:rsidRPr="00813B86">
        <w:rPr>
          <w:rtl/>
        </w:rPr>
        <w:t>’</w:t>
      </w:r>
      <w:r w:rsidR="00CE41EC" w:rsidRPr="00813B86">
        <w:t>3</w:t>
      </w:r>
      <w:r w:rsidR="00CE41EC" w:rsidRPr="00813B86">
        <w:rPr>
          <w:rtl/>
        </w:rPr>
        <w:t>‘</w:t>
      </w:r>
      <w:r w:rsidR="00CE41EC" w:rsidRPr="00813B86">
        <w:rPr>
          <w:rFonts w:hint="eastAsia"/>
          <w:rtl/>
        </w:rPr>
        <w:t> </w:t>
      </w:r>
      <w:r w:rsidR="00CE41EC" w:rsidRPr="00813B86">
        <w:rPr>
          <w:rFonts w:hint="cs"/>
          <w:rtl/>
        </w:rPr>
        <w:t xml:space="preserve">تقييم موثوقية الإبلاغ عن </w:t>
      </w:r>
      <w:r w:rsidR="00CE41EC" w:rsidRPr="00813B86">
        <w:rPr>
          <w:rtl/>
        </w:rPr>
        <w:t>عقود تكنولوجيا المعلومات والاتصالات والإيجارات وخدمات الصيانة</w:t>
      </w:r>
      <w:r w:rsidR="00CE41EC" w:rsidRPr="00813B86">
        <w:rPr>
          <w:rFonts w:hint="cs"/>
          <w:rtl/>
        </w:rPr>
        <w:t xml:space="preserve">؛ </w:t>
      </w:r>
      <w:r w:rsidR="00CE41EC" w:rsidRPr="00813B86">
        <w:rPr>
          <w:rtl/>
        </w:rPr>
        <w:t>’</w:t>
      </w:r>
      <w:r w:rsidR="00CE41EC" w:rsidRPr="00813B86">
        <w:t>4</w:t>
      </w:r>
      <w:r w:rsidR="00CE41EC" w:rsidRPr="00813B86">
        <w:rPr>
          <w:rtl/>
        </w:rPr>
        <w:t>‘</w:t>
      </w:r>
      <w:r w:rsidR="00CE41EC" w:rsidRPr="00813B86">
        <w:rPr>
          <w:rFonts w:hint="eastAsia"/>
          <w:rtl/>
        </w:rPr>
        <w:t> </w:t>
      </w:r>
      <w:r w:rsidR="00CE41EC" w:rsidRPr="00813B86">
        <w:rPr>
          <w:rFonts w:hint="cs"/>
          <w:rtl/>
        </w:rPr>
        <w:t xml:space="preserve">تقييم فعالية الضوابط والامتثال للسياسات المعمول بها في إدارة عقود تكنولوجيا المعلومات والإيجارات وخدمات الصيانة؛ </w:t>
      </w:r>
      <w:r w:rsidR="00CE41EC" w:rsidRPr="00813B86">
        <w:rPr>
          <w:rtl/>
        </w:rPr>
        <w:t>’</w:t>
      </w:r>
      <w:r w:rsidR="00CE41EC" w:rsidRPr="00813B86">
        <w:t>5</w:t>
      </w:r>
      <w:r w:rsidR="00CE41EC" w:rsidRPr="00813B86">
        <w:rPr>
          <w:rtl/>
        </w:rPr>
        <w:t>‘</w:t>
      </w:r>
      <w:r w:rsidR="00CE41EC" w:rsidRPr="00813B86">
        <w:rPr>
          <w:rFonts w:hint="eastAsia"/>
          <w:rtl/>
        </w:rPr>
        <w:t> </w:t>
      </w:r>
      <w:r w:rsidR="00CE41EC" w:rsidRPr="00813B86">
        <w:rPr>
          <w:rFonts w:hint="cs"/>
          <w:rtl/>
        </w:rPr>
        <w:t xml:space="preserve">تقييم رصد العلاقات مع الأطراف الثالثة. وخُلِص عموماً إلى أن العديد من المسائل كانت </w:t>
      </w:r>
      <w:r w:rsidR="00CE41EC" w:rsidRPr="00813B86">
        <w:rPr>
          <w:rFonts w:hint="cs"/>
          <w:u w:val="single"/>
          <w:rtl/>
        </w:rPr>
        <w:t>أوسع</w:t>
      </w:r>
      <w:r w:rsidR="00CE41EC" w:rsidRPr="00813B86">
        <w:rPr>
          <w:rFonts w:hint="cs"/>
          <w:rtl/>
        </w:rPr>
        <w:t xml:space="preserve"> </w:t>
      </w:r>
      <w:r w:rsidR="00886A19" w:rsidRPr="00813B86">
        <w:rPr>
          <w:rFonts w:hint="cs"/>
          <w:rtl/>
        </w:rPr>
        <w:t xml:space="preserve">مجالاً </w:t>
      </w:r>
      <w:r w:rsidR="008C1836">
        <w:rPr>
          <w:rFonts w:hint="cs"/>
          <w:rtl/>
        </w:rPr>
        <w:t>بالفعل ولا</w:t>
      </w:r>
      <w:r w:rsidR="008C1836">
        <w:rPr>
          <w:rFonts w:hint="eastAsia"/>
          <w:rtl/>
        </w:rPr>
        <w:t> </w:t>
      </w:r>
      <w:r w:rsidR="00CE41EC" w:rsidRPr="00813B86">
        <w:rPr>
          <w:rFonts w:hint="cs"/>
          <w:rtl/>
        </w:rPr>
        <w:t>تتعلق تحديداً بعقود تكنولوجيا المعلومات والإيجارات وخدمات الصيانة.</w:t>
      </w:r>
    </w:p>
    <w:p w:rsidR="00CE41EC" w:rsidRPr="00813B86" w:rsidRDefault="00931F25" w:rsidP="00B874A1">
      <w:pPr>
        <w:rPr>
          <w:rtl/>
          <w:lang w:val="en-CA" w:bidi="ar-EG"/>
        </w:rPr>
      </w:pPr>
      <w:r w:rsidRPr="00813B86">
        <w:lastRenderedPageBreak/>
        <w:t>23</w:t>
      </w:r>
      <w:r w:rsidRPr="00813B86">
        <w:rPr>
          <w:rtl/>
        </w:rPr>
        <w:tab/>
      </w:r>
      <w:r w:rsidR="00CE41EC" w:rsidRPr="00813B86">
        <w:rPr>
          <w:rFonts w:hint="cs"/>
          <w:rtl/>
        </w:rPr>
        <w:t>وخلص تقييم وحدة المراجعة الداخلية إلى أن السياسات القائمة التي تنظم المشتريات (</w:t>
      </w:r>
      <w:r w:rsidR="00886A19" w:rsidRPr="00813B86">
        <w:rPr>
          <w:rFonts w:hint="cs"/>
          <w:rtl/>
        </w:rPr>
        <w:t>ل</w:t>
      </w:r>
      <w:r w:rsidR="00CE41EC" w:rsidRPr="00813B86">
        <w:rPr>
          <w:rFonts w:hint="cs"/>
          <w:rtl/>
        </w:rPr>
        <w:t xml:space="preserve">عقود تكنولوجيا المعلومات والإيجارات وخدمات الصيانة) غير كافية، على الرغم من أن وحدة الشؤون القانونية ترى أن </w:t>
      </w:r>
      <w:r w:rsidR="00D12DF7" w:rsidRPr="00813B86">
        <w:rPr>
          <w:rFonts w:hint="cs"/>
          <w:rtl/>
          <w:lang w:bidi="ar-EG"/>
        </w:rPr>
        <w:t xml:space="preserve">بعض </w:t>
      </w:r>
      <w:r w:rsidR="00CE41EC" w:rsidRPr="00813B86">
        <w:rPr>
          <w:rFonts w:hint="cs"/>
          <w:rtl/>
        </w:rPr>
        <w:t>تفسير</w:t>
      </w:r>
      <w:r w:rsidR="00D879E6">
        <w:rPr>
          <w:rFonts w:hint="cs"/>
          <w:rtl/>
        </w:rPr>
        <w:t>ات وحدة المراجعة الداخلية غير</w:t>
      </w:r>
      <w:r w:rsidR="00D879E6">
        <w:rPr>
          <w:rFonts w:hint="eastAsia"/>
          <w:rtl/>
        </w:rPr>
        <w:t> </w:t>
      </w:r>
      <w:r w:rsidR="00D12DF7" w:rsidRPr="00813B86">
        <w:rPr>
          <w:rFonts w:hint="cs"/>
          <w:rtl/>
        </w:rPr>
        <w:t xml:space="preserve">صحيحة. وأوصي بتنقيح </w:t>
      </w:r>
      <w:r w:rsidR="0074684B" w:rsidRPr="00813B86">
        <w:rPr>
          <w:rFonts w:hint="cs"/>
          <w:rtl/>
        </w:rPr>
        <w:t>ال</w:t>
      </w:r>
      <w:r w:rsidR="00D12DF7" w:rsidRPr="00813B86">
        <w:rPr>
          <w:rFonts w:hint="cs"/>
          <w:rtl/>
        </w:rPr>
        <w:t xml:space="preserve">أمر </w:t>
      </w:r>
      <w:r w:rsidR="0074684B" w:rsidRPr="00813B86">
        <w:rPr>
          <w:rFonts w:hint="cs"/>
          <w:rtl/>
        </w:rPr>
        <w:t>الإداري</w:t>
      </w:r>
      <w:r w:rsidR="00D12DF7" w:rsidRPr="00813B86">
        <w:rPr>
          <w:rFonts w:hint="cs"/>
          <w:rtl/>
        </w:rPr>
        <w:t xml:space="preserve"> </w:t>
      </w:r>
      <w:r w:rsidR="0074684B" w:rsidRPr="00813B86">
        <w:rPr>
          <w:rtl/>
        </w:rPr>
        <w:t>المتعلق بالقواعد والإجراءات التي تنظم إبرام العقود</w:t>
      </w:r>
      <w:r w:rsidR="0074684B" w:rsidRPr="00813B86">
        <w:rPr>
          <w:rFonts w:hint="cs"/>
          <w:rtl/>
        </w:rPr>
        <w:t xml:space="preserve"> </w:t>
      </w:r>
      <w:r w:rsidR="00D12DF7" w:rsidRPr="00813B86">
        <w:rPr>
          <w:rFonts w:hint="cs"/>
          <w:rtl/>
        </w:rPr>
        <w:t xml:space="preserve">في غضون فترة معقولة (مثلاً سنة). </w:t>
      </w:r>
      <w:r w:rsidR="00D12DF7" w:rsidRPr="00813B86">
        <w:rPr>
          <w:rFonts w:hint="cs"/>
          <w:rtl/>
          <w:lang w:bidi="ar-EG"/>
        </w:rPr>
        <w:t xml:space="preserve">وأشارت وحدة الشؤون القانونية ودائرة إدارة الموارد المالية </w:t>
      </w:r>
      <w:r w:rsidR="00D12DF7" w:rsidRPr="00813B86">
        <w:rPr>
          <w:lang w:val="en-CA" w:bidi="ar-EG"/>
        </w:rPr>
        <w:t>(FRMD)</w:t>
      </w:r>
      <w:r w:rsidR="00D12DF7" w:rsidRPr="00813B86">
        <w:rPr>
          <w:rFonts w:hint="cs"/>
          <w:rtl/>
          <w:lang w:val="en-CA" w:bidi="ar-EG"/>
        </w:rPr>
        <w:t xml:space="preserve"> </w:t>
      </w:r>
      <w:r w:rsidR="0074684B" w:rsidRPr="00813B86">
        <w:rPr>
          <w:rFonts w:hint="cs"/>
          <w:rtl/>
          <w:lang w:val="en-CA" w:bidi="ar-EG"/>
        </w:rPr>
        <w:t xml:space="preserve">إلى </w:t>
      </w:r>
      <w:r w:rsidR="00D12DF7" w:rsidRPr="00813B86">
        <w:rPr>
          <w:rFonts w:hint="cs"/>
          <w:rtl/>
          <w:lang w:val="en-CA" w:bidi="ar-EG"/>
        </w:rPr>
        <w:t xml:space="preserve">أن </w:t>
      </w:r>
      <w:r w:rsidR="00886A19" w:rsidRPr="00813B86">
        <w:rPr>
          <w:rFonts w:hint="cs"/>
          <w:rtl/>
          <w:lang w:val="en-CA" w:bidi="ar-EG"/>
        </w:rPr>
        <w:t>التنقيح</w:t>
      </w:r>
      <w:r w:rsidR="00D12DF7" w:rsidRPr="00813B86">
        <w:rPr>
          <w:rFonts w:hint="cs"/>
          <w:rtl/>
          <w:lang w:val="en-CA" w:bidi="ar-EG"/>
        </w:rPr>
        <w:t xml:space="preserve"> قيد ال</w:t>
      </w:r>
      <w:r w:rsidR="00886A19" w:rsidRPr="00813B86">
        <w:rPr>
          <w:rFonts w:hint="cs"/>
          <w:rtl/>
          <w:lang w:val="en-CA" w:bidi="ar-EG"/>
        </w:rPr>
        <w:t>تنفيذ بالفعل. وه</w:t>
      </w:r>
      <w:r w:rsidR="00D12DF7" w:rsidRPr="00813B86">
        <w:rPr>
          <w:rFonts w:hint="cs"/>
          <w:rtl/>
          <w:lang w:val="en-CA" w:bidi="ar-EG"/>
        </w:rPr>
        <w:t>ناك مخاطر من عدم تحقيق المستوى الأمثل من الكفاءة والاقتصاد في استعمال الموارد (لعقود تكنولوجيا المعلومات والإيجارات والصيانة). وأ</w:t>
      </w:r>
      <w:r w:rsidR="00886A19" w:rsidRPr="00813B86">
        <w:rPr>
          <w:rFonts w:hint="cs"/>
          <w:rtl/>
          <w:lang w:val="en-CA" w:bidi="ar-EG"/>
        </w:rPr>
        <w:t>و</w:t>
      </w:r>
      <w:r w:rsidR="00D12DF7" w:rsidRPr="00813B86">
        <w:rPr>
          <w:rFonts w:hint="cs"/>
          <w:rtl/>
          <w:lang w:val="en-CA" w:bidi="ar-EG"/>
        </w:rPr>
        <w:t>صي بالتعجيل في</w:t>
      </w:r>
      <w:r w:rsidR="000838D0">
        <w:rPr>
          <w:rFonts w:hint="eastAsia"/>
          <w:rtl/>
          <w:lang w:val="en-CA" w:bidi="ar-EG"/>
        </w:rPr>
        <w:t> </w:t>
      </w:r>
      <w:r w:rsidR="00D12DF7" w:rsidRPr="00813B86">
        <w:rPr>
          <w:rFonts w:hint="cs"/>
          <w:rtl/>
          <w:lang w:val="en-CA" w:bidi="ar-EG"/>
        </w:rPr>
        <w:t>إعداد دليل المشتريات في الاتحاد، والإشارة إلى جملة أمور من بينها أساليب الشراء واجبة التطبيق، والعملي</w:t>
      </w:r>
      <w:r w:rsidR="00122046" w:rsidRPr="00813B86">
        <w:rPr>
          <w:rFonts w:hint="cs"/>
          <w:rtl/>
          <w:lang w:val="en-CA" w:bidi="ar-EG"/>
        </w:rPr>
        <w:t>ات</w:t>
      </w:r>
      <w:r w:rsidR="00D12DF7" w:rsidRPr="00813B86">
        <w:rPr>
          <w:rFonts w:hint="cs"/>
          <w:rtl/>
          <w:lang w:val="en-CA" w:bidi="ar-EG"/>
        </w:rPr>
        <w:t xml:space="preserve"> المشمولة، والعتبات المطبقة وما إلى ذلك. </w:t>
      </w:r>
      <w:r w:rsidR="00D12DF7" w:rsidRPr="00813B86">
        <w:rPr>
          <w:rFonts w:hint="cs"/>
          <w:rtl/>
          <w:lang w:bidi="ar-EG"/>
        </w:rPr>
        <w:t>كما أشارت وحدة الشؤون القانونية ودائرة إدارة الموارد المالية إلى أن دليل المشتريات سيصدر ف</w:t>
      </w:r>
      <w:r w:rsidR="0073019F">
        <w:rPr>
          <w:rFonts w:hint="cs"/>
          <w:rtl/>
          <w:lang w:bidi="ar-EG"/>
        </w:rPr>
        <w:t>ي</w:t>
      </w:r>
      <w:r w:rsidR="0073019F">
        <w:rPr>
          <w:rFonts w:hint="eastAsia"/>
          <w:rtl/>
          <w:lang w:bidi="ar-EG"/>
        </w:rPr>
        <w:t> </w:t>
      </w:r>
      <w:r w:rsidR="00D12DF7" w:rsidRPr="00813B86">
        <w:rPr>
          <w:rFonts w:hint="cs"/>
          <w:rtl/>
          <w:lang w:bidi="ar-EG"/>
        </w:rPr>
        <w:t>عام</w:t>
      </w:r>
      <w:r w:rsidR="0073019F">
        <w:rPr>
          <w:rFonts w:hint="eastAsia"/>
          <w:rtl/>
          <w:lang w:bidi="ar-EG"/>
        </w:rPr>
        <w:t> </w:t>
      </w:r>
      <w:r w:rsidR="00D12DF7" w:rsidRPr="00813B86">
        <w:rPr>
          <w:lang w:val="en-CA" w:bidi="ar-EG"/>
        </w:rPr>
        <w:t>2017</w:t>
      </w:r>
      <w:r w:rsidR="00D12DF7" w:rsidRPr="00813B86">
        <w:rPr>
          <w:rFonts w:hint="cs"/>
          <w:rtl/>
          <w:lang w:val="en-CA" w:bidi="ar-EG"/>
        </w:rPr>
        <w:t xml:space="preserve"> بعد التشاور مع </w:t>
      </w:r>
      <w:r w:rsidR="00886A19" w:rsidRPr="00813B86">
        <w:rPr>
          <w:rFonts w:hint="cs"/>
          <w:rtl/>
          <w:lang w:val="en-CA" w:bidi="ar-EG"/>
        </w:rPr>
        <w:t>اللجنة المعنية ب</w:t>
      </w:r>
      <w:r w:rsidR="00D12DF7" w:rsidRPr="00813B86">
        <w:rPr>
          <w:rFonts w:hint="cs"/>
          <w:rtl/>
          <w:lang w:val="en-CA" w:bidi="ar-EG"/>
        </w:rPr>
        <w:t>العقود. وهناك مخاطر من ألا تكون إدارة العلاقات مع الأطراف الثالثة (بما</w:t>
      </w:r>
      <w:r w:rsidR="0073019F">
        <w:rPr>
          <w:rFonts w:hint="eastAsia"/>
          <w:rtl/>
          <w:lang w:val="en-CA" w:bidi="ar-EG"/>
        </w:rPr>
        <w:t> </w:t>
      </w:r>
      <w:r w:rsidR="00D12DF7" w:rsidRPr="00813B86">
        <w:rPr>
          <w:rFonts w:hint="cs"/>
          <w:rtl/>
          <w:lang w:val="en-CA" w:bidi="ar-EG"/>
        </w:rPr>
        <w:t>في</w:t>
      </w:r>
      <w:r w:rsidR="0073019F">
        <w:rPr>
          <w:rFonts w:hint="eastAsia"/>
          <w:rtl/>
          <w:lang w:val="en-CA" w:bidi="ar-EG"/>
        </w:rPr>
        <w:t> </w:t>
      </w:r>
      <w:r w:rsidR="00D12DF7" w:rsidRPr="00813B86">
        <w:rPr>
          <w:rFonts w:hint="cs"/>
          <w:rtl/>
          <w:lang w:val="en-CA" w:bidi="ar-EG"/>
        </w:rPr>
        <w:t xml:space="preserve">ذلك إدارة حسابات البائعين) مناسبة و/أو مثلى. وأوصي باقتراح على دائرة </w:t>
      </w:r>
      <w:r w:rsidR="00D12DF7" w:rsidRPr="00813B86">
        <w:rPr>
          <w:lang w:val="en-CA" w:bidi="ar-EG"/>
        </w:rPr>
        <w:t>FRMD</w:t>
      </w:r>
      <w:r w:rsidR="00D12DF7" w:rsidRPr="00813B86">
        <w:rPr>
          <w:rFonts w:hint="cs"/>
          <w:rtl/>
          <w:lang w:val="en-CA" w:bidi="ar-EG"/>
        </w:rPr>
        <w:t xml:space="preserve"> (المشتريات) والأعضاء وشعبة العلاقات مع </w:t>
      </w:r>
      <w:r w:rsidR="000208CE" w:rsidRPr="00813B86">
        <w:rPr>
          <w:rFonts w:hint="cs"/>
          <w:rtl/>
          <w:lang w:val="en-CA" w:bidi="ar-EG"/>
        </w:rPr>
        <w:t>الأعضاء و</w:t>
      </w:r>
      <w:r w:rsidR="00D12DF7" w:rsidRPr="00813B86">
        <w:rPr>
          <w:rFonts w:hint="cs"/>
          <w:rtl/>
          <w:lang w:val="en-CA" w:bidi="ar-EG"/>
        </w:rPr>
        <w:t>الشركاء في</w:t>
      </w:r>
      <w:r w:rsidR="00D42970">
        <w:rPr>
          <w:rFonts w:hint="cs"/>
          <w:rtl/>
        </w:rPr>
        <w:t> </w:t>
      </w:r>
      <w:r w:rsidR="000208CE" w:rsidRPr="00813B86">
        <w:rPr>
          <w:rtl/>
          <w:lang w:val="en-CA" w:bidi="ar-EG"/>
        </w:rPr>
        <w:t>دائرة التخطيط الاستراتيجي والعضوية</w:t>
      </w:r>
      <w:r w:rsidR="00D12DF7" w:rsidRPr="00813B86">
        <w:rPr>
          <w:rFonts w:hint="cs"/>
          <w:rtl/>
          <w:lang w:val="en-CA" w:bidi="ar-EG"/>
        </w:rPr>
        <w:t xml:space="preserve"> </w:t>
      </w:r>
      <w:r w:rsidR="000208CE" w:rsidRPr="00813B86">
        <w:rPr>
          <w:lang w:val="en-CA" w:bidi="ar-EG"/>
        </w:rPr>
        <w:t>(</w:t>
      </w:r>
      <w:r w:rsidR="00D12DF7" w:rsidRPr="00813B86">
        <w:rPr>
          <w:lang w:val="en-CA" w:bidi="ar-EG"/>
        </w:rPr>
        <w:t>SPM</w:t>
      </w:r>
      <w:r w:rsidR="000208CE" w:rsidRPr="00813B86">
        <w:rPr>
          <w:lang w:val="en-CA" w:bidi="ar-EG"/>
        </w:rPr>
        <w:t>)</w:t>
      </w:r>
      <w:r w:rsidR="00D12DF7" w:rsidRPr="00813B86">
        <w:rPr>
          <w:rFonts w:hint="cs"/>
          <w:rtl/>
          <w:lang w:val="en-CA" w:bidi="ar-EG"/>
        </w:rPr>
        <w:t xml:space="preserve"> آلية لربط بيانات الموردين</w:t>
      </w:r>
      <w:r w:rsidR="000208CE" w:rsidRPr="00813B86">
        <w:rPr>
          <w:rFonts w:hint="cs"/>
          <w:rtl/>
          <w:lang w:val="en-CA" w:bidi="ar-EG"/>
        </w:rPr>
        <w:t xml:space="preserve"> في نظام تخطيط الموارد المؤسسية</w:t>
      </w:r>
      <w:r w:rsidR="000B351F">
        <w:rPr>
          <w:rFonts w:hint="eastAsia"/>
          <w:rtl/>
          <w:lang w:val="en-CA" w:bidi="ar-EG"/>
        </w:rPr>
        <w:t> </w:t>
      </w:r>
      <w:r w:rsidR="000208CE" w:rsidRPr="00813B86">
        <w:rPr>
          <w:lang w:val="en-CA" w:bidi="ar-EG"/>
        </w:rPr>
        <w:t>(</w:t>
      </w:r>
      <w:r w:rsidR="00D12DF7" w:rsidRPr="00813B86">
        <w:rPr>
          <w:lang w:val="en-CA" w:bidi="ar-EG"/>
        </w:rPr>
        <w:t>ERP</w:t>
      </w:r>
      <w:r w:rsidR="000208CE" w:rsidRPr="00813B86">
        <w:rPr>
          <w:lang w:val="en-CA" w:bidi="ar-EG"/>
        </w:rPr>
        <w:t>)</w:t>
      </w:r>
      <w:r w:rsidR="00D12DF7" w:rsidRPr="00813B86">
        <w:rPr>
          <w:rFonts w:hint="cs"/>
          <w:rtl/>
          <w:lang w:val="en-CA" w:bidi="ar-EG"/>
        </w:rPr>
        <w:t xml:space="preserve"> ببيانات</w:t>
      </w:r>
      <w:r w:rsidR="000208CE" w:rsidRPr="00813B86">
        <w:rPr>
          <w:lang w:val="en-CA" w:bidi="ar-EG"/>
        </w:rPr>
        <w:t xml:space="preserve"> </w:t>
      </w:r>
      <w:r w:rsidR="000208CE" w:rsidRPr="00813B86">
        <w:rPr>
          <w:rFonts w:hint="cs"/>
          <w:rtl/>
          <w:lang w:val="en-CA" w:bidi="ar-EG"/>
        </w:rPr>
        <w:t>إدارة علاقات العملاء</w:t>
      </w:r>
      <w:r w:rsidR="00D12DF7" w:rsidRPr="00813B86">
        <w:rPr>
          <w:rFonts w:hint="cs"/>
          <w:rtl/>
          <w:lang w:val="en-CA" w:bidi="ar-EG"/>
        </w:rPr>
        <w:t xml:space="preserve"> </w:t>
      </w:r>
      <w:r w:rsidR="000208CE" w:rsidRPr="00813B86">
        <w:rPr>
          <w:lang w:val="en-CA" w:bidi="ar-EG"/>
        </w:rPr>
        <w:t>(</w:t>
      </w:r>
      <w:r w:rsidR="00D12DF7" w:rsidRPr="00813B86">
        <w:rPr>
          <w:lang w:val="en-CA" w:bidi="ar-EG"/>
        </w:rPr>
        <w:t>CRM</w:t>
      </w:r>
      <w:r w:rsidR="000208CE" w:rsidRPr="00813B86">
        <w:rPr>
          <w:lang w:val="en-CA" w:bidi="ar-EG"/>
        </w:rPr>
        <w:t>)</w:t>
      </w:r>
      <w:r w:rsidR="00D12DF7" w:rsidRPr="00813B86">
        <w:rPr>
          <w:rFonts w:hint="cs"/>
          <w:rtl/>
          <w:lang w:val="en-CA" w:bidi="ar-EG"/>
        </w:rPr>
        <w:t>. وأوصي أيضاً بإنشاء آلية لإبلا</w:t>
      </w:r>
      <w:r w:rsidR="003B615A">
        <w:rPr>
          <w:rFonts w:hint="cs"/>
          <w:rtl/>
          <w:lang w:val="en-CA" w:bidi="ar-EG"/>
        </w:rPr>
        <w:t>غ أعضاء القطاعات بفرص الشراء في</w:t>
      </w:r>
      <w:r w:rsidR="003B615A">
        <w:rPr>
          <w:rFonts w:hint="eastAsia"/>
          <w:rtl/>
          <w:lang w:val="en-CA" w:bidi="ar-EG"/>
        </w:rPr>
        <w:t> </w:t>
      </w:r>
      <w:r w:rsidR="00D12DF7" w:rsidRPr="00813B86">
        <w:rPr>
          <w:rFonts w:hint="cs"/>
          <w:rtl/>
          <w:lang w:val="en-CA" w:bidi="ar-EG"/>
        </w:rPr>
        <w:t xml:space="preserve">الاتحاد. ووافق المديرون المعنيون على هذه التوصيات. وهناك مخاطر </w:t>
      </w:r>
      <w:r w:rsidR="0074684B" w:rsidRPr="00813B86">
        <w:rPr>
          <w:rFonts w:hint="cs"/>
          <w:rtl/>
          <w:lang w:val="en-CA" w:bidi="ar-EG"/>
        </w:rPr>
        <w:t xml:space="preserve">من </w:t>
      </w:r>
      <w:r w:rsidR="00D12DF7" w:rsidRPr="00813B86">
        <w:rPr>
          <w:rFonts w:hint="cs"/>
          <w:rtl/>
          <w:lang w:val="en-CA" w:bidi="ar-EG"/>
        </w:rPr>
        <w:t>ألا يكون تسجيل عقود تكنولوجيا المعلومات والاتصالات والإبلاغ عنها مناسب</w:t>
      </w:r>
      <w:r w:rsidR="0074684B" w:rsidRPr="00813B86">
        <w:rPr>
          <w:rFonts w:hint="cs"/>
          <w:rtl/>
          <w:lang w:val="en-CA" w:bidi="ar-EG"/>
        </w:rPr>
        <w:t>ين</w:t>
      </w:r>
      <w:r w:rsidR="00D12DF7" w:rsidRPr="00813B86">
        <w:rPr>
          <w:rFonts w:hint="cs"/>
          <w:rtl/>
          <w:lang w:val="en-CA" w:bidi="ar-EG"/>
        </w:rPr>
        <w:t xml:space="preserve">. وأوصي بإجراء استعراض بشأن كيف يمكن استعمال خاصية إدارة العقود في </w:t>
      </w:r>
      <w:r w:rsidR="00D12DF7" w:rsidRPr="00813B86">
        <w:rPr>
          <w:lang w:val="en-CA" w:bidi="ar-EG"/>
        </w:rPr>
        <w:t>SAP</w:t>
      </w:r>
      <w:r w:rsidR="00D12DF7" w:rsidRPr="00813B86">
        <w:rPr>
          <w:rFonts w:hint="cs"/>
          <w:rtl/>
          <w:lang w:val="en-CA" w:bidi="ar-EG"/>
        </w:rPr>
        <w:t xml:space="preserve"> وإنشاء قاعدة بيانات للعقود في</w:t>
      </w:r>
      <w:r w:rsidR="000B351F">
        <w:rPr>
          <w:rFonts w:hint="eastAsia"/>
          <w:rtl/>
          <w:lang w:val="en-CA" w:bidi="ar-EG"/>
        </w:rPr>
        <w:t> </w:t>
      </w:r>
      <w:r w:rsidR="00D12DF7" w:rsidRPr="00813B86">
        <w:rPr>
          <w:lang w:val="en-CA" w:bidi="ar-EG"/>
        </w:rPr>
        <w:t>SAP</w:t>
      </w:r>
      <w:r w:rsidR="00D12DF7" w:rsidRPr="00813B86">
        <w:rPr>
          <w:rFonts w:hint="cs"/>
          <w:rtl/>
          <w:lang w:val="en-CA" w:bidi="ar-EG"/>
        </w:rPr>
        <w:t>. ووافقت دائرة</w:t>
      </w:r>
      <w:r w:rsidR="000B351F">
        <w:rPr>
          <w:rFonts w:hint="eastAsia"/>
          <w:rtl/>
          <w:lang w:val="en-CA" w:bidi="ar-EG"/>
        </w:rPr>
        <w:t> </w:t>
      </w:r>
      <w:r w:rsidR="00D12DF7" w:rsidRPr="00813B86">
        <w:rPr>
          <w:lang w:val="en-CA" w:bidi="ar-EG"/>
        </w:rPr>
        <w:t>FRMD</w:t>
      </w:r>
      <w:r w:rsidR="00D12DF7" w:rsidRPr="00813B86">
        <w:rPr>
          <w:rFonts w:hint="cs"/>
          <w:rtl/>
          <w:lang w:val="en-CA" w:bidi="ar-EG"/>
        </w:rPr>
        <w:t xml:space="preserve"> على التوصية التي تشير إلى إنشاء قاعدة البيانات خارج نطاق </w:t>
      </w:r>
      <w:r w:rsidR="00D12DF7" w:rsidRPr="00813B86">
        <w:rPr>
          <w:lang w:val="en-CA" w:bidi="ar-EG"/>
        </w:rPr>
        <w:t>SAP</w:t>
      </w:r>
      <w:r w:rsidR="00D12DF7" w:rsidRPr="00813B86">
        <w:rPr>
          <w:rFonts w:hint="cs"/>
          <w:rtl/>
          <w:lang w:val="en-CA" w:bidi="ar-EG"/>
        </w:rPr>
        <w:t>. واستكملت</w:t>
      </w:r>
      <w:r w:rsidR="00347006" w:rsidRPr="00813B86">
        <w:rPr>
          <w:rtl/>
        </w:rPr>
        <w:t xml:space="preserve"> </w:t>
      </w:r>
      <w:r w:rsidR="00347006" w:rsidRPr="001B42EA">
        <w:rPr>
          <w:rtl/>
          <w:lang w:val="en-CA" w:bidi="ar-EG"/>
        </w:rPr>
        <w:t>دائرة خدمات المعلومات</w:t>
      </w:r>
      <w:r w:rsidR="000B351F" w:rsidRPr="001B42EA">
        <w:rPr>
          <w:rFonts w:hint="eastAsia"/>
          <w:rtl/>
          <w:lang w:val="en-CA" w:bidi="ar-EG"/>
        </w:rPr>
        <w:t> </w:t>
      </w:r>
      <w:r w:rsidR="00347006" w:rsidRPr="001B42EA">
        <w:rPr>
          <w:lang w:val="en-CA" w:bidi="ar-EG"/>
        </w:rPr>
        <w:t>(</w:t>
      </w:r>
      <w:r w:rsidR="00D12DF7" w:rsidRPr="001B42EA">
        <w:rPr>
          <w:lang w:val="en-CA" w:bidi="ar-EG"/>
        </w:rPr>
        <w:t>ISD</w:t>
      </w:r>
      <w:r w:rsidR="00347006" w:rsidRPr="001B42EA">
        <w:rPr>
          <w:lang w:val="en-CA" w:bidi="ar-EG"/>
        </w:rPr>
        <w:t>)</w:t>
      </w:r>
      <w:r w:rsidR="00B86859" w:rsidRPr="00813B86">
        <w:rPr>
          <w:rFonts w:hint="cs"/>
          <w:rtl/>
          <w:lang w:val="en-CA" w:bidi="ar-EG"/>
        </w:rPr>
        <w:t xml:space="preserve"> موافقتها </w:t>
      </w:r>
      <w:r w:rsidR="0074684B" w:rsidRPr="00813B86">
        <w:rPr>
          <w:rFonts w:hint="cs"/>
          <w:rtl/>
          <w:lang w:val="en-CA" w:bidi="ar-EG"/>
        </w:rPr>
        <w:t>بذكر</w:t>
      </w:r>
      <w:r w:rsidR="00B86859" w:rsidRPr="00813B86">
        <w:rPr>
          <w:rFonts w:hint="cs"/>
          <w:rtl/>
          <w:lang w:val="en-CA" w:bidi="ar-EG"/>
        </w:rPr>
        <w:t xml:space="preserve"> أنه</w:t>
      </w:r>
      <w:r w:rsidR="00D12DF7" w:rsidRPr="00813B86">
        <w:rPr>
          <w:rFonts w:hint="cs"/>
          <w:rtl/>
          <w:lang w:val="en-CA" w:bidi="ar-EG"/>
        </w:rPr>
        <w:t xml:space="preserve"> قد يكو</w:t>
      </w:r>
      <w:r w:rsidR="00B86859" w:rsidRPr="00813B86">
        <w:rPr>
          <w:rFonts w:hint="cs"/>
          <w:rtl/>
          <w:lang w:val="en-CA" w:bidi="ar-EG"/>
        </w:rPr>
        <w:t>ن</w:t>
      </w:r>
      <w:r w:rsidR="00D12DF7" w:rsidRPr="00813B86">
        <w:rPr>
          <w:rFonts w:hint="cs"/>
          <w:rtl/>
          <w:lang w:val="en-CA" w:bidi="ar-EG"/>
        </w:rPr>
        <w:t xml:space="preserve"> أكثر فائدة </w:t>
      </w:r>
      <w:r w:rsidR="0074684B" w:rsidRPr="00813B86">
        <w:rPr>
          <w:rFonts w:hint="cs"/>
          <w:rtl/>
          <w:lang w:val="en-CA" w:bidi="ar-EG"/>
        </w:rPr>
        <w:t>تزويد</w:t>
      </w:r>
      <w:r w:rsidR="00D12DF7" w:rsidRPr="00813B86">
        <w:rPr>
          <w:rFonts w:hint="cs"/>
          <w:rtl/>
          <w:lang w:val="en-CA" w:bidi="ar-EG"/>
        </w:rPr>
        <w:t xml:space="preserve"> المستودع المركزي للعقود</w:t>
      </w:r>
      <w:r w:rsidR="003B615A">
        <w:rPr>
          <w:rFonts w:hint="cs"/>
          <w:rtl/>
          <w:lang w:val="en-CA" w:bidi="ar-EG"/>
        </w:rPr>
        <w:t xml:space="preserve"> والاتفاقات ومذكرات التفاهم وما</w:t>
      </w:r>
      <w:r w:rsidR="003B615A">
        <w:rPr>
          <w:rFonts w:hint="eastAsia"/>
          <w:rtl/>
          <w:lang w:val="en-CA" w:bidi="ar-EG"/>
        </w:rPr>
        <w:t> </w:t>
      </w:r>
      <w:r w:rsidR="00D12DF7" w:rsidRPr="00813B86">
        <w:rPr>
          <w:rFonts w:hint="cs"/>
          <w:rtl/>
          <w:lang w:val="en-CA" w:bidi="ar-EG"/>
        </w:rPr>
        <w:t>إلى ذلك (ال</w:t>
      </w:r>
      <w:r w:rsidR="0074684B" w:rsidRPr="00813B86">
        <w:rPr>
          <w:rFonts w:hint="cs"/>
          <w:rtl/>
          <w:lang w:val="en-CA" w:bidi="ar-EG"/>
        </w:rPr>
        <w:t>ذ</w:t>
      </w:r>
      <w:r w:rsidR="00D12DF7" w:rsidRPr="00813B86">
        <w:rPr>
          <w:rFonts w:hint="cs"/>
          <w:rtl/>
          <w:lang w:val="en-CA" w:bidi="ar-EG"/>
        </w:rPr>
        <w:t xml:space="preserve">ي تقوم </w:t>
      </w:r>
      <w:r w:rsidR="00D12DF7" w:rsidRPr="00813B86">
        <w:rPr>
          <w:rFonts w:hint="cs"/>
          <w:rtl/>
          <w:lang w:bidi="ar-EG"/>
        </w:rPr>
        <w:t xml:space="preserve">وحدة الشؤون القانونية بتحديثه بالفعل) </w:t>
      </w:r>
      <w:r w:rsidR="0074684B" w:rsidRPr="00813B86">
        <w:rPr>
          <w:rFonts w:hint="cs"/>
          <w:rtl/>
          <w:lang w:bidi="ar-EG"/>
        </w:rPr>
        <w:t>بخاصية قد ت</w:t>
      </w:r>
      <w:r w:rsidR="00D12DF7" w:rsidRPr="00813B86">
        <w:rPr>
          <w:rFonts w:hint="cs"/>
          <w:rtl/>
          <w:lang w:bidi="ar-EG"/>
        </w:rPr>
        <w:t xml:space="preserve">كون مفيدة </w:t>
      </w:r>
      <w:r w:rsidR="00122046" w:rsidRPr="00813B86">
        <w:rPr>
          <w:rFonts w:hint="cs"/>
          <w:rtl/>
          <w:lang w:bidi="ar-EG"/>
        </w:rPr>
        <w:t xml:space="preserve">بالنسبة إلى </w:t>
      </w:r>
      <w:r w:rsidR="00D12DF7" w:rsidRPr="00813B86">
        <w:rPr>
          <w:lang w:val="en-CA" w:bidi="ar-EG"/>
        </w:rPr>
        <w:t>PROC</w:t>
      </w:r>
      <w:r w:rsidR="00D12DF7" w:rsidRPr="00813B86">
        <w:rPr>
          <w:rFonts w:hint="cs"/>
          <w:rtl/>
          <w:lang w:val="en-CA" w:bidi="ar-EG"/>
        </w:rPr>
        <w:t xml:space="preserve"> لإدارة العقود و</w:t>
      </w:r>
      <w:r w:rsidR="00122046" w:rsidRPr="00813B86">
        <w:rPr>
          <w:rFonts w:hint="cs"/>
          <w:rtl/>
          <w:lang w:val="en-CA" w:bidi="ar-EG"/>
        </w:rPr>
        <w:t xml:space="preserve">للعمل </w:t>
      </w:r>
      <w:r w:rsidR="00D12DF7" w:rsidRPr="00813B86">
        <w:rPr>
          <w:rFonts w:hint="cs"/>
          <w:rtl/>
          <w:lang w:val="en-CA" w:bidi="ar-EG"/>
        </w:rPr>
        <w:t>كأداة مرجعية لخدمات الطلبات الداخلية مثل</w:t>
      </w:r>
      <w:r w:rsidR="00B874A1">
        <w:rPr>
          <w:rFonts w:hint="eastAsia"/>
          <w:rtl/>
          <w:lang w:val="en-CA" w:bidi="ar-EG"/>
        </w:rPr>
        <w:t> </w:t>
      </w:r>
      <w:r w:rsidR="00D12DF7" w:rsidRPr="00813B86">
        <w:rPr>
          <w:lang w:val="en-CA" w:bidi="ar-EG"/>
        </w:rPr>
        <w:t>ISD</w:t>
      </w:r>
      <w:r w:rsidR="00D12DF7" w:rsidRPr="00813B86">
        <w:rPr>
          <w:rFonts w:hint="cs"/>
          <w:rtl/>
          <w:lang w:val="en-CA" w:bidi="ar-EG"/>
        </w:rPr>
        <w:t>. وستكون امتيازات النفاذ بعد ذلك وفقاً للأدوار والمسؤوليات التنظيمية. وكان هناك امتثال عام للسياسات وتم</w:t>
      </w:r>
      <w:r w:rsidR="00B874A1">
        <w:rPr>
          <w:rFonts w:hint="eastAsia"/>
          <w:rtl/>
          <w:lang w:val="en-CA" w:bidi="ar-EG"/>
        </w:rPr>
        <w:t> </w:t>
      </w:r>
      <w:r w:rsidR="00D12DF7" w:rsidRPr="00813B86">
        <w:rPr>
          <w:rFonts w:hint="cs"/>
          <w:rtl/>
          <w:lang w:val="en-CA" w:bidi="ar-EG"/>
        </w:rPr>
        <w:t>تقييم الضوابط على أنها فع</w:t>
      </w:r>
      <w:r w:rsidR="00B874A1">
        <w:rPr>
          <w:rFonts w:hint="cs"/>
          <w:rtl/>
          <w:lang w:val="en-CA" w:bidi="ar-EG"/>
        </w:rPr>
        <w:t>ّ</w:t>
      </w:r>
      <w:r w:rsidR="00D12DF7" w:rsidRPr="00813B86">
        <w:rPr>
          <w:rFonts w:hint="cs"/>
          <w:rtl/>
          <w:lang w:val="en-CA" w:bidi="ar-EG"/>
        </w:rPr>
        <w:t>الة. ولم تصدر وحدة المراجعة الداخلية في هذا الصدد.</w:t>
      </w:r>
    </w:p>
    <w:p w:rsidR="00D12DF7" w:rsidRPr="00813B86" w:rsidRDefault="00931F25" w:rsidP="00471D00">
      <w:pPr>
        <w:rPr>
          <w:rtl/>
        </w:rPr>
      </w:pPr>
      <w:r w:rsidRPr="00813B86">
        <w:t>24</w:t>
      </w:r>
      <w:r w:rsidRPr="00813B86">
        <w:rPr>
          <w:rtl/>
        </w:rPr>
        <w:tab/>
      </w:r>
      <w:r w:rsidR="00D12DF7" w:rsidRPr="00813B86">
        <w:rPr>
          <w:rFonts w:hint="cs"/>
          <w:rtl/>
        </w:rPr>
        <w:t xml:space="preserve">وإجمالاً، ترى وحدة المراجعة الداخلية أن </w:t>
      </w:r>
      <w:r w:rsidR="00C376EB">
        <w:rPr>
          <w:rFonts w:hint="cs"/>
          <w:rtl/>
        </w:rPr>
        <w:t>الإدارة</w:t>
      </w:r>
      <w:r w:rsidR="00D12DF7" w:rsidRPr="00813B86">
        <w:rPr>
          <w:rFonts w:hint="cs"/>
          <w:rtl/>
        </w:rPr>
        <w:t xml:space="preserve"> وعمليات إدارة المخاطر والضوابط </w:t>
      </w:r>
      <w:r w:rsidR="003B615A">
        <w:rPr>
          <w:rFonts w:hint="cs"/>
          <w:rtl/>
        </w:rPr>
        <w:t>الداخلية ليست مناسبة وفع</w:t>
      </w:r>
      <w:r w:rsidR="000B351F">
        <w:rPr>
          <w:rFonts w:hint="cs"/>
          <w:rtl/>
        </w:rPr>
        <w:t>ّ</w:t>
      </w:r>
      <w:r w:rsidR="003B615A">
        <w:rPr>
          <w:rFonts w:hint="cs"/>
          <w:rtl/>
        </w:rPr>
        <w:t>الة بما</w:t>
      </w:r>
      <w:r w:rsidR="003B615A">
        <w:rPr>
          <w:rFonts w:hint="eastAsia"/>
          <w:rtl/>
        </w:rPr>
        <w:t> </w:t>
      </w:r>
      <w:r w:rsidR="00D12DF7" w:rsidRPr="00813B86">
        <w:rPr>
          <w:rFonts w:hint="cs"/>
          <w:rtl/>
        </w:rPr>
        <w:t>فيه الكفاية. وينبغي تحقيق تحسينات في مجالات السياسات والإجراءات والاستعمال الفع</w:t>
      </w:r>
      <w:r w:rsidR="00EC2AA3">
        <w:rPr>
          <w:rFonts w:hint="cs"/>
          <w:rtl/>
        </w:rPr>
        <w:t>ّ</w:t>
      </w:r>
      <w:r w:rsidR="00D12DF7" w:rsidRPr="00813B86">
        <w:rPr>
          <w:rFonts w:hint="cs"/>
          <w:rtl/>
        </w:rPr>
        <w:t xml:space="preserve">ال/الكفء للموارد والإبلاغ. غير أن المعاملات ممتثلة بما فيه الكفاية للإجراءات الحالية والممارسة المعمول بها. وفي حالة معالجة أوجه القصور المشار إليها أعلاه، يمكن </w:t>
      </w:r>
      <w:r w:rsidR="00D12DF7" w:rsidRPr="00813B86">
        <w:rPr>
          <w:rtl/>
        </w:rPr>
        <w:t xml:space="preserve">تزويد الأمين العام </w:t>
      </w:r>
      <w:r w:rsidR="00D12DF7" w:rsidRPr="00813B86">
        <w:rPr>
          <w:rFonts w:hint="cs"/>
          <w:rtl/>
        </w:rPr>
        <w:t>بتأكيدات</w:t>
      </w:r>
      <w:r w:rsidR="00D12DF7" w:rsidRPr="00813B86">
        <w:rPr>
          <w:rtl/>
        </w:rPr>
        <w:t xml:space="preserve"> معقولة بأن هناك </w:t>
      </w:r>
      <w:r w:rsidR="001A283A">
        <w:rPr>
          <w:rFonts w:hint="cs"/>
          <w:rtl/>
        </w:rPr>
        <w:t>إدارة</w:t>
      </w:r>
      <w:r w:rsidR="00D12DF7" w:rsidRPr="00813B86">
        <w:rPr>
          <w:rtl/>
        </w:rPr>
        <w:t xml:space="preserve"> وإدارة للمخاطر</w:t>
      </w:r>
      <w:r w:rsidR="00D12DF7" w:rsidRPr="00813B86">
        <w:rPr>
          <w:rFonts w:hint="cs"/>
          <w:rtl/>
        </w:rPr>
        <w:t xml:space="preserve"> </w:t>
      </w:r>
      <w:r w:rsidR="00122046" w:rsidRPr="00813B86">
        <w:rPr>
          <w:rFonts w:hint="cs"/>
          <w:rtl/>
        </w:rPr>
        <w:t xml:space="preserve">كافيتين </w:t>
      </w:r>
      <w:r w:rsidR="00D12DF7" w:rsidRPr="00813B86">
        <w:rPr>
          <w:rFonts w:hint="cs"/>
          <w:rtl/>
        </w:rPr>
        <w:t>وضوابط فع</w:t>
      </w:r>
      <w:r w:rsidR="00471D00">
        <w:rPr>
          <w:rFonts w:hint="cs"/>
          <w:rtl/>
        </w:rPr>
        <w:t>ّ</w:t>
      </w:r>
      <w:r w:rsidR="00D12DF7" w:rsidRPr="00813B86">
        <w:rPr>
          <w:rFonts w:hint="cs"/>
          <w:rtl/>
        </w:rPr>
        <w:t>الة في عقود تكنولوجيا المعلومات والإيجارا</w:t>
      </w:r>
      <w:r w:rsidR="00D12DF7" w:rsidRPr="00813B86">
        <w:rPr>
          <w:rFonts w:hint="eastAsia"/>
          <w:rtl/>
        </w:rPr>
        <w:t>ت</w:t>
      </w:r>
      <w:r w:rsidR="00D12DF7" w:rsidRPr="00813B86">
        <w:rPr>
          <w:rFonts w:hint="cs"/>
          <w:rtl/>
        </w:rPr>
        <w:t xml:space="preserve"> وخدمات</w:t>
      </w:r>
      <w:r w:rsidR="00471D00">
        <w:rPr>
          <w:rFonts w:hint="eastAsia"/>
          <w:rtl/>
        </w:rPr>
        <w:t> </w:t>
      </w:r>
      <w:r w:rsidR="00D12DF7" w:rsidRPr="00813B86">
        <w:rPr>
          <w:rFonts w:hint="cs"/>
          <w:rtl/>
        </w:rPr>
        <w:t>الصيانة.</w:t>
      </w:r>
    </w:p>
    <w:p w:rsidR="00B42ECC" w:rsidRPr="00813B86" w:rsidRDefault="00B42ECC" w:rsidP="00B42ECC">
      <w:pPr>
        <w:pStyle w:val="Headingb0"/>
        <w:rPr>
          <w:rtl/>
        </w:rPr>
      </w:pPr>
      <w:r w:rsidRPr="00813B86">
        <w:rPr>
          <w:rtl/>
        </w:rPr>
        <w:t xml:space="preserve">تنفيذ ما يتعلق بالمراجعة الداخلية من توصيات اللجنة الاستشارية المستقلة للإدارة </w:t>
      </w:r>
      <w:r w:rsidRPr="00813B86">
        <w:t>(</w:t>
      </w:r>
      <w:r w:rsidRPr="00813B86">
        <w:rPr>
          <w:lang w:val="en-CA"/>
        </w:rPr>
        <w:t>IMAC</w:t>
      </w:r>
      <w:r w:rsidRPr="00813B86">
        <w:t>)</w:t>
      </w:r>
    </w:p>
    <w:p w:rsidR="00D12DF7" w:rsidRPr="00813B86" w:rsidRDefault="00931F25" w:rsidP="00D12DF7">
      <w:pPr>
        <w:rPr>
          <w:rtl/>
        </w:rPr>
      </w:pPr>
      <w:r w:rsidRPr="00813B86">
        <w:t>25</w:t>
      </w:r>
      <w:r w:rsidRPr="00813B86">
        <w:rPr>
          <w:rtl/>
        </w:rPr>
        <w:tab/>
      </w:r>
      <w:r w:rsidR="00602F1D" w:rsidRPr="00813B86">
        <w:rPr>
          <w:rtl/>
        </w:rPr>
        <w:t>اضطلعت اللجنة الاستشارية المستقلة للإدارة بمتابعة منتظمة لتنفيذ التوصيات المتعلقة بوظيفة المراجعة الداخلية وأدرجت عرض التقدم الملاحظ على هذا الصعيد في تقريرها الذي قُدِّم إلى الأمين العام</w:t>
      </w:r>
      <w:r w:rsidR="00D12DF7" w:rsidRPr="00813B86">
        <w:rPr>
          <w:rtl/>
        </w:rPr>
        <w:t xml:space="preserve"> وفي تقريرها السنوي إلى المجلس.</w:t>
      </w:r>
      <w:r w:rsidR="00D12DF7" w:rsidRPr="00813B86">
        <w:rPr>
          <w:rFonts w:hint="cs"/>
          <w:rtl/>
        </w:rPr>
        <w:t xml:space="preserve"> وفي هذه المرحلة، تناولت وحدة المراجعة الداخلية جميع توصيات</w:t>
      </w:r>
      <w:r w:rsidR="00D12DF7" w:rsidRPr="00813B86">
        <w:rPr>
          <w:rtl/>
        </w:rPr>
        <w:t xml:space="preserve"> اللجنة الاستشارية المستقلة للإدارة</w:t>
      </w:r>
      <w:r w:rsidR="00D12DF7" w:rsidRPr="00813B86">
        <w:rPr>
          <w:rFonts w:hint="cs"/>
          <w:rtl/>
        </w:rPr>
        <w:t xml:space="preserve"> فيما يتعلق بالمراجعة الداخلية.</w:t>
      </w:r>
    </w:p>
    <w:p w:rsidR="00D12DF7" w:rsidRPr="00813B86" w:rsidRDefault="00D12DF7" w:rsidP="00BD4018">
      <w:pPr>
        <w:rPr>
          <w:rtl/>
        </w:rPr>
      </w:pPr>
      <w:r w:rsidRPr="00813B86">
        <w:rPr>
          <w:rFonts w:hint="cs"/>
          <w:rtl/>
        </w:rPr>
        <w:t xml:space="preserve">وفي الإضافة </w:t>
      </w:r>
      <w:r w:rsidRPr="00813B86">
        <w:rPr>
          <w:lang w:val="en-CA"/>
        </w:rPr>
        <w:t>2</w:t>
      </w:r>
      <w:r w:rsidRPr="00813B86">
        <w:rPr>
          <w:rFonts w:hint="cs"/>
          <w:rtl/>
          <w:lang w:val="en-CA" w:bidi="ar-EG"/>
        </w:rPr>
        <w:t xml:space="preserve"> من تقريرها الرابع إلى المجلس، أيدت </w:t>
      </w:r>
      <w:r w:rsidRPr="00813B86">
        <w:rPr>
          <w:rtl/>
        </w:rPr>
        <w:t>اللجنة الاستشارية المستقلة للإدارة</w:t>
      </w:r>
      <w:r w:rsidRPr="00813B86">
        <w:rPr>
          <w:rFonts w:hint="cs"/>
          <w:rtl/>
        </w:rPr>
        <w:t xml:space="preserve"> أيضاً نتائج</w:t>
      </w:r>
      <w:r w:rsidR="003B615A">
        <w:rPr>
          <w:rFonts w:hint="cs"/>
          <w:rtl/>
        </w:rPr>
        <w:t xml:space="preserve"> فريق التحقق الخارجي (الوارد في</w:t>
      </w:r>
      <w:r w:rsidR="003B615A">
        <w:rPr>
          <w:rFonts w:hint="eastAsia"/>
          <w:rtl/>
        </w:rPr>
        <w:t> </w:t>
      </w:r>
      <w:r w:rsidRPr="00813B86">
        <w:rPr>
          <w:rFonts w:hint="cs"/>
          <w:rtl/>
        </w:rPr>
        <w:t xml:space="preserve">الوثيقة </w:t>
      </w:r>
      <w:hyperlink r:id="rId11" w:history="1">
        <w:r w:rsidRPr="00725AA1">
          <w:rPr>
            <w:rStyle w:val="Hyperlink"/>
            <w:rFonts w:cstheme="minorHAnsi"/>
            <w:szCs w:val="22"/>
          </w:rPr>
          <w:t>Document C15/INF/11</w:t>
        </w:r>
      </w:hyperlink>
      <w:r w:rsidRPr="00813B86">
        <w:rPr>
          <w:rFonts w:hint="cs"/>
          <w:rtl/>
        </w:rPr>
        <w:t xml:space="preserve">) وأوصت بأن يقدم المراجع الداخلي </w:t>
      </w:r>
      <w:r w:rsidRPr="00813B86">
        <w:rPr>
          <w:rtl/>
        </w:rPr>
        <w:t>–</w:t>
      </w:r>
      <w:r w:rsidRPr="00813B86">
        <w:rPr>
          <w:rFonts w:hint="cs"/>
          <w:rtl/>
        </w:rPr>
        <w:t xml:space="preserve"> من خلال آلية التقرير السنوي للمراجع الداخلي عن أنشطة المراجعة</w:t>
      </w:r>
      <w:r w:rsidR="009C7904" w:rsidRPr="00813B86">
        <w:rPr>
          <w:rFonts w:hint="cs"/>
          <w:rtl/>
        </w:rPr>
        <w:t xml:space="preserve"> </w:t>
      </w:r>
      <w:r w:rsidRPr="00813B86">
        <w:rPr>
          <w:rFonts w:hint="cs"/>
          <w:rtl/>
        </w:rPr>
        <w:t xml:space="preserve">الداخلية </w:t>
      </w:r>
      <w:r w:rsidRPr="00813B86">
        <w:rPr>
          <w:rtl/>
        </w:rPr>
        <w:t>–</w:t>
      </w:r>
      <w:r w:rsidRPr="00813B86">
        <w:rPr>
          <w:rFonts w:hint="cs"/>
          <w:rtl/>
        </w:rPr>
        <w:t xml:space="preserve"> تقريراً </w:t>
      </w:r>
      <w:r w:rsidR="009C7904" w:rsidRPr="00813B86">
        <w:rPr>
          <w:rFonts w:hint="cs"/>
          <w:rtl/>
        </w:rPr>
        <w:t>إلى المجلس في السنوات القادمة عن الإجراءات المتخذة والتقدم المحرز في تنفيذ كل توصي</w:t>
      </w:r>
      <w:r w:rsidR="00122046" w:rsidRPr="00813B86">
        <w:rPr>
          <w:rFonts w:hint="cs"/>
          <w:rtl/>
        </w:rPr>
        <w:t>ة</w:t>
      </w:r>
      <w:r w:rsidR="009C7904" w:rsidRPr="00813B86">
        <w:rPr>
          <w:rFonts w:hint="cs"/>
          <w:rtl/>
        </w:rPr>
        <w:t xml:space="preserve"> من التوصيات التسع الو</w:t>
      </w:r>
      <w:r w:rsidR="00BD4018" w:rsidRPr="00813B86">
        <w:rPr>
          <w:rFonts w:hint="cs"/>
          <w:rtl/>
        </w:rPr>
        <w:t xml:space="preserve">اردة في التحقق المستقل الخارجي من </w:t>
      </w:r>
      <w:r w:rsidR="009C7904" w:rsidRPr="00813B86">
        <w:rPr>
          <w:rFonts w:hint="cs"/>
          <w:rtl/>
        </w:rPr>
        <w:t>نشاط المراجعة الداخلية في الاتحاد</w:t>
      </w:r>
      <w:r w:rsidR="00BD4018" w:rsidRPr="00813B86">
        <w:rPr>
          <w:rFonts w:hint="cs"/>
          <w:rtl/>
        </w:rPr>
        <w:t>.</w:t>
      </w:r>
      <w:r w:rsidR="009C7904" w:rsidRPr="00813B86">
        <w:rPr>
          <w:rFonts w:hint="cs"/>
          <w:rtl/>
        </w:rPr>
        <w:t xml:space="preserve"> </w:t>
      </w:r>
      <w:r w:rsidR="00BD4018" w:rsidRPr="00813B86">
        <w:rPr>
          <w:rFonts w:hint="cs"/>
          <w:rtl/>
        </w:rPr>
        <w:t>وتؤكد</w:t>
      </w:r>
      <w:r w:rsidR="009C7904" w:rsidRPr="00813B86">
        <w:rPr>
          <w:rFonts w:hint="cs"/>
          <w:rtl/>
        </w:rPr>
        <w:t xml:space="preserve"> وحدة المراجعة الداخلية تنفيذ جميع التوصيات التسع</w:t>
      </w:r>
      <w:r w:rsidR="00BD4018" w:rsidRPr="00813B86">
        <w:rPr>
          <w:rFonts w:hint="cs"/>
          <w:rtl/>
        </w:rPr>
        <w:t>.</w:t>
      </w:r>
    </w:p>
    <w:p w:rsidR="00931F25" w:rsidRPr="00813B86" w:rsidRDefault="00931F25" w:rsidP="00931F25">
      <w:pPr>
        <w:pStyle w:val="Headingb0"/>
        <w:keepLines/>
        <w:rPr>
          <w:rtl/>
        </w:rPr>
      </w:pPr>
      <w:r w:rsidRPr="00813B86">
        <w:rPr>
          <w:rtl/>
        </w:rPr>
        <w:lastRenderedPageBreak/>
        <w:t>متابعة تنفيذ التوصيات المقدَّمة في إطار المراجعة الداخلية</w:t>
      </w:r>
    </w:p>
    <w:p w:rsidR="00931F25" w:rsidRPr="00813B86" w:rsidRDefault="00602F1D" w:rsidP="00BD4018">
      <w:pPr>
        <w:keepNext/>
        <w:keepLines/>
        <w:spacing w:after="240"/>
        <w:rPr>
          <w:lang w:bidi="ar-EG"/>
        </w:rPr>
      </w:pPr>
      <w:r w:rsidRPr="00813B86">
        <w:t>26</w:t>
      </w:r>
      <w:r w:rsidR="00931F25" w:rsidRPr="00813B86">
        <w:rPr>
          <w:rtl/>
        </w:rPr>
        <w:tab/>
        <w:t>واصل</w:t>
      </w:r>
      <w:r w:rsidR="009C7904" w:rsidRPr="00813B86">
        <w:rPr>
          <w:rFonts w:hint="cs"/>
          <w:rtl/>
        </w:rPr>
        <w:t>ت</w:t>
      </w:r>
      <w:r w:rsidR="00931F25" w:rsidRPr="00813B86">
        <w:rPr>
          <w:rtl/>
        </w:rPr>
        <w:t xml:space="preserve"> </w:t>
      </w:r>
      <w:r w:rsidR="009C7904" w:rsidRPr="00813B86">
        <w:rPr>
          <w:rFonts w:hint="cs"/>
          <w:rtl/>
        </w:rPr>
        <w:t>وحدة</w:t>
      </w:r>
      <w:r w:rsidR="00931F25" w:rsidRPr="00813B86">
        <w:rPr>
          <w:rtl/>
        </w:rPr>
        <w:t xml:space="preserve"> المراجعة الداخلية طيلة الفترة المشمولة بهذا التقرير متابعة تنفيذ التوصيات التي ق</w:t>
      </w:r>
      <w:r w:rsidR="00DF50F2">
        <w:rPr>
          <w:rFonts w:hint="cs"/>
          <w:rtl/>
        </w:rPr>
        <w:t>ُ</w:t>
      </w:r>
      <w:r w:rsidR="00931F25" w:rsidRPr="00813B86">
        <w:rPr>
          <w:rtl/>
        </w:rPr>
        <w:t xml:space="preserve">دمت في تقارير المراجعة السابقة، وذلك طبقاً للمعيار </w:t>
      </w:r>
      <w:r w:rsidR="00931F25" w:rsidRPr="00813B86">
        <w:t>2500</w:t>
      </w:r>
      <w:r w:rsidR="00931F25" w:rsidRPr="00813B86">
        <w:rPr>
          <w:rtl/>
        </w:rPr>
        <w:t xml:space="preserve"> لمعهد المراجعين الداخليين</w:t>
      </w:r>
      <w:r w:rsidR="00931F25" w:rsidRPr="00813B86">
        <w:rPr>
          <w:rStyle w:val="FootnoteReference"/>
          <w:rtl/>
        </w:rPr>
        <w:footnoteReference w:id="4"/>
      </w:r>
      <w:r w:rsidR="00931F25" w:rsidRPr="00813B86">
        <w:rPr>
          <w:rtl/>
        </w:rPr>
        <w:t>. وقد لوحظ أنه تحقق على مدى الاثني ع</w:t>
      </w:r>
      <w:r w:rsidR="009C7904" w:rsidRPr="00813B86">
        <w:rPr>
          <w:rtl/>
        </w:rPr>
        <w:t>شر شهراً الأخيرة مزيد من التقدم</w:t>
      </w:r>
      <w:r w:rsidR="00931F25" w:rsidRPr="00813B86">
        <w:rPr>
          <w:rtl/>
        </w:rPr>
        <w:t xml:space="preserve">، </w:t>
      </w:r>
      <w:r w:rsidR="00BD4018" w:rsidRPr="00813B86">
        <w:rPr>
          <w:rFonts w:hint="cs"/>
          <w:rtl/>
        </w:rPr>
        <w:t>و</w:t>
      </w:r>
      <w:r w:rsidR="00931F25" w:rsidRPr="00813B86">
        <w:rPr>
          <w:rtl/>
        </w:rPr>
        <w:t>ترد فيما يلي الإحصاءات المتعلقة به</w:t>
      </w:r>
      <w:r w:rsidRPr="00813B86">
        <w:rPr>
          <w:rFonts w:hint="cs"/>
          <w:rtl/>
        </w:rPr>
        <w:t xml:space="preserve"> (في </w:t>
      </w:r>
      <w:r w:rsidR="009C7904" w:rsidRPr="00813B86">
        <w:rPr>
          <w:lang w:val="en-CA"/>
        </w:rPr>
        <w:t>1</w:t>
      </w:r>
      <w:r w:rsidR="009C7904" w:rsidRPr="00813B86">
        <w:rPr>
          <w:rFonts w:hint="cs"/>
          <w:rtl/>
          <w:lang w:val="en-CA" w:bidi="ar-EG"/>
        </w:rPr>
        <w:t xml:space="preserve"> </w:t>
      </w:r>
      <w:r w:rsidRPr="00813B86">
        <w:rPr>
          <w:rFonts w:hint="cs"/>
          <w:rtl/>
        </w:rPr>
        <w:t xml:space="preserve">فبراير </w:t>
      </w:r>
      <w:r w:rsidRPr="00813B86">
        <w:t>2017</w:t>
      </w:r>
      <w:r w:rsidRPr="00813B86">
        <w:rPr>
          <w:rFonts w:hint="cs"/>
          <w:rtl/>
          <w:lang w:bidi="ar-EG"/>
        </w:rPr>
        <w:t>)</w:t>
      </w:r>
      <w:r w:rsidR="00931F25" w:rsidRPr="00813B86">
        <w:rPr>
          <w:rtl/>
        </w:rPr>
        <w:t>:</w:t>
      </w:r>
    </w:p>
    <w:tbl>
      <w:tblPr>
        <w:bidiVisual/>
        <w:tblW w:w="9854" w:type="dxa"/>
        <w:tblInd w:w="40" w:type="dxa"/>
        <w:tblLook w:val="04A0" w:firstRow="1" w:lastRow="0" w:firstColumn="1" w:lastColumn="0" w:noHBand="0" w:noVBand="1"/>
      </w:tblPr>
      <w:tblGrid>
        <w:gridCol w:w="3300"/>
        <w:gridCol w:w="943"/>
        <w:gridCol w:w="850"/>
        <w:gridCol w:w="993"/>
        <w:gridCol w:w="992"/>
        <w:gridCol w:w="992"/>
        <w:gridCol w:w="851"/>
        <w:gridCol w:w="937"/>
      </w:tblGrid>
      <w:tr w:rsidR="001E0FE6" w:rsidRPr="009B080D" w:rsidTr="001E0FE6">
        <w:trPr>
          <w:trHeight w:val="315"/>
        </w:trPr>
        <w:tc>
          <w:tcPr>
            <w:tcW w:w="3300" w:type="dxa"/>
            <w:tcBorders>
              <w:top w:val="single" w:sz="8" w:space="0" w:color="auto"/>
              <w:left w:val="single" w:sz="8" w:space="0" w:color="auto"/>
              <w:bottom w:val="nil"/>
              <w:right w:val="nil"/>
            </w:tcBorders>
            <w:shd w:val="clear" w:color="000000" w:fill="000000"/>
            <w:noWrap/>
            <w:hideMark/>
          </w:tcPr>
          <w:p w:rsidR="001E0FE6" w:rsidRPr="009B080D" w:rsidRDefault="001E0FE6" w:rsidP="00C3366B">
            <w:pPr>
              <w:pStyle w:val="TableHead0"/>
              <w:keepLines/>
              <w:spacing w:line="300" w:lineRule="exact"/>
              <w:jc w:val="left"/>
              <w:rPr>
                <w:sz w:val="22"/>
                <w:szCs w:val="30"/>
                <w:rtl/>
              </w:rPr>
            </w:pPr>
            <w:r w:rsidRPr="009B080D">
              <w:rPr>
                <w:sz w:val="22"/>
                <w:szCs w:val="30"/>
                <w:rtl/>
              </w:rPr>
              <w:br w:type="page"/>
              <w:t>السنة</w:t>
            </w:r>
          </w:p>
        </w:tc>
        <w:tc>
          <w:tcPr>
            <w:tcW w:w="943" w:type="dxa"/>
            <w:tcBorders>
              <w:top w:val="single" w:sz="8" w:space="0" w:color="auto"/>
              <w:left w:val="nil"/>
              <w:bottom w:val="nil"/>
              <w:right w:val="nil"/>
            </w:tcBorders>
            <w:shd w:val="clear" w:color="000000" w:fill="000000"/>
            <w:noWrap/>
            <w:vAlign w:val="bottom"/>
            <w:hideMark/>
          </w:tcPr>
          <w:p w:rsidR="001E0FE6" w:rsidRPr="009B080D" w:rsidRDefault="001E0FE6" w:rsidP="00C3366B">
            <w:pPr>
              <w:snapToGrid w:val="0"/>
              <w:spacing w:before="60" w:after="60" w:line="300" w:lineRule="exact"/>
              <w:jc w:val="center"/>
              <w:rPr>
                <w:b/>
                <w:bCs/>
                <w:color w:val="FFFFFF"/>
              </w:rPr>
            </w:pPr>
            <w:r w:rsidRPr="009B080D">
              <w:rPr>
                <w:b/>
                <w:bCs/>
                <w:color w:val="FFFFFF"/>
              </w:rPr>
              <w:t>2011</w:t>
            </w:r>
          </w:p>
        </w:tc>
        <w:tc>
          <w:tcPr>
            <w:tcW w:w="850" w:type="dxa"/>
            <w:tcBorders>
              <w:top w:val="single" w:sz="8" w:space="0" w:color="auto"/>
              <w:left w:val="nil"/>
              <w:bottom w:val="nil"/>
              <w:right w:val="nil"/>
            </w:tcBorders>
            <w:shd w:val="clear" w:color="000000" w:fill="000000"/>
            <w:noWrap/>
            <w:vAlign w:val="bottom"/>
            <w:hideMark/>
          </w:tcPr>
          <w:p w:rsidR="001E0FE6" w:rsidRPr="009B080D" w:rsidRDefault="001E0FE6" w:rsidP="00C3366B">
            <w:pPr>
              <w:snapToGrid w:val="0"/>
              <w:spacing w:before="60" w:after="60" w:line="300" w:lineRule="exact"/>
              <w:jc w:val="center"/>
              <w:rPr>
                <w:b/>
                <w:bCs/>
                <w:color w:val="FFFFFF"/>
              </w:rPr>
            </w:pPr>
            <w:r w:rsidRPr="009B080D">
              <w:rPr>
                <w:b/>
                <w:bCs/>
                <w:color w:val="FFFFFF"/>
              </w:rPr>
              <w:t>2012</w:t>
            </w:r>
          </w:p>
        </w:tc>
        <w:tc>
          <w:tcPr>
            <w:tcW w:w="993" w:type="dxa"/>
            <w:tcBorders>
              <w:top w:val="single" w:sz="8" w:space="0" w:color="auto"/>
              <w:left w:val="nil"/>
              <w:bottom w:val="nil"/>
              <w:right w:val="nil"/>
            </w:tcBorders>
            <w:shd w:val="clear" w:color="000000" w:fill="000000"/>
            <w:noWrap/>
            <w:vAlign w:val="bottom"/>
            <w:hideMark/>
          </w:tcPr>
          <w:p w:rsidR="001E0FE6" w:rsidRPr="009B080D" w:rsidRDefault="001E0FE6" w:rsidP="00C3366B">
            <w:pPr>
              <w:snapToGrid w:val="0"/>
              <w:spacing w:before="60" w:after="60" w:line="300" w:lineRule="exact"/>
              <w:jc w:val="center"/>
              <w:rPr>
                <w:b/>
                <w:bCs/>
                <w:color w:val="FFFFFF"/>
              </w:rPr>
            </w:pPr>
            <w:r w:rsidRPr="009B080D">
              <w:rPr>
                <w:b/>
                <w:bCs/>
                <w:color w:val="FFFFFF"/>
              </w:rPr>
              <w:t>2013</w:t>
            </w:r>
          </w:p>
        </w:tc>
        <w:tc>
          <w:tcPr>
            <w:tcW w:w="992" w:type="dxa"/>
            <w:tcBorders>
              <w:top w:val="single" w:sz="8" w:space="0" w:color="auto"/>
              <w:left w:val="nil"/>
              <w:bottom w:val="nil"/>
              <w:right w:val="nil"/>
            </w:tcBorders>
            <w:shd w:val="clear" w:color="000000" w:fill="000000"/>
            <w:noWrap/>
            <w:vAlign w:val="bottom"/>
            <w:hideMark/>
          </w:tcPr>
          <w:p w:rsidR="001E0FE6" w:rsidRPr="009B080D" w:rsidRDefault="001E0FE6" w:rsidP="00C3366B">
            <w:pPr>
              <w:snapToGrid w:val="0"/>
              <w:spacing w:before="60" w:after="60" w:line="300" w:lineRule="exact"/>
              <w:jc w:val="center"/>
              <w:rPr>
                <w:b/>
                <w:bCs/>
                <w:color w:val="FFFFFF"/>
              </w:rPr>
            </w:pPr>
            <w:r w:rsidRPr="009B080D">
              <w:rPr>
                <w:b/>
                <w:bCs/>
                <w:color w:val="FFFFFF"/>
              </w:rPr>
              <w:t>2014</w:t>
            </w:r>
          </w:p>
        </w:tc>
        <w:tc>
          <w:tcPr>
            <w:tcW w:w="992" w:type="dxa"/>
            <w:tcBorders>
              <w:top w:val="single" w:sz="8" w:space="0" w:color="auto"/>
              <w:left w:val="nil"/>
              <w:bottom w:val="nil"/>
              <w:right w:val="nil"/>
            </w:tcBorders>
            <w:shd w:val="clear" w:color="000000" w:fill="000000"/>
            <w:noWrap/>
            <w:vAlign w:val="bottom"/>
            <w:hideMark/>
          </w:tcPr>
          <w:p w:rsidR="001E0FE6" w:rsidRPr="009B080D" w:rsidRDefault="001E0FE6" w:rsidP="00C3366B">
            <w:pPr>
              <w:snapToGrid w:val="0"/>
              <w:spacing w:before="60" w:after="60" w:line="300" w:lineRule="exact"/>
              <w:jc w:val="center"/>
              <w:rPr>
                <w:b/>
                <w:bCs/>
                <w:color w:val="FFFFFF"/>
              </w:rPr>
            </w:pPr>
            <w:r w:rsidRPr="009B080D">
              <w:rPr>
                <w:b/>
                <w:bCs/>
                <w:color w:val="FFFFFF"/>
              </w:rPr>
              <w:t>2015</w:t>
            </w:r>
          </w:p>
        </w:tc>
        <w:tc>
          <w:tcPr>
            <w:tcW w:w="851" w:type="dxa"/>
            <w:tcBorders>
              <w:top w:val="single" w:sz="8" w:space="0" w:color="auto"/>
              <w:left w:val="nil"/>
              <w:bottom w:val="nil"/>
              <w:right w:val="nil"/>
            </w:tcBorders>
            <w:shd w:val="clear" w:color="000000" w:fill="000000"/>
            <w:noWrap/>
            <w:vAlign w:val="bottom"/>
            <w:hideMark/>
          </w:tcPr>
          <w:p w:rsidR="001E0FE6" w:rsidRPr="009B080D" w:rsidRDefault="001E0FE6" w:rsidP="00C3366B">
            <w:pPr>
              <w:snapToGrid w:val="0"/>
              <w:spacing w:before="60" w:after="60" w:line="300" w:lineRule="exact"/>
              <w:jc w:val="center"/>
              <w:rPr>
                <w:b/>
                <w:bCs/>
                <w:color w:val="FFFFFF"/>
              </w:rPr>
            </w:pPr>
            <w:r w:rsidRPr="009B080D">
              <w:rPr>
                <w:b/>
                <w:bCs/>
                <w:color w:val="FFFFFF"/>
              </w:rPr>
              <w:t>2016</w:t>
            </w:r>
          </w:p>
        </w:tc>
        <w:tc>
          <w:tcPr>
            <w:tcW w:w="933" w:type="dxa"/>
            <w:tcBorders>
              <w:top w:val="single" w:sz="8" w:space="0" w:color="auto"/>
              <w:left w:val="nil"/>
              <w:bottom w:val="nil"/>
              <w:right w:val="single" w:sz="8" w:space="0" w:color="auto"/>
            </w:tcBorders>
            <w:shd w:val="clear" w:color="000000" w:fill="000000"/>
            <w:noWrap/>
            <w:hideMark/>
          </w:tcPr>
          <w:p w:rsidR="001E0FE6" w:rsidRPr="009B080D" w:rsidRDefault="001E0FE6" w:rsidP="00C3366B">
            <w:pPr>
              <w:pStyle w:val="TableHead0"/>
              <w:keepLines/>
              <w:spacing w:line="300" w:lineRule="exact"/>
              <w:rPr>
                <w:sz w:val="22"/>
                <w:szCs w:val="30"/>
                <w:lang w:bidi="ar-SY"/>
              </w:rPr>
            </w:pPr>
            <w:r w:rsidRPr="009B080D">
              <w:rPr>
                <w:sz w:val="22"/>
                <w:szCs w:val="30"/>
                <w:rtl/>
              </w:rPr>
              <w:t>المجموع</w:t>
            </w:r>
          </w:p>
        </w:tc>
      </w:tr>
      <w:tr w:rsidR="001E0FE6" w:rsidRPr="009B080D" w:rsidTr="001E0FE6">
        <w:trPr>
          <w:trHeight w:val="300"/>
        </w:trPr>
        <w:tc>
          <w:tcPr>
            <w:tcW w:w="3300" w:type="dxa"/>
            <w:tcBorders>
              <w:top w:val="single" w:sz="8" w:space="0" w:color="auto"/>
              <w:left w:val="single" w:sz="8" w:space="0" w:color="auto"/>
              <w:bottom w:val="single" w:sz="4" w:space="0" w:color="auto"/>
              <w:right w:val="single" w:sz="4" w:space="0" w:color="auto"/>
            </w:tcBorders>
            <w:shd w:val="clear" w:color="auto" w:fill="auto"/>
            <w:noWrap/>
            <w:hideMark/>
          </w:tcPr>
          <w:p w:rsidR="001E0FE6" w:rsidRPr="009B080D" w:rsidRDefault="001E0FE6" w:rsidP="00C3366B">
            <w:pPr>
              <w:pStyle w:val="Tabletexte"/>
              <w:keepNext/>
              <w:keepLines/>
              <w:spacing w:line="300" w:lineRule="exact"/>
              <w:rPr>
                <w:sz w:val="22"/>
                <w:szCs w:val="30"/>
              </w:rPr>
            </w:pPr>
            <w:r w:rsidRPr="009B080D">
              <w:rPr>
                <w:sz w:val="22"/>
                <w:szCs w:val="30"/>
                <w:rtl/>
              </w:rPr>
              <w:t>عدد تقارير المراجعة</w:t>
            </w:r>
          </w:p>
        </w:tc>
        <w:tc>
          <w:tcPr>
            <w:tcW w:w="943" w:type="dxa"/>
            <w:tcBorders>
              <w:top w:val="single" w:sz="8" w:space="0" w:color="auto"/>
              <w:left w:val="nil"/>
              <w:bottom w:val="single" w:sz="4"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2</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993" w:type="dxa"/>
            <w:tcBorders>
              <w:top w:val="single" w:sz="8" w:space="0" w:color="auto"/>
              <w:left w:val="nil"/>
              <w:bottom w:val="single" w:sz="4"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4</w:t>
            </w:r>
          </w:p>
        </w:tc>
        <w:tc>
          <w:tcPr>
            <w:tcW w:w="992" w:type="dxa"/>
            <w:tcBorders>
              <w:top w:val="single" w:sz="8" w:space="0" w:color="auto"/>
              <w:left w:val="nil"/>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4</w:t>
            </w:r>
          </w:p>
        </w:tc>
        <w:tc>
          <w:tcPr>
            <w:tcW w:w="992" w:type="dxa"/>
            <w:tcBorders>
              <w:top w:val="single" w:sz="8" w:space="0" w:color="auto"/>
              <w:left w:val="single" w:sz="4" w:space="0" w:color="auto"/>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7</w:t>
            </w:r>
          </w:p>
        </w:tc>
        <w:tc>
          <w:tcPr>
            <w:tcW w:w="851" w:type="dxa"/>
            <w:tcBorders>
              <w:top w:val="single" w:sz="8" w:space="0" w:color="auto"/>
              <w:left w:val="single" w:sz="4" w:space="0" w:color="auto"/>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4</w:t>
            </w:r>
          </w:p>
        </w:tc>
        <w:tc>
          <w:tcPr>
            <w:tcW w:w="933" w:type="dxa"/>
            <w:tcBorders>
              <w:top w:val="single" w:sz="8" w:space="0" w:color="auto"/>
              <w:left w:val="single" w:sz="4" w:space="0" w:color="auto"/>
              <w:bottom w:val="single" w:sz="4" w:space="0" w:color="auto"/>
              <w:right w:val="single" w:sz="8" w:space="0" w:color="auto"/>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21</w:t>
            </w:r>
          </w:p>
        </w:tc>
      </w:tr>
      <w:tr w:rsidR="001E0FE6" w:rsidRPr="009B080D" w:rsidTr="001E0FE6">
        <w:trPr>
          <w:trHeight w:val="300"/>
        </w:trPr>
        <w:tc>
          <w:tcPr>
            <w:tcW w:w="3300" w:type="dxa"/>
            <w:tcBorders>
              <w:top w:val="nil"/>
              <w:left w:val="single" w:sz="8" w:space="0" w:color="auto"/>
              <w:bottom w:val="single" w:sz="4" w:space="0" w:color="auto"/>
              <w:right w:val="single" w:sz="4" w:space="0" w:color="auto"/>
            </w:tcBorders>
            <w:shd w:val="clear" w:color="auto" w:fill="auto"/>
            <w:noWrap/>
            <w:hideMark/>
          </w:tcPr>
          <w:p w:rsidR="001E0FE6" w:rsidRPr="009B080D" w:rsidRDefault="001E0FE6" w:rsidP="00C3366B">
            <w:pPr>
              <w:pStyle w:val="Tabletexte"/>
              <w:keepNext/>
              <w:keepLines/>
              <w:spacing w:line="300" w:lineRule="exact"/>
              <w:rPr>
                <w:sz w:val="22"/>
                <w:szCs w:val="30"/>
              </w:rPr>
            </w:pPr>
            <w:r w:rsidRPr="009B080D">
              <w:rPr>
                <w:sz w:val="22"/>
                <w:szCs w:val="30"/>
                <w:rtl/>
              </w:rPr>
              <w:t>التوصيات - المجموع</w:t>
            </w:r>
          </w:p>
        </w:tc>
        <w:tc>
          <w:tcPr>
            <w:tcW w:w="943" w:type="dxa"/>
            <w:tcBorders>
              <w:top w:val="nil"/>
              <w:left w:val="nil"/>
              <w:bottom w:val="single" w:sz="4"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17</w:t>
            </w:r>
          </w:p>
        </w:tc>
        <w:tc>
          <w:tcPr>
            <w:tcW w:w="850" w:type="dxa"/>
            <w:tcBorders>
              <w:top w:val="nil"/>
              <w:left w:val="nil"/>
              <w:bottom w:val="single" w:sz="4"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w:t>
            </w:r>
          </w:p>
        </w:tc>
        <w:tc>
          <w:tcPr>
            <w:tcW w:w="993" w:type="dxa"/>
            <w:tcBorders>
              <w:top w:val="nil"/>
              <w:left w:val="nil"/>
              <w:bottom w:val="single" w:sz="4"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113</w:t>
            </w:r>
          </w:p>
        </w:tc>
        <w:tc>
          <w:tcPr>
            <w:tcW w:w="992" w:type="dxa"/>
            <w:tcBorders>
              <w:top w:val="nil"/>
              <w:left w:val="nil"/>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55</w:t>
            </w:r>
          </w:p>
        </w:tc>
        <w:tc>
          <w:tcPr>
            <w:tcW w:w="992" w:type="dxa"/>
            <w:tcBorders>
              <w:top w:val="nil"/>
              <w:left w:val="single" w:sz="4" w:space="0" w:color="auto"/>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34</w:t>
            </w:r>
          </w:p>
        </w:tc>
        <w:tc>
          <w:tcPr>
            <w:tcW w:w="851" w:type="dxa"/>
            <w:tcBorders>
              <w:top w:val="nil"/>
              <w:left w:val="single" w:sz="4" w:space="0" w:color="auto"/>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22</w:t>
            </w:r>
          </w:p>
        </w:tc>
        <w:tc>
          <w:tcPr>
            <w:tcW w:w="933" w:type="dxa"/>
            <w:tcBorders>
              <w:top w:val="nil"/>
              <w:left w:val="single" w:sz="4" w:space="0" w:color="auto"/>
              <w:bottom w:val="single" w:sz="4" w:space="0" w:color="auto"/>
              <w:right w:val="single" w:sz="8" w:space="0" w:color="auto"/>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241</w:t>
            </w:r>
          </w:p>
        </w:tc>
      </w:tr>
      <w:tr w:rsidR="001E0FE6" w:rsidRPr="009B080D" w:rsidTr="001E0FE6">
        <w:trPr>
          <w:trHeight w:val="300"/>
        </w:trPr>
        <w:tc>
          <w:tcPr>
            <w:tcW w:w="3300" w:type="dxa"/>
            <w:tcBorders>
              <w:top w:val="nil"/>
              <w:left w:val="single" w:sz="8" w:space="0" w:color="auto"/>
              <w:bottom w:val="single" w:sz="4" w:space="0" w:color="auto"/>
              <w:right w:val="single" w:sz="4" w:space="0" w:color="auto"/>
            </w:tcBorders>
            <w:shd w:val="clear" w:color="auto" w:fill="auto"/>
            <w:noWrap/>
            <w:hideMark/>
          </w:tcPr>
          <w:p w:rsidR="001E0FE6" w:rsidRPr="009B080D" w:rsidRDefault="001E0FE6" w:rsidP="00C3366B">
            <w:pPr>
              <w:pStyle w:val="Tabletexte"/>
              <w:keepNext/>
              <w:keepLines/>
              <w:spacing w:line="300" w:lineRule="exact"/>
              <w:ind w:left="284"/>
              <w:rPr>
                <w:sz w:val="22"/>
                <w:szCs w:val="30"/>
              </w:rPr>
            </w:pPr>
            <w:r w:rsidRPr="009B080D">
              <w:rPr>
                <w:sz w:val="22"/>
                <w:szCs w:val="30"/>
                <w:rtl/>
              </w:rPr>
              <w:t>التوصيات الجاري تنفيذها</w:t>
            </w:r>
          </w:p>
        </w:tc>
        <w:tc>
          <w:tcPr>
            <w:tcW w:w="943" w:type="dxa"/>
            <w:tcBorders>
              <w:top w:val="nil"/>
              <w:left w:val="nil"/>
              <w:bottom w:val="single" w:sz="4"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850" w:type="dxa"/>
            <w:tcBorders>
              <w:top w:val="nil"/>
              <w:left w:val="nil"/>
              <w:bottom w:val="single" w:sz="4"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w:t>
            </w:r>
          </w:p>
        </w:tc>
        <w:tc>
          <w:tcPr>
            <w:tcW w:w="993" w:type="dxa"/>
            <w:tcBorders>
              <w:top w:val="nil"/>
              <w:left w:val="nil"/>
              <w:bottom w:val="single" w:sz="4"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8</w:t>
            </w:r>
          </w:p>
        </w:tc>
        <w:tc>
          <w:tcPr>
            <w:tcW w:w="992" w:type="dxa"/>
            <w:tcBorders>
              <w:top w:val="nil"/>
              <w:left w:val="nil"/>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5</w:t>
            </w:r>
          </w:p>
        </w:tc>
        <w:tc>
          <w:tcPr>
            <w:tcW w:w="992" w:type="dxa"/>
            <w:tcBorders>
              <w:top w:val="nil"/>
              <w:left w:val="single" w:sz="4" w:space="0" w:color="auto"/>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8</w:t>
            </w:r>
          </w:p>
        </w:tc>
        <w:tc>
          <w:tcPr>
            <w:tcW w:w="851" w:type="dxa"/>
            <w:tcBorders>
              <w:top w:val="nil"/>
              <w:left w:val="single" w:sz="4" w:space="0" w:color="auto"/>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20</w:t>
            </w:r>
          </w:p>
        </w:tc>
        <w:tc>
          <w:tcPr>
            <w:tcW w:w="933" w:type="dxa"/>
            <w:tcBorders>
              <w:top w:val="nil"/>
              <w:left w:val="single" w:sz="4" w:space="0" w:color="auto"/>
              <w:bottom w:val="single" w:sz="4" w:space="0" w:color="auto"/>
              <w:right w:val="single" w:sz="8" w:space="0" w:color="auto"/>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41</w:t>
            </w:r>
          </w:p>
        </w:tc>
      </w:tr>
      <w:tr w:rsidR="001E0FE6" w:rsidRPr="009B080D" w:rsidTr="001E0FE6">
        <w:trPr>
          <w:trHeight w:val="300"/>
        </w:trPr>
        <w:tc>
          <w:tcPr>
            <w:tcW w:w="3300" w:type="dxa"/>
            <w:tcBorders>
              <w:top w:val="nil"/>
              <w:left w:val="single" w:sz="8" w:space="0" w:color="auto"/>
              <w:bottom w:val="single" w:sz="4" w:space="0" w:color="auto"/>
              <w:right w:val="single" w:sz="4" w:space="0" w:color="auto"/>
            </w:tcBorders>
            <w:shd w:val="clear" w:color="auto" w:fill="auto"/>
            <w:noWrap/>
            <w:hideMark/>
          </w:tcPr>
          <w:p w:rsidR="001E0FE6" w:rsidRPr="009B080D" w:rsidRDefault="001E0FE6" w:rsidP="00C3366B">
            <w:pPr>
              <w:pStyle w:val="Tabletexte"/>
              <w:keepNext/>
              <w:keepLines/>
              <w:spacing w:line="300" w:lineRule="exact"/>
              <w:ind w:left="284"/>
              <w:rPr>
                <w:sz w:val="22"/>
                <w:szCs w:val="30"/>
              </w:rPr>
            </w:pPr>
            <w:r w:rsidRPr="009B080D">
              <w:rPr>
                <w:sz w:val="22"/>
                <w:szCs w:val="30"/>
                <w:rtl/>
              </w:rPr>
              <w:t>التوصيات المتأخَر في تنفيذها</w:t>
            </w:r>
          </w:p>
        </w:tc>
        <w:tc>
          <w:tcPr>
            <w:tcW w:w="943" w:type="dxa"/>
            <w:tcBorders>
              <w:top w:val="nil"/>
              <w:left w:val="nil"/>
              <w:bottom w:val="single" w:sz="4"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3</w:t>
            </w:r>
          </w:p>
        </w:tc>
        <w:tc>
          <w:tcPr>
            <w:tcW w:w="850" w:type="dxa"/>
            <w:tcBorders>
              <w:top w:val="nil"/>
              <w:left w:val="nil"/>
              <w:bottom w:val="single" w:sz="4"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w:t>
            </w:r>
          </w:p>
        </w:tc>
        <w:tc>
          <w:tcPr>
            <w:tcW w:w="993" w:type="dxa"/>
            <w:tcBorders>
              <w:top w:val="nil"/>
              <w:left w:val="nil"/>
              <w:bottom w:val="single" w:sz="4"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992" w:type="dxa"/>
            <w:tcBorders>
              <w:top w:val="nil"/>
              <w:left w:val="nil"/>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992" w:type="dxa"/>
            <w:tcBorders>
              <w:top w:val="nil"/>
              <w:left w:val="single" w:sz="4" w:space="0" w:color="auto"/>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851" w:type="dxa"/>
            <w:tcBorders>
              <w:top w:val="nil"/>
              <w:left w:val="single" w:sz="4" w:space="0" w:color="auto"/>
              <w:bottom w:val="single" w:sz="4"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933" w:type="dxa"/>
            <w:tcBorders>
              <w:top w:val="nil"/>
              <w:left w:val="single" w:sz="4" w:space="0" w:color="auto"/>
              <w:bottom w:val="single" w:sz="4" w:space="0" w:color="auto"/>
              <w:right w:val="single" w:sz="8" w:space="0" w:color="auto"/>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3</w:t>
            </w:r>
          </w:p>
        </w:tc>
      </w:tr>
      <w:tr w:rsidR="001E0FE6" w:rsidRPr="009B080D" w:rsidTr="001E0FE6">
        <w:trPr>
          <w:trHeight w:val="315"/>
        </w:trPr>
        <w:tc>
          <w:tcPr>
            <w:tcW w:w="3300" w:type="dxa"/>
            <w:tcBorders>
              <w:top w:val="nil"/>
              <w:left w:val="single" w:sz="8" w:space="0" w:color="auto"/>
              <w:bottom w:val="single" w:sz="8" w:space="0" w:color="auto"/>
              <w:right w:val="single" w:sz="4" w:space="0" w:color="auto"/>
            </w:tcBorders>
            <w:shd w:val="clear" w:color="auto" w:fill="auto"/>
            <w:noWrap/>
            <w:hideMark/>
          </w:tcPr>
          <w:p w:rsidR="001E0FE6" w:rsidRPr="009B080D" w:rsidRDefault="001E0FE6" w:rsidP="00C3366B">
            <w:pPr>
              <w:pStyle w:val="Tabletexte"/>
              <w:keepNext/>
              <w:keepLines/>
              <w:spacing w:line="300" w:lineRule="exact"/>
              <w:ind w:left="284"/>
              <w:rPr>
                <w:sz w:val="22"/>
                <w:szCs w:val="30"/>
              </w:rPr>
            </w:pPr>
            <w:r w:rsidRPr="009B080D">
              <w:rPr>
                <w:sz w:val="22"/>
                <w:szCs w:val="30"/>
                <w:rtl/>
              </w:rPr>
              <w:t>التوصيات التي أُقفل ملفها</w:t>
            </w:r>
          </w:p>
        </w:tc>
        <w:tc>
          <w:tcPr>
            <w:tcW w:w="943" w:type="dxa"/>
            <w:tcBorders>
              <w:top w:val="nil"/>
              <w:left w:val="nil"/>
              <w:bottom w:val="single" w:sz="8"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14</w:t>
            </w:r>
          </w:p>
        </w:tc>
        <w:tc>
          <w:tcPr>
            <w:tcW w:w="850"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w:t>
            </w:r>
          </w:p>
        </w:tc>
        <w:tc>
          <w:tcPr>
            <w:tcW w:w="993" w:type="dxa"/>
            <w:tcBorders>
              <w:top w:val="nil"/>
              <w:left w:val="nil"/>
              <w:bottom w:val="single" w:sz="8"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105</w:t>
            </w:r>
          </w:p>
        </w:tc>
        <w:tc>
          <w:tcPr>
            <w:tcW w:w="992" w:type="dxa"/>
            <w:tcBorders>
              <w:top w:val="nil"/>
              <w:left w:val="nil"/>
              <w:bottom w:val="single" w:sz="8"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50</w:t>
            </w:r>
          </w:p>
        </w:tc>
        <w:tc>
          <w:tcPr>
            <w:tcW w:w="992" w:type="dxa"/>
            <w:tcBorders>
              <w:top w:val="nil"/>
              <w:left w:val="single" w:sz="4" w:space="0" w:color="auto"/>
              <w:bottom w:val="single" w:sz="8"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26</w:t>
            </w:r>
          </w:p>
        </w:tc>
        <w:tc>
          <w:tcPr>
            <w:tcW w:w="851" w:type="dxa"/>
            <w:tcBorders>
              <w:top w:val="nil"/>
              <w:left w:val="single" w:sz="4" w:space="0" w:color="auto"/>
              <w:bottom w:val="single" w:sz="8" w:space="0" w:color="auto"/>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2</w:t>
            </w:r>
          </w:p>
        </w:tc>
        <w:tc>
          <w:tcPr>
            <w:tcW w:w="933" w:type="dxa"/>
            <w:tcBorders>
              <w:top w:val="nil"/>
              <w:left w:val="single" w:sz="4" w:space="0" w:color="auto"/>
              <w:bottom w:val="single" w:sz="8" w:space="0" w:color="auto"/>
              <w:right w:val="single" w:sz="8" w:space="0" w:color="auto"/>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197</w:t>
            </w:r>
          </w:p>
        </w:tc>
      </w:tr>
      <w:tr w:rsidR="001E0FE6" w:rsidRPr="009B080D" w:rsidTr="001E0FE6">
        <w:trPr>
          <w:trHeight w:val="315"/>
        </w:trPr>
        <w:tc>
          <w:tcPr>
            <w:tcW w:w="3300" w:type="dxa"/>
            <w:tcBorders>
              <w:top w:val="nil"/>
              <w:left w:val="nil"/>
              <w:bottom w:val="nil"/>
              <w:right w:val="nil"/>
            </w:tcBorders>
            <w:shd w:val="clear" w:color="auto" w:fill="auto"/>
            <w:noWrap/>
            <w:hideMark/>
          </w:tcPr>
          <w:p w:rsidR="001E0FE6" w:rsidRPr="009B080D" w:rsidRDefault="001E0FE6" w:rsidP="00C3366B">
            <w:pPr>
              <w:pStyle w:val="Tabletexte"/>
              <w:keepNext/>
              <w:keepLines/>
              <w:spacing w:line="300" w:lineRule="exact"/>
              <w:rPr>
                <w:sz w:val="22"/>
                <w:szCs w:val="30"/>
              </w:rPr>
            </w:pPr>
          </w:p>
        </w:tc>
        <w:tc>
          <w:tcPr>
            <w:tcW w:w="943" w:type="dxa"/>
            <w:tcBorders>
              <w:top w:val="nil"/>
              <w:left w:val="nil"/>
              <w:bottom w:val="nil"/>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 </w:t>
            </w:r>
          </w:p>
        </w:tc>
        <w:tc>
          <w:tcPr>
            <w:tcW w:w="850" w:type="dxa"/>
            <w:tcBorders>
              <w:top w:val="nil"/>
              <w:left w:val="nil"/>
              <w:bottom w:val="nil"/>
              <w:right w:val="nil"/>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p>
        </w:tc>
        <w:tc>
          <w:tcPr>
            <w:tcW w:w="993" w:type="dxa"/>
            <w:tcBorders>
              <w:top w:val="nil"/>
              <w:left w:val="nil"/>
              <w:bottom w:val="nil"/>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 </w:t>
            </w:r>
          </w:p>
        </w:tc>
        <w:tc>
          <w:tcPr>
            <w:tcW w:w="992" w:type="dxa"/>
            <w:tcBorders>
              <w:top w:val="nil"/>
              <w:left w:val="nil"/>
              <w:bottom w:val="nil"/>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 </w:t>
            </w:r>
          </w:p>
        </w:tc>
        <w:tc>
          <w:tcPr>
            <w:tcW w:w="992" w:type="dxa"/>
            <w:tcBorders>
              <w:top w:val="nil"/>
              <w:left w:val="nil"/>
              <w:bottom w:val="nil"/>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 </w:t>
            </w:r>
          </w:p>
        </w:tc>
        <w:tc>
          <w:tcPr>
            <w:tcW w:w="851" w:type="dxa"/>
            <w:tcBorders>
              <w:top w:val="nil"/>
              <w:left w:val="nil"/>
              <w:bottom w:val="nil"/>
              <w:right w:val="nil"/>
            </w:tcBorders>
            <w:shd w:val="clear" w:color="000000" w:fill="FFFFFF"/>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 </w:t>
            </w:r>
          </w:p>
        </w:tc>
        <w:tc>
          <w:tcPr>
            <w:tcW w:w="933" w:type="dxa"/>
            <w:tcBorders>
              <w:top w:val="nil"/>
              <w:left w:val="nil"/>
              <w:bottom w:val="nil"/>
              <w:right w:val="nil"/>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 </w:t>
            </w:r>
          </w:p>
        </w:tc>
      </w:tr>
      <w:tr w:rsidR="001E0FE6" w:rsidRPr="009B080D" w:rsidTr="001E0FE6">
        <w:trPr>
          <w:trHeight w:val="315"/>
        </w:trPr>
        <w:tc>
          <w:tcPr>
            <w:tcW w:w="3300" w:type="dxa"/>
            <w:tcBorders>
              <w:top w:val="single" w:sz="8" w:space="0" w:color="auto"/>
              <w:left w:val="single" w:sz="8" w:space="0" w:color="auto"/>
              <w:bottom w:val="single" w:sz="8" w:space="0" w:color="auto"/>
              <w:right w:val="single" w:sz="4" w:space="0" w:color="auto"/>
            </w:tcBorders>
            <w:shd w:val="clear" w:color="auto" w:fill="auto"/>
            <w:noWrap/>
            <w:hideMark/>
          </w:tcPr>
          <w:p w:rsidR="001E0FE6" w:rsidRPr="009B080D" w:rsidRDefault="001E0FE6" w:rsidP="00C3366B">
            <w:pPr>
              <w:pStyle w:val="Tabletexte"/>
              <w:keepNext/>
              <w:keepLines/>
              <w:spacing w:line="300" w:lineRule="exact"/>
              <w:rPr>
                <w:sz w:val="22"/>
                <w:szCs w:val="30"/>
              </w:rPr>
            </w:pPr>
            <w:r w:rsidRPr="009B080D">
              <w:rPr>
                <w:sz w:val="22"/>
                <w:szCs w:val="30"/>
                <w:rtl/>
              </w:rPr>
              <w:t>النسبة المئوية للتوصيات الجاري تنفيذها</w:t>
            </w:r>
          </w:p>
        </w:tc>
        <w:tc>
          <w:tcPr>
            <w:tcW w:w="943" w:type="dxa"/>
            <w:tcBorders>
              <w:top w:val="single" w:sz="8" w:space="0" w:color="auto"/>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w:t>
            </w:r>
          </w:p>
        </w:tc>
        <w:tc>
          <w:tcPr>
            <w:tcW w:w="993" w:type="dxa"/>
            <w:tcBorders>
              <w:top w:val="single" w:sz="8" w:space="0" w:color="auto"/>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%7</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%9</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%24</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%91</w:t>
            </w:r>
          </w:p>
        </w:tc>
        <w:tc>
          <w:tcPr>
            <w:tcW w:w="933" w:type="dxa"/>
            <w:tcBorders>
              <w:top w:val="single" w:sz="8" w:space="0" w:color="auto"/>
              <w:left w:val="nil"/>
              <w:bottom w:val="single" w:sz="8" w:space="0" w:color="auto"/>
              <w:right w:val="single" w:sz="8" w:space="0" w:color="auto"/>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%17</w:t>
            </w:r>
          </w:p>
        </w:tc>
      </w:tr>
      <w:tr w:rsidR="001E0FE6" w:rsidRPr="009B080D" w:rsidTr="001E0FE6">
        <w:trPr>
          <w:trHeight w:val="315"/>
        </w:trPr>
        <w:tc>
          <w:tcPr>
            <w:tcW w:w="3300" w:type="dxa"/>
            <w:tcBorders>
              <w:top w:val="nil"/>
              <w:left w:val="single" w:sz="8" w:space="0" w:color="auto"/>
              <w:bottom w:val="single" w:sz="8" w:space="0" w:color="auto"/>
              <w:right w:val="single" w:sz="4" w:space="0" w:color="auto"/>
            </w:tcBorders>
            <w:shd w:val="clear" w:color="auto" w:fill="auto"/>
            <w:noWrap/>
            <w:hideMark/>
          </w:tcPr>
          <w:p w:rsidR="001E0FE6" w:rsidRPr="009B080D" w:rsidRDefault="001E0FE6" w:rsidP="00C3366B">
            <w:pPr>
              <w:pStyle w:val="Tabletexte"/>
              <w:keepNext/>
              <w:keepLines/>
              <w:spacing w:line="300" w:lineRule="exact"/>
              <w:rPr>
                <w:sz w:val="22"/>
                <w:szCs w:val="30"/>
              </w:rPr>
            </w:pPr>
            <w:r w:rsidRPr="009B080D">
              <w:rPr>
                <w:sz w:val="22"/>
                <w:szCs w:val="30"/>
                <w:rtl/>
              </w:rPr>
              <w:t>النسبة المئوية للتوصيات المتأخَر في تنفيذها</w:t>
            </w:r>
          </w:p>
        </w:tc>
        <w:tc>
          <w:tcPr>
            <w:tcW w:w="943"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%18</w:t>
            </w:r>
          </w:p>
        </w:tc>
        <w:tc>
          <w:tcPr>
            <w:tcW w:w="850"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w:t>
            </w:r>
          </w:p>
        </w:tc>
        <w:tc>
          <w:tcPr>
            <w:tcW w:w="993" w:type="dxa"/>
            <w:tcBorders>
              <w:top w:val="nil"/>
              <w:left w:val="nil"/>
              <w:bottom w:val="single" w:sz="8"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pPr>
            <w:r w:rsidRPr="009B080D">
              <w:t>%0</w:t>
            </w:r>
          </w:p>
        </w:tc>
        <w:tc>
          <w:tcPr>
            <w:tcW w:w="992" w:type="dxa"/>
            <w:tcBorders>
              <w:top w:val="nil"/>
              <w:left w:val="nil"/>
              <w:bottom w:val="single" w:sz="8" w:space="0" w:color="auto"/>
              <w:right w:val="single" w:sz="4" w:space="0" w:color="auto"/>
            </w:tcBorders>
            <w:shd w:val="clear" w:color="000000" w:fill="FFFFFF"/>
            <w:noWrap/>
            <w:vAlign w:val="bottom"/>
            <w:hideMark/>
          </w:tcPr>
          <w:p w:rsidR="001E0FE6" w:rsidRPr="009B080D" w:rsidRDefault="001E0FE6" w:rsidP="00C3366B">
            <w:pPr>
              <w:snapToGrid w:val="0"/>
              <w:spacing w:before="60" w:after="60" w:line="300" w:lineRule="exact"/>
              <w:jc w:val="center"/>
            </w:pPr>
            <w:r w:rsidRPr="009B080D">
              <w:t>%0</w:t>
            </w:r>
          </w:p>
        </w:tc>
        <w:tc>
          <w:tcPr>
            <w:tcW w:w="992"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851"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%0</w:t>
            </w:r>
          </w:p>
        </w:tc>
        <w:tc>
          <w:tcPr>
            <w:tcW w:w="933" w:type="dxa"/>
            <w:tcBorders>
              <w:top w:val="nil"/>
              <w:left w:val="nil"/>
              <w:bottom w:val="single" w:sz="8" w:space="0" w:color="auto"/>
              <w:right w:val="single" w:sz="8" w:space="0" w:color="auto"/>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%1</w:t>
            </w:r>
          </w:p>
        </w:tc>
      </w:tr>
      <w:tr w:rsidR="001E0FE6" w:rsidRPr="009B080D" w:rsidTr="001E0FE6">
        <w:trPr>
          <w:trHeight w:val="315"/>
        </w:trPr>
        <w:tc>
          <w:tcPr>
            <w:tcW w:w="3300" w:type="dxa"/>
            <w:tcBorders>
              <w:top w:val="nil"/>
              <w:left w:val="single" w:sz="8" w:space="0" w:color="auto"/>
              <w:bottom w:val="single" w:sz="8" w:space="0" w:color="auto"/>
              <w:right w:val="single" w:sz="4" w:space="0" w:color="auto"/>
            </w:tcBorders>
            <w:shd w:val="clear" w:color="auto" w:fill="auto"/>
            <w:noWrap/>
            <w:hideMark/>
          </w:tcPr>
          <w:p w:rsidR="001E0FE6" w:rsidRPr="009B080D" w:rsidRDefault="001E0FE6" w:rsidP="00C3366B">
            <w:pPr>
              <w:pStyle w:val="Tabletexte"/>
              <w:spacing w:line="300" w:lineRule="exact"/>
              <w:rPr>
                <w:sz w:val="22"/>
                <w:szCs w:val="30"/>
              </w:rPr>
            </w:pPr>
            <w:r w:rsidRPr="009B080D">
              <w:rPr>
                <w:sz w:val="22"/>
                <w:szCs w:val="30"/>
                <w:rtl/>
              </w:rPr>
              <w:t>النسبة المئوية للتوصيات التي أُقفل ملفها</w:t>
            </w:r>
          </w:p>
        </w:tc>
        <w:tc>
          <w:tcPr>
            <w:tcW w:w="943"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%82</w:t>
            </w:r>
          </w:p>
        </w:tc>
        <w:tc>
          <w:tcPr>
            <w:tcW w:w="850"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pPr>
            <w:r w:rsidRPr="009B080D">
              <w:t>-</w:t>
            </w:r>
          </w:p>
        </w:tc>
        <w:tc>
          <w:tcPr>
            <w:tcW w:w="993"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%93</w:t>
            </w:r>
          </w:p>
        </w:tc>
        <w:tc>
          <w:tcPr>
            <w:tcW w:w="992"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%91</w:t>
            </w:r>
          </w:p>
        </w:tc>
        <w:tc>
          <w:tcPr>
            <w:tcW w:w="992"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%76</w:t>
            </w:r>
          </w:p>
        </w:tc>
        <w:tc>
          <w:tcPr>
            <w:tcW w:w="851" w:type="dxa"/>
            <w:tcBorders>
              <w:top w:val="nil"/>
              <w:left w:val="nil"/>
              <w:bottom w:val="single" w:sz="8" w:space="0" w:color="auto"/>
              <w:right w:val="single" w:sz="4" w:space="0" w:color="auto"/>
            </w:tcBorders>
            <w:shd w:val="clear" w:color="auto" w:fill="auto"/>
            <w:noWrap/>
            <w:vAlign w:val="bottom"/>
            <w:hideMark/>
          </w:tcPr>
          <w:p w:rsidR="001E0FE6" w:rsidRPr="009B080D" w:rsidRDefault="001E0FE6" w:rsidP="00C3366B">
            <w:pPr>
              <w:snapToGrid w:val="0"/>
              <w:spacing w:before="60" w:after="60" w:line="300" w:lineRule="exact"/>
              <w:jc w:val="center"/>
              <w:rPr>
                <w:color w:val="000000"/>
              </w:rPr>
            </w:pPr>
            <w:r w:rsidRPr="009B080D">
              <w:rPr>
                <w:color w:val="000000"/>
              </w:rPr>
              <w:t>%9</w:t>
            </w:r>
          </w:p>
        </w:tc>
        <w:tc>
          <w:tcPr>
            <w:tcW w:w="933" w:type="dxa"/>
            <w:tcBorders>
              <w:top w:val="nil"/>
              <w:left w:val="nil"/>
              <w:bottom w:val="single" w:sz="8" w:space="0" w:color="auto"/>
              <w:right w:val="single" w:sz="8" w:space="0" w:color="auto"/>
            </w:tcBorders>
            <w:shd w:val="clear" w:color="000000" w:fill="AEAAAA"/>
            <w:noWrap/>
            <w:vAlign w:val="bottom"/>
            <w:hideMark/>
          </w:tcPr>
          <w:p w:rsidR="001E0FE6" w:rsidRPr="009B080D" w:rsidRDefault="001E0FE6" w:rsidP="00C3366B">
            <w:pPr>
              <w:snapToGrid w:val="0"/>
              <w:spacing w:before="60" w:after="60" w:line="300" w:lineRule="exact"/>
              <w:jc w:val="center"/>
              <w:rPr>
                <w:b/>
                <w:bCs/>
              </w:rPr>
            </w:pPr>
            <w:r w:rsidRPr="009B080D">
              <w:rPr>
                <w:b/>
                <w:bCs/>
              </w:rPr>
              <w:t>%82</w:t>
            </w:r>
          </w:p>
        </w:tc>
      </w:tr>
    </w:tbl>
    <w:p w:rsidR="009C7904" w:rsidRPr="00813B86" w:rsidRDefault="00602F1D" w:rsidP="001C0674">
      <w:pPr>
        <w:spacing w:before="240"/>
        <w:rPr>
          <w:rtl/>
          <w:lang w:val="en-CA" w:bidi="ar-EG"/>
        </w:rPr>
      </w:pPr>
      <w:r w:rsidRPr="00813B86">
        <w:t>27</w:t>
      </w:r>
      <w:r w:rsidRPr="00813B86">
        <w:rPr>
          <w:rtl/>
        </w:rPr>
        <w:tab/>
      </w:r>
      <w:r w:rsidR="00BD4018" w:rsidRPr="00813B86">
        <w:rPr>
          <w:rFonts w:hint="cs"/>
          <w:rtl/>
        </w:rPr>
        <w:t>و</w:t>
      </w:r>
      <w:r w:rsidRPr="00813B86">
        <w:rPr>
          <w:rtl/>
        </w:rPr>
        <w:t xml:space="preserve">ما من توصيات حاسمة الأهمية أو كبيرة الأهمية ترقى إلى ما قبل عام </w:t>
      </w:r>
      <w:r w:rsidRPr="00813B86">
        <w:t>2012</w:t>
      </w:r>
      <w:r w:rsidRPr="00813B86">
        <w:rPr>
          <w:rtl/>
        </w:rPr>
        <w:t xml:space="preserve"> إلا وتم تنفيذها. ويتعلق ما</w:t>
      </w:r>
      <w:r w:rsidRPr="00813B86">
        <w:rPr>
          <w:rFonts w:hint="cs"/>
          <w:rtl/>
        </w:rPr>
        <w:t> </w:t>
      </w:r>
      <w:r w:rsidRPr="00813B86">
        <w:rPr>
          <w:rtl/>
        </w:rPr>
        <w:t>يرقى إلى عام </w:t>
      </w:r>
      <w:r w:rsidRPr="00813B86">
        <w:t>2011</w:t>
      </w:r>
      <w:r w:rsidRPr="00813B86">
        <w:rPr>
          <w:rtl/>
        </w:rPr>
        <w:t xml:space="preserve"> من التوصيات التي تأخر تنفيذها بمراجعة داخلية لتقدير تكاليف </w:t>
      </w:r>
      <w:r w:rsidR="001C0674">
        <w:rPr>
          <w:rFonts w:hint="cs"/>
          <w:rtl/>
        </w:rPr>
        <w:t>منشورات الاتحاد</w:t>
      </w:r>
      <w:r w:rsidRPr="00813B86">
        <w:rPr>
          <w:rtl/>
        </w:rPr>
        <w:t>. وأبلغت الإدارة وحدة المراجعة الداخلية (واللجنة الاستشارية المستقلة للإدارة</w:t>
      </w:r>
      <w:r w:rsidRPr="00813B86">
        <w:rPr>
          <w:rFonts w:hint="cs"/>
          <w:rtl/>
        </w:rPr>
        <w:t> </w:t>
      </w:r>
      <w:r w:rsidRPr="00813B86">
        <w:t>(</w:t>
      </w:r>
      <w:r w:rsidRPr="00813B86">
        <w:rPr>
          <w:lang w:val="en-CA"/>
        </w:rPr>
        <w:t>IMAC</w:t>
      </w:r>
      <w:r w:rsidRPr="00813B86">
        <w:t>)</w:t>
      </w:r>
      <w:r w:rsidRPr="00813B86">
        <w:rPr>
          <w:rtl/>
        </w:rPr>
        <w:t>) بانتظام على التقدم المحرز وأفاد تقييم المراجع الخارجي بالفعل أن بعض التوصيات التي ترقى إلى عام</w:t>
      </w:r>
      <w:r w:rsidRPr="00813B86">
        <w:rPr>
          <w:rFonts w:hint="cs"/>
          <w:rtl/>
        </w:rPr>
        <w:t> </w:t>
      </w:r>
      <w:r w:rsidRPr="00813B86">
        <w:t>2011</w:t>
      </w:r>
      <w:r w:rsidRPr="00813B86">
        <w:rPr>
          <w:rtl/>
        </w:rPr>
        <w:t xml:space="preserve"> قد أقفل ملفها. و</w:t>
      </w:r>
      <w:r w:rsidR="009C7904" w:rsidRPr="00813B86">
        <w:rPr>
          <w:rFonts w:hint="cs"/>
          <w:rtl/>
        </w:rPr>
        <w:t>ت</w:t>
      </w:r>
      <w:r w:rsidRPr="00813B86">
        <w:rPr>
          <w:rtl/>
        </w:rPr>
        <w:t xml:space="preserve">واصل </w:t>
      </w:r>
      <w:r w:rsidR="009C7904" w:rsidRPr="00813B86">
        <w:rPr>
          <w:rFonts w:hint="cs"/>
          <w:rtl/>
        </w:rPr>
        <w:t>وحدة</w:t>
      </w:r>
      <w:r w:rsidRPr="00813B86">
        <w:rPr>
          <w:rtl/>
        </w:rPr>
        <w:t xml:space="preserve"> المراجعة الداخلية في</w:t>
      </w:r>
      <w:r w:rsidRPr="00813B86">
        <w:rPr>
          <w:rFonts w:hint="cs"/>
          <w:rtl/>
        </w:rPr>
        <w:t> </w:t>
      </w:r>
      <w:r w:rsidRPr="00813B86">
        <w:rPr>
          <w:rtl/>
        </w:rPr>
        <w:t>عام </w:t>
      </w:r>
      <w:r w:rsidRPr="00813B86">
        <w:t>2017</w:t>
      </w:r>
      <w:r w:rsidRPr="00813B86">
        <w:rPr>
          <w:rtl/>
        </w:rPr>
        <w:t xml:space="preserve"> متابع</w:t>
      </w:r>
      <w:r w:rsidR="00BA6EFA">
        <w:rPr>
          <w:rtl/>
        </w:rPr>
        <w:t>ة تنفيذ شتى التوصيات الواردة في</w:t>
      </w:r>
      <w:r w:rsidR="00BA6EFA">
        <w:rPr>
          <w:rFonts w:hint="cs"/>
          <w:rtl/>
        </w:rPr>
        <w:t> </w:t>
      </w:r>
      <w:r w:rsidRPr="00813B86">
        <w:rPr>
          <w:rtl/>
        </w:rPr>
        <w:t>تقارير المراجعات السابقة وس</w:t>
      </w:r>
      <w:r w:rsidR="00BD4018" w:rsidRPr="00813B86">
        <w:rPr>
          <w:rFonts w:hint="cs"/>
          <w:rtl/>
        </w:rPr>
        <w:t>ت</w:t>
      </w:r>
      <w:r w:rsidRPr="00813B86">
        <w:rPr>
          <w:rtl/>
        </w:rPr>
        <w:t xml:space="preserve">قدم تقريراً عن هذه المتابعة، بحسب الاقتضاء، إلى اللجنة الاستشارية المستقلة للإدارة وإلى </w:t>
      </w:r>
      <w:r w:rsidR="009C7904" w:rsidRPr="00813B86">
        <w:rPr>
          <w:rFonts w:hint="cs"/>
          <w:rtl/>
        </w:rPr>
        <w:t>الأمين</w:t>
      </w:r>
      <w:r w:rsidRPr="00813B86">
        <w:rPr>
          <w:rtl/>
        </w:rPr>
        <w:t xml:space="preserve"> العام. و</w:t>
      </w:r>
      <w:r w:rsidR="009C7904" w:rsidRPr="00813B86">
        <w:rPr>
          <w:rFonts w:hint="cs"/>
          <w:rtl/>
        </w:rPr>
        <w:t xml:space="preserve">إجمالاً، </w:t>
      </w:r>
      <w:r w:rsidRPr="00813B86">
        <w:rPr>
          <w:rtl/>
        </w:rPr>
        <w:t xml:space="preserve">لوحظ تحقيق تقدم </w:t>
      </w:r>
      <w:r w:rsidR="009C7904" w:rsidRPr="00813B86">
        <w:rPr>
          <w:rFonts w:hint="cs"/>
          <w:rtl/>
        </w:rPr>
        <w:t>مستمر</w:t>
      </w:r>
      <w:r w:rsidRPr="00813B86">
        <w:rPr>
          <w:rtl/>
        </w:rPr>
        <w:t>، ولكن كثيراً ما</w:t>
      </w:r>
      <w:r w:rsidRPr="00813B86">
        <w:rPr>
          <w:rFonts w:hint="cs"/>
          <w:rtl/>
        </w:rPr>
        <w:t> </w:t>
      </w:r>
      <w:r w:rsidRPr="00813B86">
        <w:rPr>
          <w:rtl/>
        </w:rPr>
        <w:t>تتغير الأولويات وقد يؤثر ذلك على</w:t>
      </w:r>
      <w:r w:rsidR="00F975A9">
        <w:rPr>
          <w:rtl/>
        </w:rPr>
        <w:t xml:space="preserve"> درجة أهمية التوصيات الصادرة في</w:t>
      </w:r>
      <w:r w:rsidR="00F975A9">
        <w:rPr>
          <w:rFonts w:hint="cs"/>
          <w:rtl/>
        </w:rPr>
        <w:t> </w:t>
      </w:r>
      <w:r w:rsidRPr="00813B86">
        <w:rPr>
          <w:rtl/>
        </w:rPr>
        <w:t>البداية.</w:t>
      </w:r>
      <w:r w:rsidR="009C7904" w:rsidRPr="00813B86">
        <w:rPr>
          <w:rFonts w:hint="cs"/>
          <w:rtl/>
        </w:rPr>
        <w:t xml:space="preserve"> </w:t>
      </w:r>
      <w:r w:rsidR="009C7904" w:rsidRPr="00813B86">
        <w:rPr>
          <w:rFonts w:hint="cs"/>
          <w:rtl/>
          <w:lang w:bidi="ar-EG"/>
        </w:rPr>
        <w:t xml:space="preserve">وبالنسبة إلى عام </w:t>
      </w:r>
      <w:r w:rsidR="009C7904" w:rsidRPr="00813B86">
        <w:rPr>
          <w:lang w:val="en-CA" w:bidi="ar-EG"/>
        </w:rPr>
        <w:t>2016</w:t>
      </w:r>
      <w:r w:rsidR="009C7904" w:rsidRPr="00813B86">
        <w:rPr>
          <w:rFonts w:hint="cs"/>
          <w:rtl/>
          <w:lang w:val="en-CA" w:bidi="ar-EG"/>
        </w:rPr>
        <w:t>، تم الانتها</w:t>
      </w:r>
      <w:r w:rsidR="00CF06DC">
        <w:rPr>
          <w:rFonts w:hint="cs"/>
          <w:rtl/>
          <w:lang w:val="en-CA" w:bidi="ar-EG"/>
        </w:rPr>
        <w:t>ء</w:t>
      </w:r>
      <w:r w:rsidR="009C7904" w:rsidRPr="00813B86">
        <w:rPr>
          <w:rFonts w:hint="cs"/>
          <w:rtl/>
          <w:lang w:val="en-CA" w:bidi="ar-EG"/>
        </w:rPr>
        <w:t xml:space="preserve"> من العديد من تقارير المراجعة الداخلية في الربع الأخير من العام وبالتالي سيكون من الصعب أن يكون قد تم تنفيذ توصيات عديدة بالفعل في مطلع عام </w:t>
      </w:r>
      <w:r w:rsidR="009C7904" w:rsidRPr="00813B86">
        <w:rPr>
          <w:lang w:val="en-CA" w:bidi="ar-EG"/>
        </w:rPr>
        <w:t>2017</w:t>
      </w:r>
      <w:r w:rsidR="009C7904" w:rsidRPr="00813B86">
        <w:rPr>
          <w:rFonts w:hint="cs"/>
          <w:rtl/>
          <w:lang w:val="en-CA" w:bidi="ar-EG"/>
        </w:rPr>
        <w:t>.</w:t>
      </w:r>
    </w:p>
    <w:p w:rsidR="00602F1D" w:rsidRPr="00813B86" w:rsidRDefault="00602F1D" w:rsidP="00602F1D">
      <w:pPr>
        <w:pStyle w:val="Headingb0"/>
        <w:rPr>
          <w:rtl/>
        </w:rPr>
      </w:pPr>
      <w:r w:rsidRPr="00813B86">
        <w:rPr>
          <w:rtl/>
        </w:rPr>
        <w:t>الجوانب المتصلة بمنهجية المراجعة</w:t>
      </w:r>
    </w:p>
    <w:p w:rsidR="00602F1D" w:rsidRPr="00813B86" w:rsidRDefault="00813B86" w:rsidP="00813B86">
      <w:pPr>
        <w:rPr>
          <w:rtl/>
        </w:rPr>
      </w:pPr>
      <w:r w:rsidRPr="00813B86">
        <w:t>28</w:t>
      </w:r>
      <w:r w:rsidR="00602F1D" w:rsidRPr="00813B86">
        <w:rPr>
          <w:rtl/>
        </w:rPr>
        <w:tab/>
        <w:t xml:space="preserve">منذ عام </w:t>
      </w:r>
      <w:r w:rsidR="00602F1D" w:rsidRPr="00813B86">
        <w:t>2013</w:t>
      </w:r>
      <w:r w:rsidR="00602F1D" w:rsidRPr="00813B86">
        <w:rPr>
          <w:rtl/>
        </w:rPr>
        <w:t xml:space="preserve"> كان</w:t>
      </w:r>
      <w:r w:rsidRPr="00813B86">
        <w:rPr>
          <w:rFonts w:hint="cs"/>
          <w:rtl/>
          <w:lang w:bidi="ar-EG"/>
        </w:rPr>
        <w:t>ت</w:t>
      </w:r>
      <w:r w:rsidR="00602F1D" w:rsidRPr="00813B86">
        <w:rPr>
          <w:rtl/>
        </w:rPr>
        <w:t xml:space="preserve"> </w:t>
      </w:r>
      <w:r w:rsidRPr="00813B86">
        <w:rPr>
          <w:rFonts w:hint="cs"/>
          <w:rtl/>
        </w:rPr>
        <w:t>وحدة</w:t>
      </w:r>
      <w:r w:rsidR="00602F1D" w:rsidRPr="00813B86">
        <w:rPr>
          <w:rtl/>
        </w:rPr>
        <w:t xml:space="preserve"> المراجعة الداخلية قد شرع</w:t>
      </w:r>
      <w:r w:rsidRPr="00813B86">
        <w:rPr>
          <w:rFonts w:hint="cs"/>
          <w:rtl/>
        </w:rPr>
        <w:t>ت</w:t>
      </w:r>
      <w:r w:rsidR="00602F1D" w:rsidRPr="00813B86">
        <w:rPr>
          <w:rtl/>
        </w:rPr>
        <w:t xml:space="preserve"> في استعمال </w:t>
      </w:r>
      <w:r w:rsidR="00602F1D" w:rsidRPr="00813B86">
        <w:rPr>
          <w:i/>
          <w:iCs/>
          <w:rtl/>
        </w:rPr>
        <w:t>استبيانات عن فعالية المراجعة</w:t>
      </w:r>
      <w:r w:rsidR="00602F1D" w:rsidRPr="00813B86">
        <w:rPr>
          <w:rtl/>
        </w:rPr>
        <w:t xml:space="preserve"> أُرسلت إلى المديرين المسؤولين عن العمليات والكيانات الخاضعة للمراجعة، بغية تقييم فعالية أعمال المراجعة واستبانة المتّسع المتوفر للتحسين. واستمرت هذه الممارسة في الفترة المشمولة بالتقرير الوارد</w:t>
      </w:r>
      <w:r w:rsidRPr="00813B86">
        <w:rPr>
          <w:rFonts w:hint="cs"/>
          <w:rtl/>
        </w:rPr>
        <w:t>ة</w:t>
      </w:r>
      <w:r w:rsidR="00602F1D" w:rsidRPr="00813B86">
        <w:rPr>
          <w:rtl/>
        </w:rPr>
        <w:t xml:space="preserve"> في هذه الوثيقة. ويشار إلى أن التعقيبات </w:t>
      </w:r>
      <w:r w:rsidR="00602F1D" w:rsidRPr="00813B86">
        <w:rPr>
          <w:rFonts w:hint="cs"/>
          <w:rtl/>
        </w:rPr>
        <w:t xml:space="preserve">التي وردت إلى </w:t>
      </w:r>
      <w:r w:rsidR="009C7904" w:rsidRPr="00813B86">
        <w:rPr>
          <w:rFonts w:hint="cs"/>
          <w:rtl/>
        </w:rPr>
        <w:t>وحدة</w:t>
      </w:r>
      <w:r w:rsidR="00602F1D" w:rsidRPr="00813B86">
        <w:rPr>
          <w:rFonts w:hint="cs"/>
          <w:rtl/>
        </w:rPr>
        <w:t xml:space="preserve"> المراجعة الداخلية</w:t>
      </w:r>
      <w:r w:rsidR="00602F1D" w:rsidRPr="00813B86">
        <w:rPr>
          <w:rtl/>
        </w:rPr>
        <w:t xml:space="preserve"> في</w:t>
      </w:r>
      <w:r w:rsidR="00602F1D" w:rsidRPr="00813B86">
        <w:rPr>
          <w:rFonts w:hint="cs"/>
          <w:rtl/>
        </w:rPr>
        <w:t> </w:t>
      </w:r>
      <w:r w:rsidR="00602F1D" w:rsidRPr="00813B86">
        <w:rPr>
          <w:rtl/>
        </w:rPr>
        <w:t>عام</w:t>
      </w:r>
      <w:r w:rsidR="00602F1D" w:rsidRPr="00813B86">
        <w:rPr>
          <w:rFonts w:hint="cs"/>
          <w:rtl/>
        </w:rPr>
        <w:t> </w:t>
      </w:r>
      <w:r w:rsidR="00602F1D" w:rsidRPr="00813B86">
        <w:t>201</w:t>
      </w:r>
      <w:r w:rsidR="00E72FD9" w:rsidRPr="00813B86">
        <w:t>6</w:t>
      </w:r>
      <w:r w:rsidR="00602F1D" w:rsidRPr="00813B86">
        <w:rPr>
          <w:rtl/>
        </w:rPr>
        <w:t xml:space="preserve"> </w:t>
      </w:r>
      <w:r w:rsidR="00602F1D" w:rsidRPr="00813B86">
        <w:rPr>
          <w:rFonts w:hint="cs"/>
          <w:rtl/>
        </w:rPr>
        <w:t xml:space="preserve">على </w:t>
      </w:r>
      <w:r w:rsidR="00602F1D" w:rsidRPr="00813B86">
        <w:rPr>
          <w:rFonts w:hint="cs"/>
          <w:i/>
          <w:iCs/>
          <w:rtl/>
        </w:rPr>
        <w:t>الاستبيانات</w:t>
      </w:r>
      <w:r w:rsidR="00602F1D" w:rsidRPr="00813B86">
        <w:rPr>
          <w:rFonts w:hint="cs"/>
          <w:rtl/>
        </w:rPr>
        <w:t xml:space="preserve"> ال</w:t>
      </w:r>
      <w:r w:rsidR="00E72FD9" w:rsidRPr="00813B86">
        <w:rPr>
          <w:rFonts w:hint="cs"/>
          <w:rtl/>
        </w:rPr>
        <w:t>أربعة</w:t>
      </w:r>
      <w:r w:rsidR="00602F1D" w:rsidRPr="00813B86">
        <w:rPr>
          <w:rFonts w:hint="cs"/>
          <w:rtl/>
        </w:rPr>
        <w:t xml:space="preserve"> </w:t>
      </w:r>
      <w:r w:rsidR="00602F1D" w:rsidRPr="00813B86">
        <w:rPr>
          <w:rtl/>
        </w:rPr>
        <w:t xml:space="preserve">كانت إيجابية جداً (بلغ متوسط درجة التقييم </w:t>
      </w:r>
      <w:r w:rsidR="00602F1D" w:rsidRPr="00813B86">
        <w:t>4</w:t>
      </w:r>
      <w:r w:rsidR="00602F1D" w:rsidRPr="00813B86">
        <w:rPr>
          <w:rtl/>
        </w:rPr>
        <w:t xml:space="preserve"> على سلَّم يتدرَّج من</w:t>
      </w:r>
      <w:r w:rsidR="00602F1D" w:rsidRPr="00813B86">
        <w:rPr>
          <w:rFonts w:hint="cs"/>
          <w:rtl/>
        </w:rPr>
        <w:t> </w:t>
      </w:r>
      <w:r w:rsidR="00602F1D" w:rsidRPr="00813B86">
        <w:t>1</w:t>
      </w:r>
      <w:r w:rsidR="00602F1D" w:rsidRPr="00813B86">
        <w:rPr>
          <w:rtl/>
        </w:rPr>
        <w:t xml:space="preserve"> إلى</w:t>
      </w:r>
      <w:r w:rsidR="00602F1D" w:rsidRPr="00813B86">
        <w:rPr>
          <w:rFonts w:hint="cs"/>
          <w:rtl/>
        </w:rPr>
        <w:t> </w:t>
      </w:r>
      <w:r w:rsidR="00602F1D" w:rsidRPr="00813B86">
        <w:t>5</w:t>
      </w:r>
      <w:r w:rsidR="00602F1D" w:rsidRPr="00813B86">
        <w:rPr>
          <w:rtl/>
        </w:rPr>
        <w:t>).</w:t>
      </w:r>
    </w:p>
    <w:p w:rsidR="00F01FEC" w:rsidRPr="00931F25" w:rsidRDefault="00E72FD9" w:rsidP="00E72FD9">
      <w:pPr>
        <w:spacing w:before="600"/>
        <w:jc w:val="center"/>
        <w:rPr>
          <w:rtl/>
        </w:rPr>
      </w:pPr>
      <w:r w:rsidRPr="00813B86">
        <w:rPr>
          <w:rtl/>
        </w:rPr>
        <w:t>___________</w:t>
      </w:r>
    </w:p>
    <w:sectPr w:rsidR="00F01FEC" w:rsidRPr="00931F25" w:rsidSect="008B5B5D">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ADA" w:rsidRDefault="00A46ADA" w:rsidP="00E07379">
      <w:pPr>
        <w:spacing w:before="0" w:line="240" w:lineRule="auto"/>
      </w:pPr>
      <w:r>
        <w:separator/>
      </w:r>
    </w:p>
  </w:endnote>
  <w:endnote w:type="continuationSeparator" w:id="0">
    <w:p w:rsidR="00A46ADA" w:rsidRDefault="00A46ADA"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AC1" w:rsidRPr="00AE3D38" w:rsidRDefault="00AC6AC1" w:rsidP="00AE3D38">
    <w:pPr>
      <w:pStyle w:val="Footer"/>
      <w:tabs>
        <w:tab w:val="clear" w:pos="5812"/>
        <w:tab w:val="right" w:pos="5670"/>
      </w:tabs>
      <w:rPr>
        <w:lang w:val="fr-CH"/>
      </w:rPr>
    </w:pPr>
    <w:r>
      <w:fldChar w:fldCharType="begin"/>
    </w:r>
    <w:r w:rsidRPr="00AE3D38">
      <w:rPr>
        <w:lang w:val="fr-CH"/>
      </w:rPr>
      <w:instrText xml:space="preserve"> FILENAME \p \* MERGEFORMAT </w:instrText>
    </w:r>
    <w:r>
      <w:fldChar w:fldCharType="separate"/>
    </w:r>
    <w:r w:rsidR="003B615A">
      <w:rPr>
        <w:noProof/>
        <w:lang w:val="fr-CH"/>
      </w:rPr>
      <w:t>P:\ARA\SG\CONSEIL\C17\000\044A.docx</w:t>
    </w:r>
    <w:r>
      <w:rPr>
        <w:noProof/>
      </w:rPr>
      <w:fldChar w:fldCharType="end"/>
    </w:r>
    <w:r w:rsidRPr="00AE3D38">
      <w:rPr>
        <w:lang w:val="fr-CH"/>
      </w:rPr>
      <w:t xml:space="preserve">   (</w:t>
    </w:r>
    <w:r>
      <w:rPr>
        <w:lang w:val="fr-CH"/>
      </w:rPr>
      <w:t>409494</w:t>
    </w:r>
    <w:r w:rsidRPr="00AE3D38">
      <w:rPr>
        <w:lang w:val="fr-CH"/>
      </w:rPr>
      <w:t>)</w:t>
    </w:r>
    <w:r w:rsidRPr="00AE3D38">
      <w:rPr>
        <w:lang w:val="fr-CH"/>
      </w:rPr>
      <w:tab/>
    </w:r>
    <w:r w:rsidRPr="00665956">
      <w:fldChar w:fldCharType="begin"/>
    </w:r>
    <w:r w:rsidRPr="00665956">
      <w:instrText xml:space="preserve"> savedate \@ dd.MM.yy </w:instrText>
    </w:r>
    <w:r w:rsidRPr="00665956">
      <w:fldChar w:fldCharType="separate"/>
    </w:r>
    <w:r w:rsidR="006C22DD">
      <w:rPr>
        <w:noProof/>
      </w:rPr>
      <w:t>05.04.17</w:t>
    </w:r>
    <w:r w:rsidRPr="00665956">
      <w:fldChar w:fldCharType="end"/>
    </w:r>
    <w:r w:rsidRPr="00AE3D38">
      <w:rPr>
        <w:lang w:val="fr-CH"/>
      </w:rPr>
      <w:tab/>
    </w:r>
    <w:r w:rsidRPr="00665956">
      <w:fldChar w:fldCharType="begin"/>
    </w:r>
    <w:r w:rsidRPr="00665956">
      <w:instrText xml:space="preserve"> printdate \@ dd.MM.yy </w:instrText>
    </w:r>
    <w:r w:rsidRPr="00665956">
      <w:fldChar w:fldCharType="separate"/>
    </w:r>
    <w:r w:rsidR="009925BF">
      <w:rPr>
        <w:noProof/>
      </w:rPr>
      <w:t>02.04.17</w:t>
    </w:r>
    <w:r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AC1" w:rsidRPr="006C3242" w:rsidRDefault="00AC6AC1" w:rsidP="000E4FF0">
    <w:pPr>
      <w:pStyle w:val="Footer"/>
      <w:spacing w:after="120"/>
      <w:jc w:val="center"/>
      <w:rPr>
        <w:rFonts w:cs="Calibri"/>
        <w:sz w:val="20"/>
        <w:lang w:val="fr-FR"/>
      </w:rPr>
    </w:pPr>
    <w:r w:rsidRPr="006C3242">
      <w:rPr>
        <w:rFonts w:cs="Calibri"/>
        <w:sz w:val="20"/>
        <w:lang w:val="fr-FR"/>
      </w:rPr>
      <w:t xml:space="preserve">• </w:t>
    </w:r>
    <w:hyperlink r:id="rId1" w:history="1">
      <w:r w:rsidRPr="006C3242">
        <w:rPr>
          <w:rStyle w:val="Hyperlink"/>
          <w:rFonts w:cs="Calibri"/>
          <w:sz w:val="20"/>
          <w:lang w:val="fr-FR"/>
        </w:rPr>
        <w:t>http://www.itu.int/council</w:t>
      </w:r>
    </w:hyperlink>
    <w:r w:rsidRPr="006C3242">
      <w:rPr>
        <w:rFonts w:cs="Calibri"/>
        <w:sz w:val="20"/>
        <w:lang w:val="fr-FR"/>
      </w:rPr>
      <w:t xml:space="preserve"> •</w:t>
    </w:r>
  </w:p>
  <w:p w:rsidR="00AC6AC1" w:rsidRPr="00C66157" w:rsidRDefault="00AC6AC1" w:rsidP="00AE3D38">
    <w:pPr>
      <w:pStyle w:val="Footer"/>
      <w:tabs>
        <w:tab w:val="center" w:pos="5529"/>
      </w:tabs>
      <w:rPr>
        <w:rFonts w:cs="Calibri"/>
        <w:vanish/>
        <w:lang w:val="fr-FR"/>
      </w:rPr>
    </w:pPr>
    <w:r w:rsidRPr="00C66157">
      <w:rPr>
        <w:rFonts w:cs="Calibri"/>
        <w:vanish/>
        <w:lang w:val="fr-FR"/>
      </w:rPr>
      <w:fldChar w:fldCharType="begin"/>
    </w:r>
    <w:r w:rsidRPr="00C66157">
      <w:rPr>
        <w:rFonts w:cs="Calibri"/>
        <w:vanish/>
        <w:lang w:val="fr-FR"/>
      </w:rPr>
      <w:instrText xml:space="preserve"> FILENAME \p \* MERGEFORMAT </w:instrText>
    </w:r>
    <w:r w:rsidRPr="00C66157">
      <w:rPr>
        <w:rFonts w:cs="Calibri"/>
        <w:vanish/>
        <w:lang w:val="fr-FR"/>
      </w:rPr>
      <w:fldChar w:fldCharType="separate"/>
    </w:r>
    <w:r w:rsidR="003B615A">
      <w:rPr>
        <w:rFonts w:cs="Calibri"/>
        <w:noProof/>
        <w:vanish/>
        <w:lang w:val="fr-FR"/>
      </w:rPr>
      <w:t>P:\ARA\SG\CONSEIL\C17\000\044A.docx</w:t>
    </w:r>
    <w:r w:rsidRPr="00C66157">
      <w:rPr>
        <w:rFonts w:cs="Calibri"/>
        <w:vanish/>
      </w:rPr>
      <w:fldChar w:fldCharType="end"/>
    </w:r>
    <w:r w:rsidRPr="00AE3D38">
      <w:rPr>
        <w:rFonts w:cs="Calibri"/>
        <w:vanish/>
        <w:lang w:val="fr-CH"/>
      </w:rPr>
      <w:t xml:space="preserve">  </w:t>
    </w:r>
    <w:r w:rsidRPr="00C66157">
      <w:rPr>
        <w:rFonts w:cs="Calibri"/>
        <w:vanish/>
        <w:lang w:val="fr-FR"/>
      </w:rPr>
      <w:t xml:space="preserve"> (</w:t>
    </w:r>
    <w:r>
      <w:rPr>
        <w:rFonts w:cs="Calibri"/>
        <w:vanish/>
        <w:lang w:val="fr-FR"/>
      </w:rPr>
      <w:t>409494</w:t>
    </w:r>
    <w:r w:rsidRPr="00C66157">
      <w:rPr>
        <w:rFonts w:cs="Calibri"/>
        <w:vanish/>
        <w:lang w:val="fr-FR"/>
      </w:rPr>
      <w:t>)</w:t>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savedate \@ dd.MM.yy </w:instrText>
    </w:r>
    <w:r w:rsidRPr="00C66157">
      <w:rPr>
        <w:rFonts w:cs="Calibri"/>
        <w:vanish/>
        <w:lang w:val="fr-FR"/>
      </w:rPr>
      <w:fldChar w:fldCharType="separate"/>
    </w:r>
    <w:r w:rsidR="006C22DD">
      <w:rPr>
        <w:rFonts w:cs="Calibri"/>
        <w:noProof/>
        <w:vanish/>
        <w:lang w:val="fr-FR"/>
      </w:rPr>
      <w:t>05.04.17</w:t>
    </w:r>
    <w:r w:rsidRPr="00C66157">
      <w:rPr>
        <w:rFonts w:cs="Calibri"/>
        <w:vanish/>
      </w:rPr>
      <w:fldChar w:fldCharType="end"/>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printdate \@ dd.MM.yy </w:instrText>
    </w:r>
    <w:r w:rsidRPr="00C66157">
      <w:rPr>
        <w:rFonts w:cs="Calibri"/>
        <w:vanish/>
        <w:lang w:val="fr-FR"/>
      </w:rPr>
      <w:fldChar w:fldCharType="separate"/>
    </w:r>
    <w:r w:rsidR="009925BF">
      <w:rPr>
        <w:rFonts w:cs="Calibri"/>
        <w:noProof/>
        <w:vanish/>
        <w:lang w:val="fr-FR"/>
      </w:rPr>
      <w:t>02.04.17</w:t>
    </w:r>
    <w:r w:rsidRPr="00C66157">
      <w:rPr>
        <w:rFonts w:cs="Calibri"/>
        <w:vanis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ADA" w:rsidRDefault="00A46ADA" w:rsidP="00E07379">
      <w:pPr>
        <w:spacing w:before="0" w:line="240" w:lineRule="auto"/>
      </w:pPr>
      <w:r>
        <w:separator/>
      </w:r>
    </w:p>
  </w:footnote>
  <w:footnote w:type="continuationSeparator" w:id="0">
    <w:p w:rsidR="00A46ADA" w:rsidRDefault="00A46ADA" w:rsidP="00E07379">
      <w:pPr>
        <w:spacing w:before="0" w:line="240" w:lineRule="auto"/>
      </w:pPr>
      <w:r>
        <w:continuationSeparator/>
      </w:r>
    </w:p>
  </w:footnote>
  <w:footnote w:id="1">
    <w:p w:rsidR="00AC6AC1" w:rsidRDefault="00AC6AC1" w:rsidP="00AE3D38">
      <w:pPr>
        <w:pStyle w:val="Footnotetexte"/>
        <w:rPr>
          <w:szCs w:val="20"/>
        </w:rPr>
      </w:pPr>
      <w:r>
        <w:rPr>
          <w:rStyle w:val="FootnoteReference"/>
        </w:rPr>
        <w:footnoteRef/>
      </w:r>
      <w:r>
        <w:rPr>
          <w:rtl/>
        </w:rPr>
        <w:t xml:space="preserve"> </w:t>
      </w:r>
      <w:r>
        <w:rPr>
          <w:rtl/>
        </w:rPr>
        <w:tab/>
        <w:t xml:space="preserve">الأمر الإداري </w:t>
      </w:r>
      <w:r>
        <w:t>13/09</w:t>
      </w:r>
      <w:r>
        <w:rPr>
          <w:rtl/>
        </w:rPr>
        <w:t xml:space="preserve">، </w:t>
      </w:r>
      <w:r>
        <w:rPr>
          <w:rFonts w:hint="cs"/>
          <w:rtl/>
        </w:rPr>
        <w:t>الصادر عن</w:t>
      </w:r>
      <w:r>
        <w:rPr>
          <w:rtl/>
        </w:rPr>
        <w:t xml:space="preserve"> الأمين العام في </w:t>
      </w:r>
      <w:r>
        <w:t>27</w:t>
      </w:r>
      <w:r>
        <w:rPr>
          <w:rtl/>
        </w:rPr>
        <w:t xml:space="preserve"> يونيو </w:t>
      </w:r>
      <w:r>
        <w:t>2013</w:t>
      </w:r>
      <w:r>
        <w:rPr>
          <w:rtl/>
        </w:rPr>
        <w:t>.</w:t>
      </w:r>
    </w:p>
  </w:footnote>
  <w:footnote w:id="2">
    <w:p w:rsidR="00AC6AC1" w:rsidRDefault="00AC6AC1" w:rsidP="00AE3D38">
      <w:pPr>
        <w:pStyle w:val="Footnotetexte"/>
        <w:rPr>
          <w:rtl/>
        </w:rPr>
      </w:pPr>
      <w:r>
        <w:rPr>
          <w:rStyle w:val="FootnoteReference"/>
        </w:rPr>
        <w:footnoteRef/>
      </w:r>
      <w:r>
        <w:tab/>
      </w:r>
      <w:r w:rsidRPr="001A27E6">
        <w:rPr>
          <w:rtl/>
        </w:rPr>
        <w:t xml:space="preserve">معهد مراجعي الحسابات الداخليين، </w:t>
      </w:r>
      <w:hyperlink r:id="rId1" w:history="1">
        <w:r w:rsidRPr="001A27E6">
          <w:rPr>
            <w:rStyle w:val="Hyperlink"/>
            <w:sz w:val="20"/>
            <w:szCs w:val="26"/>
          </w:rPr>
          <w:t>www.theiia.org</w:t>
        </w:r>
      </w:hyperlink>
      <w:r w:rsidRPr="001A27E6">
        <w:rPr>
          <w:rtl/>
        </w:rPr>
        <w:t>.</w:t>
      </w:r>
    </w:p>
  </w:footnote>
  <w:footnote w:id="3">
    <w:p w:rsidR="00AC6AC1" w:rsidRDefault="00AC6AC1" w:rsidP="00AE3D38">
      <w:pPr>
        <w:pStyle w:val="Footnotetexte"/>
      </w:pPr>
      <w:r>
        <w:rPr>
          <w:rStyle w:val="FootnoteReference"/>
        </w:rPr>
        <w:footnoteRef/>
      </w:r>
      <w:r>
        <w:rPr>
          <w:rtl/>
        </w:rPr>
        <w:tab/>
        <w:t xml:space="preserve">الأمر الإداري ذو الرقم </w:t>
      </w:r>
      <w:r>
        <w:t>13/09</w:t>
      </w:r>
      <w:r>
        <w:rPr>
          <w:rtl/>
        </w:rPr>
        <w:t xml:space="preserve">، الذي اعتمده الأمين العام في </w:t>
      </w:r>
      <w:r>
        <w:t>27</w:t>
      </w:r>
      <w:r>
        <w:rPr>
          <w:rtl/>
        </w:rPr>
        <w:t xml:space="preserve"> يونيو </w:t>
      </w:r>
      <w:r>
        <w:t>2013</w:t>
      </w:r>
      <w:r>
        <w:rPr>
          <w:rtl/>
        </w:rPr>
        <w:t>.</w:t>
      </w:r>
    </w:p>
  </w:footnote>
  <w:footnote w:id="4">
    <w:p w:rsidR="00AC6AC1" w:rsidRDefault="00AC6AC1" w:rsidP="00931F25">
      <w:pPr>
        <w:pStyle w:val="Footnotetexte"/>
        <w:rPr>
          <w:rtl/>
        </w:rPr>
      </w:pPr>
      <w:r>
        <w:rPr>
          <w:rStyle w:val="FootnoteReference"/>
        </w:rPr>
        <w:footnoteRef/>
      </w:r>
      <w:r>
        <w:rPr>
          <w:rtl/>
        </w:rPr>
        <w:tab/>
        <w:t xml:space="preserve">معهد المراجعين الداخليين، </w:t>
      </w:r>
      <w:hyperlink r:id="rId2" w:history="1">
        <w:r w:rsidRPr="00576533">
          <w:rPr>
            <w:rStyle w:val="Hyperlink"/>
            <w:sz w:val="20"/>
            <w:szCs w:val="20"/>
          </w:rPr>
          <w:t>www.theiia.org</w:t>
        </w:r>
      </w:hyperlink>
      <w:r>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AC1" w:rsidRPr="000E4FF0" w:rsidRDefault="003D5344" w:rsidP="00505DE0">
    <w:pPr>
      <w:tabs>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375531529"/>
        <w:docPartObj>
          <w:docPartGallery w:val="Page Numbers (Top of Page)"/>
          <w:docPartUnique/>
        </w:docPartObj>
      </w:sdtPr>
      <w:sdtEndPr>
        <w:rPr>
          <w:rFonts w:cs="Calibri"/>
          <w:noProof/>
          <w:sz w:val="20"/>
          <w:szCs w:val="20"/>
        </w:rPr>
      </w:sdtEndPr>
      <w:sdtContent>
        <w:r w:rsidR="00AC6AC1" w:rsidRPr="000E4FF0">
          <w:rPr>
            <w:rFonts w:eastAsiaTheme="minorEastAsia" w:cs="Calibri"/>
            <w:sz w:val="20"/>
            <w:szCs w:val="20"/>
            <w:lang w:eastAsia="zh-CN"/>
          </w:rPr>
          <w:fldChar w:fldCharType="begin"/>
        </w:r>
        <w:r w:rsidR="00AC6AC1" w:rsidRPr="000E4FF0">
          <w:rPr>
            <w:rFonts w:eastAsiaTheme="minorEastAsia" w:cs="Calibri"/>
            <w:sz w:val="20"/>
            <w:szCs w:val="20"/>
            <w:lang w:eastAsia="zh-CN"/>
          </w:rPr>
          <w:instrText xml:space="preserve"> PAGE   \* MERGEFORMAT </w:instrText>
        </w:r>
        <w:r w:rsidR="00AC6AC1" w:rsidRPr="000E4FF0">
          <w:rPr>
            <w:rFonts w:eastAsiaTheme="minorEastAsia" w:cs="Calibri"/>
            <w:sz w:val="20"/>
            <w:szCs w:val="20"/>
            <w:lang w:eastAsia="zh-CN"/>
          </w:rPr>
          <w:fldChar w:fldCharType="separate"/>
        </w:r>
        <w:r>
          <w:rPr>
            <w:rFonts w:eastAsiaTheme="minorEastAsia" w:cs="Calibri"/>
            <w:noProof/>
            <w:sz w:val="20"/>
            <w:szCs w:val="20"/>
            <w:lang w:eastAsia="zh-CN"/>
          </w:rPr>
          <w:t>6</w:t>
        </w:r>
        <w:r w:rsidR="00AC6AC1" w:rsidRPr="000E4FF0">
          <w:rPr>
            <w:rFonts w:eastAsiaTheme="minorEastAsia" w:cs="Calibri"/>
            <w:noProof/>
            <w:sz w:val="20"/>
            <w:szCs w:val="20"/>
            <w:lang w:eastAsia="zh-CN"/>
          </w:rPr>
          <w:fldChar w:fldCharType="end"/>
        </w:r>
        <w:r w:rsidR="00AC6AC1" w:rsidRPr="000E4FF0">
          <w:rPr>
            <w:rFonts w:eastAsiaTheme="minorEastAsia" w:cs="Calibri"/>
            <w:noProof/>
            <w:sz w:val="20"/>
            <w:szCs w:val="20"/>
            <w:lang w:eastAsia="zh-CN"/>
          </w:rPr>
          <w:br/>
          <w:t>C1</w:t>
        </w:r>
        <w:r w:rsidR="00AC6AC1">
          <w:rPr>
            <w:rFonts w:eastAsiaTheme="minorEastAsia" w:cs="Calibri"/>
            <w:noProof/>
            <w:sz w:val="20"/>
            <w:szCs w:val="20"/>
            <w:lang w:eastAsia="zh-CN"/>
          </w:rPr>
          <w:t>7</w:t>
        </w:r>
        <w:r w:rsidR="00AC6AC1" w:rsidRPr="000E4FF0">
          <w:rPr>
            <w:rFonts w:eastAsiaTheme="minorEastAsia" w:cs="Calibri"/>
            <w:noProof/>
            <w:sz w:val="20"/>
            <w:szCs w:val="20"/>
            <w:lang w:eastAsia="zh-CN"/>
          </w:rPr>
          <w:t>/</w:t>
        </w:r>
        <w:r w:rsidR="00AC6AC1">
          <w:rPr>
            <w:rFonts w:eastAsiaTheme="minorEastAsia" w:cs="Calibri"/>
            <w:noProof/>
            <w:sz w:val="20"/>
            <w:szCs w:val="20"/>
            <w:lang w:eastAsia="zh-CN"/>
          </w:rPr>
          <w:t>44</w:t>
        </w:r>
        <w:r w:rsidR="00AC6AC1" w:rsidRPr="000E4FF0">
          <w:rPr>
            <w:rFonts w:eastAsiaTheme="minorEastAsia" w:cs="Calibri"/>
            <w:noProof/>
            <w:sz w:val="20"/>
            <w:szCs w:val="20"/>
            <w:lang w:eastAsia="zh-CN"/>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AE"/>
    <w:rsid w:val="0000566C"/>
    <w:rsid w:val="000124CC"/>
    <w:rsid w:val="000208CE"/>
    <w:rsid w:val="00041F8B"/>
    <w:rsid w:val="00046444"/>
    <w:rsid w:val="00051750"/>
    <w:rsid w:val="0006023B"/>
    <w:rsid w:val="0008153F"/>
    <w:rsid w:val="000838D0"/>
    <w:rsid w:val="0008638B"/>
    <w:rsid w:val="00090574"/>
    <w:rsid w:val="00092FC2"/>
    <w:rsid w:val="000A1677"/>
    <w:rsid w:val="000A52BD"/>
    <w:rsid w:val="000B351F"/>
    <w:rsid w:val="000B407F"/>
    <w:rsid w:val="000C13C2"/>
    <w:rsid w:val="000C614D"/>
    <w:rsid w:val="000D4C64"/>
    <w:rsid w:val="000E4FF0"/>
    <w:rsid w:val="000F0B1C"/>
    <w:rsid w:val="000F1D42"/>
    <w:rsid w:val="000F4D07"/>
    <w:rsid w:val="00102A03"/>
    <w:rsid w:val="001040A3"/>
    <w:rsid w:val="00117ABE"/>
    <w:rsid w:val="00122046"/>
    <w:rsid w:val="00122A5E"/>
    <w:rsid w:val="00147182"/>
    <w:rsid w:val="001641C7"/>
    <w:rsid w:val="00173915"/>
    <w:rsid w:val="001A27E6"/>
    <w:rsid w:val="001A283A"/>
    <w:rsid w:val="001B42EA"/>
    <w:rsid w:val="001C0674"/>
    <w:rsid w:val="001C427D"/>
    <w:rsid w:val="001C4CBA"/>
    <w:rsid w:val="001D433A"/>
    <w:rsid w:val="001E0FE6"/>
    <w:rsid w:val="001E2BA4"/>
    <w:rsid w:val="001E4789"/>
    <w:rsid w:val="001F70B8"/>
    <w:rsid w:val="00210D49"/>
    <w:rsid w:val="0022345D"/>
    <w:rsid w:val="00225854"/>
    <w:rsid w:val="0023283D"/>
    <w:rsid w:val="00232C4C"/>
    <w:rsid w:val="0023700B"/>
    <w:rsid w:val="00247EE3"/>
    <w:rsid w:val="00252E0C"/>
    <w:rsid w:val="00275358"/>
    <w:rsid w:val="00276881"/>
    <w:rsid w:val="0028290C"/>
    <w:rsid w:val="002916BE"/>
    <w:rsid w:val="002978F4"/>
    <w:rsid w:val="002B028D"/>
    <w:rsid w:val="002B435E"/>
    <w:rsid w:val="002C4DAE"/>
    <w:rsid w:val="002C777E"/>
    <w:rsid w:val="002D6669"/>
    <w:rsid w:val="002E191E"/>
    <w:rsid w:val="002E4AD3"/>
    <w:rsid w:val="002E4E69"/>
    <w:rsid w:val="002E6541"/>
    <w:rsid w:val="002F5560"/>
    <w:rsid w:val="0030486B"/>
    <w:rsid w:val="00320656"/>
    <w:rsid w:val="003231B9"/>
    <w:rsid w:val="00326BBC"/>
    <w:rsid w:val="003275AC"/>
    <w:rsid w:val="00333D29"/>
    <w:rsid w:val="003409F4"/>
    <w:rsid w:val="0034593E"/>
    <w:rsid w:val="00347006"/>
    <w:rsid w:val="00350622"/>
    <w:rsid w:val="00357185"/>
    <w:rsid w:val="00370F37"/>
    <w:rsid w:val="0038606D"/>
    <w:rsid w:val="003A1CC4"/>
    <w:rsid w:val="003A3E33"/>
    <w:rsid w:val="003B615A"/>
    <w:rsid w:val="003C106D"/>
    <w:rsid w:val="003C475F"/>
    <w:rsid w:val="003D5344"/>
    <w:rsid w:val="003E4132"/>
    <w:rsid w:val="003F678F"/>
    <w:rsid w:val="0041564F"/>
    <w:rsid w:val="0042686F"/>
    <w:rsid w:val="004367CE"/>
    <w:rsid w:val="00443869"/>
    <w:rsid w:val="00451387"/>
    <w:rsid w:val="004640CD"/>
    <w:rsid w:val="00464E72"/>
    <w:rsid w:val="004712C6"/>
    <w:rsid w:val="00471D00"/>
    <w:rsid w:val="00487EBB"/>
    <w:rsid w:val="00497703"/>
    <w:rsid w:val="004E5FBD"/>
    <w:rsid w:val="004F0F06"/>
    <w:rsid w:val="00501E0E"/>
    <w:rsid w:val="00505DE0"/>
    <w:rsid w:val="005204D7"/>
    <w:rsid w:val="00527EA2"/>
    <w:rsid w:val="00530420"/>
    <w:rsid w:val="00552BC5"/>
    <w:rsid w:val="0055516A"/>
    <w:rsid w:val="0056374C"/>
    <w:rsid w:val="0056614F"/>
    <w:rsid w:val="00576533"/>
    <w:rsid w:val="0057656F"/>
    <w:rsid w:val="00576731"/>
    <w:rsid w:val="0059285F"/>
    <w:rsid w:val="00593408"/>
    <w:rsid w:val="005939CF"/>
    <w:rsid w:val="005A24B1"/>
    <w:rsid w:val="005B7B8A"/>
    <w:rsid w:val="005C35F4"/>
    <w:rsid w:val="005D6476"/>
    <w:rsid w:val="005D6C0D"/>
    <w:rsid w:val="005E5283"/>
    <w:rsid w:val="005E58F5"/>
    <w:rsid w:val="00602F1D"/>
    <w:rsid w:val="00606660"/>
    <w:rsid w:val="006157A3"/>
    <w:rsid w:val="00620E60"/>
    <w:rsid w:val="0063315A"/>
    <w:rsid w:val="0065591D"/>
    <w:rsid w:val="00662C5A"/>
    <w:rsid w:val="00670AF5"/>
    <w:rsid w:val="006C0D2A"/>
    <w:rsid w:val="006C1556"/>
    <w:rsid w:val="006C22DD"/>
    <w:rsid w:val="006E5B30"/>
    <w:rsid w:val="006F267F"/>
    <w:rsid w:val="006F32CA"/>
    <w:rsid w:val="006F63F7"/>
    <w:rsid w:val="006F6F03"/>
    <w:rsid w:val="00706D7A"/>
    <w:rsid w:val="00725AA1"/>
    <w:rsid w:val="00726AEC"/>
    <w:rsid w:val="0073019F"/>
    <w:rsid w:val="0074684B"/>
    <w:rsid w:val="007530CA"/>
    <w:rsid w:val="00787935"/>
    <w:rsid w:val="00793A5A"/>
    <w:rsid w:val="0079553D"/>
    <w:rsid w:val="007A033B"/>
    <w:rsid w:val="007B01CC"/>
    <w:rsid w:val="007C6658"/>
    <w:rsid w:val="007D4F32"/>
    <w:rsid w:val="007E7C6C"/>
    <w:rsid w:val="007F6238"/>
    <w:rsid w:val="007F646C"/>
    <w:rsid w:val="00801FCD"/>
    <w:rsid w:val="00803D7E"/>
    <w:rsid w:val="00803F08"/>
    <w:rsid w:val="00811625"/>
    <w:rsid w:val="00813B86"/>
    <w:rsid w:val="008235CD"/>
    <w:rsid w:val="00823A07"/>
    <w:rsid w:val="00835FEC"/>
    <w:rsid w:val="008513CB"/>
    <w:rsid w:val="00874D9C"/>
    <w:rsid w:val="00886A19"/>
    <w:rsid w:val="008A1810"/>
    <w:rsid w:val="008B5B5D"/>
    <w:rsid w:val="008C1836"/>
    <w:rsid w:val="008D17CC"/>
    <w:rsid w:val="00917694"/>
    <w:rsid w:val="009263CD"/>
    <w:rsid w:val="00930E6D"/>
    <w:rsid w:val="00931F25"/>
    <w:rsid w:val="00951C62"/>
    <w:rsid w:val="00972CA2"/>
    <w:rsid w:val="00982B28"/>
    <w:rsid w:val="00984EA5"/>
    <w:rsid w:val="00992593"/>
    <w:rsid w:val="009925BF"/>
    <w:rsid w:val="009B080D"/>
    <w:rsid w:val="009C17E1"/>
    <w:rsid w:val="009C35ED"/>
    <w:rsid w:val="009C7904"/>
    <w:rsid w:val="009E37EF"/>
    <w:rsid w:val="009F1C12"/>
    <w:rsid w:val="00A067F3"/>
    <w:rsid w:val="00A11556"/>
    <w:rsid w:val="00A124CB"/>
    <w:rsid w:val="00A166D8"/>
    <w:rsid w:val="00A2167A"/>
    <w:rsid w:val="00A25A43"/>
    <w:rsid w:val="00A31F7E"/>
    <w:rsid w:val="00A3295B"/>
    <w:rsid w:val="00A42AE5"/>
    <w:rsid w:val="00A46ADA"/>
    <w:rsid w:val="00A52B61"/>
    <w:rsid w:val="00A52F12"/>
    <w:rsid w:val="00A64820"/>
    <w:rsid w:val="00A71DD6"/>
    <w:rsid w:val="00A723C7"/>
    <w:rsid w:val="00A80E11"/>
    <w:rsid w:val="00A97F94"/>
    <w:rsid w:val="00AB0FFD"/>
    <w:rsid w:val="00AB1309"/>
    <w:rsid w:val="00AB5667"/>
    <w:rsid w:val="00AB61D2"/>
    <w:rsid w:val="00AC2C52"/>
    <w:rsid w:val="00AC6AC1"/>
    <w:rsid w:val="00AD1503"/>
    <w:rsid w:val="00AD2752"/>
    <w:rsid w:val="00AE221B"/>
    <w:rsid w:val="00AE3D38"/>
    <w:rsid w:val="00AE7244"/>
    <w:rsid w:val="00AF3FEE"/>
    <w:rsid w:val="00B02F46"/>
    <w:rsid w:val="00B07FD0"/>
    <w:rsid w:val="00B11B0E"/>
    <w:rsid w:val="00B2000C"/>
    <w:rsid w:val="00B20ADE"/>
    <w:rsid w:val="00B23C4B"/>
    <w:rsid w:val="00B42ECC"/>
    <w:rsid w:val="00B46F69"/>
    <w:rsid w:val="00B66B9A"/>
    <w:rsid w:val="00B82089"/>
    <w:rsid w:val="00B86859"/>
    <w:rsid w:val="00B874A1"/>
    <w:rsid w:val="00B970AE"/>
    <w:rsid w:val="00BA1427"/>
    <w:rsid w:val="00BA6EFA"/>
    <w:rsid w:val="00BB6021"/>
    <w:rsid w:val="00BC2D37"/>
    <w:rsid w:val="00BD0C50"/>
    <w:rsid w:val="00BD4018"/>
    <w:rsid w:val="00BE49D0"/>
    <w:rsid w:val="00BE5827"/>
    <w:rsid w:val="00BF2C38"/>
    <w:rsid w:val="00BF7957"/>
    <w:rsid w:val="00C10AEE"/>
    <w:rsid w:val="00C12BE1"/>
    <w:rsid w:val="00C23331"/>
    <w:rsid w:val="00C265DA"/>
    <w:rsid w:val="00C3366B"/>
    <w:rsid w:val="00C376EB"/>
    <w:rsid w:val="00C442F2"/>
    <w:rsid w:val="00C644AE"/>
    <w:rsid w:val="00C674FE"/>
    <w:rsid w:val="00C71579"/>
    <w:rsid w:val="00C7297D"/>
    <w:rsid w:val="00C75633"/>
    <w:rsid w:val="00C8242E"/>
    <w:rsid w:val="00C82615"/>
    <w:rsid w:val="00C867DB"/>
    <w:rsid w:val="00C86E0F"/>
    <w:rsid w:val="00CA2A38"/>
    <w:rsid w:val="00CA4B0E"/>
    <w:rsid w:val="00CA50FF"/>
    <w:rsid w:val="00CC3288"/>
    <w:rsid w:val="00CC3CD2"/>
    <w:rsid w:val="00CC43BE"/>
    <w:rsid w:val="00CC67CF"/>
    <w:rsid w:val="00CD123C"/>
    <w:rsid w:val="00CD2085"/>
    <w:rsid w:val="00CD72AE"/>
    <w:rsid w:val="00CE2EE1"/>
    <w:rsid w:val="00CE41EC"/>
    <w:rsid w:val="00CE5495"/>
    <w:rsid w:val="00CF06DC"/>
    <w:rsid w:val="00CF3FFD"/>
    <w:rsid w:val="00CF5ED3"/>
    <w:rsid w:val="00D0494C"/>
    <w:rsid w:val="00D11264"/>
    <w:rsid w:val="00D12DF7"/>
    <w:rsid w:val="00D14BEB"/>
    <w:rsid w:val="00D172D6"/>
    <w:rsid w:val="00D21C89"/>
    <w:rsid w:val="00D3498E"/>
    <w:rsid w:val="00D42970"/>
    <w:rsid w:val="00D45542"/>
    <w:rsid w:val="00D654C6"/>
    <w:rsid w:val="00D71938"/>
    <w:rsid w:val="00D77D0F"/>
    <w:rsid w:val="00D872E6"/>
    <w:rsid w:val="00D879E6"/>
    <w:rsid w:val="00D95C00"/>
    <w:rsid w:val="00DA1CF0"/>
    <w:rsid w:val="00DB2271"/>
    <w:rsid w:val="00DB5659"/>
    <w:rsid w:val="00DC24B4"/>
    <w:rsid w:val="00DD7A05"/>
    <w:rsid w:val="00DF16DC"/>
    <w:rsid w:val="00DF50F2"/>
    <w:rsid w:val="00DF5361"/>
    <w:rsid w:val="00E009A1"/>
    <w:rsid w:val="00E00D15"/>
    <w:rsid w:val="00E071BE"/>
    <w:rsid w:val="00E07379"/>
    <w:rsid w:val="00E14494"/>
    <w:rsid w:val="00E17033"/>
    <w:rsid w:val="00E21FF9"/>
    <w:rsid w:val="00E22744"/>
    <w:rsid w:val="00E2282A"/>
    <w:rsid w:val="00E32189"/>
    <w:rsid w:val="00E35E0C"/>
    <w:rsid w:val="00E45211"/>
    <w:rsid w:val="00E72FD9"/>
    <w:rsid w:val="00E7380C"/>
    <w:rsid w:val="00E74BE7"/>
    <w:rsid w:val="00E86CC9"/>
    <w:rsid w:val="00E96624"/>
    <w:rsid w:val="00EC2AA3"/>
    <w:rsid w:val="00ED65CB"/>
    <w:rsid w:val="00EF6131"/>
    <w:rsid w:val="00F01FEC"/>
    <w:rsid w:val="00F10CD5"/>
    <w:rsid w:val="00F126F1"/>
    <w:rsid w:val="00F152AB"/>
    <w:rsid w:val="00F2106A"/>
    <w:rsid w:val="00F3404F"/>
    <w:rsid w:val="00F36D8B"/>
    <w:rsid w:val="00F401D0"/>
    <w:rsid w:val="00F42EAF"/>
    <w:rsid w:val="00F45F2B"/>
    <w:rsid w:val="00F54A38"/>
    <w:rsid w:val="00F57AE4"/>
    <w:rsid w:val="00F65EC3"/>
    <w:rsid w:val="00F67150"/>
    <w:rsid w:val="00F84366"/>
    <w:rsid w:val="00F85089"/>
    <w:rsid w:val="00F85564"/>
    <w:rsid w:val="00F86CFA"/>
    <w:rsid w:val="00F975A9"/>
    <w:rsid w:val="00FA5645"/>
    <w:rsid w:val="00FB0BC4"/>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3D61620-22C3-4BD3-ACFF-FEF01AC0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15A"/>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uiPriority w:val="99"/>
    <w:qForma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texte">
    <w:name w:val="Reference texte"/>
    <w:basedOn w:val="Normal"/>
    <w:qFormat/>
    <w:rsid w:val="00AE3D38"/>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pPr>
    <w:rPr>
      <w:rFonts w:eastAsia="SimSun"/>
      <w:lang w:eastAsia="zh-CN" w:bidi="ar-EG"/>
    </w:rPr>
  </w:style>
  <w:style w:type="paragraph" w:customStyle="1" w:styleId="Footnotetexte">
    <w:name w:val="Footnote texte"/>
    <w:basedOn w:val="Normal"/>
    <w:qFormat/>
    <w:rsid w:val="00AE3D38"/>
    <w:pPr>
      <w:tabs>
        <w:tab w:val="left" w:pos="39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ind w:left="397" w:hanging="397"/>
    </w:pPr>
    <w:rPr>
      <w:rFonts w:eastAsia="SimSun"/>
      <w:sz w:val="20"/>
      <w:szCs w:val="26"/>
      <w:lang w:eastAsia="zh-CN" w:bidi="ar-EG"/>
    </w:rPr>
  </w:style>
  <w:style w:type="paragraph" w:customStyle="1" w:styleId="Headingb0">
    <w:name w:val="Heading b"/>
    <w:basedOn w:val="Normal"/>
    <w:qFormat/>
    <w:rsid w:val="00AE3D38"/>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eastAsia="SimSun"/>
      <w:b/>
      <w:bCs/>
      <w:lang w:eastAsia="zh-CN" w:bidi="ar-EG"/>
    </w:rPr>
  </w:style>
  <w:style w:type="paragraph" w:customStyle="1" w:styleId="enumlev10">
    <w:name w:val="enumlev 1"/>
    <w:basedOn w:val="Normal"/>
    <w:qFormat/>
    <w:rsid w:val="00931F2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SimSun"/>
      <w:lang w:eastAsia="zh-CN" w:bidi="ar-SY"/>
    </w:rPr>
  </w:style>
  <w:style w:type="paragraph" w:customStyle="1" w:styleId="Headingbi">
    <w:name w:val="Heading b i"/>
    <w:basedOn w:val="Headingb0"/>
    <w:qFormat/>
    <w:rsid w:val="00931F25"/>
    <w:pPr>
      <w:tabs>
        <w:tab w:val="clear" w:pos="1361"/>
        <w:tab w:val="left" w:pos="1588"/>
      </w:tabs>
    </w:pPr>
    <w:rPr>
      <w:i/>
      <w:iCs/>
    </w:rPr>
  </w:style>
  <w:style w:type="paragraph" w:customStyle="1" w:styleId="Tabletexte">
    <w:name w:val="Table texte"/>
    <w:basedOn w:val="Normal"/>
    <w:qFormat/>
    <w:rsid w:val="00602F1D"/>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eastAsia="SimSun"/>
      <w:sz w:val="20"/>
      <w:szCs w:val="26"/>
      <w:lang w:eastAsia="zh-CN" w:bidi="ar-SY"/>
    </w:rPr>
  </w:style>
  <w:style w:type="paragraph" w:customStyle="1" w:styleId="TableHead0">
    <w:name w:val="Table Head"/>
    <w:basedOn w:val="Normal"/>
    <w:qFormat/>
    <w:rsid w:val="001E0FE6"/>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eastAsia="SimSun"/>
      <w:b/>
      <w:bCs/>
      <w:sz w:val="20"/>
      <w:szCs w:val="26"/>
      <w:lang w:eastAsia="zh-CN" w:bidi="ar-EG"/>
    </w:rPr>
  </w:style>
  <w:style w:type="character" w:customStyle="1" w:styleId="apple-converted-space">
    <w:name w:val="apple-converted-space"/>
    <w:basedOn w:val="DefaultParagraphFont"/>
    <w:rsid w:val="009E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md/S15-CL-INF-0011/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heiia.org" TargetMode="External"/><Relationship Id="rId1" Type="http://schemas.openxmlformats.org/officeDocument/2006/relationships/hyperlink" Target="file:///C:\Users\khalil\Desktop\Doc_TRAD\www.thei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SG\PA_Counci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de10a323-94a9-4e93-88b4-ea964576960d"/>
    <ds:schemaRef ds:uri="996b2e75-67fd-4955-a3b0-5ab9934cb50b"/>
    <ds:schemaRef ds:uri="http://purl.org/dc/dcmitype/"/>
  </ds:schemaRefs>
</ds:datastoreItem>
</file>

<file path=customXml/itemProps3.xml><?xml version="1.0" encoding="utf-8"?>
<ds:datastoreItem xmlns:ds="http://schemas.openxmlformats.org/officeDocument/2006/customXml" ds:itemID="{A5C145BA-2015-4E6E-A67E-9EDD52D8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2017.dotx</Template>
  <TotalTime>119</TotalTime>
  <Pages>7</Pages>
  <Words>3423</Words>
  <Characters>18142</Characters>
  <Application>Microsoft Office Word</Application>
  <DocSecurity>0</DocSecurity>
  <Lines>954</Lines>
  <Paragraphs>634</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20931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Saad, Samuel</dc:creator>
  <cp:keywords>DPM_v2016.12.12.1_prod</cp:keywords>
  <dc:description>Template used by DPM and CPI for the WTSA-16</dc:description>
  <cp:lastModifiedBy>Awad, Samy</cp:lastModifiedBy>
  <cp:revision>85</cp:revision>
  <cp:lastPrinted>2017-04-03T03:07:00Z</cp:lastPrinted>
  <dcterms:created xsi:type="dcterms:W3CDTF">2017-04-03T12:10:00Z</dcterms:created>
  <dcterms:modified xsi:type="dcterms:W3CDTF">2017-04-12T16:42:00Z</dcterms:modified>
  <cp:category>Conference document</cp:category>
</cp:coreProperties>
</file>