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65E12" w:rsidRPr="002C25C6">
        <w:trPr>
          <w:cantSplit/>
        </w:trPr>
        <w:tc>
          <w:tcPr>
            <w:tcW w:w="6911" w:type="dxa"/>
          </w:tcPr>
          <w:p w:rsidR="00A65E12" w:rsidRPr="002C25C6" w:rsidRDefault="00364848" w:rsidP="00D35560">
            <w:pPr>
              <w:tabs>
                <w:tab w:val="clear" w:pos="1588"/>
                <w:tab w:val="clear" w:pos="1985"/>
                <w:tab w:val="left" w:pos="4804"/>
              </w:tabs>
              <w:spacing w:before="360" w:after="48" w:line="240" w:lineRule="atLeast"/>
              <w:rPr>
                <w:position w:val="6"/>
                <w:lang w:val="ru-RU"/>
              </w:rPr>
            </w:pPr>
            <w:r w:rsidRPr="002C25C6">
              <w:rPr>
                <w:b/>
                <w:bCs/>
                <w:position w:val="6"/>
                <w:sz w:val="28"/>
                <w:szCs w:val="28"/>
                <w:lang w:val="ru-RU"/>
              </w:rPr>
              <w:t xml:space="preserve">СОВЕТ </w:t>
            </w:r>
            <w:r w:rsidR="00A65E12" w:rsidRPr="002C25C6">
              <w:rPr>
                <w:b/>
                <w:bCs/>
                <w:position w:val="6"/>
                <w:sz w:val="28"/>
                <w:szCs w:val="28"/>
                <w:lang w:val="ru-RU"/>
              </w:rPr>
              <w:t>201</w:t>
            </w:r>
            <w:r w:rsidR="00683379" w:rsidRPr="002C25C6">
              <w:rPr>
                <w:b/>
                <w:bCs/>
                <w:position w:val="6"/>
                <w:sz w:val="28"/>
                <w:szCs w:val="28"/>
                <w:lang w:val="ru-RU"/>
              </w:rPr>
              <w:t>7</w:t>
            </w:r>
            <w:r w:rsidR="00A65E12" w:rsidRPr="002C25C6">
              <w:rPr>
                <w:rFonts w:cs="Times"/>
                <w:b/>
                <w:position w:val="6"/>
                <w:sz w:val="24"/>
                <w:szCs w:val="24"/>
                <w:lang w:val="ru-RU"/>
              </w:rPr>
              <w:br/>
            </w:r>
            <w:r w:rsidR="007B4584" w:rsidRPr="002C25C6">
              <w:rPr>
                <w:rFonts w:cs="Arial"/>
                <w:b/>
                <w:bCs/>
                <w:szCs w:val="22"/>
                <w:lang w:val="ru-RU"/>
              </w:rPr>
              <w:t>Женева</w:t>
            </w:r>
            <w:r w:rsidR="007B4584" w:rsidRPr="002C25C6">
              <w:rPr>
                <w:b/>
                <w:bCs/>
                <w:szCs w:val="22"/>
                <w:lang w:val="ru-RU"/>
              </w:rPr>
              <w:t xml:space="preserve">, </w:t>
            </w:r>
            <w:r w:rsidR="00966394" w:rsidRPr="002C25C6">
              <w:rPr>
                <w:b/>
                <w:bCs/>
                <w:szCs w:val="22"/>
                <w:lang w:val="ru-RU"/>
              </w:rPr>
              <w:t>1</w:t>
            </w:r>
            <w:r w:rsidR="007B4584" w:rsidRPr="002C25C6">
              <w:rPr>
                <w:b/>
                <w:bCs/>
                <w:lang w:val="ru-RU"/>
              </w:rPr>
              <w:t>5</w:t>
            </w:r>
            <w:r w:rsidR="00966394" w:rsidRPr="002C25C6">
              <w:rPr>
                <w:b/>
                <w:bCs/>
                <w:lang w:val="ru-RU"/>
              </w:rPr>
              <w:t>–25 мая</w:t>
            </w:r>
            <w:r w:rsidR="007B4584" w:rsidRPr="002C25C6">
              <w:rPr>
                <w:b/>
                <w:bCs/>
                <w:lang w:val="ru-RU"/>
              </w:rPr>
              <w:t xml:space="preserve"> 201</w:t>
            </w:r>
            <w:r w:rsidR="00966394" w:rsidRPr="002C25C6">
              <w:rPr>
                <w:b/>
                <w:bCs/>
                <w:lang w:val="ru-RU"/>
              </w:rPr>
              <w:t>7</w:t>
            </w:r>
            <w:r w:rsidR="007B4584" w:rsidRPr="002C25C6">
              <w:rPr>
                <w:b/>
                <w:bCs/>
                <w:lang w:val="ru-RU"/>
              </w:rPr>
              <w:t xml:space="preserve"> года</w:t>
            </w:r>
          </w:p>
        </w:tc>
        <w:tc>
          <w:tcPr>
            <w:tcW w:w="3120" w:type="dxa"/>
          </w:tcPr>
          <w:p w:rsidR="00A65E12" w:rsidRPr="002C25C6" w:rsidRDefault="00C35BC0" w:rsidP="00C35BC0">
            <w:pPr>
              <w:spacing w:before="0" w:line="240" w:lineRule="atLeast"/>
              <w:rPr>
                <w:lang w:val="ru-RU"/>
              </w:rPr>
            </w:pPr>
            <w:bookmarkStart w:id="0" w:name="ditulogo"/>
            <w:bookmarkEnd w:id="0"/>
            <w:r w:rsidRPr="002C25C6">
              <w:rPr>
                <w:noProof/>
                <w:lang w:eastAsia="zh-CN"/>
              </w:rPr>
              <w:drawing>
                <wp:inline distT="0" distB="0" distL="0" distR="0" wp14:anchorId="0B4CE736" wp14:editId="204EC322">
                  <wp:extent cx="1314450" cy="695325"/>
                  <wp:effectExtent l="0" t="0" r="0" b="9525"/>
                  <wp:docPr id="5" name="Picture 5"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A65E12" w:rsidRPr="002C25C6">
        <w:trPr>
          <w:cantSplit/>
        </w:trPr>
        <w:tc>
          <w:tcPr>
            <w:tcW w:w="6911" w:type="dxa"/>
            <w:tcBorders>
              <w:bottom w:val="single" w:sz="12" w:space="0" w:color="auto"/>
            </w:tcBorders>
          </w:tcPr>
          <w:p w:rsidR="00A65E12" w:rsidRPr="002C25C6" w:rsidRDefault="00A65E12" w:rsidP="00E82A5B">
            <w:pPr>
              <w:spacing w:before="0" w:after="48" w:line="240" w:lineRule="atLeast"/>
              <w:rPr>
                <w:b/>
                <w:smallCaps/>
                <w:szCs w:val="24"/>
                <w:lang w:val="ru-RU"/>
              </w:rPr>
            </w:pPr>
          </w:p>
        </w:tc>
        <w:tc>
          <w:tcPr>
            <w:tcW w:w="3120" w:type="dxa"/>
            <w:tcBorders>
              <w:bottom w:val="single" w:sz="12" w:space="0" w:color="auto"/>
            </w:tcBorders>
          </w:tcPr>
          <w:p w:rsidR="00A65E12" w:rsidRPr="002C25C6" w:rsidRDefault="00A65E12">
            <w:pPr>
              <w:spacing w:before="0" w:line="240" w:lineRule="atLeast"/>
              <w:rPr>
                <w:szCs w:val="24"/>
                <w:lang w:val="ru-RU"/>
              </w:rPr>
            </w:pPr>
          </w:p>
        </w:tc>
      </w:tr>
      <w:tr w:rsidR="00A65E12" w:rsidRPr="002C25C6">
        <w:trPr>
          <w:cantSplit/>
        </w:trPr>
        <w:tc>
          <w:tcPr>
            <w:tcW w:w="6911" w:type="dxa"/>
            <w:tcBorders>
              <w:top w:val="single" w:sz="12" w:space="0" w:color="auto"/>
            </w:tcBorders>
          </w:tcPr>
          <w:p w:rsidR="00A65E12" w:rsidRPr="002C25C6" w:rsidRDefault="00A65E12" w:rsidP="001708A0">
            <w:pPr>
              <w:spacing w:before="0"/>
              <w:rPr>
                <w:b/>
                <w:smallCaps/>
                <w:szCs w:val="24"/>
                <w:lang w:val="ru-RU"/>
              </w:rPr>
            </w:pPr>
          </w:p>
        </w:tc>
        <w:tc>
          <w:tcPr>
            <w:tcW w:w="3120" w:type="dxa"/>
            <w:tcBorders>
              <w:top w:val="single" w:sz="12" w:space="0" w:color="auto"/>
            </w:tcBorders>
          </w:tcPr>
          <w:p w:rsidR="00A65E12" w:rsidRPr="002C25C6" w:rsidRDefault="00A65E12" w:rsidP="001708A0">
            <w:pPr>
              <w:spacing w:before="0"/>
              <w:rPr>
                <w:szCs w:val="24"/>
                <w:lang w:val="ru-RU"/>
              </w:rPr>
            </w:pPr>
          </w:p>
        </w:tc>
      </w:tr>
      <w:tr w:rsidR="00A65E12" w:rsidRPr="002C25C6">
        <w:trPr>
          <w:cantSplit/>
          <w:trHeight w:val="23"/>
        </w:trPr>
        <w:tc>
          <w:tcPr>
            <w:tcW w:w="6911" w:type="dxa"/>
            <w:vMerge w:val="restart"/>
          </w:tcPr>
          <w:p w:rsidR="00A65E12" w:rsidRPr="002C25C6" w:rsidRDefault="00E6733A" w:rsidP="007B4584">
            <w:pPr>
              <w:tabs>
                <w:tab w:val="left" w:pos="851"/>
              </w:tabs>
              <w:spacing w:before="0"/>
              <w:rPr>
                <w:b/>
                <w:lang w:val="ru-RU"/>
              </w:rPr>
            </w:pPr>
            <w:bookmarkStart w:id="1" w:name="dmeeting" w:colFirst="0" w:colLast="0"/>
            <w:bookmarkStart w:id="2" w:name="dnum" w:colFirst="1" w:colLast="1"/>
            <w:r w:rsidRPr="002C25C6">
              <w:rPr>
                <w:b/>
                <w:lang w:val="ru-RU"/>
              </w:rPr>
              <w:t>Пункт повестки дня</w:t>
            </w:r>
            <w:r w:rsidR="00A65E12" w:rsidRPr="002C25C6">
              <w:rPr>
                <w:b/>
                <w:lang w:val="ru-RU"/>
              </w:rPr>
              <w:t xml:space="preserve">: </w:t>
            </w:r>
            <w:proofErr w:type="spellStart"/>
            <w:r w:rsidR="006D5B51" w:rsidRPr="002C25C6">
              <w:rPr>
                <w:b/>
                <w:lang w:val="ru-RU"/>
              </w:rPr>
              <w:t>ADM</w:t>
            </w:r>
            <w:proofErr w:type="spellEnd"/>
            <w:r w:rsidR="006D5B51" w:rsidRPr="002C25C6">
              <w:rPr>
                <w:b/>
                <w:lang w:val="ru-RU"/>
              </w:rPr>
              <w:t xml:space="preserve"> </w:t>
            </w:r>
            <w:r w:rsidR="00966394" w:rsidRPr="002C25C6">
              <w:rPr>
                <w:b/>
                <w:lang w:val="ru-RU"/>
              </w:rPr>
              <w:t>10</w:t>
            </w:r>
          </w:p>
        </w:tc>
        <w:tc>
          <w:tcPr>
            <w:tcW w:w="3120" w:type="dxa"/>
          </w:tcPr>
          <w:p w:rsidR="00A65E12" w:rsidRPr="002C25C6" w:rsidRDefault="00E6733A" w:rsidP="00966394">
            <w:pPr>
              <w:tabs>
                <w:tab w:val="left" w:pos="851"/>
              </w:tabs>
              <w:spacing w:before="0"/>
              <w:rPr>
                <w:b/>
                <w:lang w:val="ru-RU"/>
              </w:rPr>
            </w:pPr>
            <w:r w:rsidRPr="002C25C6">
              <w:rPr>
                <w:b/>
                <w:lang w:val="ru-RU"/>
              </w:rPr>
              <w:t>Документ</w:t>
            </w:r>
            <w:r w:rsidR="00A65E12" w:rsidRPr="002C25C6">
              <w:rPr>
                <w:b/>
                <w:lang w:val="ru-RU"/>
              </w:rPr>
              <w:t xml:space="preserve"> </w:t>
            </w:r>
            <w:proofErr w:type="spellStart"/>
            <w:r w:rsidR="00A65E12" w:rsidRPr="002C25C6">
              <w:rPr>
                <w:b/>
                <w:lang w:val="ru-RU"/>
              </w:rPr>
              <w:t>C1</w:t>
            </w:r>
            <w:r w:rsidR="00966394" w:rsidRPr="002C25C6">
              <w:rPr>
                <w:b/>
                <w:lang w:val="ru-RU"/>
              </w:rPr>
              <w:t>7</w:t>
            </w:r>
            <w:proofErr w:type="spellEnd"/>
            <w:r w:rsidR="00A65E12" w:rsidRPr="002C25C6">
              <w:rPr>
                <w:b/>
                <w:lang w:val="ru-RU"/>
              </w:rPr>
              <w:t>/</w:t>
            </w:r>
            <w:r w:rsidR="00352C43" w:rsidRPr="002C25C6">
              <w:rPr>
                <w:b/>
                <w:lang w:val="ru-RU"/>
              </w:rPr>
              <w:t>40</w:t>
            </w:r>
            <w:r w:rsidR="00A65E12" w:rsidRPr="002C25C6">
              <w:rPr>
                <w:b/>
                <w:lang w:val="ru-RU"/>
              </w:rPr>
              <w:t>-</w:t>
            </w:r>
            <w:r w:rsidRPr="002C25C6">
              <w:rPr>
                <w:b/>
                <w:lang w:val="ru-RU"/>
              </w:rPr>
              <w:t>R</w:t>
            </w:r>
          </w:p>
        </w:tc>
      </w:tr>
      <w:tr w:rsidR="00A65E12" w:rsidRPr="002C25C6">
        <w:trPr>
          <w:cantSplit/>
          <w:trHeight w:val="23"/>
        </w:trPr>
        <w:tc>
          <w:tcPr>
            <w:tcW w:w="6911" w:type="dxa"/>
            <w:vMerge/>
          </w:tcPr>
          <w:p w:rsidR="00A65E12" w:rsidRPr="002C25C6" w:rsidRDefault="00A65E12" w:rsidP="001708A0">
            <w:pPr>
              <w:tabs>
                <w:tab w:val="left" w:pos="851"/>
              </w:tabs>
              <w:spacing w:before="0"/>
              <w:rPr>
                <w:b/>
                <w:lang w:val="ru-RU"/>
              </w:rPr>
            </w:pPr>
            <w:bookmarkStart w:id="3" w:name="ddate" w:colFirst="1" w:colLast="1"/>
            <w:bookmarkEnd w:id="1"/>
            <w:bookmarkEnd w:id="2"/>
          </w:p>
        </w:tc>
        <w:tc>
          <w:tcPr>
            <w:tcW w:w="3120" w:type="dxa"/>
          </w:tcPr>
          <w:p w:rsidR="00A65E12" w:rsidRPr="002C25C6" w:rsidRDefault="00966394" w:rsidP="00966394">
            <w:pPr>
              <w:tabs>
                <w:tab w:val="left" w:pos="993"/>
              </w:tabs>
              <w:spacing w:before="0"/>
              <w:rPr>
                <w:b/>
                <w:lang w:val="ru-RU"/>
              </w:rPr>
            </w:pPr>
            <w:r w:rsidRPr="002C25C6">
              <w:rPr>
                <w:b/>
                <w:lang w:val="ru-RU"/>
              </w:rPr>
              <w:t>11</w:t>
            </w:r>
            <w:r w:rsidR="00DB4196" w:rsidRPr="002C25C6">
              <w:rPr>
                <w:b/>
                <w:lang w:val="ru-RU"/>
              </w:rPr>
              <w:t xml:space="preserve"> мая</w:t>
            </w:r>
            <w:r w:rsidR="00976E48" w:rsidRPr="002C25C6">
              <w:rPr>
                <w:b/>
                <w:lang w:val="ru-RU"/>
              </w:rPr>
              <w:t xml:space="preserve"> </w:t>
            </w:r>
            <w:r w:rsidR="00A65E12" w:rsidRPr="002C25C6">
              <w:rPr>
                <w:b/>
                <w:lang w:val="ru-RU"/>
              </w:rPr>
              <w:t>201</w:t>
            </w:r>
            <w:r w:rsidRPr="002C25C6">
              <w:rPr>
                <w:b/>
                <w:lang w:val="ru-RU"/>
              </w:rPr>
              <w:t>7</w:t>
            </w:r>
            <w:r w:rsidR="00E6733A" w:rsidRPr="002C25C6">
              <w:rPr>
                <w:b/>
                <w:lang w:val="ru-RU"/>
              </w:rPr>
              <w:t xml:space="preserve"> г</w:t>
            </w:r>
            <w:r w:rsidR="00B369AD" w:rsidRPr="002C25C6">
              <w:rPr>
                <w:b/>
                <w:lang w:val="ru-RU"/>
              </w:rPr>
              <w:t>ода</w:t>
            </w:r>
          </w:p>
        </w:tc>
      </w:tr>
      <w:tr w:rsidR="00A65E12" w:rsidRPr="002C25C6">
        <w:trPr>
          <w:cantSplit/>
          <w:trHeight w:val="23"/>
        </w:trPr>
        <w:tc>
          <w:tcPr>
            <w:tcW w:w="6911" w:type="dxa"/>
            <w:vMerge/>
          </w:tcPr>
          <w:p w:rsidR="00A65E12" w:rsidRPr="002C25C6" w:rsidRDefault="00A65E12" w:rsidP="001708A0">
            <w:pPr>
              <w:tabs>
                <w:tab w:val="left" w:pos="851"/>
              </w:tabs>
              <w:spacing w:before="0"/>
              <w:rPr>
                <w:b/>
                <w:lang w:val="ru-RU"/>
              </w:rPr>
            </w:pPr>
            <w:bookmarkStart w:id="4" w:name="dorlang" w:colFirst="1" w:colLast="1"/>
            <w:bookmarkEnd w:id="3"/>
          </w:p>
        </w:tc>
        <w:tc>
          <w:tcPr>
            <w:tcW w:w="3120" w:type="dxa"/>
          </w:tcPr>
          <w:p w:rsidR="00A65E12" w:rsidRPr="002C25C6" w:rsidRDefault="00E6733A" w:rsidP="00966394">
            <w:pPr>
              <w:tabs>
                <w:tab w:val="left" w:pos="993"/>
              </w:tabs>
              <w:spacing w:before="0"/>
              <w:rPr>
                <w:b/>
                <w:lang w:val="ru-RU"/>
              </w:rPr>
            </w:pPr>
            <w:r w:rsidRPr="002C25C6">
              <w:rPr>
                <w:b/>
                <w:lang w:val="ru-RU"/>
              </w:rPr>
              <w:t>Оригинал</w:t>
            </w:r>
            <w:r w:rsidR="00A65E12" w:rsidRPr="002C25C6">
              <w:rPr>
                <w:b/>
                <w:lang w:val="ru-RU"/>
              </w:rPr>
              <w:t xml:space="preserve">: </w:t>
            </w:r>
            <w:r w:rsidR="00966394" w:rsidRPr="002C25C6">
              <w:rPr>
                <w:b/>
                <w:lang w:val="ru-RU"/>
              </w:rPr>
              <w:t>английский</w:t>
            </w:r>
          </w:p>
        </w:tc>
      </w:tr>
      <w:tr w:rsidR="00DB4196" w:rsidRPr="002C25C6">
        <w:trPr>
          <w:cantSplit/>
        </w:trPr>
        <w:tc>
          <w:tcPr>
            <w:tcW w:w="10031" w:type="dxa"/>
            <w:gridSpan w:val="2"/>
          </w:tcPr>
          <w:p w:rsidR="00DB4196" w:rsidRPr="002C25C6" w:rsidRDefault="00DB4196" w:rsidP="00DB4196">
            <w:pPr>
              <w:pStyle w:val="Source"/>
              <w:spacing w:before="720"/>
              <w:rPr>
                <w:szCs w:val="22"/>
                <w:lang w:val="ru-RU"/>
              </w:rPr>
            </w:pPr>
            <w:bookmarkStart w:id="5" w:name="dsource" w:colFirst="0" w:colLast="0"/>
            <w:bookmarkEnd w:id="4"/>
            <w:r w:rsidRPr="002C25C6">
              <w:rPr>
                <w:lang w:val="ru-RU"/>
              </w:rPr>
              <w:t>Отчет Генерального секретаря</w:t>
            </w:r>
          </w:p>
        </w:tc>
      </w:tr>
      <w:tr w:rsidR="00DB4196" w:rsidRPr="002C25C6">
        <w:trPr>
          <w:cantSplit/>
        </w:trPr>
        <w:tc>
          <w:tcPr>
            <w:tcW w:w="10031" w:type="dxa"/>
            <w:gridSpan w:val="2"/>
          </w:tcPr>
          <w:p w:rsidR="00DB4196" w:rsidRPr="002C25C6" w:rsidRDefault="00542F98" w:rsidP="00352C43">
            <w:pPr>
              <w:pStyle w:val="Title1"/>
              <w:rPr>
                <w:szCs w:val="22"/>
                <w:lang w:val="ru-RU"/>
              </w:rPr>
            </w:pPr>
            <w:bookmarkStart w:id="6" w:name="dtitle1" w:colFirst="0" w:colLast="0"/>
            <w:bookmarkEnd w:id="5"/>
            <w:r w:rsidRPr="002C25C6">
              <w:rPr>
                <w:lang w:val="ru-RU"/>
              </w:rPr>
              <w:t>ВНЕШНЯЯ</w:t>
            </w:r>
            <w:r w:rsidR="00DB4196" w:rsidRPr="002C25C6">
              <w:rPr>
                <w:lang w:val="ru-RU"/>
              </w:rPr>
              <w:t xml:space="preserve"> АУДИТОРСКАЯ проверка</w:t>
            </w:r>
          </w:p>
        </w:tc>
      </w:tr>
      <w:bookmarkEnd w:id="6"/>
    </w:tbl>
    <w:p w:rsidR="00DB4196" w:rsidRPr="002C25C6" w:rsidRDefault="00DB4196" w:rsidP="00DB4196">
      <w:pPr>
        <w:spacing w:before="240"/>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DB4196" w:rsidRPr="002C25C6" w:rsidTr="002F7DB3">
        <w:trPr>
          <w:trHeight w:val="3372"/>
        </w:trPr>
        <w:tc>
          <w:tcPr>
            <w:tcW w:w="8080" w:type="dxa"/>
            <w:tcBorders>
              <w:top w:val="single" w:sz="12" w:space="0" w:color="auto"/>
              <w:left w:val="single" w:sz="12" w:space="0" w:color="auto"/>
              <w:bottom w:val="single" w:sz="12" w:space="0" w:color="auto"/>
              <w:right w:val="single" w:sz="12" w:space="0" w:color="auto"/>
            </w:tcBorders>
          </w:tcPr>
          <w:p w:rsidR="00DB4196" w:rsidRPr="002C25C6" w:rsidRDefault="00DB4196" w:rsidP="002F7DB3">
            <w:pPr>
              <w:pStyle w:val="Headingb"/>
              <w:rPr>
                <w:lang w:val="ru-RU"/>
              </w:rPr>
            </w:pPr>
            <w:bookmarkStart w:id="7" w:name="_Toc358196984"/>
            <w:bookmarkStart w:id="8" w:name="_Toc358197245"/>
            <w:bookmarkStart w:id="9" w:name="_Toc399768422"/>
            <w:bookmarkStart w:id="10" w:name="_Toc399768566"/>
            <w:bookmarkStart w:id="11" w:name="_Toc452123325"/>
            <w:bookmarkStart w:id="12" w:name="_Toc452157285"/>
            <w:bookmarkStart w:id="13" w:name="_Toc452158608"/>
            <w:bookmarkStart w:id="14" w:name="_Toc482995152"/>
            <w:r w:rsidRPr="002C25C6">
              <w:rPr>
                <w:lang w:val="ru-RU"/>
              </w:rPr>
              <w:t>Резюме</w:t>
            </w:r>
            <w:bookmarkEnd w:id="7"/>
            <w:bookmarkEnd w:id="8"/>
            <w:bookmarkEnd w:id="9"/>
            <w:bookmarkEnd w:id="10"/>
            <w:bookmarkEnd w:id="11"/>
            <w:bookmarkEnd w:id="12"/>
            <w:bookmarkEnd w:id="13"/>
            <w:bookmarkEnd w:id="14"/>
          </w:p>
          <w:p w:rsidR="00DB4196" w:rsidRPr="002C25C6" w:rsidRDefault="00542F98" w:rsidP="00966394">
            <w:pPr>
              <w:rPr>
                <w:lang w:val="ru-RU"/>
              </w:rPr>
            </w:pPr>
            <w:r w:rsidRPr="002C25C6">
              <w:rPr>
                <w:lang w:val="ru-RU"/>
              </w:rPr>
              <w:t>Отчет Внешнего аудитора касается аудита финансовой отчетности за 201</w:t>
            </w:r>
            <w:r w:rsidR="00966394" w:rsidRPr="002C25C6">
              <w:rPr>
                <w:lang w:val="ru-RU"/>
              </w:rPr>
              <w:t>6</w:t>
            </w:r>
            <w:r w:rsidRPr="002C25C6">
              <w:rPr>
                <w:lang w:val="ru-RU"/>
              </w:rPr>
              <w:t xml:space="preserve"> год.</w:t>
            </w:r>
          </w:p>
          <w:p w:rsidR="00DB4196" w:rsidRPr="002C25C6" w:rsidRDefault="00DB4196" w:rsidP="002F7DB3">
            <w:pPr>
              <w:pStyle w:val="Headingb"/>
              <w:rPr>
                <w:lang w:val="ru-RU"/>
              </w:rPr>
            </w:pPr>
            <w:bookmarkStart w:id="15" w:name="_Toc358196985"/>
            <w:bookmarkStart w:id="16" w:name="_Toc358197246"/>
            <w:bookmarkStart w:id="17" w:name="_Toc399768423"/>
            <w:bookmarkStart w:id="18" w:name="_Toc399768567"/>
            <w:bookmarkStart w:id="19" w:name="_Toc452123326"/>
            <w:bookmarkStart w:id="20" w:name="_Toc452157286"/>
            <w:bookmarkStart w:id="21" w:name="_Toc452158609"/>
            <w:bookmarkStart w:id="22" w:name="_Toc482995153"/>
            <w:r w:rsidRPr="002C25C6">
              <w:rPr>
                <w:lang w:val="ru-RU"/>
              </w:rPr>
              <w:t>Необходимые действия</w:t>
            </w:r>
            <w:bookmarkEnd w:id="15"/>
            <w:bookmarkEnd w:id="16"/>
            <w:bookmarkEnd w:id="17"/>
            <w:bookmarkEnd w:id="18"/>
            <w:bookmarkEnd w:id="19"/>
            <w:bookmarkEnd w:id="20"/>
            <w:bookmarkEnd w:id="21"/>
            <w:bookmarkEnd w:id="22"/>
          </w:p>
          <w:p w:rsidR="00DB4196" w:rsidRPr="002C25C6" w:rsidRDefault="00542F98" w:rsidP="00966394">
            <w:pPr>
              <w:rPr>
                <w:lang w:val="ru-RU"/>
              </w:rPr>
            </w:pPr>
            <w:r w:rsidRPr="002C25C6">
              <w:rPr>
                <w:lang w:val="ru-RU"/>
              </w:rPr>
              <w:t>Совету предлагается рассмотреть отчет Внешнего аудитора по счетам за 201</w:t>
            </w:r>
            <w:r w:rsidR="00966394" w:rsidRPr="002C25C6">
              <w:rPr>
                <w:lang w:val="ru-RU"/>
              </w:rPr>
              <w:t>6</w:t>
            </w:r>
            <w:r w:rsidRPr="002C25C6">
              <w:rPr>
                <w:lang w:val="ru-RU"/>
              </w:rPr>
              <w:t xml:space="preserve"> год и </w:t>
            </w:r>
            <w:r w:rsidRPr="002C25C6">
              <w:rPr>
                <w:b/>
                <w:bCs/>
                <w:lang w:val="ru-RU"/>
              </w:rPr>
              <w:t>утвердить</w:t>
            </w:r>
            <w:r w:rsidRPr="002C25C6">
              <w:rPr>
                <w:lang w:val="ru-RU"/>
              </w:rPr>
              <w:t xml:space="preserve"> счета в том виде, в каком они были проверены</w:t>
            </w:r>
            <w:r w:rsidRPr="002C25C6">
              <w:rPr>
                <w:szCs w:val="22"/>
                <w:lang w:val="ru-RU"/>
              </w:rPr>
              <w:t>.</w:t>
            </w:r>
          </w:p>
          <w:p w:rsidR="00DB4196" w:rsidRPr="002C25C6" w:rsidRDefault="00DB4196" w:rsidP="002F7DB3">
            <w:pPr>
              <w:spacing w:before="240"/>
              <w:jc w:val="center"/>
              <w:rPr>
                <w:caps/>
                <w:szCs w:val="22"/>
                <w:lang w:val="ru-RU"/>
              </w:rPr>
            </w:pPr>
            <w:r w:rsidRPr="002C25C6">
              <w:rPr>
                <w:caps/>
                <w:szCs w:val="22"/>
                <w:lang w:val="ru-RU"/>
              </w:rPr>
              <w:t>____________</w:t>
            </w:r>
          </w:p>
          <w:p w:rsidR="00DB4196" w:rsidRPr="002C25C6" w:rsidRDefault="00DB4196" w:rsidP="002F7DB3">
            <w:pPr>
              <w:pStyle w:val="Headingb"/>
              <w:rPr>
                <w:lang w:val="ru-RU"/>
              </w:rPr>
            </w:pPr>
            <w:bookmarkStart w:id="23" w:name="_Toc358196986"/>
            <w:bookmarkStart w:id="24" w:name="_Toc358197247"/>
            <w:bookmarkStart w:id="25" w:name="_Toc399768424"/>
            <w:bookmarkStart w:id="26" w:name="_Toc399768568"/>
            <w:bookmarkStart w:id="27" w:name="_Toc452123327"/>
            <w:bookmarkStart w:id="28" w:name="_Toc452157287"/>
            <w:bookmarkStart w:id="29" w:name="_Toc452158610"/>
            <w:bookmarkStart w:id="30" w:name="_Toc482995154"/>
            <w:r w:rsidRPr="002C25C6">
              <w:rPr>
                <w:lang w:val="ru-RU"/>
              </w:rPr>
              <w:t>Справочные материалы</w:t>
            </w:r>
            <w:bookmarkEnd w:id="23"/>
            <w:bookmarkEnd w:id="24"/>
            <w:bookmarkEnd w:id="25"/>
            <w:bookmarkEnd w:id="26"/>
            <w:bookmarkEnd w:id="27"/>
            <w:bookmarkEnd w:id="28"/>
            <w:bookmarkEnd w:id="29"/>
            <w:bookmarkEnd w:id="30"/>
          </w:p>
          <w:p w:rsidR="00DB4196" w:rsidRPr="002C25C6" w:rsidRDefault="00787EAC" w:rsidP="002F7DB3">
            <w:pPr>
              <w:spacing w:after="120"/>
              <w:rPr>
                <w:i/>
                <w:iCs/>
                <w:lang w:val="ru-RU"/>
              </w:rPr>
            </w:pPr>
            <w:hyperlink r:id="rId9" w:history="1">
              <w:r w:rsidR="00DB4196" w:rsidRPr="002C25C6">
                <w:rPr>
                  <w:rStyle w:val="Hyperlink"/>
                  <w:i/>
                  <w:iCs/>
                  <w:lang w:val="ru-RU"/>
                </w:rPr>
                <w:t>Финансовый регламент (издание 2010 г.)</w:t>
              </w:r>
            </w:hyperlink>
            <w:r w:rsidR="00DB4196" w:rsidRPr="002C25C6">
              <w:rPr>
                <w:i/>
                <w:iCs/>
                <w:lang w:val="ru-RU"/>
              </w:rPr>
              <w:t>: Статья 28 и Дополнительные полномочия</w:t>
            </w:r>
          </w:p>
        </w:tc>
      </w:tr>
    </w:tbl>
    <w:p w:rsidR="00542F98" w:rsidRPr="002C25C6" w:rsidRDefault="00542F98" w:rsidP="00CB7F68">
      <w:pPr>
        <w:rPr>
          <w:lang w:val="ru-RU"/>
        </w:rPr>
      </w:pPr>
    </w:p>
    <w:p w:rsidR="00542F98" w:rsidRPr="002C25C6" w:rsidRDefault="00542F98">
      <w:pPr>
        <w:tabs>
          <w:tab w:val="clear" w:pos="794"/>
          <w:tab w:val="clear" w:pos="1191"/>
          <w:tab w:val="clear" w:pos="1588"/>
          <w:tab w:val="clear" w:pos="1985"/>
        </w:tabs>
        <w:overflowPunct/>
        <w:autoSpaceDE/>
        <w:autoSpaceDN/>
        <w:adjustRightInd/>
        <w:spacing w:before="0"/>
        <w:textAlignment w:val="auto"/>
        <w:rPr>
          <w:lang w:val="ru-RU"/>
        </w:rPr>
      </w:pPr>
      <w:r w:rsidRPr="002C25C6">
        <w:rPr>
          <w:lang w:val="ru-RU"/>
        </w:rPr>
        <w:br w:type="page"/>
      </w:r>
    </w:p>
    <w:p w:rsidR="00542F98" w:rsidRPr="002C25C6" w:rsidRDefault="00542F98" w:rsidP="00542F98">
      <w:pPr>
        <w:spacing w:before="4000"/>
        <w:ind w:left="4253" w:right="108"/>
        <w:rPr>
          <w:lang w:val="ru-RU"/>
        </w:rPr>
      </w:pPr>
      <w:bookmarkStart w:id="31" w:name="_Toc358129144"/>
      <w:bookmarkStart w:id="32" w:name="_Toc358192649"/>
      <w:bookmarkStart w:id="33" w:name="_Toc358192810"/>
      <w:bookmarkStart w:id="34" w:name="_Toc398125295"/>
      <w:bookmarkStart w:id="35" w:name="_Toc398125774"/>
      <w:r w:rsidRPr="002C25C6">
        <w:rPr>
          <w:noProof/>
          <w:lang w:eastAsia="zh-CN"/>
        </w:rPr>
        <w:lastRenderedPageBreak/>
        <w:drawing>
          <wp:inline distT="0" distB="0" distL="0" distR="0" wp14:anchorId="4B73B0B3" wp14:editId="304EA4BC">
            <wp:extent cx="796060" cy="895082"/>
            <wp:effectExtent l="0" t="0" r="4445" b="635"/>
            <wp:docPr id="1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p>
    <w:p w:rsidR="00542F98" w:rsidRPr="002C25C6" w:rsidRDefault="00542F98" w:rsidP="00542F98">
      <w:pPr>
        <w:ind w:right="107"/>
        <w:jc w:val="center"/>
        <w:rPr>
          <w:lang w:val="ru-RU"/>
        </w:rPr>
      </w:pPr>
      <w:r w:rsidRPr="002C25C6">
        <w:rPr>
          <w:rFonts w:ascii="Kunstler Script" w:hAnsi="Kunstler Script"/>
          <w:sz w:val="72"/>
          <w:szCs w:val="72"/>
          <w:lang w:val="ru-RU"/>
        </w:rPr>
        <w:t>Corte dei conti</w:t>
      </w:r>
    </w:p>
    <w:p w:rsidR="00542F98" w:rsidRPr="002C25C6" w:rsidRDefault="00542F98" w:rsidP="00542F98">
      <w:pPr>
        <w:jc w:val="center"/>
        <w:rPr>
          <w:lang w:val="ru-RU"/>
        </w:rPr>
      </w:pPr>
      <w:r w:rsidRPr="002C25C6">
        <w:rPr>
          <w:lang w:val="ru-RU"/>
        </w:rPr>
        <w:t>Государственная счетная палата Италии</w:t>
      </w:r>
    </w:p>
    <w:p w:rsidR="00542F98" w:rsidRPr="002C25C6" w:rsidRDefault="00542F98" w:rsidP="005507BB">
      <w:pPr>
        <w:spacing w:before="4000"/>
        <w:jc w:val="center"/>
        <w:rPr>
          <w:sz w:val="26"/>
          <w:szCs w:val="26"/>
          <w:lang w:val="ru-RU"/>
        </w:rPr>
      </w:pPr>
      <w:r w:rsidRPr="002C25C6">
        <w:rPr>
          <w:sz w:val="26"/>
          <w:szCs w:val="26"/>
          <w:lang w:val="ru-RU"/>
        </w:rPr>
        <w:t>ОТЧЕТ ВНЕШНЕГО АУДИТОРА</w:t>
      </w:r>
    </w:p>
    <w:bookmarkEnd w:id="31"/>
    <w:bookmarkEnd w:id="32"/>
    <w:bookmarkEnd w:id="33"/>
    <w:bookmarkEnd w:id="34"/>
    <w:bookmarkEnd w:id="35"/>
    <w:p w:rsidR="00542F98" w:rsidRPr="002C25C6" w:rsidRDefault="00542F98" w:rsidP="00542F98">
      <w:pPr>
        <w:spacing w:before="1440"/>
        <w:jc w:val="center"/>
        <w:rPr>
          <w:b/>
          <w:bCs/>
          <w:sz w:val="26"/>
          <w:szCs w:val="26"/>
          <w:lang w:val="ru-RU"/>
        </w:rPr>
      </w:pPr>
      <w:r w:rsidRPr="002C25C6">
        <w:rPr>
          <w:b/>
          <w:bCs/>
          <w:sz w:val="26"/>
          <w:szCs w:val="26"/>
          <w:lang w:val="ru-RU"/>
        </w:rPr>
        <w:t>МЕЖДУНАРОДНЫЙ СОЮЗ ЭЛЕКТРОСВЯЗИ</w:t>
      </w:r>
      <w:r w:rsidRPr="002C25C6">
        <w:rPr>
          <w:b/>
          <w:bCs/>
          <w:sz w:val="26"/>
          <w:szCs w:val="26"/>
          <w:lang w:val="ru-RU"/>
        </w:rPr>
        <w:br/>
        <w:t>(МСЭ)</w:t>
      </w:r>
    </w:p>
    <w:p w:rsidR="00542F98" w:rsidRPr="002C25C6" w:rsidRDefault="00542F98" w:rsidP="00966394">
      <w:pPr>
        <w:jc w:val="center"/>
        <w:rPr>
          <w:b/>
          <w:bCs/>
          <w:lang w:val="ru-RU"/>
        </w:rPr>
      </w:pPr>
      <w:r w:rsidRPr="002C25C6">
        <w:rPr>
          <w:b/>
          <w:bCs/>
          <w:lang w:val="ru-RU"/>
        </w:rPr>
        <w:t>Аудиторская проверка финансовой отчетности за 201</w:t>
      </w:r>
      <w:r w:rsidR="00966394" w:rsidRPr="002C25C6">
        <w:rPr>
          <w:b/>
          <w:bCs/>
          <w:lang w:val="ru-RU"/>
        </w:rPr>
        <w:t>6</w:t>
      </w:r>
      <w:r w:rsidRPr="002C25C6">
        <w:rPr>
          <w:b/>
          <w:bCs/>
          <w:lang w:val="ru-RU"/>
        </w:rPr>
        <w:t xml:space="preserve"> год</w:t>
      </w:r>
    </w:p>
    <w:p w:rsidR="00542F98" w:rsidRPr="002C25C6" w:rsidRDefault="00542F98" w:rsidP="005507BB">
      <w:pPr>
        <w:spacing w:before="4200"/>
        <w:jc w:val="center"/>
        <w:rPr>
          <w:lang w:val="ru-RU"/>
        </w:rPr>
      </w:pPr>
      <w:r w:rsidRPr="002C25C6">
        <w:rPr>
          <w:lang w:val="ru-RU"/>
        </w:rPr>
        <w:t>1</w:t>
      </w:r>
      <w:r w:rsidR="00966394" w:rsidRPr="002C25C6">
        <w:rPr>
          <w:lang w:val="ru-RU"/>
        </w:rPr>
        <w:t>0</w:t>
      </w:r>
      <w:r w:rsidRPr="002C25C6">
        <w:rPr>
          <w:lang w:val="ru-RU"/>
        </w:rPr>
        <w:t xml:space="preserve"> мая 201</w:t>
      </w:r>
      <w:r w:rsidR="00966394" w:rsidRPr="002C25C6">
        <w:rPr>
          <w:lang w:val="ru-RU"/>
        </w:rPr>
        <w:t>7</w:t>
      </w:r>
      <w:r w:rsidRPr="002C25C6">
        <w:rPr>
          <w:lang w:val="ru-RU"/>
        </w:rPr>
        <w:t xml:space="preserve"> года</w:t>
      </w:r>
      <w:r w:rsidRPr="002C25C6">
        <w:rPr>
          <w:lang w:val="ru-RU"/>
        </w:rPr>
        <w:br w:type="page"/>
      </w:r>
    </w:p>
    <w:p w:rsidR="00542F98" w:rsidRPr="002C25C6" w:rsidRDefault="00542F98" w:rsidP="00542F98">
      <w:pPr>
        <w:tabs>
          <w:tab w:val="clear" w:pos="794"/>
          <w:tab w:val="clear" w:pos="1191"/>
          <w:tab w:val="clear" w:pos="1588"/>
          <w:tab w:val="clear" w:pos="1985"/>
        </w:tabs>
        <w:overflowPunct/>
        <w:autoSpaceDE/>
        <w:autoSpaceDN/>
        <w:adjustRightInd/>
        <w:spacing w:before="0"/>
        <w:jc w:val="center"/>
        <w:textAlignment w:val="auto"/>
        <w:rPr>
          <w:szCs w:val="22"/>
          <w:lang w:val="ru-RU"/>
        </w:rPr>
      </w:pPr>
      <w:r w:rsidRPr="002C25C6">
        <w:rPr>
          <w:szCs w:val="22"/>
          <w:lang w:val="ru-RU"/>
        </w:rPr>
        <w:lastRenderedPageBreak/>
        <w:t>СОДЕРЖАНИЕ</w:t>
      </w:r>
    </w:p>
    <w:p w:rsidR="00542F98" w:rsidRPr="002C25C6" w:rsidRDefault="00542F98" w:rsidP="00542F98">
      <w:pPr>
        <w:tabs>
          <w:tab w:val="clear" w:pos="794"/>
          <w:tab w:val="clear" w:pos="1191"/>
          <w:tab w:val="clear" w:pos="1588"/>
          <w:tab w:val="clear" w:pos="1985"/>
        </w:tabs>
        <w:overflowPunct/>
        <w:autoSpaceDE/>
        <w:autoSpaceDN/>
        <w:adjustRightInd/>
        <w:jc w:val="right"/>
        <w:textAlignment w:val="auto"/>
        <w:rPr>
          <w:lang w:val="ru-RU"/>
        </w:rPr>
      </w:pPr>
      <w:r w:rsidRPr="002C25C6">
        <w:rPr>
          <w:b/>
          <w:bCs/>
          <w:lang w:val="ru-RU"/>
        </w:rPr>
        <w:t>Стр</w:t>
      </w:r>
      <w:r w:rsidRPr="002C25C6">
        <w:rPr>
          <w:lang w:val="ru-RU"/>
        </w:rPr>
        <w:t>.</w:t>
      </w:r>
    </w:p>
    <w:p w:rsidR="009B24B2" w:rsidRPr="009B24B2" w:rsidRDefault="00C75987"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b/>
          <w:bCs/>
          <w:noProof/>
          <w:szCs w:val="22"/>
          <w:lang w:eastAsia="zh-CN"/>
        </w:rPr>
      </w:pPr>
      <w:r w:rsidRPr="002C25C6">
        <w:rPr>
          <w:lang w:val="ru-RU"/>
        </w:rPr>
        <w:fldChar w:fldCharType="begin"/>
      </w:r>
      <w:r w:rsidRPr="002C25C6">
        <w:rPr>
          <w:lang w:val="ru-RU"/>
        </w:rPr>
        <w:instrText xml:space="preserve"> TOC \o "1-1" \h \z \t "Heading_b,1,Annex_No,1,Annex_title,1,Heading_i,1" </w:instrText>
      </w:r>
      <w:r w:rsidRPr="002C25C6">
        <w:rPr>
          <w:lang w:val="ru-RU"/>
        </w:rPr>
        <w:fldChar w:fldCharType="separate"/>
      </w:r>
      <w:hyperlink w:anchor="_Toc482995155" w:history="1">
        <w:r w:rsidR="009B24B2" w:rsidRPr="009B24B2">
          <w:rPr>
            <w:rStyle w:val="Hyperlink"/>
            <w:b/>
            <w:bCs/>
            <w:noProof/>
            <w:lang w:val="ru-RU"/>
          </w:rPr>
          <w:t>ВВЕДЕНИЕ</w:t>
        </w:r>
        <w:r w:rsidR="009B24B2" w:rsidRPr="009B24B2">
          <w:rPr>
            <w:b/>
            <w:bCs/>
            <w:noProof/>
            <w:webHidden/>
          </w:rPr>
          <w:tab/>
        </w:r>
        <w:r w:rsidR="00787EAC">
          <w:rPr>
            <w:b/>
            <w:bCs/>
            <w:noProof/>
            <w:webHidden/>
          </w:rPr>
          <w:tab/>
        </w:r>
        <w:r w:rsidR="009B24B2" w:rsidRPr="009B24B2">
          <w:rPr>
            <w:b/>
            <w:bCs/>
            <w:noProof/>
            <w:webHidden/>
          </w:rPr>
          <w:fldChar w:fldCharType="begin"/>
        </w:r>
        <w:r w:rsidR="009B24B2" w:rsidRPr="009B24B2">
          <w:rPr>
            <w:b/>
            <w:bCs/>
            <w:noProof/>
            <w:webHidden/>
          </w:rPr>
          <w:instrText xml:space="preserve"> PAGEREF _Toc482995155 \h </w:instrText>
        </w:r>
        <w:r w:rsidR="009B24B2" w:rsidRPr="009B24B2">
          <w:rPr>
            <w:b/>
            <w:bCs/>
            <w:noProof/>
            <w:webHidden/>
          </w:rPr>
        </w:r>
        <w:r w:rsidR="009B24B2" w:rsidRPr="009B24B2">
          <w:rPr>
            <w:b/>
            <w:bCs/>
            <w:noProof/>
            <w:webHidden/>
          </w:rPr>
          <w:fldChar w:fldCharType="separate"/>
        </w:r>
        <w:r w:rsidR="009B24B2" w:rsidRPr="009B24B2">
          <w:rPr>
            <w:b/>
            <w:bCs/>
            <w:noProof/>
            <w:webHidden/>
          </w:rPr>
          <w:t>6</w:t>
        </w:r>
        <w:r w:rsidR="009B24B2" w:rsidRPr="009B24B2">
          <w:rPr>
            <w:b/>
            <w:bCs/>
            <w:noProof/>
            <w:webHidden/>
          </w:rPr>
          <w:fldChar w:fldCharType="end"/>
        </w:r>
      </w:hyperlink>
    </w:p>
    <w:p w:rsidR="009B24B2" w:rsidRP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b/>
          <w:bCs/>
          <w:noProof/>
          <w:szCs w:val="22"/>
          <w:lang w:eastAsia="zh-CN"/>
        </w:rPr>
      </w:pPr>
      <w:hyperlink w:anchor="_Toc482995156" w:history="1">
        <w:r w:rsidRPr="009B24B2">
          <w:rPr>
            <w:rStyle w:val="Hyperlink"/>
            <w:b/>
            <w:bCs/>
            <w:noProof/>
            <w:lang w:val="ru-RU"/>
          </w:rPr>
          <w:t>АУДИТОРСКОЕ ЗАКЛЮЧЕНИЕ</w:t>
        </w:r>
        <w:r w:rsidRPr="009B24B2">
          <w:rPr>
            <w:b/>
            <w:bCs/>
            <w:noProof/>
            <w:webHidden/>
          </w:rPr>
          <w:tab/>
        </w:r>
        <w:r w:rsidR="00787EAC">
          <w:rPr>
            <w:b/>
            <w:bCs/>
            <w:noProof/>
            <w:webHidden/>
          </w:rPr>
          <w:tab/>
        </w:r>
        <w:r w:rsidRPr="009B24B2">
          <w:rPr>
            <w:b/>
            <w:bCs/>
            <w:noProof/>
            <w:webHidden/>
          </w:rPr>
          <w:fldChar w:fldCharType="begin"/>
        </w:r>
        <w:r w:rsidRPr="009B24B2">
          <w:rPr>
            <w:b/>
            <w:bCs/>
            <w:noProof/>
            <w:webHidden/>
          </w:rPr>
          <w:instrText xml:space="preserve"> PAGEREF _Toc482995156 \h </w:instrText>
        </w:r>
        <w:r w:rsidRPr="009B24B2">
          <w:rPr>
            <w:b/>
            <w:bCs/>
            <w:noProof/>
            <w:webHidden/>
          </w:rPr>
        </w:r>
        <w:r w:rsidRPr="009B24B2">
          <w:rPr>
            <w:b/>
            <w:bCs/>
            <w:noProof/>
            <w:webHidden/>
          </w:rPr>
          <w:fldChar w:fldCharType="separate"/>
        </w:r>
        <w:r w:rsidRPr="009B24B2">
          <w:rPr>
            <w:b/>
            <w:bCs/>
            <w:noProof/>
            <w:webHidden/>
          </w:rPr>
          <w:t>8</w:t>
        </w:r>
        <w:r w:rsidRPr="009B24B2">
          <w:rPr>
            <w:b/>
            <w:bCs/>
            <w:noProof/>
            <w:webHidden/>
          </w:rPr>
          <w:fldChar w:fldCharType="end"/>
        </w:r>
      </w:hyperlink>
    </w:p>
    <w:p w:rsidR="009B24B2" w:rsidRP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b/>
          <w:bCs/>
          <w:noProof/>
          <w:szCs w:val="22"/>
          <w:lang w:eastAsia="zh-CN"/>
        </w:rPr>
      </w:pPr>
      <w:hyperlink w:anchor="_Toc482995164" w:history="1">
        <w:r w:rsidRPr="009B24B2">
          <w:rPr>
            <w:rStyle w:val="Hyperlink"/>
            <w:b/>
            <w:bCs/>
            <w:noProof/>
            <w:lang w:val="ru-RU"/>
          </w:rPr>
          <w:t>СТРУКТУРА БУХГАЛТЕРСКОЙ ОТЧЕТНОСТИ</w:t>
        </w:r>
        <w:r w:rsidRPr="009B24B2">
          <w:rPr>
            <w:b/>
            <w:bCs/>
            <w:noProof/>
            <w:webHidden/>
          </w:rPr>
          <w:tab/>
        </w:r>
        <w:r w:rsidR="00787EAC">
          <w:rPr>
            <w:b/>
            <w:bCs/>
            <w:noProof/>
            <w:webHidden/>
          </w:rPr>
          <w:tab/>
        </w:r>
        <w:r w:rsidRPr="009B24B2">
          <w:rPr>
            <w:b/>
            <w:bCs/>
            <w:noProof/>
            <w:webHidden/>
          </w:rPr>
          <w:fldChar w:fldCharType="begin"/>
        </w:r>
        <w:r w:rsidRPr="009B24B2">
          <w:rPr>
            <w:b/>
            <w:bCs/>
            <w:noProof/>
            <w:webHidden/>
          </w:rPr>
          <w:instrText xml:space="preserve"> PAGEREF _Toc482995164 \h </w:instrText>
        </w:r>
        <w:r w:rsidRPr="009B24B2">
          <w:rPr>
            <w:b/>
            <w:bCs/>
            <w:noProof/>
            <w:webHidden/>
          </w:rPr>
        </w:r>
        <w:r w:rsidRPr="009B24B2">
          <w:rPr>
            <w:b/>
            <w:bCs/>
            <w:noProof/>
            <w:webHidden/>
          </w:rPr>
          <w:fldChar w:fldCharType="separate"/>
        </w:r>
        <w:r w:rsidRPr="009B24B2">
          <w:rPr>
            <w:b/>
            <w:bCs/>
            <w:noProof/>
            <w:webHidden/>
          </w:rPr>
          <w:t>11</w:t>
        </w:r>
        <w:r w:rsidRPr="009B24B2">
          <w:rPr>
            <w:b/>
            <w:bCs/>
            <w:noProof/>
            <w:webHidden/>
          </w:rPr>
          <w:fldChar w:fldCharType="end"/>
        </w:r>
      </w:hyperlink>
    </w:p>
    <w:p w:rsidR="009B24B2" w:rsidRP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b/>
          <w:bCs/>
          <w:noProof/>
          <w:szCs w:val="22"/>
          <w:lang w:eastAsia="zh-CN"/>
        </w:rPr>
      </w:pPr>
      <w:hyperlink w:anchor="_Toc482995165" w:history="1">
        <w:r w:rsidRPr="009B24B2">
          <w:rPr>
            <w:rStyle w:val="Hyperlink"/>
            <w:b/>
            <w:bCs/>
            <w:noProof/>
            <w:lang w:val="ru-RU"/>
          </w:rPr>
          <w:t>ОТЧЕТ О ФИНАНСОВОМ ПОЛОЖЕНИИ ЗА 2016 ГОД</w:t>
        </w:r>
        <w:r w:rsidRPr="009B24B2">
          <w:rPr>
            <w:b/>
            <w:bCs/>
            <w:noProof/>
            <w:webHidden/>
          </w:rPr>
          <w:tab/>
        </w:r>
        <w:r w:rsidR="00787EAC">
          <w:rPr>
            <w:b/>
            <w:bCs/>
            <w:noProof/>
            <w:webHidden/>
          </w:rPr>
          <w:tab/>
        </w:r>
        <w:r w:rsidRPr="009B24B2">
          <w:rPr>
            <w:b/>
            <w:bCs/>
            <w:noProof/>
            <w:webHidden/>
          </w:rPr>
          <w:fldChar w:fldCharType="begin"/>
        </w:r>
        <w:r w:rsidRPr="009B24B2">
          <w:rPr>
            <w:b/>
            <w:bCs/>
            <w:noProof/>
            <w:webHidden/>
          </w:rPr>
          <w:instrText xml:space="preserve"> PAGEREF _Toc482995165 \h </w:instrText>
        </w:r>
        <w:r w:rsidRPr="009B24B2">
          <w:rPr>
            <w:b/>
            <w:bCs/>
            <w:noProof/>
            <w:webHidden/>
          </w:rPr>
        </w:r>
        <w:r w:rsidRPr="009B24B2">
          <w:rPr>
            <w:b/>
            <w:bCs/>
            <w:noProof/>
            <w:webHidden/>
          </w:rPr>
          <w:fldChar w:fldCharType="separate"/>
        </w:r>
        <w:r w:rsidRPr="009B24B2">
          <w:rPr>
            <w:b/>
            <w:bCs/>
            <w:noProof/>
            <w:webHidden/>
          </w:rPr>
          <w:t>11</w:t>
        </w:r>
        <w:r w:rsidRPr="009B24B2">
          <w:rPr>
            <w:b/>
            <w:bCs/>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66" w:history="1">
        <w:r w:rsidRPr="00C545EC">
          <w:rPr>
            <w:rStyle w:val="Hyperlink"/>
            <w:noProof/>
            <w:lang w:val="ru-RU"/>
          </w:rPr>
          <w:t>АКТИВЫ</w:t>
        </w:r>
        <w:r>
          <w:rPr>
            <w:noProof/>
            <w:webHidden/>
          </w:rPr>
          <w:tab/>
        </w:r>
        <w:r w:rsidR="00787EAC">
          <w:rPr>
            <w:noProof/>
            <w:webHidden/>
          </w:rPr>
          <w:tab/>
        </w:r>
        <w:r>
          <w:rPr>
            <w:noProof/>
            <w:webHidden/>
          </w:rPr>
          <w:fldChar w:fldCharType="begin"/>
        </w:r>
        <w:r>
          <w:rPr>
            <w:noProof/>
            <w:webHidden/>
          </w:rPr>
          <w:instrText xml:space="preserve"> PAGEREF _Toc482995166 \h </w:instrText>
        </w:r>
        <w:r>
          <w:rPr>
            <w:noProof/>
            <w:webHidden/>
          </w:rPr>
        </w:r>
        <w:r>
          <w:rPr>
            <w:noProof/>
            <w:webHidden/>
          </w:rPr>
          <w:fldChar w:fldCharType="separate"/>
        </w:r>
        <w:r>
          <w:rPr>
            <w:noProof/>
            <w:webHidden/>
          </w:rPr>
          <w:t>11</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67" w:history="1">
        <w:r w:rsidRPr="00C545EC">
          <w:rPr>
            <w:rStyle w:val="Hyperlink"/>
            <w:noProof/>
            <w:lang w:val="ru-RU"/>
          </w:rPr>
          <w:t>Текущие активы</w:t>
        </w:r>
        <w:r>
          <w:rPr>
            <w:noProof/>
            <w:webHidden/>
          </w:rPr>
          <w:tab/>
        </w:r>
        <w:r w:rsidR="00787EAC">
          <w:rPr>
            <w:noProof/>
            <w:webHidden/>
          </w:rPr>
          <w:tab/>
        </w:r>
        <w:r>
          <w:rPr>
            <w:noProof/>
            <w:webHidden/>
          </w:rPr>
          <w:fldChar w:fldCharType="begin"/>
        </w:r>
        <w:r>
          <w:rPr>
            <w:noProof/>
            <w:webHidden/>
          </w:rPr>
          <w:instrText xml:space="preserve"> PAGEREF _Toc482995167 \h </w:instrText>
        </w:r>
        <w:r>
          <w:rPr>
            <w:noProof/>
            <w:webHidden/>
          </w:rPr>
        </w:r>
        <w:r>
          <w:rPr>
            <w:noProof/>
            <w:webHidden/>
          </w:rPr>
          <w:fldChar w:fldCharType="separate"/>
        </w:r>
        <w:r>
          <w:rPr>
            <w:noProof/>
            <w:webHidden/>
          </w:rPr>
          <w:t>11</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68" w:history="1">
        <w:r w:rsidRPr="00C545EC">
          <w:rPr>
            <w:rStyle w:val="Hyperlink"/>
            <w:noProof/>
            <w:lang w:val="ru-RU"/>
          </w:rPr>
          <w:t>Денежные средства и эквиваленты денежных средств</w:t>
        </w:r>
        <w:r>
          <w:rPr>
            <w:noProof/>
            <w:webHidden/>
          </w:rPr>
          <w:tab/>
        </w:r>
        <w:r w:rsidR="00787EAC">
          <w:rPr>
            <w:noProof/>
            <w:webHidden/>
          </w:rPr>
          <w:tab/>
        </w:r>
        <w:r>
          <w:rPr>
            <w:noProof/>
            <w:webHidden/>
          </w:rPr>
          <w:fldChar w:fldCharType="begin"/>
        </w:r>
        <w:r>
          <w:rPr>
            <w:noProof/>
            <w:webHidden/>
          </w:rPr>
          <w:instrText xml:space="preserve"> PAGEREF _Toc482995168 \h </w:instrText>
        </w:r>
        <w:r>
          <w:rPr>
            <w:noProof/>
            <w:webHidden/>
          </w:rPr>
        </w:r>
        <w:r>
          <w:rPr>
            <w:noProof/>
            <w:webHidden/>
          </w:rPr>
          <w:fldChar w:fldCharType="separate"/>
        </w:r>
        <w:r>
          <w:rPr>
            <w:noProof/>
            <w:webHidden/>
          </w:rPr>
          <w:t>12</w:t>
        </w:r>
        <w:r>
          <w:rPr>
            <w:noProof/>
            <w:webHidden/>
          </w:rPr>
          <w:fldChar w:fldCharType="end"/>
        </w:r>
      </w:hyperlink>
    </w:p>
    <w:p w:rsidR="009B24B2" w:rsidRP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i/>
          <w:iCs/>
          <w:noProof/>
          <w:szCs w:val="22"/>
          <w:lang w:eastAsia="zh-CN"/>
        </w:rPr>
      </w:pPr>
      <w:hyperlink w:anchor="_Toc482995169" w:history="1">
        <w:r w:rsidRPr="009B24B2">
          <w:rPr>
            <w:rStyle w:val="Hyperlink"/>
            <w:i/>
            <w:iCs/>
            <w:noProof/>
            <w:lang w:val="ru-RU"/>
          </w:rPr>
          <w:t>Обновление списка разрешенных подписей в банках</w:t>
        </w:r>
        <w:r w:rsidRPr="009B24B2">
          <w:rPr>
            <w:i/>
            <w:iCs/>
            <w:noProof/>
            <w:webHidden/>
          </w:rPr>
          <w:tab/>
        </w:r>
        <w:r w:rsidR="00787EAC">
          <w:rPr>
            <w:i/>
            <w:iCs/>
            <w:noProof/>
            <w:webHidden/>
          </w:rPr>
          <w:tab/>
        </w:r>
        <w:r w:rsidRPr="009B24B2">
          <w:rPr>
            <w:i/>
            <w:iCs/>
            <w:noProof/>
            <w:webHidden/>
          </w:rPr>
          <w:fldChar w:fldCharType="begin"/>
        </w:r>
        <w:r w:rsidRPr="009B24B2">
          <w:rPr>
            <w:i/>
            <w:iCs/>
            <w:noProof/>
            <w:webHidden/>
          </w:rPr>
          <w:instrText xml:space="preserve"> PAGEREF _Toc482995169 \h </w:instrText>
        </w:r>
        <w:r w:rsidRPr="009B24B2">
          <w:rPr>
            <w:i/>
            <w:iCs/>
            <w:noProof/>
            <w:webHidden/>
          </w:rPr>
        </w:r>
        <w:r w:rsidRPr="009B24B2">
          <w:rPr>
            <w:i/>
            <w:iCs/>
            <w:noProof/>
            <w:webHidden/>
          </w:rPr>
          <w:fldChar w:fldCharType="separate"/>
        </w:r>
        <w:r w:rsidRPr="009B24B2">
          <w:rPr>
            <w:i/>
            <w:iCs/>
            <w:noProof/>
            <w:webHidden/>
          </w:rPr>
          <w:t>12</w:t>
        </w:r>
        <w:r w:rsidRPr="009B24B2">
          <w:rPr>
            <w:i/>
            <w:iCs/>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70" w:history="1">
        <w:r w:rsidRPr="00C545EC">
          <w:rPr>
            <w:rStyle w:val="Hyperlink"/>
            <w:noProof/>
            <w:lang w:val="ru-RU"/>
          </w:rPr>
          <w:t>Вклады</w:t>
        </w:r>
        <w:r>
          <w:rPr>
            <w:noProof/>
            <w:webHidden/>
          </w:rPr>
          <w:tab/>
        </w:r>
        <w:r w:rsidR="00787EAC">
          <w:rPr>
            <w:noProof/>
            <w:webHidden/>
          </w:rPr>
          <w:tab/>
        </w:r>
        <w:r>
          <w:rPr>
            <w:noProof/>
            <w:webHidden/>
          </w:rPr>
          <w:fldChar w:fldCharType="begin"/>
        </w:r>
        <w:r>
          <w:rPr>
            <w:noProof/>
            <w:webHidden/>
          </w:rPr>
          <w:instrText xml:space="preserve"> PAGEREF _Toc482995170 \h </w:instrText>
        </w:r>
        <w:r>
          <w:rPr>
            <w:noProof/>
            <w:webHidden/>
          </w:rPr>
        </w:r>
        <w:r>
          <w:rPr>
            <w:noProof/>
            <w:webHidden/>
          </w:rPr>
          <w:fldChar w:fldCharType="separate"/>
        </w:r>
        <w:r>
          <w:rPr>
            <w:noProof/>
            <w:webHidden/>
          </w:rPr>
          <w:t>12</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71" w:history="1">
        <w:r w:rsidRPr="00C545EC">
          <w:rPr>
            <w:rStyle w:val="Hyperlink"/>
            <w:noProof/>
            <w:lang w:val="ru-RU"/>
          </w:rPr>
          <w:t>Долговые обязательства</w:t>
        </w:r>
        <w:r>
          <w:rPr>
            <w:noProof/>
            <w:webHidden/>
          </w:rPr>
          <w:tab/>
        </w:r>
        <w:r w:rsidR="00787EAC">
          <w:rPr>
            <w:noProof/>
            <w:webHidden/>
          </w:rPr>
          <w:tab/>
        </w:r>
        <w:r>
          <w:rPr>
            <w:noProof/>
            <w:webHidden/>
          </w:rPr>
          <w:fldChar w:fldCharType="begin"/>
        </w:r>
        <w:r>
          <w:rPr>
            <w:noProof/>
            <w:webHidden/>
          </w:rPr>
          <w:instrText xml:space="preserve"> PAGEREF _Toc482995171 \h </w:instrText>
        </w:r>
        <w:r>
          <w:rPr>
            <w:noProof/>
            <w:webHidden/>
          </w:rPr>
        </w:r>
        <w:r>
          <w:rPr>
            <w:noProof/>
            <w:webHidden/>
          </w:rPr>
          <w:fldChar w:fldCharType="separate"/>
        </w:r>
        <w:r>
          <w:rPr>
            <w:noProof/>
            <w:webHidden/>
          </w:rPr>
          <w:t>12</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72" w:history="1">
        <w:r w:rsidRPr="00C545EC">
          <w:rPr>
            <w:rStyle w:val="Hyperlink"/>
            <w:noProof/>
            <w:lang w:val="ru-RU"/>
          </w:rPr>
          <w:t>Прочие текущие долговые обязательства</w:t>
        </w:r>
        <w:r>
          <w:rPr>
            <w:noProof/>
            <w:webHidden/>
          </w:rPr>
          <w:tab/>
        </w:r>
        <w:r w:rsidR="00787EAC">
          <w:rPr>
            <w:noProof/>
            <w:webHidden/>
          </w:rPr>
          <w:tab/>
        </w:r>
        <w:r>
          <w:rPr>
            <w:noProof/>
            <w:webHidden/>
          </w:rPr>
          <w:fldChar w:fldCharType="begin"/>
        </w:r>
        <w:r>
          <w:rPr>
            <w:noProof/>
            <w:webHidden/>
          </w:rPr>
          <w:instrText xml:space="preserve"> PAGEREF _Toc482995172 \h </w:instrText>
        </w:r>
        <w:r>
          <w:rPr>
            <w:noProof/>
            <w:webHidden/>
          </w:rPr>
        </w:r>
        <w:r>
          <w:rPr>
            <w:noProof/>
            <w:webHidden/>
          </w:rPr>
          <w:fldChar w:fldCharType="separate"/>
        </w:r>
        <w:r>
          <w:rPr>
            <w:noProof/>
            <w:webHidden/>
          </w:rPr>
          <w:t>13</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73" w:history="1">
        <w:r w:rsidRPr="00C545EC">
          <w:rPr>
            <w:rStyle w:val="Hyperlink"/>
            <w:noProof/>
            <w:lang w:val="ru-RU"/>
          </w:rPr>
          <w:t>Запасы</w:t>
        </w:r>
        <w:r>
          <w:rPr>
            <w:noProof/>
            <w:webHidden/>
          </w:rPr>
          <w:tab/>
        </w:r>
        <w:r w:rsidR="00787EAC">
          <w:rPr>
            <w:noProof/>
            <w:webHidden/>
          </w:rPr>
          <w:tab/>
        </w:r>
        <w:r>
          <w:rPr>
            <w:noProof/>
            <w:webHidden/>
          </w:rPr>
          <w:fldChar w:fldCharType="begin"/>
        </w:r>
        <w:r>
          <w:rPr>
            <w:noProof/>
            <w:webHidden/>
          </w:rPr>
          <w:instrText xml:space="preserve"> PAGEREF _Toc482995173 \h </w:instrText>
        </w:r>
        <w:r>
          <w:rPr>
            <w:noProof/>
            <w:webHidden/>
          </w:rPr>
        </w:r>
        <w:r>
          <w:rPr>
            <w:noProof/>
            <w:webHidden/>
          </w:rPr>
          <w:fldChar w:fldCharType="separate"/>
        </w:r>
        <w:r>
          <w:rPr>
            <w:noProof/>
            <w:webHidden/>
          </w:rPr>
          <w:t>13</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74" w:history="1">
        <w:r w:rsidRPr="00C545EC">
          <w:rPr>
            <w:rStyle w:val="Hyperlink"/>
            <w:noProof/>
            <w:lang w:val="ru-RU"/>
          </w:rPr>
          <w:t>Нетекущие активы</w:t>
        </w:r>
        <w:r>
          <w:rPr>
            <w:noProof/>
            <w:webHidden/>
          </w:rPr>
          <w:tab/>
        </w:r>
        <w:r w:rsidR="00787EAC">
          <w:rPr>
            <w:noProof/>
            <w:webHidden/>
          </w:rPr>
          <w:tab/>
        </w:r>
        <w:r>
          <w:rPr>
            <w:noProof/>
            <w:webHidden/>
          </w:rPr>
          <w:fldChar w:fldCharType="begin"/>
        </w:r>
        <w:r>
          <w:rPr>
            <w:noProof/>
            <w:webHidden/>
          </w:rPr>
          <w:instrText xml:space="preserve"> PAGEREF _Toc482995174 \h </w:instrText>
        </w:r>
        <w:r>
          <w:rPr>
            <w:noProof/>
            <w:webHidden/>
          </w:rPr>
        </w:r>
        <w:r>
          <w:rPr>
            <w:noProof/>
            <w:webHidden/>
          </w:rPr>
          <w:fldChar w:fldCharType="separate"/>
        </w:r>
        <w:r>
          <w:rPr>
            <w:noProof/>
            <w:webHidden/>
          </w:rPr>
          <w:t>13</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75" w:history="1">
        <w:r w:rsidRPr="00C545EC">
          <w:rPr>
            <w:rStyle w:val="Hyperlink"/>
            <w:noProof/>
            <w:lang w:val="ru-RU"/>
          </w:rPr>
          <w:t>Материальные активы</w:t>
        </w:r>
        <w:r>
          <w:rPr>
            <w:noProof/>
            <w:webHidden/>
          </w:rPr>
          <w:tab/>
        </w:r>
        <w:r w:rsidR="00787EAC">
          <w:rPr>
            <w:noProof/>
            <w:webHidden/>
          </w:rPr>
          <w:tab/>
        </w:r>
        <w:r>
          <w:rPr>
            <w:noProof/>
            <w:webHidden/>
          </w:rPr>
          <w:fldChar w:fldCharType="begin"/>
        </w:r>
        <w:r>
          <w:rPr>
            <w:noProof/>
            <w:webHidden/>
          </w:rPr>
          <w:instrText xml:space="preserve"> PAGEREF _Toc482995175 \h </w:instrText>
        </w:r>
        <w:r>
          <w:rPr>
            <w:noProof/>
            <w:webHidden/>
          </w:rPr>
        </w:r>
        <w:r>
          <w:rPr>
            <w:noProof/>
            <w:webHidden/>
          </w:rPr>
          <w:fldChar w:fldCharType="separate"/>
        </w:r>
        <w:r>
          <w:rPr>
            <w:noProof/>
            <w:webHidden/>
          </w:rPr>
          <w:t>13</w:t>
        </w:r>
        <w:r>
          <w:rPr>
            <w:noProof/>
            <w:webHidden/>
          </w:rPr>
          <w:fldChar w:fldCharType="end"/>
        </w:r>
      </w:hyperlink>
    </w:p>
    <w:p w:rsidR="009B24B2" w:rsidRPr="00787EAC" w:rsidRDefault="009B24B2" w:rsidP="00787EAC">
      <w:pPr>
        <w:pStyle w:val="TOC1"/>
        <w:tabs>
          <w:tab w:val="clear" w:pos="7938"/>
          <w:tab w:val="left" w:leader="dot" w:pos="8789"/>
          <w:tab w:val="right" w:pos="9639"/>
        </w:tabs>
        <w:spacing w:before="120"/>
        <w:ind w:left="0" w:right="851" w:firstLine="0"/>
        <w:rPr>
          <w:rStyle w:val="Hyperlink"/>
          <w:color w:val="auto"/>
          <w:lang w:val="ru-RU"/>
        </w:rPr>
      </w:pPr>
      <w:hyperlink w:anchor="_Toc482995176" w:history="1">
        <w:r w:rsidRPr="00787EAC">
          <w:rPr>
            <w:rStyle w:val="Hyperlink"/>
            <w:noProof/>
            <w:color w:val="auto"/>
            <w:lang w:val="ru-RU"/>
          </w:rPr>
          <w:t>Реестр активов</w:t>
        </w:r>
        <w:r w:rsidRPr="00787EAC">
          <w:rPr>
            <w:rStyle w:val="Hyperlink"/>
            <w:webHidden/>
            <w:color w:val="auto"/>
            <w:lang w:val="ru-RU"/>
          </w:rPr>
          <w:tab/>
        </w:r>
        <w:r w:rsidR="00787EAC" w:rsidRPr="00787EAC">
          <w:rPr>
            <w:rStyle w:val="Hyperlink"/>
            <w:webHidden/>
            <w:color w:val="auto"/>
            <w:lang w:val="ru-RU"/>
          </w:rPr>
          <w:tab/>
        </w:r>
        <w:r w:rsidRPr="00787EAC">
          <w:rPr>
            <w:rStyle w:val="Hyperlink"/>
            <w:webHidden/>
            <w:color w:val="auto"/>
            <w:lang w:val="ru-RU"/>
          </w:rPr>
          <w:fldChar w:fldCharType="begin"/>
        </w:r>
        <w:r w:rsidRPr="00787EAC">
          <w:rPr>
            <w:rStyle w:val="Hyperlink"/>
            <w:webHidden/>
            <w:color w:val="auto"/>
            <w:lang w:val="ru-RU"/>
          </w:rPr>
          <w:instrText xml:space="preserve"> PAGEREF _Toc482995176 \h </w:instrText>
        </w:r>
        <w:r w:rsidRPr="00787EAC">
          <w:rPr>
            <w:rStyle w:val="Hyperlink"/>
            <w:webHidden/>
            <w:color w:val="auto"/>
            <w:lang w:val="ru-RU"/>
          </w:rPr>
        </w:r>
        <w:r w:rsidRPr="00787EAC">
          <w:rPr>
            <w:rStyle w:val="Hyperlink"/>
            <w:webHidden/>
            <w:color w:val="auto"/>
            <w:lang w:val="ru-RU"/>
          </w:rPr>
          <w:fldChar w:fldCharType="separate"/>
        </w:r>
        <w:r w:rsidRPr="00787EAC">
          <w:rPr>
            <w:rStyle w:val="Hyperlink"/>
            <w:webHidden/>
            <w:color w:val="auto"/>
            <w:lang w:val="ru-RU"/>
          </w:rPr>
          <w:t>14</w:t>
        </w:r>
        <w:r w:rsidRPr="00787EAC">
          <w:rPr>
            <w:rStyle w:val="Hyperlink"/>
            <w:webHidden/>
            <w:color w:val="auto"/>
            <w:lang w:val="ru-RU"/>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77" w:history="1">
        <w:r w:rsidRPr="00C545EC">
          <w:rPr>
            <w:rStyle w:val="Hyperlink"/>
            <w:noProof/>
            <w:lang w:val="ru-RU"/>
          </w:rPr>
          <w:t>Нематериальные активы</w:t>
        </w:r>
        <w:r>
          <w:rPr>
            <w:noProof/>
            <w:webHidden/>
          </w:rPr>
          <w:tab/>
        </w:r>
        <w:r w:rsidR="00787EAC">
          <w:rPr>
            <w:noProof/>
            <w:webHidden/>
          </w:rPr>
          <w:tab/>
        </w:r>
        <w:r>
          <w:rPr>
            <w:noProof/>
            <w:webHidden/>
          </w:rPr>
          <w:fldChar w:fldCharType="begin"/>
        </w:r>
        <w:r>
          <w:rPr>
            <w:noProof/>
            <w:webHidden/>
          </w:rPr>
          <w:instrText xml:space="preserve"> PAGEREF _Toc482995177 \h </w:instrText>
        </w:r>
        <w:r>
          <w:rPr>
            <w:noProof/>
            <w:webHidden/>
          </w:rPr>
        </w:r>
        <w:r>
          <w:rPr>
            <w:noProof/>
            <w:webHidden/>
          </w:rPr>
          <w:fldChar w:fldCharType="separate"/>
        </w:r>
        <w:r>
          <w:rPr>
            <w:noProof/>
            <w:webHidden/>
          </w:rPr>
          <w:t>14</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78" w:history="1">
        <w:r w:rsidRPr="00C545EC">
          <w:rPr>
            <w:rStyle w:val="Hyperlink"/>
            <w:noProof/>
            <w:lang w:val="ru-RU"/>
          </w:rPr>
          <w:t>ПАССИВЫ</w:t>
        </w:r>
        <w:r>
          <w:rPr>
            <w:noProof/>
            <w:webHidden/>
          </w:rPr>
          <w:tab/>
        </w:r>
        <w:r w:rsidR="00787EAC">
          <w:rPr>
            <w:noProof/>
            <w:webHidden/>
          </w:rPr>
          <w:tab/>
        </w:r>
        <w:r>
          <w:rPr>
            <w:noProof/>
            <w:webHidden/>
          </w:rPr>
          <w:fldChar w:fldCharType="begin"/>
        </w:r>
        <w:r>
          <w:rPr>
            <w:noProof/>
            <w:webHidden/>
          </w:rPr>
          <w:instrText xml:space="preserve"> PAGEREF _Toc482995178 \h </w:instrText>
        </w:r>
        <w:r>
          <w:rPr>
            <w:noProof/>
            <w:webHidden/>
          </w:rPr>
        </w:r>
        <w:r>
          <w:rPr>
            <w:noProof/>
            <w:webHidden/>
          </w:rPr>
          <w:fldChar w:fldCharType="separate"/>
        </w:r>
        <w:r>
          <w:rPr>
            <w:noProof/>
            <w:webHidden/>
          </w:rPr>
          <w:t>15</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79" w:history="1">
        <w:r w:rsidRPr="00C545EC">
          <w:rPr>
            <w:rStyle w:val="Hyperlink"/>
            <w:noProof/>
            <w:lang w:val="ru-RU"/>
          </w:rPr>
          <w:t>Текущие пассивы</w:t>
        </w:r>
        <w:r>
          <w:rPr>
            <w:noProof/>
            <w:webHidden/>
          </w:rPr>
          <w:tab/>
        </w:r>
        <w:r w:rsidR="00787EAC">
          <w:rPr>
            <w:noProof/>
            <w:webHidden/>
          </w:rPr>
          <w:tab/>
        </w:r>
        <w:r>
          <w:rPr>
            <w:noProof/>
            <w:webHidden/>
          </w:rPr>
          <w:fldChar w:fldCharType="begin"/>
        </w:r>
        <w:r>
          <w:rPr>
            <w:noProof/>
            <w:webHidden/>
          </w:rPr>
          <w:instrText xml:space="preserve"> PAGEREF _Toc482995179 \h </w:instrText>
        </w:r>
        <w:r>
          <w:rPr>
            <w:noProof/>
            <w:webHidden/>
          </w:rPr>
        </w:r>
        <w:r>
          <w:rPr>
            <w:noProof/>
            <w:webHidden/>
          </w:rPr>
          <w:fldChar w:fldCharType="separate"/>
        </w:r>
        <w:r>
          <w:rPr>
            <w:noProof/>
            <w:webHidden/>
          </w:rPr>
          <w:t>15</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80" w:history="1">
        <w:r w:rsidRPr="00C545EC">
          <w:rPr>
            <w:rStyle w:val="Hyperlink"/>
            <w:noProof/>
            <w:lang w:val="ru-RU"/>
          </w:rPr>
          <w:t>Поставщики и прочие кредиторы</w:t>
        </w:r>
        <w:r>
          <w:rPr>
            <w:noProof/>
            <w:webHidden/>
          </w:rPr>
          <w:tab/>
        </w:r>
        <w:r w:rsidR="00787EAC">
          <w:rPr>
            <w:noProof/>
            <w:webHidden/>
          </w:rPr>
          <w:tab/>
        </w:r>
        <w:r>
          <w:rPr>
            <w:noProof/>
            <w:webHidden/>
          </w:rPr>
          <w:fldChar w:fldCharType="begin"/>
        </w:r>
        <w:r>
          <w:rPr>
            <w:noProof/>
            <w:webHidden/>
          </w:rPr>
          <w:instrText xml:space="preserve"> PAGEREF _Toc482995180 \h </w:instrText>
        </w:r>
        <w:r>
          <w:rPr>
            <w:noProof/>
            <w:webHidden/>
          </w:rPr>
        </w:r>
        <w:r>
          <w:rPr>
            <w:noProof/>
            <w:webHidden/>
          </w:rPr>
          <w:fldChar w:fldCharType="separate"/>
        </w:r>
        <w:r>
          <w:rPr>
            <w:noProof/>
            <w:webHidden/>
          </w:rPr>
          <w:t>15</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81" w:history="1">
        <w:r w:rsidRPr="00C545EC">
          <w:rPr>
            <w:rStyle w:val="Hyperlink"/>
            <w:noProof/>
            <w:lang w:val="ru-RU"/>
          </w:rPr>
          <w:t>Доходы будущих периодов</w:t>
        </w:r>
        <w:r>
          <w:rPr>
            <w:noProof/>
            <w:webHidden/>
          </w:rPr>
          <w:tab/>
        </w:r>
        <w:r w:rsidR="00787EAC">
          <w:rPr>
            <w:noProof/>
            <w:webHidden/>
          </w:rPr>
          <w:tab/>
        </w:r>
        <w:r>
          <w:rPr>
            <w:noProof/>
            <w:webHidden/>
          </w:rPr>
          <w:fldChar w:fldCharType="begin"/>
        </w:r>
        <w:r>
          <w:rPr>
            <w:noProof/>
            <w:webHidden/>
          </w:rPr>
          <w:instrText xml:space="preserve"> PAGEREF _Toc482995181 \h </w:instrText>
        </w:r>
        <w:r>
          <w:rPr>
            <w:noProof/>
            <w:webHidden/>
          </w:rPr>
        </w:r>
        <w:r>
          <w:rPr>
            <w:noProof/>
            <w:webHidden/>
          </w:rPr>
          <w:fldChar w:fldCharType="separate"/>
        </w:r>
        <w:r>
          <w:rPr>
            <w:noProof/>
            <w:webHidden/>
          </w:rPr>
          <w:t>15</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82" w:history="1">
        <w:r w:rsidRPr="00C545EC">
          <w:rPr>
            <w:rStyle w:val="Hyperlink"/>
            <w:noProof/>
            <w:lang w:val="ru-RU"/>
          </w:rPr>
          <w:t>Резервные фонды</w:t>
        </w:r>
        <w:r>
          <w:rPr>
            <w:noProof/>
            <w:webHidden/>
          </w:rPr>
          <w:tab/>
        </w:r>
        <w:r w:rsidR="00787EAC">
          <w:rPr>
            <w:noProof/>
            <w:webHidden/>
          </w:rPr>
          <w:tab/>
        </w:r>
        <w:r>
          <w:rPr>
            <w:noProof/>
            <w:webHidden/>
          </w:rPr>
          <w:fldChar w:fldCharType="begin"/>
        </w:r>
        <w:r>
          <w:rPr>
            <w:noProof/>
            <w:webHidden/>
          </w:rPr>
          <w:instrText xml:space="preserve"> PAGEREF _Toc482995182 \h </w:instrText>
        </w:r>
        <w:r>
          <w:rPr>
            <w:noProof/>
            <w:webHidden/>
          </w:rPr>
        </w:r>
        <w:r>
          <w:rPr>
            <w:noProof/>
            <w:webHidden/>
          </w:rPr>
          <w:fldChar w:fldCharType="separate"/>
        </w:r>
        <w:r>
          <w:rPr>
            <w:noProof/>
            <w:webHidden/>
          </w:rPr>
          <w:t>15</w:t>
        </w:r>
        <w:r>
          <w:rPr>
            <w:noProof/>
            <w:webHidden/>
          </w:rPr>
          <w:fldChar w:fldCharType="end"/>
        </w:r>
      </w:hyperlink>
    </w:p>
    <w:p w:rsidR="009B24B2" w:rsidRP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i/>
          <w:iCs/>
          <w:noProof/>
          <w:szCs w:val="22"/>
          <w:lang w:eastAsia="zh-CN"/>
        </w:rPr>
      </w:pPr>
      <w:hyperlink w:anchor="_Toc482995183" w:history="1">
        <w:r w:rsidRPr="009B24B2">
          <w:rPr>
            <w:rStyle w:val="Hyperlink"/>
            <w:i/>
            <w:iCs/>
            <w:noProof/>
            <w:lang w:val="ru-RU"/>
          </w:rPr>
          <w:t>Финансовая ответственность</w:t>
        </w:r>
        <w:r w:rsidRPr="009B24B2">
          <w:rPr>
            <w:i/>
            <w:iCs/>
            <w:noProof/>
            <w:webHidden/>
          </w:rPr>
          <w:tab/>
        </w:r>
        <w:r w:rsidR="00787EAC">
          <w:rPr>
            <w:i/>
            <w:iCs/>
            <w:noProof/>
            <w:webHidden/>
          </w:rPr>
          <w:tab/>
        </w:r>
        <w:r w:rsidRPr="009B24B2">
          <w:rPr>
            <w:i/>
            <w:iCs/>
            <w:noProof/>
            <w:webHidden/>
          </w:rPr>
          <w:fldChar w:fldCharType="begin"/>
        </w:r>
        <w:r w:rsidRPr="009B24B2">
          <w:rPr>
            <w:i/>
            <w:iCs/>
            <w:noProof/>
            <w:webHidden/>
          </w:rPr>
          <w:instrText xml:space="preserve"> PAGEREF _Toc482995183 \h </w:instrText>
        </w:r>
        <w:r w:rsidRPr="009B24B2">
          <w:rPr>
            <w:i/>
            <w:iCs/>
            <w:noProof/>
            <w:webHidden/>
          </w:rPr>
        </w:r>
        <w:r w:rsidRPr="009B24B2">
          <w:rPr>
            <w:i/>
            <w:iCs/>
            <w:noProof/>
            <w:webHidden/>
          </w:rPr>
          <w:fldChar w:fldCharType="separate"/>
        </w:r>
        <w:r w:rsidRPr="009B24B2">
          <w:rPr>
            <w:i/>
            <w:iCs/>
            <w:noProof/>
            <w:webHidden/>
          </w:rPr>
          <w:t>15</w:t>
        </w:r>
        <w:r w:rsidRPr="009B24B2">
          <w:rPr>
            <w:i/>
            <w:iCs/>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84" w:history="1">
        <w:r w:rsidRPr="00C545EC">
          <w:rPr>
            <w:rStyle w:val="Hyperlink"/>
            <w:noProof/>
            <w:lang w:val="ru-RU"/>
          </w:rPr>
          <w:t>Займы и финансовая задолженность</w:t>
        </w:r>
        <w:r>
          <w:rPr>
            <w:noProof/>
            <w:webHidden/>
          </w:rPr>
          <w:tab/>
        </w:r>
        <w:r w:rsidR="00516AA2">
          <w:rPr>
            <w:noProof/>
            <w:webHidden/>
          </w:rPr>
          <w:tab/>
        </w:r>
        <w:r>
          <w:rPr>
            <w:noProof/>
            <w:webHidden/>
          </w:rPr>
          <w:fldChar w:fldCharType="begin"/>
        </w:r>
        <w:r>
          <w:rPr>
            <w:noProof/>
            <w:webHidden/>
          </w:rPr>
          <w:instrText xml:space="preserve"> PAGEREF _Toc482995184 \h </w:instrText>
        </w:r>
        <w:r>
          <w:rPr>
            <w:noProof/>
            <w:webHidden/>
          </w:rPr>
        </w:r>
        <w:r>
          <w:rPr>
            <w:noProof/>
            <w:webHidden/>
          </w:rPr>
          <w:fldChar w:fldCharType="separate"/>
        </w:r>
        <w:r>
          <w:rPr>
            <w:noProof/>
            <w:webHidden/>
          </w:rPr>
          <w:t>16</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85" w:history="1">
        <w:r w:rsidRPr="00C545EC">
          <w:rPr>
            <w:rStyle w:val="Hyperlink"/>
            <w:noProof/>
            <w:lang w:val="ru-RU"/>
          </w:rPr>
          <w:t>Прочие текущие пассивы</w:t>
        </w:r>
        <w:r>
          <w:rPr>
            <w:noProof/>
            <w:webHidden/>
          </w:rPr>
          <w:tab/>
        </w:r>
        <w:r w:rsidR="00516AA2">
          <w:rPr>
            <w:noProof/>
            <w:webHidden/>
          </w:rPr>
          <w:tab/>
        </w:r>
        <w:r>
          <w:rPr>
            <w:noProof/>
            <w:webHidden/>
          </w:rPr>
          <w:fldChar w:fldCharType="begin"/>
        </w:r>
        <w:r>
          <w:rPr>
            <w:noProof/>
            <w:webHidden/>
          </w:rPr>
          <w:instrText xml:space="preserve"> PAGEREF _Toc482995185 \h </w:instrText>
        </w:r>
        <w:r>
          <w:rPr>
            <w:noProof/>
            <w:webHidden/>
          </w:rPr>
        </w:r>
        <w:r>
          <w:rPr>
            <w:noProof/>
            <w:webHidden/>
          </w:rPr>
          <w:fldChar w:fldCharType="separate"/>
        </w:r>
        <w:r>
          <w:rPr>
            <w:noProof/>
            <w:webHidden/>
          </w:rPr>
          <w:t>16</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86" w:history="1">
        <w:r w:rsidRPr="00C545EC">
          <w:rPr>
            <w:rStyle w:val="Hyperlink"/>
            <w:noProof/>
            <w:lang w:val="ru-RU"/>
          </w:rPr>
          <w:t>Нетекущие пассивы</w:t>
        </w:r>
        <w:r>
          <w:rPr>
            <w:noProof/>
            <w:webHidden/>
          </w:rPr>
          <w:tab/>
        </w:r>
        <w:r w:rsidR="00516AA2">
          <w:rPr>
            <w:noProof/>
            <w:webHidden/>
          </w:rPr>
          <w:tab/>
        </w:r>
        <w:r>
          <w:rPr>
            <w:noProof/>
            <w:webHidden/>
          </w:rPr>
          <w:fldChar w:fldCharType="begin"/>
        </w:r>
        <w:r>
          <w:rPr>
            <w:noProof/>
            <w:webHidden/>
          </w:rPr>
          <w:instrText xml:space="preserve"> PAGEREF _Toc482995186 \h </w:instrText>
        </w:r>
        <w:r>
          <w:rPr>
            <w:noProof/>
            <w:webHidden/>
          </w:rPr>
        </w:r>
        <w:r>
          <w:rPr>
            <w:noProof/>
            <w:webHidden/>
          </w:rPr>
          <w:fldChar w:fldCharType="separate"/>
        </w:r>
        <w:r>
          <w:rPr>
            <w:noProof/>
            <w:webHidden/>
          </w:rPr>
          <w:t>16</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87" w:history="1">
        <w:r w:rsidRPr="00C545EC">
          <w:rPr>
            <w:rStyle w:val="Hyperlink"/>
            <w:noProof/>
            <w:lang w:val="ru-RU"/>
          </w:rPr>
          <w:t>Обобщенные сведения о вознаграждении сотрудников</w:t>
        </w:r>
        <w:r>
          <w:rPr>
            <w:noProof/>
            <w:webHidden/>
          </w:rPr>
          <w:tab/>
        </w:r>
        <w:r w:rsidR="00516AA2">
          <w:rPr>
            <w:noProof/>
            <w:webHidden/>
          </w:rPr>
          <w:tab/>
        </w:r>
        <w:r>
          <w:rPr>
            <w:noProof/>
            <w:webHidden/>
          </w:rPr>
          <w:fldChar w:fldCharType="begin"/>
        </w:r>
        <w:r>
          <w:rPr>
            <w:noProof/>
            <w:webHidden/>
          </w:rPr>
          <w:instrText xml:space="preserve"> PAGEREF _Toc482995187 \h </w:instrText>
        </w:r>
        <w:r>
          <w:rPr>
            <w:noProof/>
            <w:webHidden/>
          </w:rPr>
        </w:r>
        <w:r>
          <w:rPr>
            <w:noProof/>
            <w:webHidden/>
          </w:rPr>
          <w:fldChar w:fldCharType="separate"/>
        </w:r>
        <w:r>
          <w:rPr>
            <w:noProof/>
            <w:webHidden/>
          </w:rPr>
          <w:t>17</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88" w:history="1">
        <w:r w:rsidRPr="00C545EC">
          <w:rPr>
            <w:rStyle w:val="Hyperlink"/>
            <w:noProof/>
            <w:lang w:val="ru-RU"/>
          </w:rPr>
          <w:t>Вознаграждение сотрудников, работающих на основе долгосрочных контрактов</w:t>
        </w:r>
        <w:r>
          <w:rPr>
            <w:noProof/>
            <w:webHidden/>
          </w:rPr>
          <w:tab/>
        </w:r>
        <w:r w:rsidR="00516AA2">
          <w:rPr>
            <w:noProof/>
            <w:webHidden/>
          </w:rPr>
          <w:tab/>
        </w:r>
        <w:r>
          <w:rPr>
            <w:noProof/>
            <w:webHidden/>
          </w:rPr>
          <w:fldChar w:fldCharType="begin"/>
        </w:r>
        <w:r>
          <w:rPr>
            <w:noProof/>
            <w:webHidden/>
          </w:rPr>
          <w:instrText xml:space="preserve"> PAGEREF _Toc482995188 \h </w:instrText>
        </w:r>
        <w:r>
          <w:rPr>
            <w:noProof/>
            <w:webHidden/>
          </w:rPr>
        </w:r>
        <w:r>
          <w:rPr>
            <w:noProof/>
            <w:webHidden/>
          </w:rPr>
          <w:fldChar w:fldCharType="separate"/>
        </w:r>
        <w:r>
          <w:rPr>
            <w:noProof/>
            <w:webHidden/>
          </w:rPr>
          <w:t>17</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89" w:history="1">
        <w:r w:rsidRPr="00C545EC">
          <w:rPr>
            <w:rStyle w:val="Hyperlink"/>
            <w:noProof/>
            <w:lang w:val="ru-RU"/>
          </w:rPr>
          <w:t>Вознаграждение сотрудников: подъемные пособия и субсидии на репатриацию</w:t>
        </w:r>
        <w:r>
          <w:rPr>
            <w:noProof/>
            <w:webHidden/>
          </w:rPr>
          <w:tab/>
        </w:r>
        <w:r w:rsidR="00516AA2">
          <w:rPr>
            <w:noProof/>
            <w:webHidden/>
          </w:rPr>
          <w:tab/>
        </w:r>
        <w:r>
          <w:rPr>
            <w:noProof/>
            <w:webHidden/>
          </w:rPr>
          <w:fldChar w:fldCharType="begin"/>
        </w:r>
        <w:r>
          <w:rPr>
            <w:noProof/>
            <w:webHidden/>
          </w:rPr>
          <w:instrText xml:space="preserve"> PAGEREF _Toc482995189 \h </w:instrText>
        </w:r>
        <w:r>
          <w:rPr>
            <w:noProof/>
            <w:webHidden/>
          </w:rPr>
        </w:r>
        <w:r>
          <w:rPr>
            <w:noProof/>
            <w:webHidden/>
          </w:rPr>
          <w:fldChar w:fldCharType="separate"/>
        </w:r>
        <w:r>
          <w:rPr>
            <w:noProof/>
            <w:webHidden/>
          </w:rPr>
          <w:t>17</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90" w:history="1">
        <w:r w:rsidRPr="00C545EC">
          <w:rPr>
            <w:rStyle w:val="Hyperlink"/>
            <w:noProof/>
            <w:lang w:val="ru-RU"/>
          </w:rPr>
          <w:t>Вознаграждение сотрудников: АСХИ</w:t>
        </w:r>
        <w:r>
          <w:rPr>
            <w:noProof/>
            <w:webHidden/>
          </w:rPr>
          <w:tab/>
        </w:r>
        <w:r w:rsidR="00516AA2">
          <w:rPr>
            <w:noProof/>
            <w:webHidden/>
          </w:rPr>
          <w:tab/>
        </w:r>
        <w:r>
          <w:rPr>
            <w:noProof/>
            <w:webHidden/>
          </w:rPr>
          <w:fldChar w:fldCharType="begin"/>
        </w:r>
        <w:r>
          <w:rPr>
            <w:noProof/>
            <w:webHidden/>
          </w:rPr>
          <w:instrText xml:space="preserve"> PAGEREF _Toc482995190 \h </w:instrText>
        </w:r>
        <w:r>
          <w:rPr>
            <w:noProof/>
            <w:webHidden/>
          </w:rPr>
        </w:r>
        <w:r>
          <w:rPr>
            <w:noProof/>
            <w:webHidden/>
          </w:rPr>
          <w:fldChar w:fldCharType="separate"/>
        </w:r>
        <w:r>
          <w:rPr>
            <w:noProof/>
            <w:webHidden/>
          </w:rPr>
          <w:t>17</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91" w:history="1">
        <w:r w:rsidRPr="00C545EC">
          <w:rPr>
            <w:rStyle w:val="Hyperlink"/>
            <w:noProof/>
            <w:lang w:val="ru-RU"/>
          </w:rPr>
          <w:t>На отрицательное значение чистых активов влияют актуарные обязательства</w:t>
        </w:r>
        <w:r>
          <w:rPr>
            <w:noProof/>
            <w:webHidden/>
          </w:rPr>
          <w:tab/>
        </w:r>
        <w:r w:rsidR="00516AA2">
          <w:rPr>
            <w:noProof/>
            <w:webHidden/>
          </w:rPr>
          <w:tab/>
        </w:r>
        <w:r>
          <w:rPr>
            <w:noProof/>
            <w:webHidden/>
          </w:rPr>
          <w:fldChar w:fldCharType="begin"/>
        </w:r>
        <w:r>
          <w:rPr>
            <w:noProof/>
            <w:webHidden/>
          </w:rPr>
          <w:instrText xml:space="preserve"> PAGEREF _Toc482995191 \h </w:instrText>
        </w:r>
        <w:r>
          <w:rPr>
            <w:noProof/>
            <w:webHidden/>
          </w:rPr>
        </w:r>
        <w:r>
          <w:rPr>
            <w:noProof/>
            <w:webHidden/>
          </w:rPr>
          <w:fldChar w:fldCharType="separate"/>
        </w:r>
        <w:r>
          <w:rPr>
            <w:noProof/>
            <w:webHidden/>
          </w:rPr>
          <w:t>18</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92" w:history="1">
        <w:r w:rsidRPr="00C545EC">
          <w:rPr>
            <w:rStyle w:val="Hyperlink"/>
            <w:noProof/>
            <w:lang w:val="ru-RU"/>
          </w:rPr>
          <w:t>Выход из ФМСП: противоречия в производстве расчетов</w:t>
        </w:r>
        <w:r>
          <w:rPr>
            <w:noProof/>
            <w:webHidden/>
          </w:rPr>
          <w:tab/>
        </w:r>
        <w:r w:rsidR="00516AA2">
          <w:rPr>
            <w:noProof/>
            <w:webHidden/>
          </w:rPr>
          <w:tab/>
        </w:r>
        <w:r>
          <w:rPr>
            <w:noProof/>
            <w:webHidden/>
          </w:rPr>
          <w:fldChar w:fldCharType="begin"/>
        </w:r>
        <w:r>
          <w:rPr>
            <w:noProof/>
            <w:webHidden/>
          </w:rPr>
          <w:instrText xml:space="preserve"> PAGEREF _Toc482995192 \h </w:instrText>
        </w:r>
        <w:r>
          <w:rPr>
            <w:noProof/>
            <w:webHidden/>
          </w:rPr>
        </w:r>
        <w:r>
          <w:rPr>
            <w:noProof/>
            <w:webHidden/>
          </w:rPr>
          <w:fldChar w:fldCharType="separate"/>
        </w:r>
        <w:r>
          <w:rPr>
            <w:noProof/>
            <w:webHidden/>
          </w:rPr>
          <w:t>18</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93" w:history="1">
        <w:r w:rsidRPr="00C545EC">
          <w:rPr>
            <w:rStyle w:val="Hyperlink"/>
            <w:noProof/>
            <w:lang w:val="ru-RU"/>
          </w:rPr>
          <w:t>Вознаграждение сотрудников: Страховая касса персонала МСЭ (закрытые пенсионные фонды МСЭ)</w:t>
        </w:r>
        <w:r>
          <w:rPr>
            <w:noProof/>
            <w:webHidden/>
          </w:rPr>
          <w:tab/>
        </w:r>
        <w:r w:rsidR="00516AA2">
          <w:rPr>
            <w:noProof/>
            <w:webHidden/>
          </w:rPr>
          <w:tab/>
        </w:r>
        <w:r>
          <w:rPr>
            <w:noProof/>
            <w:webHidden/>
          </w:rPr>
          <w:fldChar w:fldCharType="begin"/>
        </w:r>
        <w:r>
          <w:rPr>
            <w:noProof/>
            <w:webHidden/>
          </w:rPr>
          <w:instrText xml:space="preserve"> PAGEREF _Toc482995193 \h </w:instrText>
        </w:r>
        <w:r>
          <w:rPr>
            <w:noProof/>
            <w:webHidden/>
          </w:rPr>
        </w:r>
        <w:r>
          <w:rPr>
            <w:noProof/>
            <w:webHidden/>
          </w:rPr>
          <w:fldChar w:fldCharType="separate"/>
        </w:r>
        <w:r>
          <w:rPr>
            <w:noProof/>
            <w:webHidden/>
          </w:rPr>
          <w:t>19</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94" w:history="1">
        <w:r w:rsidRPr="00C545EC">
          <w:rPr>
            <w:rStyle w:val="Hyperlink"/>
            <w:noProof/>
            <w:lang w:val="ru-RU"/>
          </w:rPr>
          <w:t>ЧИСТЫЕ АКТИВЫ</w:t>
        </w:r>
        <w:r>
          <w:rPr>
            <w:noProof/>
            <w:webHidden/>
          </w:rPr>
          <w:tab/>
        </w:r>
        <w:r w:rsidR="00516AA2">
          <w:rPr>
            <w:noProof/>
            <w:webHidden/>
          </w:rPr>
          <w:tab/>
        </w:r>
        <w:r>
          <w:rPr>
            <w:noProof/>
            <w:webHidden/>
          </w:rPr>
          <w:fldChar w:fldCharType="begin"/>
        </w:r>
        <w:r>
          <w:rPr>
            <w:noProof/>
            <w:webHidden/>
          </w:rPr>
          <w:instrText xml:space="preserve"> PAGEREF _Toc482995194 \h </w:instrText>
        </w:r>
        <w:r>
          <w:rPr>
            <w:noProof/>
            <w:webHidden/>
          </w:rPr>
        </w:r>
        <w:r>
          <w:rPr>
            <w:noProof/>
            <w:webHidden/>
          </w:rPr>
          <w:fldChar w:fldCharType="separate"/>
        </w:r>
        <w:r>
          <w:rPr>
            <w:noProof/>
            <w:webHidden/>
          </w:rPr>
          <w:t>19</w:t>
        </w:r>
        <w:r>
          <w:rPr>
            <w:noProof/>
            <w:webHidden/>
          </w:rPr>
          <w:fldChar w:fldCharType="end"/>
        </w:r>
      </w:hyperlink>
    </w:p>
    <w:p w:rsidR="009B24B2" w:rsidRPr="002C25C6" w:rsidRDefault="009B24B2" w:rsidP="00787EAC">
      <w:pPr>
        <w:tabs>
          <w:tab w:val="clear" w:pos="794"/>
          <w:tab w:val="clear" w:pos="1191"/>
          <w:tab w:val="clear" w:pos="1588"/>
          <w:tab w:val="clear" w:pos="1985"/>
        </w:tabs>
        <w:overflowPunct/>
        <w:autoSpaceDE/>
        <w:autoSpaceDN/>
        <w:adjustRightInd/>
        <w:jc w:val="right"/>
        <w:textAlignment w:val="auto"/>
        <w:rPr>
          <w:lang w:val="ru-RU"/>
        </w:rPr>
      </w:pPr>
      <w:r w:rsidRPr="002C25C6">
        <w:rPr>
          <w:b/>
          <w:bCs/>
          <w:lang w:val="ru-RU"/>
        </w:rPr>
        <w:lastRenderedPageBreak/>
        <w:t>Стр</w:t>
      </w:r>
      <w:r w:rsidRPr="002C25C6">
        <w:rPr>
          <w:lang w:val="ru-RU"/>
        </w:rPr>
        <w:t>.</w:t>
      </w:r>
    </w:p>
    <w:p w:rsidR="009B24B2" w:rsidRPr="00787EAC"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b/>
          <w:bCs/>
          <w:noProof/>
          <w:szCs w:val="22"/>
          <w:lang w:eastAsia="zh-CN"/>
        </w:rPr>
      </w:pPr>
      <w:hyperlink w:anchor="_Toc482995195" w:history="1">
        <w:r w:rsidRPr="00787EAC">
          <w:rPr>
            <w:rStyle w:val="Hyperlink"/>
            <w:b/>
            <w:bCs/>
            <w:noProof/>
            <w:lang w:val="ru-RU"/>
          </w:rPr>
          <w:t>ОТЧЕТ О РЕЗУЛЬТАТАХ ФИНАНСОВОЙ ДЕЯТЕЛЬНОСТИ ЗА 2016 ГОД</w:t>
        </w:r>
        <w:r w:rsidRPr="00787EAC">
          <w:rPr>
            <w:b/>
            <w:bCs/>
            <w:noProof/>
            <w:webHidden/>
          </w:rPr>
          <w:tab/>
        </w:r>
        <w:r w:rsidR="00042867">
          <w:rPr>
            <w:b/>
            <w:bCs/>
            <w:noProof/>
            <w:webHidden/>
          </w:rPr>
          <w:tab/>
        </w:r>
        <w:r w:rsidRPr="00787EAC">
          <w:rPr>
            <w:b/>
            <w:bCs/>
            <w:noProof/>
            <w:webHidden/>
          </w:rPr>
          <w:fldChar w:fldCharType="begin"/>
        </w:r>
        <w:r w:rsidRPr="00787EAC">
          <w:rPr>
            <w:b/>
            <w:bCs/>
            <w:noProof/>
            <w:webHidden/>
          </w:rPr>
          <w:instrText xml:space="preserve"> PAGEREF _Toc482995195 \h </w:instrText>
        </w:r>
        <w:r w:rsidRPr="00787EAC">
          <w:rPr>
            <w:b/>
            <w:bCs/>
            <w:noProof/>
            <w:webHidden/>
          </w:rPr>
        </w:r>
        <w:r w:rsidRPr="00787EAC">
          <w:rPr>
            <w:b/>
            <w:bCs/>
            <w:noProof/>
            <w:webHidden/>
          </w:rPr>
          <w:fldChar w:fldCharType="separate"/>
        </w:r>
        <w:r w:rsidRPr="00787EAC">
          <w:rPr>
            <w:b/>
            <w:bCs/>
            <w:noProof/>
            <w:webHidden/>
          </w:rPr>
          <w:t>19</w:t>
        </w:r>
        <w:r w:rsidRPr="00787EAC">
          <w:rPr>
            <w:b/>
            <w:bCs/>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96" w:history="1">
        <w:r w:rsidRPr="00C545EC">
          <w:rPr>
            <w:rStyle w:val="Hyperlink"/>
            <w:noProof/>
            <w:lang w:val="ru-RU"/>
          </w:rPr>
          <w:t>Доходы и расходы</w:t>
        </w:r>
        <w:r>
          <w:rPr>
            <w:noProof/>
            <w:webHidden/>
          </w:rPr>
          <w:tab/>
        </w:r>
        <w:r w:rsidR="00042867">
          <w:rPr>
            <w:noProof/>
            <w:webHidden/>
          </w:rPr>
          <w:tab/>
        </w:r>
        <w:r>
          <w:rPr>
            <w:noProof/>
            <w:webHidden/>
          </w:rPr>
          <w:fldChar w:fldCharType="begin"/>
        </w:r>
        <w:r>
          <w:rPr>
            <w:noProof/>
            <w:webHidden/>
          </w:rPr>
          <w:instrText xml:space="preserve"> PAGEREF _Toc482995196 \h </w:instrText>
        </w:r>
        <w:r>
          <w:rPr>
            <w:noProof/>
            <w:webHidden/>
          </w:rPr>
        </w:r>
        <w:r>
          <w:rPr>
            <w:noProof/>
            <w:webHidden/>
          </w:rPr>
          <w:fldChar w:fldCharType="separate"/>
        </w:r>
        <w:r>
          <w:rPr>
            <w:noProof/>
            <w:webHidden/>
          </w:rPr>
          <w:t>19</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97" w:history="1">
        <w:r w:rsidRPr="00C545EC">
          <w:rPr>
            <w:rStyle w:val="Hyperlink"/>
            <w:noProof/>
            <w:lang w:val="ru-RU"/>
          </w:rPr>
          <w:t>Персонал</w:t>
        </w:r>
        <w:r>
          <w:rPr>
            <w:noProof/>
            <w:webHidden/>
          </w:rPr>
          <w:tab/>
        </w:r>
        <w:r w:rsidR="00042867">
          <w:rPr>
            <w:noProof/>
            <w:webHidden/>
          </w:rPr>
          <w:tab/>
        </w:r>
        <w:r>
          <w:rPr>
            <w:noProof/>
            <w:webHidden/>
          </w:rPr>
          <w:fldChar w:fldCharType="begin"/>
        </w:r>
        <w:r>
          <w:rPr>
            <w:noProof/>
            <w:webHidden/>
          </w:rPr>
          <w:instrText xml:space="preserve"> PAGEREF _Toc482995197 \h </w:instrText>
        </w:r>
        <w:r>
          <w:rPr>
            <w:noProof/>
            <w:webHidden/>
          </w:rPr>
        </w:r>
        <w:r>
          <w:rPr>
            <w:noProof/>
            <w:webHidden/>
          </w:rPr>
          <w:fldChar w:fldCharType="separate"/>
        </w:r>
        <w:r>
          <w:rPr>
            <w:noProof/>
            <w:webHidden/>
          </w:rPr>
          <w:t>20</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198" w:history="1">
        <w:r w:rsidRPr="00C545EC">
          <w:rPr>
            <w:rStyle w:val="Hyperlink"/>
            <w:noProof/>
            <w:lang w:val="ru-RU"/>
          </w:rPr>
          <w:t>Закупки</w:t>
        </w:r>
        <w:r>
          <w:rPr>
            <w:noProof/>
            <w:webHidden/>
          </w:rPr>
          <w:tab/>
        </w:r>
        <w:r w:rsidR="00042867">
          <w:rPr>
            <w:noProof/>
            <w:webHidden/>
          </w:rPr>
          <w:tab/>
        </w:r>
        <w:r>
          <w:rPr>
            <w:noProof/>
            <w:webHidden/>
          </w:rPr>
          <w:fldChar w:fldCharType="begin"/>
        </w:r>
        <w:r>
          <w:rPr>
            <w:noProof/>
            <w:webHidden/>
          </w:rPr>
          <w:instrText xml:space="preserve"> PAGEREF _Toc482995198 \h </w:instrText>
        </w:r>
        <w:r>
          <w:rPr>
            <w:noProof/>
            <w:webHidden/>
          </w:rPr>
        </w:r>
        <w:r>
          <w:rPr>
            <w:noProof/>
            <w:webHidden/>
          </w:rPr>
          <w:fldChar w:fldCharType="separate"/>
        </w:r>
        <w:r>
          <w:rPr>
            <w:noProof/>
            <w:webHidden/>
          </w:rPr>
          <w:t>22</w:t>
        </w:r>
        <w:r>
          <w:rPr>
            <w:noProof/>
            <w:webHidden/>
          </w:rPr>
          <w:fldChar w:fldCharType="end"/>
        </w:r>
      </w:hyperlink>
    </w:p>
    <w:p w:rsidR="009B24B2" w:rsidRPr="00787EAC"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i/>
          <w:iCs/>
          <w:noProof/>
          <w:szCs w:val="22"/>
          <w:lang w:eastAsia="zh-CN"/>
        </w:rPr>
      </w:pPr>
      <w:hyperlink w:anchor="_Toc482995199" w:history="1">
        <w:r w:rsidRPr="00787EAC">
          <w:rPr>
            <w:rStyle w:val="Hyperlink"/>
            <w:i/>
            <w:iCs/>
            <w:noProof/>
            <w:lang w:val="ru-RU"/>
          </w:rPr>
          <w:t>Отсутствие "ключевых руководящих указаний" в Финансовом регламенте и Финансовых правилах</w:t>
        </w:r>
        <w:r w:rsidRPr="00787EAC">
          <w:rPr>
            <w:i/>
            <w:iCs/>
            <w:noProof/>
            <w:webHidden/>
          </w:rPr>
          <w:tab/>
        </w:r>
        <w:r w:rsidR="00042867">
          <w:rPr>
            <w:i/>
            <w:iCs/>
            <w:noProof/>
            <w:webHidden/>
          </w:rPr>
          <w:tab/>
        </w:r>
        <w:r w:rsidRPr="00787EAC">
          <w:rPr>
            <w:i/>
            <w:iCs/>
            <w:noProof/>
            <w:webHidden/>
          </w:rPr>
          <w:fldChar w:fldCharType="begin"/>
        </w:r>
        <w:r w:rsidRPr="00787EAC">
          <w:rPr>
            <w:i/>
            <w:iCs/>
            <w:noProof/>
            <w:webHidden/>
          </w:rPr>
          <w:instrText xml:space="preserve"> PAGEREF _Toc482995199 \h </w:instrText>
        </w:r>
        <w:r w:rsidRPr="00787EAC">
          <w:rPr>
            <w:i/>
            <w:iCs/>
            <w:noProof/>
            <w:webHidden/>
          </w:rPr>
        </w:r>
        <w:r w:rsidRPr="00787EAC">
          <w:rPr>
            <w:i/>
            <w:iCs/>
            <w:noProof/>
            <w:webHidden/>
          </w:rPr>
          <w:fldChar w:fldCharType="separate"/>
        </w:r>
        <w:r w:rsidRPr="00787EAC">
          <w:rPr>
            <w:i/>
            <w:iCs/>
            <w:noProof/>
            <w:webHidden/>
          </w:rPr>
          <w:t>22</w:t>
        </w:r>
        <w:r w:rsidRPr="00787EAC">
          <w:rPr>
            <w:i/>
            <w:iCs/>
            <w:noProof/>
            <w:webHidden/>
          </w:rPr>
          <w:fldChar w:fldCharType="end"/>
        </w:r>
      </w:hyperlink>
    </w:p>
    <w:p w:rsidR="009B24B2" w:rsidRPr="00787EAC"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i/>
          <w:iCs/>
          <w:noProof/>
          <w:szCs w:val="22"/>
          <w:lang w:eastAsia="zh-CN"/>
        </w:rPr>
      </w:pPr>
      <w:hyperlink w:anchor="_Toc482995200" w:history="1">
        <w:r w:rsidRPr="00787EAC">
          <w:rPr>
            <w:rStyle w:val="Hyperlink"/>
            <w:i/>
            <w:iCs/>
            <w:noProof/>
            <w:lang w:val="ru-RU"/>
          </w:rPr>
          <w:t>Глобальный рынок Организации Объединенных Наций</w:t>
        </w:r>
        <w:r w:rsidRPr="00787EAC">
          <w:rPr>
            <w:i/>
            <w:iCs/>
            <w:noProof/>
            <w:webHidden/>
          </w:rPr>
          <w:tab/>
        </w:r>
        <w:r w:rsidR="00042867">
          <w:rPr>
            <w:i/>
            <w:iCs/>
            <w:noProof/>
            <w:webHidden/>
          </w:rPr>
          <w:tab/>
        </w:r>
        <w:r w:rsidRPr="00787EAC">
          <w:rPr>
            <w:i/>
            <w:iCs/>
            <w:noProof/>
            <w:webHidden/>
          </w:rPr>
          <w:fldChar w:fldCharType="begin"/>
        </w:r>
        <w:r w:rsidRPr="00787EAC">
          <w:rPr>
            <w:i/>
            <w:iCs/>
            <w:noProof/>
            <w:webHidden/>
          </w:rPr>
          <w:instrText xml:space="preserve"> PAGEREF _Toc482995200 \h </w:instrText>
        </w:r>
        <w:r w:rsidRPr="00787EAC">
          <w:rPr>
            <w:i/>
            <w:iCs/>
            <w:noProof/>
            <w:webHidden/>
          </w:rPr>
        </w:r>
        <w:r w:rsidRPr="00787EAC">
          <w:rPr>
            <w:i/>
            <w:iCs/>
            <w:noProof/>
            <w:webHidden/>
          </w:rPr>
          <w:fldChar w:fldCharType="separate"/>
        </w:r>
        <w:r w:rsidRPr="00787EAC">
          <w:rPr>
            <w:i/>
            <w:iCs/>
            <w:noProof/>
            <w:webHidden/>
          </w:rPr>
          <w:t>23</w:t>
        </w:r>
        <w:r w:rsidRPr="00787EAC">
          <w:rPr>
            <w:i/>
            <w:iCs/>
            <w:noProof/>
            <w:webHidden/>
          </w:rPr>
          <w:fldChar w:fldCharType="end"/>
        </w:r>
      </w:hyperlink>
    </w:p>
    <w:p w:rsidR="009B24B2" w:rsidRPr="00787EAC"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i/>
          <w:iCs/>
          <w:noProof/>
          <w:szCs w:val="22"/>
          <w:lang w:eastAsia="zh-CN"/>
        </w:rPr>
      </w:pPr>
      <w:hyperlink w:anchor="_Toc482995201" w:history="1">
        <w:r w:rsidRPr="00787EAC">
          <w:rPr>
            <w:rStyle w:val="Hyperlink"/>
            <w:i/>
            <w:iCs/>
            <w:noProof/>
            <w:lang w:val="ru-RU"/>
          </w:rPr>
          <w:t>Принятие инструкции по закупкам и кодифицированной процедуры в МСЭ</w:t>
        </w:r>
        <w:r w:rsidRPr="00787EAC">
          <w:rPr>
            <w:i/>
            <w:iCs/>
            <w:noProof/>
            <w:webHidden/>
          </w:rPr>
          <w:tab/>
        </w:r>
        <w:r w:rsidR="00042867">
          <w:rPr>
            <w:i/>
            <w:iCs/>
            <w:noProof/>
            <w:webHidden/>
          </w:rPr>
          <w:tab/>
        </w:r>
        <w:r w:rsidRPr="00787EAC">
          <w:rPr>
            <w:i/>
            <w:iCs/>
            <w:noProof/>
            <w:webHidden/>
          </w:rPr>
          <w:fldChar w:fldCharType="begin"/>
        </w:r>
        <w:r w:rsidRPr="00787EAC">
          <w:rPr>
            <w:i/>
            <w:iCs/>
            <w:noProof/>
            <w:webHidden/>
          </w:rPr>
          <w:instrText xml:space="preserve"> PAGEREF _Toc482995201 \h </w:instrText>
        </w:r>
        <w:r w:rsidRPr="00787EAC">
          <w:rPr>
            <w:i/>
            <w:iCs/>
            <w:noProof/>
            <w:webHidden/>
          </w:rPr>
        </w:r>
        <w:r w:rsidRPr="00787EAC">
          <w:rPr>
            <w:i/>
            <w:iCs/>
            <w:noProof/>
            <w:webHidden/>
          </w:rPr>
          <w:fldChar w:fldCharType="separate"/>
        </w:r>
        <w:r w:rsidRPr="00787EAC">
          <w:rPr>
            <w:i/>
            <w:iCs/>
            <w:noProof/>
            <w:webHidden/>
          </w:rPr>
          <w:t>23</w:t>
        </w:r>
        <w:r w:rsidRPr="00787EAC">
          <w:rPr>
            <w:i/>
            <w:iCs/>
            <w:noProof/>
            <w:webHidden/>
          </w:rPr>
          <w:fldChar w:fldCharType="end"/>
        </w:r>
      </w:hyperlink>
    </w:p>
    <w:p w:rsidR="009B24B2" w:rsidRPr="00787EAC"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i/>
          <w:iCs/>
          <w:noProof/>
          <w:szCs w:val="22"/>
          <w:lang w:eastAsia="zh-CN"/>
        </w:rPr>
      </w:pPr>
      <w:hyperlink w:anchor="_Toc482995202" w:history="1">
        <w:r w:rsidRPr="00787EAC">
          <w:rPr>
            <w:rStyle w:val="Hyperlink"/>
            <w:i/>
            <w:iCs/>
            <w:noProof/>
            <w:lang w:val="ru-RU"/>
          </w:rPr>
          <w:t>Повышение прозрачности процесса закупок</w:t>
        </w:r>
        <w:r w:rsidRPr="00787EAC">
          <w:rPr>
            <w:i/>
            <w:iCs/>
            <w:noProof/>
            <w:webHidden/>
          </w:rPr>
          <w:tab/>
        </w:r>
        <w:r w:rsidR="00042867">
          <w:rPr>
            <w:i/>
            <w:iCs/>
            <w:noProof/>
            <w:webHidden/>
          </w:rPr>
          <w:tab/>
        </w:r>
        <w:r w:rsidRPr="00787EAC">
          <w:rPr>
            <w:i/>
            <w:iCs/>
            <w:noProof/>
            <w:webHidden/>
          </w:rPr>
          <w:fldChar w:fldCharType="begin"/>
        </w:r>
        <w:r w:rsidRPr="00787EAC">
          <w:rPr>
            <w:i/>
            <w:iCs/>
            <w:noProof/>
            <w:webHidden/>
          </w:rPr>
          <w:instrText xml:space="preserve"> PAGEREF _Toc482995202 \h </w:instrText>
        </w:r>
        <w:r w:rsidRPr="00787EAC">
          <w:rPr>
            <w:i/>
            <w:iCs/>
            <w:noProof/>
            <w:webHidden/>
          </w:rPr>
        </w:r>
        <w:r w:rsidRPr="00787EAC">
          <w:rPr>
            <w:i/>
            <w:iCs/>
            <w:noProof/>
            <w:webHidden/>
          </w:rPr>
          <w:fldChar w:fldCharType="separate"/>
        </w:r>
        <w:r w:rsidRPr="00787EAC">
          <w:rPr>
            <w:i/>
            <w:iCs/>
            <w:noProof/>
            <w:webHidden/>
          </w:rPr>
          <w:t>24</w:t>
        </w:r>
        <w:r w:rsidRPr="00787EAC">
          <w:rPr>
            <w:i/>
            <w:iCs/>
            <w:noProof/>
            <w:webHidden/>
          </w:rPr>
          <w:fldChar w:fldCharType="end"/>
        </w:r>
      </w:hyperlink>
    </w:p>
    <w:p w:rsidR="009B24B2" w:rsidRPr="00787EAC"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i/>
          <w:iCs/>
          <w:noProof/>
          <w:szCs w:val="22"/>
          <w:lang w:eastAsia="zh-CN"/>
        </w:rPr>
      </w:pPr>
      <w:hyperlink w:anchor="_Toc482995203" w:history="1">
        <w:r w:rsidRPr="00787EAC">
          <w:rPr>
            <w:rStyle w:val="Hyperlink"/>
            <w:i/>
            <w:iCs/>
            <w:noProof/>
            <w:lang w:val="ru-RU"/>
          </w:rPr>
          <w:t>Активизация роли Комитета по оценке</w:t>
        </w:r>
        <w:r w:rsidRPr="00787EAC">
          <w:rPr>
            <w:i/>
            <w:iCs/>
            <w:noProof/>
            <w:webHidden/>
          </w:rPr>
          <w:tab/>
        </w:r>
        <w:r w:rsidR="00042867">
          <w:rPr>
            <w:i/>
            <w:iCs/>
            <w:noProof/>
            <w:webHidden/>
          </w:rPr>
          <w:tab/>
        </w:r>
        <w:r w:rsidRPr="00787EAC">
          <w:rPr>
            <w:i/>
            <w:iCs/>
            <w:noProof/>
            <w:webHidden/>
          </w:rPr>
          <w:fldChar w:fldCharType="begin"/>
        </w:r>
        <w:r w:rsidRPr="00787EAC">
          <w:rPr>
            <w:i/>
            <w:iCs/>
            <w:noProof/>
            <w:webHidden/>
          </w:rPr>
          <w:instrText xml:space="preserve"> PAGEREF _Toc482995203 \h </w:instrText>
        </w:r>
        <w:r w:rsidRPr="00787EAC">
          <w:rPr>
            <w:i/>
            <w:iCs/>
            <w:noProof/>
            <w:webHidden/>
          </w:rPr>
        </w:r>
        <w:r w:rsidRPr="00787EAC">
          <w:rPr>
            <w:i/>
            <w:iCs/>
            <w:noProof/>
            <w:webHidden/>
          </w:rPr>
          <w:fldChar w:fldCharType="separate"/>
        </w:r>
        <w:r w:rsidRPr="00787EAC">
          <w:rPr>
            <w:i/>
            <w:iCs/>
            <w:noProof/>
            <w:webHidden/>
          </w:rPr>
          <w:t>25</w:t>
        </w:r>
        <w:r w:rsidRPr="00787EAC">
          <w:rPr>
            <w:i/>
            <w:iCs/>
            <w:noProof/>
            <w:webHidden/>
          </w:rPr>
          <w:fldChar w:fldCharType="end"/>
        </w:r>
      </w:hyperlink>
    </w:p>
    <w:p w:rsidR="009B24B2" w:rsidRPr="00787EAC"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i/>
          <w:iCs/>
          <w:noProof/>
          <w:szCs w:val="22"/>
          <w:lang w:eastAsia="zh-CN"/>
        </w:rPr>
      </w:pPr>
      <w:hyperlink w:anchor="_Toc482995204" w:history="1">
        <w:r w:rsidRPr="00787EAC">
          <w:rPr>
            <w:rStyle w:val="Hyperlink"/>
            <w:i/>
            <w:iCs/>
            <w:noProof/>
            <w:lang w:val="ru-RU"/>
          </w:rPr>
          <w:t>Совершенствование обязательной технической оценки</w:t>
        </w:r>
        <w:r w:rsidRPr="00787EAC">
          <w:rPr>
            <w:i/>
            <w:iCs/>
            <w:noProof/>
            <w:webHidden/>
          </w:rPr>
          <w:tab/>
        </w:r>
        <w:r w:rsidR="00042867">
          <w:rPr>
            <w:i/>
            <w:iCs/>
            <w:noProof/>
            <w:webHidden/>
          </w:rPr>
          <w:tab/>
        </w:r>
        <w:r w:rsidRPr="00787EAC">
          <w:rPr>
            <w:i/>
            <w:iCs/>
            <w:noProof/>
            <w:webHidden/>
          </w:rPr>
          <w:fldChar w:fldCharType="begin"/>
        </w:r>
        <w:r w:rsidRPr="00787EAC">
          <w:rPr>
            <w:i/>
            <w:iCs/>
            <w:noProof/>
            <w:webHidden/>
          </w:rPr>
          <w:instrText xml:space="preserve"> PAGEREF _Toc482995204 \h </w:instrText>
        </w:r>
        <w:r w:rsidRPr="00787EAC">
          <w:rPr>
            <w:i/>
            <w:iCs/>
            <w:noProof/>
            <w:webHidden/>
          </w:rPr>
        </w:r>
        <w:r w:rsidRPr="00787EAC">
          <w:rPr>
            <w:i/>
            <w:iCs/>
            <w:noProof/>
            <w:webHidden/>
          </w:rPr>
          <w:fldChar w:fldCharType="separate"/>
        </w:r>
        <w:r w:rsidRPr="00787EAC">
          <w:rPr>
            <w:i/>
            <w:iCs/>
            <w:noProof/>
            <w:webHidden/>
          </w:rPr>
          <w:t>26</w:t>
        </w:r>
        <w:r w:rsidRPr="00787EAC">
          <w:rPr>
            <w:i/>
            <w:iCs/>
            <w:noProof/>
            <w:webHidden/>
          </w:rPr>
          <w:fldChar w:fldCharType="end"/>
        </w:r>
      </w:hyperlink>
    </w:p>
    <w:p w:rsidR="009B24B2" w:rsidRPr="00787EAC"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i/>
          <w:iCs/>
          <w:noProof/>
          <w:szCs w:val="22"/>
          <w:lang w:eastAsia="zh-CN"/>
        </w:rPr>
      </w:pPr>
      <w:hyperlink w:anchor="_Toc482995205" w:history="1">
        <w:r w:rsidRPr="00787EAC">
          <w:rPr>
            <w:rStyle w:val="Hyperlink"/>
            <w:i/>
            <w:iCs/>
            <w:noProof/>
            <w:lang w:val="ru-RU"/>
          </w:rPr>
          <w:t>Объявление суммы бюджета в целях обеспечения лучшей ориентировки в предложениях</w:t>
        </w:r>
        <w:r w:rsidRPr="00787EAC">
          <w:rPr>
            <w:i/>
            <w:iCs/>
            <w:noProof/>
            <w:webHidden/>
          </w:rPr>
          <w:tab/>
        </w:r>
        <w:r w:rsidR="00042867">
          <w:rPr>
            <w:i/>
            <w:iCs/>
            <w:noProof/>
            <w:webHidden/>
          </w:rPr>
          <w:tab/>
        </w:r>
        <w:r w:rsidRPr="00787EAC">
          <w:rPr>
            <w:i/>
            <w:iCs/>
            <w:noProof/>
            <w:webHidden/>
          </w:rPr>
          <w:fldChar w:fldCharType="begin"/>
        </w:r>
        <w:r w:rsidRPr="00787EAC">
          <w:rPr>
            <w:i/>
            <w:iCs/>
            <w:noProof/>
            <w:webHidden/>
          </w:rPr>
          <w:instrText xml:space="preserve"> PAGEREF _Toc482995205 \h </w:instrText>
        </w:r>
        <w:r w:rsidRPr="00787EAC">
          <w:rPr>
            <w:i/>
            <w:iCs/>
            <w:noProof/>
            <w:webHidden/>
          </w:rPr>
        </w:r>
        <w:r w:rsidRPr="00787EAC">
          <w:rPr>
            <w:i/>
            <w:iCs/>
            <w:noProof/>
            <w:webHidden/>
          </w:rPr>
          <w:fldChar w:fldCharType="separate"/>
        </w:r>
        <w:r w:rsidRPr="00787EAC">
          <w:rPr>
            <w:i/>
            <w:iCs/>
            <w:noProof/>
            <w:webHidden/>
          </w:rPr>
          <w:t>27</w:t>
        </w:r>
        <w:r w:rsidRPr="00787EAC">
          <w:rPr>
            <w:i/>
            <w:iCs/>
            <w:noProof/>
            <w:webHidden/>
          </w:rPr>
          <w:fldChar w:fldCharType="end"/>
        </w:r>
      </w:hyperlink>
    </w:p>
    <w:p w:rsidR="009B24B2" w:rsidRPr="00787EAC"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i/>
          <w:iCs/>
          <w:noProof/>
          <w:szCs w:val="22"/>
          <w:lang w:eastAsia="zh-CN"/>
        </w:rPr>
      </w:pPr>
      <w:hyperlink w:anchor="_Toc482995206" w:history="1">
        <w:r w:rsidRPr="00787EAC">
          <w:rPr>
            <w:rStyle w:val="Hyperlink"/>
            <w:i/>
            <w:iCs/>
            <w:noProof/>
            <w:lang w:val="ru-RU"/>
          </w:rPr>
          <w:t>Контроль показателей работы поставщиков</w:t>
        </w:r>
        <w:r w:rsidRPr="00787EAC">
          <w:rPr>
            <w:i/>
            <w:iCs/>
            <w:noProof/>
            <w:webHidden/>
          </w:rPr>
          <w:tab/>
        </w:r>
        <w:r w:rsidR="00042867">
          <w:rPr>
            <w:i/>
            <w:iCs/>
            <w:noProof/>
            <w:webHidden/>
          </w:rPr>
          <w:tab/>
        </w:r>
        <w:r w:rsidRPr="00787EAC">
          <w:rPr>
            <w:i/>
            <w:iCs/>
            <w:noProof/>
            <w:webHidden/>
          </w:rPr>
          <w:fldChar w:fldCharType="begin"/>
        </w:r>
        <w:r w:rsidRPr="00787EAC">
          <w:rPr>
            <w:i/>
            <w:iCs/>
            <w:noProof/>
            <w:webHidden/>
          </w:rPr>
          <w:instrText xml:space="preserve"> PAGEREF _Toc482995206 \h </w:instrText>
        </w:r>
        <w:r w:rsidRPr="00787EAC">
          <w:rPr>
            <w:i/>
            <w:iCs/>
            <w:noProof/>
            <w:webHidden/>
          </w:rPr>
        </w:r>
        <w:r w:rsidRPr="00787EAC">
          <w:rPr>
            <w:i/>
            <w:iCs/>
            <w:noProof/>
            <w:webHidden/>
          </w:rPr>
          <w:fldChar w:fldCharType="separate"/>
        </w:r>
        <w:r w:rsidRPr="00787EAC">
          <w:rPr>
            <w:i/>
            <w:iCs/>
            <w:noProof/>
            <w:webHidden/>
          </w:rPr>
          <w:t>27</w:t>
        </w:r>
        <w:r w:rsidRPr="00787EAC">
          <w:rPr>
            <w:i/>
            <w:iCs/>
            <w:noProof/>
            <w:webHidden/>
          </w:rPr>
          <w:fldChar w:fldCharType="end"/>
        </w:r>
      </w:hyperlink>
    </w:p>
    <w:p w:rsidR="009B24B2" w:rsidRPr="00787EAC"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i/>
          <w:iCs/>
          <w:noProof/>
          <w:szCs w:val="22"/>
          <w:lang w:eastAsia="zh-CN"/>
        </w:rPr>
      </w:pPr>
      <w:hyperlink w:anchor="_Toc482995207" w:history="1">
        <w:r w:rsidRPr="00787EAC">
          <w:rPr>
            <w:rStyle w:val="Hyperlink"/>
            <w:i/>
            <w:iCs/>
            <w:noProof/>
            <w:lang w:val="ru-RU"/>
          </w:rPr>
          <w:t>Внедрение Декларации об отсутствии конфликта интер</w:t>
        </w:r>
        <w:r w:rsidR="00042867">
          <w:rPr>
            <w:rStyle w:val="Hyperlink"/>
            <w:i/>
            <w:iCs/>
            <w:noProof/>
            <w:lang w:val="ru-RU"/>
          </w:rPr>
          <w:t>есов в процессе закупки в МСЭ и </w:t>
        </w:r>
        <w:r w:rsidRPr="00787EAC">
          <w:rPr>
            <w:rStyle w:val="Hyperlink"/>
            <w:i/>
            <w:iCs/>
            <w:noProof/>
            <w:lang w:val="ru-RU"/>
          </w:rPr>
          <w:t>отсутствие политики по вопросам этики, мошенничества и коррупции в области закупок</w:t>
        </w:r>
        <w:r w:rsidRPr="00787EAC">
          <w:rPr>
            <w:i/>
            <w:iCs/>
            <w:noProof/>
            <w:webHidden/>
          </w:rPr>
          <w:tab/>
        </w:r>
        <w:r w:rsidR="00042867">
          <w:rPr>
            <w:i/>
            <w:iCs/>
            <w:noProof/>
            <w:webHidden/>
          </w:rPr>
          <w:tab/>
        </w:r>
        <w:r w:rsidRPr="00787EAC">
          <w:rPr>
            <w:i/>
            <w:iCs/>
            <w:noProof/>
            <w:webHidden/>
          </w:rPr>
          <w:fldChar w:fldCharType="begin"/>
        </w:r>
        <w:r w:rsidRPr="00787EAC">
          <w:rPr>
            <w:i/>
            <w:iCs/>
            <w:noProof/>
            <w:webHidden/>
          </w:rPr>
          <w:instrText xml:space="preserve"> PAGEREF _Toc482995207 \h </w:instrText>
        </w:r>
        <w:r w:rsidRPr="00787EAC">
          <w:rPr>
            <w:i/>
            <w:iCs/>
            <w:noProof/>
            <w:webHidden/>
          </w:rPr>
        </w:r>
        <w:r w:rsidRPr="00787EAC">
          <w:rPr>
            <w:i/>
            <w:iCs/>
            <w:noProof/>
            <w:webHidden/>
          </w:rPr>
          <w:fldChar w:fldCharType="separate"/>
        </w:r>
        <w:r w:rsidRPr="00787EAC">
          <w:rPr>
            <w:i/>
            <w:iCs/>
            <w:noProof/>
            <w:webHidden/>
          </w:rPr>
          <w:t>28</w:t>
        </w:r>
        <w:r w:rsidRPr="00787EAC">
          <w:rPr>
            <w:i/>
            <w:iCs/>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208" w:history="1">
        <w:r w:rsidRPr="00C545EC">
          <w:rPr>
            <w:rStyle w:val="Hyperlink"/>
            <w:noProof/>
            <w:lang w:val="ru-RU"/>
          </w:rPr>
          <w:t>Стандарты этики</w:t>
        </w:r>
        <w:r>
          <w:rPr>
            <w:noProof/>
            <w:webHidden/>
          </w:rPr>
          <w:tab/>
        </w:r>
        <w:r w:rsidR="00042867">
          <w:rPr>
            <w:noProof/>
            <w:webHidden/>
          </w:rPr>
          <w:tab/>
        </w:r>
        <w:r>
          <w:rPr>
            <w:noProof/>
            <w:webHidden/>
          </w:rPr>
          <w:fldChar w:fldCharType="begin"/>
        </w:r>
        <w:r>
          <w:rPr>
            <w:noProof/>
            <w:webHidden/>
          </w:rPr>
          <w:instrText xml:space="preserve"> PAGEREF _Toc482995208 \h </w:instrText>
        </w:r>
        <w:r>
          <w:rPr>
            <w:noProof/>
            <w:webHidden/>
          </w:rPr>
        </w:r>
        <w:r>
          <w:rPr>
            <w:noProof/>
            <w:webHidden/>
          </w:rPr>
          <w:fldChar w:fldCharType="separate"/>
        </w:r>
        <w:r>
          <w:rPr>
            <w:noProof/>
            <w:webHidden/>
          </w:rPr>
          <w:t>28</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209" w:history="1">
        <w:r w:rsidRPr="00C545EC">
          <w:rPr>
            <w:rStyle w:val="Hyperlink"/>
            <w:noProof/>
            <w:lang w:val="ru-RU"/>
          </w:rPr>
          <w:t>Публикации</w:t>
        </w:r>
        <w:r>
          <w:rPr>
            <w:noProof/>
            <w:webHidden/>
          </w:rPr>
          <w:tab/>
        </w:r>
        <w:r w:rsidR="00042867">
          <w:rPr>
            <w:noProof/>
            <w:webHidden/>
          </w:rPr>
          <w:tab/>
        </w:r>
        <w:r>
          <w:rPr>
            <w:noProof/>
            <w:webHidden/>
          </w:rPr>
          <w:fldChar w:fldCharType="begin"/>
        </w:r>
        <w:r>
          <w:rPr>
            <w:noProof/>
            <w:webHidden/>
          </w:rPr>
          <w:instrText xml:space="preserve"> PAGEREF _Toc482995209 \h </w:instrText>
        </w:r>
        <w:r>
          <w:rPr>
            <w:noProof/>
            <w:webHidden/>
          </w:rPr>
        </w:r>
        <w:r>
          <w:rPr>
            <w:noProof/>
            <w:webHidden/>
          </w:rPr>
          <w:fldChar w:fldCharType="separate"/>
        </w:r>
        <w:r>
          <w:rPr>
            <w:noProof/>
            <w:webHidden/>
          </w:rPr>
          <w:t>29</w:t>
        </w:r>
        <w:r>
          <w:rPr>
            <w:noProof/>
            <w:webHidden/>
          </w:rPr>
          <w:fldChar w:fldCharType="end"/>
        </w:r>
      </w:hyperlink>
    </w:p>
    <w:p w:rsidR="009B24B2"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noProof/>
          <w:szCs w:val="22"/>
          <w:lang w:eastAsia="zh-CN"/>
        </w:rPr>
      </w:pPr>
      <w:hyperlink w:anchor="_Toc482995210" w:history="1">
        <w:r w:rsidRPr="00C545EC">
          <w:rPr>
            <w:rStyle w:val="Hyperlink"/>
            <w:noProof/>
            <w:lang w:val="ru-RU"/>
          </w:rPr>
          <w:t>Помещения штаб-квартиры Союза</w:t>
        </w:r>
        <w:r>
          <w:rPr>
            <w:noProof/>
            <w:webHidden/>
          </w:rPr>
          <w:tab/>
        </w:r>
        <w:r w:rsidR="00042867">
          <w:rPr>
            <w:noProof/>
            <w:webHidden/>
          </w:rPr>
          <w:tab/>
        </w:r>
        <w:r>
          <w:rPr>
            <w:noProof/>
            <w:webHidden/>
          </w:rPr>
          <w:fldChar w:fldCharType="begin"/>
        </w:r>
        <w:r>
          <w:rPr>
            <w:noProof/>
            <w:webHidden/>
          </w:rPr>
          <w:instrText xml:space="preserve"> PAGEREF _Toc482995210 \h </w:instrText>
        </w:r>
        <w:r>
          <w:rPr>
            <w:noProof/>
            <w:webHidden/>
          </w:rPr>
        </w:r>
        <w:r>
          <w:rPr>
            <w:noProof/>
            <w:webHidden/>
          </w:rPr>
          <w:fldChar w:fldCharType="separate"/>
        </w:r>
        <w:r>
          <w:rPr>
            <w:noProof/>
            <w:webHidden/>
          </w:rPr>
          <w:t>30</w:t>
        </w:r>
        <w:r>
          <w:rPr>
            <w:noProof/>
            <w:webHidden/>
          </w:rPr>
          <w:fldChar w:fldCharType="end"/>
        </w:r>
      </w:hyperlink>
    </w:p>
    <w:p w:rsidR="009B24B2" w:rsidRPr="00787EAC"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b/>
          <w:bCs/>
          <w:noProof/>
          <w:szCs w:val="22"/>
          <w:lang w:eastAsia="zh-CN"/>
        </w:rPr>
      </w:pPr>
      <w:hyperlink w:anchor="_Toc482995211" w:history="1">
        <w:r w:rsidRPr="00787EAC">
          <w:rPr>
            <w:rStyle w:val="Hyperlink"/>
            <w:b/>
            <w:bCs/>
            <w:noProof/>
            <w:lang w:val="ru-RU"/>
          </w:rPr>
          <w:t>ОТЧЕТ ОБ ИЗМЕНЕНИЯХ В ЧИСТЫХ АКТИВАХ ЗА Ф</w:t>
        </w:r>
        <w:r w:rsidR="00C1422F">
          <w:rPr>
            <w:rStyle w:val="Hyperlink"/>
            <w:b/>
            <w:bCs/>
            <w:noProof/>
            <w:lang w:val="ru-RU"/>
          </w:rPr>
          <w:t>ИНАНСОВЫЙ ПЕРИОД, ЗАВЕРШИВШИЙСЯ </w:t>
        </w:r>
        <w:r w:rsidRPr="00787EAC">
          <w:rPr>
            <w:rStyle w:val="Hyperlink"/>
            <w:b/>
            <w:bCs/>
            <w:noProof/>
            <w:lang w:val="ru-RU"/>
          </w:rPr>
          <w:t>31 ДЕКАБРЯ 2016 ГОДА</w:t>
        </w:r>
        <w:r w:rsidRPr="00787EAC">
          <w:rPr>
            <w:b/>
            <w:bCs/>
            <w:noProof/>
            <w:webHidden/>
          </w:rPr>
          <w:tab/>
        </w:r>
        <w:r w:rsidR="00042867">
          <w:rPr>
            <w:b/>
            <w:bCs/>
            <w:noProof/>
            <w:webHidden/>
          </w:rPr>
          <w:tab/>
        </w:r>
        <w:r w:rsidRPr="00787EAC">
          <w:rPr>
            <w:b/>
            <w:bCs/>
            <w:noProof/>
            <w:webHidden/>
          </w:rPr>
          <w:fldChar w:fldCharType="begin"/>
        </w:r>
        <w:r w:rsidRPr="00787EAC">
          <w:rPr>
            <w:b/>
            <w:bCs/>
            <w:noProof/>
            <w:webHidden/>
          </w:rPr>
          <w:instrText xml:space="preserve"> PAGEREF _Toc482995211 \h </w:instrText>
        </w:r>
        <w:r w:rsidRPr="00787EAC">
          <w:rPr>
            <w:b/>
            <w:bCs/>
            <w:noProof/>
            <w:webHidden/>
          </w:rPr>
        </w:r>
        <w:r w:rsidRPr="00787EAC">
          <w:rPr>
            <w:b/>
            <w:bCs/>
            <w:noProof/>
            <w:webHidden/>
          </w:rPr>
          <w:fldChar w:fldCharType="separate"/>
        </w:r>
        <w:r w:rsidRPr="00787EAC">
          <w:rPr>
            <w:b/>
            <w:bCs/>
            <w:noProof/>
            <w:webHidden/>
          </w:rPr>
          <w:t>30</w:t>
        </w:r>
        <w:r w:rsidRPr="00787EAC">
          <w:rPr>
            <w:b/>
            <w:bCs/>
            <w:noProof/>
            <w:webHidden/>
          </w:rPr>
          <w:fldChar w:fldCharType="end"/>
        </w:r>
      </w:hyperlink>
    </w:p>
    <w:p w:rsidR="009B24B2" w:rsidRPr="00787EAC"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b/>
          <w:bCs/>
          <w:noProof/>
          <w:szCs w:val="22"/>
          <w:lang w:eastAsia="zh-CN"/>
        </w:rPr>
      </w:pPr>
      <w:hyperlink w:anchor="_Toc482995212" w:history="1">
        <w:r w:rsidRPr="00787EAC">
          <w:rPr>
            <w:rStyle w:val="Hyperlink"/>
            <w:b/>
            <w:bCs/>
            <w:noProof/>
            <w:lang w:val="ru-RU"/>
          </w:rPr>
          <w:t>ТАБЛИЦА ДВИЖЕНИЯ ДЕНЕЖНЫХ СРЕДСТВ ЗА Ф</w:t>
        </w:r>
        <w:r w:rsidR="00C1422F">
          <w:rPr>
            <w:rStyle w:val="Hyperlink"/>
            <w:b/>
            <w:bCs/>
            <w:noProof/>
            <w:lang w:val="ru-RU"/>
          </w:rPr>
          <w:t>ИНАНСОВЫЙ ПЕРИОД, ЗАВЕРШИВШИЙСЯ </w:t>
        </w:r>
        <w:r w:rsidRPr="00787EAC">
          <w:rPr>
            <w:rStyle w:val="Hyperlink"/>
            <w:b/>
            <w:bCs/>
            <w:noProof/>
            <w:lang w:val="ru-RU"/>
          </w:rPr>
          <w:t>31 ДЕКАБРЯ 2016 ГОДА</w:t>
        </w:r>
        <w:r w:rsidRPr="00787EAC">
          <w:rPr>
            <w:b/>
            <w:bCs/>
            <w:noProof/>
            <w:webHidden/>
          </w:rPr>
          <w:tab/>
        </w:r>
        <w:r w:rsidR="00042867">
          <w:rPr>
            <w:b/>
            <w:bCs/>
            <w:noProof/>
            <w:webHidden/>
          </w:rPr>
          <w:tab/>
        </w:r>
        <w:r w:rsidRPr="00787EAC">
          <w:rPr>
            <w:b/>
            <w:bCs/>
            <w:noProof/>
            <w:webHidden/>
          </w:rPr>
          <w:fldChar w:fldCharType="begin"/>
        </w:r>
        <w:r w:rsidRPr="00787EAC">
          <w:rPr>
            <w:b/>
            <w:bCs/>
            <w:noProof/>
            <w:webHidden/>
          </w:rPr>
          <w:instrText xml:space="preserve"> PAGEREF _Toc482995212 \h </w:instrText>
        </w:r>
        <w:r w:rsidRPr="00787EAC">
          <w:rPr>
            <w:b/>
            <w:bCs/>
            <w:noProof/>
            <w:webHidden/>
          </w:rPr>
        </w:r>
        <w:r w:rsidRPr="00787EAC">
          <w:rPr>
            <w:b/>
            <w:bCs/>
            <w:noProof/>
            <w:webHidden/>
          </w:rPr>
          <w:fldChar w:fldCharType="separate"/>
        </w:r>
        <w:r w:rsidRPr="00787EAC">
          <w:rPr>
            <w:b/>
            <w:bCs/>
            <w:noProof/>
            <w:webHidden/>
          </w:rPr>
          <w:t>30</w:t>
        </w:r>
        <w:r w:rsidRPr="00787EAC">
          <w:rPr>
            <w:b/>
            <w:bCs/>
            <w:noProof/>
            <w:webHidden/>
          </w:rPr>
          <w:fldChar w:fldCharType="end"/>
        </w:r>
      </w:hyperlink>
    </w:p>
    <w:p w:rsidR="009B24B2" w:rsidRPr="00787EAC"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b/>
          <w:bCs/>
          <w:noProof/>
          <w:szCs w:val="22"/>
          <w:lang w:eastAsia="zh-CN"/>
        </w:rPr>
      </w:pPr>
      <w:hyperlink w:anchor="_Toc482995213" w:history="1">
        <w:r w:rsidRPr="00787EAC">
          <w:rPr>
            <w:rStyle w:val="Hyperlink"/>
            <w:b/>
            <w:bCs/>
            <w:noProof/>
            <w:lang w:val="ru-RU"/>
          </w:rPr>
          <w:t>СРАВНЕНИЕ ПРЕДУСМОТРЕННЫХ В БЮДЖЕТЕ СУММ И ФАКТИЧЕСКИХ СУММ ЗА 2016 ФИНАНСОВЫЙ ГОД</w:t>
        </w:r>
        <w:r w:rsidRPr="00787EAC">
          <w:rPr>
            <w:b/>
            <w:bCs/>
            <w:noProof/>
            <w:webHidden/>
          </w:rPr>
          <w:tab/>
        </w:r>
        <w:r w:rsidR="00042867">
          <w:rPr>
            <w:b/>
            <w:bCs/>
            <w:noProof/>
            <w:webHidden/>
          </w:rPr>
          <w:tab/>
        </w:r>
        <w:r w:rsidRPr="00787EAC">
          <w:rPr>
            <w:b/>
            <w:bCs/>
            <w:noProof/>
            <w:webHidden/>
          </w:rPr>
          <w:fldChar w:fldCharType="begin"/>
        </w:r>
        <w:r w:rsidRPr="00787EAC">
          <w:rPr>
            <w:b/>
            <w:bCs/>
            <w:noProof/>
            <w:webHidden/>
          </w:rPr>
          <w:instrText xml:space="preserve"> PAGEREF _Toc482995213 \h </w:instrText>
        </w:r>
        <w:r w:rsidRPr="00787EAC">
          <w:rPr>
            <w:b/>
            <w:bCs/>
            <w:noProof/>
            <w:webHidden/>
          </w:rPr>
        </w:r>
        <w:r w:rsidRPr="00787EAC">
          <w:rPr>
            <w:b/>
            <w:bCs/>
            <w:noProof/>
            <w:webHidden/>
          </w:rPr>
          <w:fldChar w:fldCharType="separate"/>
        </w:r>
        <w:r w:rsidRPr="00787EAC">
          <w:rPr>
            <w:b/>
            <w:bCs/>
            <w:noProof/>
            <w:webHidden/>
          </w:rPr>
          <w:t>31</w:t>
        </w:r>
        <w:r w:rsidRPr="00787EAC">
          <w:rPr>
            <w:b/>
            <w:bCs/>
            <w:noProof/>
            <w:webHidden/>
          </w:rPr>
          <w:fldChar w:fldCharType="end"/>
        </w:r>
      </w:hyperlink>
    </w:p>
    <w:p w:rsidR="009B24B2" w:rsidRPr="00787EAC"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b/>
          <w:bCs/>
          <w:noProof/>
          <w:szCs w:val="22"/>
          <w:lang w:eastAsia="zh-CN"/>
        </w:rPr>
      </w:pPr>
      <w:hyperlink w:anchor="_Toc482995214" w:history="1">
        <w:r w:rsidRPr="00787EAC">
          <w:rPr>
            <w:rStyle w:val="Hyperlink"/>
            <w:b/>
            <w:bCs/>
            <w:noProof/>
            <w:lang w:val="ru-RU"/>
          </w:rPr>
          <w:t>СТРАХОВАЯ КАССА ПЕРСОНАЛА</w:t>
        </w:r>
        <w:r w:rsidRPr="00787EAC">
          <w:rPr>
            <w:b/>
            <w:bCs/>
            <w:noProof/>
            <w:webHidden/>
          </w:rPr>
          <w:tab/>
        </w:r>
        <w:r w:rsidR="00042867">
          <w:rPr>
            <w:b/>
            <w:bCs/>
            <w:noProof/>
            <w:webHidden/>
          </w:rPr>
          <w:tab/>
        </w:r>
        <w:r w:rsidRPr="00787EAC">
          <w:rPr>
            <w:b/>
            <w:bCs/>
            <w:noProof/>
            <w:webHidden/>
          </w:rPr>
          <w:fldChar w:fldCharType="begin"/>
        </w:r>
        <w:r w:rsidRPr="00787EAC">
          <w:rPr>
            <w:b/>
            <w:bCs/>
            <w:noProof/>
            <w:webHidden/>
          </w:rPr>
          <w:instrText xml:space="preserve"> PAGEREF _Toc482995214 \h </w:instrText>
        </w:r>
        <w:r w:rsidRPr="00787EAC">
          <w:rPr>
            <w:b/>
            <w:bCs/>
            <w:noProof/>
            <w:webHidden/>
          </w:rPr>
        </w:r>
        <w:r w:rsidRPr="00787EAC">
          <w:rPr>
            <w:b/>
            <w:bCs/>
            <w:noProof/>
            <w:webHidden/>
          </w:rPr>
          <w:fldChar w:fldCharType="separate"/>
        </w:r>
        <w:r w:rsidRPr="00787EAC">
          <w:rPr>
            <w:b/>
            <w:bCs/>
            <w:noProof/>
            <w:webHidden/>
          </w:rPr>
          <w:t>31</w:t>
        </w:r>
        <w:r w:rsidRPr="00787EAC">
          <w:rPr>
            <w:b/>
            <w:bCs/>
            <w:noProof/>
            <w:webHidden/>
          </w:rPr>
          <w:fldChar w:fldCharType="end"/>
        </w:r>
      </w:hyperlink>
    </w:p>
    <w:p w:rsidR="009B24B2" w:rsidRPr="00787EAC"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b/>
          <w:bCs/>
          <w:noProof/>
          <w:szCs w:val="22"/>
          <w:lang w:eastAsia="zh-CN"/>
        </w:rPr>
      </w:pPr>
      <w:hyperlink w:anchor="_Toc482995215" w:history="1">
        <w:r w:rsidRPr="00787EAC">
          <w:rPr>
            <w:rStyle w:val="Hyperlink"/>
            <w:b/>
            <w:bCs/>
            <w:noProof/>
            <w:lang w:val="ru-RU"/>
          </w:rPr>
          <w:t>ПРОГРАММА РАЗВИТИЯ ОРГАНИЗАЦИИ ОБЪЕДИНЕННЫХ НАЦИЙ (ПРООН), ФОНД РАЗВИТИЯ ИНФОРМАЦИОННО-КОММУНИКАЦИОНН</w:t>
        </w:r>
        <w:r w:rsidR="00042867">
          <w:rPr>
            <w:rStyle w:val="Hyperlink"/>
            <w:b/>
            <w:bCs/>
            <w:noProof/>
            <w:lang w:val="ru-RU"/>
          </w:rPr>
          <w:t>ЫХ ТЕХНОЛОГИЙ (ФРИКТ) И ЦЕЛЕВЫЕ </w:t>
        </w:r>
        <w:r w:rsidRPr="00787EAC">
          <w:rPr>
            <w:rStyle w:val="Hyperlink"/>
            <w:b/>
            <w:bCs/>
            <w:noProof/>
            <w:lang w:val="ru-RU"/>
          </w:rPr>
          <w:t>ФОНДЫ</w:t>
        </w:r>
        <w:r w:rsidRPr="00787EAC">
          <w:rPr>
            <w:b/>
            <w:bCs/>
            <w:noProof/>
            <w:webHidden/>
          </w:rPr>
          <w:tab/>
        </w:r>
        <w:r w:rsidR="00042867">
          <w:rPr>
            <w:b/>
            <w:bCs/>
            <w:noProof/>
            <w:webHidden/>
          </w:rPr>
          <w:tab/>
        </w:r>
        <w:r w:rsidRPr="00787EAC">
          <w:rPr>
            <w:b/>
            <w:bCs/>
            <w:noProof/>
            <w:webHidden/>
          </w:rPr>
          <w:fldChar w:fldCharType="begin"/>
        </w:r>
        <w:r w:rsidRPr="00787EAC">
          <w:rPr>
            <w:b/>
            <w:bCs/>
            <w:noProof/>
            <w:webHidden/>
          </w:rPr>
          <w:instrText xml:space="preserve"> PAGEREF _Toc482995215 \h </w:instrText>
        </w:r>
        <w:r w:rsidRPr="00787EAC">
          <w:rPr>
            <w:b/>
            <w:bCs/>
            <w:noProof/>
            <w:webHidden/>
          </w:rPr>
        </w:r>
        <w:r w:rsidRPr="00787EAC">
          <w:rPr>
            <w:b/>
            <w:bCs/>
            <w:noProof/>
            <w:webHidden/>
          </w:rPr>
          <w:fldChar w:fldCharType="separate"/>
        </w:r>
        <w:r w:rsidRPr="00787EAC">
          <w:rPr>
            <w:b/>
            <w:bCs/>
            <w:noProof/>
            <w:webHidden/>
          </w:rPr>
          <w:t>31</w:t>
        </w:r>
        <w:r w:rsidRPr="00787EAC">
          <w:rPr>
            <w:b/>
            <w:bCs/>
            <w:noProof/>
            <w:webHidden/>
          </w:rPr>
          <w:fldChar w:fldCharType="end"/>
        </w:r>
      </w:hyperlink>
    </w:p>
    <w:p w:rsidR="009B24B2" w:rsidRPr="00787EAC"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b/>
          <w:bCs/>
          <w:noProof/>
          <w:szCs w:val="22"/>
          <w:lang w:eastAsia="zh-CN"/>
        </w:rPr>
      </w:pPr>
      <w:hyperlink w:anchor="_Toc482995216" w:history="1">
        <w:r w:rsidR="00787EAC" w:rsidRPr="00787EAC">
          <w:rPr>
            <w:rStyle w:val="Hyperlink"/>
            <w:b/>
            <w:bCs/>
            <w:noProof/>
            <w:lang w:val="ru-RU"/>
          </w:rPr>
          <w:t>ПОДРАЗДЕЛЕНИЕ ВНУТРЕННЕГО АУДИТА</w:t>
        </w:r>
        <w:r w:rsidRPr="00787EAC">
          <w:rPr>
            <w:rStyle w:val="Hyperlink"/>
            <w:b/>
            <w:bCs/>
            <w:noProof/>
            <w:lang w:val="ru-RU"/>
          </w:rPr>
          <w:t xml:space="preserve"> (IAU)</w:t>
        </w:r>
        <w:r w:rsidRPr="00787EAC">
          <w:rPr>
            <w:b/>
            <w:bCs/>
            <w:noProof/>
            <w:webHidden/>
          </w:rPr>
          <w:tab/>
        </w:r>
        <w:r w:rsidR="00042867">
          <w:rPr>
            <w:b/>
            <w:bCs/>
            <w:noProof/>
            <w:webHidden/>
          </w:rPr>
          <w:tab/>
        </w:r>
        <w:r w:rsidRPr="00787EAC">
          <w:rPr>
            <w:b/>
            <w:bCs/>
            <w:noProof/>
            <w:webHidden/>
          </w:rPr>
          <w:fldChar w:fldCharType="begin"/>
        </w:r>
        <w:r w:rsidRPr="00787EAC">
          <w:rPr>
            <w:b/>
            <w:bCs/>
            <w:noProof/>
            <w:webHidden/>
          </w:rPr>
          <w:instrText xml:space="preserve"> PAGEREF _Toc482995216 \h </w:instrText>
        </w:r>
        <w:r w:rsidRPr="00787EAC">
          <w:rPr>
            <w:b/>
            <w:bCs/>
            <w:noProof/>
            <w:webHidden/>
          </w:rPr>
        </w:r>
        <w:r w:rsidRPr="00787EAC">
          <w:rPr>
            <w:b/>
            <w:bCs/>
            <w:noProof/>
            <w:webHidden/>
          </w:rPr>
          <w:fldChar w:fldCharType="separate"/>
        </w:r>
        <w:r w:rsidRPr="00787EAC">
          <w:rPr>
            <w:b/>
            <w:bCs/>
            <w:noProof/>
            <w:webHidden/>
          </w:rPr>
          <w:t>32</w:t>
        </w:r>
        <w:r w:rsidRPr="00787EAC">
          <w:rPr>
            <w:b/>
            <w:bCs/>
            <w:noProof/>
            <w:webHidden/>
          </w:rPr>
          <w:fldChar w:fldCharType="end"/>
        </w:r>
      </w:hyperlink>
    </w:p>
    <w:p w:rsidR="009B24B2" w:rsidRPr="00787EAC"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b/>
          <w:bCs/>
          <w:noProof/>
          <w:szCs w:val="22"/>
          <w:lang w:eastAsia="zh-CN"/>
        </w:rPr>
      </w:pPr>
      <w:hyperlink w:anchor="_Toc482995217" w:history="1">
        <w:r w:rsidRPr="00787EAC">
          <w:rPr>
            <w:rStyle w:val="Hyperlink"/>
            <w:b/>
            <w:bCs/>
            <w:noProof/>
            <w:lang w:val="ru-RU"/>
          </w:rPr>
          <w:t>ПОСЛЕДУЮЩИЕ МЕРЫ В СВЯЗИ</w:t>
        </w:r>
        <w:r w:rsidR="00C1422F">
          <w:rPr>
            <w:rStyle w:val="Hyperlink"/>
            <w:b/>
            <w:bCs/>
            <w:noProof/>
            <w:lang w:val="ru-RU"/>
          </w:rPr>
          <w:t xml:space="preserve"> С ПРЕДЫДУЩИМИ РЕКОМЕНДАЦИЯМИ И </w:t>
        </w:r>
        <w:r w:rsidRPr="00787EAC">
          <w:rPr>
            <w:rStyle w:val="Hyperlink"/>
            <w:b/>
            <w:bCs/>
            <w:noProof/>
            <w:lang w:val="ru-RU"/>
          </w:rPr>
          <w:t>ПРЕДЛОЖЕНИЯМИ</w:t>
        </w:r>
        <w:r w:rsidRPr="00787EAC">
          <w:rPr>
            <w:b/>
            <w:bCs/>
            <w:noProof/>
            <w:webHidden/>
          </w:rPr>
          <w:tab/>
        </w:r>
        <w:r w:rsidR="00042867">
          <w:rPr>
            <w:b/>
            <w:bCs/>
            <w:noProof/>
            <w:webHidden/>
          </w:rPr>
          <w:tab/>
        </w:r>
        <w:r w:rsidRPr="00787EAC">
          <w:rPr>
            <w:b/>
            <w:bCs/>
            <w:noProof/>
            <w:webHidden/>
          </w:rPr>
          <w:fldChar w:fldCharType="begin"/>
        </w:r>
        <w:r w:rsidRPr="00787EAC">
          <w:rPr>
            <w:b/>
            <w:bCs/>
            <w:noProof/>
            <w:webHidden/>
          </w:rPr>
          <w:instrText xml:space="preserve"> PAGEREF _Toc482995217 \h </w:instrText>
        </w:r>
        <w:r w:rsidRPr="00787EAC">
          <w:rPr>
            <w:b/>
            <w:bCs/>
            <w:noProof/>
            <w:webHidden/>
          </w:rPr>
        </w:r>
        <w:r w:rsidRPr="00787EAC">
          <w:rPr>
            <w:b/>
            <w:bCs/>
            <w:noProof/>
            <w:webHidden/>
          </w:rPr>
          <w:fldChar w:fldCharType="separate"/>
        </w:r>
        <w:r w:rsidRPr="00787EAC">
          <w:rPr>
            <w:b/>
            <w:bCs/>
            <w:noProof/>
            <w:webHidden/>
          </w:rPr>
          <w:t>32</w:t>
        </w:r>
        <w:r w:rsidRPr="00787EAC">
          <w:rPr>
            <w:b/>
            <w:bCs/>
            <w:noProof/>
            <w:webHidden/>
          </w:rPr>
          <w:fldChar w:fldCharType="end"/>
        </w:r>
      </w:hyperlink>
    </w:p>
    <w:p w:rsidR="009B24B2" w:rsidRPr="00787EAC"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b/>
          <w:bCs/>
          <w:noProof/>
          <w:szCs w:val="22"/>
          <w:lang w:eastAsia="zh-CN"/>
        </w:rPr>
      </w:pPr>
      <w:hyperlink w:anchor="_Toc482995218" w:history="1">
        <w:r w:rsidRPr="00787EAC">
          <w:rPr>
            <w:rStyle w:val="Hyperlink"/>
            <w:b/>
            <w:bCs/>
            <w:noProof/>
            <w:lang w:val="ru-RU"/>
          </w:rPr>
          <w:t>ПРИЛОЖЕНИЕ I</w:t>
        </w:r>
      </w:hyperlink>
      <w:hyperlink w:anchor="_Toc482995219" w:history="1">
        <w:r w:rsidR="00787EAC">
          <w:rPr>
            <w:rStyle w:val="Hyperlink"/>
            <w:b/>
            <w:bCs/>
            <w:noProof/>
            <w:lang w:val="ru-RU"/>
          </w:rPr>
          <w:t xml:space="preserve"> − П</w:t>
        </w:r>
        <w:r w:rsidRPr="00787EAC">
          <w:rPr>
            <w:rStyle w:val="Hyperlink"/>
            <w:b/>
            <w:bCs/>
            <w:noProof/>
            <w:lang w:val="ru-RU"/>
          </w:rPr>
          <w:t>оследующие меры в связи с ре</w:t>
        </w:r>
        <w:r w:rsidR="00C1422F">
          <w:rPr>
            <w:rStyle w:val="Hyperlink"/>
            <w:b/>
            <w:bCs/>
            <w:noProof/>
            <w:lang w:val="ru-RU"/>
          </w:rPr>
          <w:t>комендациями, представленными в </w:t>
        </w:r>
        <w:r w:rsidRPr="00787EAC">
          <w:rPr>
            <w:rStyle w:val="Hyperlink"/>
            <w:b/>
            <w:bCs/>
            <w:noProof/>
            <w:lang w:val="ru-RU"/>
          </w:rPr>
          <w:t>наших предыдущих отчетах</w:t>
        </w:r>
        <w:r w:rsidRPr="00787EAC">
          <w:rPr>
            <w:rStyle w:val="Hyperlink"/>
            <w:webHidden/>
            <w:lang w:val="ru-RU"/>
          </w:rPr>
          <w:tab/>
        </w:r>
        <w:r w:rsidR="00042867">
          <w:rPr>
            <w:rStyle w:val="Hyperlink"/>
            <w:webHidden/>
            <w:lang w:val="ru-RU"/>
          </w:rPr>
          <w:tab/>
        </w:r>
        <w:r w:rsidRPr="00787EAC">
          <w:rPr>
            <w:rStyle w:val="Hyperlink"/>
            <w:b/>
            <w:bCs/>
            <w:webHidden/>
            <w:lang w:val="ru-RU"/>
          </w:rPr>
          <w:fldChar w:fldCharType="begin"/>
        </w:r>
        <w:r w:rsidRPr="00787EAC">
          <w:rPr>
            <w:rStyle w:val="Hyperlink"/>
            <w:b/>
            <w:bCs/>
            <w:webHidden/>
            <w:lang w:val="ru-RU"/>
          </w:rPr>
          <w:instrText xml:space="preserve"> PAGEREF _Toc482995219 \h </w:instrText>
        </w:r>
        <w:r w:rsidRPr="00787EAC">
          <w:rPr>
            <w:rStyle w:val="Hyperlink"/>
            <w:b/>
            <w:bCs/>
            <w:webHidden/>
            <w:lang w:val="ru-RU"/>
          </w:rPr>
        </w:r>
        <w:r w:rsidRPr="00787EAC">
          <w:rPr>
            <w:rStyle w:val="Hyperlink"/>
            <w:b/>
            <w:bCs/>
            <w:webHidden/>
            <w:lang w:val="ru-RU"/>
          </w:rPr>
          <w:fldChar w:fldCharType="separate"/>
        </w:r>
        <w:r w:rsidRPr="00787EAC">
          <w:rPr>
            <w:rStyle w:val="Hyperlink"/>
            <w:b/>
            <w:bCs/>
            <w:webHidden/>
            <w:lang w:val="ru-RU"/>
          </w:rPr>
          <w:t>33</w:t>
        </w:r>
        <w:r w:rsidRPr="00787EAC">
          <w:rPr>
            <w:rStyle w:val="Hyperlink"/>
            <w:b/>
            <w:bCs/>
            <w:webHidden/>
            <w:lang w:val="ru-RU"/>
          </w:rPr>
          <w:fldChar w:fldCharType="end"/>
        </w:r>
      </w:hyperlink>
    </w:p>
    <w:p w:rsidR="009B24B2" w:rsidRPr="00787EAC"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b/>
          <w:bCs/>
          <w:noProof/>
          <w:szCs w:val="22"/>
          <w:lang w:eastAsia="zh-CN"/>
        </w:rPr>
      </w:pPr>
      <w:hyperlink w:anchor="_Toc482995220" w:history="1">
        <w:r w:rsidR="00787EAC" w:rsidRPr="00787EAC">
          <w:rPr>
            <w:rStyle w:val="Hyperlink"/>
            <w:b/>
            <w:bCs/>
            <w:noProof/>
            <w:lang w:val="ru-RU"/>
          </w:rPr>
          <w:t>ПРИЛОЖЕНИЕ II</w:t>
        </w:r>
      </w:hyperlink>
      <w:hyperlink w:anchor="_Toc482995221" w:history="1">
        <w:r w:rsidR="00787EAC">
          <w:rPr>
            <w:rStyle w:val="Hyperlink"/>
            <w:b/>
            <w:bCs/>
            <w:noProof/>
            <w:lang w:val="ru-RU"/>
          </w:rPr>
          <w:t xml:space="preserve"> − П</w:t>
        </w:r>
        <w:r w:rsidRPr="00787EAC">
          <w:rPr>
            <w:rStyle w:val="Hyperlink"/>
            <w:b/>
            <w:bCs/>
            <w:noProof/>
            <w:lang w:val="ru-RU"/>
          </w:rPr>
          <w:t>оследующие меры в связи с рекомендациями, представленными ШФАБ</w:t>
        </w:r>
        <w:r w:rsidRPr="00787EAC">
          <w:rPr>
            <w:b/>
            <w:bCs/>
            <w:noProof/>
            <w:webHidden/>
          </w:rPr>
          <w:tab/>
        </w:r>
        <w:r w:rsidR="00042867">
          <w:rPr>
            <w:b/>
            <w:bCs/>
            <w:noProof/>
            <w:webHidden/>
          </w:rPr>
          <w:tab/>
        </w:r>
        <w:r w:rsidRPr="00787EAC">
          <w:rPr>
            <w:b/>
            <w:bCs/>
            <w:noProof/>
            <w:webHidden/>
          </w:rPr>
          <w:fldChar w:fldCharType="begin"/>
        </w:r>
        <w:r w:rsidRPr="00787EAC">
          <w:rPr>
            <w:b/>
            <w:bCs/>
            <w:noProof/>
            <w:webHidden/>
          </w:rPr>
          <w:instrText xml:space="preserve"> PAGEREF _Toc482995221 \h </w:instrText>
        </w:r>
        <w:r w:rsidRPr="00787EAC">
          <w:rPr>
            <w:b/>
            <w:bCs/>
            <w:noProof/>
            <w:webHidden/>
          </w:rPr>
        </w:r>
        <w:r w:rsidRPr="00787EAC">
          <w:rPr>
            <w:b/>
            <w:bCs/>
            <w:noProof/>
            <w:webHidden/>
          </w:rPr>
          <w:fldChar w:fldCharType="separate"/>
        </w:r>
        <w:r w:rsidRPr="00787EAC">
          <w:rPr>
            <w:b/>
            <w:bCs/>
            <w:noProof/>
            <w:webHidden/>
          </w:rPr>
          <w:t>44</w:t>
        </w:r>
        <w:r w:rsidRPr="00787EAC">
          <w:rPr>
            <w:b/>
            <w:bCs/>
            <w:noProof/>
            <w:webHidden/>
          </w:rPr>
          <w:fldChar w:fldCharType="end"/>
        </w:r>
      </w:hyperlink>
    </w:p>
    <w:p w:rsidR="009B24B2" w:rsidRPr="00787EAC" w:rsidRDefault="009B24B2" w:rsidP="00787EAC">
      <w:pPr>
        <w:pStyle w:val="TOC1"/>
        <w:tabs>
          <w:tab w:val="clear" w:pos="7938"/>
          <w:tab w:val="left" w:leader="dot" w:pos="8789"/>
          <w:tab w:val="right" w:pos="9639"/>
        </w:tabs>
        <w:spacing w:before="120"/>
        <w:ind w:left="0" w:right="851" w:firstLine="0"/>
        <w:rPr>
          <w:rFonts w:asciiTheme="minorHAnsi" w:eastAsiaTheme="minorEastAsia" w:hAnsiTheme="minorHAnsi" w:cstheme="minorBidi"/>
          <w:b/>
          <w:bCs/>
          <w:noProof/>
          <w:szCs w:val="22"/>
          <w:lang w:eastAsia="zh-CN"/>
        </w:rPr>
      </w:pPr>
      <w:hyperlink w:anchor="_Toc482995222" w:history="1">
        <w:r w:rsidR="00787EAC" w:rsidRPr="00787EAC">
          <w:rPr>
            <w:rStyle w:val="Hyperlink"/>
            <w:b/>
            <w:bCs/>
            <w:noProof/>
            <w:lang w:val="ru-RU"/>
          </w:rPr>
          <w:t>ПРИЛОЖЕНИЕ III</w:t>
        </w:r>
      </w:hyperlink>
      <w:hyperlink w:anchor="_Toc482995223" w:history="1">
        <w:r w:rsidR="00787EAC">
          <w:rPr>
            <w:rStyle w:val="Hyperlink"/>
            <w:b/>
            <w:bCs/>
            <w:noProof/>
          </w:rPr>
          <w:t xml:space="preserve"> − </w:t>
        </w:r>
        <w:r w:rsidR="00787EAC">
          <w:rPr>
            <w:rStyle w:val="Hyperlink"/>
            <w:b/>
            <w:bCs/>
            <w:noProof/>
            <w:lang w:val="ru-RU"/>
          </w:rPr>
          <w:t>П</w:t>
        </w:r>
        <w:r w:rsidRPr="00787EAC">
          <w:rPr>
            <w:rStyle w:val="Hyperlink"/>
            <w:b/>
            <w:bCs/>
            <w:noProof/>
            <w:lang w:val="ru-RU"/>
          </w:rPr>
          <w:t>оследующие меры в связи с п</w:t>
        </w:r>
        <w:r w:rsidR="00042867">
          <w:rPr>
            <w:rStyle w:val="Hyperlink"/>
            <w:b/>
            <w:bCs/>
            <w:noProof/>
            <w:lang w:val="ru-RU"/>
          </w:rPr>
          <w:t>редложениями, представленными в </w:t>
        </w:r>
        <w:r w:rsidRPr="00787EAC">
          <w:rPr>
            <w:rStyle w:val="Hyperlink"/>
            <w:b/>
            <w:bCs/>
            <w:noProof/>
            <w:lang w:val="ru-RU"/>
          </w:rPr>
          <w:t>наших предыдущих отчетах</w:t>
        </w:r>
        <w:r w:rsidRPr="00787EAC">
          <w:rPr>
            <w:b/>
            <w:bCs/>
            <w:noProof/>
            <w:webHidden/>
          </w:rPr>
          <w:tab/>
        </w:r>
        <w:r w:rsidR="00042867">
          <w:rPr>
            <w:b/>
            <w:bCs/>
            <w:noProof/>
            <w:webHidden/>
          </w:rPr>
          <w:tab/>
        </w:r>
        <w:r w:rsidRPr="00787EAC">
          <w:rPr>
            <w:b/>
            <w:bCs/>
            <w:noProof/>
            <w:webHidden/>
          </w:rPr>
          <w:fldChar w:fldCharType="begin"/>
        </w:r>
        <w:r w:rsidRPr="00787EAC">
          <w:rPr>
            <w:b/>
            <w:bCs/>
            <w:noProof/>
            <w:webHidden/>
          </w:rPr>
          <w:instrText xml:space="preserve"> PAGEREF _Toc482995223 \h </w:instrText>
        </w:r>
        <w:r w:rsidRPr="00787EAC">
          <w:rPr>
            <w:b/>
            <w:bCs/>
            <w:noProof/>
            <w:webHidden/>
          </w:rPr>
        </w:r>
        <w:r w:rsidRPr="00787EAC">
          <w:rPr>
            <w:b/>
            <w:bCs/>
            <w:noProof/>
            <w:webHidden/>
          </w:rPr>
          <w:fldChar w:fldCharType="separate"/>
        </w:r>
        <w:r w:rsidRPr="00787EAC">
          <w:rPr>
            <w:b/>
            <w:bCs/>
            <w:noProof/>
            <w:webHidden/>
          </w:rPr>
          <w:t>45</w:t>
        </w:r>
        <w:r w:rsidRPr="00787EAC">
          <w:rPr>
            <w:b/>
            <w:bCs/>
            <w:noProof/>
            <w:webHidden/>
          </w:rPr>
          <w:fldChar w:fldCharType="end"/>
        </w:r>
      </w:hyperlink>
    </w:p>
    <w:p w:rsidR="00542F98" w:rsidRPr="002C25C6" w:rsidRDefault="00C75987" w:rsidP="00787EAC">
      <w:pPr>
        <w:tabs>
          <w:tab w:val="left" w:leader="dot" w:pos="8789"/>
          <w:tab w:val="left" w:leader="dot" w:pos="9072"/>
          <w:tab w:val="right" w:pos="9639"/>
        </w:tabs>
        <w:ind w:right="851"/>
        <w:rPr>
          <w:lang w:val="ru-RU"/>
        </w:rPr>
      </w:pPr>
      <w:r w:rsidRPr="002C25C6">
        <w:rPr>
          <w:lang w:val="ru-RU"/>
        </w:rPr>
        <w:fldChar w:fldCharType="end"/>
      </w:r>
      <w:r w:rsidR="00542F98" w:rsidRPr="002C25C6">
        <w:rPr>
          <w:lang w:val="ru-RU"/>
        </w:rPr>
        <w:br w:type="page"/>
      </w:r>
    </w:p>
    <w:p w:rsidR="00542F98" w:rsidRPr="002C25C6" w:rsidRDefault="00542F98" w:rsidP="0063619D">
      <w:pPr>
        <w:pStyle w:val="Heading1"/>
        <w:jc w:val="center"/>
        <w:rPr>
          <w:lang w:val="ru-RU"/>
        </w:rPr>
      </w:pPr>
      <w:bookmarkStart w:id="36" w:name="_Toc452157288"/>
      <w:bookmarkStart w:id="37" w:name="_Toc482995155"/>
      <w:r w:rsidRPr="002C25C6">
        <w:rPr>
          <w:lang w:val="ru-RU"/>
        </w:rPr>
        <w:lastRenderedPageBreak/>
        <w:t>ВВЕДЕНИЕ</w:t>
      </w:r>
      <w:bookmarkEnd w:id="36"/>
      <w:bookmarkEnd w:id="37"/>
    </w:p>
    <w:p w:rsidR="00542F98" w:rsidRPr="002C25C6" w:rsidRDefault="00542F98" w:rsidP="00542F98">
      <w:pPr>
        <w:rPr>
          <w:lang w:val="ru-RU"/>
        </w:rPr>
      </w:pPr>
      <w:r w:rsidRPr="002C25C6">
        <w:rPr>
          <w:lang w:val="ru-RU"/>
        </w:rPr>
        <w:t xml:space="preserve">Правовая основа для аудиторской проверки, проводимой </w:t>
      </w:r>
      <w:r w:rsidR="00013C48" w:rsidRPr="002C25C6">
        <w:rPr>
          <w:lang w:val="ru-RU"/>
        </w:rPr>
        <w:t xml:space="preserve">Внешними </w:t>
      </w:r>
      <w:r w:rsidRPr="002C25C6">
        <w:rPr>
          <w:lang w:val="ru-RU"/>
        </w:rPr>
        <w:t>аудиторами, изложена в Статье 28 Финансового регламента (издания 2010 г.) и Дополнительных полномочиях.</w:t>
      </w:r>
    </w:p>
    <w:p w:rsidR="00542F98" w:rsidRPr="002C25C6" w:rsidRDefault="00542F98" w:rsidP="00542F98">
      <w:pPr>
        <w:rPr>
          <w:lang w:val="ru-RU"/>
        </w:rPr>
      </w:pPr>
      <w:r w:rsidRPr="002C25C6">
        <w:rPr>
          <w:lang w:val="ru-RU"/>
        </w:rPr>
        <w:t xml:space="preserve">В настоящем отчете Совету представляется информация о результатах проведенной нами аудиторской проверки. </w:t>
      </w:r>
    </w:p>
    <w:p w:rsidR="00542F98" w:rsidRPr="002C25C6" w:rsidRDefault="00542F98" w:rsidP="00966394">
      <w:pPr>
        <w:rPr>
          <w:lang w:val="ru-RU"/>
        </w:rPr>
      </w:pPr>
      <w:r w:rsidRPr="002C25C6">
        <w:rPr>
          <w:lang w:val="ru-RU"/>
        </w:rPr>
        <w:t>В ходе аудиторской проверки рассматривался Отчет о финансовой деятельности МСЭ по состоянию на 31 декабря 201</w:t>
      </w:r>
      <w:r w:rsidR="00966394" w:rsidRPr="002C25C6">
        <w:rPr>
          <w:lang w:val="ru-RU"/>
        </w:rPr>
        <w:t>6</w:t>
      </w:r>
      <w:r w:rsidRPr="002C25C6">
        <w:rPr>
          <w:lang w:val="ru-RU"/>
        </w:rPr>
        <w:t xml:space="preserve"> года, а также бюджетные счета и их согласованность. </w:t>
      </w:r>
    </w:p>
    <w:p w:rsidR="00542F98" w:rsidRPr="002C25C6" w:rsidRDefault="00542F98" w:rsidP="00542F98">
      <w:pPr>
        <w:rPr>
          <w:lang w:val="ru-RU"/>
        </w:rPr>
      </w:pPr>
      <w:r w:rsidRPr="002C25C6">
        <w:rPr>
          <w:lang w:val="ru-RU"/>
        </w:rPr>
        <w:t xml:space="preserve">Финансовые периоды регулируются Уставом и Конвенцией Международного союза электросвязи, а также </w:t>
      </w:r>
      <w:r w:rsidRPr="002C25C6">
        <w:rPr>
          <w:i/>
          <w:iCs/>
          <w:lang w:val="ru-RU"/>
        </w:rPr>
        <w:t>Финансовым регламентом и Финансовыми правилами</w:t>
      </w:r>
      <w:r w:rsidRPr="002C25C6">
        <w:rPr>
          <w:lang w:val="ru-RU"/>
        </w:rPr>
        <w:t xml:space="preserve"> МСЭ в соответствии с Международными стандартами финансовой отчетности для общественного сектора (IPSAS).</w:t>
      </w:r>
    </w:p>
    <w:p w:rsidR="00542F98" w:rsidRPr="002C25C6" w:rsidRDefault="00542F98" w:rsidP="00966394">
      <w:pPr>
        <w:rPr>
          <w:lang w:val="ru-RU"/>
        </w:rPr>
      </w:pPr>
      <w:r w:rsidRPr="002C25C6">
        <w:rPr>
          <w:lang w:val="ru-RU"/>
        </w:rPr>
        <w:t>Мы провели аудиторскую проверку счетов за 201</w:t>
      </w:r>
      <w:r w:rsidR="00966394" w:rsidRPr="002C25C6">
        <w:rPr>
          <w:lang w:val="ru-RU"/>
        </w:rPr>
        <w:t>6</w:t>
      </w:r>
      <w:r w:rsidRPr="002C25C6">
        <w:rPr>
          <w:lang w:val="ru-RU"/>
        </w:rPr>
        <w:t xml:space="preserve"> финансовый год на основе стандартов Международной организации высших ревизионных учреждений (</w:t>
      </w:r>
      <w:proofErr w:type="spellStart"/>
      <w:r w:rsidRPr="002C25C6">
        <w:rPr>
          <w:lang w:val="ru-RU"/>
        </w:rPr>
        <w:t>МОВРУ</w:t>
      </w:r>
      <w:proofErr w:type="spellEnd"/>
      <w:r w:rsidRPr="002C25C6">
        <w:rPr>
          <w:lang w:val="ru-RU"/>
        </w:rPr>
        <w:t xml:space="preserve">), метода IPSAS и в соответствии с дополнительными полномочиями, которые являются неотъемлемой частью Финансового регламента Союза. </w:t>
      </w:r>
    </w:p>
    <w:p w:rsidR="00542F98" w:rsidRPr="002C25C6" w:rsidRDefault="00542F98" w:rsidP="00542F98">
      <w:pPr>
        <w:rPr>
          <w:lang w:val="ru-RU"/>
        </w:rPr>
      </w:pPr>
      <w:r w:rsidRPr="002C25C6">
        <w:rPr>
          <w:lang w:val="ru-RU"/>
        </w:rPr>
        <w:t xml:space="preserve">Мы запланировали нашу рабочую деятельность согласно нашей стратегии аудита, чтобы получить разумные гарантии того, что в финансовой отчетности отсутствуют данные, существенным образом искажающие положение дел. </w:t>
      </w:r>
    </w:p>
    <w:p w:rsidR="00542F98" w:rsidRPr="002C25C6" w:rsidRDefault="00542F98" w:rsidP="00542F98">
      <w:pPr>
        <w:rPr>
          <w:lang w:val="ru-RU"/>
        </w:rPr>
      </w:pPr>
      <w:r w:rsidRPr="002C25C6">
        <w:rPr>
          <w:lang w:val="ru-RU"/>
        </w:rPr>
        <w:t xml:space="preserve">Мы провели оценку принципов бухгалтерского учета и соответствующих прогнозов, сделанных руководством, и оценили адекватность представления информации в финансовой отчетности. </w:t>
      </w:r>
    </w:p>
    <w:p w:rsidR="00542F98" w:rsidRPr="002C25C6" w:rsidRDefault="00542F98" w:rsidP="00542F98">
      <w:pPr>
        <w:rPr>
          <w:lang w:val="ru-RU"/>
        </w:rPr>
      </w:pPr>
      <w:r w:rsidRPr="002C25C6">
        <w:rPr>
          <w:lang w:val="ru-RU"/>
        </w:rPr>
        <w:t xml:space="preserve">Мы проверили на основе выборки ряд операций и соответствующую документацию, получив достаточные и надежные доказательства в отношении счетов и предоставления информации в финансовой отчетности. </w:t>
      </w:r>
    </w:p>
    <w:p w:rsidR="00542F98" w:rsidRPr="002C25C6" w:rsidRDefault="00542F98" w:rsidP="00542F98">
      <w:pPr>
        <w:rPr>
          <w:lang w:val="ru-RU"/>
        </w:rPr>
      </w:pPr>
      <w:r w:rsidRPr="002C25C6">
        <w:rPr>
          <w:lang w:val="ru-RU"/>
        </w:rPr>
        <w:t xml:space="preserve">Таким образом, благодаря аудиту мы получили достаточную основу для составления мнения, которое приводится ниже. </w:t>
      </w:r>
    </w:p>
    <w:p w:rsidR="00542F98" w:rsidRPr="002C25C6" w:rsidRDefault="00542F98" w:rsidP="00542F98">
      <w:pPr>
        <w:rPr>
          <w:lang w:val="ru-RU"/>
        </w:rPr>
      </w:pPr>
      <w:r w:rsidRPr="002C25C6">
        <w:rPr>
          <w:lang w:val="ru-RU"/>
        </w:rPr>
        <w:t xml:space="preserve">В ходе аудита все вопросы разъяснялись и обсуждались с ответственными сотрудниками. </w:t>
      </w:r>
    </w:p>
    <w:p w:rsidR="00542F98" w:rsidRPr="002C25C6" w:rsidRDefault="00542F98" w:rsidP="00542F98">
      <w:pPr>
        <w:rPr>
          <w:lang w:val="ru-RU"/>
        </w:rPr>
      </w:pPr>
      <w:r w:rsidRPr="002C25C6">
        <w:rPr>
          <w:lang w:val="ru-RU"/>
        </w:rPr>
        <w:t xml:space="preserve">Наша группа регулярно проводила обсуждения с г-ном </w:t>
      </w:r>
      <w:proofErr w:type="spellStart"/>
      <w:r w:rsidRPr="002C25C6">
        <w:rPr>
          <w:lang w:val="ru-RU"/>
        </w:rPr>
        <w:t>Алассаном</w:t>
      </w:r>
      <w:proofErr w:type="spellEnd"/>
      <w:r w:rsidRPr="002C25C6">
        <w:rPr>
          <w:lang w:val="ru-RU"/>
        </w:rPr>
        <w:t xml:space="preserve"> Ба, руководителем Департамента управления финансовыми ресурсами МСЭ, и сотрудниками его департамента, а также с </w:t>
      </w:r>
      <w:bookmarkStart w:id="38" w:name="_GoBack"/>
      <w:r w:rsidRPr="002C25C6">
        <w:rPr>
          <w:lang w:val="ru-RU"/>
        </w:rPr>
        <w:t xml:space="preserve">сотрудниками других департаментов, в зависимости от рассматриваемого вопроса. </w:t>
      </w:r>
    </w:p>
    <w:bookmarkEnd w:id="38"/>
    <w:p w:rsidR="00542F98" w:rsidRPr="002C25C6" w:rsidRDefault="00542F98" w:rsidP="00542F98">
      <w:pPr>
        <w:rPr>
          <w:lang w:val="ru-RU"/>
        </w:rPr>
      </w:pPr>
      <w:r w:rsidRPr="002C25C6">
        <w:rPr>
          <w:lang w:val="ru-RU"/>
        </w:rPr>
        <w:t>Резул</w:t>
      </w:r>
      <w:r w:rsidR="00966394" w:rsidRPr="002C25C6">
        <w:rPr>
          <w:lang w:val="ru-RU"/>
        </w:rPr>
        <w:t>ьтаты аудита были представлены 2 мая 2017</w:t>
      </w:r>
      <w:r w:rsidRPr="002C25C6">
        <w:rPr>
          <w:lang w:val="ru-RU"/>
        </w:rPr>
        <w:t xml:space="preserve"> года. </w:t>
      </w:r>
    </w:p>
    <w:p w:rsidR="00542F98" w:rsidRPr="002C25C6" w:rsidRDefault="00542F98" w:rsidP="00966394">
      <w:pPr>
        <w:rPr>
          <w:lang w:val="ru-RU"/>
        </w:rPr>
      </w:pPr>
      <w:r w:rsidRPr="002C25C6">
        <w:rPr>
          <w:lang w:val="ru-RU"/>
        </w:rPr>
        <w:t xml:space="preserve">В том что касается комментариев Генерального секретаря, которые следует включить в настоящий отчет согласно пункту 9 Дополнительных полномочий по внешней аудиторской проверке, Генеральный секретарь в ходе последнего обсуждения, состоявшегося </w:t>
      </w:r>
      <w:r w:rsidR="00966394" w:rsidRPr="002C25C6">
        <w:rPr>
          <w:lang w:val="ru-RU"/>
        </w:rPr>
        <w:t>4</w:t>
      </w:r>
      <w:r w:rsidRPr="002C25C6">
        <w:rPr>
          <w:lang w:val="ru-RU"/>
        </w:rPr>
        <w:t xml:space="preserve"> мая 201</w:t>
      </w:r>
      <w:r w:rsidR="00966394" w:rsidRPr="002C25C6">
        <w:rPr>
          <w:lang w:val="ru-RU"/>
        </w:rPr>
        <w:t>7</w:t>
      </w:r>
      <w:r w:rsidRPr="002C25C6">
        <w:rPr>
          <w:lang w:val="ru-RU"/>
        </w:rPr>
        <w:t xml:space="preserve"> года, уведомил нас через своих коллег о том, что он направит нам свои комментарии. Эти комментарии были получены </w:t>
      </w:r>
      <w:r w:rsidR="00966394" w:rsidRPr="002C25C6">
        <w:rPr>
          <w:lang w:val="ru-RU"/>
        </w:rPr>
        <w:t>9 мая 2017</w:t>
      </w:r>
      <w:r w:rsidRPr="002C25C6">
        <w:rPr>
          <w:lang w:val="ru-RU"/>
        </w:rPr>
        <w:t xml:space="preserve"> года и были должным образом включены в настоящий отчет. </w:t>
      </w:r>
    </w:p>
    <w:p w:rsidR="00542F98" w:rsidRPr="002C25C6" w:rsidRDefault="00542F98" w:rsidP="00966394">
      <w:pPr>
        <w:rPr>
          <w:lang w:val="ru-RU"/>
        </w:rPr>
      </w:pPr>
      <w:r w:rsidRPr="002C25C6">
        <w:rPr>
          <w:lang w:val="ru-RU"/>
        </w:rPr>
        <w:t>Мы проверили Отчет о финансовой деятельности МСЭ в отношении счетов организации, который касается финансовых результатов по состоянию на 31 декабря 201</w:t>
      </w:r>
      <w:r w:rsidR="00966394" w:rsidRPr="002C25C6">
        <w:rPr>
          <w:lang w:val="ru-RU"/>
        </w:rPr>
        <w:t>6</w:t>
      </w:r>
      <w:r w:rsidRPr="002C25C6">
        <w:rPr>
          <w:lang w:val="ru-RU"/>
        </w:rPr>
        <w:t xml:space="preserve"> года, представленных в соответствии со Статьей 28 </w:t>
      </w:r>
      <w:r w:rsidRPr="002C25C6">
        <w:rPr>
          <w:i/>
          <w:iCs/>
          <w:lang w:val="ru-RU"/>
        </w:rPr>
        <w:t xml:space="preserve">Финансового регламента (издания 2010 г.). </w:t>
      </w:r>
    </w:p>
    <w:p w:rsidR="00542F98" w:rsidRPr="002C25C6" w:rsidRDefault="0040244D" w:rsidP="0040244D">
      <w:pPr>
        <w:rPr>
          <w:lang w:val="ru-RU"/>
        </w:rPr>
      </w:pPr>
      <w:r w:rsidRPr="002C25C6">
        <w:rPr>
          <w:lang w:val="ru-RU"/>
        </w:rPr>
        <w:t>Отчет руководства</w:t>
      </w:r>
      <w:r w:rsidR="00542F98" w:rsidRPr="002C25C6">
        <w:rPr>
          <w:lang w:val="ru-RU"/>
        </w:rPr>
        <w:t>, касающ</w:t>
      </w:r>
      <w:r w:rsidRPr="002C25C6">
        <w:rPr>
          <w:lang w:val="ru-RU"/>
        </w:rPr>
        <w:t>ий</w:t>
      </w:r>
      <w:r w:rsidR="00542F98" w:rsidRPr="002C25C6">
        <w:rPr>
          <w:lang w:val="ru-RU"/>
        </w:rPr>
        <w:t>ся счетов за 201</w:t>
      </w:r>
      <w:r w:rsidR="00966394" w:rsidRPr="002C25C6">
        <w:rPr>
          <w:lang w:val="ru-RU"/>
        </w:rPr>
        <w:t>6</w:t>
      </w:r>
      <w:r w:rsidR="00542F98" w:rsidRPr="002C25C6">
        <w:rPr>
          <w:lang w:val="ru-RU"/>
        </w:rPr>
        <w:t xml:space="preserve"> финансовый год и подписанн</w:t>
      </w:r>
      <w:r w:rsidRPr="002C25C6">
        <w:rPr>
          <w:lang w:val="ru-RU"/>
        </w:rPr>
        <w:t>ый</w:t>
      </w:r>
      <w:r w:rsidR="00542F98" w:rsidRPr="002C25C6">
        <w:rPr>
          <w:lang w:val="ru-RU"/>
        </w:rPr>
        <w:t xml:space="preserve"> Генеральным секретарем и руководителем Департамента управления финансовыми ресурсами, включен в финансовую отчетность и является неотъемлемой частью документации по аудиту. </w:t>
      </w:r>
    </w:p>
    <w:p w:rsidR="00542F98" w:rsidRPr="002C25C6" w:rsidRDefault="00542F98" w:rsidP="00966394">
      <w:pPr>
        <w:rPr>
          <w:lang w:val="ru-RU"/>
        </w:rPr>
      </w:pPr>
      <w:r w:rsidRPr="002C25C6">
        <w:rPr>
          <w:lang w:val="ru-RU"/>
        </w:rPr>
        <w:t>Мы получили также Отчет о внутреннем контроле за 201</w:t>
      </w:r>
      <w:r w:rsidR="00966394" w:rsidRPr="002C25C6">
        <w:rPr>
          <w:lang w:val="ru-RU"/>
        </w:rPr>
        <w:t>6</w:t>
      </w:r>
      <w:r w:rsidRPr="002C25C6">
        <w:rPr>
          <w:lang w:val="ru-RU"/>
        </w:rPr>
        <w:t xml:space="preserve"> год, подписанный Генеральным секретарем </w:t>
      </w:r>
      <w:r w:rsidR="00966394" w:rsidRPr="002C25C6">
        <w:rPr>
          <w:lang w:val="ru-RU"/>
        </w:rPr>
        <w:t>21</w:t>
      </w:r>
      <w:r w:rsidRPr="002C25C6">
        <w:rPr>
          <w:lang w:val="ru-RU"/>
        </w:rPr>
        <w:t xml:space="preserve"> марта 201</w:t>
      </w:r>
      <w:r w:rsidR="00966394" w:rsidRPr="002C25C6">
        <w:rPr>
          <w:lang w:val="ru-RU"/>
        </w:rPr>
        <w:t>7</w:t>
      </w:r>
      <w:r w:rsidRPr="002C25C6">
        <w:rPr>
          <w:lang w:val="ru-RU"/>
        </w:rPr>
        <w:t xml:space="preserve"> года. </w:t>
      </w:r>
    </w:p>
    <w:p w:rsidR="00542F98" w:rsidRPr="002C25C6" w:rsidRDefault="00542F98" w:rsidP="00542F98">
      <w:pPr>
        <w:rPr>
          <w:lang w:val="ru-RU"/>
        </w:rPr>
      </w:pPr>
      <w:r w:rsidRPr="002C25C6">
        <w:rPr>
          <w:lang w:val="ru-RU"/>
        </w:rPr>
        <w:t xml:space="preserve">Мы отметили результаты нашей аудиторской деятельности как "рекомендации" и "предложения". В то время как рекомендации относятся к процессу дальнейшего отслеживания, осуществляемого </w:t>
      </w:r>
      <w:r w:rsidRPr="002C25C6">
        <w:rPr>
          <w:lang w:val="ru-RU"/>
        </w:rPr>
        <w:lastRenderedPageBreak/>
        <w:t>Рабочей группой совета по финансовым и людским ресурсам, предложения отслеживаются только Внешним аудитором. Однако, в принципе, Совет МСЭ, по возможности следуя рекомендациям Независимого консультативного комитета по управлению (</w:t>
      </w:r>
      <w:proofErr w:type="spellStart"/>
      <w:r w:rsidRPr="002C25C6">
        <w:rPr>
          <w:lang w:val="ru-RU"/>
        </w:rPr>
        <w:t>IMAC</w:t>
      </w:r>
      <w:proofErr w:type="spellEnd"/>
      <w:r w:rsidRPr="002C25C6">
        <w:rPr>
          <w:lang w:val="ru-RU"/>
        </w:rPr>
        <w:t xml:space="preserve">), может просить Генерального секретаря реализовать "предложение", если сочтет это необходимым. </w:t>
      </w:r>
    </w:p>
    <w:p w:rsidR="00542F98" w:rsidRPr="002C25C6" w:rsidRDefault="00542F98" w:rsidP="00542F98">
      <w:pPr>
        <w:rPr>
          <w:lang w:val="ru-RU"/>
        </w:rPr>
      </w:pPr>
      <w:r w:rsidRPr="002C25C6">
        <w:rPr>
          <w:lang w:val="ru-RU"/>
        </w:rPr>
        <w:t xml:space="preserve">Кроме того, согласно пункту 6 раздела </w:t>
      </w:r>
      <w:r w:rsidRPr="002C25C6">
        <w:rPr>
          <w:i/>
          <w:iCs/>
          <w:lang w:val="ru-RU"/>
        </w:rPr>
        <w:t>решает</w:t>
      </w:r>
      <w:r w:rsidRPr="002C25C6">
        <w:rPr>
          <w:lang w:val="ru-RU"/>
        </w:rPr>
        <w:t xml:space="preserve"> Резолюции 11 (Пересм. Пусан, 2014 г.) мы проверили счета Всемирного</w:t>
      </w:r>
      <w:r w:rsidR="00966394" w:rsidRPr="002C25C6">
        <w:rPr>
          <w:lang w:val="ru-RU"/>
        </w:rPr>
        <w:t xml:space="preserve"> мероприятия ITU Telecom за 2016</w:t>
      </w:r>
      <w:r w:rsidRPr="002C25C6">
        <w:rPr>
          <w:lang w:val="ru-RU"/>
        </w:rPr>
        <w:t xml:space="preserve"> год. </w:t>
      </w:r>
    </w:p>
    <w:p w:rsidR="00542F98" w:rsidRPr="002C25C6" w:rsidRDefault="00542F98" w:rsidP="007D2B1E">
      <w:pPr>
        <w:rPr>
          <w:lang w:val="ru-RU"/>
        </w:rPr>
      </w:pPr>
      <w:r w:rsidRPr="002C25C6">
        <w:rPr>
          <w:lang w:val="ru-RU"/>
        </w:rPr>
        <w:t>Мы подчерк</w:t>
      </w:r>
      <w:r w:rsidR="003913E0" w:rsidRPr="002C25C6">
        <w:rPr>
          <w:lang w:val="ru-RU"/>
        </w:rPr>
        <w:t>иваем</w:t>
      </w:r>
      <w:r w:rsidRPr="002C25C6">
        <w:rPr>
          <w:lang w:val="ru-RU"/>
        </w:rPr>
        <w:t xml:space="preserve">, что в </w:t>
      </w:r>
      <w:r w:rsidR="003913E0" w:rsidRPr="002C25C6">
        <w:rPr>
          <w:lang w:val="ru-RU"/>
        </w:rPr>
        <w:t>этом</w:t>
      </w:r>
      <w:r w:rsidRPr="002C25C6">
        <w:rPr>
          <w:lang w:val="ru-RU"/>
        </w:rPr>
        <w:t xml:space="preserve"> году вступи</w:t>
      </w:r>
      <w:r w:rsidR="007D2B1E" w:rsidRPr="002C25C6">
        <w:rPr>
          <w:lang w:val="ru-RU"/>
        </w:rPr>
        <w:t>л</w:t>
      </w:r>
      <w:r w:rsidRPr="002C25C6">
        <w:rPr>
          <w:lang w:val="ru-RU"/>
        </w:rPr>
        <w:t xml:space="preserve"> в силу пересмотренный международный стандарт аудита</w:t>
      </w:r>
      <w:r w:rsidR="003913E0" w:rsidRPr="002C25C6">
        <w:rPr>
          <w:lang w:val="ru-RU"/>
        </w:rPr>
        <w:t xml:space="preserve"> (ISA) 700 ("</w:t>
      </w:r>
      <w:r w:rsidR="0040244D" w:rsidRPr="002C25C6">
        <w:rPr>
          <w:lang w:val="ru-RU"/>
        </w:rPr>
        <w:t xml:space="preserve">составление заключения и </w:t>
      </w:r>
      <w:r w:rsidR="000B16CD" w:rsidRPr="002C25C6">
        <w:rPr>
          <w:lang w:val="ru-RU"/>
        </w:rPr>
        <w:t xml:space="preserve">представление </w:t>
      </w:r>
      <w:r w:rsidR="0040244D" w:rsidRPr="002C25C6">
        <w:rPr>
          <w:lang w:val="ru-RU"/>
        </w:rPr>
        <w:t>отчета по финансовой отчетности</w:t>
      </w:r>
      <w:r w:rsidR="003913E0" w:rsidRPr="002C25C6">
        <w:rPr>
          <w:lang w:val="ru-RU"/>
        </w:rPr>
        <w:t xml:space="preserve">"), </w:t>
      </w:r>
      <w:r w:rsidR="0040244D" w:rsidRPr="002C25C6">
        <w:rPr>
          <w:lang w:val="ru-RU"/>
        </w:rPr>
        <w:t>в соответствии с которым меняется формат и информация, которая должна включаться в заключение по результатам аудита</w:t>
      </w:r>
      <w:r w:rsidRPr="002C25C6">
        <w:rPr>
          <w:lang w:val="ru-RU"/>
        </w:rPr>
        <w:t xml:space="preserve">. Группа внешних ревизоров Организации Объединенных Наций в ходе своего </w:t>
      </w:r>
      <w:r w:rsidR="003913E0" w:rsidRPr="002C25C6">
        <w:rPr>
          <w:lang w:val="ru-RU"/>
        </w:rPr>
        <w:t>последнего</w:t>
      </w:r>
      <w:r w:rsidRPr="002C25C6">
        <w:rPr>
          <w:lang w:val="ru-RU"/>
        </w:rPr>
        <w:t xml:space="preserve"> собрания, которое </w:t>
      </w:r>
      <w:r w:rsidR="003913E0" w:rsidRPr="002C25C6">
        <w:rPr>
          <w:lang w:val="ru-RU"/>
        </w:rPr>
        <w:t>состоялось</w:t>
      </w:r>
      <w:r w:rsidRPr="002C25C6">
        <w:rPr>
          <w:lang w:val="ru-RU"/>
        </w:rPr>
        <w:t xml:space="preserve"> в декабре 2016 года, рассмотр</w:t>
      </w:r>
      <w:r w:rsidR="003913E0" w:rsidRPr="002C25C6">
        <w:rPr>
          <w:lang w:val="ru-RU"/>
        </w:rPr>
        <w:t>ел</w:t>
      </w:r>
      <w:r w:rsidR="0040244D" w:rsidRPr="002C25C6">
        <w:rPr>
          <w:lang w:val="ru-RU"/>
        </w:rPr>
        <w:t>а</w:t>
      </w:r>
      <w:r w:rsidRPr="002C25C6">
        <w:rPr>
          <w:lang w:val="ru-RU"/>
        </w:rPr>
        <w:t xml:space="preserve"> указанный выше вопрос. Мы </w:t>
      </w:r>
      <w:r w:rsidR="003913E0" w:rsidRPr="002C25C6">
        <w:rPr>
          <w:lang w:val="ru-RU"/>
        </w:rPr>
        <w:t>проинформировали</w:t>
      </w:r>
      <w:r w:rsidRPr="002C25C6">
        <w:rPr>
          <w:lang w:val="ru-RU"/>
        </w:rPr>
        <w:t xml:space="preserve"> руководство обо всех изменениях, внесен</w:t>
      </w:r>
      <w:r w:rsidR="00DE3B69" w:rsidRPr="002C25C6">
        <w:rPr>
          <w:lang w:val="ru-RU"/>
        </w:rPr>
        <w:t>ных в аудиторское заключение.</w:t>
      </w:r>
    </w:p>
    <w:p w:rsidR="00542F98" w:rsidRPr="002C25C6" w:rsidRDefault="00542F98" w:rsidP="00542F98">
      <w:pPr>
        <w:rPr>
          <w:lang w:val="ru-RU"/>
        </w:rPr>
      </w:pPr>
      <w:r w:rsidRPr="002C25C6">
        <w:rPr>
          <w:lang w:val="ru-RU"/>
        </w:rPr>
        <w:t xml:space="preserve">Наконец, мы хотим выразить благодарность за любезность и готовность к сотрудничеству, проявленную всеми сотрудниками МСЭ, к которым мы обращались за информацией и документами. </w:t>
      </w:r>
    </w:p>
    <w:p w:rsidR="00542F98" w:rsidRPr="002C25C6" w:rsidRDefault="00542F98" w:rsidP="00542F98">
      <w:pPr>
        <w:rPr>
          <w:lang w:val="ru-RU"/>
        </w:rPr>
      </w:pPr>
      <w:r w:rsidRPr="002C25C6">
        <w:rPr>
          <w:lang w:val="ru-RU"/>
        </w:rPr>
        <w:br w:type="page"/>
      </w:r>
    </w:p>
    <w:p w:rsidR="00DE3B69" w:rsidRPr="002C25C6" w:rsidRDefault="00DE3B69" w:rsidP="00DE3B69">
      <w:pPr>
        <w:spacing w:before="4000"/>
        <w:ind w:left="4253" w:right="108"/>
        <w:rPr>
          <w:lang w:val="ru-RU"/>
        </w:rPr>
      </w:pPr>
      <w:r w:rsidRPr="002C25C6">
        <w:rPr>
          <w:noProof/>
          <w:lang w:eastAsia="zh-CN"/>
        </w:rPr>
        <w:lastRenderedPageBreak/>
        <w:drawing>
          <wp:inline distT="0" distB="0" distL="0" distR="0" wp14:anchorId="14B6432E" wp14:editId="2F3BFC3A">
            <wp:extent cx="796060" cy="895082"/>
            <wp:effectExtent l="0" t="0" r="4445" b="635"/>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p>
    <w:p w:rsidR="00DE3B69" w:rsidRPr="002C25C6" w:rsidRDefault="00DE3B69" w:rsidP="00DE3B69">
      <w:pPr>
        <w:ind w:right="107"/>
        <w:jc w:val="center"/>
        <w:rPr>
          <w:lang w:val="ru-RU"/>
        </w:rPr>
      </w:pPr>
      <w:r w:rsidRPr="002C25C6">
        <w:rPr>
          <w:rFonts w:ascii="Kunstler Script" w:hAnsi="Kunstler Script"/>
          <w:sz w:val="72"/>
          <w:szCs w:val="72"/>
          <w:lang w:val="ru-RU"/>
        </w:rPr>
        <w:t>Corte dei conti</w:t>
      </w:r>
    </w:p>
    <w:p w:rsidR="00DE3B69" w:rsidRPr="002C25C6" w:rsidRDefault="00DE3B69" w:rsidP="00DE3B69">
      <w:pPr>
        <w:jc w:val="center"/>
        <w:rPr>
          <w:lang w:val="ru-RU"/>
        </w:rPr>
      </w:pPr>
      <w:r w:rsidRPr="002C25C6">
        <w:rPr>
          <w:lang w:val="ru-RU"/>
        </w:rPr>
        <w:t>Государственная счетная палата Италии</w:t>
      </w:r>
    </w:p>
    <w:p w:rsidR="00542F98" w:rsidRPr="002C25C6" w:rsidRDefault="00542F98" w:rsidP="00DE3B69">
      <w:pPr>
        <w:pStyle w:val="Heading1"/>
        <w:jc w:val="center"/>
        <w:rPr>
          <w:lang w:val="ru-RU"/>
        </w:rPr>
      </w:pPr>
      <w:bookmarkStart w:id="39" w:name="_Toc452157289"/>
      <w:bookmarkStart w:id="40" w:name="_Toc482995156"/>
      <w:r w:rsidRPr="002C25C6">
        <w:rPr>
          <w:lang w:val="ru-RU"/>
        </w:rPr>
        <w:t>АУДИТОРСКОЕ ЗАКЛЮЧЕНИЕ</w:t>
      </w:r>
      <w:bookmarkEnd w:id="39"/>
      <w:bookmarkEnd w:id="40"/>
    </w:p>
    <w:p w:rsidR="003B02F4" w:rsidRPr="00975344" w:rsidRDefault="003B02F4" w:rsidP="00787EAC">
      <w:pPr>
        <w:pStyle w:val="Headingb"/>
        <w:spacing w:before="480"/>
        <w:rPr>
          <w:lang w:val="ru-RU"/>
        </w:rPr>
      </w:pPr>
      <w:bookmarkStart w:id="41" w:name="_Toc358192819"/>
      <w:bookmarkStart w:id="42" w:name="_Toc398125304"/>
      <w:bookmarkStart w:id="43" w:name="_Toc398125783"/>
      <w:bookmarkStart w:id="44" w:name="_Toc482995157"/>
      <w:r w:rsidRPr="00975344">
        <w:rPr>
          <w:lang w:val="ru-RU"/>
        </w:rPr>
        <w:t>Заключение аудиторской проверки</w:t>
      </w:r>
      <w:bookmarkEnd w:id="44"/>
    </w:p>
    <w:p w:rsidR="003B02F4" w:rsidRPr="00975344" w:rsidRDefault="003B02F4" w:rsidP="00787EAC">
      <w:pPr>
        <w:rPr>
          <w:rFonts w:cs="Calibri"/>
          <w:lang w:val="ru-RU" w:eastAsia="zh-CN"/>
        </w:rPr>
      </w:pPr>
      <w:r w:rsidRPr="00975344">
        <w:rPr>
          <w:lang w:val="ru-RU"/>
        </w:rPr>
        <w:t xml:space="preserve">Мы провели аудиторскую проверку финансовой отчетности Международного союза электросвязи (МСЭ), которая включает отчет о финансовом положении на 31 декабря 2016 года, отчет о результатах финансовой деятельности, </w:t>
      </w:r>
      <w:r w:rsidRPr="00975344">
        <w:rPr>
          <w:rFonts w:cs="Calibri"/>
          <w:lang w:val="ru-RU" w:eastAsia="zh-CN"/>
        </w:rPr>
        <w:t xml:space="preserve">отчет об изменениях в чистых активах, таблицу движения денежных средств и сравнение предусмотренных в бюджете сумм и фактических сумм за финансовый период 2016 года, а также примечания к </w:t>
      </w:r>
      <w:r w:rsidRPr="00975344">
        <w:rPr>
          <w:color w:val="000000"/>
          <w:lang w:val="ru-RU"/>
        </w:rPr>
        <w:t xml:space="preserve">финансовой отчетности, в том числе </w:t>
      </w:r>
      <w:r w:rsidRPr="00975344">
        <w:rPr>
          <w:rFonts w:cs="Segoe UI"/>
          <w:color w:val="000000"/>
          <w:lang w:val="ru-RU"/>
        </w:rPr>
        <w:t>краткое описание основных методов бухгалтерского учета и другую пояснительную информацию.</w:t>
      </w:r>
      <w:r w:rsidRPr="00975344">
        <w:rPr>
          <w:rFonts w:cs="Calibri"/>
          <w:lang w:val="ru-RU" w:eastAsia="zh-CN"/>
        </w:rPr>
        <w:t xml:space="preserve"> </w:t>
      </w:r>
    </w:p>
    <w:p w:rsidR="003B02F4" w:rsidRPr="00975344" w:rsidRDefault="003B02F4" w:rsidP="00787EAC">
      <w:pPr>
        <w:rPr>
          <w:lang w:val="ru-RU"/>
        </w:rPr>
      </w:pPr>
      <w:r w:rsidRPr="00975344">
        <w:rPr>
          <w:lang w:val="ru-RU"/>
        </w:rPr>
        <w:t xml:space="preserve">По нашему мнению, прилагаемая финансовая отчетность МСЭ за 2016 год во всех существенных отношениях четко отражает финансовое положение Международного союза электросвязи (МСЭ) на 31 декабря 2016 года, а также результаты его финансовой деятельности, изменения в чистых активах, </w:t>
      </w:r>
      <w:r w:rsidRPr="00975344">
        <w:rPr>
          <w:rFonts w:cs="Calibri"/>
          <w:lang w:val="ru-RU" w:eastAsia="zh-CN"/>
        </w:rPr>
        <w:t xml:space="preserve">движение денежных средств и сравнение предусмотренных в бюджете сумм и фактических сумм за год, завершившийся на указанную дату, в соответствии со стандартами </w:t>
      </w:r>
      <w:r w:rsidRPr="00975344">
        <w:rPr>
          <w:lang w:val="ru-RU"/>
        </w:rPr>
        <w:t>IPSAS, а также Финансовым регламентом и Финансовыми правилами МСЭ.</w:t>
      </w:r>
    </w:p>
    <w:p w:rsidR="003B02F4" w:rsidRPr="00975344" w:rsidRDefault="003B02F4" w:rsidP="00787EAC">
      <w:pPr>
        <w:pStyle w:val="Headingb"/>
        <w:rPr>
          <w:lang w:val="ru-RU"/>
        </w:rPr>
      </w:pPr>
      <w:bookmarkStart w:id="45" w:name="_Toc482995158"/>
      <w:r w:rsidRPr="00975344">
        <w:rPr>
          <w:lang w:val="ru-RU"/>
        </w:rPr>
        <w:t>Основание для заключения</w:t>
      </w:r>
      <w:bookmarkEnd w:id="45"/>
    </w:p>
    <w:p w:rsidR="003B02F4" w:rsidRPr="00975344" w:rsidRDefault="003B02F4" w:rsidP="00787EAC">
      <w:pPr>
        <w:rPr>
          <w:lang w:val="ru-RU"/>
        </w:rPr>
      </w:pPr>
      <w:r w:rsidRPr="00975344">
        <w:rPr>
          <w:color w:val="000000"/>
          <w:lang w:val="ru-RU"/>
        </w:rPr>
        <w:t>Мы провели нашу аудиторскую проверку в соответствии с Международными стандартами для высших ревизионных учреждений (МСВРУ), а также Финансовым регламентом и Финансовыми правилами МСЭ</w:t>
      </w:r>
      <w:r w:rsidRPr="00975344">
        <w:rPr>
          <w:lang w:val="ru-RU"/>
        </w:rPr>
        <w:t xml:space="preserve">. В сфере аудиторской проверки финансовой отчетности </w:t>
      </w:r>
      <w:r w:rsidRPr="00975344">
        <w:rPr>
          <w:color w:val="000000"/>
          <w:lang w:val="ru-RU"/>
        </w:rPr>
        <w:t>МСВРУ</w:t>
      </w:r>
      <w:r w:rsidRPr="00975344">
        <w:rPr>
          <w:lang w:val="ru-RU"/>
        </w:rPr>
        <w:t xml:space="preserve"> являются прямой транспозицией </w:t>
      </w:r>
      <w:r w:rsidRPr="00975344">
        <w:rPr>
          <w:color w:val="000000"/>
          <w:lang w:val="ru-RU"/>
        </w:rPr>
        <w:t xml:space="preserve">Международных стандартов аудита </w:t>
      </w:r>
      <w:r w:rsidRPr="00975344">
        <w:rPr>
          <w:lang w:val="ru-RU"/>
        </w:rPr>
        <w:t xml:space="preserve">(ISA). Государственная счетная палата Италии применяет положения ISA в той мере, в которой они соответствуют конкретным условиям проводимых аудиторских проверок. Наши обязанности в соответствии с этими стандартами подробно описаны в разделе нашего отчета об ответственности аудитора за проверку финансовой отчетности. Мы независимы от МСЭ в соответствии с этическими требованиями, касающимися проводимой нами аудиторской проверки финансовой отчетности </w:t>
      </w:r>
      <w:r>
        <w:rPr>
          <w:lang w:val="ru-RU"/>
        </w:rPr>
        <w:t>в системе Объединенных Наций, а </w:t>
      </w:r>
      <w:r w:rsidRPr="00975344">
        <w:rPr>
          <w:lang w:val="ru-RU"/>
        </w:rPr>
        <w:t>также мы выполнили наши иные этические обязанности в соответствии с этими требованиями. Считаем, что собранные нами доказательные данные аудита обеспечивают достаточную и адекватную основу для нашего заключения.</w:t>
      </w:r>
    </w:p>
    <w:p w:rsidR="003B02F4" w:rsidRPr="00975344" w:rsidRDefault="003B02F4" w:rsidP="00787EAC">
      <w:pPr>
        <w:pStyle w:val="Headingb"/>
        <w:rPr>
          <w:lang w:val="ru-RU"/>
        </w:rPr>
      </w:pPr>
      <w:bookmarkStart w:id="46" w:name="_Toc482995159"/>
      <w:r w:rsidRPr="00975344">
        <w:rPr>
          <w:lang w:val="ru-RU"/>
        </w:rPr>
        <w:t>Прочая информация</w:t>
      </w:r>
      <w:bookmarkEnd w:id="46"/>
    </w:p>
    <w:p w:rsidR="003B02F4" w:rsidRPr="00975344" w:rsidRDefault="003B02F4" w:rsidP="00787EAC">
      <w:pPr>
        <w:rPr>
          <w:lang w:val="ru-RU"/>
        </w:rPr>
      </w:pPr>
      <w:r w:rsidRPr="00975344">
        <w:rPr>
          <w:color w:val="000000"/>
          <w:lang w:val="ru-RU"/>
        </w:rPr>
        <w:t xml:space="preserve">Генеральный секретарь МСЭ несет ответственность </w:t>
      </w:r>
      <w:r w:rsidRPr="00975344">
        <w:rPr>
          <w:lang w:val="ru-RU"/>
        </w:rPr>
        <w:t>за прочую информацию. К прочей информации относится представление "</w:t>
      </w:r>
      <w:r w:rsidRPr="00975344">
        <w:rPr>
          <w:color w:val="000000"/>
          <w:lang w:val="ru-RU"/>
        </w:rPr>
        <w:t>ключевых финансовых показателей"</w:t>
      </w:r>
      <w:r w:rsidRPr="00975344">
        <w:rPr>
          <w:lang w:val="ru-RU"/>
        </w:rPr>
        <w:t xml:space="preserve">, о которых упоминает Генеральный секретарь в своем предисловии к </w:t>
      </w:r>
      <w:r w:rsidRPr="00975344">
        <w:rPr>
          <w:color w:val="000000"/>
          <w:lang w:val="ru-RU"/>
        </w:rPr>
        <w:t>отчету о финансовой деятельности</w:t>
      </w:r>
      <w:r w:rsidRPr="00975344">
        <w:rPr>
          <w:lang w:val="ru-RU"/>
        </w:rPr>
        <w:t>.</w:t>
      </w:r>
    </w:p>
    <w:p w:rsidR="003B02F4" w:rsidRPr="00975344" w:rsidRDefault="003B02F4" w:rsidP="00787EAC">
      <w:pPr>
        <w:rPr>
          <w:lang w:val="ru-RU"/>
        </w:rPr>
      </w:pPr>
      <w:r w:rsidRPr="00975344">
        <w:rPr>
          <w:lang w:val="ru-RU"/>
        </w:rPr>
        <w:t>Наше заключение о финансовой отчетности не касается прочей информации, и мы не выражаем каким-либо образом заключение о достоверности по данному вопросу.</w:t>
      </w:r>
    </w:p>
    <w:p w:rsidR="003B02F4" w:rsidRPr="00975344" w:rsidRDefault="003B02F4" w:rsidP="00787EAC">
      <w:pPr>
        <w:rPr>
          <w:lang w:val="ru-RU"/>
        </w:rPr>
      </w:pPr>
      <w:r w:rsidRPr="00975344">
        <w:rPr>
          <w:lang w:val="ru-RU"/>
        </w:rPr>
        <w:lastRenderedPageBreak/>
        <w:t>В связи с нашей аудиторской проверкой финансовой отчетности наша ответственность заключается в том, чтобы ознакомиться с прочей информацией и, таким образом, решить, насколько эта прочая информация в существенной мере не соответствует финансовой отчетности либо нашему представлению, полученному в ходе аудита, либо иным образом представляется существенно искаженной. Если в результате проделанной нами работы, мы придем к заключению, что имеется существенное искажение в этой прочей информации, то мы обязаны сообщить об этом факте. У нас нет ничего, о чем можно было бы сообщить в этом отношении.</w:t>
      </w:r>
    </w:p>
    <w:p w:rsidR="003B02F4" w:rsidRPr="00975344" w:rsidRDefault="003B02F4" w:rsidP="00787EAC">
      <w:pPr>
        <w:pStyle w:val="Headingb"/>
        <w:rPr>
          <w:lang w:val="ru-RU"/>
        </w:rPr>
      </w:pPr>
      <w:bookmarkStart w:id="47" w:name="_Toc398125300"/>
      <w:bookmarkStart w:id="48" w:name="_Toc398125779"/>
      <w:bookmarkStart w:id="49" w:name="_Toc398127078"/>
      <w:bookmarkStart w:id="50" w:name="_Toc482995160"/>
      <w:r w:rsidRPr="00975344">
        <w:rPr>
          <w:lang w:val="ru-RU"/>
        </w:rPr>
        <w:t>Ответственность Генерального секретаря МСЭ и тех лиц, которым поручено осуществлять управление финансовой отчетность</w:t>
      </w:r>
      <w:bookmarkEnd w:id="47"/>
      <w:bookmarkEnd w:id="48"/>
      <w:bookmarkEnd w:id="49"/>
      <w:r w:rsidRPr="00975344">
        <w:rPr>
          <w:lang w:val="ru-RU"/>
        </w:rPr>
        <w:t>ю</w:t>
      </w:r>
      <w:bookmarkEnd w:id="50"/>
      <w:r w:rsidRPr="00975344">
        <w:rPr>
          <w:lang w:val="ru-RU"/>
        </w:rPr>
        <w:t xml:space="preserve"> </w:t>
      </w:r>
    </w:p>
    <w:p w:rsidR="003B02F4" w:rsidRPr="00975344" w:rsidRDefault="003B02F4" w:rsidP="00787EAC">
      <w:pPr>
        <w:rPr>
          <w:lang w:val="ru-RU"/>
        </w:rPr>
      </w:pPr>
      <w:r w:rsidRPr="00975344">
        <w:rPr>
          <w:lang w:val="ru-RU"/>
        </w:rPr>
        <w:t>Генеральный секретарь несет ответственность за подготовку и объективное представление финансовой отчетности в соответствии с Международными стандартами финансовой отчетности для общественного сектора (стандартами IPSAS), а также за такой внутренний контроль, который Генеральный секретарь считает необходимым для обеспечения подготовки финансовой отчетности, в которой отсутствуют существенные искажения, будь то вследствие недобросовестных действий или в результате ошибок.</w:t>
      </w:r>
    </w:p>
    <w:p w:rsidR="003B02F4" w:rsidRPr="00975344" w:rsidRDefault="003B02F4" w:rsidP="00787EAC">
      <w:pPr>
        <w:rPr>
          <w:lang w:val="ru-RU"/>
        </w:rPr>
      </w:pPr>
      <w:r w:rsidRPr="00975344">
        <w:rPr>
          <w:lang w:val="ru-RU"/>
        </w:rPr>
        <w:t xml:space="preserve">При подготовке финансовой отчетности Генеральный секретарь отвечает за оценку </w:t>
      </w:r>
      <w:r w:rsidRPr="00975344">
        <w:rPr>
          <w:color w:val="000000"/>
          <w:lang w:val="ru-RU"/>
        </w:rPr>
        <w:t>способности МСЭ продолжать непрерывную деятельность</w:t>
      </w:r>
      <w:r w:rsidRPr="00975344">
        <w:rPr>
          <w:lang w:val="ru-RU"/>
        </w:rPr>
        <w:t xml:space="preserve">, раскрывая </w:t>
      </w:r>
      <w:r w:rsidRPr="00975344">
        <w:rPr>
          <w:color w:val="000000"/>
          <w:lang w:val="ru-RU"/>
        </w:rPr>
        <w:t xml:space="preserve">в зависимости от обстоятельств вопросы, касающиеся непрерывности деятельности, и используя принцип непрерывности деятельности </w:t>
      </w:r>
      <w:r w:rsidRPr="00975344">
        <w:rPr>
          <w:lang w:val="ru-RU"/>
        </w:rPr>
        <w:t>в отчетности если только Генеральный секретарь не намерен ликвидировать организацию либо прекратить деятельность, либо не будет иметь реальной альтернативы этому.</w:t>
      </w:r>
    </w:p>
    <w:p w:rsidR="003B02F4" w:rsidRPr="00975344" w:rsidRDefault="003B02F4" w:rsidP="00787EAC">
      <w:pPr>
        <w:rPr>
          <w:lang w:val="ru-RU"/>
        </w:rPr>
      </w:pPr>
      <w:r w:rsidRPr="00975344">
        <w:rPr>
          <w:lang w:val="ru-RU"/>
        </w:rPr>
        <w:t>Лица, которым поручено осуществлять управление, отвечают за надзор за процессом финансовой отчетности МСЭ.</w:t>
      </w:r>
    </w:p>
    <w:p w:rsidR="003B02F4" w:rsidRPr="00975344" w:rsidRDefault="003B02F4" w:rsidP="00787EAC">
      <w:pPr>
        <w:pStyle w:val="Headingb"/>
        <w:rPr>
          <w:lang w:val="ru-RU"/>
        </w:rPr>
      </w:pPr>
      <w:bookmarkStart w:id="51" w:name="_Toc482995161"/>
      <w:r w:rsidRPr="00975344">
        <w:rPr>
          <w:lang w:val="ru-RU"/>
        </w:rPr>
        <w:t>Ответственность аудитора за проверку финансовой отчетности</w:t>
      </w:r>
      <w:bookmarkEnd w:id="51"/>
    </w:p>
    <w:p w:rsidR="003B02F4" w:rsidRPr="00975344" w:rsidRDefault="003B02F4" w:rsidP="00787EAC">
      <w:pPr>
        <w:rPr>
          <w:lang w:val="ru-RU"/>
        </w:rPr>
      </w:pPr>
      <w:r w:rsidRPr="00975344">
        <w:rPr>
          <w:lang w:val="ru-RU"/>
        </w:rPr>
        <w:t xml:space="preserve">Нашими задачами является получение достаточных гарантий того, что финансовая отчетность в целом не содержит существенных искажений, будь то в результате недобросовестных действие либо ошибки, а также представление аудиторского отчета, включающего наше заключение. Достаточные гарантии − это гарантии высокого уровня, однако они не гарантируют, что проводимая в соответствии с ISA проверка всегда сможет обнаружить существенное искажение, в случае, если таковое имеет место. Искажения могут быть из-за недобросовестных действий либо ошибки, и они считаются существенными, если </w:t>
      </w:r>
      <w:r w:rsidRPr="00975344">
        <w:rPr>
          <w:color w:val="000000"/>
          <w:lang w:val="ru-RU"/>
        </w:rPr>
        <w:t>вполне разумно ожидать, что</w:t>
      </w:r>
      <w:r w:rsidRPr="00975344">
        <w:rPr>
          <w:lang w:val="ru-RU"/>
        </w:rPr>
        <w:t xml:space="preserve"> отдельно либо в совокупности, они могут оказать влияние на экономические решения пользователей, принимаемые на основе такой финансовой отчетности.</w:t>
      </w:r>
    </w:p>
    <w:p w:rsidR="003B02F4" w:rsidRPr="00975344" w:rsidRDefault="003B02F4" w:rsidP="00787EAC">
      <w:pPr>
        <w:rPr>
          <w:lang w:val="ru-RU"/>
        </w:rPr>
      </w:pPr>
      <w:r w:rsidRPr="00975344">
        <w:rPr>
          <w:lang w:val="ru-RU"/>
        </w:rPr>
        <w:t xml:space="preserve">В рамках аудиторской проверки в соответствии с ISA мы на протяжении всей проверки опираемся на профессиональные суждения и сохраняем профессиональный скептицизм. Мы также: </w:t>
      </w:r>
    </w:p>
    <w:p w:rsidR="003B02F4" w:rsidRPr="00975344" w:rsidRDefault="003B02F4" w:rsidP="00787EAC">
      <w:pPr>
        <w:pStyle w:val="enumlev1"/>
        <w:rPr>
          <w:lang w:val="ru-RU"/>
        </w:rPr>
      </w:pPr>
      <w:r w:rsidRPr="00975344">
        <w:rPr>
          <w:lang w:val="ru-RU"/>
        </w:rPr>
        <w:t>•</w:t>
      </w:r>
      <w:r w:rsidRPr="00975344">
        <w:rPr>
          <w:lang w:val="ru-RU"/>
        </w:rPr>
        <w:tab/>
        <w:t xml:space="preserve">Определяем и оцениваем риски существенных искажений финансовой отчетности, будь то в результате недобросовестных действий либо ошибки, вырабатываем и проводим аудиторские процедуры с учетом этих риски, а также получаем достаточные и надлежащие доказательные данные аудиторской проверки для обоснования нашего заключения. Риск необнаружения существенного искажения, появившегося в результате недобросовестных действий, выше, чем в случае искажения, связанного с ошибкой, поскольку недобросовестные действия могут включать сговор, подделку документов, преднамеренные пропуски, </w:t>
      </w:r>
      <w:r w:rsidRPr="00975344">
        <w:rPr>
          <w:color w:val="000000"/>
          <w:lang w:val="ru-RU"/>
        </w:rPr>
        <w:t>представление неверных данных</w:t>
      </w:r>
      <w:r w:rsidRPr="00975344">
        <w:rPr>
          <w:lang w:val="ru-RU"/>
        </w:rPr>
        <w:t xml:space="preserve">, либо попытки </w:t>
      </w:r>
      <w:r w:rsidRPr="00975344">
        <w:rPr>
          <w:color w:val="000000"/>
          <w:lang w:val="ru-RU"/>
        </w:rPr>
        <w:t xml:space="preserve">обойти </w:t>
      </w:r>
      <w:r w:rsidRPr="00975344">
        <w:rPr>
          <w:lang w:val="ru-RU"/>
        </w:rPr>
        <w:t>внутренний контроль.</w:t>
      </w:r>
    </w:p>
    <w:p w:rsidR="003B02F4" w:rsidRPr="00975344" w:rsidRDefault="003B02F4" w:rsidP="00787EAC">
      <w:pPr>
        <w:pStyle w:val="enumlev1"/>
        <w:rPr>
          <w:lang w:val="ru-RU"/>
        </w:rPr>
      </w:pPr>
      <w:r w:rsidRPr="00975344">
        <w:rPr>
          <w:lang w:val="ru-RU"/>
        </w:rPr>
        <w:t>•</w:t>
      </w:r>
      <w:r w:rsidRPr="00975344">
        <w:rPr>
          <w:lang w:val="ru-RU"/>
        </w:rPr>
        <w:tab/>
        <w:t>Получаем представление о внутреннем контроле, касающемся аудиторской проверки, чтобы выработать соответствующие условиям процедуры аудита, однако не для целей выражения заключения об эффективности внутреннего контроля МСЭ.</w:t>
      </w:r>
    </w:p>
    <w:p w:rsidR="003B02F4" w:rsidRPr="00975344" w:rsidRDefault="003B02F4" w:rsidP="00787EAC">
      <w:pPr>
        <w:pStyle w:val="enumlev1"/>
        <w:rPr>
          <w:lang w:val="ru-RU"/>
        </w:rPr>
      </w:pPr>
      <w:r w:rsidRPr="00975344">
        <w:rPr>
          <w:lang w:val="ru-RU"/>
        </w:rPr>
        <w:t>•</w:t>
      </w:r>
      <w:r w:rsidRPr="00975344">
        <w:rPr>
          <w:lang w:val="ru-RU"/>
        </w:rPr>
        <w:tab/>
      </w:r>
      <w:r w:rsidRPr="00975344">
        <w:rPr>
          <w:color w:val="000000"/>
          <w:lang w:val="ru-RU"/>
        </w:rPr>
        <w:t>Оцениваем уместность используемой учетной политики и обоснованности учетных оценок, а также соответствующего раскрытия сведений руководством</w:t>
      </w:r>
      <w:r w:rsidRPr="00975344">
        <w:rPr>
          <w:lang w:val="ru-RU"/>
        </w:rPr>
        <w:t xml:space="preserve">. </w:t>
      </w:r>
    </w:p>
    <w:p w:rsidR="003B02F4" w:rsidRPr="00975344" w:rsidRDefault="003B02F4" w:rsidP="00787EAC">
      <w:pPr>
        <w:pStyle w:val="enumlev1"/>
        <w:rPr>
          <w:lang w:val="ru-RU"/>
        </w:rPr>
      </w:pPr>
      <w:r w:rsidRPr="00975344">
        <w:rPr>
          <w:lang w:val="ru-RU"/>
        </w:rPr>
        <w:lastRenderedPageBreak/>
        <w:t>•</w:t>
      </w:r>
      <w:r w:rsidRPr="00975344">
        <w:rPr>
          <w:lang w:val="ru-RU"/>
        </w:rPr>
        <w:tab/>
        <w:t>Делаем заключение о надлежащем использовании руководством при учете принципа непрерывной деятельности и, на основе полученных доказательных данных аудита, относительно существования значительная неуверенность, связанной с событиями либо условиями, которые могут в значительной степени породить сомнение в способности МСЭ продолжать свою деятельность в качестве организации. Если мы придем к заключению, что существует значительная неуверенность, мы обязаны привлечь внимание в нашем аудиторском заключении к соответствующим раскрытым сведениям в финансовой отчетности либо, если такое раскрытие сведений не является надлежащим, то изменить наше заключение. Наши выводы основаны на доказательных данных аудиторской проверки, полученных вплоть до даты нашего аудиторского отчета. Тем не менее, будущие события либо условия могут заставить МСЭ перестать продолжать быть непрерывно действующей организацией.</w:t>
      </w:r>
    </w:p>
    <w:p w:rsidR="003B02F4" w:rsidRPr="00975344" w:rsidRDefault="003B02F4" w:rsidP="00787EAC">
      <w:pPr>
        <w:pStyle w:val="enumlev1"/>
        <w:rPr>
          <w:lang w:val="ru-RU"/>
        </w:rPr>
      </w:pPr>
      <w:r w:rsidRPr="00975344">
        <w:rPr>
          <w:lang w:val="ru-RU"/>
        </w:rPr>
        <w:t>•</w:t>
      </w:r>
      <w:r w:rsidRPr="00975344">
        <w:rPr>
          <w:lang w:val="ru-RU"/>
        </w:rPr>
        <w:tab/>
        <w:t>Оцениваем общее представление, структуру и содержание финансовой отчетности, в том числе раскрываемые сведения, а также в достаточной ли мере финансовая отчетность представляет основные сделки и события и соответствует их объективному представлению.</w:t>
      </w:r>
    </w:p>
    <w:p w:rsidR="003B02F4" w:rsidRPr="00975344" w:rsidRDefault="003B02F4" w:rsidP="00787EAC">
      <w:pPr>
        <w:rPr>
          <w:lang w:val="ru-RU"/>
        </w:rPr>
      </w:pPr>
      <w:r w:rsidRPr="00975344">
        <w:rPr>
          <w:lang w:val="ru-RU"/>
        </w:rPr>
        <w:t xml:space="preserve">Мы находимся в контакте с теми лицами, которым поручено осуществлять управление в отношении, среди прочего, планирования охвата аудиторской проверки и времени ее проведения, значительных выводах аудита, в том числе наличия каких-либо значительных </w:t>
      </w:r>
      <w:r w:rsidRPr="00975344">
        <w:rPr>
          <w:color w:val="000000"/>
          <w:lang w:val="ru-RU"/>
        </w:rPr>
        <w:t xml:space="preserve">недостатков в системе внутреннего контроля, которые </w:t>
      </w:r>
      <w:r w:rsidRPr="00975344">
        <w:rPr>
          <w:lang w:val="ru-RU"/>
        </w:rPr>
        <w:t xml:space="preserve">мы выявили </w:t>
      </w:r>
      <w:proofErr w:type="gramStart"/>
      <w:r w:rsidRPr="00975344">
        <w:rPr>
          <w:lang w:val="ru-RU"/>
        </w:rPr>
        <w:t xml:space="preserve">во время </w:t>
      </w:r>
      <w:proofErr w:type="gramEnd"/>
      <w:r w:rsidRPr="00975344">
        <w:rPr>
          <w:lang w:val="ru-RU"/>
        </w:rPr>
        <w:t>нашего аудита.</w:t>
      </w:r>
    </w:p>
    <w:p w:rsidR="003B02F4" w:rsidRPr="00975344" w:rsidRDefault="003B02F4" w:rsidP="00787EAC">
      <w:pPr>
        <w:pStyle w:val="Headingb"/>
        <w:rPr>
          <w:lang w:val="ru-RU"/>
        </w:rPr>
      </w:pPr>
      <w:bookmarkStart w:id="52" w:name="_Toc482995162"/>
      <w:r w:rsidRPr="00975344">
        <w:rPr>
          <w:lang w:val="ru-RU"/>
        </w:rPr>
        <w:t>Отчет об иных законодательных и регуляторных требованиях</w:t>
      </w:r>
      <w:bookmarkEnd w:id="52"/>
    </w:p>
    <w:p w:rsidR="003B02F4" w:rsidRPr="00975344" w:rsidRDefault="003B02F4" w:rsidP="00787EAC">
      <w:pPr>
        <w:rPr>
          <w:lang w:val="ru-RU"/>
        </w:rPr>
      </w:pPr>
      <w:r w:rsidRPr="00975344">
        <w:rPr>
          <w:color w:val="000000"/>
          <w:lang w:val="ru-RU"/>
        </w:rPr>
        <w:t>Кроме того</w:t>
      </w:r>
      <w:r w:rsidRPr="00975344">
        <w:rPr>
          <w:lang w:val="ru-RU"/>
        </w:rPr>
        <w:t xml:space="preserve">, в нашем заключении сделки МСЭ, о которых нам стало известно, либо те, которые мы проверили в рамках нашей аудиторской проверки, </w:t>
      </w:r>
      <w:r w:rsidRPr="00975344">
        <w:rPr>
          <w:color w:val="000000"/>
          <w:lang w:val="ru-RU"/>
        </w:rPr>
        <w:t>во всех существенных аспектах</w:t>
      </w:r>
      <w:r w:rsidRPr="00975344">
        <w:rPr>
          <w:lang w:val="ru-RU"/>
        </w:rPr>
        <w:t xml:space="preserve"> соответствовали </w:t>
      </w:r>
      <w:r w:rsidRPr="00975344">
        <w:rPr>
          <w:color w:val="000000"/>
          <w:lang w:val="ru-RU"/>
        </w:rPr>
        <w:t>Финансовому регламенту, Финансовым правилам МСЭ и его юридическим основаниям</w:t>
      </w:r>
      <w:r w:rsidRPr="00975344">
        <w:rPr>
          <w:lang w:val="ru-RU"/>
        </w:rPr>
        <w:t>.</w:t>
      </w:r>
    </w:p>
    <w:p w:rsidR="003B02F4" w:rsidRPr="00975344" w:rsidRDefault="003B02F4" w:rsidP="00787EAC">
      <w:pPr>
        <w:rPr>
          <w:lang w:val="ru-RU"/>
        </w:rPr>
      </w:pPr>
      <w:r w:rsidRPr="00975344">
        <w:rPr>
          <w:lang w:val="ru-RU"/>
        </w:rPr>
        <w:t xml:space="preserve">В соответствии с Финансовым регламентом и Финансовыми правилами МСЭ (Статья 28) и Дополнительным полномочиям по внешней аудиторской проверке счетов (Приложение I к Финансовому регламенту и Финансовым правилам МСЭ), мы также выпустили подробный отчет о нашей аудиторской проверке финансовой отчетности МСЭ за 2016 год. </w:t>
      </w:r>
    </w:p>
    <w:p w:rsidR="003B02F4" w:rsidRPr="00975344" w:rsidRDefault="003B02F4" w:rsidP="00787EAC">
      <w:pPr>
        <w:pStyle w:val="Headingb"/>
        <w:rPr>
          <w:lang w:val="ru-RU"/>
        </w:rPr>
      </w:pPr>
      <w:bookmarkStart w:id="53" w:name="_Toc398125302"/>
      <w:bookmarkStart w:id="54" w:name="_Toc398125781"/>
      <w:bookmarkStart w:id="55" w:name="_Toc398127080"/>
      <w:bookmarkStart w:id="56" w:name="_Toc482995163"/>
      <w:r w:rsidRPr="00975344">
        <w:rPr>
          <w:lang w:val="ru-RU"/>
        </w:rPr>
        <w:t>Пояснительный раздел</w:t>
      </w:r>
      <w:bookmarkEnd w:id="53"/>
      <w:bookmarkEnd w:id="54"/>
      <w:bookmarkEnd w:id="55"/>
      <w:bookmarkEnd w:id="56"/>
    </w:p>
    <w:p w:rsidR="003B02F4" w:rsidRPr="00975344" w:rsidRDefault="003B02F4" w:rsidP="00787EAC">
      <w:pPr>
        <w:rPr>
          <w:rFonts w:cs="Calibri"/>
          <w:lang w:val="ru-RU" w:eastAsia="zh-CN"/>
        </w:rPr>
      </w:pPr>
      <w:r w:rsidRPr="00975344">
        <w:rPr>
          <w:lang w:val="ru-RU"/>
        </w:rPr>
        <w:t xml:space="preserve">Мы обращаем внимание на тот факт, что в отчете о финансовом положении показано отрицательное значение чистых активов (−419,1 млн. швейцарских франков) в основном в результате воздействия актуарных обязательств в размере 575,1 млн. швейцарских франков, учтенных в отчете о финансовом положении, которые связанны с вознаграждением сотрудников, работающих на основе долгосрочных контрактов. </w:t>
      </w:r>
      <w:r w:rsidRPr="00975344">
        <w:rPr>
          <w:rFonts w:cs="Calibri"/>
          <w:lang w:val="ru-RU" w:eastAsia="zh-CN"/>
        </w:rPr>
        <w:t xml:space="preserve">Подробные сведения о проведенном нами анализе включены в наш отчет. Руководство принимает соответствующие меры и заверило нас в том, что будет контролировать эффективность этих мер. </w:t>
      </w:r>
      <w:r w:rsidRPr="00975344">
        <w:rPr>
          <w:lang w:val="ru-RU"/>
        </w:rPr>
        <w:t>Наше заключение в отношении этого вопроса не претерпело изменений.</w:t>
      </w:r>
    </w:p>
    <w:p w:rsidR="003B02F4" w:rsidRPr="00975344" w:rsidRDefault="003B02F4" w:rsidP="00787EAC">
      <w:pPr>
        <w:tabs>
          <w:tab w:val="clear" w:pos="794"/>
        </w:tabs>
        <w:spacing w:before="480"/>
        <w:rPr>
          <w:lang w:val="ru-RU"/>
        </w:rPr>
      </w:pPr>
      <w:r w:rsidRPr="00975344">
        <w:rPr>
          <w:lang w:val="ru-RU"/>
        </w:rPr>
        <w:t>Рим, 10 мая 2017 года</w:t>
      </w:r>
    </w:p>
    <w:p w:rsidR="003B02F4" w:rsidRPr="00975344" w:rsidRDefault="003B02F4" w:rsidP="00787EAC">
      <w:pPr>
        <w:tabs>
          <w:tab w:val="clear" w:pos="794"/>
          <w:tab w:val="clear" w:pos="1191"/>
          <w:tab w:val="clear" w:pos="1588"/>
          <w:tab w:val="clear" w:pos="1985"/>
          <w:tab w:val="center" w:pos="7088"/>
        </w:tabs>
        <w:spacing w:before="1080"/>
        <w:rPr>
          <w:rFonts w:asciiTheme="minorHAnsi" w:hAnsiTheme="minorHAnsi" w:cs="Segoe UI"/>
          <w:color w:val="000000"/>
          <w:szCs w:val="22"/>
          <w:lang w:val="ru-RU"/>
        </w:rPr>
      </w:pPr>
      <w:r w:rsidRPr="00975344">
        <w:rPr>
          <w:rFonts w:asciiTheme="minorHAnsi" w:hAnsiTheme="minorHAnsi" w:cs="Segoe UI"/>
          <w:color w:val="000000"/>
          <w:szCs w:val="22"/>
          <w:lang w:val="ru-RU"/>
        </w:rPr>
        <w:tab/>
      </w:r>
      <w:proofErr w:type="spellStart"/>
      <w:r w:rsidRPr="00975344">
        <w:rPr>
          <w:rFonts w:asciiTheme="minorHAnsi" w:hAnsiTheme="minorHAnsi" w:cs="Segoe UI"/>
          <w:color w:val="000000"/>
          <w:szCs w:val="22"/>
          <w:lang w:val="ru-RU"/>
        </w:rPr>
        <w:t>Артуро</w:t>
      </w:r>
      <w:proofErr w:type="spellEnd"/>
      <w:r w:rsidRPr="00975344">
        <w:rPr>
          <w:rFonts w:asciiTheme="minorHAnsi" w:hAnsiTheme="minorHAnsi" w:cs="Segoe UI"/>
          <w:color w:val="000000"/>
          <w:szCs w:val="22"/>
          <w:lang w:val="ru-RU"/>
        </w:rPr>
        <w:t xml:space="preserve"> </w:t>
      </w:r>
      <w:proofErr w:type="spellStart"/>
      <w:r w:rsidRPr="00975344">
        <w:rPr>
          <w:rFonts w:asciiTheme="minorHAnsi" w:hAnsiTheme="minorHAnsi" w:cs="Segoe UI"/>
          <w:color w:val="000000"/>
          <w:szCs w:val="22"/>
          <w:lang w:val="ru-RU"/>
        </w:rPr>
        <w:t>Мартуччи</w:t>
      </w:r>
      <w:proofErr w:type="spellEnd"/>
      <w:r w:rsidRPr="00975344">
        <w:rPr>
          <w:rFonts w:asciiTheme="minorHAnsi" w:hAnsiTheme="minorHAnsi" w:cs="Segoe UI"/>
          <w:color w:val="000000"/>
          <w:szCs w:val="22"/>
          <w:lang w:val="ru-RU"/>
        </w:rPr>
        <w:t xml:space="preserve"> </w:t>
      </w:r>
      <w:proofErr w:type="spellStart"/>
      <w:r w:rsidRPr="00975344">
        <w:rPr>
          <w:rFonts w:asciiTheme="minorHAnsi" w:hAnsiTheme="minorHAnsi" w:cs="Segoe UI"/>
          <w:color w:val="000000"/>
          <w:szCs w:val="22"/>
          <w:lang w:val="ru-RU"/>
        </w:rPr>
        <w:t>ди</w:t>
      </w:r>
      <w:proofErr w:type="spellEnd"/>
      <w:r w:rsidRPr="00975344">
        <w:rPr>
          <w:rFonts w:asciiTheme="minorHAnsi" w:hAnsiTheme="minorHAnsi" w:cs="Segoe UI"/>
          <w:color w:val="000000"/>
          <w:szCs w:val="22"/>
          <w:lang w:val="ru-RU"/>
        </w:rPr>
        <w:t xml:space="preserve"> </w:t>
      </w:r>
      <w:proofErr w:type="spellStart"/>
      <w:r w:rsidRPr="00975344">
        <w:rPr>
          <w:rFonts w:asciiTheme="minorHAnsi" w:hAnsiTheme="minorHAnsi" w:cs="Segoe UI"/>
          <w:color w:val="000000"/>
          <w:szCs w:val="22"/>
          <w:lang w:val="ru-RU"/>
        </w:rPr>
        <w:t>Скарфицци</w:t>
      </w:r>
      <w:proofErr w:type="spellEnd"/>
      <w:r w:rsidRPr="00975344">
        <w:rPr>
          <w:rFonts w:asciiTheme="minorHAnsi" w:hAnsiTheme="minorHAnsi" w:cs="Segoe UI"/>
          <w:color w:val="000000"/>
          <w:szCs w:val="22"/>
          <w:lang w:val="ru-RU"/>
        </w:rPr>
        <w:t xml:space="preserve"> </w:t>
      </w:r>
      <w:r w:rsidRPr="00975344">
        <w:rPr>
          <w:rFonts w:asciiTheme="minorHAnsi" w:hAnsiTheme="minorHAnsi" w:cs="Segoe UI"/>
          <w:color w:val="000000"/>
          <w:szCs w:val="22"/>
          <w:lang w:val="ru-RU"/>
        </w:rPr>
        <w:br/>
      </w:r>
      <w:r w:rsidRPr="00975344">
        <w:rPr>
          <w:rFonts w:asciiTheme="minorHAnsi" w:hAnsiTheme="minorHAnsi" w:cs="Segoe UI"/>
          <w:color w:val="000000"/>
          <w:szCs w:val="22"/>
          <w:lang w:val="ru-RU"/>
        </w:rPr>
        <w:tab/>
        <w:t>Председатель</w:t>
      </w:r>
      <w:r w:rsidRPr="00975344">
        <w:rPr>
          <w:rFonts w:cs="Calibri"/>
          <w:szCs w:val="22"/>
          <w:lang w:val="ru-RU" w:eastAsia="zh-CN"/>
        </w:rPr>
        <w:t xml:space="preserve"> Государственной счетной </w:t>
      </w:r>
      <w:r w:rsidRPr="00975344">
        <w:rPr>
          <w:rFonts w:cs="Calibri"/>
          <w:szCs w:val="22"/>
          <w:lang w:val="ru-RU" w:eastAsia="zh-CN"/>
        </w:rPr>
        <w:br/>
      </w:r>
      <w:r w:rsidRPr="00975344">
        <w:rPr>
          <w:rFonts w:cs="Calibri"/>
          <w:szCs w:val="22"/>
          <w:lang w:val="ru-RU" w:eastAsia="zh-CN"/>
        </w:rPr>
        <w:tab/>
        <w:t>палаты Италии</w:t>
      </w:r>
      <w:r w:rsidRPr="00975344">
        <w:rPr>
          <w:rFonts w:asciiTheme="minorHAnsi" w:hAnsiTheme="minorHAnsi" w:cs="Segoe UI"/>
          <w:color w:val="000000"/>
          <w:szCs w:val="22"/>
          <w:lang w:val="ru-RU"/>
        </w:rPr>
        <w:t xml:space="preserve"> (Corte dei conti) </w:t>
      </w:r>
    </w:p>
    <w:p w:rsidR="00542F98" w:rsidRPr="002C25C6" w:rsidRDefault="00542F98" w:rsidP="00542F98">
      <w:pPr>
        <w:rPr>
          <w:lang w:val="ru-RU"/>
        </w:rPr>
      </w:pPr>
      <w:r w:rsidRPr="002C25C6">
        <w:rPr>
          <w:lang w:val="ru-RU"/>
        </w:rPr>
        <w:br w:type="page"/>
      </w:r>
    </w:p>
    <w:p w:rsidR="00542F98" w:rsidRPr="002C25C6" w:rsidRDefault="00542F98" w:rsidP="004366F9">
      <w:pPr>
        <w:pStyle w:val="Heading1"/>
        <w:rPr>
          <w:lang w:val="ru-RU"/>
        </w:rPr>
      </w:pPr>
      <w:bookmarkStart w:id="57" w:name="_Toc452157295"/>
      <w:bookmarkStart w:id="58" w:name="_Toc482995164"/>
      <w:r w:rsidRPr="002C25C6">
        <w:rPr>
          <w:lang w:val="ru-RU"/>
        </w:rPr>
        <w:lastRenderedPageBreak/>
        <w:t>СТРУКТУРА БУХГАЛТЕРСКОЙ ОТЧЕТНОСТИ</w:t>
      </w:r>
      <w:bookmarkEnd w:id="41"/>
      <w:bookmarkEnd w:id="42"/>
      <w:bookmarkEnd w:id="43"/>
      <w:bookmarkEnd w:id="57"/>
      <w:bookmarkEnd w:id="58"/>
    </w:p>
    <w:p w:rsidR="00542F98" w:rsidRPr="002C25C6" w:rsidRDefault="00542F98" w:rsidP="00542F98">
      <w:pPr>
        <w:rPr>
          <w:lang w:val="ru-RU"/>
        </w:rPr>
      </w:pPr>
      <w:r w:rsidRPr="002C25C6">
        <w:rPr>
          <w:lang w:val="ru-RU"/>
        </w:rPr>
        <w:t>1</w:t>
      </w:r>
      <w:r w:rsidRPr="002C25C6">
        <w:rPr>
          <w:lang w:val="ru-RU"/>
        </w:rPr>
        <w:tab/>
        <w:t xml:space="preserve">Финансовая отчетность МСЭ подготовлена и представлена в соответствии со стандартом IPSAS 1 и включает следующие элементы: </w:t>
      </w:r>
    </w:p>
    <w:p w:rsidR="00542F98" w:rsidRPr="002C25C6" w:rsidRDefault="00542F98" w:rsidP="00303B02">
      <w:pPr>
        <w:pStyle w:val="enumlev1"/>
        <w:rPr>
          <w:lang w:val="ru-RU"/>
        </w:rPr>
      </w:pPr>
      <w:r w:rsidRPr="002C25C6">
        <w:rPr>
          <w:lang w:val="ru-RU"/>
        </w:rPr>
        <w:t>•</w:t>
      </w:r>
      <w:r w:rsidRPr="002C25C6">
        <w:rPr>
          <w:lang w:val="ru-RU"/>
        </w:rPr>
        <w:tab/>
        <w:t>Отчет о финансовом положении – Балансовая ведомость по состоянию на 31 декабря 201</w:t>
      </w:r>
      <w:r w:rsidR="00303B02" w:rsidRPr="002C25C6">
        <w:rPr>
          <w:lang w:val="ru-RU"/>
        </w:rPr>
        <w:t>6</w:t>
      </w:r>
      <w:r w:rsidRPr="002C25C6">
        <w:rPr>
          <w:lang w:val="ru-RU"/>
        </w:rPr>
        <w:t> года и сравнительные данные на 31 декабря 201</w:t>
      </w:r>
      <w:r w:rsidR="00303B02" w:rsidRPr="002C25C6">
        <w:rPr>
          <w:lang w:val="ru-RU"/>
        </w:rPr>
        <w:t>5</w:t>
      </w:r>
      <w:r w:rsidRPr="002C25C6">
        <w:rPr>
          <w:lang w:val="ru-RU"/>
        </w:rPr>
        <w:t xml:space="preserve"> года, в которой показаны активы (подразделенные на текущие и </w:t>
      </w:r>
      <w:proofErr w:type="spellStart"/>
      <w:r w:rsidRPr="002C25C6">
        <w:rPr>
          <w:lang w:val="ru-RU"/>
        </w:rPr>
        <w:t>нетекущие</w:t>
      </w:r>
      <w:proofErr w:type="spellEnd"/>
      <w:r w:rsidRPr="002C25C6">
        <w:rPr>
          <w:lang w:val="ru-RU"/>
        </w:rPr>
        <w:t xml:space="preserve"> активы), пассивы (подразделенные на текущие и </w:t>
      </w:r>
      <w:proofErr w:type="spellStart"/>
      <w:r w:rsidRPr="002C25C6">
        <w:rPr>
          <w:lang w:val="ru-RU"/>
        </w:rPr>
        <w:t>нетекущие</w:t>
      </w:r>
      <w:proofErr w:type="spellEnd"/>
      <w:r w:rsidRPr="002C25C6">
        <w:rPr>
          <w:lang w:val="ru-RU"/>
        </w:rPr>
        <w:t xml:space="preserve"> пассивы) и чистые активы; </w:t>
      </w:r>
    </w:p>
    <w:p w:rsidR="00542F98" w:rsidRPr="002C25C6" w:rsidRDefault="00542F98" w:rsidP="00303B02">
      <w:pPr>
        <w:pStyle w:val="enumlev1"/>
        <w:rPr>
          <w:lang w:val="ru-RU"/>
        </w:rPr>
      </w:pPr>
      <w:r w:rsidRPr="002C25C6">
        <w:rPr>
          <w:lang w:val="ru-RU"/>
        </w:rPr>
        <w:t>•</w:t>
      </w:r>
      <w:r w:rsidRPr="002C25C6">
        <w:rPr>
          <w:lang w:val="ru-RU"/>
        </w:rPr>
        <w:tab/>
        <w:t>Отчет о результатах финансовой деятельности за финансовый период, завершившийся 31 декабря 201</w:t>
      </w:r>
      <w:r w:rsidR="00303B02" w:rsidRPr="002C25C6">
        <w:rPr>
          <w:lang w:val="ru-RU"/>
        </w:rPr>
        <w:t>6</w:t>
      </w:r>
      <w:r w:rsidRPr="002C25C6">
        <w:rPr>
          <w:lang w:val="ru-RU"/>
        </w:rPr>
        <w:t xml:space="preserve"> года, и сравнительные данные на 31 декабря 201</w:t>
      </w:r>
      <w:r w:rsidR="00303B02" w:rsidRPr="002C25C6">
        <w:rPr>
          <w:lang w:val="ru-RU"/>
        </w:rPr>
        <w:t>5</w:t>
      </w:r>
      <w:r w:rsidRPr="002C25C6">
        <w:rPr>
          <w:lang w:val="ru-RU"/>
        </w:rPr>
        <w:t xml:space="preserve"> года, в котором показаны активное сальдо/дефицит за финансовый год;</w:t>
      </w:r>
    </w:p>
    <w:p w:rsidR="00542F98" w:rsidRPr="002C25C6" w:rsidRDefault="00542F98" w:rsidP="00303B02">
      <w:pPr>
        <w:pStyle w:val="enumlev1"/>
        <w:rPr>
          <w:lang w:val="ru-RU"/>
        </w:rPr>
      </w:pPr>
      <w:r w:rsidRPr="002C25C6">
        <w:rPr>
          <w:lang w:val="ru-RU"/>
        </w:rPr>
        <w:t>•</w:t>
      </w:r>
      <w:r w:rsidRPr="002C25C6">
        <w:rPr>
          <w:lang w:val="ru-RU"/>
        </w:rPr>
        <w:tab/>
        <w:t>Отчет об изменениях в чистых активах за финансовый период, завершившийся 31 декабря 201</w:t>
      </w:r>
      <w:r w:rsidR="00303B02" w:rsidRPr="002C25C6">
        <w:rPr>
          <w:lang w:val="ru-RU"/>
        </w:rPr>
        <w:t>6</w:t>
      </w:r>
      <w:r w:rsidRPr="002C25C6">
        <w:rPr>
          <w:lang w:val="ru-RU"/>
        </w:rPr>
        <w:t xml:space="preserve"> года, в котором показана стоимость чистых активов, включая активное сальдо или дефицит за финансовый год, а также убытки, непосредственно учтенные в чистых активах и не затрагивающие отчет о результатах финансовой деятельности;</w:t>
      </w:r>
    </w:p>
    <w:p w:rsidR="00542F98" w:rsidRPr="002C25C6" w:rsidRDefault="00542F98" w:rsidP="00303B02">
      <w:pPr>
        <w:pStyle w:val="enumlev1"/>
        <w:rPr>
          <w:lang w:val="ru-RU"/>
        </w:rPr>
      </w:pPr>
      <w:r w:rsidRPr="002C25C6">
        <w:rPr>
          <w:lang w:val="ru-RU"/>
        </w:rPr>
        <w:t>•</w:t>
      </w:r>
      <w:r w:rsidRPr="002C25C6">
        <w:rPr>
          <w:lang w:val="ru-RU"/>
        </w:rPr>
        <w:tab/>
        <w:t>Таблица движения денежных средств за финансовый период, завершившийся 31 декабря 201</w:t>
      </w:r>
      <w:r w:rsidR="00303B02" w:rsidRPr="002C25C6">
        <w:rPr>
          <w:lang w:val="ru-RU"/>
        </w:rPr>
        <w:t>6</w:t>
      </w:r>
      <w:r w:rsidRPr="002C25C6">
        <w:rPr>
          <w:lang w:val="ru-RU"/>
        </w:rPr>
        <w:t xml:space="preserve"> года, в которой показаны приток и отток денежных средств и эквивалентов денежных средств для оперативных, инвестиционных и финансовых операций и общих денежных сумм на конец финансового года; </w:t>
      </w:r>
    </w:p>
    <w:p w:rsidR="00542F98" w:rsidRPr="002C25C6" w:rsidRDefault="00542F98" w:rsidP="00303B02">
      <w:pPr>
        <w:pStyle w:val="enumlev1"/>
        <w:rPr>
          <w:lang w:val="ru-RU"/>
        </w:rPr>
      </w:pPr>
      <w:r w:rsidRPr="002C25C6">
        <w:rPr>
          <w:lang w:val="ru-RU"/>
        </w:rPr>
        <w:t>•</w:t>
      </w:r>
      <w:r w:rsidRPr="002C25C6">
        <w:rPr>
          <w:lang w:val="ru-RU"/>
        </w:rPr>
        <w:tab/>
        <w:t>Сравнительная таблица предусмотренных в бюджете сумм и фактических сумм за 201</w:t>
      </w:r>
      <w:r w:rsidR="00303B02" w:rsidRPr="002C25C6">
        <w:rPr>
          <w:lang w:val="ru-RU"/>
        </w:rPr>
        <w:t>6</w:t>
      </w:r>
      <w:r w:rsidRPr="002C25C6">
        <w:rPr>
          <w:lang w:val="ru-RU"/>
        </w:rPr>
        <w:t> финансовый год;</w:t>
      </w:r>
    </w:p>
    <w:p w:rsidR="00542F98" w:rsidRPr="002C25C6" w:rsidRDefault="00542F98" w:rsidP="004366F9">
      <w:pPr>
        <w:pStyle w:val="enumlev1"/>
        <w:rPr>
          <w:lang w:val="ru-RU"/>
        </w:rPr>
      </w:pPr>
      <w:r w:rsidRPr="002C25C6">
        <w:rPr>
          <w:lang w:val="ru-RU"/>
        </w:rPr>
        <w:t>•</w:t>
      </w:r>
      <w:r w:rsidRPr="002C25C6">
        <w:rPr>
          <w:lang w:val="ru-RU"/>
        </w:rPr>
        <w:tab/>
        <w:t xml:space="preserve">Примечания к финансовой отчетности, где представлена информация о политике бухгалтерского учета и дополнительная информация, необходимая для беспристрастного представления. </w:t>
      </w:r>
    </w:p>
    <w:p w:rsidR="00542F98" w:rsidRPr="002C25C6" w:rsidRDefault="00542F98" w:rsidP="00303B02">
      <w:pPr>
        <w:pStyle w:val="Heading1"/>
        <w:rPr>
          <w:lang w:val="ru-RU"/>
        </w:rPr>
      </w:pPr>
      <w:bookmarkStart w:id="59" w:name="_Toc356330870"/>
      <w:bookmarkStart w:id="60" w:name="_Toc358192820"/>
      <w:bookmarkStart w:id="61" w:name="_Toc398125305"/>
      <w:bookmarkStart w:id="62" w:name="_Toc398125784"/>
      <w:bookmarkStart w:id="63" w:name="_Toc452157296"/>
      <w:bookmarkStart w:id="64" w:name="_Toc482995165"/>
      <w:r w:rsidRPr="002C25C6">
        <w:rPr>
          <w:lang w:val="ru-RU"/>
        </w:rPr>
        <w:t>ОТЧЕТ О ФИНАНСОВОМ ПОЛОЖЕНИИ ЗА 201</w:t>
      </w:r>
      <w:r w:rsidR="00303B02" w:rsidRPr="002C25C6">
        <w:rPr>
          <w:lang w:val="ru-RU"/>
        </w:rPr>
        <w:t>6</w:t>
      </w:r>
      <w:r w:rsidRPr="002C25C6">
        <w:rPr>
          <w:lang w:val="ru-RU"/>
        </w:rPr>
        <w:t xml:space="preserve"> ГОД</w:t>
      </w:r>
      <w:bookmarkEnd w:id="59"/>
      <w:bookmarkEnd w:id="60"/>
      <w:bookmarkEnd w:id="61"/>
      <w:bookmarkEnd w:id="62"/>
      <w:bookmarkEnd w:id="63"/>
      <w:bookmarkEnd w:id="64"/>
    </w:p>
    <w:p w:rsidR="00542F98" w:rsidRPr="002C25C6" w:rsidRDefault="00542F98" w:rsidP="004366F9">
      <w:pPr>
        <w:pStyle w:val="Headingb"/>
        <w:rPr>
          <w:lang w:val="ru-RU"/>
        </w:rPr>
      </w:pPr>
      <w:bookmarkStart w:id="65" w:name="_Toc358192821"/>
      <w:bookmarkStart w:id="66" w:name="_Toc398125306"/>
      <w:bookmarkStart w:id="67" w:name="_Toc398125785"/>
      <w:bookmarkStart w:id="68" w:name="_Toc398127082"/>
      <w:bookmarkStart w:id="69" w:name="_Toc452157297"/>
      <w:bookmarkStart w:id="70" w:name="_Toc482995166"/>
      <w:r w:rsidRPr="002C25C6">
        <w:rPr>
          <w:lang w:val="ru-RU"/>
        </w:rPr>
        <w:t>АКТИВЫ</w:t>
      </w:r>
      <w:bookmarkEnd w:id="65"/>
      <w:bookmarkEnd w:id="66"/>
      <w:bookmarkEnd w:id="67"/>
      <w:bookmarkEnd w:id="68"/>
      <w:bookmarkEnd w:id="69"/>
      <w:bookmarkEnd w:id="70"/>
    </w:p>
    <w:p w:rsidR="00542F98" w:rsidRPr="002C25C6" w:rsidRDefault="00542F98" w:rsidP="007D2B1E">
      <w:pPr>
        <w:rPr>
          <w:lang w:val="ru-RU"/>
        </w:rPr>
      </w:pPr>
      <w:r w:rsidRPr="002C25C6">
        <w:rPr>
          <w:lang w:val="ru-RU"/>
        </w:rPr>
        <w:t>2</w:t>
      </w:r>
      <w:r w:rsidRPr="002C25C6">
        <w:rPr>
          <w:lang w:val="ru-RU"/>
        </w:rPr>
        <w:tab/>
        <w:t>В 201</w:t>
      </w:r>
      <w:r w:rsidR="00303B02" w:rsidRPr="002C25C6">
        <w:rPr>
          <w:lang w:val="ru-RU"/>
        </w:rPr>
        <w:t>6</w:t>
      </w:r>
      <w:r w:rsidRPr="002C25C6">
        <w:rPr>
          <w:lang w:val="ru-RU"/>
        </w:rPr>
        <w:t xml:space="preserve"> году объем активов составил 373 млн. швейцарских франков, что </w:t>
      </w:r>
      <w:r w:rsidR="007D2B1E" w:rsidRPr="002C25C6">
        <w:rPr>
          <w:lang w:val="ru-RU"/>
        </w:rPr>
        <w:t>на 0,7% выше объема</w:t>
      </w:r>
      <w:r w:rsidRPr="002C25C6">
        <w:rPr>
          <w:lang w:val="ru-RU"/>
        </w:rPr>
        <w:t>, зарегистрированно</w:t>
      </w:r>
      <w:r w:rsidR="007D2B1E" w:rsidRPr="002C25C6">
        <w:rPr>
          <w:lang w:val="ru-RU"/>
        </w:rPr>
        <w:t>го</w:t>
      </w:r>
      <w:r w:rsidRPr="002C25C6">
        <w:rPr>
          <w:lang w:val="ru-RU"/>
        </w:rPr>
        <w:t xml:space="preserve"> в 201</w:t>
      </w:r>
      <w:r w:rsidR="00303B02" w:rsidRPr="002C25C6">
        <w:rPr>
          <w:lang w:val="ru-RU"/>
        </w:rPr>
        <w:t>5</w:t>
      </w:r>
      <w:r w:rsidRPr="002C25C6">
        <w:rPr>
          <w:lang w:val="ru-RU"/>
        </w:rPr>
        <w:t xml:space="preserve"> году (370,3 млн. швейцарских франков). </w:t>
      </w:r>
    </w:p>
    <w:p w:rsidR="00542F98" w:rsidRPr="002C25C6" w:rsidRDefault="00542F98" w:rsidP="007D2B1E">
      <w:pPr>
        <w:rPr>
          <w:lang w:val="ru-RU"/>
        </w:rPr>
      </w:pPr>
      <w:r w:rsidRPr="002C25C6">
        <w:rPr>
          <w:lang w:val="ru-RU"/>
        </w:rPr>
        <w:t>3</w:t>
      </w:r>
      <w:r w:rsidRPr="002C25C6">
        <w:rPr>
          <w:lang w:val="ru-RU"/>
        </w:rPr>
        <w:tab/>
        <w:t>Активы включают текущие активы в объеме 26</w:t>
      </w:r>
      <w:r w:rsidR="00303B02" w:rsidRPr="002C25C6">
        <w:rPr>
          <w:lang w:val="ru-RU"/>
        </w:rPr>
        <w:t>8</w:t>
      </w:r>
      <w:r w:rsidRPr="002C25C6">
        <w:rPr>
          <w:lang w:val="ru-RU"/>
        </w:rPr>
        <w:t>,</w:t>
      </w:r>
      <w:r w:rsidR="00303B02" w:rsidRPr="002C25C6">
        <w:rPr>
          <w:lang w:val="ru-RU"/>
        </w:rPr>
        <w:t>9</w:t>
      </w:r>
      <w:r w:rsidRPr="002C25C6">
        <w:rPr>
          <w:lang w:val="ru-RU"/>
        </w:rPr>
        <w:t xml:space="preserve"> млн. швейцарских франков, что составляет 7</w:t>
      </w:r>
      <w:r w:rsidR="00303B02" w:rsidRPr="002C25C6">
        <w:rPr>
          <w:lang w:val="ru-RU"/>
        </w:rPr>
        <w:t>2</w:t>
      </w:r>
      <w:r w:rsidRPr="002C25C6">
        <w:rPr>
          <w:lang w:val="ru-RU"/>
        </w:rPr>
        <w:t>,</w:t>
      </w:r>
      <w:r w:rsidR="00303B02" w:rsidRPr="002C25C6">
        <w:rPr>
          <w:lang w:val="ru-RU"/>
        </w:rPr>
        <w:t>1</w:t>
      </w:r>
      <w:r w:rsidRPr="002C25C6">
        <w:rPr>
          <w:lang w:val="ru-RU"/>
        </w:rPr>
        <w:t>% от общего размера активов (в 201</w:t>
      </w:r>
      <w:r w:rsidR="00303B02" w:rsidRPr="002C25C6">
        <w:rPr>
          <w:lang w:val="ru-RU"/>
        </w:rPr>
        <w:t>5</w:t>
      </w:r>
      <w:r w:rsidRPr="002C25C6">
        <w:rPr>
          <w:lang w:val="ru-RU"/>
        </w:rPr>
        <w:t xml:space="preserve"> г. </w:t>
      </w:r>
      <w:r w:rsidR="007D2B1E" w:rsidRPr="002C25C6">
        <w:rPr>
          <w:lang w:val="ru-RU"/>
        </w:rPr>
        <w:t>они составляли</w:t>
      </w:r>
      <w:r w:rsidRPr="002C25C6">
        <w:rPr>
          <w:lang w:val="ru-RU"/>
        </w:rPr>
        <w:t xml:space="preserve"> </w:t>
      </w:r>
      <w:r w:rsidR="00303B02" w:rsidRPr="002C25C6">
        <w:rPr>
          <w:lang w:val="ru-RU"/>
        </w:rPr>
        <w:t>70</w:t>
      </w:r>
      <w:r w:rsidRPr="002C25C6">
        <w:rPr>
          <w:lang w:val="ru-RU"/>
        </w:rPr>
        <w:t>,</w:t>
      </w:r>
      <w:r w:rsidR="00303B02" w:rsidRPr="002C25C6">
        <w:rPr>
          <w:lang w:val="ru-RU"/>
        </w:rPr>
        <w:t>8</w:t>
      </w:r>
      <w:r w:rsidRPr="002C25C6">
        <w:rPr>
          <w:lang w:val="ru-RU"/>
        </w:rPr>
        <w:t xml:space="preserve">%), и </w:t>
      </w:r>
      <w:proofErr w:type="spellStart"/>
      <w:r w:rsidRPr="002C25C6">
        <w:rPr>
          <w:lang w:val="ru-RU"/>
        </w:rPr>
        <w:t>нетекущие</w:t>
      </w:r>
      <w:proofErr w:type="spellEnd"/>
      <w:r w:rsidRPr="002C25C6">
        <w:rPr>
          <w:lang w:val="ru-RU"/>
        </w:rPr>
        <w:t xml:space="preserve"> активы в объеме 10</w:t>
      </w:r>
      <w:r w:rsidR="00303B02" w:rsidRPr="002C25C6">
        <w:rPr>
          <w:lang w:val="ru-RU"/>
        </w:rPr>
        <w:t>4</w:t>
      </w:r>
      <w:r w:rsidRPr="002C25C6">
        <w:rPr>
          <w:lang w:val="ru-RU"/>
        </w:rPr>
        <w:t>,</w:t>
      </w:r>
      <w:r w:rsidR="00303B02" w:rsidRPr="002C25C6">
        <w:rPr>
          <w:lang w:val="ru-RU"/>
        </w:rPr>
        <w:t>0</w:t>
      </w:r>
      <w:r w:rsidRPr="002C25C6">
        <w:rPr>
          <w:lang w:val="ru-RU"/>
        </w:rPr>
        <w:t xml:space="preserve"> млн. швейцарских франков, что составляет 2</w:t>
      </w:r>
      <w:r w:rsidR="00303B02" w:rsidRPr="002C25C6">
        <w:rPr>
          <w:lang w:val="ru-RU"/>
        </w:rPr>
        <w:t>7</w:t>
      </w:r>
      <w:r w:rsidRPr="002C25C6">
        <w:rPr>
          <w:lang w:val="ru-RU"/>
        </w:rPr>
        <w:t>,</w:t>
      </w:r>
      <w:r w:rsidR="00303B02" w:rsidRPr="002C25C6">
        <w:rPr>
          <w:lang w:val="ru-RU"/>
        </w:rPr>
        <w:t>9</w:t>
      </w:r>
      <w:r w:rsidRPr="002C25C6">
        <w:rPr>
          <w:lang w:val="ru-RU"/>
        </w:rPr>
        <w:t>% от общего размера активов (в 201</w:t>
      </w:r>
      <w:r w:rsidR="00303B02" w:rsidRPr="002C25C6">
        <w:rPr>
          <w:lang w:val="ru-RU"/>
        </w:rPr>
        <w:t>5 г. – 29</w:t>
      </w:r>
      <w:r w:rsidRPr="002C25C6">
        <w:rPr>
          <w:lang w:val="ru-RU"/>
        </w:rPr>
        <w:t>,</w:t>
      </w:r>
      <w:r w:rsidR="00303B02" w:rsidRPr="002C25C6">
        <w:rPr>
          <w:lang w:val="ru-RU"/>
        </w:rPr>
        <w:t>2</w:t>
      </w:r>
      <w:r w:rsidRPr="002C25C6">
        <w:rPr>
          <w:lang w:val="ru-RU"/>
        </w:rPr>
        <w:t>%).</w:t>
      </w:r>
      <w:r w:rsidR="00303B02" w:rsidRPr="002C25C6">
        <w:rPr>
          <w:lang w:val="ru-RU"/>
        </w:rPr>
        <w:t xml:space="preserve"> </w:t>
      </w:r>
      <w:r w:rsidR="00D037A8" w:rsidRPr="002C25C6">
        <w:rPr>
          <w:lang w:val="ru-RU"/>
        </w:rPr>
        <w:t>Основа для оценки активов приводится в Основных принципах бухгалтерского учета</w:t>
      </w:r>
      <w:r w:rsidR="00303B02" w:rsidRPr="002C25C6">
        <w:rPr>
          <w:lang w:val="ru-RU"/>
        </w:rPr>
        <w:t xml:space="preserve"> (</w:t>
      </w:r>
      <w:r w:rsidR="00D037A8" w:rsidRPr="002C25C6">
        <w:rPr>
          <w:lang w:val="ru-RU"/>
        </w:rPr>
        <w:t>Примечание</w:t>
      </w:r>
      <w:r w:rsidR="00303B02" w:rsidRPr="002C25C6">
        <w:rPr>
          <w:lang w:val="ru-RU"/>
        </w:rPr>
        <w:t xml:space="preserve"> 2).</w:t>
      </w:r>
    </w:p>
    <w:p w:rsidR="00542F98" w:rsidRPr="002C25C6" w:rsidRDefault="00542F98" w:rsidP="004366F9">
      <w:pPr>
        <w:pStyle w:val="Headingb"/>
        <w:rPr>
          <w:lang w:val="ru-RU"/>
        </w:rPr>
      </w:pPr>
      <w:bookmarkStart w:id="71" w:name="_Toc356330872"/>
      <w:bookmarkStart w:id="72" w:name="_Toc358192822"/>
      <w:bookmarkStart w:id="73" w:name="_Toc398125307"/>
      <w:bookmarkStart w:id="74" w:name="_Toc398125786"/>
      <w:bookmarkStart w:id="75" w:name="_Toc398127083"/>
      <w:bookmarkStart w:id="76" w:name="_Toc452157298"/>
      <w:bookmarkStart w:id="77" w:name="_Toc482995167"/>
      <w:r w:rsidRPr="002C25C6">
        <w:rPr>
          <w:lang w:val="ru-RU"/>
        </w:rPr>
        <w:t>Текущие активы</w:t>
      </w:r>
      <w:bookmarkEnd w:id="71"/>
      <w:bookmarkEnd w:id="72"/>
      <w:bookmarkEnd w:id="73"/>
      <w:bookmarkEnd w:id="74"/>
      <w:bookmarkEnd w:id="75"/>
      <w:bookmarkEnd w:id="76"/>
      <w:bookmarkEnd w:id="77"/>
    </w:p>
    <w:p w:rsidR="00542F98" w:rsidRPr="002C25C6" w:rsidRDefault="00542F98" w:rsidP="004A11D4">
      <w:pPr>
        <w:rPr>
          <w:lang w:val="ru-RU"/>
        </w:rPr>
      </w:pPr>
      <w:r w:rsidRPr="002C25C6">
        <w:rPr>
          <w:lang w:val="ru-RU"/>
        </w:rPr>
        <w:t>4</w:t>
      </w:r>
      <w:r w:rsidRPr="002C25C6">
        <w:rPr>
          <w:lang w:val="ru-RU"/>
        </w:rPr>
        <w:tab/>
        <w:t>Общий размер текущих активов в 201</w:t>
      </w:r>
      <w:r w:rsidR="00303B02" w:rsidRPr="002C25C6">
        <w:rPr>
          <w:lang w:val="ru-RU"/>
        </w:rPr>
        <w:t>6</w:t>
      </w:r>
      <w:r w:rsidRPr="002C25C6">
        <w:rPr>
          <w:lang w:val="ru-RU"/>
        </w:rPr>
        <w:t xml:space="preserve"> году составил 26</w:t>
      </w:r>
      <w:r w:rsidR="00303B02" w:rsidRPr="002C25C6">
        <w:rPr>
          <w:lang w:val="ru-RU"/>
        </w:rPr>
        <w:t>8</w:t>
      </w:r>
      <w:r w:rsidRPr="002C25C6">
        <w:rPr>
          <w:lang w:val="ru-RU"/>
        </w:rPr>
        <w:t>,</w:t>
      </w:r>
      <w:r w:rsidR="00303B02" w:rsidRPr="002C25C6">
        <w:rPr>
          <w:lang w:val="ru-RU"/>
        </w:rPr>
        <w:t>9</w:t>
      </w:r>
      <w:r w:rsidRPr="002C25C6">
        <w:rPr>
          <w:lang w:val="ru-RU"/>
        </w:rPr>
        <w:t xml:space="preserve"> млн. швейцарских франков, что представляет собой увеличение на </w:t>
      </w:r>
      <w:r w:rsidR="00303B02" w:rsidRPr="002C25C6">
        <w:rPr>
          <w:lang w:val="ru-RU"/>
        </w:rPr>
        <w:t>6</w:t>
      </w:r>
      <w:r w:rsidRPr="002C25C6">
        <w:rPr>
          <w:lang w:val="ru-RU"/>
        </w:rPr>
        <w:t>,</w:t>
      </w:r>
      <w:r w:rsidR="00303B02" w:rsidRPr="002C25C6">
        <w:rPr>
          <w:lang w:val="ru-RU"/>
        </w:rPr>
        <w:t>8</w:t>
      </w:r>
      <w:r w:rsidRPr="002C25C6">
        <w:rPr>
          <w:lang w:val="ru-RU"/>
        </w:rPr>
        <w:t xml:space="preserve"> млн. швейцарских франков (+</w:t>
      </w:r>
      <w:r w:rsidR="00303B02" w:rsidRPr="002C25C6">
        <w:rPr>
          <w:lang w:val="ru-RU"/>
        </w:rPr>
        <w:t>2</w:t>
      </w:r>
      <w:r w:rsidRPr="002C25C6">
        <w:rPr>
          <w:lang w:val="ru-RU"/>
        </w:rPr>
        <w:t>,</w:t>
      </w:r>
      <w:r w:rsidR="00303B02" w:rsidRPr="002C25C6">
        <w:rPr>
          <w:lang w:val="ru-RU"/>
        </w:rPr>
        <w:t>6</w:t>
      </w:r>
      <w:r w:rsidRPr="002C25C6">
        <w:rPr>
          <w:lang w:val="ru-RU"/>
        </w:rPr>
        <w:t>%) по сравнению с 201</w:t>
      </w:r>
      <w:r w:rsidR="00303B02" w:rsidRPr="002C25C6">
        <w:rPr>
          <w:lang w:val="ru-RU"/>
        </w:rPr>
        <w:t>5</w:t>
      </w:r>
      <w:r w:rsidRPr="002C25C6">
        <w:rPr>
          <w:lang w:val="ru-RU"/>
        </w:rPr>
        <w:t> годом (2</w:t>
      </w:r>
      <w:r w:rsidR="00303B02" w:rsidRPr="002C25C6">
        <w:rPr>
          <w:lang w:val="ru-RU"/>
        </w:rPr>
        <w:t>62</w:t>
      </w:r>
      <w:r w:rsidRPr="002C25C6">
        <w:rPr>
          <w:lang w:val="ru-RU"/>
        </w:rPr>
        <w:t>,</w:t>
      </w:r>
      <w:r w:rsidR="00303B02" w:rsidRPr="002C25C6">
        <w:rPr>
          <w:lang w:val="ru-RU"/>
        </w:rPr>
        <w:t>1</w:t>
      </w:r>
      <w:r w:rsidRPr="002C25C6">
        <w:rPr>
          <w:lang w:val="ru-RU"/>
        </w:rPr>
        <w:t xml:space="preserve"> млн. швейцарских франков). </w:t>
      </w:r>
      <w:r w:rsidR="00D037A8" w:rsidRPr="002C25C6">
        <w:rPr>
          <w:lang w:val="ru-RU"/>
        </w:rPr>
        <w:t>При рассмотрении движения средств в рамках подразделов мы отметили, что в</w:t>
      </w:r>
      <w:r w:rsidRPr="002C25C6">
        <w:rPr>
          <w:lang w:val="ru-RU"/>
        </w:rPr>
        <w:t xml:space="preserve"> целом это увеличение </w:t>
      </w:r>
      <w:r w:rsidR="003373E4" w:rsidRPr="002C25C6">
        <w:rPr>
          <w:lang w:val="ru-RU"/>
        </w:rPr>
        <w:t>связано с</w:t>
      </w:r>
      <w:r w:rsidR="00D037A8" w:rsidRPr="002C25C6">
        <w:rPr>
          <w:lang w:val="ru-RU"/>
        </w:rPr>
        <w:t xml:space="preserve"> увеличением средств </w:t>
      </w:r>
      <w:r w:rsidR="009E503E" w:rsidRPr="002C25C6">
        <w:rPr>
          <w:lang w:val="ru-RU"/>
        </w:rPr>
        <w:t>в подразделе "Денежные средства и эквиваленты денежных средств" (+52,9 млн. швейцарских франков), которое компенсируется снижением по</w:t>
      </w:r>
      <w:r w:rsidR="003373E4" w:rsidRPr="002C25C6">
        <w:rPr>
          <w:lang w:val="ru-RU"/>
        </w:rPr>
        <w:t xml:space="preserve"> </w:t>
      </w:r>
      <w:r w:rsidR="009E503E" w:rsidRPr="002C25C6">
        <w:rPr>
          <w:lang w:val="ru-RU"/>
        </w:rPr>
        <w:t>"В</w:t>
      </w:r>
      <w:r w:rsidR="003373E4" w:rsidRPr="002C25C6">
        <w:rPr>
          <w:lang w:val="ru-RU"/>
        </w:rPr>
        <w:t>кладам</w:t>
      </w:r>
      <w:r w:rsidR="009E503E" w:rsidRPr="002C25C6">
        <w:rPr>
          <w:lang w:val="ru-RU"/>
        </w:rPr>
        <w:t>"</w:t>
      </w:r>
      <w:r w:rsidR="003373E4" w:rsidRPr="002C25C6">
        <w:rPr>
          <w:lang w:val="ru-RU"/>
        </w:rPr>
        <w:t xml:space="preserve"> (</w:t>
      </w:r>
      <w:r w:rsidR="00954314" w:rsidRPr="002C25C6">
        <w:rPr>
          <w:lang w:val="ru-RU"/>
        </w:rPr>
        <w:t>−</w:t>
      </w:r>
      <w:r w:rsidR="003373E4" w:rsidRPr="002C25C6">
        <w:rPr>
          <w:lang w:val="ru-RU"/>
        </w:rPr>
        <w:t>4</w:t>
      </w:r>
      <w:r w:rsidR="009E503E" w:rsidRPr="002C25C6">
        <w:rPr>
          <w:lang w:val="ru-RU"/>
        </w:rPr>
        <w:t>6</w:t>
      </w:r>
      <w:r w:rsidR="003373E4" w:rsidRPr="002C25C6">
        <w:rPr>
          <w:lang w:val="ru-RU"/>
        </w:rPr>
        <w:t>,</w:t>
      </w:r>
      <w:r w:rsidR="009E503E" w:rsidRPr="002C25C6">
        <w:rPr>
          <w:lang w:val="ru-RU"/>
        </w:rPr>
        <w:t>8</w:t>
      </w:r>
      <w:r w:rsidR="003373E4" w:rsidRPr="002C25C6">
        <w:rPr>
          <w:lang w:val="ru-RU"/>
        </w:rPr>
        <w:t> млн. </w:t>
      </w:r>
      <w:r w:rsidRPr="002C25C6">
        <w:rPr>
          <w:lang w:val="ru-RU"/>
        </w:rPr>
        <w:t>швейцарских франков)</w:t>
      </w:r>
      <w:r w:rsidR="009E503E" w:rsidRPr="002C25C6">
        <w:rPr>
          <w:lang w:val="ru-RU"/>
        </w:rPr>
        <w:t>; увеличился объем средств по</w:t>
      </w:r>
      <w:r w:rsidRPr="002C25C6">
        <w:rPr>
          <w:lang w:val="ru-RU"/>
        </w:rPr>
        <w:t xml:space="preserve"> </w:t>
      </w:r>
      <w:r w:rsidR="009E503E" w:rsidRPr="002C25C6">
        <w:rPr>
          <w:lang w:val="ru-RU"/>
        </w:rPr>
        <w:t>"Д</w:t>
      </w:r>
      <w:r w:rsidRPr="002C25C6">
        <w:rPr>
          <w:lang w:val="ru-RU"/>
        </w:rPr>
        <w:t>олговым обязательствам по обменным операциям</w:t>
      </w:r>
      <w:r w:rsidR="009E503E" w:rsidRPr="002C25C6">
        <w:rPr>
          <w:lang w:val="ru-RU"/>
        </w:rPr>
        <w:t>"</w:t>
      </w:r>
      <w:r w:rsidRPr="002C25C6">
        <w:rPr>
          <w:lang w:val="ru-RU"/>
        </w:rPr>
        <w:t xml:space="preserve"> (+</w:t>
      </w:r>
      <w:r w:rsidR="009E503E" w:rsidRPr="002C25C6">
        <w:rPr>
          <w:lang w:val="ru-RU"/>
        </w:rPr>
        <w:t>3</w:t>
      </w:r>
      <w:r w:rsidRPr="002C25C6">
        <w:rPr>
          <w:lang w:val="ru-RU"/>
        </w:rPr>
        <w:t>,</w:t>
      </w:r>
      <w:r w:rsidR="009E503E" w:rsidRPr="002C25C6">
        <w:rPr>
          <w:lang w:val="ru-RU"/>
        </w:rPr>
        <w:t>1</w:t>
      </w:r>
      <w:r w:rsidRPr="002C25C6">
        <w:rPr>
          <w:lang w:val="ru-RU"/>
        </w:rPr>
        <w:t xml:space="preserve"> млн. швейцарских франков), </w:t>
      </w:r>
      <w:r w:rsidR="009E503E" w:rsidRPr="002C25C6">
        <w:rPr>
          <w:lang w:val="ru-RU"/>
        </w:rPr>
        <w:t>в то время как уменьшился уровень "Долговых обязательств по необменным операциям</w:t>
      </w:r>
      <w:r w:rsidR="00954314" w:rsidRPr="002C25C6">
        <w:rPr>
          <w:lang w:val="ru-RU"/>
        </w:rPr>
        <w:t>" (−</w:t>
      </w:r>
      <w:r w:rsidR="009E503E" w:rsidRPr="002C25C6">
        <w:rPr>
          <w:lang w:val="ru-RU"/>
        </w:rPr>
        <w:t>3,7 млн. швейцарских франков); "Прочие долговые обязательства" увеличились (+1,4 млн. швейцарских франков), в то время как "З</w:t>
      </w:r>
      <w:r w:rsidRPr="002C25C6">
        <w:rPr>
          <w:lang w:val="ru-RU"/>
        </w:rPr>
        <w:t>апасы</w:t>
      </w:r>
      <w:r w:rsidR="009E503E" w:rsidRPr="002C25C6">
        <w:rPr>
          <w:lang w:val="ru-RU"/>
        </w:rPr>
        <w:t>" остались примерно на том же уровне</w:t>
      </w:r>
      <w:r w:rsidR="00954314" w:rsidRPr="002C25C6">
        <w:rPr>
          <w:lang w:val="ru-RU"/>
        </w:rPr>
        <w:t xml:space="preserve"> (−</w:t>
      </w:r>
      <w:r w:rsidRPr="002C25C6">
        <w:rPr>
          <w:lang w:val="ru-RU"/>
        </w:rPr>
        <w:t>0,</w:t>
      </w:r>
      <w:r w:rsidR="009E503E" w:rsidRPr="002C25C6">
        <w:rPr>
          <w:lang w:val="ru-RU"/>
        </w:rPr>
        <w:t>03</w:t>
      </w:r>
      <w:r w:rsidRPr="002C25C6">
        <w:rPr>
          <w:lang w:val="ru-RU"/>
        </w:rPr>
        <w:t xml:space="preserve"> млн. швейцарских франков). </w:t>
      </w:r>
    </w:p>
    <w:p w:rsidR="00542F98" w:rsidRPr="002C25C6" w:rsidRDefault="00542F98" w:rsidP="004366F9">
      <w:pPr>
        <w:pStyle w:val="Headingb"/>
        <w:rPr>
          <w:lang w:val="ru-RU"/>
        </w:rPr>
      </w:pPr>
      <w:bookmarkStart w:id="78" w:name="_Toc358192823"/>
      <w:bookmarkStart w:id="79" w:name="_Toc398125308"/>
      <w:bookmarkStart w:id="80" w:name="_Toc398125787"/>
      <w:bookmarkStart w:id="81" w:name="_Toc398127084"/>
      <w:bookmarkStart w:id="82" w:name="_Toc452157299"/>
      <w:bookmarkStart w:id="83" w:name="_Toc482995168"/>
      <w:r w:rsidRPr="002C25C6">
        <w:rPr>
          <w:lang w:val="ru-RU"/>
        </w:rPr>
        <w:lastRenderedPageBreak/>
        <w:t>Денежные средства и эквиваленты денежных средств</w:t>
      </w:r>
      <w:bookmarkEnd w:id="78"/>
      <w:bookmarkEnd w:id="79"/>
      <w:bookmarkEnd w:id="80"/>
      <w:bookmarkEnd w:id="81"/>
      <w:bookmarkEnd w:id="82"/>
      <w:bookmarkEnd w:id="83"/>
    </w:p>
    <w:p w:rsidR="00542F98" w:rsidRPr="002C25C6" w:rsidRDefault="00542F98" w:rsidP="006163D5">
      <w:pPr>
        <w:rPr>
          <w:lang w:val="ru-RU"/>
        </w:rPr>
      </w:pPr>
      <w:r w:rsidRPr="002C25C6">
        <w:rPr>
          <w:lang w:val="ru-RU"/>
        </w:rPr>
        <w:t>5</w:t>
      </w:r>
      <w:r w:rsidRPr="002C25C6">
        <w:rPr>
          <w:lang w:val="ru-RU"/>
        </w:rPr>
        <w:tab/>
        <w:t xml:space="preserve">Подраздел "Денежные средства и эквиваленты денежных средств", общий размер которого составляет </w:t>
      </w:r>
      <w:r w:rsidR="008C58FA" w:rsidRPr="002C25C6">
        <w:rPr>
          <w:lang w:val="ru-RU"/>
        </w:rPr>
        <w:t>108</w:t>
      </w:r>
      <w:r w:rsidRPr="002C25C6">
        <w:rPr>
          <w:lang w:val="ru-RU"/>
        </w:rPr>
        <w:t>,</w:t>
      </w:r>
      <w:r w:rsidR="008C58FA" w:rsidRPr="002C25C6">
        <w:rPr>
          <w:lang w:val="ru-RU"/>
        </w:rPr>
        <w:t>4</w:t>
      </w:r>
      <w:r w:rsidRPr="002C25C6">
        <w:rPr>
          <w:lang w:val="ru-RU"/>
        </w:rPr>
        <w:t xml:space="preserve"> млн. швейцарских франков, </w:t>
      </w:r>
      <w:r w:rsidR="006163D5" w:rsidRPr="002C25C6">
        <w:rPr>
          <w:lang w:val="ru-RU"/>
        </w:rPr>
        <w:t>увеличился</w:t>
      </w:r>
      <w:r w:rsidRPr="002C25C6">
        <w:rPr>
          <w:lang w:val="ru-RU"/>
        </w:rPr>
        <w:t xml:space="preserve"> на </w:t>
      </w:r>
      <w:r w:rsidR="008C58FA" w:rsidRPr="002C25C6">
        <w:rPr>
          <w:lang w:val="ru-RU"/>
        </w:rPr>
        <w:t>95</w:t>
      </w:r>
      <w:r w:rsidRPr="002C25C6">
        <w:rPr>
          <w:lang w:val="ru-RU"/>
        </w:rPr>
        <w:t xml:space="preserve">,4% по сравнению с </w:t>
      </w:r>
      <w:r w:rsidR="008C58FA" w:rsidRPr="002C25C6">
        <w:rPr>
          <w:lang w:val="ru-RU"/>
        </w:rPr>
        <w:t>5</w:t>
      </w:r>
      <w:r w:rsidRPr="002C25C6">
        <w:rPr>
          <w:lang w:val="ru-RU"/>
        </w:rPr>
        <w:t>5,</w:t>
      </w:r>
      <w:r w:rsidR="008C58FA" w:rsidRPr="002C25C6">
        <w:rPr>
          <w:lang w:val="ru-RU"/>
        </w:rPr>
        <w:t>5</w:t>
      </w:r>
      <w:r w:rsidRPr="002C25C6">
        <w:rPr>
          <w:lang w:val="ru-RU"/>
        </w:rPr>
        <w:t xml:space="preserve"> млн. швейцарских франков в 201</w:t>
      </w:r>
      <w:r w:rsidR="008C58FA" w:rsidRPr="002C25C6">
        <w:rPr>
          <w:lang w:val="ru-RU"/>
        </w:rPr>
        <w:t>5</w:t>
      </w:r>
      <w:r w:rsidRPr="002C25C6">
        <w:rPr>
          <w:lang w:val="ru-RU"/>
        </w:rPr>
        <w:t xml:space="preserve"> году; он включает наличные денежные средства и все остатки средств на почтовом и банковском текущих счетах МСЭ на 31 декабря 201</w:t>
      </w:r>
      <w:r w:rsidR="008C58FA" w:rsidRPr="002C25C6">
        <w:rPr>
          <w:lang w:val="ru-RU"/>
        </w:rPr>
        <w:t>6</w:t>
      </w:r>
      <w:r w:rsidRPr="002C25C6">
        <w:rPr>
          <w:lang w:val="ru-RU"/>
        </w:rPr>
        <w:t> года. Данное у</w:t>
      </w:r>
      <w:r w:rsidR="006163D5" w:rsidRPr="002C25C6">
        <w:rPr>
          <w:lang w:val="ru-RU"/>
        </w:rPr>
        <w:t>величе</w:t>
      </w:r>
      <w:r w:rsidRPr="002C25C6">
        <w:rPr>
          <w:lang w:val="ru-RU"/>
        </w:rPr>
        <w:t>ние связано в основном с "Банковскими текущими счетами в швейцарских франках" (</w:t>
      </w:r>
      <w:r w:rsidR="008C58FA" w:rsidRPr="002C25C6">
        <w:rPr>
          <w:lang w:val="ru-RU"/>
        </w:rPr>
        <w:t>+39</w:t>
      </w:r>
      <w:r w:rsidRPr="002C25C6">
        <w:rPr>
          <w:lang w:val="ru-RU"/>
        </w:rPr>
        <w:t>,</w:t>
      </w:r>
      <w:r w:rsidR="008C58FA" w:rsidRPr="002C25C6">
        <w:rPr>
          <w:lang w:val="ru-RU"/>
        </w:rPr>
        <w:t>8</w:t>
      </w:r>
      <w:r w:rsidRPr="002C25C6">
        <w:rPr>
          <w:lang w:val="ru-RU"/>
        </w:rPr>
        <w:t xml:space="preserve"> млн. швейцарских франков), составляющими в этом подразделе в целом около 6</w:t>
      </w:r>
      <w:r w:rsidR="008C58FA" w:rsidRPr="002C25C6">
        <w:rPr>
          <w:lang w:val="ru-RU"/>
        </w:rPr>
        <w:t>9</w:t>
      </w:r>
      <w:r w:rsidRPr="002C25C6">
        <w:rPr>
          <w:lang w:val="ru-RU"/>
        </w:rPr>
        <w:t>,</w:t>
      </w:r>
      <w:r w:rsidR="008C58FA" w:rsidRPr="002C25C6">
        <w:rPr>
          <w:lang w:val="ru-RU"/>
        </w:rPr>
        <w:t>1</w:t>
      </w:r>
      <w:r w:rsidRPr="002C25C6">
        <w:rPr>
          <w:lang w:val="ru-RU"/>
        </w:rPr>
        <w:t>%</w:t>
      </w:r>
      <w:r w:rsidR="006163D5" w:rsidRPr="002C25C6">
        <w:rPr>
          <w:lang w:val="ru-RU"/>
        </w:rPr>
        <w:t>, а также с "Банковскими текущими счетами в иностранных валютах" (+14,8 млн. швейцарских франков), что составляет примерно 23,9% от общих средств в подразделе</w:t>
      </w:r>
      <w:r w:rsidRPr="002C25C6">
        <w:rPr>
          <w:lang w:val="ru-RU"/>
        </w:rPr>
        <w:t>.</w:t>
      </w:r>
      <w:r w:rsidR="006163D5" w:rsidRPr="002C25C6">
        <w:rPr>
          <w:lang w:val="ru-RU"/>
        </w:rPr>
        <w:t xml:space="preserve"> </w:t>
      </w:r>
      <w:r w:rsidRPr="002C25C6">
        <w:rPr>
          <w:lang w:val="ru-RU"/>
        </w:rPr>
        <w:t xml:space="preserve">Данное </w:t>
      </w:r>
      <w:r w:rsidR="006163D5" w:rsidRPr="002C25C6">
        <w:rPr>
          <w:lang w:val="ru-RU"/>
        </w:rPr>
        <w:t>увеличение</w:t>
      </w:r>
      <w:r w:rsidRPr="002C25C6">
        <w:rPr>
          <w:lang w:val="ru-RU"/>
        </w:rPr>
        <w:t xml:space="preserve"> возникло в результате перевода </w:t>
      </w:r>
      <w:r w:rsidR="006163D5" w:rsidRPr="002C25C6">
        <w:rPr>
          <w:lang w:val="ru-RU"/>
        </w:rPr>
        <w:t>из</w:t>
      </w:r>
      <w:r w:rsidRPr="002C25C6">
        <w:rPr>
          <w:lang w:val="ru-RU"/>
        </w:rPr>
        <w:t xml:space="preserve"> подраздел</w:t>
      </w:r>
      <w:r w:rsidR="006163D5" w:rsidRPr="002C25C6">
        <w:rPr>
          <w:lang w:val="ru-RU"/>
        </w:rPr>
        <w:t>а</w:t>
      </w:r>
      <w:r w:rsidRPr="002C25C6">
        <w:rPr>
          <w:lang w:val="ru-RU"/>
        </w:rPr>
        <w:t xml:space="preserve"> "Вклады", обусловленного политикой диверсификации, которая</w:t>
      </w:r>
      <w:r w:rsidR="006163D5" w:rsidRPr="002C25C6">
        <w:rPr>
          <w:lang w:val="ru-RU"/>
        </w:rPr>
        <w:t xml:space="preserve"> была</w:t>
      </w:r>
      <w:r w:rsidRPr="002C25C6">
        <w:rPr>
          <w:lang w:val="ru-RU"/>
        </w:rPr>
        <w:t xml:space="preserve"> внедр</w:t>
      </w:r>
      <w:r w:rsidR="0063619D" w:rsidRPr="002C25C6">
        <w:rPr>
          <w:lang w:val="ru-RU"/>
        </w:rPr>
        <w:t>ена в 2015 </w:t>
      </w:r>
      <w:r w:rsidR="006163D5" w:rsidRPr="002C25C6">
        <w:rPr>
          <w:lang w:val="ru-RU"/>
        </w:rPr>
        <w:t>году</w:t>
      </w:r>
      <w:r w:rsidRPr="002C25C6">
        <w:rPr>
          <w:lang w:val="ru-RU"/>
        </w:rPr>
        <w:t xml:space="preserve">. Подробная разбивка подраздела "Денежные средства и эквиваленты денежных средств" приводится в Примечании </w:t>
      </w:r>
      <w:r w:rsidR="008C58FA" w:rsidRPr="002C25C6">
        <w:rPr>
          <w:lang w:val="ru-RU"/>
        </w:rPr>
        <w:t>6</w:t>
      </w:r>
      <w:r w:rsidRPr="002C25C6">
        <w:rPr>
          <w:lang w:val="ru-RU"/>
        </w:rPr>
        <w:t xml:space="preserve"> к Отчету о финансовой деятельности.</w:t>
      </w:r>
    </w:p>
    <w:p w:rsidR="00542F98" w:rsidRPr="002C25C6" w:rsidRDefault="00542F98" w:rsidP="008C58FA">
      <w:pPr>
        <w:rPr>
          <w:lang w:val="ru-RU"/>
        </w:rPr>
      </w:pPr>
      <w:r w:rsidRPr="002C25C6">
        <w:rPr>
          <w:lang w:val="ru-RU"/>
        </w:rPr>
        <w:t>6</w:t>
      </w:r>
      <w:r w:rsidRPr="002C25C6">
        <w:rPr>
          <w:lang w:val="ru-RU"/>
        </w:rPr>
        <w:tab/>
        <w:t>Мы обратились с просьбой ко всем банкам, у которых имеются деловые отношения с МСЭ, подтвердить остатки средств на текущих счетах по состоянию на 31 декабря 201</w:t>
      </w:r>
      <w:r w:rsidR="008C58FA" w:rsidRPr="002C25C6">
        <w:rPr>
          <w:lang w:val="ru-RU"/>
        </w:rPr>
        <w:t>6</w:t>
      </w:r>
      <w:r w:rsidRPr="002C25C6">
        <w:rPr>
          <w:lang w:val="ru-RU"/>
        </w:rPr>
        <w:t xml:space="preserve"> года. Мы удостоверились, что остатки средств на счетах должным образом отражены в счетах. Все выявленные </w:t>
      </w:r>
      <w:r w:rsidR="0014745B" w:rsidRPr="002C25C6">
        <w:rPr>
          <w:lang w:val="ru-RU"/>
        </w:rPr>
        <w:t xml:space="preserve">в подтверждениях банков </w:t>
      </w:r>
      <w:r w:rsidRPr="002C25C6">
        <w:rPr>
          <w:lang w:val="ru-RU"/>
        </w:rPr>
        <w:t xml:space="preserve">расхождения были объяснены и обоснованы. Следует упомянуть о том, что мы не получили прямого подтверждения от </w:t>
      </w:r>
      <w:r w:rsidR="008C58FA" w:rsidRPr="002C25C6">
        <w:rPr>
          <w:lang w:val="ru-RU"/>
        </w:rPr>
        <w:t>четырех</w:t>
      </w:r>
      <w:r w:rsidRPr="002C25C6">
        <w:rPr>
          <w:lang w:val="ru-RU"/>
        </w:rPr>
        <w:t xml:space="preserve"> банков. Это обстоятельство ограничило нашу работу в данной области, хотя руководство сделало все возможное, чтобы мы могли получить такие подтверждения. </w:t>
      </w:r>
    </w:p>
    <w:p w:rsidR="00542F98" w:rsidRPr="002C25C6" w:rsidRDefault="00542F98" w:rsidP="008C58FA">
      <w:pPr>
        <w:rPr>
          <w:lang w:val="ru-RU"/>
        </w:rPr>
      </w:pPr>
      <w:r w:rsidRPr="002C25C6">
        <w:rPr>
          <w:lang w:val="ru-RU"/>
        </w:rPr>
        <w:t>7</w:t>
      </w:r>
      <w:r w:rsidRPr="002C25C6">
        <w:rPr>
          <w:lang w:val="ru-RU"/>
        </w:rPr>
        <w:tab/>
        <w:t>В том что касается отсутствующих подтверждений от банков, руководство представило нам копию отчетности по состоянию на 31 декабря 201</w:t>
      </w:r>
      <w:r w:rsidR="008C58FA" w:rsidRPr="002C25C6">
        <w:rPr>
          <w:lang w:val="ru-RU"/>
        </w:rPr>
        <w:t>6</w:t>
      </w:r>
      <w:r w:rsidRPr="002C25C6">
        <w:rPr>
          <w:lang w:val="ru-RU"/>
        </w:rPr>
        <w:t xml:space="preserve"> года, которая относится ко всем вышеупомянутым банкам, и мы использовали эту отчетность для выверки данных. </w:t>
      </w:r>
    </w:p>
    <w:p w:rsidR="00542F98" w:rsidRPr="002C25C6" w:rsidRDefault="00542F98" w:rsidP="004366F9">
      <w:pPr>
        <w:pStyle w:val="Headingb"/>
        <w:rPr>
          <w:lang w:val="ru-RU"/>
        </w:rPr>
      </w:pPr>
      <w:bookmarkStart w:id="84" w:name="_Toc452157300"/>
      <w:bookmarkStart w:id="85" w:name="_Toc358192827"/>
      <w:bookmarkStart w:id="86" w:name="_Toc398125313"/>
      <w:bookmarkStart w:id="87" w:name="_Toc398125792"/>
      <w:bookmarkStart w:id="88" w:name="_Toc398127085"/>
      <w:bookmarkStart w:id="89" w:name="_Toc482995169"/>
      <w:r w:rsidRPr="002C25C6">
        <w:rPr>
          <w:lang w:val="ru-RU"/>
        </w:rPr>
        <w:t>Обновление списка разрешенных подписей в банках</w:t>
      </w:r>
      <w:bookmarkEnd w:id="84"/>
      <w:bookmarkEnd w:id="89"/>
    </w:p>
    <w:p w:rsidR="00542F98" w:rsidRPr="002C25C6" w:rsidRDefault="00542F98" w:rsidP="0014745B">
      <w:pPr>
        <w:rPr>
          <w:lang w:val="ru-RU"/>
        </w:rPr>
      </w:pPr>
      <w:r w:rsidRPr="002C25C6">
        <w:rPr>
          <w:lang w:val="ru-RU"/>
        </w:rPr>
        <w:t>8</w:t>
      </w:r>
      <w:r w:rsidRPr="002C25C6">
        <w:rPr>
          <w:lang w:val="ru-RU"/>
        </w:rPr>
        <w:tab/>
        <w:t>В результате нашей аудиторской проверки полученных от банков подтверждений, как и в прошл</w:t>
      </w:r>
      <w:r w:rsidR="0014745B" w:rsidRPr="002C25C6">
        <w:rPr>
          <w:lang w:val="ru-RU"/>
        </w:rPr>
        <w:t>ые</w:t>
      </w:r>
      <w:r w:rsidRPr="002C25C6">
        <w:rPr>
          <w:lang w:val="ru-RU"/>
        </w:rPr>
        <w:t xml:space="preserve"> год</w:t>
      </w:r>
      <w:r w:rsidR="0014745B" w:rsidRPr="002C25C6">
        <w:rPr>
          <w:lang w:val="ru-RU"/>
        </w:rPr>
        <w:t>ы</w:t>
      </w:r>
      <w:r w:rsidRPr="002C25C6">
        <w:rPr>
          <w:lang w:val="ru-RU"/>
        </w:rPr>
        <w:t xml:space="preserve">, мы обнаружили расхождения между списком разрешенных подписей, который ведет руководство в штаб-квартире, и списками, которые мы получили от банков. В связи с тем, что не все подтверждения были получены, мы не смогли сделать заключение в отношении лиц с правом подписи. </w:t>
      </w:r>
      <w:r w:rsidR="0014745B" w:rsidRPr="002C25C6">
        <w:rPr>
          <w:lang w:val="ru-RU"/>
        </w:rPr>
        <w:t>Мы подтверждаем</w:t>
      </w:r>
      <w:r w:rsidRPr="002C25C6">
        <w:rPr>
          <w:lang w:val="ru-RU"/>
        </w:rPr>
        <w:t xml:space="preserve">, что руководство </w:t>
      </w:r>
      <w:r w:rsidR="0014745B" w:rsidRPr="002C25C6">
        <w:rPr>
          <w:lang w:val="ru-RU"/>
        </w:rPr>
        <w:t>принимало незамедлительные меры</w:t>
      </w:r>
      <w:r w:rsidRPr="002C25C6">
        <w:rPr>
          <w:lang w:val="ru-RU"/>
        </w:rPr>
        <w:t>, обращаясь к банкам в целях устранения этих расхождений.</w:t>
      </w:r>
    </w:p>
    <w:p w:rsidR="00542F98" w:rsidRPr="002C25C6" w:rsidRDefault="00542F98" w:rsidP="004366F9">
      <w:pPr>
        <w:pStyle w:val="Headingb"/>
        <w:rPr>
          <w:lang w:val="ru-RU"/>
        </w:rPr>
      </w:pPr>
      <w:bookmarkStart w:id="90" w:name="_Toc452157301"/>
      <w:bookmarkStart w:id="91" w:name="_Toc482995170"/>
      <w:r w:rsidRPr="002C25C6">
        <w:rPr>
          <w:lang w:val="ru-RU"/>
        </w:rPr>
        <w:t>Вклады</w:t>
      </w:r>
      <w:bookmarkEnd w:id="85"/>
      <w:bookmarkEnd w:id="86"/>
      <w:bookmarkEnd w:id="87"/>
      <w:bookmarkEnd w:id="88"/>
      <w:bookmarkEnd w:id="90"/>
      <w:bookmarkEnd w:id="91"/>
    </w:p>
    <w:p w:rsidR="00542F98" w:rsidRPr="002C25C6" w:rsidRDefault="00542F98" w:rsidP="001B281F">
      <w:pPr>
        <w:rPr>
          <w:lang w:val="ru-RU"/>
        </w:rPr>
      </w:pPr>
      <w:r w:rsidRPr="002C25C6">
        <w:rPr>
          <w:lang w:val="ru-RU"/>
        </w:rPr>
        <w:t>9</w:t>
      </w:r>
      <w:r w:rsidRPr="002C25C6">
        <w:rPr>
          <w:lang w:val="ru-RU"/>
        </w:rPr>
        <w:tab/>
        <w:t>В 201</w:t>
      </w:r>
      <w:r w:rsidR="00826CA7" w:rsidRPr="002C25C6">
        <w:rPr>
          <w:lang w:val="ru-RU"/>
        </w:rPr>
        <w:t>6</w:t>
      </w:r>
      <w:r w:rsidRPr="002C25C6">
        <w:rPr>
          <w:lang w:val="ru-RU"/>
        </w:rPr>
        <w:t xml:space="preserve"> году </w:t>
      </w:r>
      <w:r w:rsidR="00D121C2" w:rsidRPr="002C25C6">
        <w:rPr>
          <w:lang w:val="ru-RU"/>
        </w:rPr>
        <w:t xml:space="preserve">средства в </w:t>
      </w:r>
      <w:r w:rsidRPr="002C25C6">
        <w:rPr>
          <w:lang w:val="ru-RU"/>
        </w:rPr>
        <w:t>подраздел</w:t>
      </w:r>
      <w:r w:rsidR="00D121C2" w:rsidRPr="002C25C6">
        <w:rPr>
          <w:lang w:val="ru-RU"/>
        </w:rPr>
        <w:t>е</w:t>
      </w:r>
      <w:r w:rsidRPr="002C25C6">
        <w:rPr>
          <w:lang w:val="ru-RU"/>
        </w:rPr>
        <w:t xml:space="preserve"> "Вклады", размер которых составил </w:t>
      </w:r>
      <w:r w:rsidR="00826CA7" w:rsidRPr="002C25C6">
        <w:rPr>
          <w:lang w:val="ru-RU"/>
        </w:rPr>
        <w:t>65</w:t>
      </w:r>
      <w:r w:rsidRPr="002C25C6">
        <w:rPr>
          <w:lang w:val="ru-RU"/>
        </w:rPr>
        <w:t>,</w:t>
      </w:r>
      <w:r w:rsidR="00826CA7" w:rsidRPr="002C25C6">
        <w:rPr>
          <w:lang w:val="ru-RU"/>
        </w:rPr>
        <w:t>0</w:t>
      </w:r>
      <w:r w:rsidRPr="002C25C6">
        <w:rPr>
          <w:lang w:val="ru-RU"/>
        </w:rPr>
        <w:t xml:space="preserve"> млн. швей</w:t>
      </w:r>
      <w:r w:rsidR="00826CA7" w:rsidRPr="002C25C6">
        <w:rPr>
          <w:lang w:val="ru-RU"/>
        </w:rPr>
        <w:t xml:space="preserve">царских франков, </w:t>
      </w:r>
      <w:r w:rsidR="003B6205" w:rsidRPr="002C25C6">
        <w:rPr>
          <w:lang w:val="ru-RU"/>
        </w:rPr>
        <w:t>уменьшил</w:t>
      </w:r>
      <w:r w:rsidR="00D121C2" w:rsidRPr="002C25C6">
        <w:rPr>
          <w:lang w:val="ru-RU"/>
        </w:rPr>
        <w:t>ись</w:t>
      </w:r>
      <w:r w:rsidR="00826CA7" w:rsidRPr="002C25C6">
        <w:rPr>
          <w:lang w:val="ru-RU"/>
        </w:rPr>
        <w:t xml:space="preserve"> на 46</w:t>
      </w:r>
      <w:r w:rsidRPr="002C25C6">
        <w:rPr>
          <w:lang w:val="ru-RU"/>
        </w:rPr>
        <w:t>,</w:t>
      </w:r>
      <w:r w:rsidR="00826CA7" w:rsidRPr="002C25C6">
        <w:rPr>
          <w:lang w:val="ru-RU"/>
        </w:rPr>
        <w:t>8</w:t>
      </w:r>
      <w:r w:rsidRPr="002C25C6">
        <w:rPr>
          <w:lang w:val="ru-RU"/>
        </w:rPr>
        <w:t xml:space="preserve"> млн. швейцарских франков (</w:t>
      </w:r>
      <w:r w:rsidR="00826CA7" w:rsidRPr="002C25C6">
        <w:rPr>
          <w:lang w:val="ru-RU"/>
        </w:rPr>
        <w:t>–41</w:t>
      </w:r>
      <w:r w:rsidRPr="002C25C6">
        <w:rPr>
          <w:lang w:val="ru-RU"/>
        </w:rPr>
        <w:t>,</w:t>
      </w:r>
      <w:r w:rsidR="00826CA7" w:rsidRPr="002C25C6">
        <w:rPr>
          <w:lang w:val="ru-RU"/>
        </w:rPr>
        <w:t>9</w:t>
      </w:r>
      <w:r w:rsidRPr="002C25C6">
        <w:rPr>
          <w:lang w:val="ru-RU"/>
        </w:rPr>
        <w:t>%) по ср</w:t>
      </w:r>
      <w:r w:rsidR="003373E4" w:rsidRPr="002C25C6">
        <w:rPr>
          <w:lang w:val="ru-RU"/>
        </w:rPr>
        <w:t>авнению с 201</w:t>
      </w:r>
      <w:r w:rsidR="00826CA7" w:rsidRPr="002C25C6">
        <w:rPr>
          <w:lang w:val="ru-RU"/>
        </w:rPr>
        <w:t>5</w:t>
      </w:r>
      <w:r w:rsidR="003373E4" w:rsidRPr="002C25C6">
        <w:rPr>
          <w:lang w:val="ru-RU"/>
        </w:rPr>
        <w:t xml:space="preserve"> годом (</w:t>
      </w:r>
      <w:r w:rsidR="00826CA7" w:rsidRPr="002C25C6">
        <w:rPr>
          <w:lang w:val="ru-RU"/>
        </w:rPr>
        <w:t>111</w:t>
      </w:r>
      <w:r w:rsidR="003373E4" w:rsidRPr="002C25C6">
        <w:rPr>
          <w:lang w:val="ru-RU"/>
        </w:rPr>
        <w:t>,</w:t>
      </w:r>
      <w:r w:rsidR="00826CA7" w:rsidRPr="002C25C6">
        <w:rPr>
          <w:lang w:val="ru-RU"/>
        </w:rPr>
        <w:t>8</w:t>
      </w:r>
      <w:r w:rsidR="003373E4" w:rsidRPr="002C25C6">
        <w:rPr>
          <w:lang w:val="ru-RU"/>
        </w:rPr>
        <w:t> млн. </w:t>
      </w:r>
      <w:r w:rsidRPr="002C25C6">
        <w:rPr>
          <w:lang w:val="ru-RU"/>
        </w:rPr>
        <w:t>швейцарских франков) и включа</w:t>
      </w:r>
      <w:r w:rsidR="00D121C2" w:rsidRPr="002C25C6">
        <w:rPr>
          <w:lang w:val="ru-RU"/>
        </w:rPr>
        <w:t>ю</w:t>
      </w:r>
      <w:r w:rsidRPr="002C25C6">
        <w:rPr>
          <w:lang w:val="ru-RU"/>
        </w:rPr>
        <w:t>т с 31 декабря 201</w:t>
      </w:r>
      <w:r w:rsidR="00826CA7" w:rsidRPr="002C25C6">
        <w:rPr>
          <w:lang w:val="ru-RU"/>
        </w:rPr>
        <w:t>6</w:t>
      </w:r>
      <w:r w:rsidRPr="002C25C6">
        <w:rPr>
          <w:lang w:val="ru-RU"/>
        </w:rPr>
        <w:t xml:space="preserve"> года срочные вклады со сроком возврата не более 6 месяцев. Подробная разбивка вкладов по срокам возврата и основание для принятия решения о</w:t>
      </w:r>
      <w:r w:rsidR="001B281F" w:rsidRPr="002C25C6">
        <w:rPr>
          <w:lang w:val="ru-RU"/>
        </w:rPr>
        <w:t xml:space="preserve"> снижении</w:t>
      </w:r>
      <w:r w:rsidRPr="002C25C6">
        <w:rPr>
          <w:lang w:val="ru-RU"/>
        </w:rPr>
        <w:t xml:space="preserve"> объема вкладов в 201</w:t>
      </w:r>
      <w:r w:rsidR="00826CA7" w:rsidRPr="002C25C6">
        <w:rPr>
          <w:lang w:val="ru-RU"/>
        </w:rPr>
        <w:t>6</w:t>
      </w:r>
      <w:r w:rsidRPr="002C25C6">
        <w:rPr>
          <w:lang w:val="ru-RU"/>
        </w:rPr>
        <w:t xml:space="preserve"> году приводятся в Примечании </w:t>
      </w:r>
      <w:r w:rsidR="00826CA7" w:rsidRPr="002C25C6">
        <w:rPr>
          <w:lang w:val="ru-RU"/>
        </w:rPr>
        <w:t>7</w:t>
      </w:r>
      <w:r w:rsidRPr="002C25C6">
        <w:rPr>
          <w:lang w:val="ru-RU"/>
        </w:rPr>
        <w:t xml:space="preserve"> к Отчету о финансовой деятельности. </w:t>
      </w:r>
    </w:p>
    <w:p w:rsidR="00542F98" w:rsidRPr="002C25C6" w:rsidRDefault="00542F98" w:rsidP="005B20AE">
      <w:pPr>
        <w:rPr>
          <w:lang w:val="ru-RU"/>
        </w:rPr>
      </w:pPr>
      <w:r w:rsidRPr="002C25C6">
        <w:rPr>
          <w:lang w:val="ru-RU"/>
        </w:rPr>
        <w:t>10</w:t>
      </w:r>
      <w:r w:rsidRPr="002C25C6">
        <w:rPr>
          <w:lang w:val="ru-RU"/>
        </w:rPr>
        <w:tab/>
        <w:t xml:space="preserve">В Примечании </w:t>
      </w:r>
      <w:r w:rsidR="00826CA7" w:rsidRPr="002C25C6">
        <w:rPr>
          <w:lang w:val="ru-RU"/>
        </w:rPr>
        <w:t>2</w:t>
      </w:r>
      <w:r w:rsidRPr="002C25C6">
        <w:rPr>
          <w:lang w:val="ru-RU"/>
        </w:rPr>
        <w:t xml:space="preserve"> к Отчету о финансовой деятельности, касающемся Основных принципов бухгалтерского учета, в отдельном пункте по финансовым инструментам представлена раскрытая информация о вкладах. В соответствии с IPSAS, в Примечании </w:t>
      </w:r>
      <w:r w:rsidR="005B20AE" w:rsidRPr="002C25C6">
        <w:rPr>
          <w:lang w:val="ru-RU"/>
        </w:rPr>
        <w:t>4</w:t>
      </w:r>
      <w:r w:rsidRPr="002C25C6">
        <w:rPr>
          <w:lang w:val="ru-RU"/>
        </w:rPr>
        <w:t xml:space="preserve"> представлена информация об управлении финансовыми рисками; в частности, все вклады подвержены кредитному риску, а также риску, связанному с процентной ставкой, риску ликвидности, валютному и рыночному рискам. </w:t>
      </w:r>
    </w:p>
    <w:p w:rsidR="00542F98" w:rsidRPr="002C25C6" w:rsidRDefault="00542F98" w:rsidP="004366F9">
      <w:pPr>
        <w:pStyle w:val="Headingb"/>
        <w:rPr>
          <w:lang w:val="ru-RU"/>
        </w:rPr>
      </w:pPr>
      <w:bookmarkStart w:id="92" w:name="_Toc358192829"/>
      <w:bookmarkStart w:id="93" w:name="_Toc398125314"/>
      <w:bookmarkStart w:id="94" w:name="_Toc398125793"/>
      <w:bookmarkStart w:id="95" w:name="_Toc398127086"/>
      <w:bookmarkStart w:id="96" w:name="_Toc452157302"/>
      <w:bookmarkStart w:id="97" w:name="_Toc482995171"/>
      <w:r w:rsidRPr="002C25C6">
        <w:rPr>
          <w:lang w:val="ru-RU"/>
        </w:rPr>
        <w:t>Долговые обязательства</w:t>
      </w:r>
      <w:bookmarkEnd w:id="92"/>
      <w:bookmarkEnd w:id="93"/>
      <w:bookmarkEnd w:id="94"/>
      <w:bookmarkEnd w:id="95"/>
      <w:bookmarkEnd w:id="96"/>
      <w:bookmarkEnd w:id="97"/>
    </w:p>
    <w:p w:rsidR="00542F98" w:rsidRPr="002C25C6" w:rsidRDefault="00542F98" w:rsidP="0063619D">
      <w:pPr>
        <w:rPr>
          <w:lang w:val="ru-RU"/>
        </w:rPr>
      </w:pPr>
      <w:r w:rsidRPr="002C25C6">
        <w:rPr>
          <w:lang w:val="ru-RU"/>
        </w:rPr>
        <w:t>11</w:t>
      </w:r>
      <w:r w:rsidRPr="002C25C6">
        <w:rPr>
          <w:lang w:val="ru-RU"/>
        </w:rPr>
        <w:tab/>
        <w:t>Чистый объем текущих долговых обязательств, как по обменным, так и по необменным операциям, составил в 201</w:t>
      </w:r>
      <w:r w:rsidR="00F71DD0" w:rsidRPr="002C25C6">
        <w:rPr>
          <w:lang w:val="ru-RU"/>
        </w:rPr>
        <w:t>6</w:t>
      </w:r>
      <w:r w:rsidRPr="002C25C6">
        <w:rPr>
          <w:lang w:val="ru-RU"/>
        </w:rPr>
        <w:t xml:space="preserve"> году 8</w:t>
      </w:r>
      <w:r w:rsidR="00F71DD0" w:rsidRPr="002C25C6">
        <w:rPr>
          <w:lang w:val="ru-RU"/>
        </w:rPr>
        <w:t>5</w:t>
      </w:r>
      <w:r w:rsidRPr="002C25C6">
        <w:rPr>
          <w:lang w:val="ru-RU"/>
        </w:rPr>
        <w:t>,</w:t>
      </w:r>
      <w:r w:rsidR="00F71DD0" w:rsidRPr="002C25C6">
        <w:rPr>
          <w:lang w:val="ru-RU"/>
        </w:rPr>
        <w:t>5</w:t>
      </w:r>
      <w:r w:rsidR="00954314" w:rsidRPr="002C25C6">
        <w:rPr>
          <w:lang w:val="ru-RU"/>
        </w:rPr>
        <w:t> </w:t>
      </w:r>
      <w:r w:rsidRPr="002C25C6">
        <w:rPr>
          <w:lang w:val="ru-RU"/>
        </w:rPr>
        <w:t>млн. швейцарских ф</w:t>
      </w:r>
      <w:r w:rsidR="003373E4" w:rsidRPr="002C25C6">
        <w:rPr>
          <w:lang w:val="ru-RU"/>
        </w:rPr>
        <w:t>ранков по сравнению с 86,</w:t>
      </w:r>
      <w:r w:rsidR="00F71DD0" w:rsidRPr="002C25C6">
        <w:rPr>
          <w:lang w:val="ru-RU"/>
        </w:rPr>
        <w:t>2</w:t>
      </w:r>
      <w:r w:rsidR="003373E4" w:rsidRPr="002C25C6">
        <w:rPr>
          <w:lang w:val="ru-RU"/>
        </w:rPr>
        <w:t> млн. </w:t>
      </w:r>
      <w:r w:rsidRPr="002C25C6">
        <w:rPr>
          <w:lang w:val="ru-RU"/>
        </w:rPr>
        <w:t>швейцарских франков в 201</w:t>
      </w:r>
      <w:r w:rsidR="00F71DD0" w:rsidRPr="002C25C6">
        <w:rPr>
          <w:lang w:val="ru-RU"/>
        </w:rPr>
        <w:t xml:space="preserve">5 году. </w:t>
      </w:r>
      <w:r w:rsidR="000F132B" w:rsidRPr="002C25C6">
        <w:rPr>
          <w:lang w:val="ru-RU"/>
        </w:rPr>
        <w:t>Это составляет</w:t>
      </w:r>
      <w:r w:rsidR="00F71DD0" w:rsidRPr="002C25C6">
        <w:rPr>
          <w:lang w:val="ru-RU"/>
        </w:rPr>
        <w:t xml:space="preserve"> 31</w:t>
      </w:r>
      <w:r w:rsidRPr="002C25C6">
        <w:rPr>
          <w:lang w:val="ru-RU"/>
        </w:rPr>
        <w:t>,</w:t>
      </w:r>
      <w:r w:rsidR="00F71DD0" w:rsidRPr="002C25C6">
        <w:rPr>
          <w:lang w:val="ru-RU"/>
        </w:rPr>
        <w:t>8</w:t>
      </w:r>
      <w:r w:rsidRPr="002C25C6">
        <w:rPr>
          <w:lang w:val="ru-RU"/>
        </w:rPr>
        <w:t>% от общего объема текущих активов по сравнению примерно с 32,9% в 201</w:t>
      </w:r>
      <w:r w:rsidR="00F71DD0" w:rsidRPr="002C25C6">
        <w:rPr>
          <w:lang w:val="ru-RU"/>
        </w:rPr>
        <w:t>5</w:t>
      </w:r>
      <w:r w:rsidRPr="002C25C6">
        <w:rPr>
          <w:lang w:val="ru-RU"/>
        </w:rPr>
        <w:t xml:space="preserve"> году. Как отмечается в Примечании </w:t>
      </w:r>
      <w:r w:rsidR="00F71DD0" w:rsidRPr="002C25C6">
        <w:rPr>
          <w:lang w:val="ru-RU"/>
        </w:rPr>
        <w:t>8</w:t>
      </w:r>
      <w:r w:rsidRPr="002C25C6">
        <w:rPr>
          <w:lang w:val="ru-RU"/>
        </w:rPr>
        <w:t xml:space="preserve"> к Отчету о финансовой </w:t>
      </w:r>
      <w:r w:rsidRPr="002C25C6">
        <w:rPr>
          <w:lang w:val="ru-RU"/>
        </w:rPr>
        <w:lastRenderedPageBreak/>
        <w:t xml:space="preserve">деятельности, текущие долговые обязательства представляют собой неполученные доходы, которые Государства-Члены, Члены Секторов и Ассоциированные члены обязались внести в МСЭ в рамках ежегодных взносов, приобретения публикаций, обработки заявок на регистрацию спутниковых сетей и по другим счетам-фактурам, которые выставил МСЭ. </w:t>
      </w:r>
    </w:p>
    <w:p w:rsidR="00542F98" w:rsidRPr="002C25C6" w:rsidRDefault="00542F98" w:rsidP="00123CC7">
      <w:pPr>
        <w:rPr>
          <w:lang w:val="ru-RU"/>
        </w:rPr>
      </w:pPr>
      <w:r w:rsidRPr="002C25C6">
        <w:rPr>
          <w:lang w:val="ru-RU"/>
        </w:rPr>
        <w:t>12</w:t>
      </w:r>
      <w:r w:rsidRPr="002C25C6">
        <w:rPr>
          <w:lang w:val="ru-RU"/>
        </w:rPr>
        <w:tab/>
        <w:t>Нетекущие долговые обязательства, как по обменным, так и по необменным операциям, которые также включены и пояснены руководством в Пр</w:t>
      </w:r>
      <w:r w:rsidR="003373E4" w:rsidRPr="002C25C6">
        <w:rPr>
          <w:lang w:val="ru-RU"/>
        </w:rPr>
        <w:t>имечании </w:t>
      </w:r>
      <w:r w:rsidR="00123CC7" w:rsidRPr="002C25C6">
        <w:rPr>
          <w:lang w:val="ru-RU"/>
        </w:rPr>
        <w:t>8</w:t>
      </w:r>
      <w:r w:rsidR="003373E4" w:rsidRPr="002C25C6">
        <w:rPr>
          <w:lang w:val="ru-RU"/>
        </w:rPr>
        <w:t xml:space="preserve">, составили </w:t>
      </w:r>
      <w:r w:rsidR="00123CC7" w:rsidRPr="002C25C6">
        <w:rPr>
          <w:lang w:val="ru-RU"/>
        </w:rPr>
        <w:t>7</w:t>
      </w:r>
      <w:r w:rsidR="003373E4" w:rsidRPr="002C25C6">
        <w:rPr>
          <w:lang w:val="ru-RU"/>
        </w:rPr>
        <w:t>,</w:t>
      </w:r>
      <w:r w:rsidR="00123CC7" w:rsidRPr="002C25C6">
        <w:rPr>
          <w:lang w:val="ru-RU"/>
        </w:rPr>
        <w:t>5</w:t>
      </w:r>
      <w:r w:rsidR="003373E4" w:rsidRPr="002C25C6">
        <w:rPr>
          <w:lang w:val="ru-RU"/>
        </w:rPr>
        <w:t> млн. </w:t>
      </w:r>
      <w:r w:rsidRPr="002C25C6">
        <w:rPr>
          <w:lang w:val="ru-RU"/>
        </w:rPr>
        <w:t>швейцарских франков (в 201</w:t>
      </w:r>
      <w:r w:rsidR="00123CC7" w:rsidRPr="002C25C6">
        <w:rPr>
          <w:lang w:val="ru-RU"/>
        </w:rPr>
        <w:t>5</w:t>
      </w:r>
      <w:r w:rsidRPr="002C25C6">
        <w:rPr>
          <w:lang w:val="ru-RU"/>
        </w:rPr>
        <w:t xml:space="preserve"> г. – 1</w:t>
      </w:r>
      <w:r w:rsidR="00123CC7" w:rsidRPr="002C25C6">
        <w:rPr>
          <w:lang w:val="ru-RU"/>
        </w:rPr>
        <w:t>4</w:t>
      </w:r>
      <w:r w:rsidRPr="002C25C6">
        <w:rPr>
          <w:lang w:val="ru-RU"/>
        </w:rPr>
        <w:t>,</w:t>
      </w:r>
      <w:r w:rsidR="00123CC7" w:rsidRPr="002C25C6">
        <w:rPr>
          <w:lang w:val="ru-RU"/>
        </w:rPr>
        <w:t>9</w:t>
      </w:r>
      <w:r w:rsidRPr="002C25C6">
        <w:rPr>
          <w:lang w:val="ru-RU"/>
        </w:rPr>
        <w:t> млн. швейцарских франков). На 31 декабря 201</w:t>
      </w:r>
      <w:r w:rsidR="00123CC7" w:rsidRPr="002C25C6">
        <w:rPr>
          <w:lang w:val="ru-RU"/>
        </w:rPr>
        <w:t>6</w:t>
      </w:r>
      <w:r w:rsidRPr="002C25C6">
        <w:rPr>
          <w:lang w:val="ru-RU"/>
        </w:rPr>
        <w:t xml:space="preserve"> года эти обязательства были полностью покрыты в соответствии с принципами, изложенными в Примечании </w:t>
      </w:r>
      <w:r w:rsidR="00123CC7" w:rsidRPr="002C25C6">
        <w:rPr>
          <w:lang w:val="ru-RU"/>
        </w:rPr>
        <w:t>2</w:t>
      </w:r>
      <w:r w:rsidRPr="002C25C6">
        <w:rPr>
          <w:lang w:val="ru-RU"/>
        </w:rPr>
        <w:t xml:space="preserve"> к финансовой отчетности. Дополнительные разъяс</w:t>
      </w:r>
      <w:r w:rsidR="003373E4" w:rsidRPr="002C25C6">
        <w:rPr>
          <w:lang w:val="ru-RU"/>
        </w:rPr>
        <w:t>нения представлены в Примечании </w:t>
      </w:r>
      <w:r w:rsidR="00123CC7" w:rsidRPr="002C25C6">
        <w:rPr>
          <w:lang w:val="ru-RU"/>
        </w:rPr>
        <w:t>8</w:t>
      </w:r>
      <w:r w:rsidRPr="002C25C6">
        <w:rPr>
          <w:lang w:val="ru-RU"/>
        </w:rPr>
        <w:t xml:space="preserve"> "Долговые обязательства". </w:t>
      </w:r>
    </w:p>
    <w:p w:rsidR="00542F98" w:rsidRPr="002C25C6" w:rsidRDefault="00542F98" w:rsidP="004366F9">
      <w:pPr>
        <w:pStyle w:val="Headingb"/>
        <w:rPr>
          <w:lang w:val="ru-RU"/>
        </w:rPr>
      </w:pPr>
      <w:bookmarkStart w:id="98" w:name="_Toc358192830"/>
      <w:bookmarkStart w:id="99" w:name="_Toc398125315"/>
      <w:bookmarkStart w:id="100" w:name="_Toc398125794"/>
      <w:bookmarkStart w:id="101" w:name="_Toc398127087"/>
      <w:bookmarkStart w:id="102" w:name="_Toc452157303"/>
      <w:bookmarkStart w:id="103" w:name="_Toc482995172"/>
      <w:r w:rsidRPr="002C25C6">
        <w:rPr>
          <w:lang w:val="ru-RU"/>
        </w:rPr>
        <w:t>Прочие текущие долговые обязательства</w:t>
      </w:r>
      <w:bookmarkEnd w:id="98"/>
      <w:bookmarkEnd w:id="99"/>
      <w:bookmarkEnd w:id="100"/>
      <w:bookmarkEnd w:id="101"/>
      <w:bookmarkEnd w:id="102"/>
      <w:bookmarkEnd w:id="103"/>
      <w:r w:rsidRPr="002C25C6">
        <w:rPr>
          <w:lang w:val="ru-RU"/>
        </w:rPr>
        <w:t xml:space="preserve"> </w:t>
      </w:r>
    </w:p>
    <w:p w:rsidR="00542F98" w:rsidRPr="002C25C6" w:rsidRDefault="00542F98" w:rsidP="008351B2">
      <w:pPr>
        <w:rPr>
          <w:lang w:val="ru-RU"/>
        </w:rPr>
      </w:pPr>
      <w:r w:rsidRPr="002C25C6">
        <w:rPr>
          <w:lang w:val="ru-RU"/>
        </w:rPr>
        <w:t>13</w:t>
      </w:r>
      <w:r w:rsidRPr="002C25C6">
        <w:rPr>
          <w:lang w:val="ru-RU"/>
        </w:rPr>
        <w:tab/>
        <w:t xml:space="preserve">В разделе "Прочие долговые обязательства" заключительного баланса представлена сумма в размере </w:t>
      </w:r>
      <w:r w:rsidR="008351B2" w:rsidRPr="002C25C6">
        <w:rPr>
          <w:lang w:val="ru-RU"/>
        </w:rPr>
        <w:t>9</w:t>
      </w:r>
      <w:r w:rsidRPr="002C25C6">
        <w:rPr>
          <w:lang w:val="ru-RU"/>
        </w:rPr>
        <w:t>,</w:t>
      </w:r>
      <w:r w:rsidR="008351B2" w:rsidRPr="002C25C6">
        <w:rPr>
          <w:lang w:val="ru-RU"/>
        </w:rPr>
        <w:t>4</w:t>
      </w:r>
      <w:r w:rsidRPr="002C25C6">
        <w:rPr>
          <w:lang w:val="ru-RU"/>
        </w:rPr>
        <w:t xml:space="preserve"> млн. швейцарских франков. (</w:t>
      </w:r>
      <w:proofErr w:type="gramStart"/>
      <w:r w:rsidRPr="002C25C6">
        <w:rPr>
          <w:lang w:val="ru-RU"/>
        </w:rPr>
        <w:t>в</w:t>
      </w:r>
      <w:proofErr w:type="gramEnd"/>
      <w:r w:rsidRPr="002C25C6">
        <w:rPr>
          <w:lang w:val="ru-RU"/>
        </w:rPr>
        <w:t xml:space="preserve"> 201</w:t>
      </w:r>
      <w:r w:rsidR="008351B2" w:rsidRPr="002C25C6">
        <w:rPr>
          <w:lang w:val="ru-RU"/>
        </w:rPr>
        <w:t>5</w:t>
      </w:r>
      <w:r w:rsidRPr="002C25C6">
        <w:rPr>
          <w:lang w:val="ru-RU"/>
        </w:rPr>
        <w:t xml:space="preserve"> г. – 8,</w:t>
      </w:r>
      <w:r w:rsidR="008351B2" w:rsidRPr="002C25C6">
        <w:rPr>
          <w:lang w:val="ru-RU"/>
        </w:rPr>
        <w:t>1</w:t>
      </w:r>
      <w:r w:rsidRPr="002C25C6">
        <w:rPr>
          <w:lang w:val="ru-RU"/>
        </w:rPr>
        <w:t xml:space="preserve"> млн. швейцарских франков). Подробная разбивка раздела "Прочие долговые обязательства" приводится в Примечании 1</w:t>
      </w:r>
      <w:r w:rsidR="008351B2" w:rsidRPr="002C25C6">
        <w:rPr>
          <w:lang w:val="ru-RU"/>
        </w:rPr>
        <w:t>0</w:t>
      </w:r>
      <w:r w:rsidRPr="002C25C6">
        <w:rPr>
          <w:lang w:val="ru-RU"/>
        </w:rPr>
        <w:t xml:space="preserve"> к Отчету о финансовой деятельности.</w:t>
      </w:r>
    </w:p>
    <w:p w:rsidR="00542F98" w:rsidRPr="002C25C6" w:rsidRDefault="00542F98" w:rsidP="004366F9">
      <w:pPr>
        <w:pStyle w:val="Headingb"/>
        <w:rPr>
          <w:lang w:val="ru-RU"/>
        </w:rPr>
      </w:pPr>
      <w:bookmarkStart w:id="104" w:name="_Toc358192831"/>
      <w:bookmarkStart w:id="105" w:name="_Toc398125316"/>
      <w:bookmarkStart w:id="106" w:name="_Toc398125795"/>
      <w:bookmarkStart w:id="107" w:name="_Toc398127088"/>
      <w:bookmarkStart w:id="108" w:name="_Toc452157304"/>
      <w:bookmarkStart w:id="109" w:name="_Toc482995173"/>
      <w:r w:rsidRPr="002C25C6">
        <w:rPr>
          <w:lang w:val="ru-RU"/>
        </w:rPr>
        <w:t>Запасы</w:t>
      </w:r>
      <w:bookmarkEnd w:id="104"/>
      <w:bookmarkEnd w:id="105"/>
      <w:bookmarkEnd w:id="106"/>
      <w:bookmarkEnd w:id="107"/>
      <w:bookmarkEnd w:id="108"/>
      <w:bookmarkEnd w:id="109"/>
    </w:p>
    <w:p w:rsidR="00542F98" w:rsidRPr="002C25C6" w:rsidRDefault="00542F98" w:rsidP="00C419F6">
      <w:pPr>
        <w:rPr>
          <w:lang w:val="ru-RU"/>
        </w:rPr>
      </w:pPr>
      <w:r w:rsidRPr="002C25C6">
        <w:rPr>
          <w:lang w:val="ru-RU"/>
        </w:rPr>
        <w:t>14</w:t>
      </w:r>
      <w:r w:rsidRPr="002C25C6">
        <w:rPr>
          <w:lang w:val="ru-RU"/>
        </w:rPr>
        <w:tab/>
        <w:t>В 201</w:t>
      </w:r>
      <w:r w:rsidR="008351B2" w:rsidRPr="002C25C6">
        <w:rPr>
          <w:lang w:val="ru-RU"/>
        </w:rPr>
        <w:t>6</w:t>
      </w:r>
      <w:r w:rsidRPr="002C25C6">
        <w:rPr>
          <w:lang w:val="ru-RU"/>
        </w:rPr>
        <w:t xml:space="preserve"> году статьи, включающие публикации, сувениры и предметы снабжения, были учтены п</w:t>
      </w:r>
      <w:r w:rsidR="008351B2" w:rsidRPr="002C25C6">
        <w:rPr>
          <w:lang w:val="ru-RU"/>
        </w:rPr>
        <w:t>о чистой стоимости в размере 0,55</w:t>
      </w:r>
      <w:r w:rsidRPr="002C25C6">
        <w:rPr>
          <w:lang w:val="ru-RU"/>
        </w:rPr>
        <w:t xml:space="preserve"> млн. швейцарских франков, </w:t>
      </w:r>
      <w:r w:rsidR="00C419F6" w:rsidRPr="002C25C6">
        <w:rPr>
          <w:lang w:val="ru-RU"/>
        </w:rPr>
        <w:t>что на</w:t>
      </w:r>
      <w:r w:rsidRPr="002C25C6">
        <w:rPr>
          <w:lang w:val="ru-RU"/>
        </w:rPr>
        <w:t xml:space="preserve"> 0,</w:t>
      </w:r>
      <w:r w:rsidR="008351B2" w:rsidRPr="002C25C6">
        <w:rPr>
          <w:lang w:val="ru-RU"/>
        </w:rPr>
        <w:t>03</w:t>
      </w:r>
      <w:r w:rsidRPr="002C25C6">
        <w:rPr>
          <w:lang w:val="ru-RU"/>
        </w:rPr>
        <w:t xml:space="preserve"> млн. швейцарских франков </w:t>
      </w:r>
      <w:r w:rsidR="00C419F6" w:rsidRPr="002C25C6">
        <w:rPr>
          <w:lang w:val="ru-RU"/>
        </w:rPr>
        <w:t>меньше, чем уровень</w:t>
      </w:r>
      <w:r w:rsidRPr="002C25C6">
        <w:rPr>
          <w:lang w:val="ru-RU"/>
        </w:rPr>
        <w:t xml:space="preserve"> чистой стоимост</w:t>
      </w:r>
      <w:r w:rsidR="00C419F6" w:rsidRPr="002C25C6">
        <w:rPr>
          <w:lang w:val="ru-RU"/>
        </w:rPr>
        <w:t>и в</w:t>
      </w:r>
      <w:r w:rsidRPr="002C25C6">
        <w:rPr>
          <w:lang w:val="ru-RU"/>
        </w:rPr>
        <w:t xml:space="preserve"> 0,</w:t>
      </w:r>
      <w:r w:rsidR="008351B2" w:rsidRPr="002C25C6">
        <w:rPr>
          <w:lang w:val="ru-RU"/>
        </w:rPr>
        <w:t>58</w:t>
      </w:r>
      <w:r w:rsidRPr="002C25C6">
        <w:rPr>
          <w:lang w:val="ru-RU"/>
        </w:rPr>
        <w:t xml:space="preserve"> млн. швейцарских франков в 201</w:t>
      </w:r>
      <w:r w:rsidR="008351B2" w:rsidRPr="002C25C6">
        <w:rPr>
          <w:lang w:val="ru-RU"/>
        </w:rPr>
        <w:t>5</w:t>
      </w:r>
      <w:r w:rsidRPr="002C25C6">
        <w:rPr>
          <w:lang w:val="ru-RU"/>
        </w:rPr>
        <w:t> году. Запасы под</w:t>
      </w:r>
      <w:r w:rsidR="008351B2" w:rsidRPr="002C25C6">
        <w:rPr>
          <w:lang w:val="ru-RU"/>
        </w:rPr>
        <w:t>робно описываются в Примечании 9</w:t>
      </w:r>
      <w:r w:rsidRPr="002C25C6">
        <w:rPr>
          <w:lang w:val="ru-RU"/>
        </w:rPr>
        <w:t xml:space="preserve"> к Отчету о финансовой деятельности.</w:t>
      </w:r>
    </w:p>
    <w:p w:rsidR="00542F98" w:rsidRPr="002C25C6" w:rsidRDefault="00542F98" w:rsidP="004366F9">
      <w:pPr>
        <w:pStyle w:val="Headingb"/>
        <w:rPr>
          <w:lang w:val="ru-RU"/>
        </w:rPr>
      </w:pPr>
      <w:bookmarkStart w:id="110" w:name="_Ref292884400"/>
      <w:bookmarkStart w:id="111" w:name="_Toc324506726"/>
      <w:bookmarkStart w:id="112" w:name="_Toc325622854"/>
      <w:bookmarkStart w:id="113" w:name="_Toc356330882"/>
      <w:bookmarkStart w:id="114" w:name="_Toc358192832"/>
      <w:bookmarkStart w:id="115" w:name="_Toc398125317"/>
      <w:bookmarkStart w:id="116" w:name="_Toc398125796"/>
      <w:bookmarkStart w:id="117" w:name="_Toc398127089"/>
      <w:bookmarkStart w:id="118" w:name="_Toc452157305"/>
      <w:bookmarkStart w:id="119" w:name="_Toc482995174"/>
      <w:r w:rsidRPr="002C25C6">
        <w:rPr>
          <w:lang w:val="ru-RU"/>
        </w:rPr>
        <w:t>Нетекущие активы</w:t>
      </w:r>
      <w:bookmarkEnd w:id="110"/>
      <w:bookmarkEnd w:id="111"/>
      <w:bookmarkEnd w:id="112"/>
      <w:bookmarkEnd w:id="113"/>
      <w:bookmarkEnd w:id="114"/>
      <w:bookmarkEnd w:id="115"/>
      <w:bookmarkEnd w:id="116"/>
      <w:bookmarkEnd w:id="117"/>
      <w:bookmarkEnd w:id="118"/>
      <w:bookmarkEnd w:id="119"/>
    </w:p>
    <w:p w:rsidR="00542F98" w:rsidRPr="002C25C6" w:rsidRDefault="00542F98" w:rsidP="0032522D">
      <w:pPr>
        <w:rPr>
          <w:lang w:val="ru-RU"/>
        </w:rPr>
      </w:pPr>
      <w:r w:rsidRPr="002C25C6">
        <w:rPr>
          <w:lang w:val="ru-RU"/>
        </w:rPr>
        <w:t>1</w:t>
      </w:r>
      <w:r w:rsidR="0032522D" w:rsidRPr="002C25C6">
        <w:rPr>
          <w:lang w:val="ru-RU"/>
        </w:rPr>
        <w:t>5</w:t>
      </w:r>
      <w:r w:rsidRPr="002C25C6">
        <w:rPr>
          <w:lang w:val="ru-RU"/>
        </w:rPr>
        <w:tab/>
        <w:t xml:space="preserve">Объем </w:t>
      </w:r>
      <w:proofErr w:type="spellStart"/>
      <w:r w:rsidRPr="002C25C6">
        <w:rPr>
          <w:lang w:val="ru-RU"/>
        </w:rPr>
        <w:t>нетекущих</w:t>
      </w:r>
      <w:proofErr w:type="spellEnd"/>
      <w:r w:rsidRPr="002C25C6">
        <w:rPr>
          <w:lang w:val="ru-RU"/>
        </w:rPr>
        <w:t xml:space="preserve"> активов по состоянию на 31 декабря 201</w:t>
      </w:r>
      <w:r w:rsidR="0032522D" w:rsidRPr="002C25C6">
        <w:rPr>
          <w:lang w:val="ru-RU"/>
        </w:rPr>
        <w:t>6</w:t>
      </w:r>
      <w:r w:rsidRPr="002C25C6">
        <w:rPr>
          <w:lang w:val="ru-RU"/>
        </w:rPr>
        <w:t xml:space="preserve"> года составил в целом 10</w:t>
      </w:r>
      <w:r w:rsidR="0032522D" w:rsidRPr="002C25C6">
        <w:rPr>
          <w:lang w:val="ru-RU"/>
        </w:rPr>
        <w:t>4</w:t>
      </w:r>
      <w:r w:rsidRPr="002C25C6">
        <w:rPr>
          <w:lang w:val="ru-RU"/>
        </w:rPr>
        <w:t>,</w:t>
      </w:r>
      <w:r w:rsidR="0032522D" w:rsidRPr="002C25C6">
        <w:rPr>
          <w:lang w:val="ru-RU"/>
        </w:rPr>
        <w:t>1</w:t>
      </w:r>
      <w:r w:rsidRPr="002C25C6">
        <w:rPr>
          <w:lang w:val="ru-RU"/>
        </w:rPr>
        <w:t xml:space="preserve"> млн. швейцарских франков, сократившись на </w:t>
      </w:r>
      <w:r w:rsidR="0032522D" w:rsidRPr="002C25C6">
        <w:rPr>
          <w:lang w:val="ru-RU"/>
        </w:rPr>
        <w:t>4</w:t>
      </w:r>
      <w:r w:rsidRPr="002C25C6">
        <w:rPr>
          <w:lang w:val="ru-RU"/>
        </w:rPr>
        <w:t>,</w:t>
      </w:r>
      <w:r w:rsidR="0032522D" w:rsidRPr="002C25C6">
        <w:rPr>
          <w:lang w:val="ru-RU"/>
        </w:rPr>
        <w:t>1</w:t>
      </w:r>
      <w:r w:rsidRPr="002C25C6">
        <w:rPr>
          <w:lang w:val="ru-RU"/>
        </w:rPr>
        <w:t xml:space="preserve"> млн. швейцарских франков (−3,</w:t>
      </w:r>
      <w:r w:rsidR="0032522D" w:rsidRPr="002C25C6">
        <w:rPr>
          <w:lang w:val="ru-RU"/>
        </w:rPr>
        <w:t>8</w:t>
      </w:r>
      <w:r w:rsidRPr="002C25C6">
        <w:rPr>
          <w:lang w:val="ru-RU"/>
        </w:rPr>
        <w:t>%) по сравнению с 201</w:t>
      </w:r>
      <w:r w:rsidR="0032522D" w:rsidRPr="002C25C6">
        <w:rPr>
          <w:lang w:val="ru-RU"/>
        </w:rPr>
        <w:t>5</w:t>
      </w:r>
      <w:r w:rsidRPr="002C25C6">
        <w:rPr>
          <w:lang w:val="ru-RU"/>
        </w:rPr>
        <w:t xml:space="preserve"> годом, когда их объем составлял 1</w:t>
      </w:r>
      <w:r w:rsidR="0032522D" w:rsidRPr="002C25C6">
        <w:rPr>
          <w:lang w:val="ru-RU"/>
        </w:rPr>
        <w:t>08</w:t>
      </w:r>
      <w:r w:rsidRPr="002C25C6">
        <w:rPr>
          <w:lang w:val="ru-RU"/>
        </w:rPr>
        <w:t>,</w:t>
      </w:r>
      <w:r w:rsidR="0032522D" w:rsidRPr="002C25C6">
        <w:rPr>
          <w:lang w:val="ru-RU"/>
        </w:rPr>
        <w:t>2</w:t>
      </w:r>
      <w:r w:rsidRPr="002C25C6">
        <w:rPr>
          <w:lang w:val="ru-RU"/>
        </w:rPr>
        <w:t> млн. швейцарских франков, что объясняется в ос</w:t>
      </w:r>
      <w:r w:rsidR="0032522D" w:rsidRPr="002C25C6">
        <w:rPr>
          <w:lang w:val="ru-RU"/>
        </w:rPr>
        <w:t>новном амортизацией зданий МСЭ.</w:t>
      </w:r>
    </w:p>
    <w:p w:rsidR="00542F98" w:rsidRPr="002C25C6" w:rsidRDefault="00542F98" w:rsidP="00B57286">
      <w:pPr>
        <w:rPr>
          <w:lang w:val="ru-RU"/>
        </w:rPr>
      </w:pPr>
      <w:r w:rsidRPr="002C25C6">
        <w:rPr>
          <w:lang w:val="ru-RU"/>
        </w:rPr>
        <w:t>1</w:t>
      </w:r>
      <w:r w:rsidR="00DE7153" w:rsidRPr="002C25C6">
        <w:rPr>
          <w:lang w:val="ru-RU"/>
        </w:rPr>
        <w:t>6</w:t>
      </w:r>
      <w:r w:rsidRPr="002C25C6">
        <w:rPr>
          <w:lang w:val="ru-RU"/>
        </w:rPr>
        <w:tab/>
        <w:t>Этот раздел включает "Материальные активы" на сумму 10</w:t>
      </w:r>
      <w:r w:rsidR="009F6ED6" w:rsidRPr="002C25C6">
        <w:rPr>
          <w:lang w:val="ru-RU"/>
        </w:rPr>
        <w:t>1</w:t>
      </w:r>
      <w:r w:rsidRPr="002C25C6">
        <w:rPr>
          <w:lang w:val="ru-RU"/>
        </w:rPr>
        <w:t>,</w:t>
      </w:r>
      <w:r w:rsidR="009F6ED6" w:rsidRPr="002C25C6">
        <w:rPr>
          <w:lang w:val="ru-RU"/>
        </w:rPr>
        <w:t>4</w:t>
      </w:r>
      <w:r w:rsidRPr="002C25C6">
        <w:rPr>
          <w:lang w:val="ru-RU"/>
        </w:rPr>
        <w:t xml:space="preserve"> млн. швейцарских франков или 97,</w:t>
      </w:r>
      <w:r w:rsidR="009F6ED6" w:rsidRPr="002C25C6">
        <w:rPr>
          <w:lang w:val="ru-RU"/>
        </w:rPr>
        <w:t>5</w:t>
      </w:r>
      <w:r w:rsidRPr="002C25C6">
        <w:rPr>
          <w:lang w:val="ru-RU"/>
        </w:rPr>
        <w:t xml:space="preserve">% от </w:t>
      </w:r>
      <w:r w:rsidR="00797338" w:rsidRPr="002C25C6">
        <w:rPr>
          <w:lang w:val="ru-RU"/>
        </w:rPr>
        <w:t xml:space="preserve">общего объема </w:t>
      </w:r>
      <w:proofErr w:type="spellStart"/>
      <w:r w:rsidR="00797338" w:rsidRPr="002C25C6">
        <w:rPr>
          <w:lang w:val="ru-RU"/>
        </w:rPr>
        <w:t>нетекущих</w:t>
      </w:r>
      <w:proofErr w:type="spellEnd"/>
      <w:r w:rsidR="00797338" w:rsidRPr="002C25C6">
        <w:rPr>
          <w:lang w:val="ru-RU"/>
        </w:rPr>
        <w:t xml:space="preserve"> активов</w:t>
      </w:r>
      <w:r w:rsidR="009F6ED6" w:rsidRPr="002C25C6">
        <w:rPr>
          <w:lang w:val="ru-RU"/>
        </w:rPr>
        <w:t xml:space="preserve"> (в 2015 году его объем составлял 104,9 млн. швейцарских франков или 97,0% от </w:t>
      </w:r>
      <w:proofErr w:type="spellStart"/>
      <w:r w:rsidR="009F6ED6" w:rsidRPr="002C25C6">
        <w:rPr>
          <w:lang w:val="ru-RU"/>
        </w:rPr>
        <w:t>нетекущих</w:t>
      </w:r>
      <w:proofErr w:type="spellEnd"/>
      <w:r w:rsidR="009F6ED6" w:rsidRPr="002C25C6">
        <w:rPr>
          <w:lang w:val="ru-RU"/>
        </w:rPr>
        <w:t xml:space="preserve"> активов),</w:t>
      </w:r>
      <w:r w:rsidRPr="002C25C6">
        <w:rPr>
          <w:lang w:val="ru-RU"/>
        </w:rPr>
        <w:t xml:space="preserve"> и "Н</w:t>
      </w:r>
      <w:r w:rsidR="00797338" w:rsidRPr="002C25C6">
        <w:rPr>
          <w:lang w:val="ru-RU"/>
        </w:rPr>
        <w:t>ематериальные активы" на сумму 2</w:t>
      </w:r>
      <w:r w:rsidRPr="002C25C6">
        <w:rPr>
          <w:lang w:val="ru-RU"/>
        </w:rPr>
        <w:t>,</w:t>
      </w:r>
      <w:r w:rsidR="00797338" w:rsidRPr="002C25C6">
        <w:rPr>
          <w:lang w:val="ru-RU"/>
        </w:rPr>
        <w:t>6</w:t>
      </w:r>
      <w:r w:rsidRPr="002C25C6">
        <w:rPr>
          <w:lang w:val="ru-RU"/>
        </w:rPr>
        <w:t xml:space="preserve"> млн. швейцарских франков или </w:t>
      </w:r>
      <w:r w:rsidR="00797338" w:rsidRPr="002C25C6">
        <w:rPr>
          <w:lang w:val="ru-RU"/>
        </w:rPr>
        <w:t>2</w:t>
      </w:r>
      <w:r w:rsidRPr="002C25C6">
        <w:rPr>
          <w:lang w:val="ru-RU"/>
        </w:rPr>
        <w:t>,</w:t>
      </w:r>
      <w:r w:rsidR="00797338" w:rsidRPr="002C25C6">
        <w:rPr>
          <w:lang w:val="ru-RU"/>
        </w:rPr>
        <w:t>5</w:t>
      </w:r>
      <w:r w:rsidRPr="002C25C6">
        <w:rPr>
          <w:lang w:val="ru-RU"/>
        </w:rPr>
        <w:t>% от общего объема (в 201</w:t>
      </w:r>
      <w:r w:rsidR="00797338" w:rsidRPr="002C25C6">
        <w:rPr>
          <w:lang w:val="ru-RU"/>
        </w:rPr>
        <w:t>5</w:t>
      </w:r>
      <w:r w:rsidRPr="002C25C6">
        <w:rPr>
          <w:lang w:val="ru-RU"/>
        </w:rPr>
        <w:t xml:space="preserve"> г. − </w:t>
      </w:r>
      <w:r w:rsidR="00797338" w:rsidRPr="002C25C6">
        <w:rPr>
          <w:lang w:val="ru-RU"/>
        </w:rPr>
        <w:t>3</w:t>
      </w:r>
      <w:r w:rsidRPr="002C25C6">
        <w:rPr>
          <w:lang w:val="ru-RU"/>
        </w:rPr>
        <w:t>,</w:t>
      </w:r>
      <w:r w:rsidR="00797338" w:rsidRPr="002C25C6">
        <w:rPr>
          <w:lang w:val="ru-RU"/>
        </w:rPr>
        <w:t>2</w:t>
      </w:r>
      <w:r w:rsidR="003373E4" w:rsidRPr="002C25C6">
        <w:rPr>
          <w:lang w:val="ru-RU"/>
        </w:rPr>
        <w:t> млн. швейцарских франков или </w:t>
      </w:r>
      <w:r w:rsidR="009F6ED6" w:rsidRPr="002C25C6">
        <w:rPr>
          <w:lang w:val="ru-RU"/>
        </w:rPr>
        <w:t>3,</w:t>
      </w:r>
      <w:r w:rsidR="00797338" w:rsidRPr="002C25C6">
        <w:rPr>
          <w:lang w:val="ru-RU"/>
        </w:rPr>
        <w:t>0</w:t>
      </w:r>
      <w:r w:rsidRPr="002C25C6">
        <w:rPr>
          <w:lang w:val="ru-RU"/>
        </w:rPr>
        <w:t>%). Они показаны, соответственно, в Примечаниях 1</w:t>
      </w:r>
      <w:r w:rsidR="00797338" w:rsidRPr="002C25C6">
        <w:rPr>
          <w:lang w:val="ru-RU"/>
        </w:rPr>
        <w:t>1</w:t>
      </w:r>
      <w:r w:rsidRPr="002C25C6">
        <w:rPr>
          <w:lang w:val="ru-RU"/>
        </w:rPr>
        <w:t xml:space="preserve"> и 1</w:t>
      </w:r>
      <w:r w:rsidR="00797338" w:rsidRPr="002C25C6">
        <w:rPr>
          <w:lang w:val="ru-RU"/>
        </w:rPr>
        <w:t>2</w:t>
      </w:r>
      <w:r w:rsidRPr="002C25C6">
        <w:rPr>
          <w:lang w:val="ru-RU"/>
        </w:rPr>
        <w:t xml:space="preserve"> к Отчету о финансовой деятельности.</w:t>
      </w:r>
    </w:p>
    <w:p w:rsidR="00542F98" w:rsidRPr="002C25C6" w:rsidRDefault="00542F98" w:rsidP="004366F9">
      <w:pPr>
        <w:pStyle w:val="Headingb"/>
        <w:rPr>
          <w:lang w:val="ru-RU"/>
        </w:rPr>
      </w:pPr>
      <w:bookmarkStart w:id="120" w:name="_Toc358192833"/>
      <w:bookmarkStart w:id="121" w:name="_Toc398125318"/>
      <w:bookmarkStart w:id="122" w:name="_Toc398125797"/>
      <w:bookmarkStart w:id="123" w:name="_Toc398127090"/>
      <w:bookmarkStart w:id="124" w:name="_Toc452157306"/>
      <w:bookmarkStart w:id="125" w:name="_Toc482995175"/>
      <w:r w:rsidRPr="002C25C6">
        <w:rPr>
          <w:lang w:val="ru-RU"/>
        </w:rPr>
        <w:t>Материальные активы</w:t>
      </w:r>
      <w:bookmarkEnd w:id="120"/>
      <w:bookmarkEnd w:id="121"/>
      <w:bookmarkEnd w:id="122"/>
      <w:bookmarkEnd w:id="123"/>
      <w:bookmarkEnd w:id="124"/>
      <w:bookmarkEnd w:id="125"/>
    </w:p>
    <w:p w:rsidR="00542F98" w:rsidRPr="002C25C6" w:rsidRDefault="00542F98" w:rsidP="00BD766F">
      <w:pPr>
        <w:rPr>
          <w:lang w:val="ru-RU"/>
        </w:rPr>
      </w:pPr>
      <w:bookmarkStart w:id="126" w:name="_Ref355125291"/>
      <w:r w:rsidRPr="002C25C6">
        <w:rPr>
          <w:lang w:val="ru-RU"/>
        </w:rPr>
        <w:t>1</w:t>
      </w:r>
      <w:r w:rsidR="00473375" w:rsidRPr="002C25C6">
        <w:rPr>
          <w:lang w:val="ru-RU"/>
        </w:rPr>
        <w:t>7</w:t>
      </w:r>
      <w:r w:rsidRPr="002C25C6">
        <w:rPr>
          <w:lang w:val="ru-RU"/>
        </w:rPr>
        <w:tab/>
        <w:t>В этом разделе приводится величина в 10</w:t>
      </w:r>
      <w:r w:rsidR="00473375" w:rsidRPr="002C25C6">
        <w:rPr>
          <w:lang w:val="ru-RU"/>
        </w:rPr>
        <w:t>1</w:t>
      </w:r>
      <w:r w:rsidRPr="002C25C6">
        <w:rPr>
          <w:lang w:val="ru-RU"/>
        </w:rPr>
        <w:t>,</w:t>
      </w:r>
      <w:r w:rsidR="00473375" w:rsidRPr="002C25C6">
        <w:rPr>
          <w:lang w:val="ru-RU"/>
        </w:rPr>
        <w:t>4</w:t>
      </w:r>
      <w:r w:rsidRPr="002C25C6">
        <w:rPr>
          <w:lang w:val="ru-RU"/>
        </w:rPr>
        <w:t xml:space="preserve"> млн. швейцарских франков, которая представляла собой чистую стоимость по состоянию на 31 декабря 201</w:t>
      </w:r>
      <w:r w:rsidR="00473375" w:rsidRPr="002C25C6">
        <w:rPr>
          <w:lang w:val="ru-RU"/>
        </w:rPr>
        <w:t>6</w:t>
      </w:r>
      <w:r w:rsidRPr="002C25C6">
        <w:rPr>
          <w:lang w:val="ru-RU"/>
        </w:rPr>
        <w:t xml:space="preserve"> года капитализированных затрат за вычетом соответствующей амортизации по каждой перечисленной здесь категории: здания (в 201</w:t>
      </w:r>
      <w:r w:rsidR="00473375" w:rsidRPr="002C25C6">
        <w:rPr>
          <w:lang w:val="ru-RU"/>
        </w:rPr>
        <w:t>6</w:t>
      </w:r>
      <w:r w:rsidRPr="002C25C6">
        <w:rPr>
          <w:lang w:val="ru-RU"/>
        </w:rPr>
        <w:t xml:space="preserve"> году были учтены п</w:t>
      </w:r>
      <w:r w:rsidR="00473375" w:rsidRPr="002C25C6">
        <w:rPr>
          <w:lang w:val="ru-RU"/>
        </w:rPr>
        <w:t>о чистой стоимости в размере 100</w:t>
      </w:r>
      <w:r w:rsidRPr="002C25C6">
        <w:rPr>
          <w:lang w:val="ru-RU"/>
        </w:rPr>
        <w:t>,</w:t>
      </w:r>
      <w:r w:rsidR="00473375" w:rsidRPr="002C25C6">
        <w:rPr>
          <w:lang w:val="ru-RU"/>
        </w:rPr>
        <w:t>6</w:t>
      </w:r>
      <w:r w:rsidRPr="002C25C6">
        <w:rPr>
          <w:lang w:val="ru-RU"/>
        </w:rPr>
        <w:t xml:space="preserve"> млн. швейцарских франков; в 201</w:t>
      </w:r>
      <w:r w:rsidR="00473375" w:rsidRPr="002C25C6">
        <w:rPr>
          <w:lang w:val="ru-RU"/>
        </w:rPr>
        <w:t>5 г. − 103</w:t>
      </w:r>
      <w:r w:rsidRPr="002C25C6">
        <w:rPr>
          <w:lang w:val="ru-RU"/>
        </w:rPr>
        <w:t>,</w:t>
      </w:r>
      <w:r w:rsidR="00473375" w:rsidRPr="002C25C6">
        <w:rPr>
          <w:lang w:val="ru-RU"/>
        </w:rPr>
        <w:t>9</w:t>
      </w:r>
      <w:r w:rsidRPr="002C25C6">
        <w:rPr>
          <w:lang w:val="ru-RU"/>
        </w:rPr>
        <w:t> млн. швейцарских франков); машины и оборудование (в 201</w:t>
      </w:r>
      <w:r w:rsidR="00B66EDB" w:rsidRPr="002C25C6">
        <w:rPr>
          <w:lang w:val="ru-RU"/>
        </w:rPr>
        <w:t>6</w:t>
      </w:r>
      <w:r w:rsidRPr="002C25C6">
        <w:rPr>
          <w:lang w:val="ru-RU"/>
        </w:rPr>
        <w:t> г. − 0,0</w:t>
      </w:r>
      <w:r w:rsidR="00B66EDB" w:rsidRPr="002C25C6">
        <w:rPr>
          <w:lang w:val="ru-RU"/>
        </w:rPr>
        <w:t>7</w:t>
      </w:r>
      <w:r w:rsidRPr="002C25C6">
        <w:rPr>
          <w:lang w:val="ru-RU"/>
        </w:rPr>
        <w:t> млн. швейцарских франков; в 201</w:t>
      </w:r>
      <w:r w:rsidR="00B66EDB" w:rsidRPr="002C25C6">
        <w:rPr>
          <w:lang w:val="ru-RU"/>
        </w:rPr>
        <w:t>5 г. − 0,09</w:t>
      </w:r>
      <w:r w:rsidRPr="002C25C6">
        <w:rPr>
          <w:lang w:val="ru-RU"/>
        </w:rPr>
        <w:t xml:space="preserve"> млн. швейцарских франков); мебель (в 201</w:t>
      </w:r>
      <w:r w:rsidR="00B66EDB" w:rsidRPr="002C25C6">
        <w:rPr>
          <w:lang w:val="ru-RU"/>
        </w:rPr>
        <w:t>6</w:t>
      </w:r>
      <w:r w:rsidRPr="002C25C6">
        <w:rPr>
          <w:lang w:val="ru-RU"/>
        </w:rPr>
        <w:t> г. − 0,</w:t>
      </w:r>
      <w:r w:rsidR="00B66EDB" w:rsidRPr="002C25C6">
        <w:rPr>
          <w:lang w:val="ru-RU"/>
        </w:rPr>
        <w:t>0</w:t>
      </w:r>
      <w:r w:rsidRPr="002C25C6">
        <w:rPr>
          <w:lang w:val="ru-RU"/>
        </w:rPr>
        <w:t>2 млн. швейцарских франков; в 201</w:t>
      </w:r>
      <w:r w:rsidR="00B66EDB" w:rsidRPr="002C25C6">
        <w:rPr>
          <w:lang w:val="ru-RU"/>
        </w:rPr>
        <w:t>5</w:t>
      </w:r>
      <w:r w:rsidRPr="002C25C6">
        <w:rPr>
          <w:lang w:val="ru-RU"/>
        </w:rPr>
        <w:t> г. − 0,</w:t>
      </w:r>
      <w:r w:rsidR="00B66EDB" w:rsidRPr="002C25C6">
        <w:rPr>
          <w:lang w:val="ru-RU"/>
        </w:rPr>
        <w:t>2</w:t>
      </w:r>
      <w:r w:rsidRPr="002C25C6">
        <w:rPr>
          <w:lang w:val="ru-RU"/>
        </w:rPr>
        <w:t xml:space="preserve"> млн. швейцарских франков); оборудование ИТ (в 201</w:t>
      </w:r>
      <w:r w:rsidR="00B66EDB" w:rsidRPr="002C25C6">
        <w:rPr>
          <w:lang w:val="ru-RU"/>
        </w:rPr>
        <w:t>6</w:t>
      </w:r>
      <w:r w:rsidRPr="002C25C6">
        <w:rPr>
          <w:lang w:val="ru-RU"/>
        </w:rPr>
        <w:t> г. − 0,7 млн. швейцарских франков; в 201</w:t>
      </w:r>
      <w:r w:rsidR="00B66EDB" w:rsidRPr="002C25C6">
        <w:rPr>
          <w:lang w:val="ru-RU"/>
        </w:rPr>
        <w:t>5</w:t>
      </w:r>
      <w:r w:rsidRPr="002C25C6">
        <w:rPr>
          <w:lang w:val="ru-RU"/>
        </w:rPr>
        <w:t> г. − 0,</w:t>
      </w:r>
      <w:r w:rsidR="00B66EDB" w:rsidRPr="002C25C6">
        <w:rPr>
          <w:lang w:val="ru-RU"/>
        </w:rPr>
        <w:t>7</w:t>
      </w:r>
      <w:r w:rsidRPr="002C25C6">
        <w:rPr>
          <w:lang w:val="ru-RU"/>
        </w:rPr>
        <w:t xml:space="preserve"> млн. швейцарских франков). Это проиллюстрировано в Примечании 1</w:t>
      </w:r>
      <w:r w:rsidR="00BD766F" w:rsidRPr="002C25C6">
        <w:rPr>
          <w:lang w:val="ru-RU"/>
        </w:rPr>
        <w:t>1</w:t>
      </w:r>
      <w:r w:rsidRPr="002C25C6">
        <w:rPr>
          <w:lang w:val="ru-RU"/>
        </w:rPr>
        <w:t xml:space="preserve"> к Отчету о финансовой деятельности.</w:t>
      </w:r>
    </w:p>
    <w:bookmarkEnd w:id="126"/>
    <w:p w:rsidR="00542F98" w:rsidRPr="002C25C6" w:rsidRDefault="00B66EDB" w:rsidP="00542F98">
      <w:pPr>
        <w:rPr>
          <w:lang w:val="ru-RU"/>
        </w:rPr>
      </w:pPr>
      <w:r w:rsidRPr="002C25C6">
        <w:rPr>
          <w:lang w:val="ru-RU"/>
        </w:rPr>
        <w:t>18</w:t>
      </w:r>
      <w:r w:rsidR="00542F98" w:rsidRPr="002C25C6">
        <w:rPr>
          <w:lang w:val="ru-RU"/>
        </w:rPr>
        <w:tab/>
        <w:t xml:space="preserve">Согласно стандарту IPSAS 1 требуется, чтобы в Отчете о финансовом положении здания учитывались в качестве активов. В стандарте IPSAS 17 отмечается, что при первоначальном учете должна указываться стоимость этих позиций или надежные данные по текущей стоимости. Амортизация систематически начисляется в течение срока полезного использования актива, а метод амортизации должен отражать модель, на основе которой, как ожидается, организация будет </w:t>
      </w:r>
      <w:r w:rsidR="00542F98" w:rsidRPr="002C25C6">
        <w:rPr>
          <w:lang w:val="ru-RU"/>
        </w:rPr>
        <w:lastRenderedPageBreak/>
        <w:t xml:space="preserve">использовать будущие экономические выгоды от актива или потенциал услуг. Остаточную стоимость необходимо оценивать, по крайней мере, ежегодно, и она должна быть равна той сумме, которую организация могла бы сейчас получить, если бы данный актив уже достиг возраста и состояния, которые ожидаются в конце срока его полезного использования. Земля и здания являются делимыми активами и учитываются отдельно, даже если они приобретены вместе. </w:t>
      </w:r>
    </w:p>
    <w:p w:rsidR="00542F98" w:rsidRPr="002C25C6" w:rsidRDefault="00B66EDB" w:rsidP="00B66EDB">
      <w:pPr>
        <w:rPr>
          <w:lang w:val="ru-RU"/>
        </w:rPr>
      </w:pPr>
      <w:r w:rsidRPr="002C25C6">
        <w:rPr>
          <w:lang w:val="ru-RU"/>
        </w:rPr>
        <w:t>19</w:t>
      </w:r>
      <w:r w:rsidR="00542F98" w:rsidRPr="002C25C6">
        <w:rPr>
          <w:lang w:val="ru-RU"/>
        </w:rPr>
        <w:tab/>
        <w:t xml:space="preserve">Согласно Приложению II к Финансовому регламенту МСЭ Внешний аудитор должен высказать мнение по поводу того, что "при учете всех активов, пассивов, излишков и дефицитов средств применялись процедуры, которые Внешний аудитор считает удовлетворительными". </w:t>
      </w:r>
    </w:p>
    <w:p w:rsidR="00542F98" w:rsidRPr="002C25C6" w:rsidRDefault="00B66EDB" w:rsidP="00B66EDB">
      <w:pPr>
        <w:rPr>
          <w:lang w:val="ru-RU"/>
        </w:rPr>
      </w:pPr>
      <w:r w:rsidRPr="002C25C6">
        <w:rPr>
          <w:lang w:val="ru-RU"/>
        </w:rPr>
        <w:t>20</w:t>
      </w:r>
      <w:r w:rsidR="00542F98" w:rsidRPr="002C25C6">
        <w:rPr>
          <w:lang w:val="ru-RU"/>
        </w:rPr>
        <w:tab/>
        <w:t xml:space="preserve">В Примечании </w:t>
      </w:r>
      <w:r w:rsidRPr="002C25C6">
        <w:rPr>
          <w:lang w:val="ru-RU"/>
        </w:rPr>
        <w:t>2</w:t>
      </w:r>
      <w:r w:rsidR="00542F98" w:rsidRPr="002C25C6">
        <w:rPr>
          <w:lang w:val="ru-RU"/>
        </w:rPr>
        <w:t xml:space="preserve"> к Отчету о финансовой деятельности "Основные принципы бухгалтерского учета" в подпункте "Материальные активы" отмечается, что первоначальный учет зданий был произведен по "</w:t>
      </w:r>
      <w:r w:rsidR="00542F98" w:rsidRPr="002C25C6">
        <w:rPr>
          <w:i/>
          <w:lang w:val="ru-RU"/>
        </w:rPr>
        <w:t>фактической стоимости</w:t>
      </w:r>
      <w:r w:rsidR="00542F98" w:rsidRPr="002C25C6">
        <w:rPr>
          <w:lang w:val="ru-RU"/>
        </w:rPr>
        <w:t>" "</w:t>
      </w:r>
      <w:r w:rsidR="00542F98" w:rsidRPr="002C25C6">
        <w:rPr>
          <w:i/>
          <w:lang w:val="ru-RU"/>
        </w:rPr>
        <w:t>на основе оценки, проведенной внешней организацией</w:t>
      </w:r>
      <w:r w:rsidR="00542F98" w:rsidRPr="002C25C6">
        <w:rPr>
          <w:lang w:val="ru-RU"/>
        </w:rPr>
        <w:t>" для определения величины начального баланса согласно IPSAS. Эта величина считалась "стоимостью приобретения", а амортизация рассчитывалась на основе "</w:t>
      </w:r>
      <w:r w:rsidR="00542F98" w:rsidRPr="002C25C6">
        <w:rPr>
          <w:i/>
          <w:lang w:val="ru-RU"/>
        </w:rPr>
        <w:t>прогнозируемой продолжительности полезного использования</w:t>
      </w:r>
      <w:r w:rsidR="00542F98" w:rsidRPr="002C25C6">
        <w:rPr>
          <w:lang w:val="ru-RU"/>
        </w:rPr>
        <w:t>", которая составляет для сооружений 100 лет. При определении первоначальной стоимости зданий не учитывались земельные площади, на которые МСЭ имеет бесплатное "</w:t>
      </w:r>
      <w:r w:rsidR="00542F98" w:rsidRPr="002C25C6">
        <w:rPr>
          <w:i/>
          <w:lang w:val="ru-RU"/>
        </w:rPr>
        <w:t xml:space="preserve">право </w:t>
      </w:r>
      <w:proofErr w:type="spellStart"/>
      <w:r w:rsidR="00542F98" w:rsidRPr="002C25C6">
        <w:rPr>
          <w:i/>
          <w:lang w:val="ru-RU"/>
        </w:rPr>
        <w:t>суперфиция</w:t>
      </w:r>
      <w:proofErr w:type="spellEnd"/>
      <w:r w:rsidR="00542F98" w:rsidRPr="002C25C6">
        <w:rPr>
          <w:lang w:val="ru-RU"/>
        </w:rPr>
        <w:t xml:space="preserve">". В прошлые годы мы дали рекомендацию относительно пересмотра Соглашения с принимающей страной (см. таблицу последующих мер, Приложение 1), и когда подготовка данного соглашению будет завершена, следует соответствующим образом скорректировать остаточную балансовую стоимость. </w:t>
      </w:r>
    </w:p>
    <w:p w:rsidR="00542F98" w:rsidRPr="002C25C6" w:rsidRDefault="00542F98" w:rsidP="00B66EDB">
      <w:pPr>
        <w:rPr>
          <w:lang w:val="ru-RU"/>
        </w:rPr>
      </w:pPr>
      <w:r w:rsidRPr="002C25C6">
        <w:rPr>
          <w:lang w:val="ru-RU"/>
        </w:rPr>
        <w:t>2</w:t>
      </w:r>
      <w:r w:rsidR="00B66EDB" w:rsidRPr="002C25C6">
        <w:rPr>
          <w:lang w:val="ru-RU"/>
        </w:rPr>
        <w:t>1</w:t>
      </w:r>
      <w:r w:rsidR="00B66EDB" w:rsidRPr="002C25C6">
        <w:rPr>
          <w:lang w:val="ru-RU"/>
        </w:rPr>
        <w:tab/>
        <w:t>В Примечании 11</w:t>
      </w:r>
      <w:r w:rsidRPr="002C25C6">
        <w:rPr>
          <w:lang w:val="ru-RU"/>
        </w:rPr>
        <w:t xml:space="preserve"> к финансовой отчетности зданиями, учтенными в качестве </w:t>
      </w:r>
      <w:proofErr w:type="spellStart"/>
      <w:r w:rsidRPr="002C25C6">
        <w:rPr>
          <w:lang w:val="ru-RU"/>
        </w:rPr>
        <w:t>нетекущих</w:t>
      </w:r>
      <w:proofErr w:type="spellEnd"/>
      <w:r w:rsidRPr="002C25C6">
        <w:rPr>
          <w:lang w:val="ru-RU"/>
        </w:rPr>
        <w:t xml:space="preserve"> активов, были здания "Башня", "Варембе", пристройк</w:t>
      </w:r>
      <w:r w:rsidR="00B66EDB" w:rsidRPr="002C25C6">
        <w:rPr>
          <w:lang w:val="ru-RU"/>
        </w:rPr>
        <w:t>а</w:t>
      </w:r>
      <w:r w:rsidRPr="002C25C6">
        <w:rPr>
          <w:lang w:val="ru-RU"/>
        </w:rPr>
        <w:t xml:space="preserve"> С и кафетерий, а также здание "Монбрийан". В том что касается зданий, как отмечено выше, чистая балансовая стоимость изменилась от 10</w:t>
      </w:r>
      <w:r w:rsidR="00B66EDB" w:rsidRPr="002C25C6">
        <w:rPr>
          <w:lang w:val="ru-RU"/>
        </w:rPr>
        <w:t>3</w:t>
      </w:r>
      <w:r w:rsidRPr="002C25C6">
        <w:rPr>
          <w:lang w:val="ru-RU"/>
        </w:rPr>
        <w:t>,</w:t>
      </w:r>
      <w:r w:rsidR="00B66EDB" w:rsidRPr="002C25C6">
        <w:rPr>
          <w:lang w:val="ru-RU"/>
        </w:rPr>
        <w:t>9</w:t>
      </w:r>
      <w:r w:rsidRPr="002C25C6">
        <w:rPr>
          <w:lang w:val="ru-RU"/>
        </w:rPr>
        <w:t> млн. швейцарских франков по состоянию на 1 января 201</w:t>
      </w:r>
      <w:r w:rsidR="00B66EDB" w:rsidRPr="002C25C6">
        <w:rPr>
          <w:lang w:val="ru-RU"/>
        </w:rPr>
        <w:t>6</w:t>
      </w:r>
      <w:r w:rsidRPr="002C25C6">
        <w:rPr>
          <w:lang w:val="ru-RU"/>
        </w:rPr>
        <w:t xml:space="preserve"> года до 10</w:t>
      </w:r>
      <w:r w:rsidR="00B66EDB" w:rsidRPr="002C25C6">
        <w:rPr>
          <w:lang w:val="ru-RU"/>
        </w:rPr>
        <w:t>0</w:t>
      </w:r>
      <w:r w:rsidRPr="002C25C6">
        <w:rPr>
          <w:lang w:val="ru-RU"/>
        </w:rPr>
        <w:t>,</w:t>
      </w:r>
      <w:r w:rsidR="00B66EDB" w:rsidRPr="002C25C6">
        <w:rPr>
          <w:lang w:val="ru-RU"/>
        </w:rPr>
        <w:t>5</w:t>
      </w:r>
      <w:r w:rsidRPr="002C25C6">
        <w:rPr>
          <w:lang w:val="ru-RU"/>
        </w:rPr>
        <w:t xml:space="preserve"> млн. швейца</w:t>
      </w:r>
      <w:r w:rsidR="00B66EDB" w:rsidRPr="002C25C6">
        <w:rPr>
          <w:lang w:val="ru-RU"/>
        </w:rPr>
        <w:t>рских франков на 31 декабря 2016</w:t>
      </w:r>
      <w:r w:rsidRPr="002C25C6">
        <w:rPr>
          <w:lang w:val="ru-RU"/>
        </w:rPr>
        <w:t xml:space="preserve"> года, что вызвано амортизацией в размере 3,4 млн. швейцарских франков, учтенной в течение года.</w:t>
      </w:r>
    </w:p>
    <w:p w:rsidR="00542F98" w:rsidRPr="002C25C6" w:rsidRDefault="00542F98" w:rsidP="004A11D4">
      <w:pPr>
        <w:rPr>
          <w:lang w:val="ru-RU"/>
        </w:rPr>
      </w:pPr>
      <w:r w:rsidRPr="002C25C6">
        <w:rPr>
          <w:lang w:val="ru-RU"/>
        </w:rPr>
        <w:t>2</w:t>
      </w:r>
      <w:r w:rsidR="00B66EDB" w:rsidRPr="002C25C6">
        <w:rPr>
          <w:lang w:val="ru-RU"/>
        </w:rPr>
        <w:t>2</w:t>
      </w:r>
      <w:r w:rsidRPr="002C25C6">
        <w:rPr>
          <w:lang w:val="ru-RU"/>
        </w:rPr>
        <w:tab/>
        <w:t>Швейцарская Конфедерация обеспечивает финансирование строительства зданий для международных организаций через Фонд недвижимого имущества для международных организаций (ФИПОИ) в форме займа, предоставляемого на благоприятных условиях, а именно на период 50 лет с процентной ставкой в размере 0%. Земельные площади предоставляются на бесплатной основе Администрацией Женевы с использованием "</w:t>
      </w:r>
      <w:r w:rsidRPr="002C25C6">
        <w:rPr>
          <w:i/>
          <w:lang w:val="ru-RU"/>
        </w:rPr>
        <w:t xml:space="preserve">права </w:t>
      </w:r>
      <w:proofErr w:type="spellStart"/>
      <w:r w:rsidRPr="002C25C6">
        <w:rPr>
          <w:i/>
          <w:lang w:val="ru-RU"/>
        </w:rPr>
        <w:t>суперфиция</w:t>
      </w:r>
      <w:proofErr w:type="spellEnd"/>
      <w:r w:rsidRPr="002C25C6">
        <w:rPr>
          <w:lang w:val="ru-RU"/>
        </w:rPr>
        <w:t>". Объем займов из ФИПОИ показан в Примечании 1</w:t>
      </w:r>
      <w:r w:rsidR="00B66EDB" w:rsidRPr="002C25C6">
        <w:rPr>
          <w:lang w:val="ru-RU"/>
        </w:rPr>
        <w:t>5</w:t>
      </w:r>
      <w:r w:rsidRPr="002C25C6">
        <w:rPr>
          <w:lang w:val="ru-RU"/>
        </w:rPr>
        <w:t xml:space="preserve"> к Отчету о финансовой деятельности. </w:t>
      </w:r>
    </w:p>
    <w:p w:rsidR="00542F98" w:rsidRPr="002C25C6" w:rsidRDefault="005B2D9F" w:rsidP="005B2D9F">
      <w:pPr>
        <w:pStyle w:val="Headingi"/>
        <w:rPr>
          <w:b/>
          <w:bCs/>
          <w:lang w:val="ru-RU"/>
        </w:rPr>
      </w:pPr>
      <w:bookmarkStart w:id="127" w:name="_Toc450158097"/>
      <w:bookmarkStart w:id="128" w:name="_Toc450323527"/>
      <w:bookmarkStart w:id="129" w:name="_Toc450991466"/>
      <w:bookmarkStart w:id="130" w:name="_Toc452157307"/>
      <w:bookmarkStart w:id="131" w:name="_Toc482995176"/>
      <w:r w:rsidRPr="002C25C6">
        <w:rPr>
          <w:b/>
          <w:bCs/>
          <w:lang w:val="ru-RU"/>
        </w:rPr>
        <w:t>Р</w:t>
      </w:r>
      <w:r w:rsidR="00542F98" w:rsidRPr="002C25C6">
        <w:rPr>
          <w:b/>
          <w:bCs/>
          <w:lang w:val="ru-RU"/>
        </w:rPr>
        <w:t>еестр активов</w:t>
      </w:r>
      <w:bookmarkEnd w:id="127"/>
      <w:bookmarkEnd w:id="128"/>
      <w:bookmarkEnd w:id="129"/>
      <w:bookmarkEnd w:id="130"/>
      <w:bookmarkEnd w:id="131"/>
    </w:p>
    <w:p w:rsidR="00542F98" w:rsidRPr="002C25C6" w:rsidRDefault="00CB49BD" w:rsidP="00011B38">
      <w:pPr>
        <w:rPr>
          <w:lang w:val="ru-RU"/>
        </w:rPr>
      </w:pPr>
      <w:r w:rsidRPr="002C25C6">
        <w:rPr>
          <w:lang w:val="ru-RU"/>
        </w:rPr>
        <w:t>23</w:t>
      </w:r>
      <w:r w:rsidR="004366F9" w:rsidRPr="002C25C6">
        <w:rPr>
          <w:lang w:val="ru-RU"/>
        </w:rPr>
        <w:tab/>
      </w:r>
      <w:r w:rsidR="00542F98" w:rsidRPr="002C25C6">
        <w:rPr>
          <w:lang w:val="ru-RU"/>
        </w:rPr>
        <w:t xml:space="preserve">Мы получили и проверили списки активов, и мы провели проверку реальных запасов на основе выборки объектов, учтенных в реестре материальных активов. </w:t>
      </w:r>
      <w:r w:rsidR="00011B38" w:rsidRPr="002C25C6">
        <w:rPr>
          <w:lang w:val="ru-RU"/>
        </w:rPr>
        <w:t xml:space="preserve">С нашими предыдущими рекомендациями и предложениями можно ознакомиться в таблицах последующих </w:t>
      </w:r>
      <w:r w:rsidR="001C51AD" w:rsidRPr="002C25C6">
        <w:rPr>
          <w:lang w:val="ru-RU"/>
        </w:rPr>
        <w:t>мер (см. </w:t>
      </w:r>
      <w:r w:rsidR="007C4D9B" w:rsidRPr="002C25C6">
        <w:rPr>
          <w:lang w:val="ru-RU"/>
        </w:rPr>
        <w:t>Приложения</w:t>
      </w:r>
      <w:r w:rsidRPr="002C25C6">
        <w:rPr>
          <w:lang w:val="ru-RU"/>
        </w:rPr>
        <w:t>).</w:t>
      </w:r>
    </w:p>
    <w:p w:rsidR="00EB539F" w:rsidRPr="002C25C6" w:rsidRDefault="00EB539F" w:rsidP="00EB539F">
      <w:pPr>
        <w:pStyle w:val="Headingb"/>
        <w:rPr>
          <w:lang w:val="ru-RU"/>
        </w:rPr>
      </w:pPr>
      <w:bookmarkStart w:id="132" w:name="_Toc452157311"/>
      <w:bookmarkStart w:id="133" w:name="_Toc482995177"/>
      <w:r w:rsidRPr="002C25C6">
        <w:rPr>
          <w:lang w:val="ru-RU"/>
        </w:rPr>
        <w:t>Нематериальные активы</w:t>
      </w:r>
      <w:bookmarkEnd w:id="132"/>
      <w:bookmarkEnd w:id="133"/>
    </w:p>
    <w:p w:rsidR="00EB539F" w:rsidRPr="002C25C6" w:rsidRDefault="00104CAD" w:rsidP="00104CAD">
      <w:pPr>
        <w:rPr>
          <w:lang w:val="ru-RU"/>
        </w:rPr>
      </w:pPr>
      <w:r w:rsidRPr="002C25C6">
        <w:rPr>
          <w:lang w:val="ru-RU"/>
        </w:rPr>
        <w:t>24</w:t>
      </w:r>
      <w:r w:rsidR="00EB539F" w:rsidRPr="002C25C6">
        <w:rPr>
          <w:lang w:val="ru-RU"/>
        </w:rPr>
        <w:tab/>
        <w:t>В 201</w:t>
      </w:r>
      <w:r w:rsidRPr="002C25C6">
        <w:rPr>
          <w:lang w:val="ru-RU"/>
        </w:rPr>
        <w:t>6</w:t>
      </w:r>
      <w:r w:rsidR="00EB539F" w:rsidRPr="002C25C6">
        <w:rPr>
          <w:lang w:val="ru-RU"/>
        </w:rPr>
        <w:t xml:space="preserve"> году размер н</w:t>
      </w:r>
      <w:r w:rsidRPr="002C25C6">
        <w:rPr>
          <w:lang w:val="ru-RU"/>
        </w:rPr>
        <w:t>ематериальных активов составил 2</w:t>
      </w:r>
      <w:r w:rsidR="00EB539F" w:rsidRPr="002C25C6">
        <w:rPr>
          <w:lang w:val="ru-RU"/>
        </w:rPr>
        <w:t>,</w:t>
      </w:r>
      <w:r w:rsidRPr="002C25C6">
        <w:rPr>
          <w:lang w:val="ru-RU"/>
        </w:rPr>
        <w:t>6</w:t>
      </w:r>
      <w:r w:rsidR="00EB539F" w:rsidRPr="002C25C6">
        <w:rPr>
          <w:lang w:val="ru-RU"/>
        </w:rPr>
        <w:t xml:space="preserve"> млн. швейцарских франков, уменьшившись на 0,</w:t>
      </w:r>
      <w:r w:rsidRPr="002C25C6">
        <w:rPr>
          <w:lang w:val="ru-RU"/>
        </w:rPr>
        <w:t>6</w:t>
      </w:r>
      <w:r w:rsidR="00EB539F" w:rsidRPr="002C25C6">
        <w:rPr>
          <w:lang w:val="ru-RU"/>
        </w:rPr>
        <w:t xml:space="preserve"> млн. швейцарских франков (−</w:t>
      </w:r>
      <w:r w:rsidRPr="002C25C6">
        <w:rPr>
          <w:lang w:val="ru-RU"/>
        </w:rPr>
        <w:t>18</w:t>
      </w:r>
      <w:r w:rsidR="00EB539F" w:rsidRPr="002C25C6">
        <w:rPr>
          <w:lang w:val="ru-RU"/>
        </w:rPr>
        <w:t>,</w:t>
      </w:r>
      <w:r w:rsidRPr="002C25C6">
        <w:rPr>
          <w:lang w:val="ru-RU"/>
        </w:rPr>
        <w:t>8</w:t>
      </w:r>
      <w:r w:rsidR="00EB539F" w:rsidRPr="002C25C6">
        <w:rPr>
          <w:lang w:val="ru-RU"/>
        </w:rPr>
        <w:t>%) по с</w:t>
      </w:r>
      <w:r w:rsidR="00826221" w:rsidRPr="002C25C6">
        <w:rPr>
          <w:lang w:val="ru-RU"/>
        </w:rPr>
        <w:t>равнению с 201</w:t>
      </w:r>
      <w:r w:rsidRPr="002C25C6">
        <w:rPr>
          <w:lang w:val="ru-RU"/>
        </w:rPr>
        <w:t>5 годом (3</w:t>
      </w:r>
      <w:r w:rsidR="00826221" w:rsidRPr="002C25C6">
        <w:rPr>
          <w:lang w:val="ru-RU"/>
        </w:rPr>
        <w:t>,</w:t>
      </w:r>
      <w:r w:rsidRPr="002C25C6">
        <w:rPr>
          <w:lang w:val="ru-RU"/>
        </w:rPr>
        <w:t>2</w:t>
      </w:r>
      <w:r w:rsidR="00826221" w:rsidRPr="002C25C6">
        <w:rPr>
          <w:lang w:val="ru-RU"/>
        </w:rPr>
        <w:t> млн. </w:t>
      </w:r>
      <w:r w:rsidR="00EB539F" w:rsidRPr="002C25C6">
        <w:rPr>
          <w:lang w:val="ru-RU"/>
        </w:rPr>
        <w:t>швейцарских франков).</w:t>
      </w:r>
    </w:p>
    <w:p w:rsidR="00EB539F" w:rsidRPr="002C25C6" w:rsidRDefault="00104CAD" w:rsidP="00104CAD">
      <w:pPr>
        <w:rPr>
          <w:lang w:val="ru-RU"/>
        </w:rPr>
      </w:pPr>
      <w:r w:rsidRPr="002C25C6">
        <w:rPr>
          <w:lang w:val="ru-RU"/>
        </w:rPr>
        <w:t>25</w:t>
      </w:r>
      <w:r w:rsidR="00EB539F" w:rsidRPr="002C25C6">
        <w:rPr>
          <w:lang w:val="ru-RU"/>
        </w:rPr>
        <w:tab/>
        <w:t>Как указано руководством в Примечании 1</w:t>
      </w:r>
      <w:r w:rsidRPr="002C25C6">
        <w:rPr>
          <w:lang w:val="ru-RU"/>
        </w:rPr>
        <w:t>2</w:t>
      </w:r>
      <w:r w:rsidR="00EB539F" w:rsidRPr="002C25C6">
        <w:rPr>
          <w:lang w:val="ru-RU"/>
        </w:rPr>
        <w:t xml:space="preserve"> к Отчету о финансовой деятельности, капитализация, согласно стандарту IPSAS 31, касалась внутренних разработок, связанных с совершенствованием некоторых конкретных услуг, предлагаемых членам, в частности в отношении доступа к документам МСЭ, управления документами и их архивирования. </w:t>
      </w:r>
    </w:p>
    <w:p w:rsidR="00EB539F" w:rsidRPr="002C25C6" w:rsidRDefault="00EB539F" w:rsidP="00EB539F">
      <w:pPr>
        <w:pStyle w:val="Headingb"/>
        <w:rPr>
          <w:lang w:val="ru-RU"/>
        </w:rPr>
      </w:pPr>
      <w:bookmarkStart w:id="134" w:name="_Toc358192836"/>
      <w:bookmarkStart w:id="135" w:name="_Toc398125320"/>
      <w:bookmarkStart w:id="136" w:name="_Toc398125799"/>
      <w:bookmarkStart w:id="137" w:name="_Toc398127092"/>
      <w:bookmarkStart w:id="138" w:name="_Toc452157312"/>
      <w:bookmarkStart w:id="139" w:name="_Toc482995178"/>
      <w:r w:rsidRPr="002C25C6">
        <w:rPr>
          <w:lang w:val="ru-RU"/>
        </w:rPr>
        <w:lastRenderedPageBreak/>
        <w:t>ПАССИВЫ</w:t>
      </w:r>
      <w:bookmarkEnd w:id="134"/>
      <w:bookmarkEnd w:id="135"/>
      <w:bookmarkEnd w:id="136"/>
      <w:bookmarkEnd w:id="137"/>
      <w:bookmarkEnd w:id="138"/>
      <w:bookmarkEnd w:id="139"/>
    </w:p>
    <w:p w:rsidR="00EB539F" w:rsidRPr="002C25C6" w:rsidRDefault="00104CAD" w:rsidP="00104CAD">
      <w:pPr>
        <w:rPr>
          <w:lang w:val="ru-RU"/>
        </w:rPr>
      </w:pPr>
      <w:r w:rsidRPr="002C25C6">
        <w:rPr>
          <w:lang w:val="ru-RU"/>
        </w:rPr>
        <w:t>26</w:t>
      </w:r>
      <w:r w:rsidR="00EB539F" w:rsidRPr="002C25C6">
        <w:rPr>
          <w:lang w:val="ru-RU"/>
        </w:rPr>
        <w:tab/>
        <w:t>В 201</w:t>
      </w:r>
      <w:r w:rsidRPr="002C25C6">
        <w:rPr>
          <w:lang w:val="ru-RU"/>
        </w:rPr>
        <w:t>6</w:t>
      </w:r>
      <w:r w:rsidR="00EB539F" w:rsidRPr="002C25C6">
        <w:rPr>
          <w:lang w:val="ru-RU"/>
        </w:rPr>
        <w:t xml:space="preserve"> году общий размер пассивов составил 7</w:t>
      </w:r>
      <w:r w:rsidRPr="002C25C6">
        <w:rPr>
          <w:lang w:val="ru-RU"/>
        </w:rPr>
        <w:t>92</w:t>
      </w:r>
      <w:r w:rsidR="00EB539F" w:rsidRPr="002C25C6">
        <w:rPr>
          <w:lang w:val="ru-RU"/>
        </w:rPr>
        <w:t>,</w:t>
      </w:r>
      <w:r w:rsidRPr="002C25C6">
        <w:rPr>
          <w:lang w:val="ru-RU"/>
        </w:rPr>
        <w:t>1</w:t>
      </w:r>
      <w:r w:rsidR="00EB539F" w:rsidRPr="002C25C6">
        <w:rPr>
          <w:lang w:val="ru-RU"/>
        </w:rPr>
        <w:t xml:space="preserve"> млн. швейцарских франков, </w:t>
      </w:r>
      <w:r w:rsidRPr="002C25C6">
        <w:rPr>
          <w:lang w:val="ru-RU"/>
        </w:rPr>
        <w:t>увеличившись</w:t>
      </w:r>
      <w:r w:rsidR="00EB539F" w:rsidRPr="002C25C6">
        <w:rPr>
          <w:lang w:val="ru-RU"/>
        </w:rPr>
        <w:t xml:space="preserve"> на </w:t>
      </w:r>
      <w:r w:rsidRPr="002C25C6">
        <w:rPr>
          <w:lang w:val="ru-RU"/>
        </w:rPr>
        <w:t>78</w:t>
      </w:r>
      <w:r w:rsidR="00EB539F" w:rsidRPr="002C25C6">
        <w:rPr>
          <w:lang w:val="ru-RU"/>
        </w:rPr>
        <w:t>,</w:t>
      </w:r>
      <w:r w:rsidRPr="002C25C6">
        <w:rPr>
          <w:lang w:val="ru-RU"/>
        </w:rPr>
        <w:t>6 млн. швейцарских франков (+11</w:t>
      </w:r>
      <w:r w:rsidR="00EB539F" w:rsidRPr="002C25C6">
        <w:rPr>
          <w:lang w:val="ru-RU"/>
        </w:rPr>
        <w:t>,</w:t>
      </w:r>
      <w:r w:rsidRPr="002C25C6">
        <w:rPr>
          <w:lang w:val="ru-RU"/>
        </w:rPr>
        <w:t>0</w:t>
      </w:r>
      <w:r w:rsidR="00EB539F" w:rsidRPr="002C25C6">
        <w:rPr>
          <w:lang w:val="ru-RU"/>
        </w:rPr>
        <w:t>%) по сравнению с величиной, учтенной в 201</w:t>
      </w:r>
      <w:r w:rsidRPr="002C25C6">
        <w:rPr>
          <w:lang w:val="ru-RU"/>
        </w:rPr>
        <w:t>5</w:t>
      </w:r>
      <w:r w:rsidR="00EB539F" w:rsidRPr="002C25C6">
        <w:rPr>
          <w:lang w:val="ru-RU"/>
        </w:rPr>
        <w:t> год</w:t>
      </w:r>
      <w:r w:rsidRPr="002C25C6">
        <w:rPr>
          <w:lang w:val="ru-RU"/>
        </w:rPr>
        <w:t>у (713</w:t>
      </w:r>
      <w:r w:rsidR="00EB539F" w:rsidRPr="002C25C6">
        <w:rPr>
          <w:lang w:val="ru-RU"/>
        </w:rPr>
        <w:t>,</w:t>
      </w:r>
      <w:r w:rsidRPr="002C25C6">
        <w:rPr>
          <w:lang w:val="ru-RU"/>
        </w:rPr>
        <w:t>5</w:t>
      </w:r>
      <w:r w:rsidR="00EB539F" w:rsidRPr="002C25C6">
        <w:rPr>
          <w:lang w:val="ru-RU"/>
        </w:rPr>
        <w:t> млн. швейцарских франков). Пассивы включают:</w:t>
      </w:r>
    </w:p>
    <w:p w:rsidR="00EB539F" w:rsidRPr="002C25C6" w:rsidRDefault="00EB539F" w:rsidP="005B2D9F">
      <w:pPr>
        <w:pStyle w:val="enumlev1"/>
        <w:rPr>
          <w:lang w:val="ru-RU"/>
        </w:rPr>
      </w:pPr>
      <w:r w:rsidRPr="002C25C6">
        <w:rPr>
          <w:lang w:val="ru-RU"/>
        </w:rPr>
        <w:t>a)</w:t>
      </w:r>
      <w:r w:rsidRPr="002C25C6">
        <w:rPr>
          <w:lang w:val="ru-RU"/>
        </w:rPr>
        <w:tab/>
      </w:r>
      <w:r w:rsidRPr="002C25C6">
        <w:rPr>
          <w:i/>
          <w:iCs/>
          <w:lang w:val="ru-RU"/>
        </w:rPr>
        <w:t>текущие пассивы</w:t>
      </w:r>
      <w:r w:rsidRPr="002C25C6">
        <w:rPr>
          <w:lang w:val="ru-RU"/>
        </w:rPr>
        <w:t xml:space="preserve"> в размере 14</w:t>
      </w:r>
      <w:r w:rsidR="007C0EC0" w:rsidRPr="002C25C6">
        <w:rPr>
          <w:lang w:val="ru-RU"/>
        </w:rPr>
        <w:t>7</w:t>
      </w:r>
      <w:r w:rsidRPr="002C25C6">
        <w:rPr>
          <w:lang w:val="ru-RU"/>
        </w:rPr>
        <w:t>,</w:t>
      </w:r>
      <w:r w:rsidR="007C0EC0" w:rsidRPr="002C25C6">
        <w:rPr>
          <w:lang w:val="ru-RU"/>
        </w:rPr>
        <w:t>3</w:t>
      </w:r>
      <w:r w:rsidRPr="002C25C6">
        <w:rPr>
          <w:lang w:val="ru-RU"/>
        </w:rPr>
        <w:t xml:space="preserve"> млн. швейцарских франков, что составляет </w:t>
      </w:r>
      <w:r w:rsidR="007C0EC0" w:rsidRPr="002C25C6">
        <w:rPr>
          <w:lang w:val="ru-RU"/>
        </w:rPr>
        <w:t>18</w:t>
      </w:r>
      <w:r w:rsidRPr="002C25C6">
        <w:rPr>
          <w:lang w:val="ru-RU"/>
        </w:rPr>
        <w:t>,</w:t>
      </w:r>
      <w:r w:rsidR="007C0EC0" w:rsidRPr="002C25C6">
        <w:rPr>
          <w:lang w:val="ru-RU"/>
        </w:rPr>
        <w:t>6</w:t>
      </w:r>
      <w:r w:rsidRPr="002C25C6">
        <w:rPr>
          <w:lang w:val="ru-RU"/>
        </w:rPr>
        <w:t>% от общего размера пассивов (в 201</w:t>
      </w:r>
      <w:r w:rsidR="007C0EC0" w:rsidRPr="002C25C6">
        <w:rPr>
          <w:lang w:val="ru-RU"/>
        </w:rPr>
        <w:t>5</w:t>
      </w:r>
      <w:r w:rsidRPr="002C25C6">
        <w:rPr>
          <w:lang w:val="ru-RU"/>
        </w:rPr>
        <w:t xml:space="preserve"> году они составляли </w:t>
      </w:r>
      <w:r w:rsidR="005B2D9F" w:rsidRPr="002C25C6">
        <w:rPr>
          <w:lang w:val="ru-RU"/>
        </w:rPr>
        <w:t>20</w:t>
      </w:r>
      <w:r w:rsidR="00826221" w:rsidRPr="002C25C6">
        <w:rPr>
          <w:lang w:val="ru-RU"/>
        </w:rPr>
        <w:t>,1% на общую сумму 14</w:t>
      </w:r>
      <w:r w:rsidR="005B2D9F" w:rsidRPr="002C25C6">
        <w:rPr>
          <w:lang w:val="ru-RU"/>
        </w:rPr>
        <w:t>3</w:t>
      </w:r>
      <w:r w:rsidR="00826221" w:rsidRPr="002C25C6">
        <w:rPr>
          <w:lang w:val="ru-RU"/>
        </w:rPr>
        <w:t>,</w:t>
      </w:r>
      <w:r w:rsidR="005B2D9F" w:rsidRPr="002C25C6">
        <w:rPr>
          <w:lang w:val="ru-RU"/>
        </w:rPr>
        <w:t>0</w:t>
      </w:r>
      <w:r w:rsidR="00826221" w:rsidRPr="002C25C6">
        <w:rPr>
          <w:lang w:val="ru-RU"/>
        </w:rPr>
        <w:t> млн. </w:t>
      </w:r>
      <w:r w:rsidRPr="002C25C6">
        <w:rPr>
          <w:lang w:val="ru-RU"/>
        </w:rPr>
        <w:t>швейцарских франков)</w:t>
      </w:r>
      <w:r w:rsidR="00826221" w:rsidRPr="002C25C6">
        <w:rPr>
          <w:lang w:val="ru-RU"/>
        </w:rPr>
        <w:t>; и</w:t>
      </w:r>
    </w:p>
    <w:p w:rsidR="00EB539F" w:rsidRPr="002C25C6" w:rsidRDefault="00EB539F" w:rsidP="005B2D9F">
      <w:pPr>
        <w:pStyle w:val="enumlev1"/>
        <w:rPr>
          <w:lang w:val="ru-RU"/>
        </w:rPr>
      </w:pPr>
      <w:r w:rsidRPr="002C25C6">
        <w:rPr>
          <w:lang w:val="ru-RU"/>
        </w:rPr>
        <w:t>b)</w:t>
      </w:r>
      <w:r w:rsidRPr="002C25C6">
        <w:rPr>
          <w:lang w:val="ru-RU"/>
        </w:rPr>
        <w:tab/>
      </w:r>
      <w:proofErr w:type="spellStart"/>
      <w:r w:rsidRPr="002C25C6">
        <w:rPr>
          <w:i/>
          <w:iCs/>
          <w:lang w:val="ru-RU"/>
        </w:rPr>
        <w:t>нетекущие</w:t>
      </w:r>
      <w:proofErr w:type="spellEnd"/>
      <w:r w:rsidRPr="002C25C6">
        <w:rPr>
          <w:i/>
          <w:iCs/>
          <w:lang w:val="ru-RU"/>
        </w:rPr>
        <w:t xml:space="preserve"> пассивы</w:t>
      </w:r>
      <w:r w:rsidRPr="002C25C6">
        <w:rPr>
          <w:lang w:val="ru-RU"/>
        </w:rPr>
        <w:t xml:space="preserve"> в размере </w:t>
      </w:r>
      <w:r w:rsidR="005B2D9F" w:rsidRPr="002C25C6">
        <w:rPr>
          <w:lang w:val="ru-RU"/>
        </w:rPr>
        <w:t>644,8</w:t>
      </w:r>
      <w:r w:rsidRPr="002C25C6">
        <w:rPr>
          <w:lang w:val="ru-RU"/>
        </w:rPr>
        <w:t xml:space="preserve"> млн. швейцарских франков, составляющие </w:t>
      </w:r>
      <w:r w:rsidR="005B2D9F" w:rsidRPr="002C25C6">
        <w:rPr>
          <w:lang w:val="ru-RU"/>
        </w:rPr>
        <w:t>81</w:t>
      </w:r>
      <w:r w:rsidRPr="002C25C6">
        <w:rPr>
          <w:lang w:val="ru-RU"/>
        </w:rPr>
        <w:t>,</w:t>
      </w:r>
      <w:r w:rsidR="005B2D9F" w:rsidRPr="002C25C6">
        <w:rPr>
          <w:lang w:val="ru-RU"/>
        </w:rPr>
        <w:t>4</w:t>
      </w:r>
      <w:r w:rsidRPr="002C25C6">
        <w:rPr>
          <w:lang w:val="ru-RU"/>
        </w:rPr>
        <w:t>% от</w:t>
      </w:r>
      <w:r w:rsidR="005B2D9F" w:rsidRPr="002C25C6">
        <w:rPr>
          <w:lang w:val="ru-RU"/>
        </w:rPr>
        <w:t xml:space="preserve"> общего размера пассивов (в 2015</w:t>
      </w:r>
      <w:r w:rsidRPr="002C25C6">
        <w:rPr>
          <w:lang w:val="ru-RU"/>
        </w:rPr>
        <w:t xml:space="preserve"> году они составляли </w:t>
      </w:r>
      <w:r w:rsidR="007C0EC0" w:rsidRPr="002C25C6">
        <w:rPr>
          <w:lang w:val="ru-RU"/>
        </w:rPr>
        <w:t>79</w:t>
      </w:r>
      <w:r w:rsidR="00826221" w:rsidRPr="002C25C6">
        <w:rPr>
          <w:lang w:val="ru-RU"/>
        </w:rPr>
        <w:t xml:space="preserve">,9% на общую сумму </w:t>
      </w:r>
      <w:r w:rsidR="007C0EC0" w:rsidRPr="002C25C6">
        <w:rPr>
          <w:lang w:val="ru-RU"/>
        </w:rPr>
        <w:t>570</w:t>
      </w:r>
      <w:r w:rsidR="00826221" w:rsidRPr="002C25C6">
        <w:rPr>
          <w:lang w:val="ru-RU"/>
        </w:rPr>
        <w:t>,</w:t>
      </w:r>
      <w:r w:rsidR="007C0EC0" w:rsidRPr="002C25C6">
        <w:rPr>
          <w:lang w:val="ru-RU"/>
        </w:rPr>
        <w:t>4</w:t>
      </w:r>
      <w:r w:rsidR="00826221" w:rsidRPr="002C25C6">
        <w:rPr>
          <w:lang w:val="ru-RU"/>
        </w:rPr>
        <w:t> млн. </w:t>
      </w:r>
      <w:r w:rsidRPr="002C25C6">
        <w:rPr>
          <w:lang w:val="ru-RU"/>
        </w:rPr>
        <w:t>швейцарских франков).</w:t>
      </w:r>
    </w:p>
    <w:p w:rsidR="00EB539F" w:rsidRPr="002C25C6" w:rsidRDefault="00EB539F" w:rsidP="00826221">
      <w:pPr>
        <w:pStyle w:val="Headingb"/>
        <w:rPr>
          <w:lang w:val="ru-RU"/>
        </w:rPr>
      </w:pPr>
      <w:bookmarkStart w:id="140" w:name="_Toc358192837"/>
      <w:bookmarkStart w:id="141" w:name="_Toc398125321"/>
      <w:bookmarkStart w:id="142" w:name="_Toc398125800"/>
      <w:bookmarkStart w:id="143" w:name="_Toc398127093"/>
      <w:bookmarkStart w:id="144" w:name="_Toc452157313"/>
      <w:bookmarkStart w:id="145" w:name="_Toc482995179"/>
      <w:r w:rsidRPr="002C25C6">
        <w:rPr>
          <w:lang w:val="ru-RU"/>
        </w:rPr>
        <w:t>Текущие пассивы</w:t>
      </w:r>
      <w:bookmarkEnd w:id="140"/>
      <w:bookmarkEnd w:id="141"/>
      <w:bookmarkEnd w:id="142"/>
      <w:bookmarkEnd w:id="143"/>
      <w:bookmarkEnd w:id="144"/>
      <w:bookmarkEnd w:id="145"/>
    </w:p>
    <w:p w:rsidR="00EB539F" w:rsidRPr="002C25C6" w:rsidRDefault="00FC74B7" w:rsidP="0062281D">
      <w:pPr>
        <w:rPr>
          <w:lang w:val="ru-RU"/>
        </w:rPr>
      </w:pPr>
      <w:r w:rsidRPr="002C25C6">
        <w:rPr>
          <w:lang w:val="ru-RU"/>
        </w:rPr>
        <w:t>27</w:t>
      </w:r>
      <w:r w:rsidR="00EB539F" w:rsidRPr="002C25C6">
        <w:rPr>
          <w:lang w:val="ru-RU"/>
        </w:rPr>
        <w:tab/>
        <w:t>Общий размер текущих пассивов в 201</w:t>
      </w:r>
      <w:r w:rsidR="007F6248" w:rsidRPr="002C25C6">
        <w:rPr>
          <w:lang w:val="ru-RU"/>
        </w:rPr>
        <w:t>6</w:t>
      </w:r>
      <w:r w:rsidR="00EB539F" w:rsidRPr="002C25C6">
        <w:rPr>
          <w:lang w:val="ru-RU"/>
        </w:rPr>
        <w:t xml:space="preserve"> году составил 14</w:t>
      </w:r>
      <w:r w:rsidR="007F6248" w:rsidRPr="002C25C6">
        <w:rPr>
          <w:lang w:val="ru-RU"/>
        </w:rPr>
        <w:t>7</w:t>
      </w:r>
      <w:r w:rsidR="00EB539F" w:rsidRPr="002C25C6">
        <w:rPr>
          <w:lang w:val="ru-RU"/>
        </w:rPr>
        <w:t>,</w:t>
      </w:r>
      <w:r w:rsidR="007F6248" w:rsidRPr="002C25C6">
        <w:rPr>
          <w:lang w:val="ru-RU"/>
        </w:rPr>
        <w:t>3</w:t>
      </w:r>
      <w:r w:rsidR="00EB539F" w:rsidRPr="002C25C6">
        <w:rPr>
          <w:lang w:val="ru-RU"/>
        </w:rPr>
        <w:t xml:space="preserve"> млн. швейцарских франков, </w:t>
      </w:r>
      <w:r w:rsidR="007F6248" w:rsidRPr="002C25C6">
        <w:rPr>
          <w:lang w:val="ru-RU"/>
        </w:rPr>
        <w:t>увеличившись</w:t>
      </w:r>
      <w:r w:rsidR="00EB539F" w:rsidRPr="002C25C6">
        <w:rPr>
          <w:lang w:val="ru-RU"/>
        </w:rPr>
        <w:t xml:space="preserve"> на </w:t>
      </w:r>
      <w:r w:rsidR="00BB46A8" w:rsidRPr="002C25C6">
        <w:rPr>
          <w:lang w:val="ru-RU"/>
        </w:rPr>
        <w:t>4</w:t>
      </w:r>
      <w:r w:rsidR="00EB539F" w:rsidRPr="002C25C6">
        <w:rPr>
          <w:lang w:val="ru-RU"/>
        </w:rPr>
        <w:t>,</w:t>
      </w:r>
      <w:r w:rsidR="007F6248" w:rsidRPr="002C25C6">
        <w:rPr>
          <w:lang w:val="ru-RU"/>
        </w:rPr>
        <w:t>3</w:t>
      </w:r>
      <w:r w:rsidR="00EB539F" w:rsidRPr="002C25C6">
        <w:rPr>
          <w:lang w:val="ru-RU"/>
        </w:rPr>
        <w:t xml:space="preserve"> млн. швейцарских франков по сравнению с 201</w:t>
      </w:r>
      <w:r w:rsidR="007F6248" w:rsidRPr="002C25C6">
        <w:rPr>
          <w:lang w:val="ru-RU"/>
        </w:rPr>
        <w:t>5</w:t>
      </w:r>
      <w:r w:rsidR="00EB539F" w:rsidRPr="002C25C6">
        <w:rPr>
          <w:lang w:val="ru-RU"/>
        </w:rPr>
        <w:t xml:space="preserve"> годом (14</w:t>
      </w:r>
      <w:r w:rsidR="007F6248" w:rsidRPr="002C25C6">
        <w:rPr>
          <w:lang w:val="ru-RU"/>
        </w:rPr>
        <w:t>3</w:t>
      </w:r>
      <w:r w:rsidR="00EB539F" w:rsidRPr="002C25C6">
        <w:rPr>
          <w:lang w:val="ru-RU"/>
        </w:rPr>
        <w:t>,</w:t>
      </w:r>
      <w:r w:rsidR="007F6248" w:rsidRPr="002C25C6">
        <w:rPr>
          <w:lang w:val="ru-RU"/>
        </w:rPr>
        <w:t>0</w:t>
      </w:r>
      <w:r w:rsidR="00EB539F" w:rsidRPr="002C25C6">
        <w:rPr>
          <w:lang w:val="ru-RU"/>
        </w:rPr>
        <w:t> млн. швейцарских франков). Это</w:t>
      </w:r>
      <w:r w:rsidR="004A11D4">
        <w:rPr>
          <w:lang w:val="ru-RU"/>
        </w:rPr>
        <w:t>,</w:t>
      </w:r>
      <w:r w:rsidR="00EB539F" w:rsidRPr="002C25C6">
        <w:rPr>
          <w:lang w:val="ru-RU"/>
        </w:rPr>
        <w:t xml:space="preserve"> в целом</w:t>
      </w:r>
      <w:r w:rsidR="004A11D4">
        <w:rPr>
          <w:lang w:val="ru-RU"/>
        </w:rPr>
        <w:t>,</w:t>
      </w:r>
      <w:r w:rsidR="00EB539F" w:rsidRPr="002C25C6">
        <w:rPr>
          <w:lang w:val="ru-RU"/>
        </w:rPr>
        <w:t xml:space="preserve"> </w:t>
      </w:r>
      <w:r w:rsidR="00BB46A8" w:rsidRPr="002C25C6">
        <w:rPr>
          <w:lang w:val="ru-RU"/>
        </w:rPr>
        <w:t xml:space="preserve">объясняется </w:t>
      </w:r>
      <w:r w:rsidR="004A11D4">
        <w:rPr>
          <w:lang w:val="ru-RU"/>
        </w:rPr>
        <w:t xml:space="preserve">главным образом </w:t>
      </w:r>
      <w:r w:rsidR="00BB46A8" w:rsidRPr="002C25C6">
        <w:rPr>
          <w:lang w:val="ru-RU"/>
        </w:rPr>
        <w:t>увеличением объема средств по разделам</w:t>
      </w:r>
      <w:r w:rsidR="00EB539F" w:rsidRPr="002C25C6">
        <w:rPr>
          <w:lang w:val="ru-RU"/>
        </w:rPr>
        <w:t xml:space="preserve"> "Доходы будущих периодов" (</w:t>
      </w:r>
      <w:r w:rsidR="007F6248" w:rsidRPr="002C25C6">
        <w:rPr>
          <w:lang w:val="ru-RU"/>
        </w:rPr>
        <w:t>+</w:t>
      </w:r>
      <w:r w:rsidR="00EB539F" w:rsidRPr="002C25C6">
        <w:rPr>
          <w:lang w:val="ru-RU"/>
        </w:rPr>
        <w:t>1,</w:t>
      </w:r>
      <w:r w:rsidR="007F6248" w:rsidRPr="002C25C6">
        <w:rPr>
          <w:lang w:val="ru-RU"/>
        </w:rPr>
        <w:t>4</w:t>
      </w:r>
      <w:r w:rsidR="00EB539F" w:rsidRPr="002C25C6">
        <w:rPr>
          <w:lang w:val="ru-RU"/>
        </w:rPr>
        <w:t xml:space="preserve"> млн. швейцарских франков)</w:t>
      </w:r>
      <w:r w:rsidR="00BB46A8" w:rsidRPr="002C25C6">
        <w:rPr>
          <w:lang w:val="ru-RU"/>
        </w:rPr>
        <w:t>,</w:t>
      </w:r>
      <w:r w:rsidR="00EB539F" w:rsidRPr="002C25C6">
        <w:rPr>
          <w:lang w:val="ru-RU"/>
        </w:rPr>
        <w:t xml:space="preserve"> "Поставщики и прочие кредиторы" (</w:t>
      </w:r>
      <w:r w:rsidR="007F6248" w:rsidRPr="002C25C6">
        <w:rPr>
          <w:lang w:val="ru-RU"/>
        </w:rPr>
        <w:t>+1</w:t>
      </w:r>
      <w:r w:rsidR="00EB539F" w:rsidRPr="002C25C6">
        <w:rPr>
          <w:lang w:val="ru-RU"/>
        </w:rPr>
        <w:t>,</w:t>
      </w:r>
      <w:r w:rsidR="007F6248" w:rsidRPr="002C25C6">
        <w:rPr>
          <w:lang w:val="ru-RU"/>
        </w:rPr>
        <w:t>9</w:t>
      </w:r>
      <w:r w:rsidR="00EB539F" w:rsidRPr="002C25C6">
        <w:rPr>
          <w:lang w:val="ru-RU"/>
        </w:rPr>
        <w:t xml:space="preserve"> млн. швейцарских франков) и</w:t>
      </w:r>
      <w:r w:rsidR="00BB46A8" w:rsidRPr="002C25C6">
        <w:rPr>
          <w:lang w:val="ru-RU"/>
        </w:rPr>
        <w:t xml:space="preserve"> "Вознаграждение сотрудников" (0,6</w:t>
      </w:r>
      <w:r w:rsidR="00EB539F" w:rsidRPr="002C25C6">
        <w:rPr>
          <w:lang w:val="ru-RU"/>
        </w:rPr>
        <w:t xml:space="preserve"> млн. швейцарских франков). Основа оценки текущих пассивов изложена в Принципах бухгалтерского учета (Примечание </w:t>
      </w:r>
      <w:r w:rsidR="00BB46A8" w:rsidRPr="002C25C6">
        <w:rPr>
          <w:lang w:val="ru-RU"/>
        </w:rPr>
        <w:t>2</w:t>
      </w:r>
      <w:r w:rsidR="00EB539F" w:rsidRPr="002C25C6">
        <w:rPr>
          <w:lang w:val="ru-RU"/>
        </w:rPr>
        <w:t xml:space="preserve">). </w:t>
      </w:r>
    </w:p>
    <w:p w:rsidR="00EB539F" w:rsidRPr="002C25C6" w:rsidRDefault="00EB539F" w:rsidP="00EB539F">
      <w:pPr>
        <w:pStyle w:val="Headingb"/>
        <w:rPr>
          <w:spacing w:val="6"/>
          <w:lang w:val="ru-RU"/>
        </w:rPr>
      </w:pPr>
      <w:bookmarkStart w:id="146" w:name="_Toc358192838"/>
      <w:bookmarkStart w:id="147" w:name="_Toc398125322"/>
      <w:bookmarkStart w:id="148" w:name="_Toc398125801"/>
      <w:bookmarkStart w:id="149" w:name="_Toc398127094"/>
      <w:bookmarkStart w:id="150" w:name="_Toc452157314"/>
      <w:bookmarkStart w:id="151" w:name="_Toc482995180"/>
      <w:r w:rsidRPr="002C25C6">
        <w:rPr>
          <w:lang w:val="ru-RU"/>
        </w:rPr>
        <w:t>Поставщики и прочие кредиторы</w:t>
      </w:r>
      <w:bookmarkEnd w:id="146"/>
      <w:bookmarkEnd w:id="147"/>
      <w:bookmarkEnd w:id="148"/>
      <w:bookmarkEnd w:id="149"/>
      <w:bookmarkEnd w:id="150"/>
      <w:bookmarkEnd w:id="151"/>
      <w:r w:rsidRPr="002C25C6">
        <w:rPr>
          <w:spacing w:val="6"/>
          <w:lang w:val="ru-RU"/>
        </w:rPr>
        <w:t xml:space="preserve"> </w:t>
      </w:r>
    </w:p>
    <w:p w:rsidR="00EB539F" w:rsidRPr="002C25C6" w:rsidRDefault="00351D7D" w:rsidP="00351D7D">
      <w:pPr>
        <w:rPr>
          <w:lang w:val="ru-RU"/>
        </w:rPr>
      </w:pPr>
      <w:r w:rsidRPr="002C25C6">
        <w:rPr>
          <w:lang w:val="ru-RU"/>
        </w:rPr>
        <w:t>28</w:t>
      </w:r>
      <w:r w:rsidR="00EB539F" w:rsidRPr="002C25C6">
        <w:rPr>
          <w:lang w:val="ru-RU"/>
        </w:rPr>
        <w:tab/>
        <w:t xml:space="preserve">В разделе "Поставщики и прочие кредиторы" заключительного баланса приводится сумма в размере </w:t>
      </w:r>
      <w:r w:rsidRPr="002C25C6">
        <w:rPr>
          <w:lang w:val="ru-RU"/>
        </w:rPr>
        <w:t xml:space="preserve">9,1 млн. швейцарских франков (в 2015 г. − </w:t>
      </w:r>
      <w:r w:rsidR="00EB539F" w:rsidRPr="002C25C6">
        <w:rPr>
          <w:lang w:val="ru-RU"/>
        </w:rPr>
        <w:t>7,2 млн. швейцарских франков). Подробная разбивка показана в Примечании 1</w:t>
      </w:r>
      <w:r w:rsidRPr="002C25C6">
        <w:rPr>
          <w:lang w:val="ru-RU"/>
        </w:rPr>
        <w:t>3</w:t>
      </w:r>
      <w:r w:rsidR="00EB539F" w:rsidRPr="002C25C6">
        <w:rPr>
          <w:lang w:val="ru-RU"/>
        </w:rPr>
        <w:t xml:space="preserve"> к Отчету о финансовой деятельности.</w:t>
      </w:r>
    </w:p>
    <w:p w:rsidR="00EB539F" w:rsidRPr="002C25C6" w:rsidRDefault="00EB539F" w:rsidP="00EB539F">
      <w:pPr>
        <w:pStyle w:val="Headingb"/>
        <w:rPr>
          <w:lang w:val="ru-RU"/>
        </w:rPr>
      </w:pPr>
      <w:bookmarkStart w:id="152" w:name="_Toc358192839"/>
      <w:bookmarkStart w:id="153" w:name="_Toc398125323"/>
      <w:bookmarkStart w:id="154" w:name="_Toc398125802"/>
      <w:bookmarkStart w:id="155" w:name="_Toc398127095"/>
      <w:bookmarkStart w:id="156" w:name="_Toc452157315"/>
      <w:bookmarkStart w:id="157" w:name="_Toc482995181"/>
      <w:r w:rsidRPr="002C25C6">
        <w:rPr>
          <w:lang w:val="ru-RU"/>
        </w:rPr>
        <w:t>Доходы будущих периодов</w:t>
      </w:r>
      <w:bookmarkEnd w:id="152"/>
      <w:bookmarkEnd w:id="153"/>
      <w:bookmarkEnd w:id="154"/>
      <w:bookmarkEnd w:id="155"/>
      <w:bookmarkEnd w:id="156"/>
      <w:bookmarkEnd w:id="157"/>
    </w:p>
    <w:p w:rsidR="00EB539F" w:rsidRPr="002C25C6" w:rsidRDefault="00D808A4" w:rsidP="00B3426B">
      <w:pPr>
        <w:rPr>
          <w:lang w:val="ru-RU"/>
        </w:rPr>
      </w:pPr>
      <w:r w:rsidRPr="002C25C6">
        <w:rPr>
          <w:lang w:val="ru-RU"/>
        </w:rPr>
        <w:t>29</w:t>
      </w:r>
      <w:r w:rsidR="00EB539F" w:rsidRPr="002C25C6">
        <w:rPr>
          <w:lang w:val="ru-RU"/>
        </w:rPr>
        <w:tab/>
        <w:t>Подраздел "Доходы будущих периодов" составил 12</w:t>
      </w:r>
      <w:r w:rsidRPr="002C25C6">
        <w:rPr>
          <w:lang w:val="ru-RU"/>
        </w:rPr>
        <w:t>9</w:t>
      </w:r>
      <w:r w:rsidR="00EB539F" w:rsidRPr="002C25C6">
        <w:rPr>
          <w:lang w:val="ru-RU"/>
        </w:rPr>
        <w:t>,</w:t>
      </w:r>
      <w:r w:rsidRPr="002C25C6">
        <w:rPr>
          <w:lang w:val="ru-RU"/>
        </w:rPr>
        <w:t>0</w:t>
      </w:r>
      <w:r w:rsidR="00EB539F" w:rsidRPr="002C25C6">
        <w:rPr>
          <w:lang w:val="ru-RU"/>
        </w:rPr>
        <w:t xml:space="preserve"> млн. швейцарских франков (</w:t>
      </w:r>
      <w:r w:rsidR="00826221" w:rsidRPr="002C25C6">
        <w:rPr>
          <w:lang w:val="ru-RU"/>
        </w:rPr>
        <w:t>в 201</w:t>
      </w:r>
      <w:r w:rsidRPr="002C25C6">
        <w:rPr>
          <w:lang w:val="ru-RU"/>
        </w:rPr>
        <w:t>5</w:t>
      </w:r>
      <w:r w:rsidR="00826221" w:rsidRPr="002C25C6">
        <w:rPr>
          <w:lang w:val="ru-RU"/>
        </w:rPr>
        <w:t> </w:t>
      </w:r>
      <w:r w:rsidR="00EB539F" w:rsidRPr="002C25C6">
        <w:rPr>
          <w:lang w:val="ru-RU"/>
        </w:rPr>
        <w:t>г.</w:t>
      </w:r>
      <w:r w:rsidR="00826221" w:rsidRPr="002C25C6">
        <w:rPr>
          <w:lang w:val="ru-RU"/>
        </w:rPr>
        <w:t> </w:t>
      </w:r>
      <w:r w:rsidRPr="002C25C6">
        <w:rPr>
          <w:lang w:val="ru-RU"/>
        </w:rPr>
        <w:t>− 127</w:t>
      </w:r>
      <w:r w:rsidR="00EB539F" w:rsidRPr="002C25C6">
        <w:rPr>
          <w:lang w:val="ru-RU"/>
        </w:rPr>
        <w:t>,</w:t>
      </w:r>
      <w:r w:rsidRPr="002C25C6">
        <w:rPr>
          <w:lang w:val="ru-RU"/>
        </w:rPr>
        <w:t>6</w:t>
      </w:r>
      <w:r w:rsidR="00EB539F" w:rsidRPr="002C25C6">
        <w:rPr>
          <w:lang w:val="ru-RU"/>
        </w:rPr>
        <w:t xml:space="preserve"> млн. швейцарских франков). </w:t>
      </w:r>
      <w:proofErr w:type="spellStart"/>
      <w:r w:rsidR="00EB539F" w:rsidRPr="002C25C6">
        <w:rPr>
          <w:lang w:val="ru-RU"/>
        </w:rPr>
        <w:t>Бóльшая</w:t>
      </w:r>
      <w:proofErr w:type="spellEnd"/>
      <w:r w:rsidR="00EB539F" w:rsidRPr="002C25C6">
        <w:rPr>
          <w:lang w:val="ru-RU"/>
        </w:rPr>
        <w:t xml:space="preserve"> часть этой суммы приходится на взносы членов МСЭ (Государств-Членов, Членов Секторов, Ассоциированных членов) и на доходы от обработки заявок на регистрацию спутниковых сетей, еще окончательно не определенные на конец 201</w:t>
      </w:r>
      <w:r w:rsidR="00B3426B" w:rsidRPr="002C25C6">
        <w:rPr>
          <w:lang w:val="ru-RU"/>
        </w:rPr>
        <w:t>6</w:t>
      </w:r>
      <w:r w:rsidR="00EB539F" w:rsidRPr="002C25C6">
        <w:rPr>
          <w:lang w:val="ru-RU"/>
        </w:rPr>
        <w:t xml:space="preserve"> года. Подобная разбивка доходов будущих периодов приводится в Примечании 1</w:t>
      </w:r>
      <w:r w:rsidR="00B3426B" w:rsidRPr="002C25C6">
        <w:rPr>
          <w:lang w:val="ru-RU"/>
        </w:rPr>
        <w:t>4</w:t>
      </w:r>
      <w:r w:rsidR="00EB539F" w:rsidRPr="002C25C6">
        <w:rPr>
          <w:lang w:val="ru-RU"/>
        </w:rPr>
        <w:t xml:space="preserve"> к Отчету о финансовой деятельности.</w:t>
      </w:r>
    </w:p>
    <w:p w:rsidR="00EB539F" w:rsidRPr="002C25C6" w:rsidRDefault="00EB539F" w:rsidP="00EB539F">
      <w:pPr>
        <w:pStyle w:val="Headingb"/>
        <w:rPr>
          <w:lang w:val="ru-RU"/>
        </w:rPr>
      </w:pPr>
      <w:bookmarkStart w:id="158" w:name="_Toc358192840"/>
      <w:bookmarkStart w:id="159" w:name="_Toc398125324"/>
      <w:bookmarkStart w:id="160" w:name="_Toc398125803"/>
      <w:bookmarkStart w:id="161" w:name="_Toc398127096"/>
      <w:bookmarkStart w:id="162" w:name="_Toc452157316"/>
      <w:bookmarkStart w:id="163" w:name="_Toc482995182"/>
      <w:r w:rsidRPr="002C25C6">
        <w:rPr>
          <w:lang w:val="ru-RU"/>
        </w:rPr>
        <w:t>Резервные фонды</w:t>
      </w:r>
      <w:bookmarkEnd w:id="158"/>
      <w:bookmarkEnd w:id="159"/>
      <w:bookmarkEnd w:id="160"/>
      <w:bookmarkEnd w:id="161"/>
      <w:bookmarkEnd w:id="162"/>
      <w:bookmarkEnd w:id="163"/>
    </w:p>
    <w:p w:rsidR="00EB539F" w:rsidRPr="002C25C6" w:rsidRDefault="00B21657" w:rsidP="00B044EB">
      <w:pPr>
        <w:rPr>
          <w:lang w:val="ru-RU"/>
        </w:rPr>
      </w:pPr>
      <w:r w:rsidRPr="002C25C6">
        <w:rPr>
          <w:lang w:val="ru-RU"/>
        </w:rPr>
        <w:t>30</w:t>
      </w:r>
      <w:r w:rsidR="00EB539F" w:rsidRPr="002C25C6">
        <w:rPr>
          <w:lang w:val="ru-RU"/>
        </w:rPr>
        <w:tab/>
        <w:t>В 201</w:t>
      </w:r>
      <w:r w:rsidRPr="002C25C6">
        <w:rPr>
          <w:lang w:val="ru-RU"/>
        </w:rPr>
        <w:t>6</w:t>
      </w:r>
      <w:r w:rsidR="00EB539F" w:rsidRPr="002C25C6">
        <w:rPr>
          <w:lang w:val="ru-RU"/>
        </w:rPr>
        <w:t xml:space="preserve"> году подраздел "Резервные фонды" составил 1,</w:t>
      </w:r>
      <w:r w:rsidRPr="002C25C6">
        <w:rPr>
          <w:lang w:val="ru-RU"/>
        </w:rPr>
        <w:t>4</w:t>
      </w:r>
      <w:r w:rsidR="00EB539F" w:rsidRPr="002C25C6">
        <w:rPr>
          <w:lang w:val="ru-RU"/>
        </w:rPr>
        <w:t xml:space="preserve"> млн. швейцарских франков (</w:t>
      </w:r>
      <w:r w:rsidR="00826221" w:rsidRPr="002C25C6">
        <w:rPr>
          <w:lang w:val="ru-RU"/>
        </w:rPr>
        <w:t>в 201</w:t>
      </w:r>
      <w:r w:rsidRPr="002C25C6">
        <w:rPr>
          <w:lang w:val="ru-RU"/>
        </w:rPr>
        <w:t>5</w:t>
      </w:r>
      <w:r w:rsidR="00826221" w:rsidRPr="002C25C6">
        <w:rPr>
          <w:lang w:val="ru-RU"/>
        </w:rPr>
        <w:t> г. </w:t>
      </w:r>
      <w:r w:rsidR="00EB539F" w:rsidRPr="002C25C6">
        <w:rPr>
          <w:lang w:val="ru-RU"/>
        </w:rPr>
        <w:t xml:space="preserve">− </w:t>
      </w:r>
      <w:r w:rsidRPr="002C25C6">
        <w:rPr>
          <w:lang w:val="ru-RU"/>
        </w:rPr>
        <w:t>1</w:t>
      </w:r>
      <w:r w:rsidR="00EB539F" w:rsidRPr="002C25C6">
        <w:rPr>
          <w:lang w:val="ru-RU"/>
        </w:rPr>
        <w:t>,</w:t>
      </w:r>
      <w:r w:rsidRPr="002C25C6">
        <w:rPr>
          <w:lang w:val="ru-RU"/>
        </w:rPr>
        <w:t>0</w:t>
      </w:r>
      <w:r w:rsidR="00EB539F" w:rsidRPr="002C25C6">
        <w:rPr>
          <w:lang w:val="ru-RU"/>
        </w:rPr>
        <w:t xml:space="preserve"> млн. швейцарских франков). Этот раздел включает резервный фонд для судебных разбирательств (0,</w:t>
      </w:r>
      <w:r w:rsidR="00B044EB" w:rsidRPr="002C25C6">
        <w:rPr>
          <w:lang w:val="ru-RU"/>
        </w:rPr>
        <w:t>9</w:t>
      </w:r>
      <w:r w:rsidR="00EB539F" w:rsidRPr="002C25C6">
        <w:rPr>
          <w:lang w:val="ru-RU"/>
        </w:rPr>
        <w:t> млн. швейцарских франков) и резервный фонд для бесплатной обработки заявок на регистрацию спутниковых сетей (0,</w:t>
      </w:r>
      <w:r w:rsidRPr="002C25C6">
        <w:rPr>
          <w:lang w:val="ru-RU"/>
        </w:rPr>
        <w:t>5</w:t>
      </w:r>
      <w:r w:rsidR="00EB539F" w:rsidRPr="002C25C6">
        <w:rPr>
          <w:lang w:val="ru-RU"/>
        </w:rPr>
        <w:t xml:space="preserve"> млн. швейцарских франков).</w:t>
      </w:r>
      <w:r w:rsidR="00B044EB" w:rsidRPr="002C25C6">
        <w:rPr>
          <w:lang w:val="ru-RU"/>
        </w:rPr>
        <w:t xml:space="preserve"> Подробная разбивка данных о резервных фондах приводится в Примечании</w:t>
      </w:r>
      <w:r w:rsidRPr="002C25C6">
        <w:rPr>
          <w:lang w:val="ru-RU"/>
        </w:rPr>
        <w:t xml:space="preserve"> 17 </w:t>
      </w:r>
      <w:r w:rsidR="00B044EB" w:rsidRPr="002C25C6">
        <w:rPr>
          <w:lang w:val="ru-RU"/>
        </w:rPr>
        <w:t>к Отчету о финансовой деятельности</w:t>
      </w:r>
      <w:r w:rsidRPr="002C25C6">
        <w:rPr>
          <w:lang w:val="ru-RU"/>
        </w:rPr>
        <w:t>.</w:t>
      </w:r>
    </w:p>
    <w:p w:rsidR="00B21657" w:rsidRPr="002C25C6" w:rsidRDefault="00B21657" w:rsidP="009D1918">
      <w:pPr>
        <w:rPr>
          <w:lang w:val="ru-RU"/>
        </w:rPr>
      </w:pPr>
      <w:r w:rsidRPr="002C25C6">
        <w:rPr>
          <w:lang w:val="ru-RU"/>
        </w:rPr>
        <w:t>31</w:t>
      </w:r>
      <w:r w:rsidRPr="002C25C6">
        <w:rPr>
          <w:lang w:val="ru-RU"/>
        </w:rPr>
        <w:tab/>
      </w:r>
      <w:r w:rsidR="00C633DD" w:rsidRPr="002C25C6">
        <w:rPr>
          <w:lang w:val="ru-RU"/>
        </w:rPr>
        <w:t xml:space="preserve">Объем резервного фонда для судебных разбирательств изменился с первоначального уровня в </w:t>
      </w:r>
      <w:r w:rsidRPr="002C25C6">
        <w:rPr>
          <w:lang w:val="ru-RU"/>
        </w:rPr>
        <w:t>2016</w:t>
      </w:r>
      <w:r w:rsidR="00C633DD" w:rsidRPr="002C25C6">
        <w:rPr>
          <w:lang w:val="ru-RU"/>
        </w:rPr>
        <w:t xml:space="preserve"> году</w:t>
      </w:r>
      <w:r w:rsidRPr="002C25C6">
        <w:rPr>
          <w:lang w:val="ru-RU"/>
        </w:rPr>
        <w:t xml:space="preserve"> (804</w:t>
      </w:r>
      <w:r w:rsidR="00C633DD" w:rsidRPr="002C25C6">
        <w:rPr>
          <w:lang w:val="ru-RU"/>
        </w:rPr>
        <w:t xml:space="preserve"> тыс. швейцарских франков</w:t>
      </w:r>
      <w:r w:rsidRPr="002C25C6">
        <w:rPr>
          <w:lang w:val="ru-RU"/>
        </w:rPr>
        <w:t xml:space="preserve">) </w:t>
      </w:r>
      <w:r w:rsidR="00C633DD" w:rsidRPr="002C25C6">
        <w:rPr>
          <w:lang w:val="ru-RU"/>
        </w:rPr>
        <w:t>до окончательной величины</w:t>
      </w:r>
      <w:r w:rsidRPr="002C25C6">
        <w:rPr>
          <w:lang w:val="ru-RU"/>
        </w:rPr>
        <w:t xml:space="preserve"> </w:t>
      </w:r>
      <w:r w:rsidR="00583C2B" w:rsidRPr="002C25C6">
        <w:rPr>
          <w:lang w:val="ru-RU"/>
        </w:rPr>
        <w:t xml:space="preserve">в 909 тыс. швейцарских франков </w:t>
      </w:r>
      <w:r w:rsidRPr="002C25C6">
        <w:rPr>
          <w:lang w:val="ru-RU"/>
        </w:rPr>
        <w:t>(</w:t>
      </w:r>
      <w:r w:rsidR="00C633DD" w:rsidRPr="002C25C6">
        <w:rPr>
          <w:lang w:val="ru-RU"/>
        </w:rPr>
        <w:t xml:space="preserve">на </w:t>
      </w:r>
      <w:r w:rsidRPr="002C25C6">
        <w:rPr>
          <w:lang w:val="ru-RU"/>
        </w:rPr>
        <w:t>31</w:t>
      </w:r>
      <w:r w:rsidR="00B241A8" w:rsidRPr="002C25C6">
        <w:rPr>
          <w:lang w:val="ru-RU"/>
        </w:rPr>
        <w:t xml:space="preserve"> декабря </w:t>
      </w:r>
      <w:r w:rsidRPr="002C25C6">
        <w:rPr>
          <w:lang w:val="ru-RU"/>
        </w:rPr>
        <w:t>2016</w:t>
      </w:r>
      <w:r w:rsidR="00C633DD" w:rsidRPr="002C25C6">
        <w:rPr>
          <w:lang w:val="ru-RU"/>
        </w:rPr>
        <w:t xml:space="preserve"> г</w:t>
      </w:r>
      <w:r w:rsidR="009D1918" w:rsidRPr="002C25C6">
        <w:rPr>
          <w:lang w:val="ru-RU"/>
        </w:rPr>
        <w:t>.</w:t>
      </w:r>
      <w:r w:rsidRPr="002C25C6">
        <w:rPr>
          <w:lang w:val="ru-RU"/>
        </w:rPr>
        <w:t xml:space="preserve">). </w:t>
      </w:r>
      <w:r w:rsidR="00CD123D" w:rsidRPr="002C25C6">
        <w:rPr>
          <w:lang w:val="ru-RU"/>
        </w:rPr>
        <w:t>В настоящее время уровень резервных фондов фактически вырос на</w:t>
      </w:r>
      <w:r w:rsidRPr="002C25C6">
        <w:rPr>
          <w:lang w:val="ru-RU"/>
        </w:rPr>
        <w:t xml:space="preserve"> 200</w:t>
      </w:r>
      <w:r w:rsidR="00CD123D" w:rsidRPr="002C25C6">
        <w:rPr>
          <w:lang w:val="ru-RU"/>
        </w:rPr>
        <w:t xml:space="preserve"> тыс. швейцарских франков</w:t>
      </w:r>
      <w:r w:rsidRPr="002C25C6">
        <w:rPr>
          <w:lang w:val="ru-RU"/>
        </w:rPr>
        <w:t>,</w:t>
      </w:r>
      <w:r w:rsidR="00CD123D" w:rsidRPr="002C25C6">
        <w:rPr>
          <w:lang w:val="ru-RU"/>
        </w:rPr>
        <w:t xml:space="preserve"> причем объем нереализованных доходов составил</w:t>
      </w:r>
      <w:r w:rsidRPr="002C25C6">
        <w:rPr>
          <w:lang w:val="ru-RU"/>
        </w:rPr>
        <w:t xml:space="preserve"> 4 </w:t>
      </w:r>
      <w:r w:rsidR="00CD123D" w:rsidRPr="002C25C6">
        <w:rPr>
          <w:lang w:val="ru-RU"/>
        </w:rPr>
        <w:t>тыс. швейцарских франков</w:t>
      </w:r>
      <w:r w:rsidRPr="002C25C6">
        <w:rPr>
          <w:lang w:val="ru-RU"/>
        </w:rPr>
        <w:t xml:space="preserve">, </w:t>
      </w:r>
      <w:r w:rsidR="00430A73" w:rsidRPr="002C25C6">
        <w:rPr>
          <w:lang w:val="ru-RU"/>
        </w:rPr>
        <w:t>и</w:t>
      </w:r>
      <w:r w:rsidR="00CD123D" w:rsidRPr="002C25C6">
        <w:rPr>
          <w:lang w:val="ru-RU"/>
        </w:rPr>
        <w:t xml:space="preserve"> было использовано</w:t>
      </w:r>
      <w:r w:rsidRPr="002C25C6">
        <w:rPr>
          <w:lang w:val="ru-RU"/>
        </w:rPr>
        <w:t xml:space="preserve"> 99 </w:t>
      </w:r>
      <w:r w:rsidR="00CD123D" w:rsidRPr="002C25C6">
        <w:rPr>
          <w:lang w:val="ru-RU"/>
        </w:rPr>
        <w:t>тыс. швейцарских франков</w:t>
      </w:r>
      <w:r w:rsidRPr="002C25C6">
        <w:rPr>
          <w:lang w:val="ru-RU"/>
        </w:rPr>
        <w:t>.</w:t>
      </w:r>
    </w:p>
    <w:p w:rsidR="00B21657" w:rsidRPr="002C25C6" w:rsidRDefault="00442167" w:rsidP="00442167">
      <w:pPr>
        <w:pStyle w:val="Headingb"/>
        <w:rPr>
          <w:lang w:val="ru-RU"/>
        </w:rPr>
      </w:pPr>
      <w:bookmarkStart w:id="164" w:name="_Toc482176229"/>
      <w:bookmarkStart w:id="165" w:name="_Toc482995183"/>
      <w:r w:rsidRPr="002C25C6">
        <w:rPr>
          <w:lang w:val="ru-RU"/>
        </w:rPr>
        <w:t>Финансовая ответственность</w:t>
      </w:r>
      <w:bookmarkEnd w:id="164"/>
      <w:bookmarkEnd w:id="165"/>
    </w:p>
    <w:p w:rsidR="00B21657" w:rsidRPr="002C25C6" w:rsidRDefault="00B21657" w:rsidP="004A11D4">
      <w:pPr>
        <w:spacing w:after="120"/>
        <w:rPr>
          <w:lang w:val="ru-RU"/>
        </w:rPr>
      </w:pPr>
      <w:r w:rsidRPr="002C25C6">
        <w:rPr>
          <w:lang w:val="ru-RU"/>
        </w:rPr>
        <w:t>32</w:t>
      </w:r>
      <w:r w:rsidRPr="002C25C6">
        <w:rPr>
          <w:lang w:val="ru-RU"/>
        </w:rPr>
        <w:tab/>
      </w:r>
      <w:r w:rsidR="00442167" w:rsidRPr="002C25C6">
        <w:rPr>
          <w:lang w:val="ru-RU"/>
        </w:rPr>
        <w:t xml:space="preserve">Мы отмечаем решение Административного трибунала МОТ, в соответствии с которым МСЭ должен выплатить компенсацию за вред, причиненный </w:t>
      </w:r>
      <w:r w:rsidR="004A11D4">
        <w:rPr>
          <w:lang w:val="ru-RU"/>
        </w:rPr>
        <w:t>одному сотруднику</w:t>
      </w:r>
      <w:r w:rsidR="00442167" w:rsidRPr="002C25C6">
        <w:rPr>
          <w:lang w:val="ru-RU"/>
        </w:rPr>
        <w:t xml:space="preserve">, который признан жертвой серьезного нарушения поведения со стороны другого </w:t>
      </w:r>
      <w:r w:rsidR="004A11D4">
        <w:rPr>
          <w:lang w:val="ru-RU"/>
        </w:rPr>
        <w:t>сотрудника</w:t>
      </w:r>
      <w:r w:rsidR="00442167" w:rsidRPr="002C25C6">
        <w:rPr>
          <w:lang w:val="ru-RU"/>
        </w:rPr>
        <w:t xml:space="preserve">, однако в организации не </w:t>
      </w:r>
      <w:r w:rsidR="00442167" w:rsidRPr="002C25C6">
        <w:rPr>
          <w:lang w:val="ru-RU"/>
        </w:rPr>
        <w:lastRenderedPageBreak/>
        <w:t>предусмотрено никакой процедуры для принятия мер против нарушителя, чтобы МСЭ мог взыскать с него полную сумму компенсации или ее часть</w:t>
      </w:r>
      <w:r w:rsidRPr="002C25C6">
        <w:rPr>
          <w:lang w:val="ru-RU"/>
        </w:rPr>
        <w:t>.</w:t>
      </w:r>
    </w:p>
    <w:tbl>
      <w:tblPr>
        <w:tblStyle w:val="TableGrid2"/>
        <w:tblW w:w="0" w:type="auto"/>
        <w:tblInd w:w="-5" w:type="dxa"/>
        <w:tblLook w:val="04A0" w:firstRow="1" w:lastRow="0" w:firstColumn="1" w:lastColumn="0" w:noHBand="0" w:noVBand="1"/>
      </w:tblPr>
      <w:tblGrid>
        <w:gridCol w:w="9634"/>
      </w:tblGrid>
      <w:tr w:rsidR="00B21657" w:rsidRPr="002C25C6" w:rsidTr="0026021D">
        <w:tc>
          <w:tcPr>
            <w:tcW w:w="9634" w:type="dxa"/>
          </w:tcPr>
          <w:p w:rsidR="00B21657" w:rsidRPr="002C25C6" w:rsidRDefault="00F32358" w:rsidP="00B21657">
            <w:pPr>
              <w:keepNext/>
              <w:rPr>
                <w:b/>
                <w:bCs/>
                <w:lang w:val="ru-RU"/>
              </w:rPr>
            </w:pPr>
            <w:r w:rsidRPr="002C25C6">
              <w:rPr>
                <w:b/>
                <w:bCs/>
                <w:lang w:val="ru-RU"/>
              </w:rPr>
              <w:t>Предложение</w:t>
            </w:r>
            <w:r w:rsidR="00B21657" w:rsidRPr="002C25C6">
              <w:rPr>
                <w:b/>
                <w:bCs/>
                <w:lang w:val="ru-RU"/>
              </w:rPr>
              <w:t xml:space="preserve"> 1</w:t>
            </w:r>
          </w:p>
          <w:p w:rsidR="00B21657" w:rsidRPr="002C25C6" w:rsidRDefault="00B21657" w:rsidP="004A11D4">
            <w:pPr>
              <w:spacing w:after="120"/>
              <w:rPr>
                <w:lang w:val="ru-RU"/>
              </w:rPr>
            </w:pPr>
            <w:r w:rsidRPr="002C25C6">
              <w:rPr>
                <w:lang w:val="ru-RU"/>
              </w:rPr>
              <w:t>33</w:t>
            </w:r>
            <w:r w:rsidRPr="002C25C6">
              <w:rPr>
                <w:lang w:val="ru-RU"/>
              </w:rPr>
              <w:tab/>
            </w:r>
            <w:r w:rsidR="00442167" w:rsidRPr="002C25C6">
              <w:rPr>
                <w:lang w:val="ru-RU"/>
              </w:rPr>
              <w:t xml:space="preserve">Поэтому </w:t>
            </w:r>
            <w:r w:rsidR="00442167" w:rsidRPr="002C25C6">
              <w:rPr>
                <w:u w:val="single"/>
                <w:lang w:val="ru-RU"/>
              </w:rPr>
              <w:t>мы предлагаем</w:t>
            </w:r>
            <w:r w:rsidR="00442167" w:rsidRPr="002C25C6">
              <w:rPr>
                <w:lang w:val="ru-RU"/>
              </w:rPr>
              <w:t xml:space="preserve"> рассмотреть вопрос о возможном принятии процедуры взыскания любых сумм, которые</w:t>
            </w:r>
            <w:r w:rsidR="009834B1" w:rsidRPr="002C25C6">
              <w:rPr>
                <w:lang w:val="ru-RU"/>
              </w:rPr>
              <w:t xml:space="preserve"> в соответствии с постановлением</w:t>
            </w:r>
            <w:r w:rsidR="00442167" w:rsidRPr="002C25C6">
              <w:rPr>
                <w:lang w:val="ru-RU"/>
              </w:rPr>
              <w:t xml:space="preserve"> Административн</w:t>
            </w:r>
            <w:r w:rsidR="009834B1" w:rsidRPr="002C25C6">
              <w:rPr>
                <w:lang w:val="ru-RU"/>
              </w:rPr>
              <w:t>ого</w:t>
            </w:r>
            <w:r w:rsidR="00442167" w:rsidRPr="002C25C6">
              <w:rPr>
                <w:lang w:val="ru-RU"/>
              </w:rPr>
              <w:t xml:space="preserve"> трибунал</w:t>
            </w:r>
            <w:r w:rsidR="009834B1" w:rsidRPr="002C25C6">
              <w:rPr>
                <w:lang w:val="ru-RU"/>
              </w:rPr>
              <w:t xml:space="preserve">а МОТ МСЭ должен будет выплатить какому-либо </w:t>
            </w:r>
            <w:r w:rsidR="004A11D4">
              <w:rPr>
                <w:lang w:val="ru-RU"/>
              </w:rPr>
              <w:t>сотруднику</w:t>
            </w:r>
            <w:r w:rsidR="009834B1" w:rsidRPr="002C25C6">
              <w:rPr>
                <w:lang w:val="ru-RU"/>
              </w:rPr>
              <w:t xml:space="preserve"> в связи с серьезным нарушением поведения другим </w:t>
            </w:r>
            <w:r w:rsidR="004A11D4">
              <w:rPr>
                <w:lang w:val="ru-RU"/>
              </w:rPr>
              <w:t>сотрудником</w:t>
            </w:r>
            <w:r w:rsidRPr="002C25C6">
              <w:rPr>
                <w:lang w:val="ru-RU"/>
              </w:rPr>
              <w:t>.</w:t>
            </w:r>
          </w:p>
        </w:tc>
      </w:tr>
    </w:tbl>
    <w:p w:rsidR="00B21657" w:rsidRPr="002C25C6" w:rsidRDefault="00B21657" w:rsidP="00B21657">
      <w:pPr>
        <w:rPr>
          <w:lang w:val="ru-RU"/>
        </w:rPr>
      </w:pPr>
    </w:p>
    <w:tbl>
      <w:tblPr>
        <w:tblStyle w:val="TableGrid2"/>
        <w:tblW w:w="0" w:type="auto"/>
        <w:tblInd w:w="-5" w:type="dxa"/>
        <w:tblLook w:val="04A0" w:firstRow="1" w:lastRow="0" w:firstColumn="1" w:lastColumn="0" w:noHBand="0" w:noVBand="1"/>
      </w:tblPr>
      <w:tblGrid>
        <w:gridCol w:w="9634"/>
      </w:tblGrid>
      <w:tr w:rsidR="00B21657" w:rsidRPr="002C25C6" w:rsidTr="0026021D">
        <w:trPr>
          <w:cantSplit/>
        </w:trPr>
        <w:tc>
          <w:tcPr>
            <w:tcW w:w="9634" w:type="dxa"/>
          </w:tcPr>
          <w:p w:rsidR="00B21657" w:rsidRPr="002C25C6" w:rsidRDefault="00B21657" w:rsidP="0026021D">
            <w:pPr>
              <w:rPr>
                <w:b/>
                <w:bCs/>
                <w:lang w:val="ru-RU"/>
              </w:rPr>
            </w:pPr>
            <w:r w:rsidRPr="002C25C6">
              <w:rPr>
                <w:b/>
                <w:bCs/>
                <w:lang w:val="ru-RU"/>
              </w:rPr>
              <w:t>Комментарии Генерального секретаря</w:t>
            </w:r>
          </w:p>
          <w:p w:rsidR="00B21657" w:rsidRPr="002C25C6" w:rsidRDefault="000C67C7" w:rsidP="000C67C7">
            <w:pPr>
              <w:spacing w:after="120"/>
              <w:rPr>
                <w:lang w:val="ru-RU"/>
              </w:rPr>
            </w:pPr>
            <w:r w:rsidRPr="002C25C6">
              <w:rPr>
                <w:lang w:val="ru-RU"/>
              </w:rPr>
              <w:t>Мы согласны с этим предложением</w:t>
            </w:r>
            <w:r w:rsidR="00B21657" w:rsidRPr="002C25C6">
              <w:rPr>
                <w:lang w:val="ru-RU"/>
              </w:rPr>
              <w:t xml:space="preserve">. </w:t>
            </w:r>
            <w:r w:rsidRPr="002C25C6">
              <w:rPr>
                <w:lang w:val="ru-RU"/>
              </w:rPr>
              <w:t>Руководство МСЭ обратит внимание должностных лиц на всех уровнях на возможные последствия, в частности в отношении потенциальной финансовой ответственности, в связи с серьезным нарушением поведения в отношении другого должностного лица, и примет надлежащие меры в рамках своей нормативно-правовой базы</w:t>
            </w:r>
            <w:r w:rsidR="00B21657" w:rsidRPr="002C25C6">
              <w:rPr>
                <w:lang w:val="ru-RU"/>
              </w:rPr>
              <w:t>.</w:t>
            </w:r>
          </w:p>
        </w:tc>
      </w:tr>
    </w:tbl>
    <w:p w:rsidR="00EB539F" w:rsidRPr="002C25C6" w:rsidRDefault="00EB539F" w:rsidP="00EB539F">
      <w:pPr>
        <w:pStyle w:val="Headingb"/>
        <w:rPr>
          <w:lang w:val="ru-RU"/>
        </w:rPr>
      </w:pPr>
      <w:bookmarkStart w:id="166" w:name="_Toc358192843"/>
      <w:bookmarkStart w:id="167" w:name="_Toc398125325"/>
      <w:bookmarkStart w:id="168" w:name="_Toc398125804"/>
      <w:bookmarkStart w:id="169" w:name="_Toc398127097"/>
      <w:bookmarkStart w:id="170" w:name="_Toc452157317"/>
      <w:bookmarkStart w:id="171" w:name="_Toc482995184"/>
      <w:r w:rsidRPr="002C25C6">
        <w:rPr>
          <w:lang w:val="ru-RU"/>
        </w:rPr>
        <w:t>Займы и финансовая задолженность</w:t>
      </w:r>
      <w:bookmarkEnd w:id="166"/>
      <w:bookmarkEnd w:id="167"/>
      <w:bookmarkEnd w:id="168"/>
      <w:bookmarkEnd w:id="169"/>
      <w:bookmarkEnd w:id="170"/>
      <w:bookmarkEnd w:id="171"/>
    </w:p>
    <w:p w:rsidR="00EB539F" w:rsidRPr="002C25C6" w:rsidRDefault="00C63F84" w:rsidP="00832822">
      <w:pPr>
        <w:rPr>
          <w:lang w:val="ru-RU"/>
        </w:rPr>
      </w:pPr>
      <w:r w:rsidRPr="002C25C6">
        <w:rPr>
          <w:lang w:val="ru-RU"/>
        </w:rPr>
        <w:t>34</w:t>
      </w:r>
      <w:r w:rsidR="00EB539F" w:rsidRPr="002C25C6">
        <w:rPr>
          <w:lang w:val="ru-RU"/>
        </w:rPr>
        <w:tab/>
        <w:t>Сумма, относящаяся к полученному МСЭ займу в ФИПОИ на строительство и капитальный ремонт некоторых его зданий, была учтена как краткосрочные выплаты (1,5 млн. швейцарских франков или 1,0% от общей суммы текущих пассивов), что соответствует очередному платежу, подлежащему выплате МСЭ в ФИПОИ в 201</w:t>
      </w:r>
      <w:r w:rsidRPr="002C25C6">
        <w:rPr>
          <w:lang w:val="ru-RU"/>
        </w:rPr>
        <w:t>6</w:t>
      </w:r>
      <w:r w:rsidR="00EB539F" w:rsidRPr="002C25C6">
        <w:rPr>
          <w:lang w:val="ru-RU"/>
        </w:rPr>
        <w:t> году</w:t>
      </w:r>
      <w:r w:rsidRPr="002C25C6">
        <w:rPr>
          <w:lang w:val="ru-RU"/>
        </w:rPr>
        <w:t>, и как долгосрочные выплаты (42</w:t>
      </w:r>
      <w:r w:rsidR="00EB539F" w:rsidRPr="002C25C6">
        <w:rPr>
          <w:lang w:val="ru-RU"/>
        </w:rPr>
        <w:t>,</w:t>
      </w:r>
      <w:r w:rsidRPr="002C25C6">
        <w:rPr>
          <w:lang w:val="ru-RU"/>
        </w:rPr>
        <w:t>3</w:t>
      </w:r>
      <w:r w:rsidR="00EB539F" w:rsidRPr="002C25C6">
        <w:rPr>
          <w:lang w:val="ru-RU"/>
        </w:rPr>
        <w:t xml:space="preserve"> млн. швейцарских франков или </w:t>
      </w:r>
      <w:r w:rsidRPr="002C25C6">
        <w:rPr>
          <w:lang w:val="ru-RU"/>
        </w:rPr>
        <w:t>6</w:t>
      </w:r>
      <w:r w:rsidR="00EB539F" w:rsidRPr="002C25C6">
        <w:rPr>
          <w:lang w:val="ru-RU"/>
        </w:rPr>
        <w:t>,</w:t>
      </w:r>
      <w:r w:rsidRPr="002C25C6">
        <w:rPr>
          <w:lang w:val="ru-RU"/>
        </w:rPr>
        <w:t>6</w:t>
      </w:r>
      <w:r w:rsidR="00EB539F" w:rsidRPr="002C25C6">
        <w:rPr>
          <w:lang w:val="ru-RU"/>
        </w:rPr>
        <w:t xml:space="preserve">% от общей суммы </w:t>
      </w:r>
      <w:proofErr w:type="spellStart"/>
      <w:r w:rsidR="00EB539F" w:rsidRPr="002C25C6">
        <w:rPr>
          <w:lang w:val="ru-RU"/>
        </w:rPr>
        <w:t>нетекущих</w:t>
      </w:r>
      <w:proofErr w:type="spellEnd"/>
      <w:r w:rsidR="00EB539F" w:rsidRPr="002C25C6">
        <w:rPr>
          <w:lang w:val="ru-RU"/>
        </w:rPr>
        <w:t xml:space="preserve"> пассивов). Суммы, по которым представлена подробная информация в Примечании 1</w:t>
      </w:r>
      <w:r w:rsidRPr="002C25C6">
        <w:rPr>
          <w:lang w:val="ru-RU"/>
        </w:rPr>
        <w:t>5</w:t>
      </w:r>
      <w:r w:rsidR="00EB539F" w:rsidRPr="002C25C6">
        <w:rPr>
          <w:lang w:val="ru-RU"/>
        </w:rPr>
        <w:t xml:space="preserve"> к Отчету о финансовой деятельности, также подтверждаются предоставленной ФИПОИ выпиской от 1</w:t>
      </w:r>
      <w:r w:rsidRPr="002C25C6">
        <w:rPr>
          <w:lang w:val="ru-RU"/>
        </w:rPr>
        <w:t>6</w:t>
      </w:r>
      <w:r w:rsidR="00EB539F" w:rsidRPr="002C25C6">
        <w:rPr>
          <w:lang w:val="ru-RU"/>
        </w:rPr>
        <w:t> декабря 201</w:t>
      </w:r>
      <w:r w:rsidRPr="002C25C6">
        <w:rPr>
          <w:lang w:val="ru-RU"/>
        </w:rPr>
        <w:t>6</w:t>
      </w:r>
      <w:r w:rsidR="00EB539F" w:rsidRPr="002C25C6">
        <w:rPr>
          <w:lang w:val="ru-RU"/>
        </w:rPr>
        <w:t> года.</w:t>
      </w:r>
    </w:p>
    <w:p w:rsidR="00EB539F" w:rsidRPr="002C25C6" w:rsidRDefault="00EB539F" w:rsidP="00EB539F">
      <w:pPr>
        <w:pStyle w:val="Headingb"/>
        <w:rPr>
          <w:lang w:val="ru-RU"/>
        </w:rPr>
      </w:pPr>
      <w:bookmarkStart w:id="172" w:name="_Toc398125326"/>
      <w:bookmarkStart w:id="173" w:name="_Toc398125805"/>
      <w:bookmarkStart w:id="174" w:name="_Toc398127098"/>
      <w:bookmarkStart w:id="175" w:name="_Toc452157318"/>
      <w:bookmarkStart w:id="176" w:name="_Toc482995185"/>
      <w:r w:rsidRPr="002C25C6">
        <w:rPr>
          <w:lang w:val="ru-RU"/>
        </w:rPr>
        <w:t>Прочие текущие пассивы</w:t>
      </w:r>
      <w:bookmarkEnd w:id="172"/>
      <w:bookmarkEnd w:id="173"/>
      <w:bookmarkEnd w:id="174"/>
      <w:bookmarkEnd w:id="175"/>
      <w:bookmarkEnd w:id="176"/>
    </w:p>
    <w:p w:rsidR="00EB539F" w:rsidRPr="002C25C6" w:rsidRDefault="006E138A" w:rsidP="0079305F">
      <w:pPr>
        <w:rPr>
          <w:lang w:val="ru-RU"/>
        </w:rPr>
      </w:pPr>
      <w:r w:rsidRPr="002C25C6">
        <w:rPr>
          <w:lang w:val="ru-RU"/>
        </w:rPr>
        <w:t>35</w:t>
      </w:r>
      <w:r w:rsidR="00EB539F" w:rsidRPr="002C25C6">
        <w:rPr>
          <w:lang w:val="ru-RU"/>
        </w:rPr>
        <w:tab/>
        <w:t>В 201</w:t>
      </w:r>
      <w:r w:rsidRPr="002C25C6">
        <w:rPr>
          <w:lang w:val="ru-RU"/>
        </w:rPr>
        <w:t>6</w:t>
      </w:r>
      <w:r w:rsidR="00EB539F" w:rsidRPr="002C25C6">
        <w:rPr>
          <w:lang w:val="ru-RU"/>
        </w:rPr>
        <w:t xml:space="preserve"> году подразделы "Вознаграждение сотрудников" и "Прочая задолженнос</w:t>
      </w:r>
      <w:r w:rsidRPr="002C25C6">
        <w:rPr>
          <w:lang w:val="ru-RU"/>
        </w:rPr>
        <w:t>ть" составили, соответственно, 1</w:t>
      </w:r>
      <w:r w:rsidR="00EB539F" w:rsidRPr="002C25C6">
        <w:rPr>
          <w:lang w:val="ru-RU"/>
        </w:rPr>
        <w:t>,</w:t>
      </w:r>
      <w:r w:rsidRPr="002C25C6">
        <w:rPr>
          <w:lang w:val="ru-RU"/>
        </w:rPr>
        <w:t>1</w:t>
      </w:r>
      <w:r w:rsidR="00EB539F" w:rsidRPr="002C25C6">
        <w:rPr>
          <w:lang w:val="ru-RU"/>
        </w:rPr>
        <w:t> млн. швейцарских франков (201</w:t>
      </w:r>
      <w:r w:rsidRPr="002C25C6">
        <w:rPr>
          <w:lang w:val="ru-RU"/>
        </w:rPr>
        <w:t>5</w:t>
      </w:r>
      <w:r w:rsidR="00EB539F" w:rsidRPr="002C25C6">
        <w:rPr>
          <w:lang w:val="ru-RU"/>
        </w:rPr>
        <w:t xml:space="preserve"> г. – </w:t>
      </w:r>
      <w:r w:rsidRPr="002C25C6">
        <w:rPr>
          <w:lang w:val="ru-RU"/>
        </w:rPr>
        <w:t>0,5 млн. швейцарских франков</w:t>
      </w:r>
      <w:r w:rsidR="00EB539F" w:rsidRPr="002C25C6">
        <w:rPr>
          <w:lang w:val="ru-RU"/>
        </w:rPr>
        <w:t>) и 5,</w:t>
      </w:r>
      <w:r w:rsidR="0079305F" w:rsidRPr="002C25C6">
        <w:rPr>
          <w:lang w:val="ru-RU"/>
        </w:rPr>
        <w:t>1</w:t>
      </w:r>
      <w:r w:rsidR="00EB539F" w:rsidRPr="002C25C6">
        <w:rPr>
          <w:lang w:val="ru-RU"/>
        </w:rPr>
        <w:t> </w:t>
      </w:r>
      <w:r w:rsidR="00826221" w:rsidRPr="002C25C6">
        <w:rPr>
          <w:lang w:val="ru-RU"/>
        </w:rPr>
        <w:t>млн. </w:t>
      </w:r>
      <w:r w:rsidR="00EB539F" w:rsidRPr="002C25C6">
        <w:rPr>
          <w:lang w:val="ru-RU"/>
        </w:rPr>
        <w:t>швейцарских франков (в 201</w:t>
      </w:r>
      <w:r w:rsidR="0079305F" w:rsidRPr="002C25C6">
        <w:rPr>
          <w:lang w:val="ru-RU"/>
        </w:rPr>
        <w:t>5</w:t>
      </w:r>
      <w:r w:rsidR="00EB539F" w:rsidRPr="002C25C6">
        <w:rPr>
          <w:lang w:val="ru-RU"/>
        </w:rPr>
        <w:t xml:space="preserve"> г. − </w:t>
      </w:r>
      <w:r w:rsidR="0079305F" w:rsidRPr="002C25C6">
        <w:rPr>
          <w:lang w:val="ru-RU"/>
        </w:rPr>
        <w:t>5</w:t>
      </w:r>
      <w:r w:rsidR="00EB539F" w:rsidRPr="002C25C6">
        <w:rPr>
          <w:lang w:val="ru-RU"/>
        </w:rPr>
        <w:t>,</w:t>
      </w:r>
      <w:r w:rsidR="0079305F" w:rsidRPr="002C25C6">
        <w:rPr>
          <w:lang w:val="ru-RU"/>
        </w:rPr>
        <w:t>3</w:t>
      </w:r>
      <w:r w:rsidR="00EB539F" w:rsidRPr="002C25C6">
        <w:rPr>
          <w:lang w:val="ru-RU"/>
        </w:rPr>
        <w:t> млн. швейцарских франков). Подробное описание и разбивка приводятся, соответственно, в Примечаниях 1</w:t>
      </w:r>
      <w:r w:rsidR="0079305F" w:rsidRPr="002C25C6">
        <w:rPr>
          <w:lang w:val="ru-RU"/>
        </w:rPr>
        <w:t>6</w:t>
      </w:r>
      <w:r w:rsidR="00EB539F" w:rsidRPr="002C25C6">
        <w:rPr>
          <w:lang w:val="ru-RU"/>
        </w:rPr>
        <w:t>.1 и 19 к Отчету о финансовой деятельности.</w:t>
      </w:r>
    </w:p>
    <w:p w:rsidR="00EB539F" w:rsidRPr="002C25C6" w:rsidRDefault="00EC3FCE" w:rsidP="00EC3FCE">
      <w:pPr>
        <w:rPr>
          <w:lang w:val="ru-RU"/>
        </w:rPr>
      </w:pPr>
      <w:r w:rsidRPr="002C25C6">
        <w:rPr>
          <w:lang w:val="ru-RU"/>
        </w:rPr>
        <w:t>36</w:t>
      </w:r>
      <w:r w:rsidR="00EB539F" w:rsidRPr="002C25C6">
        <w:rPr>
          <w:lang w:val="ru-RU"/>
        </w:rPr>
        <w:tab/>
        <w:t>В частности, вознаграждение сотрудников, работающих на основе краткосрочных контрактов, учтенное в "Текущих пассивах", относится к резервному фонду для оплаты сверхурочных часов (0,0</w:t>
      </w:r>
      <w:r w:rsidRPr="002C25C6">
        <w:rPr>
          <w:lang w:val="ru-RU"/>
        </w:rPr>
        <w:t>6</w:t>
      </w:r>
      <w:r w:rsidR="00EB539F" w:rsidRPr="002C25C6">
        <w:rPr>
          <w:lang w:val="ru-RU"/>
        </w:rPr>
        <w:t xml:space="preserve"> млн. швейцарских франков; в 201</w:t>
      </w:r>
      <w:r w:rsidRPr="002C25C6">
        <w:rPr>
          <w:lang w:val="ru-RU"/>
        </w:rPr>
        <w:t>5</w:t>
      </w:r>
      <w:r w:rsidR="00EB539F" w:rsidRPr="002C25C6">
        <w:rPr>
          <w:lang w:val="ru-RU"/>
        </w:rPr>
        <w:t> г. − 0,0</w:t>
      </w:r>
      <w:r w:rsidRPr="002C25C6">
        <w:rPr>
          <w:lang w:val="ru-RU"/>
        </w:rPr>
        <w:t>8</w:t>
      </w:r>
      <w:r w:rsidR="00EB539F" w:rsidRPr="002C25C6">
        <w:rPr>
          <w:lang w:val="ru-RU"/>
        </w:rPr>
        <w:t> млн. швейцарских франков) и к резервному фонду для оплаты накопленных дней отпуска (</w:t>
      </w:r>
      <w:r w:rsidRPr="002C25C6">
        <w:rPr>
          <w:lang w:val="ru-RU"/>
        </w:rPr>
        <w:t>1</w:t>
      </w:r>
      <w:r w:rsidR="00EB539F" w:rsidRPr="002C25C6">
        <w:rPr>
          <w:lang w:val="ru-RU"/>
        </w:rPr>
        <w:t>,</w:t>
      </w:r>
      <w:r w:rsidRPr="002C25C6">
        <w:rPr>
          <w:lang w:val="ru-RU"/>
        </w:rPr>
        <w:t>0</w:t>
      </w:r>
      <w:r w:rsidR="00EB539F" w:rsidRPr="002C25C6">
        <w:rPr>
          <w:lang w:val="ru-RU"/>
        </w:rPr>
        <w:t xml:space="preserve"> млн. швейцарских франков; в 201</w:t>
      </w:r>
      <w:r w:rsidRPr="002C25C6">
        <w:rPr>
          <w:lang w:val="ru-RU"/>
        </w:rPr>
        <w:t>5</w:t>
      </w:r>
      <w:r w:rsidR="00EB539F" w:rsidRPr="002C25C6">
        <w:rPr>
          <w:lang w:val="ru-RU"/>
        </w:rPr>
        <w:t xml:space="preserve"> г. – </w:t>
      </w:r>
      <w:r w:rsidRPr="002C25C6">
        <w:rPr>
          <w:lang w:val="ru-RU"/>
        </w:rPr>
        <w:t>0,4 млн. швейцарских франков</w:t>
      </w:r>
      <w:r w:rsidR="00EB539F" w:rsidRPr="002C25C6">
        <w:rPr>
          <w:lang w:val="ru-RU"/>
        </w:rPr>
        <w:t xml:space="preserve">). Проведенные нами проверки не выявили каких-либо существенных проблем, и данные по резервным фондам являются по существу точными. </w:t>
      </w:r>
    </w:p>
    <w:p w:rsidR="00EB539F" w:rsidRPr="002C25C6" w:rsidRDefault="00EB539F" w:rsidP="00EB539F">
      <w:pPr>
        <w:pStyle w:val="Headingb"/>
        <w:rPr>
          <w:u w:val="single"/>
          <w:lang w:val="ru-RU"/>
        </w:rPr>
      </w:pPr>
      <w:bookmarkStart w:id="177" w:name="_Toc358192844"/>
      <w:bookmarkStart w:id="178" w:name="_Toc398125327"/>
      <w:bookmarkStart w:id="179" w:name="_Toc398125806"/>
      <w:bookmarkStart w:id="180" w:name="_Toc398127099"/>
      <w:bookmarkStart w:id="181" w:name="_Toc452157319"/>
      <w:bookmarkStart w:id="182" w:name="_Toc482995186"/>
      <w:r w:rsidRPr="002C25C6">
        <w:rPr>
          <w:lang w:val="ru-RU"/>
        </w:rPr>
        <w:t>Нетекущие пассивы</w:t>
      </w:r>
      <w:bookmarkEnd w:id="177"/>
      <w:bookmarkEnd w:id="178"/>
      <w:bookmarkEnd w:id="179"/>
      <w:bookmarkEnd w:id="180"/>
      <w:bookmarkEnd w:id="181"/>
      <w:bookmarkEnd w:id="182"/>
    </w:p>
    <w:p w:rsidR="00EB539F" w:rsidRPr="002C25C6" w:rsidRDefault="00EC3FCE" w:rsidP="00A23031">
      <w:pPr>
        <w:rPr>
          <w:lang w:val="ru-RU"/>
        </w:rPr>
      </w:pPr>
      <w:r w:rsidRPr="002C25C6">
        <w:rPr>
          <w:lang w:val="ru-RU"/>
        </w:rPr>
        <w:t>3</w:t>
      </w:r>
      <w:r w:rsidR="00EB539F" w:rsidRPr="002C25C6">
        <w:rPr>
          <w:lang w:val="ru-RU"/>
        </w:rPr>
        <w:t>7</w:t>
      </w:r>
      <w:r w:rsidR="00EB539F" w:rsidRPr="002C25C6">
        <w:rPr>
          <w:lang w:val="ru-RU"/>
        </w:rPr>
        <w:tab/>
        <w:t xml:space="preserve">Общая сумма </w:t>
      </w:r>
      <w:proofErr w:type="spellStart"/>
      <w:r w:rsidR="00EB539F" w:rsidRPr="002C25C6">
        <w:rPr>
          <w:lang w:val="ru-RU"/>
        </w:rPr>
        <w:t>нетекущих</w:t>
      </w:r>
      <w:proofErr w:type="spellEnd"/>
      <w:r w:rsidR="00EB539F" w:rsidRPr="002C25C6">
        <w:rPr>
          <w:lang w:val="ru-RU"/>
        </w:rPr>
        <w:t xml:space="preserve"> пассивов в 201</w:t>
      </w:r>
      <w:r w:rsidRPr="002C25C6">
        <w:rPr>
          <w:lang w:val="ru-RU"/>
        </w:rPr>
        <w:t>6</w:t>
      </w:r>
      <w:r w:rsidR="00EB539F" w:rsidRPr="002C25C6">
        <w:rPr>
          <w:lang w:val="ru-RU"/>
        </w:rPr>
        <w:t xml:space="preserve"> году составила </w:t>
      </w:r>
      <w:r w:rsidRPr="002C25C6">
        <w:rPr>
          <w:lang w:val="ru-RU"/>
        </w:rPr>
        <w:t>644</w:t>
      </w:r>
      <w:r w:rsidR="00EB539F" w:rsidRPr="002C25C6">
        <w:rPr>
          <w:lang w:val="ru-RU"/>
        </w:rPr>
        <w:t>,</w:t>
      </w:r>
      <w:r w:rsidRPr="002C25C6">
        <w:rPr>
          <w:lang w:val="ru-RU"/>
        </w:rPr>
        <w:t>8</w:t>
      </w:r>
      <w:r w:rsidR="00EB539F" w:rsidRPr="002C25C6">
        <w:rPr>
          <w:lang w:val="ru-RU"/>
        </w:rPr>
        <w:t xml:space="preserve"> млн. швейцарских франков, что на </w:t>
      </w:r>
      <w:r w:rsidRPr="002C25C6">
        <w:rPr>
          <w:lang w:val="ru-RU"/>
        </w:rPr>
        <w:t>74</w:t>
      </w:r>
      <w:r w:rsidR="00EB539F" w:rsidRPr="002C25C6">
        <w:rPr>
          <w:lang w:val="ru-RU"/>
        </w:rPr>
        <w:t>,</w:t>
      </w:r>
      <w:r w:rsidRPr="002C25C6">
        <w:rPr>
          <w:lang w:val="ru-RU"/>
        </w:rPr>
        <w:t>4</w:t>
      </w:r>
      <w:r w:rsidR="00EB539F" w:rsidRPr="002C25C6">
        <w:rPr>
          <w:lang w:val="ru-RU"/>
        </w:rPr>
        <w:t> млн. швейцарских франков (</w:t>
      </w:r>
      <w:r w:rsidRPr="002C25C6">
        <w:rPr>
          <w:lang w:val="ru-RU"/>
        </w:rPr>
        <w:t>+13</w:t>
      </w:r>
      <w:r w:rsidR="00EB539F" w:rsidRPr="002C25C6">
        <w:rPr>
          <w:lang w:val="ru-RU"/>
        </w:rPr>
        <w:t>,</w:t>
      </w:r>
      <w:r w:rsidRPr="002C25C6">
        <w:rPr>
          <w:lang w:val="ru-RU"/>
        </w:rPr>
        <w:t>0</w:t>
      </w:r>
      <w:r w:rsidR="00EB539F" w:rsidRPr="002C25C6">
        <w:rPr>
          <w:lang w:val="ru-RU"/>
        </w:rPr>
        <w:t xml:space="preserve">%) </w:t>
      </w:r>
      <w:r w:rsidRPr="002C25C6">
        <w:rPr>
          <w:lang w:val="ru-RU"/>
        </w:rPr>
        <w:t>больше</w:t>
      </w:r>
      <w:r w:rsidR="00EB539F" w:rsidRPr="002C25C6">
        <w:rPr>
          <w:lang w:val="ru-RU"/>
        </w:rPr>
        <w:t xml:space="preserve"> по сравнению с 201</w:t>
      </w:r>
      <w:r w:rsidRPr="002C25C6">
        <w:rPr>
          <w:lang w:val="ru-RU"/>
        </w:rPr>
        <w:t>5</w:t>
      </w:r>
      <w:r w:rsidR="00EB539F" w:rsidRPr="002C25C6">
        <w:rPr>
          <w:lang w:val="ru-RU"/>
        </w:rPr>
        <w:t> годом (</w:t>
      </w:r>
      <w:r w:rsidRPr="002C25C6">
        <w:rPr>
          <w:lang w:val="ru-RU"/>
        </w:rPr>
        <w:t>570</w:t>
      </w:r>
      <w:r w:rsidR="00EB539F" w:rsidRPr="002C25C6">
        <w:rPr>
          <w:lang w:val="ru-RU"/>
        </w:rPr>
        <w:t>,</w:t>
      </w:r>
      <w:r w:rsidRPr="002C25C6">
        <w:rPr>
          <w:lang w:val="ru-RU"/>
        </w:rPr>
        <w:t>4</w:t>
      </w:r>
      <w:r w:rsidR="00EB539F" w:rsidRPr="002C25C6">
        <w:rPr>
          <w:lang w:val="ru-RU"/>
        </w:rPr>
        <w:t xml:space="preserve"> млн. швейцарских франков). Это </w:t>
      </w:r>
      <w:r w:rsidRPr="002C25C6">
        <w:rPr>
          <w:lang w:val="ru-RU"/>
        </w:rPr>
        <w:t xml:space="preserve">увеличение </w:t>
      </w:r>
      <w:r w:rsidR="00EB539F" w:rsidRPr="002C25C6">
        <w:rPr>
          <w:lang w:val="ru-RU"/>
        </w:rPr>
        <w:t xml:space="preserve">в целом объясняется </w:t>
      </w:r>
      <w:r w:rsidRPr="002C25C6">
        <w:rPr>
          <w:lang w:val="ru-RU"/>
        </w:rPr>
        <w:t>увеличением</w:t>
      </w:r>
      <w:r w:rsidR="00EB539F" w:rsidRPr="002C25C6">
        <w:rPr>
          <w:lang w:val="ru-RU"/>
        </w:rPr>
        <w:t xml:space="preserve"> суммы вознаграждения сотрудников (</w:t>
      </w:r>
      <w:r w:rsidRPr="002C25C6">
        <w:rPr>
          <w:lang w:val="ru-RU"/>
        </w:rPr>
        <w:t>+80</w:t>
      </w:r>
      <w:r w:rsidR="00EB539F" w:rsidRPr="002C25C6">
        <w:rPr>
          <w:lang w:val="ru-RU"/>
        </w:rPr>
        <w:t>,</w:t>
      </w:r>
      <w:r w:rsidRPr="002C25C6">
        <w:rPr>
          <w:lang w:val="ru-RU"/>
        </w:rPr>
        <w:t>1</w:t>
      </w:r>
      <w:r w:rsidR="00EB539F" w:rsidRPr="002C25C6">
        <w:rPr>
          <w:lang w:val="ru-RU"/>
        </w:rPr>
        <w:t xml:space="preserve"> млн. швейцарских франков или </w:t>
      </w:r>
      <w:r w:rsidRPr="002C25C6">
        <w:rPr>
          <w:lang w:val="ru-RU"/>
        </w:rPr>
        <w:t>+16</w:t>
      </w:r>
      <w:r w:rsidR="00EB539F" w:rsidRPr="002C25C6">
        <w:rPr>
          <w:lang w:val="ru-RU"/>
        </w:rPr>
        <w:t>,</w:t>
      </w:r>
      <w:r w:rsidRPr="002C25C6">
        <w:rPr>
          <w:lang w:val="ru-RU"/>
        </w:rPr>
        <w:t>2</w:t>
      </w:r>
      <w:r w:rsidR="00EB539F" w:rsidRPr="002C25C6">
        <w:rPr>
          <w:lang w:val="ru-RU"/>
        </w:rPr>
        <w:t>% по сравнению с 201</w:t>
      </w:r>
      <w:r w:rsidRPr="002C25C6">
        <w:rPr>
          <w:lang w:val="ru-RU"/>
        </w:rPr>
        <w:t>5</w:t>
      </w:r>
      <w:r w:rsidR="00EB539F" w:rsidRPr="002C25C6">
        <w:rPr>
          <w:lang w:val="ru-RU"/>
        </w:rPr>
        <w:t> г</w:t>
      </w:r>
      <w:r w:rsidR="00826221" w:rsidRPr="002C25C6">
        <w:rPr>
          <w:lang w:val="ru-RU"/>
        </w:rPr>
        <w:t>.</w:t>
      </w:r>
      <w:r w:rsidR="00EB539F" w:rsidRPr="002C25C6">
        <w:rPr>
          <w:lang w:val="ru-RU"/>
        </w:rPr>
        <w:t xml:space="preserve">). Основа для оценки </w:t>
      </w:r>
      <w:proofErr w:type="spellStart"/>
      <w:r w:rsidR="00EB539F" w:rsidRPr="002C25C6">
        <w:rPr>
          <w:lang w:val="ru-RU"/>
        </w:rPr>
        <w:t>нетекущих</w:t>
      </w:r>
      <w:proofErr w:type="spellEnd"/>
      <w:r w:rsidR="00EB539F" w:rsidRPr="002C25C6">
        <w:rPr>
          <w:lang w:val="ru-RU"/>
        </w:rPr>
        <w:t xml:space="preserve"> пассивов изложена в Принципах бухгалтерского учета (Примечание </w:t>
      </w:r>
      <w:r w:rsidRPr="002C25C6">
        <w:rPr>
          <w:lang w:val="ru-RU"/>
        </w:rPr>
        <w:t>2</w:t>
      </w:r>
      <w:r w:rsidR="00EB539F" w:rsidRPr="002C25C6">
        <w:rPr>
          <w:lang w:val="ru-RU"/>
        </w:rPr>
        <w:t>).</w:t>
      </w:r>
    </w:p>
    <w:p w:rsidR="00EB539F" w:rsidRPr="002C25C6" w:rsidRDefault="00EC3FCE" w:rsidP="00EB539F">
      <w:pPr>
        <w:rPr>
          <w:lang w:val="ru-RU"/>
        </w:rPr>
      </w:pPr>
      <w:r w:rsidRPr="002C25C6">
        <w:rPr>
          <w:lang w:val="ru-RU"/>
        </w:rPr>
        <w:t>3</w:t>
      </w:r>
      <w:r w:rsidR="00EB539F" w:rsidRPr="002C25C6">
        <w:rPr>
          <w:lang w:val="ru-RU"/>
        </w:rPr>
        <w:t>8</w:t>
      </w:r>
      <w:r w:rsidR="00EB539F" w:rsidRPr="002C25C6">
        <w:rPr>
          <w:lang w:val="ru-RU"/>
        </w:rPr>
        <w:tab/>
        <w:t>Этот раздел состоит из долгосрочных задолженностей (см. раздел "Займы"), средств третьих сторон, распределенных или в процессе распределения, обязательств по линии системы медицинского страхования МСЭ и резервных фондов, покрывающих обязательства с неопределенными суммами и сроками, в основном относящиеся к пособиям, причитающимся сотрудникам после прекращения службы.</w:t>
      </w:r>
    </w:p>
    <w:p w:rsidR="00EB539F" w:rsidRPr="002C25C6" w:rsidRDefault="00EB539F" w:rsidP="00EB539F">
      <w:pPr>
        <w:pStyle w:val="Headingb"/>
        <w:rPr>
          <w:lang w:val="ru-RU"/>
        </w:rPr>
      </w:pPr>
      <w:bookmarkStart w:id="183" w:name="_Toc452157320"/>
      <w:bookmarkStart w:id="184" w:name="_Toc482995187"/>
      <w:r w:rsidRPr="002C25C6">
        <w:rPr>
          <w:lang w:val="ru-RU"/>
        </w:rPr>
        <w:lastRenderedPageBreak/>
        <w:t>Обобщенные сведения о вознаграждении сотрудников</w:t>
      </w:r>
      <w:bookmarkEnd w:id="183"/>
      <w:bookmarkEnd w:id="184"/>
      <w:r w:rsidRPr="002C25C6">
        <w:rPr>
          <w:lang w:val="ru-RU"/>
        </w:rPr>
        <w:t xml:space="preserve"> </w:t>
      </w:r>
    </w:p>
    <w:p w:rsidR="00826221" w:rsidRPr="002C25C6" w:rsidRDefault="00286014" w:rsidP="00286014">
      <w:pPr>
        <w:spacing w:after="120"/>
        <w:rPr>
          <w:lang w:val="ru-RU"/>
        </w:rPr>
      </w:pPr>
      <w:r w:rsidRPr="002C25C6">
        <w:rPr>
          <w:lang w:val="ru-RU"/>
        </w:rPr>
        <w:t>3</w:t>
      </w:r>
      <w:r w:rsidR="00EB539F" w:rsidRPr="002C25C6">
        <w:rPr>
          <w:lang w:val="ru-RU"/>
        </w:rPr>
        <w:t>9</w:t>
      </w:r>
      <w:r w:rsidR="00EB539F" w:rsidRPr="002C25C6">
        <w:rPr>
          <w:lang w:val="ru-RU"/>
        </w:rPr>
        <w:tab/>
        <w:t>Информация о вознаграждении сотрудников приводится в финансовой отчетности в разделах "Текущие пассивы" и "Нетекущие пассивы". В 201</w:t>
      </w:r>
      <w:r w:rsidRPr="002C25C6">
        <w:rPr>
          <w:lang w:val="ru-RU"/>
        </w:rPr>
        <w:t>6</w:t>
      </w:r>
      <w:r w:rsidR="00EB539F" w:rsidRPr="002C25C6">
        <w:rPr>
          <w:lang w:val="ru-RU"/>
        </w:rPr>
        <w:t xml:space="preserve"> году общий размер вознаграждения сотрудников составил </w:t>
      </w:r>
      <w:r w:rsidRPr="002C25C6">
        <w:rPr>
          <w:lang w:val="ru-RU"/>
        </w:rPr>
        <w:t>576</w:t>
      </w:r>
      <w:r w:rsidR="00EB539F" w:rsidRPr="002C25C6">
        <w:rPr>
          <w:lang w:val="ru-RU"/>
        </w:rPr>
        <w:t>,</w:t>
      </w:r>
      <w:r w:rsidRPr="002C25C6">
        <w:rPr>
          <w:lang w:val="ru-RU"/>
        </w:rPr>
        <w:t>2</w:t>
      </w:r>
      <w:r w:rsidR="00EB539F" w:rsidRPr="002C25C6">
        <w:rPr>
          <w:lang w:val="ru-RU"/>
        </w:rPr>
        <w:t xml:space="preserve"> млн. швейцарских франков. В обобщенном виде эта информация представлена в приведенной ниже таблице. </w:t>
      </w:r>
    </w:p>
    <w:tbl>
      <w:tblPr>
        <w:tblW w:w="9626" w:type="dxa"/>
        <w:tblLayout w:type="fixed"/>
        <w:tblLook w:val="04A0" w:firstRow="1" w:lastRow="0" w:firstColumn="1" w:lastColumn="0" w:noHBand="0" w:noVBand="1"/>
      </w:tblPr>
      <w:tblGrid>
        <w:gridCol w:w="4248"/>
        <w:gridCol w:w="1417"/>
        <w:gridCol w:w="1418"/>
        <w:gridCol w:w="1271"/>
        <w:gridCol w:w="1272"/>
      </w:tblGrid>
      <w:tr w:rsidR="00EB539F" w:rsidRPr="002C25C6" w:rsidTr="009C03CB">
        <w:tc>
          <w:tcPr>
            <w:tcW w:w="4248"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B539F" w:rsidRPr="002C25C6" w:rsidRDefault="00EB539F" w:rsidP="00826221">
            <w:pPr>
              <w:pStyle w:val="Tablehead"/>
              <w:rPr>
                <w:rFonts w:eastAsia="SimSun"/>
                <w:i/>
                <w:iCs/>
                <w:sz w:val="18"/>
                <w:szCs w:val="18"/>
                <w:lang w:val="ru-RU" w:eastAsia="zh-CN"/>
              </w:rPr>
            </w:pPr>
            <w:r w:rsidRPr="002C25C6">
              <w:rPr>
                <w:rFonts w:eastAsia="SimSun"/>
                <w:i/>
                <w:iCs/>
                <w:sz w:val="18"/>
                <w:szCs w:val="18"/>
                <w:lang w:val="ru-RU" w:eastAsia="zh-CN"/>
              </w:rPr>
              <w:t>Пассивы</w:t>
            </w:r>
          </w:p>
        </w:tc>
        <w:tc>
          <w:tcPr>
            <w:tcW w:w="2835"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EB539F" w:rsidRPr="002C25C6" w:rsidRDefault="00EB539F" w:rsidP="00826221">
            <w:pPr>
              <w:pStyle w:val="Tablehead"/>
              <w:rPr>
                <w:rFonts w:eastAsia="SimSun"/>
                <w:sz w:val="18"/>
                <w:szCs w:val="18"/>
                <w:lang w:val="ru-RU" w:eastAsia="zh-CN"/>
              </w:rPr>
            </w:pPr>
            <w:r w:rsidRPr="002C25C6">
              <w:rPr>
                <w:rFonts w:eastAsia="SimSun"/>
                <w:sz w:val="18"/>
                <w:szCs w:val="18"/>
                <w:lang w:val="ru-RU" w:eastAsia="zh-CN"/>
              </w:rPr>
              <w:t>(</w:t>
            </w:r>
            <w:proofErr w:type="gramStart"/>
            <w:r w:rsidRPr="002C25C6">
              <w:rPr>
                <w:rFonts w:eastAsia="SimSun"/>
                <w:sz w:val="18"/>
                <w:szCs w:val="18"/>
                <w:lang w:val="ru-RU" w:eastAsia="zh-CN"/>
              </w:rPr>
              <w:t>в</w:t>
            </w:r>
            <w:proofErr w:type="gramEnd"/>
            <w:r w:rsidRPr="002C25C6">
              <w:rPr>
                <w:rFonts w:eastAsia="SimSun"/>
                <w:sz w:val="18"/>
                <w:szCs w:val="18"/>
                <w:lang w:val="ru-RU" w:eastAsia="zh-CN"/>
              </w:rPr>
              <w:t xml:space="preserve"> тыс. швейцарских франков)</w:t>
            </w:r>
          </w:p>
        </w:tc>
        <w:tc>
          <w:tcPr>
            <w:tcW w:w="2543"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EB539F" w:rsidRPr="002C25C6" w:rsidRDefault="00EB539F" w:rsidP="002D5AFA">
            <w:pPr>
              <w:pStyle w:val="Tablehead"/>
              <w:rPr>
                <w:rFonts w:eastAsia="SimSun"/>
                <w:sz w:val="18"/>
                <w:szCs w:val="18"/>
                <w:lang w:val="ru-RU" w:eastAsia="zh-CN"/>
              </w:rPr>
            </w:pPr>
            <w:r w:rsidRPr="002C25C6">
              <w:rPr>
                <w:rFonts w:eastAsia="SimSun"/>
                <w:sz w:val="18"/>
                <w:szCs w:val="18"/>
                <w:lang w:val="ru-RU" w:eastAsia="zh-CN"/>
              </w:rPr>
              <w:t>Расхождение 201</w:t>
            </w:r>
            <w:r w:rsidR="002D5AFA" w:rsidRPr="002C25C6">
              <w:rPr>
                <w:rFonts w:eastAsia="SimSun"/>
                <w:sz w:val="18"/>
                <w:szCs w:val="18"/>
                <w:lang w:val="ru-RU" w:eastAsia="zh-CN"/>
              </w:rPr>
              <w:t>6</w:t>
            </w:r>
            <w:r w:rsidRPr="002C25C6">
              <w:rPr>
                <w:rFonts w:eastAsia="SimSun"/>
                <w:sz w:val="18"/>
                <w:szCs w:val="18"/>
                <w:lang w:val="ru-RU" w:eastAsia="zh-CN"/>
              </w:rPr>
              <w:t>−201</w:t>
            </w:r>
            <w:r w:rsidR="002D5AFA" w:rsidRPr="002C25C6">
              <w:rPr>
                <w:rFonts w:eastAsia="SimSun"/>
                <w:sz w:val="18"/>
                <w:szCs w:val="18"/>
                <w:lang w:val="ru-RU" w:eastAsia="zh-CN"/>
              </w:rPr>
              <w:t>5</w:t>
            </w:r>
            <w:r w:rsidRPr="002C25C6">
              <w:rPr>
                <w:rFonts w:eastAsia="SimSun"/>
                <w:sz w:val="18"/>
                <w:szCs w:val="18"/>
                <w:lang w:val="ru-RU" w:eastAsia="zh-CN"/>
              </w:rPr>
              <w:t xml:space="preserve"> гг.</w:t>
            </w:r>
          </w:p>
        </w:tc>
      </w:tr>
      <w:tr w:rsidR="00EB539F" w:rsidRPr="002C25C6" w:rsidTr="009C03CB">
        <w:tc>
          <w:tcPr>
            <w:tcW w:w="4248" w:type="dxa"/>
            <w:vMerge/>
            <w:tcBorders>
              <w:top w:val="single" w:sz="4" w:space="0" w:color="auto"/>
              <w:left w:val="single" w:sz="4" w:space="0" w:color="auto"/>
              <w:bottom w:val="single" w:sz="4" w:space="0" w:color="auto"/>
              <w:right w:val="single" w:sz="4" w:space="0" w:color="auto"/>
            </w:tcBorders>
            <w:vAlign w:val="center"/>
            <w:hideMark/>
          </w:tcPr>
          <w:p w:rsidR="00EB539F" w:rsidRPr="002C25C6" w:rsidRDefault="00EB539F" w:rsidP="00826221">
            <w:pPr>
              <w:pStyle w:val="Tablehead"/>
              <w:rPr>
                <w:rFonts w:eastAsia="SimSun"/>
                <w:sz w:val="18"/>
                <w:szCs w:val="18"/>
                <w:lang w:val="ru-RU" w:eastAsia="zh-CN"/>
              </w:rPr>
            </w:pPr>
          </w:p>
        </w:tc>
        <w:tc>
          <w:tcPr>
            <w:tcW w:w="1417" w:type="dxa"/>
            <w:tcBorders>
              <w:top w:val="nil"/>
              <w:left w:val="nil"/>
              <w:bottom w:val="single" w:sz="4" w:space="0" w:color="auto"/>
              <w:right w:val="single" w:sz="4" w:space="0" w:color="auto"/>
            </w:tcBorders>
            <w:shd w:val="clear" w:color="000000" w:fill="D9D9D9"/>
            <w:noWrap/>
            <w:vAlign w:val="center"/>
            <w:hideMark/>
          </w:tcPr>
          <w:p w:rsidR="00EB539F" w:rsidRPr="002C25C6" w:rsidRDefault="00EB539F" w:rsidP="007C581B">
            <w:pPr>
              <w:pStyle w:val="Tablehead"/>
              <w:rPr>
                <w:rFonts w:eastAsia="SimSun"/>
                <w:i/>
                <w:iCs/>
                <w:sz w:val="18"/>
                <w:szCs w:val="18"/>
                <w:lang w:val="ru-RU" w:eastAsia="zh-CN"/>
              </w:rPr>
            </w:pPr>
            <w:r w:rsidRPr="002C25C6">
              <w:rPr>
                <w:rFonts w:eastAsia="SimSun"/>
                <w:i/>
                <w:iCs/>
                <w:sz w:val="18"/>
                <w:szCs w:val="18"/>
                <w:lang w:val="ru-RU" w:eastAsia="zh-CN"/>
              </w:rPr>
              <w:t>201</w:t>
            </w:r>
            <w:r w:rsidR="007C581B" w:rsidRPr="002C25C6">
              <w:rPr>
                <w:rFonts w:eastAsia="SimSun"/>
                <w:i/>
                <w:iCs/>
                <w:sz w:val="18"/>
                <w:szCs w:val="18"/>
                <w:lang w:val="ru-RU" w:eastAsia="zh-CN"/>
              </w:rPr>
              <w:t>6</w:t>
            </w:r>
            <w:r w:rsidRPr="002C25C6">
              <w:rPr>
                <w:rFonts w:eastAsia="SimSun"/>
                <w:i/>
                <w:iCs/>
                <w:sz w:val="18"/>
                <w:szCs w:val="18"/>
                <w:lang w:val="ru-RU" w:eastAsia="zh-CN"/>
              </w:rPr>
              <w:t xml:space="preserve"> г.</w:t>
            </w:r>
          </w:p>
        </w:tc>
        <w:tc>
          <w:tcPr>
            <w:tcW w:w="1418" w:type="dxa"/>
            <w:tcBorders>
              <w:top w:val="nil"/>
              <w:left w:val="nil"/>
              <w:bottom w:val="single" w:sz="4" w:space="0" w:color="auto"/>
              <w:right w:val="single" w:sz="4" w:space="0" w:color="auto"/>
            </w:tcBorders>
            <w:shd w:val="clear" w:color="000000" w:fill="D9D9D9"/>
            <w:noWrap/>
            <w:vAlign w:val="center"/>
            <w:hideMark/>
          </w:tcPr>
          <w:p w:rsidR="00EB539F" w:rsidRPr="002C25C6" w:rsidRDefault="00EB539F" w:rsidP="002D5AFA">
            <w:pPr>
              <w:pStyle w:val="Tablehead"/>
              <w:rPr>
                <w:rFonts w:eastAsia="SimSun"/>
                <w:i/>
                <w:iCs/>
                <w:sz w:val="18"/>
                <w:szCs w:val="18"/>
                <w:lang w:val="ru-RU" w:eastAsia="zh-CN"/>
              </w:rPr>
            </w:pPr>
            <w:r w:rsidRPr="002C25C6">
              <w:rPr>
                <w:rFonts w:eastAsia="SimSun"/>
                <w:i/>
                <w:iCs/>
                <w:sz w:val="18"/>
                <w:szCs w:val="18"/>
                <w:lang w:val="ru-RU" w:eastAsia="zh-CN"/>
              </w:rPr>
              <w:t>201</w:t>
            </w:r>
            <w:r w:rsidR="002D5AFA" w:rsidRPr="002C25C6">
              <w:rPr>
                <w:rFonts w:eastAsia="SimSun"/>
                <w:i/>
                <w:iCs/>
                <w:sz w:val="18"/>
                <w:szCs w:val="18"/>
                <w:lang w:val="ru-RU" w:eastAsia="zh-CN"/>
              </w:rPr>
              <w:t>5</w:t>
            </w:r>
            <w:r w:rsidRPr="002C25C6">
              <w:rPr>
                <w:rFonts w:eastAsia="SimSun"/>
                <w:i/>
                <w:iCs/>
                <w:sz w:val="18"/>
                <w:szCs w:val="18"/>
                <w:lang w:val="ru-RU" w:eastAsia="zh-CN"/>
              </w:rPr>
              <w:t xml:space="preserve"> г.</w:t>
            </w:r>
          </w:p>
        </w:tc>
        <w:tc>
          <w:tcPr>
            <w:tcW w:w="1271" w:type="dxa"/>
            <w:tcBorders>
              <w:top w:val="nil"/>
              <w:left w:val="nil"/>
              <w:bottom w:val="single" w:sz="4" w:space="0" w:color="auto"/>
              <w:right w:val="single" w:sz="4" w:space="0" w:color="auto"/>
            </w:tcBorders>
            <w:shd w:val="clear" w:color="000000" w:fill="D9D9D9"/>
            <w:noWrap/>
            <w:vAlign w:val="center"/>
            <w:hideMark/>
          </w:tcPr>
          <w:p w:rsidR="00EB539F" w:rsidRPr="002C25C6" w:rsidRDefault="00EB539F" w:rsidP="00826221">
            <w:pPr>
              <w:pStyle w:val="Tablehead"/>
              <w:rPr>
                <w:rFonts w:eastAsia="SimSun"/>
                <w:sz w:val="18"/>
                <w:szCs w:val="18"/>
                <w:lang w:val="ru-RU" w:eastAsia="zh-CN"/>
              </w:rPr>
            </w:pPr>
            <w:r w:rsidRPr="002C25C6">
              <w:rPr>
                <w:rFonts w:eastAsia="SimSun"/>
                <w:sz w:val="18"/>
                <w:szCs w:val="18"/>
                <w:lang w:val="ru-RU" w:eastAsia="zh-CN"/>
              </w:rPr>
              <w:t>тыс. шв. фр.</w:t>
            </w:r>
          </w:p>
        </w:tc>
        <w:tc>
          <w:tcPr>
            <w:tcW w:w="1272" w:type="dxa"/>
            <w:tcBorders>
              <w:top w:val="nil"/>
              <w:left w:val="nil"/>
              <w:bottom w:val="single" w:sz="4" w:space="0" w:color="auto"/>
              <w:right w:val="single" w:sz="4" w:space="0" w:color="auto"/>
            </w:tcBorders>
            <w:shd w:val="clear" w:color="000000" w:fill="D9D9D9"/>
            <w:noWrap/>
            <w:vAlign w:val="center"/>
            <w:hideMark/>
          </w:tcPr>
          <w:p w:rsidR="00EB539F" w:rsidRPr="002C25C6" w:rsidRDefault="00EB539F" w:rsidP="00826221">
            <w:pPr>
              <w:pStyle w:val="Tablehead"/>
              <w:rPr>
                <w:rFonts w:eastAsia="SimSun"/>
                <w:sz w:val="18"/>
                <w:szCs w:val="18"/>
                <w:lang w:val="ru-RU" w:eastAsia="zh-CN"/>
              </w:rPr>
            </w:pPr>
            <w:r w:rsidRPr="002C25C6">
              <w:rPr>
                <w:rFonts w:eastAsia="SimSun"/>
                <w:sz w:val="18"/>
                <w:szCs w:val="18"/>
                <w:lang w:val="ru-RU" w:eastAsia="zh-CN"/>
              </w:rPr>
              <w:t>%</w:t>
            </w:r>
          </w:p>
        </w:tc>
      </w:tr>
      <w:tr w:rsidR="00EB539F" w:rsidRPr="002C25C6" w:rsidTr="002D5AFA">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EB539F" w:rsidRPr="002C25C6" w:rsidRDefault="00EB539F" w:rsidP="00826221">
            <w:pPr>
              <w:pStyle w:val="Tabletext"/>
              <w:rPr>
                <w:rFonts w:eastAsia="SimSun"/>
                <w:sz w:val="18"/>
                <w:szCs w:val="18"/>
                <w:u w:val="single"/>
                <w:lang w:val="ru-RU" w:eastAsia="zh-CN"/>
              </w:rPr>
            </w:pPr>
            <w:r w:rsidRPr="002C25C6">
              <w:rPr>
                <w:rFonts w:eastAsia="SimSun"/>
                <w:sz w:val="18"/>
                <w:szCs w:val="18"/>
                <w:u w:val="single"/>
                <w:lang w:val="ru-RU" w:eastAsia="zh-CN"/>
              </w:rPr>
              <w:t>Текущие</w:t>
            </w:r>
          </w:p>
        </w:tc>
        <w:tc>
          <w:tcPr>
            <w:tcW w:w="1417" w:type="dxa"/>
            <w:tcBorders>
              <w:top w:val="nil"/>
              <w:left w:val="nil"/>
              <w:bottom w:val="single" w:sz="4" w:space="0" w:color="auto"/>
              <w:right w:val="single" w:sz="4" w:space="0" w:color="auto"/>
            </w:tcBorders>
            <w:shd w:val="clear" w:color="auto" w:fill="auto"/>
            <w:noWrap/>
            <w:vAlign w:val="bottom"/>
            <w:hideMark/>
          </w:tcPr>
          <w:p w:rsidR="00EB539F" w:rsidRPr="002C25C6" w:rsidRDefault="0026021D" w:rsidP="00826221">
            <w:pPr>
              <w:pStyle w:val="Tabletext"/>
              <w:ind w:right="284"/>
              <w:jc w:val="right"/>
              <w:rPr>
                <w:rFonts w:eastAsia="SimSun"/>
                <w:sz w:val="18"/>
                <w:szCs w:val="18"/>
                <w:lang w:val="ru-RU" w:eastAsia="zh-CN"/>
              </w:rPr>
            </w:pPr>
            <w:r w:rsidRPr="002C25C6">
              <w:rPr>
                <w:rFonts w:eastAsia="SimSun"/>
                <w:sz w:val="18"/>
                <w:szCs w:val="18"/>
                <w:lang w:val="ru-RU" w:eastAsia="zh-CN"/>
              </w:rPr>
              <w:t>1 094</w:t>
            </w:r>
          </w:p>
        </w:tc>
        <w:tc>
          <w:tcPr>
            <w:tcW w:w="1418" w:type="dxa"/>
            <w:tcBorders>
              <w:top w:val="nil"/>
              <w:left w:val="nil"/>
              <w:bottom w:val="single" w:sz="4" w:space="0" w:color="auto"/>
              <w:right w:val="single" w:sz="4" w:space="0" w:color="auto"/>
            </w:tcBorders>
            <w:shd w:val="clear" w:color="auto" w:fill="auto"/>
            <w:noWrap/>
            <w:vAlign w:val="bottom"/>
            <w:hideMark/>
          </w:tcPr>
          <w:p w:rsidR="00EB539F" w:rsidRPr="002C25C6" w:rsidRDefault="00EB539F" w:rsidP="002D5AFA">
            <w:pPr>
              <w:pStyle w:val="Tabletext"/>
              <w:ind w:right="284"/>
              <w:jc w:val="right"/>
              <w:rPr>
                <w:rFonts w:eastAsia="SimSun"/>
                <w:sz w:val="18"/>
                <w:szCs w:val="18"/>
                <w:lang w:val="ru-RU" w:eastAsia="zh-CN"/>
              </w:rPr>
            </w:pPr>
            <w:r w:rsidRPr="002C25C6">
              <w:rPr>
                <w:rFonts w:eastAsia="SimSun"/>
                <w:sz w:val="18"/>
                <w:szCs w:val="18"/>
                <w:lang w:val="ru-RU" w:eastAsia="zh-CN"/>
              </w:rPr>
              <w:t>48</w:t>
            </w:r>
            <w:r w:rsidR="002D5AFA" w:rsidRPr="002C25C6">
              <w:rPr>
                <w:rFonts w:eastAsia="SimSun"/>
                <w:sz w:val="18"/>
                <w:szCs w:val="18"/>
                <w:lang w:val="ru-RU" w:eastAsia="zh-CN"/>
              </w:rPr>
              <w:t>1</w:t>
            </w:r>
          </w:p>
        </w:tc>
        <w:tc>
          <w:tcPr>
            <w:tcW w:w="1271" w:type="dxa"/>
            <w:tcBorders>
              <w:top w:val="nil"/>
              <w:left w:val="nil"/>
              <w:bottom w:val="single" w:sz="4" w:space="0" w:color="auto"/>
              <w:right w:val="single" w:sz="4" w:space="0" w:color="auto"/>
            </w:tcBorders>
            <w:shd w:val="clear" w:color="auto" w:fill="auto"/>
            <w:noWrap/>
            <w:vAlign w:val="bottom"/>
            <w:hideMark/>
          </w:tcPr>
          <w:p w:rsidR="00EB539F" w:rsidRPr="002C25C6" w:rsidRDefault="002D5AFA" w:rsidP="00826221">
            <w:pPr>
              <w:pStyle w:val="Tabletext"/>
              <w:ind w:right="284"/>
              <w:jc w:val="right"/>
              <w:rPr>
                <w:rFonts w:eastAsia="SimSun"/>
                <w:sz w:val="18"/>
                <w:szCs w:val="18"/>
                <w:lang w:val="ru-RU" w:eastAsia="zh-CN"/>
              </w:rPr>
            </w:pPr>
            <w:r w:rsidRPr="002C25C6">
              <w:rPr>
                <w:rFonts w:eastAsia="SimSun"/>
                <w:sz w:val="18"/>
                <w:szCs w:val="18"/>
                <w:lang w:val="ru-RU" w:eastAsia="zh-CN"/>
              </w:rPr>
              <w:t>613</w:t>
            </w:r>
          </w:p>
        </w:tc>
        <w:tc>
          <w:tcPr>
            <w:tcW w:w="1272" w:type="dxa"/>
            <w:tcBorders>
              <w:top w:val="nil"/>
              <w:left w:val="nil"/>
              <w:bottom w:val="single" w:sz="4" w:space="0" w:color="auto"/>
              <w:right w:val="single" w:sz="4" w:space="0" w:color="auto"/>
            </w:tcBorders>
            <w:shd w:val="clear" w:color="auto" w:fill="auto"/>
            <w:noWrap/>
            <w:vAlign w:val="bottom"/>
          </w:tcPr>
          <w:p w:rsidR="00EB539F" w:rsidRPr="002C25C6" w:rsidRDefault="002D5AFA" w:rsidP="00826221">
            <w:pPr>
              <w:pStyle w:val="Tabletext"/>
              <w:ind w:right="284"/>
              <w:jc w:val="right"/>
              <w:rPr>
                <w:rFonts w:eastAsia="SimSun"/>
                <w:sz w:val="18"/>
                <w:szCs w:val="18"/>
                <w:lang w:val="ru-RU" w:eastAsia="zh-CN"/>
              </w:rPr>
            </w:pPr>
            <w:r w:rsidRPr="002C25C6">
              <w:rPr>
                <w:rFonts w:eastAsia="SimSun"/>
                <w:sz w:val="18"/>
                <w:szCs w:val="18"/>
                <w:lang w:val="ru-RU" w:eastAsia="zh-CN"/>
              </w:rPr>
              <w:t>127,4%</w:t>
            </w:r>
          </w:p>
        </w:tc>
      </w:tr>
      <w:tr w:rsidR="00EB539F" w:rsidRPr="002C25C6" w:rsidTr="002D5AFA">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EB539F" w:rsidRPr="002C25C6" w:rsidRDefault="00EB539F" w:rsidP="00826221">
            <w:pPr>
              <w:pStyle w:val="Tabletext"/>
              <w:rPr>
                <w:rFonts w:eastAsia="SimSun"/>
                <w:sz w:val="18"/>
                <w:szCs w:val="18"/>
                <w:u w:val="single"/>
                <w:lang w:val="ru-RU" w:eastAsia="zh-CN"/>
              </w:rPr>
            </w:pPr>
            <w:r w:rsidRPr="002C25C6">
              <w:rPr>
                <w:rFonts w:eastAsia="SimSun"/>
                <w:sz w:val="18"/>
                <w:szCs w:val="18"/>
                <w:u w:val="single"/>
                <w:lang w:val="ru-RU" w:eastAsia="zh-CN"/>
              </w:rPr>
              <w:t>Нетекущие</w:t>
            </w:r>
          </w:p>
        </w:tc>
        <w:tc>
          <w:tcPr>
            <w:tcW w:w="1417" w:type="dxa"/>
            <w:tcBorders>
              <w:top w:val="nil"/>
              <w:left w:val="nil"/>
              <w:bottom w:val="single" w:sz="4" w:space="0" w:color="auto"/>
              <w:right w:val="single" w:sz="4" w:space="0" w:color="auto"/>
            </w:tcBorders>
            <w:shd w:val="clear" w:color="auto" w:fill="auto"/>
            <w:noWrap/>
            <w:vAlign w:val="bottom"/>
            <w:hideMark/>
          </w:tcPr>
          <w:p w:rsidR="00EB539F" w:rsidRPr="002C25C6" w:rsidRDefault="00EB539F" w:rsidP="0026021D">
            <w:pPr>
              <w:pStyle w:val="Tabletext"/>
              <w:ind w:right="284"/>
              <w:jc w:val="right"/>
              <w:rPr>
                <w:rFonts w:eastAsia="SimSun"/>
                <w:sz w:val="18"/>
                <w:szCs w:val="18"/>
                <w:lang w:val="ru-RU" w:eastAsia="zh-CN"/>
              </w:rPr>
            </w:pPr>
            <w:r w:rsidRPr="002C25C6">
              <w:rPr>
                <w:rFonts w:eastAsia="SimSun"/>
                <w:sz w:val="18"/>
                <w:szCs w:val="18"/>
                <w:lang w:val="ru-RU" w:eastAsia="zh-CN"/>
              </w:rPr>
              <w:t>5</w:t>
            </w:r>
            <w:r w:rsidR="0026021D" w:rsidRPr="002C25C6">
              <w:rPr>
                <w:rFonts w:eastAsia="SimSun"/>
                <w:sz w:val="18"/>
                <w:szCs w:val="18"/>
                <w:lang w:val="ru-RU" w:eastAsia="zh-CN"/>
              </w:rPr>
              <w:t>75</w:t>
            </w:r>
            <w:r w:rsidRPr="002C25C6">
              <w:rPr>
                <w:rFonts w:eastAsia="SimSun"/>
                <w:sz w:val="18"/>
                <w:szCs w:val="18"/>
                <w:lang w:val="ru-RU" w:eastAsia="zh-CN"/>
              </w:rPr>
              <w:t> </w:t>
            </w:r>
            <w:r w:rsidR="0026021D" w:rsidRPr="002C25C6">
              <w:rPr>
                <w:rFonts w:eastAsia="SimSun"/>
                <w:sz w:val="18"/>
                <w:szCs w:val="18"/>
                <w:lang w:val="ru-RU" w:eastAsia="zh-CN"/>
              </w:rPr>
              <w:t>123</w:t>
            </w:r>
          </w:p>
        </w:tc>
        <w:tc>
          <w:tcPr>
            <w:tcW w:w="1418" w:type="dxa"/>
            <w:tcBorders>
              <w:top w:val="nil"/>
              <w:left w:val="nil"/>
              <w:bottom w:val="single" w:sz="4" w:space="0" w:color="auto"/>
              <w:right w:val="single" w:sz="4" w:space="0" w:color="auto"/>
            </w:tcBorders>
            <w:shd w:val="clear" w:color="auto" w:fill="auto"/>
            <w:noWrap/>
            <w:vAlign w:val="bottom"/>
            <w:hideMark/>
          </w:tcPr>
          <w:p w:rsidR="00EB539F" w:rsidRPr="002C25C6" w:rsidRDefault="002D5AFA" w:rsidP="00826221">
            <w:pPr>
              <w:pStyle w:val="Tabletext"/>
              <w:ind w:right="284"/>
              <w:jc w:val="right"/>
              <w:rPr>
                <w:rFonts w:eastAsia="SimSun"/>
                <w:sz w:val="18"/>
                <w:szCs w:val="18"/>
                <w:lang w:val="ru-RU" w:eastAsia="zh-CN"/>
              </w:rPr>
            </w:pPr>
            <w:r w:rsidRPr="002C25C6">
              <w:rPr>
                <w:rFonts w:eastAsia="SimSun"/>
                <w:sz w:val="18"/>
                <w:szCs w:val="18"/>
                <w:lang w:val="ru-RU" w:eastAsia="zh-CN"/>
              </w:rPr>
              <w:t>495 025</w:t>
            </w:r>
          </w:p>
        </w:tc>
        <w:tc>
          <w:tcPr>
            <w:tcW w:w="1271" w:type="dxa"/>
            <w:tcBorders>
              <w:top w:val="nil"/>
              <w:left w:val="nil"/>
              <w:bottom w:val="single" w:sz="4" w:space="0" w:color="auto"/>
              <w:right w:val="single" w:sz="4" w:space="0" w:color="auto"/>
            </w:tcBorders>
            <w:shd w:val="clear" w:color="auto" w:fill="auto"/>
            <w:noWrap/>
            <w:vAlign w:val="bottom"/>
            <w:hideMark/>
          </w:tcPr>
          <w:p w:rsidR="00EB539F" w:rsidRPr="002C25C6" w:rsidRDefault="002D5AFA" w:rsidP="00826221">
            <w:pPr>
              <w:pStyle w:val="Tabletext"/>
              <w:ind w:right="284"/>
              <w:jc w:val="right"/>
              <w:rPr>
                <w:rFonts w:eastAsia="SimSun"/>
                <w:sz w:val="18"/>
                <w:szCs w:val="18"/>
                <w:lang w:val="ru-RU" w:eastAsia="zh-CN"/>
              </w:rPr>
            </w:pPr>
            <w:r w:rsidRPr="002C25C6">
              <w:rPr>
                <w:rFonts w:eastAsia="SimSun"/>
                <w:sz w:val="18"/>
                <w:szCs w:val="18"/>
                <w:lang w:val="ru-RU" w:eastAsia="zh-CN"/>
              </w:rPr>
              <w:t>80 098</w:t>
            </w:r>
          </w:p>
        </w:tc>
        <w:tc>
          <w:tcPr>
            <w:tcW w:w="1272" w:type="dxa"/>
            <w:tcBorders>
              <w:top w:val="nil"/>
              <w:left w:val="nil"/>
              <w:bottom w:val="single" w:sz="4" w:space="0" w:color="auto"/>
              <w:right w:val="single" w:sz="4" w:space="0" w:color="auto"/>
            </w:tcBorders>
            <w:shd w:val="clear" w:color="auto" w:fill="auto"/>
            <w:noWrap/>
            <w:vAlign w:val="bottom"/>
          </w:tcPr>
          <w:p w:rsidR="00EB539F" w:rsidRPr="002C25C6" w:rsidRDefault="002D5AFA" w:rsidP="00826221">
            <w:pPr>
              <w:pStyle w:val="Tabletext"/>
              <w:ind w:right="284"/>
              <w:jc w:val="right"/>
              <w:rPr>
                <w:rFonts w:eastAsia="SimSun"/>
                <w:sz w:val="18"/>
                <w:szCs w:val="18"/>
                <w:lang w:val="ru-RU" w:eastAsia="zh-CN"/>
              </w:rPr>
            </w:pPr>
            <w:r w:rsidRPr="002C25C6">
              <w:rPr>
                <w:rFonts w:eastAsia="SimSun"/>
                <w:sz w:val="18"/>
                <w:szCs w:val="18"/>
                <w:lang w:val="ru-RU" w:eastAsia="zh-CN"/>
              </w:rPr>
              <w:t>16,2%</w:t>
            </w:r>
          </w:p>
        </w:tc>
      </w:tr>
      <w:tr w:rsidR="00EB539F" w:rsidRPr="002C25C6" w:rsidTr="002D5AFA">
        <w:tc>
          <w:tcPr>
            <w:tcW w:w="4248" w:type="dxa"/>
            <w:tcBorders>
              <w:top w:val="nil"/>
              <w:left w:val="single" w:sz="4" w:space="0" w:color="auto"/>
              <w:bottom w:val="single" w:sz="4" w:space="0" w:color="auto"/>
              <w:right w:val="single" w:sz="4" w:space="0" w:color="auto"/>
            </w:tcBorders>
            <w:shd w:val="clear" w:color="000000" w:fill="DCE6F1"/>
            <w:noWrap/>
            <w:vAlign w:val="center"/>
            <w:hideMark/>
          </w:tcPr>
          <w:p w:rsidR="00EB539F" w:rsidRPr="002C25C6" w:rsidRDefault="00EB539F" w:rsidP="00826221">
            <w:pPr>
              <w:pStyle w:val="Tabletext"/>
              <w:rPr>
                <w:rFonts w:eastAsia="SimSun"/>
                <w:b/>
                <w:bCs/>
                <w:sz w:val="18"/>
                <w:szCs w:val="18"/>
                <w:u w:val="single"/>
                <w:lang w:val="ru-RU" w:eastAsia="zh-CN"/>
              </w:rPr>
            </w:pPr>
            <w:r w:rsidRPr="002C25C6">
              <w:rPr>
                <w:rFonts w:eastAsia="SimSun"/>
                <w:b/>
                <w:bCs/>
                <w:sz w:val="18"/>
                <w:szCs w:val="18"/>
                <w:u w:val="single"/>
                <w:lang w:val="ru-RU" w:eastAsia="zh-CN"/>
              </w:rPr>
              <w:t>Всего</w:t>
            </w:r>
          </w:p>
        </w:tc>
        <w:tc>
          <w:tcPr>
            <w:tcW w:w="1417" w:type="dxa"/>
            <w:tcBorders>
              <w:top w:val="nil"/>
              <w:left w:val="nil"/>
              <w:bottom w:val="single" w:sz="4" w:space="0" w:color="auto"/>
              <w:right w:val="single" w:sz="4" w:space="0" w:color="auto"/>
            </w:tcBorders>
            <w:shd w:val="clear" w:color="000000" w:fill="DCE6F1"/>
            <w:noWrap/>
            <w:vAlign w:val="bottom"/>
            <w:hideMark/>
          </w:tcPr>
          <w:p w:rsidR="00EB539F" w:rsidRPr="002C25C6" w:rsidRDefault="0026021D" w:rsidP="00826221">
            <w:pPr>
              <w:pStyle w:val="Tabletext"/>
              <w:ind w:right="284"/>
              <w:jc w:val="right"/>
              <w:rPr>
                <w:rFonts w:eastAsia="SimSun"/>
                <w:b/>
                <w:bCs/>
                <w:sz w:val="18"/>
                <w:szCs w:val="18"/>
                <w:lang w:val="ru-RU" w:eastAsia="zh-CN"/>
              </w:rPr>
            </w:pPr>
            <w:r w:rsidRPr="002C25C6">
              <w:rPr>
                <w:rFonts w:eastAsia="SimSun"/>
                <w:b/>
                <w:bCs/>
                <w:sz w:val="18"/>
                <w:szCs w:val="18"/>
                <w:lang w:val="ru-RU" w:eastAsia="zh-CN"/>
              </w:rPr>
              <w:t>576 217</w:t>
            </w:r>
          </w:p>
        </w:tc>
        <w:tc>
          <w:tcPr>
            <w:tcW w:w="1418" w:type="dxa"/>
            <w:tcBorders>
              <w:top w:val="nil"/>
              <w:left w:val="nil"/>
              <w:bottom w:val="single" w:sz="4" w:space="0" w:color="auto"/>
              <w:right w:val="single" w:sz="4" w:space="0" w:color="auto"/>
            </w:tcBorders>
            <w:shd w:val="clear" w:color="000000" w:fill="DCE6F1"/>
            <w:noWrap/>
            <w:vAlign w:val="bottom"/>
            <w:hideMark/>
          </w:tcPr>
          <w:p w:rsidR="00EB539F" w:rsidRPr="002C25C6" w:rsidRDefault="002D5AFA" w:rsidP="00826221">
            <w:pPr>
              <w:pStyle w:val="Tabletext"/>
              <w:ind w:right="284"/>
              <w:jc w:val="right"/>
              <w:rPr>
                <w:rFonts w:eastAsia="SimSun"/>
                <w:b/>
                <w:bCs/>
                <w:sz w:val="18"/>
                <w:szCs w:val="18"/>
                <w:lang w:val="ru-RU" w:eastAsia="zh-CN"/>
              </w:rPr>
            </w:pPr>
            <w:r w:rsidRPr="002C25C6">
              <w:rPr>
                <w:rFonts w:eastAsia="SimSun"/>
                <w:b/>
                <w:bCs/>
                <w:sz w:val="18"/>
                <w:szCs w:val="18"/>
                <w:lang w:val="ru-RU" w:eastAsia="zh-CN"/>
              </w:rPr>
              <w:t>495 506</w:t>
            </w:r>
          </w:p>
        </w:tc>
        <w:tc>
          <w:tcPr>
            <w:tcW w:w="1271" w:type="dxa"/>
            <w:tcBorders>
              <w:top w:val="nil"/>
              <w:left w:val="nil"/>
              <w:bottom w:val="single" w:sz="4" w:space="0" w:color="auto"/>
              <w:right w:val="single" w:sz="4" w:space="0" w:color="auto"/>
            </w:tcBorders>
            <w:shd w:val="clear" w:color="000000" w:fill="DCE6F1"/>
            <w:noWrap/>
            <w:vAlign w:val="bottom"/>
            <w:hideMark/>
          </w:tcPr>
          <w:p w:rsidR="00EB539F" w:rsidRPr="002C25C6" w:rsidRDefault="002D5AFA" w:rsidP="00826221">
            <w:pPr>
              <w:pStyle w:val="Tabletext"/>
              <w:ind w:right="284"/>
              <w:jc w:val="right"/>
              <w:rPr>
                <w:rFonts w:eastAsia="SimSun"/>
                <w:b/>
                <w:bCs/>
                <w:sz w:val="18"/>
                <w:szCs w:val="18"/>
                <w:lang w:val="ru-RU" w:eastAsia="zh-CN"/>
              </w:rPr>
            </w:pPr>
            <w:r w:rsidRPr="002C25C6">
              <w:rPr>
                <w:rFonts w:eastAsia="SimSun"/>
                <w:b/>
                <w:bCs/>
                <w:sz w:val="18"/>
                <w:szCs w:val="18"/>
                <w:lang w:val="ru-RU" w:eastAsia="zh-CN"/>
              </w:rPr>
              <w:t>80 711</w:t>
            </w:r>
          </w:p>
        </w:tc>
        <w:tc>
          <w:tcPr>
            <w:tcW w:w="1272" w:type="dxa"/>
            <w:tcBorders>
              <w:top w:val="nil"/>
              <w:left w:val="nil"/>
              <w:bottom w:val="single" w:sz="4" w:space="0" w:color="auto"/>
              <w:right w:val="single" w:sz="4" w:space="0" w:color="auto"/>
            </w:tcBorders>
            <w:shd w:val="clear" w:color="000000" w:fill="DCE6F1"/>
            <w:noWrap/>
            <w:vAlign w:val="bottom"/>
          </w:tcPr>
          <w:p w:rsidR="00EB539F" w:rsidRPr="002C25C6" w:rsidRDefault="002D5AFA" w:rsidP="00826221">
            <w:pPr>
              <w:pStyle w:val="Tabletext"/>
              <w:ind w:right="284"/>
              <w:jc w:val="right"/>
              <w:rPr>
                <w:rFonts w:eastAsia="SimSun"/>
                <w:sz w:val="18"/>
                <w:szCs w:val="18"/>
                <w:lang w:val="ru-RU" w:eastAsia="zh-CN"/>
              </w:rPr>
            </w:pPr>
            <w:r w:rsidRPr="002C25C6">
              <w:rPr>
                <w:rFonts w:eastAsia="SimSun"/>
                <w:sz w:val="18"/>
                <w:szCs w:val="18"/>
                <w:lang w:val="ru-RU" w:eastAsia="zh-CN"/>
              </w:rPr>
              <w:t>16,3%</w:t>
            </w:r>
          </w:p>
        </w:tc>
      </w:tr>
      <w:tr w:rsidR="00EB539F" w:rsidRPr="002C25C6" w:rsidTr="00826221">
        <w:tc>
          <w:tcPr>
            <w:tcW w:w="4248" w:type="dxa"/>
            <w:tcBorders>
              <w:top w:val="nil"/>
              <w:left w:val="single" w:sz="4" w:space="0" w:color="auto"/>
              <w:bottom w:val="single" w:sz="4" w:space="0" w:color="auto"/>
              <w:right w:val="single" w:sz="4" w:space="0" w:color="auto"/>
            </w:tcBorders>
            <w:shd w:val="clear" w:color="000000" w:fill="D9D9D9"/>
            <w:noWrap/>
            <w:vAlign w:val="center"/>
            <w:hideMark/>
          </w:tcPr>
          <w:p w:rsidR="00EB539F" w:rsidRPr="002C25C6" w:rsidRDefault="00EB539F" w:rsidP="00826221">
            <w:pPr>
              <w:pStyle w:val="Tabletext"/>
              <w:rPr>
                <w:rFonts w:eastAsia="SimSun"/>
                <w:b/>
                <w:bCs/>
                <w:i/>
                <w:iCs/>
                <w:sz w:val="18"/>
                <w:szCs w:val="18"/>
                <w:lang w:val="ru-RU" w:eastAsia="zh-CN"/>
              </w:rPr>
            </w:pPr>
            <w:r w:rsidRPr="002C25C6">
              <w:rPr>
                <w:rFonts w:eastAsia="SimSun"/>
                <w:b/>
                <w:bCs/>
                <w:i/>
                <w:iCs/>
                <w:sz w:val="18"/>
                <w:szCs w:val="18"/>
                <w:lang w:val="ru-RU" w:eastAsia="zh-CN"/>
              </w:rPr>
              <w:t xml:space="preserve">Состав </w:t>
            </w:r>
            <w:proofErr w:type="spellStart"/>
            <w:r w:rsidRPr="002C25C6">
              <w:rPr>
                <w:rFonts w:eastAsia="SimSun"/>
                <w:b/>
                <w:bCs/>
                <w:i/>
                <w:iCs/>
                <w:sz w:val="18"/>
                <w:szCs w:val="18"/>
                <w:lang w:val="ru-RU" w:eastAsia="zh-CN"/>
              </w:rPr>
              <w:t>нетекущих</w:t>
            </w:r>
            <w:proofErr w:type="spellEnd"/>
            <w:r w:rsidRPr="002C25C6">
              <w:rPr>
                <w:rFonts w:eastAsia="SimSun"/>
                <w:b/>
                <w:bCs/>
                <w:i/>
                <w:iCs/>
                <w:sz w:val="18"/>
                <w:szCs w:val="18"/>
                <w:lang w:val="ru-RU" w:eastAsia="zh-CN"/>
              </w:rPr>
              <w:t xml:space="preserve"> пассивов</w:t>
            </w:r>
          </w:p>
        </w:tc>
        <w:tc>
          <w:tcPr>
            <w:tcW w:w="1417" w:type="dxa"/>
            <w:tcBorders>
              <w:top w:val="nil"/>
              <w:left w:val="nil"/>
              <w:bottom w:val="single" w:sz="4" w:space="0" w:color="auto"/>
              <w:right w:val="single" w:sz="4" w:space="0" w:color="auto"/>
            </w:tcBorders>
            <w:shd w:val="clear" w:color="000000" w:fill="D9D9D9"/>
            <w:noWrap/>
            <w:vAlign w:val="bottom"/>
            <w:hideMark/>
          </w:tcPr>
          <w:p w:rsidR="00EB539F" w:rsidRPr="002C25C6" w:rsidRDefault="00EB539F" w:rsidP="00826221">
            <w:pPr>
              <w:pStyle w:val="Tabletext"/>
              <w:ind w:right="284"/>
              <w:jc w:val="right"/>
              <w:rPr>
                <w:rFonts w:eastAsia="SimSun"/>
                <w:b/>
                <w:bCs/>
                <w:i/>
                <w:iCs/>
                <w:sz w:val="18"/>
                <w:szCs w:val="18"/>
                <w:lang w:val="ru-RU" w:eastAsia="zh-CN"/>
              </w:rPr>
            </w:pPr>
          </w:p>
        </w:tc>
        <w:tc>
          <w:tcPr>
            <w:tcW w:w="1418" w:type="dxa"/>
            <w:tcBorders>
              <w:top w:val="nil"/>
              <w:left w:val="nil"/>
              <w:bottom w:val="single" w:sz="4" w:space="0" w:color="auto"/>
              <w:right w:val="single" w:sz="4" w:space="0" w:color="auto"/>
            </w:tcBorders>
            <w:shd w:val="clear" w:color="000000" w:fill="D9D9D9"/>
            <w:noWrap/>
            <w:vAlign w:val="bottom"/>
            <w:hideMark/>
          </w:tcPr>
          <w:p w:rsidR="00EB539F" w:rsidRPr="002C25C6" w:rsidRDefault="00EB539F" w:rsidP="00826221">
            <w:pPr>
              <w:pStyle w:val="Tabletext"/>
              <w:ind w:right="284"/>
              <w:jc w:val="right"/>
              <w:rPr>
                <w:rFonts w:eastAsia="SimSun"/>
                <w:b/>
                <w:bCs/>
                <w:i/>
                <w:iCs/>
                <w:sz w:val="18"/>
                <w:szCs w:val="18"/>
                <w:lang w:val="ru-RU" w:eastAsia="zh-CN"/>
              </w:rPr>
            </w:pPr>
          </w:p>
        </w:tc>
        <w:tc>
          <w:tcPr>
            <w:tcW w:w="1271" w:type="dxa"/>
            <w:tcBorders>
              <w:top w:val="nil"/>
              <w:left w:val="nil"/>
              <w:bottom w:val="single" w:sz="4" w:space="0" w:color="auto"/>
              <w:right w:val="single" w:sz="4" w:space="0" w:color="auto"/>
            </w:tcBorders>
            <w:shd w:val="clear" w:color="000000" w:fill="D9D9D9"/>
            <w:noWrap/>
            <w:vAlign w:val="bottom"/>
            <w:hideMark/>
          </w:tcPr>
          <w:p w:rsidR="00EB539F" w:rsidRPr="002C25C6" w:rsidRDefault="00EB539F" w:rsidP="00826221">
            <w:pPr>
              <w:pStyle w:val="Tabletext"/>
              <w:ind w:right="284"/>
              <w:jc w:val="right"/>
              <w:rPr>
                <w:rFonts w:eastAsia="SimSun"/>
                <w:b/>
                <w:bCs/>
                <w:i/>
                <w:iCs/>
                <w:sz w:val="18"/>
                <w:szCs w:val="18"/>
                <w:lang w:val="ru-RU" w:eastAsia="zh-CN"/>
              </w:rPr>
            </w:pPr>
          </w:p>
        </w:tc>
        <w:tc>
          <w:tcPr>
            <w:tcW w:w="1272" w:type="dxa"/>
            <w:tcBorders>
              <w:top w:val="nil"/>
              <w:left w:val="nil"/>
              <w:bottom w:val="single" w:sz="4" w:space="0" w:color="auto"/>
              <w:right w:val="single" w:sz="4" w:space="0" w:color="auto"/>
            </w:tcBorders>
            <w:shd w:val="clear" w:color="000000" w:fill="D9D9D9"/>
            <w:noWrap/>
            <w:vAlign w:val="bottom"/>
            <w:hideMark/>
          </w:tcPr>
          <w:p w:rsidR="00EB539F" w:rsidRPr="002C25C6" w:rsidRDefault="00EB539F" w:rsidP="00826221">
            <w:pPr>
              <w:pStyle w:val="Tabletext"/>
              <w:ind w:right="284"/>
              <w:jc w:val="right"/>
              <w:rPr>
                <w:rFonts w:eastAsia="SimSun"/>
                <w:b/>
                <w:bCs/>
                <w:i/>
                <w:iCs/>
                <w:sz w:val="18"/>
                <w:szCs w:val="18"/>
                <w:lang w:val="ru-RU" w:eastAsia="zh-CN"/>
              </w:rPr>
            </w:pPr>
          </w:p>
        </w:tc>
      </w:tr>
      <w:tr w:rsidR="00EB539F" w:rsidRPr="002C25C6" w:rsidTr="002D5AFA">
        <w:tc>
          <w:tcPr>
            <w:tcW w:w="4248" w:type="dxa"/>
            <w:tcBorders>
              <w:top w:val="nil"/>
              <w:left w:val="single" w:sz="4" w:space="0" w:color="auto"/>
              <w:bottom w:val="single" w:sz="4" w:space="0" w:color="auto"/>
              <w:right w:val="single" w:sz="4" w:space="0" w:color="auto"/>
            </w:tcBorders>
            <w:shd w:val="clear" w:color="auto" w:fill="auto"/>
            <w:vAlign w:val="center"/>
            <w:hideMark/>
          </w:tcPr>
          <w:p w:rsidR="00EB539F" w:rsidRPr="002C25C6" w:rsidRDefault="00EB539F" w:rsidP="00826221">
            <w:pPr>
              <w:pStyle w:val="Tabletext"/>
              <w:rPr>
                <w:rFonts w:eastAsia="SimSun"/>
                <w:sz w:val="18"/>
                <w:szCs w:val="18"/>
                <w:lang w:val="ru-RU" w:eastAsia="zh-CN"/>
              </w:rPr>
            </w:pPr>
            <w:r w:rsidRPr="002C25C6">
              <w:rPr>
                <w:rFonts w:eastAsia="SimSun"/>
                <w:sz w:val="18"/>
                <w:szCs w:val="18"/>
                <w:lang w:val="ru-RU" w:eastAsia="zh-CN"/>
              </w:rPr>
              <w:t>План пособий после выхода на пенсию (АСХИ)</w:t>
            </w:r>
          </w:p>
        </w:tc>
        <w:tc>
          <w:tcPr>
            <w:tcW w:w="1417" w:type="dxa"/>
            <w:tcBorders>
              <w:top w:val="nil"/>
              <w:left w:val="nil"/>
              <w:bottom w:val="single" w:sz="4" w:space="0" w:color="auto"/>
              <w:right w:val="single" w:sz="4" w:space="0" w:color="auto"/>
            </w:tcBorders>
            <w:shd w:val="clear" w:color="auto" w:fill="auto"/>
            <w:noWrap/>
            <w:vAlign w:val="bottom"/>
            <w:hideMark/>
          </w:tcPr>
          <w:p w:rsidR="00EB539F" w:rsidRPr="002C25C6" w:rsidRDefault="0026021D" w:rsidP="00826221">
            <w:pPr>
              <w:pStyle w:val="Tabletext"/>
              <w:ind w:right="284"/>
              <w:jc w:val="right"/>
              <w:rPr>
                <w:rFonts w:eastAsia="SimSun"/>
                <w:sz w:val="18"/>
                <w:szCs w:val="18"/>
                <w:lang w:val="ru-RU" w:eastAsia="zh-CN"/>
              </w:rPr>
            </w:pPr>
            <w:r w:rsidRPr="002C25C6">
              <w:rPr>
                <w:rFonts w:eastAsia="SimSun"/>
                <w:sz w:val="18"/>
                <w:szCs w:val="18"/>
                <w:lang w:val="ru-RU" w:eastAsia="zh-CN"/>
              </w:rPr>
              <w:t>551 911</w:t>
            </w:r>
          </w:p>
        </w:tc>
        <w:tc>
          <w:tcPr>
            <w:tcW w:w="1418" w:type="dxa"/>
            <w:tcBorders>
              <w:top w:val="nil"/>
              <w:left w:val="nil"/>
              <w:bottom w:val="single" w:sz="4" w:space="0" w:color="auto"/>
              <w:right w:val="single" w:sz="4" w:space="0" w:color="auto"/>
            </w:tcBorders>
            <w:shd w:val="clear" w:color="auto" w:fill="auto"/>
            <w:noWrap/>
            <w:vAlign w:val="bottom"/>
            <w:hideMark/>
          </w:tcPr>
          <w:p w:rsidR="00EB539F" w:rsidRPr="002C25C6" w:rsidRDefault="002D5AFA" w:rsidP="00826221">
            <w:pPr>
              <w:pStyle w:val="Tabletext"/>
              <w:ind w:right="284"/>
              <w:jc w:val="right"/>
              <w:rPr>
                <w:rFonts w:eastAsia="SimSun"/>
                <w:sz w:val="18"/>
                <w:szCs w:val="18"/>
                <w:lang w:val="ru-RU" w:eastAsia="zh-CN"/>
              </w:rPr>
            </w:pPr>
            <w:r w:rsidRPr="002C25C6">
              <w:rPr>
                <w:rFonts w:eastAsia="SimSun"/>
                <w:sz w:val="18"/>
                <w:szCs w:val="18"/>
                <w:lang w:val="ru-RU" w:eastAsia="zh-CN"/>
              </w:rPr>
              <w:t>472 801</w:t>
            </w:r>
          </w:p>
        </w:tc>
        <w:tc>
          <w:tcPr>
            <w:tcW w:w="1271" w:type="dxa"/>
            <w:tcBorders>
              <w:top w:val="nil"/>
              <w:left w:val="nil"/>
              <w:bottom w:val="single" w:sz="4" w:space="0" w:color="auto"/>
              <w:right w:val="single" w:sz="4" w:space="0" w:color="auto"/>
            </w:tcBorders>
            <w:shd w:val="clear" w:color="auto" w:fill="auto"/>
            <w:noWrap/>
            <w:vAlign w:val="bottom"/>
          </w:tcPr>
          <w:p w:rsidR="00EB539F" w:rsidRPr="002C25C6" w:rsidRDefault="002D5AFA" w:rsidP="00826221">
            <w:pPr>
              <w:pStyle w:val="Tabletext"/>
              <w:ind w:right="284"/>
              <w:jc w:val="right"/>
              <w:rPr>
                <w:rFonts w:eastAsia="SimSun"/>
                <w:sz w:val="18"/>
                <w:szCs w:val="18"/>
                <w:lang w:val="ru-RU" w:eastAsia="zh-CN"/>
              </w:rPr>
            </w:pPr>
            <w:r w:rsidRPr="002C25C6">
              <w:rPr>
                <w:rFonts w:eastAsia="SimSun"/>
                <w:sz w:val="18"/>
                <w:szCs w:val="18"/>
                <w:lang w:val="ru-RU" w:eastAsia="zh-CN"/>
              </w:rPr>
              <w:t>79 110</w:t>
            </w:r>
          </w:p>
        </w:tc>
        <w:tc>
          <w:tcPr>
            <w:tcW w:w="1272" w:type="dxa"/>
            <w:tcBorders>
              <w:top w:val="nil"/>
              <w:left w:val="nil"/>
              <w:bottom w:val="single" w:sz="4" w:space="0" w:color="auto"/>
              <w:right w:val="single" w:sz="4" w:space="0" w:color="auto"/>
            </w:tcBorders>
            <w:shd w:val="clear" w:color="auto" w:fill="auto"/>
            <w:noWrap/>
            <w:vAlign w:val="bottom"/>
          </w:tcPr>
          <w:p w:rsidR="00EB539F" w:rsidRPr="002C25C6" w:rsidRDefault="002D5AFA" w:rsidP="00826221">
            <w:pPr>
              <w:pStyle w:val="Tabletext"/>
              <w:ind w:right="284"/>
              <w:jc w:val="right"/>
              <w:rPr>
                <w:rFonts w:eastAsia="SimSun"/>
                <w:sz w:val="18"/>
                <w:szCs w:val="18"/>
                <w:lang w:val="ru-RU" w:eastAsia="zh-CN"/>
              </w:rPr>
            </w:pPr>
            <w:r w:rsidRPr="002C25C6">
              <w:rPr>
                <w:rFonts w:eastAsia="SimSun"/>
                <w:sz w:val="18"/>
                <w:szCs w:val="18"/>
                <w:lang w:val="ru-RU" w:eastAsia="zh-CN"/>
              </w:rPr>
              <w:t>16,7%</w:t>
            </w:r>
          </w:p>
        </w:tc>
      </w:tr>
      <w:tr w:rsidR="00EB539F" w:rsidRPr="002C25C6" w:rsidTr="002D5AFA">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EB539F" w:rsidRPr="002C25C6" w:rsidRDefault="00EB539F" w:rsidP="00826221">
            <w:pPr>
              <w:pStyle w:val="Tabletext"/>
              <w:rPr>
                <w:rFonts w:eastAsia="SimSun"/>
                <w:sz w:val="18"/>
                <w:szCs w:val="18"/>
                <w:lang w:val="ru-RU" w:eastAsia="zh-CN"/>
              </w:rPr>
            </w:pPr>
            <w:r w:rsidRPr="002C25C6">
              <w:rPr>
                <w:rFonts w:eastAsia="SimSun"/>
                <w:sz w:val="18"/>
                <w:szCs w:val="18"/>
                <w:lang w:val="ru-RU" w:eastAsia="zh-CN"/>
              </w:rPr>
              <w:t>Пенсии</w:t>
            </w:r>
          </w:p>
        </w:tc>
        <w:tc>
          <w:tcPr>
            <w:tcW w:w="1417" w:type="dxa"/>
            <w:tcBorders>
              <w:top w:val="nil"/>
              <w:left w:val="nil"/>
              <w:bottom w:val="single" w:sz="4" w:space="0" w:color="auto"/>
              <w:right w:val="single" w:sz="4" w:space="0" w:color="auto"/>
            </w:tcBorders>
            <w:shd w:val="clear" w:color="auto" w:fill="auto"/>
            <w:noWrap/>
            <w:vAlign w:val="bottom"/>
            <w:hideMark/>
          </w:tcPr>
          <w:p w:rsidR="00EB539F" w:rsidRPr="002C25C6" w:rsidRDefault="0026021D" w:rsidP="00826221">
            <w:pPr>
              <w:pStyle w:val="Tabletext"/>
              <w:ind w:right="284"/>
              <w:jc w:val="right"/>
              <w:rPr>
                <w:rFonts w:eastAsia="SimSun"/>
                <w:sz w:val="18"/>
                <w:szCs w:val="18"/>
                <w:lang w:val="ru-RU" w:eastAsia="zh-CN"/>
              </w:rPr>
            </w:pPr>
            <w:r w:rsidRPr="002C25C6">
              <w:rPr>
                <w:rFonts w:eastAsia="SimSun"/>
                <w:sz w:val="18"/>
                <w:szCs w:val="18"/>
                <w:lang w:val="ru-RU" w:eastAsia="zh-CN"/>
              </w:rPr>
              <w:t>54</w:t>
            </w:r>
          </w:p>
        </w:tc>
        <w:tc>
          <w:tcPr>
            <w:tcW w:w="1418" w:type="dxa"/>
            <w:tcBorders>
              <w:top w:val="nil"/>
              <w:left w:val="nil"/>
              <w:bottom w:val="single" w:sz="4" w:space="0" w:color="auto"/>
              <w:right w:val="single" w:sz="4" w:space="0" w:color="auto"/>
            </w:tcBorders>
            <w:shd w:val="clear" w:color="auto" w:fill="auto"/>
            <w:noWrap/>
            <w:vAlign w:val="bottom"/>
            <w:hideMark/>
          </w:tcPr>
          <w:p w:rsidR="00EB539F" w:rsidRPr="002C25C6" w:rsidRDefault="00EB539F" w:rsidP="00826221">
            <w:pPr>
              <w:pStyle w:val="Tabletext"/>
              <w:ind w:right="284"/>
              <w:jc w:val="right"/>
              <w:rPr>
                <w:rFonts w:eastAsia="SimSun"/>
                <w:sz w:val="18"/>
                <w:szCs w:val="18"/>
                <w:lang w:val="ru-RU" w:eastAsia="zh-CN"/>
              </w:rPr>
            </w:pPr>
            <w:r w:rsidRPr="002C25C6">
              <w:rPr>
                <w:rFonts w:eastAsia="SimSun"/>
                <w:sz w:val="18"/>
                <w:szCs w:val="18"/>
                <w:lang w:val="ru-RU" w:eastAsia="zh-CN"/>
              </w:rPr>
              <w:t>90</w:t>
            </w:r>
          </w:p>
        </w:tc>
        <w:tc>
          <w:tcPr>
            <w:tcW w:w="1271" w:type="dxa"/>
            <w:tcBorders>
              <w:top w:val="nil"/>
              <w:left w:val="nil"/>
              <w:bottom w:val="single" w:sz="4" w:space="0" w:color="auto"/>
              <w:right w:val="single" w:sz="4" w:space="0" w:color="auto"/>
            </w:tcBorders>
            <w:shd w:val="clear" w:color="auto" w:fill="auto"/>
            <w:noWrap/>
            <w:vAlign w:val="bottom"/>
          </w:tcPr>
          <w:p w:rsidR="00EB539F" w:rsidRPr="002C25C6" w:rsidRDefault="002D5AFA" w:rsidP="00826221">
            <w:pPr>
              <w:pStyle w:val="Tabletext"/>
              <w:ind w:right="284"/>
              <w:jc w:val="right"/>
              <w:rPr>
                <w:rFonts w:eastAsia="SimSun"/>
                <w:sz w:val="18"/>
                <w:szCs w:val="18"/>
                <w:lang w:val="ru-RU" w:eastAsia="zh-CN"/>
              </w:rPr>
            </w:pPr>
            <w:r w:rsidRPr="002C25C6">
              <w:rPr>
                <w:rFonts w:eastAsia="SimSun"/>
                <w:sz w:val="18"/>
                <w:szCs w:val="18"/>
                <w:lang w:val="ru-RU" w:eastAsia="zh-CN"/>
              </w:rPr>
              <w:t>–36</w:t>
            </w:r>
          </w:p>
        </w:tc>
        <w:tc>
          <w:tcPr>
            <w:tcW w:w="1272" w:type="dxa"/>
            <w:tcBorders>
              <w:top w:val="nil"/>
              <w:left w:val="nil"/>
              <w:bottom w:val="single" w:sz="4" w:space="0" w:color="auto"/>
              <w:right w:val="single" w:sz="4" w:space="0" w:color="auto"/>
            </w:tcBorders>
            <w:shd w:val="clear" w:color="auto" w:fill="auto"/>
            <w:noWrap/>
            <w:vAlign w:val="bottom"/>
          </w:tcPr>
          <w:p w:rsidR="00EB539F" w:rsidRPr="002C25C6" w:rsidRDefault="002D5AFA" w:rsidP="00826221">
            <w:pPr>
              <w:pStyle w:val="Tabletext"/>
              <w:ind w:right="284"/>
              <w:jc w:val="right"/>
              <w:rPr>
                <w:rFonts w:eastAsia="SimSun"/>
                <w:sz w:val="18"/>
                <w:szCs w:val="18"/>
                <w:lang w:val="ru-RU" w:eastAsia="zh-CN"/>
              </w:rPr>
            </w:pPr>
            <w:r w:rsidRPr="002C25C6">
              <w:rPr>
                <w:rFonts w:eastAsia="SimSun"/>
                <w:sz w:val="18"/>
                <w:szCs w:val="18"/>
                <w:lang w:val="ru-RU" w:eastAsia="zh-CN"/>
              </w:rPr>
              <w:t>–40,0%</w:t>
            </w:r>
          </w:p>
        </w:tc>
      </w:tr>
      <w:tr w:rsidR="00EB539F" w:rsidRPr="002C25C6" w:rsidTr="002D5AFA">
        <w:tc>
          <w:tcPr>
            <w:tcW w:w="4248" w:type="dxa"/>
            <w:tcBorders>
              <w:top w:val="nil"/>
              <w:left w:val="single" w:sz="4" w:space="0" w:color="auto"/>
              <w:bottom w:val="single" w:sz="4" w:space="0" w:color="auto"/>
              <w:right w:val="single" w:sz="4" w:space="0" w:color="auto"/>
            </w:tcBorders>
            <w:shd w:val="clear" w:color="auto" w:fill="auto"/>
            <w:vAlign w:val="center"/>
            <w:hideMark/>
          </w:tcPr>
          <w:p w:rsidR="00EB539F" w:rsidRPr="002C25C6" w:rsidRDefault="00EB539F" w:rsidP="00832822">
            <w:pPr>
              <w:pStyle w:val="Tabletext"/>
              <w:rPr>
                <w:rFonts w:eastAsia="SimSun"/>
                <w:sz w:val="18"/>
                <w:szCs w:val="18"/>
                <w:lang w:val="ru-RU" w:eastAsia="zh-CN"/>
              </w:rPr>
            </w:pPr>
            <w:r w:rsidRPr="002C25C6">
              <w:rPr>
                <w:rFonts w:eastAsia="SimSun"/>
                <w:sz w:val="18"/>
                <w:szCs w:val="18"/>
                <w:lang w:val="ru-RU" w:eastAsia="zh-CN"/>
              </w:rPr>
              <w:t>Подъемн</w:t>
            </w:r>
            <w:r w:rsidR="00832822" w:rsidRPr="002C25C6">
              <w:rPr>
                <w:rFonts w:eastAsia="SimSun"/>
                <w:sz w:val="18"/>
                <w:szCs w:val="18"/>
                <w:lang w:val="ru-RU" w:eastAsia="zh-CN"/>
              </w:rPr>
              <w:t>ы</w:t>
            </w:r>
            <w:r w:rsidRPr="002C25C6">
              <w:rPr>
                <w:rFonts w:eastAsia="SimSun"/>
                <w:sz w:val="18"/>
                <w:szCs w:val="18"/>
                <w:lang w:val="ru-RU" w:eastAsia="zh-CN"/>
              </w:rPr>
              <w:t>е пособи</w:t>
            </w:r>
            <w:r w:rsidR="00832822" w:rsidRPr="002C25C6">
              <w:rPr>
                <w:rFonts w:eastAsia="SimSun"/>
                <w:sz w:val="18"/>
                <w:szCs w:val="18"/>
                <w:lang w:val="ru-RU" w:eastAsia="zh-CN"/>
              </w:rPr>
              <w:t>я</w:t>
            </w:r>
            <w:r w:rsidRPr="002C25C6">
              <w:rPr>
                <w:rFonts w:eastAsia="SimSun"/>
                <w:sz w:val="18"/>
                <w:szCs w:val="18"/>
                <w:lang w:val="ru-RU" w:eastAsia="zh-CN"/>
              </w:rPr>
              <w:t xml:space="preserve"> и субсиди</w:t>
            </w:r>
            <w:r w:rsidR="00832822" w:rsidRPr="002C25C6">
              <w:rPr>
                <w:rFonts w:eastAsia="SimSun"/>
                <w:sz w:val="18"/>
                <w:szCs w:val="18"/>
                <w:lang w:val="ru-RU" w:eastAsia="zh-CN"/>
              </w:rPr>
              <w:t>и</w:t>
            </w:r>
            <w:r w:rsidRPr="002C25C6">
              <w:rPr>
                <w:rFonts w:eastAsia="SimSun"/>
                <w:sz w:val="18"/>
                <w:szCs w:val="18"/>
                <w:lang w:val="ru-RU" w:eastAsia="zh-CN"/>
              </w:rPr>
              <w:t xml:space="preserve"> на репатриацию</w:t>
            </w:r>
          </w:p>
        </w:tc>
        <w:tc>
          <w:tcPr>
            <w:tcW w:w="1417" w:type="dxa"/>
            <w:tcBorders>
              <w:top w:val="nil"/>
              <w:left w:val="nil"/>
              <w:bottom w:val="single" w:sz="4" w:space="0" w:color="auto"/>
              <w:right w:val="single" w:sz="4" w:space="0" w:color="auto"/>
            </w:tcBorders>
            <w:shd w:val="clear" w:color="auto" w:fill="auto"/>
            <w:noWrap/>
            <w:vAlign w:val="bottom"/>
            <w:hideMark/>
          </w:tcPr>
          <w:p w:rsidR="00EB539F" w:rsidRPr="002C25C6" w:rsidRDefault="0026021D" w:rsidP="00826221">
            <w:pPr>
              <w:pStyle w:val="Tabletext"/>
              <w:ind w:right="284"/>
              <w:jc w:val="right"/>
              <w:rPr>
                <w:rFonts w:eastAsia="SimSun"/>
                <w:sz w:val="18"/>
                <w:szCs w:val="18"/>
                <w:lang w:val="ru-RU" w:eastAsia="zh-CN"/>
              </w:rPr>
            </w:pPr>
            <w:r w:rsidRPr="002C25C6">
              <w:rPr>
                <w:rFonts w:eastAsia="SimSun"/>
                <w:sz w:val="18"/>
                <w:szCs w:val="18"/>
                <w:lang w:val="ru-RU" w:eastAsia="zh-CN"/>
              </w:rPr>
              <w:t>14 667</w:t>
            </w:r>
          </w:p>
        </w:tc>
        <w:tc>
          <w:tcPr>
            <w:tcW w:w="1418" w:type="dxa"/>
            <w:tcBorders>
              <w:top w:val="nil"/>
              <w:left w:val="nil"/>
              <w:bottom w:val="single" w:sz="4" w:space="0" w:color="auto"/>
              <w:right w:val="single" w:sz="4" w:space="0" w:color="auto"/>
            </w:tcBorders>
            <w:shd w:val="clear" w:color="auto" w:fill="auto"/>
            <w:noWrap/>
            <w:vAlign w:val="bottom"/>
            <w:hideMark/>
          </w:tcPr>
          <w:p w:rsidR="00EB539F" w:rsidRPr="002C25C6" w:rsidRDefault="00EB539F" w:rsidP="002D5AFA">
            <w:pPr>
              <w:pStyle w:val="Tabletext"/>
              <w:ind w:right="284"/>
              <w:jc w:val="right"/>
              <w:rPr>
                <w:rFonts w:eastAsia="SimSun"/>
                <w:sz w:val="18"/>
                <w:szCs w:val="18"/>
                <w:lang w:val="ru-RU" w:eastAsia="zh-CN"/>
              </w:rPr>
            </w:pPr>
            <w:r w:rsidRPr="002C25C6">
              <w:rPr>
                <w:rFonts w:eastAsia="SimSun"/>
                <w:sz w:val="18"/>
                <w:szCs w:val="18"/>
                <w:lang w:val="ru-RU" w:eastAsia="zh-CN"/>
              </w:rPr>
              <w:t>12 </w:t>
            </w:r>
            <w:r w:rsidR="002D5AFA" w:rsidRPr="002C25C6">
              <w:rPr>
                <w:rFonts w:eastAsia="SimSun"/>
                <w:sz w:val="18"/>
                <w:szCs w:val="18"/>
                <w:lang w:val="ru-RU" w:eastAsia="zh-CN"/>
              </w:rPr>
              <w:t>925</w:t>
            </w:r>
          </w:p>
        </w:tc>
        <w:tc>
          <w:tcPr>
            <w:tcW w:w="1271" w:type="dxa"/>
            <w:tcBorders>
              <w:top w:val="nil"/>
              <w:left w:val="nil"/>
              <w:bottom w:val="single" w:sz="4" w:space="0" w:color="auto"/>
              <w:right w:val="single" w:sz="4" w:space="0" w:color="auto"/>
            </w:tcBorders>
            <w:shd w:val="clear" w:color="auto" w:fill="auto"/>
            <w:noWrap/>
            <w:vAlign w:val="bottom"/>
          </w:tcPr>
          <w:p w:rsidR="00EB539F" w:rsidRPr="002C25C6" w:rsidRDefault="002D5AFA" w:rsidP="00826221">
            <w:pPr>
              <w:pStyle w:val="Tabletext"/>
              <w:ind w:right="284"/>
              <w:jc w:val="right"/>
              <w:rPr>
                <w:rFonts w:eastAsia="SimSun"/>
                <w:sz w:val="18"/>
                <w:szCs w:val="18"/>
                <w:lang w:val="ru-RU" w:eastAsia="zh-CN"/>
              </w:rPr>
            </w:pPr>
            <w:r w:rsidRPr="002C25C6">
              <w:rPr>
                <w:rFonts w:eastAsia="SimSun"/>
                <w:sz w:val="18"/>
                <w:szCs w:val="18"/>
                <w:lang w:val="ru-RU" w:eastAsia="zh-CN"/>
              </w:rPr>
              <w:t>1 742</w:t>
            </w:r>
          </w:p>
        </w:tc>
        <w:tc>
          <w:tcPr>
            <w:tcW w:w="1272" w:type="dxa"/>
            <w:tcBorders>
              <w:top w:val="nil"/>
              <w:left w:val="nil"/>
              <w:bottom w:val="single" w:sz="4" w:space="0" w:color="auto"/>
              <w:right w:val="single" w:sz="4" w:space="0" w:color="auto"/>
            </w:tcBorders>
            <w:shd w:val="clear" w:color="auto" w:fill="auto"/>
            <w:noWrap/>
            <w:vAlign w:val="bottom"/>
          </w:tcPr>
          <w:p w:rsidR="00EB539F" w:rsidRPr="002C25C6" w:rsidRDefault="002D5AFA" w:rsidP="00826221">
            <w:pPr>
              <w:pStyle w:val="Tabletext"/>
              <w:ind w:right="284"/>
              <w:jc w:val="right"/>
              <w:rPr>
                <w:rFonts w:eastAsia="SimSun"/>
                <w:sz w:val="18"/>
                <w:szCs w:val="18"/>
                <w:lang w:val="ru-RU" w:eastAsia="zh-CN"/>
              </w:rPr>
            </w:pPr>
            <w:r w:rsidRPr="002C25C6">
              <w:rPr>
                <w:rFonts w:eastAsia="SimSun"/>
                <w:sz w:val="18"/>
                <w:szCs w:val="18"/>
                <w:lang w:val="ru-RU" w:eastAsia="zh-CN"/>
              </w:rPr>
              <w:t>13,5%</w:t>
            </w:r>
          </w:p>
        </w:tc>
      </w:tr>
      <w:tr w:rsidR="00EB539F" w:rsidRPr="002C25C6" w:rsidTr="002D5AFA">
        <w:tc>
          <w:tcPr>
            <w:tcW w:w="4248" w:type="dxa"/>
            <w:tcBorders>
              <w:top w:val="nil"/>
              <w:left w:val="single" w:sz="4" w:space="0" w:color="auto"/>
              <w:bottom w:val="single" w:sz="4" w:space="0" w:color="auto"/>
              <w:right w:val="single" w:sz="4" w:space="0" w:color="auto"/>
            </w:tcBorders>
            <w:shd w:val="clear" w:color="auto" w:fill="auto"/>
            <w:noWrap/>
            <w:vAlign w:val="center"/>
            <w:hideMark/>
          </w:tcPr>
          <w:p w:rsidR="00EB539F" w:rsidRPr="002C25C6" w:rsidRDefault="00EB539F" w:rsidP="00826221">
            <w:pPr>
              <w:pStyle w:val="Tabletext"/>
              <w:rPr>
                <w:rFonts w:eastAsia="SimSun"/>
                <w:sz w:val="18"/>
                <w:szCs w:val="18"/>
                <w:lang w:val="ru-RU" w:eastAsia="zh-CN"/>
              </w:rPr>
            </w:pPr>
            <w:r w:rsidRPr="002C25C6">
              <w:rPr>
                <w:rFonts w:eastAsia="SimSun"/>
                <w:sz w:val="18"/>
                <w:szCs w:val="18"/>
                <w:lang w:val="ru-RU" w:eastAsia="zh-CN"/>
              </w:rPr>
              <w:t>Накопленные дни отпуска</w:t>
            </w:r>
          </w:p>
        </w:tc>
        <w:tc>
          <w:tcPr>
            <w:tcW w:w="1417" w:type="dxa"/>
            <w:tcBorders>
              <w:top w:val="nil"/>
              <w:left w:val="nil"/>
              <w:bottom w:val="single" w:sz="4" w:space="0" w:color="auto"/>
              <w:right w:val="single" w:sz="4" w:space="0" w:color="auto"/>
            </w:tcBorders>
            <w:shd w:val="clear" w:color="auto" w:fill="auto"/>
            <w:noWrap/>
            <w:vAlign w:val="bottom"/>
            <w:hideMark/>
          </w:tcPr>
          <w:p w:rsidR="00EB539F" w:rsidRPr="002C25C6" w:rsidRDefault="0026021D" w:rsidP="00826221">
            <w:pPr>
              <w:pStyle w:val="Tabletext"/>
              <w:ind w:right="284"/>
              <w:jc w:val="right"/>
              <w:rPr>
                <w:rFonts w:eastAsia="SimSun"/>
                <w:sz w:val="18"/>
                <w:szCs w:val="18"/>
                <w:lang w:val="ru-RU" w:eastAsia="zh-CN"/>
              </w:rPr>
            </w:pPr>
            <w:r w:rsidRPr="002C25C6">
              <w:rPr>
                <w:rFonts w:eastAsia="SimSun"/>
                <w:sz w:val="18"/>
                <w:szCs w:val="18"/>
                <w:lang w:val="ru-RU" w:eastAsia="zh-CN"/>
              </w:rPr>
              <w:t>8 491</w:t>
            </w:r>
          </w:p>
        </w:tc>
        <w:tc>
          <w:tcPr>
            <w:tcW w:w="1418" w:type="dxa"/>
            <w:tcBorders>
              <w:top w:val="nil"/>
              <w:left w:val="nil"/>
              <w:bottom w:val="single" w:sz="4" w:space="0" w:color="auto"/>
              <w:right w:val="single" w:sz="4" w:space="0" w:color="auto"/>
            </w:tcBorders>
            <w:shd w:val="clear" w:color="auto" w:fill="auto"/>
            <w:noWrap/>
            <w:vAlign w:val="bottom"/>
            <w:hideMark/>
          </w:tcPr>
          <w:p w:rsidR="00EB539F" w:rsidRPr="002C25C6" w:rsidRDefault="00EB539F" w:rsidP="002D5AFA">
            <w:pPr>
              <w:pStyle w:val="Tabletext"/>
              <w:ind w:right="284"/>
              <w:jc w:val="right"/>
              <w:rPr>
                <w:rFonts w:eastAsia="SimSun"/>
                <w:sz w:val="18"/>
                <w:szCs w:val="18"/>
                <w:lang w:val="ru-RU" w:eastAsia="zh-CN"/>
              </w:rPr>
            </w:pPr>
            <w:r w:rsidRPr="002C25C6">
              <w:rPr>
                <w:rFonts w:eastAsia="SimSun"/>
                <w:sz w:val="18"/>
                <w:szCs w:val="18"/>
                <w:lang w:val="ru-RU" w:eastAsia="zh-CN"/>
              </w:rPr>
              <w:t>9 2</w:t>
            </w:r>
            <w:r w:rsidR="002D5AFA" w:rsidRPr="002C25C6">
              <w:rPr>
                <w:rFonts w:eastAsia="SimSun"/>
                <w:sz w:val="18"/>
                <w:szCs w:val="18"/>
                <w:lang w:val="ru-RU" w:eastAsia="zh-CN"/>
              </w:rPr>
              <w:t>09</w:t>
            </w:r>
          </w:p>
        </w:tc>
        <w:tc>
          <w:tcPr>
            <w:tcW w:w="1271" w:type="dxa"/>
            <w:tcBorders>
              <w:top w:val="nil"/>
              <w:left w:val="nil"/>
              <w:bottom w:val="single" w:sz="4" w:space="0" w:color="auto"/>
              <w:right w:val="single" w:sz="4" w:space="0" w:color="auto"/>
            </w:tcBorders>
            <w:shd w:val="clear" w:color="auto" w:fill="auto"/>
            <w:noWrap/>
            <w:vAlign w:val="bottom"/>
          </w:tcPr>
          <w:p w:rsidR="00EB539F" w:rsidRPr="002C25C6" w:rsidRDefault="002D5AFA" w:rsidP="00826221">
            <w:pPr>
              <w:pStyle w:val="Tabletext"/>
              <w:ind w:right="284"/>
              <w:jc w:val="right"/>
              <w:rPr>
                <w:rFonts w:eastAsia="SimSun"/>
                <w:sz w:val="18"/>
                <w:szCs w:val="18"/>
                <w:lang w:val="ru-RU" w:eastAsia="zh-CN"/>
              </w:rPr>
            </w:pPr>
            <w:r w:rsidRPr="002C25C6">
              <w:rPr>
                <w:rFonts w:eastAsia="SimSun"/>
                <w:sz w:val="18"/>
                <w:szCs w:val="18"/>
                <w:lang w:val="ru-RU" w:eastAsia="zh-CN"/>
              </w:rPr>
              <w:t>–718</w:t>
            </w:r>
          </w:p>
        </w:tc>
        <w:tc>
          <w:tcPr>
            <w:tcW w:w="1272" w:type="dxa"/>
            <w:tcBorders>
              <w:top w:val="nil"/>
              <w:left w:val="nil"/>
              <w:bottom w:val="single" w:sz="4" w:space="0" w:color="auto"/>
              <w:right w:val="single" w:sz="4" w:space="0" w:color="auto"/>
            </w:tcBorders>
            <w:shd w:val="clear" w:color="auto" w:fill="auto"/>
            <w:noWrap/>
            <w:vAlign w:val="bottom"/>
          </w:tcPr>
          <w:p w:rsidR="00EB539F" w:rsidRPr="002C25C6" w:rsidRDefault="002D5AFA" w:rsidP="00826221">
            <w:pPr>
              <w:pStyle w:val="Tabletext"/>
              <w:ind w:right="284"/>
              <w:jc w:val="right"/>
              <w:rPr>
                <w:rFonts w:eastAsia="SimSun"/>
                <w:sz w:val="18"/>
                <w:szCs w:val="18"/>
                <w:lang w:val="ru-RU" w:eastAsia="zh-CN"/>
              </w:rPr>
            </w:pPr>
            <w:r w:rsidRPr="002C25C6">
              <w:rPr>
                <w:rFonts w:eastAsia="SimSun"/>
                <w:sz w:val="18"/>
                <w:szCs w:val="18"/>
                <w:lang w:val="ru-RU" w:eastAsia="zh-CN"/>
              </w:rPr>
              <w:t>–7,8%</w:t>
            </w:r>
          </w:p>
        </w:tc>
      </w:tr>
      <w:tr w:rsidR="00EB539F" w:rsidRPr="002C25C6" w:rsidTr="00826221">
        <w:tc>
          <w:tcPr>
            <w:tcW w:w="4248" w:type="dxa"/>
            <w:tcBorders>
              <w:top w:val="nil"/>
              <w:left w:val="single" w:sz="4" w:space="0" w:color="auto"/>
              <w:bottom w:val="single" w:sz="4" w:space="0" w:color="auto"/>
              <w:right w:val="single" w:sz="4" w:space="0" w:color="auto"/>
            </w:tcBorders>
            <w:shd w:val="clear" w:color="000000" w:fill="DCE6F1"/>
            <w:noWrap/>
            <w:vAlign w:val="center"/>
            <w:hideMark/>
          </w:tcPr>
          <w:p w:rsidR="00EB539F" w:rsidRPr="002C25C6" w:rsidRDefault="00EB539F" w:rsidP="00826221">
            <w:pPr>
              <w:pStyle w:val="Tabletext"/>
              <w:rPr>
                <w:rFonts w:eastAsia="SimSun"/>
                <w:b/>
                <w:bCs/>
                <w:sz w:val="18"/>
                <w:szCs w:val="18"/>
                <w:lang w:val="ru-RU" w:eastAsia="zh-CN"/>
              </w:rPr>
            </w:pPr>
            <w:r w:rsidRPr="002C25C6">
              <w:rPr>
                <w:rFonts w:eastAsia="SimSun"/>
                <w:b/>
                <w:bCs/>
                <w:sz w:val="18"/>
                <w:szCs w:val="18"/>
                <w:lang w:val="ru-RU" w:eastAsia="zh-CN"/>
              </w:rPr>
              <w:t>Всего</w:t>
            </w:r>
          </w:p>
        </w:tc>
        <w:tc>
          <w:tcPr>
            <w:tcW w:w="1417" w:type="dxa"/>
            <w:tcBorders>
              <w:top w:val="nil"/>
              <w:left w:val="nil"/>
              <w:bottom w:val="single" w:sz="4" w:space="0" w:color="auto"/>
              <w:right w:val="single" w:sz="4" w:space="0" w:color="auto"/>
            </w:tcBorders>
            <w:shd w:val="clear" w:color="000000" w:fill="DCE6F1"/>
            <w:noWrap/>
            <w:vAlign w:val="bottom"/>
            <w:hideMark/>
          </w:tcPr>
          <w:p w:rsidR="00EB539F" w:rsidRPr="002C25C6" w:rsidRDefault="0026021D" w:rsidP="00826221">
            <w:pPr>
              <w:pStyle w:val="Tabletext"/>
              <w:ind w:right="284"/>
              <w:jc w:val="right"/>
              <w:rPr>
                <w:rFonts w:eastAsia="SimSun"/>
                <w:b/>
                <w:bCs/>
                <w:sz w:val="18"/>
                <w:szCs w:val="18"/>
                <w:lang w:val="ru-RU" w:eastAsia="zh-CN"/>
              </w:rPr>
            </w:pPr>
            <w:r w:rsidRPr="002C25C6">
              <w:rPr>
                <w:rFonts w:eastAsia="SimSun"/>
                <w:b/>
                <w:bCs/>
                <w:sz w:val="18"/>
                <w:szCs w:val="18"/>
                <w:lang w:val="ru-RU" w:eastAsia="zh-CN"/>
              </w:rPr>
              <w:t>575 123</w:t>
            </w:r>
          </w:p>
        </w:tc>
        <w:tc>
          <w:tcPr>
            <w:tcW w:w="1418" w:type="dxa"/>
            <w:tcBorders>
              <w:top w:val="nil"/>
              <w:left w:val="nil"/>
              <w:bottom w:val="single" w:sz="4" w:space="0" w:color="auto"/>
              <w:right w:val="single" w:sz="4" w:space="0" w:color="auto"/>
            </w:tcBorders>
            <w:shd w:val="clear" w:color="000000" w:fill="DCE6F1"/>
            <w:noWrap/>
            <w:vAlign w:val="bottom"/>
            <w:hideMark/>
          </w:tcPr>
          <w:p w:rsidR="00EB539F" w:rsidRPr="002C25C6" w:rsidRDefault="002D5AFA" w:rsidP="00826221">
            <w:pPr>
              <w:pStyle w:val="Tabletext"/>
              <w:ind w:right="284"/>
              <w:jc w:val="right"/>
              <w:rPr>
                <w:rFonts w:eastAsia="SimSun"/>
                <w:b/>
                <w:bCs/>
                <w:sz w:val="18"/>
                <w:szCs w:val="18"/>
                <w:lang w:val="ru-RU" w:eastAsia="zh-CN"/>
              </w:rPr>
            </w:pPr>
            <w:r w:rsidRPr="002C25C6">
              <w:rPr>
                <w:rFonts w:eastAsia="SimSun"/>
                <w:b/>
                <w:bCs/>
                <w:sz w:val="18"/>
                <w:szCs w:val="18"/>
                <w:lang w:val="ru-RU" w:eastAsia="zh-CN"/>
              </w:rPr>
              <w:t>495 025</w:t>
            </w:r>
          </w:p>
        </w:tc>
        <w:tc>
          <w:tcPr>
            <w:tcW w:w="1271" w:type="dxa"/>
            <w:tcBorders>
              <w:top w:val="nil"/>
              <w:left w:val="nil"/>
              <w:bottom w:val="single" w:sz="4" w:space="0" w:color="auto"/>
              <w:right w:val="single" w:sz="4" w:space="0" w:color="auto"/>
            </w:tcBorders>
            <w:shd w:val="clear" w:color="000000" w:fill="DCE6F1"/>
            <w:noWrap/>
            <w:vAlign w:val="bottom"/>
            <w:hideMark/>
          </w:tcPr>
          <w:p w:rsidR="00EB539F" w:rsidRPr="002C25C6" w:rsidRDefault="00EB539F" w:rsidP="00826221">
            <w:pPr>
              <w:pStyle w:val="Tabletext"/>
              <w:ind w:right="284"/>
              <w:jc w:val="right"/>
              <w:rPr>
                <w:rFonts w:eastAsia="SimSun"/>
                <w:b/>
                <w:bCs/>
                <w:sz w:val="18"/>
                <w:szCs w:val="18"/>
                <w:lang w:val="ru-RU" w:eastAsia="zh-CN"/>
              </w:rPr>
            </w:pPr>
          </w:p>
        </w:tc>
        <w:tc>
          <w:tcPr>
            <w:tcW w:w="1272" w:type="dxa"/>
            <w:tcBorders>
              <w:top w:val="nil"/>
              <w:left w:val="nil"/>
              <w:bottom w:val="single" w:sz="4" w:space="0" w:color="auto"/>
              <w:right w:val="single" w:sz="4" w:space="0" w:color="auto"/>
            </w:tcBorders>
            <w:shd w:val="clear" w:color="000000" w:fill="DCE6F1"/>
            <w:noWrap/>
            <w:vAlign w:val="bottom"/>
            <w:hideMark/>
          </w:tcPr>
          <w:p w:rsidR="00EB539F" w:rsidRPr="002C25C6" w:rsidRDefault="00EB539F" w:rsidP="00826221">
            <w:pPr>
              <w:pStyle w:val="Tabletext"/>
              <w:ind w:right="284"/>
              <w:jc w:val="right"/>
              <w:rPr>
                <w:rFonts w:eastAsia="SimSun"/>
                <w:b/>
                <w:bCs/>
                <w:sz w:val="18"/>
                <w:szCs w:val="18"/>
                <w:lang w:val="ru-RU" w:eastAsia="zh-CN"/>
              </w:rPr>
            </w:pPr>
          </w:p>
        </w:tc>
      </w:tr>
    </w:tbl>
    <w:p w:rsidR="00EB539F" w:rsidRPr="002C25C6" w:rsidRDefault="00EB539F" w:rsidP="00EB539F">
      <w:pPr>
        <w:pStyle w:val="Headingb"/>
        <w:rPr>
          <w:lang w:val="ru-RU"/>
        </w:rPr>
      </w:pPr>
      <w:bookmarkStart w:id="185" w:name="_Toc356330896"/>
      <w:bookmarkStart w:id="186" w:name="_Toc358192845"/>
      <w:bookmarkStart w:id="187" w:name="_Toc398125328"/>
      <w:bookmarkStart w:id="188" w:name="_Toc398125807"/>
      <w:bookmarkStart w:id="189" w:name="_Toc398127100"/>
      <w:bookmarkStart w:id="190" w:name="_Toc452157321"/>
      <w:bookmarkStart w:id="191" w:name="_Toc482995188"/>
      <w:r w:rsidRPr="002C25C6">
        <w:rPr>
          <w:lang w:val="ru-RU"/>
        </w:rPr>
        <w:t xml:space="preserve">Вознаграждение сотрудников, </w:t>
      </w:r>
      <w:bookmarkEnd w:id="185"/>
      <w:bookmarkEnd w:id="186"/>
      <w:bookmarkEnd w:id="187"/>
      <w:bookmarkEnd w:id="188"/>
      <w:bookmarkEnd w:id="189"/>
      <w:r w:rsidRPr="002C25C6">
        <w:rPr>
          <w:lang w:val="ru-RU"/>
        </w:rPr>
        <w:t>работающих на основе долгосрочных контрактов</w:t>
      </w:r>
      <w:bookmarkEnd w:id="190"/>
      <w:bookmarkEnd w:id="191"/>
    </w:p>
    <w:p w:rsidR="00EB539F" w:rsidRPr="002C25C6" w:rsidRDefault="00542A09" w:rsidP="005F4864">
      <w:pPr>
        <w:rPr>
          <w:lang w:val="ru-RU"/>
        </w:rPr>
      </w:pPr>
      <w:r w:rsidRPr="002C25C6">
        <w:rPr>
          <w:lang w:val="ru-RU"/>
        </w:rPr>
        <w:t>40</w:t>
      </w:r>
      <w:r w:rsidR="00EB539F" w:rsidRPr="002C25C6">
        <w:rPr>
          <w:lang w:val="ru-RU"/>
        </w:rPr>
        <w:tab/>
        <w:t>Как показано в приведенной выше таблице, в 201</w:t>
      </w:r>
      <w:r w:rsidR="00B335C9" w:rsidRPr="002C25C6">
        <w:rPr>
          <w:lang w:val="ru-RU"/>
        </w:rPr>
        <w:t>6</w:t>
      </w:r>
      <w:r w:rsidR="00EB539F" w:rsidRPr="002C25C6">
        <w:rPr>
          <w:lang w:val="ru-RU"/>
        </w:rPr>
        <w:t xml:space="preserve"> году сумма по подразделу "Нетекущие пассивы" (относящаяся к вознаграждению сотрудников, работающих на основе долгосрочных контрактов) составила </w:t>
      </w:r>
      <w:r w:rsidR="00B335C9" w:rsidRPr="002C25C6">
        <w:rPr>
          <w:lang w:val="ru-RU"/>
        </w:rPr>
        <w:t>575</w:t>
      </w:r>
      <w:r w:rsidR="00EB539F" w:rsidRPr="002C25C6">
        <w:rPr>
          <w:lang w:val="ru-RU"/>
        </w:rPr>
        <w:t>,</w:t>
      </w:r>
      <w:r w:rsidR="00B335C9" w:rsidRPr="002C25C6">
        <w:rPr>
          <w:lang w:val="ru-RU"/>
        </w:rPr>
        <w:t>1</w:t>
      </w:r>
      <w:r w:rsidR="00EB539F" w:rsidRPr="002C25C6">
        <w:rPr>
          <w:lang w:val="ru-RU"/>
        </w:rPr>
        <w:t xml:space="preserve"> млн. швейцарских франков, </w:t>
      </w:r>
      <w:r w:rsidR="005F4864" w:rsidRPr="002C25C6">
        <w:rPr>
          <w:lang w:val="ru-RU"/>
        </w:rPr>
        <w:t xml:space="preserve">увеличившись </w:t>
      </w:r>
      <w:r w:rsidR="00EB539F" w:rsidRPr="002C25C6">
        <w:rPr>
          <w:lang w:val="ru-RU"/>
        </w:rPr>
        <w:t xml:space="preserve">на </w:t>
      </w:r>
      <w:r w:rsidR="00B335C9" w:rsidRPr="002C25C6">
        <w:rPr>
          <w:lang w:val="ru-RU"/>
        </w:rPr>
        <w:t>80</w:t>
      </w:r>
      <w:r w:rsidR="00EB539F" w:rsidRPr="002C25C6">
        <w:rPr>
          <w:lang w:val="ru-RU"/>
        </w:rPr>
        <w:t>,</w:t>
      </w:r>
      <w:r w:rsidR="00B335C9" w:rsidRPr="002C25C6">
        <w:rPr>
          <w:lang w:val="ru-RU"/>
        </w:rPr>
        <w:t>1</w:t>
      </w:r>
      <w:r w:rsidR="00EB539F" w:rsidRPr="002C25C6">
        <w:rPr>
          <w:lang w:val="ru-RU"/>
        </w:rPr>
        <w:t> млн. швейцарских франков (</w:t>
      </w:r>
      <w:r w:rsidR="00B335C9" w:rsidRPr="002C25C6">
        <w:rPr>
          <w:lang w:val="ru-RU"/>
        </w:rPr>
        <w:t>+16,2</w:t>
      </w:r>
      <w:r w:rsidR="00EB539F" w:rsidRPr="002C25C6">
        <w:rPr>
          <w:lang w:val="ru-RU"/>
        </w:rPr>
        <w:t xml:space="preserve">%) по сравнению с </w:t>
      </w:r>
      <w:r w:rsidR="00B335C9" w:rsidRPr="002C25C6">
        <w:rPr>
          <w:lang w:val="ru-RU"/>
        </w:rPr>
        <w:t>495</w:t>
      </w:r>
      <w:r w:rsidR="00EB539F" w:rsidRPr="002C25C6">
        <w:rPr>
          <w:lang w:val="ru-RU"/>
        </w:rPr>
        <w:t>,</w:t>
      </w:r>
      <w:r w:rsidR="00B335C9" w:rsidRPr="002C25C6">
        <w:rPr>
          <w:lang w:val="ru-RU"/>
        </w:rPr>
        <w:t>0</w:t>
      </w:r>
      <w:r w:rsidR="00EB539F" w:rsidRPr="002C25C6">
        <w:rPr>
          <w:lang w:val="ru-RU"/>
        </w:rPr>
        <w:t> млн. швейцарских франков в 201</w:t>
      </w:r>
      <w:r w:rsidR="00B335C9" w:rsidRPr="002C25C6">
        <w:rPr>
          <w:lang w:val="ru-RU"/>
        </w:rPr>
        <w:t>5</w:t>
      </w:r>
      <w:r w:rsidR="00EB539F" w:rsidRPr="002C25C6">
        <w:rPr>
          <w:lang w:val="ru-RU"/>
        </w:rPr>
        <w:t> году. Это составило 8</w:t>
      </w:r>
      <w:r w:rsidR="00B335C9" w:rsidRPr="002C25C6">
        <w:rPr>
          <w:lang w:val="ru-RU"/>
        </w:rPr>
        <w:t>9</w:t>
      </w:r>
      <w:r w:rsidR="00EB539F" w:rsidRPr="002C25C6">
        <w:rPr>
          <w:lang w:val="ru-RU"/>
        </w:rPr>
        <w:t>,</w:t>
      </w:r>
      <w:r w:rsidR="00B335C9" w:rsidRPr="002C25C6">
        <w:rPr>
          <w:lang w:val="ru-RU"/>
        </w:rPr>
        <w:t>2</w:t>
      </w:r>
      <w:r w:rsidR="00EB539F" w:rsidRPr="002C25C6">
        <w:rPr>
          <w:lang w:val="ru-RU"/>
        </w:rPr>
        <w:t xml:space="preserve">% </w:t>
      </w:r>
      <w:r w:rsidR="00B335C9" w:rsidRPr="002C25C6">
        <w:rPr>
          <w:lang w:val="ru-RU"/>
        </w:rPr>
        <w:t xml:space="preserve">от общих </w:t>
      </w:r>
      <w:proofErr w:type="spellStart"/>
      <w:r w:rsidR="00B335C9" w:rsidRPr="002C25C6">
        <w:rPr>
          <w:lang w:val="ru-RU"/>
        </w:rPr>
        <w:t>нетекущих</w:t>
      </w:r>
      <w:proofErr w:type="spellEnd"/>
      <w:r w:rsidR="00B335C9" w:rsidRPr="002C25C6">
        <w:rPr>
          <w:lang w:val="ru-RU"/>
        </w:rPr>
        <w:t xml:space="preserve"> пассивов и 72</w:t>
      </w:r>
      <w:r w:rsidR="00EB539F" w:rsidRPr="002C25C6">
        <w:rPr>
          <w:lang w:val="ru-RU"/>
        </w:rPr>
        <w:t>,</w:t>
      </w:r>
      <w:r w:rsidR="00B335C9" w:rsidRPr="002C25C6">
        <w:rPr>
          <w:lang w:val="ru-RU"/>
        </w:rPr>
        <w:t>6</w:t>
      </w:r>
      <w:r w:rsidR="00EB539F" w:rsidRPr="002C25C6">
        <w:rPr>
          <w:lang w:val="ru-RU"/>
        </w:rPr>
        <w:t>% от общих пассивов. Данный раздел включает актуарные обязательства по пособиям, причитающимся после прекращения службы, которые связаны с планом медицинского страхования после прекращения службы (АСХИ) (</w:t>
      </w:r>
      <w:r w:rsidR="00B335C9" w:rsidRPr="002C25C6">
        <w:rPr>
          <w:lang w:val="ru-RU"/>
        </w:rPr>
        <w:t>551,9</w:t>
      </w:r>
      <w:r w:rsidR="00EB539F" w:rsidRPr="002C25C6">
        <w:rPr>
          <w:lang w:val="ru-RU"/>
        </w:rPr>
        <w:t xml:space="preserve"> млн. швейцарских франков; в 201</w:t>
      </w:r>
      <w:r w:rsidR="00B335C9" w:rsidRPr="002C25C6">
        <w:rPr>
          <w:lang w:val="ru-RU"/>
        </w:rPr>
        <w:t>5 году − 472,8</w:t>
      </w:r>
      <w:r w:rsidR="00EB539F" w:rsidRPr="002C25C6">
        <w:rPr>
          <w:lang w:val="ru-RU"/>
        </w:rPr>
        <w:t> млн. швейцарских франков), резервный фонд для оценочных обязательств по субсидиям на репатриацию (1</w:t>
      </w:r>
      <w:r w:rsidR="00B335C9" w:rsidRPr="002C25C6">
        <w:rPr>
          <w:lang w:val="ru-RU"/>
        </w:rPr>
        <w:t>4</w:t>
      </w:r>
      <w:r w:rsidR="00EB539F" w:rsidRPr="002C25C6">
        <w:rPr>
          <w:lang w:val="ru-RU"/>
        </w:rPr>
        <w:t>,</w:t>
      </w:r>
      <w:r w:rsidR="00B335C9" w:rsidRPr="002C25C6">
        <w:rPr>
          <w:lang w:val="ru-RU"/>
        </w:rPr>
        <w:t>7</w:t>
      </w:r>
      <w:r w:rsidR="00EB539F" w:rsidRPr="002C25C6">
        <w:rPr>
          <w:lang w:val="ru-RU"/>
        </w:rPr>
        <w:t> млн. швейцарских франков; в 201</w:t>
      </w:r>
      <w:r w:rsidR="00B335C9" w:rsidRPr="002C25C6">
        <w:rPr>
          <w:lang w:val="ru-RU"/>
        </w:rPr>
        <w:t>5</w:t>
      </w:r>
      <w:r w:rsidR="00EB539F" w:rsidRPr="002C25C6">
        <w:rPr>
          <w:lang w:val="ru-RU"/>
        </w:rPr>
        <w:t> году − 12,</w:t>
      </w:r>
      <w:r w:rsidR="00B335C9" w:rsidRPr="002C25C6">
        <w:rPr>
          <w:lang w:val="ru-RU"/>
        </w:rPr>
        <w:t>9</w:t>
      </w:r>
      <w:r w:rsidR="00EB539F" w:rsidRPr="002C25C6">
        <w:rPr>
          <w:lang w:val="ru-RU"/>
        </w:rPr>
        <w:t> млн. швейцарских франков) и резервный фонд для опла</w:t>
      </w:r>
      <w:r w:rsidR="00C374B5" w:rsidRPr="002C25C6">
        <w:rPr>
          <w:lang w:val="ru-RU"/>
        </w:rPr>
        <w:t>ты накопленных дней отпуска (8,5</w:t>
      </w:r>
      <w:r w:rsidR="00EB539F" w:rsidRPr="002C25C6">
        <w:rPr>
          <w:lang w:val="ru-RU"/>
        </w:rPr>
        <w:t> млн. швейцарских франков; в 201</w:t>
      </w:r>
      <w:r w:rsidR="00C374B5" w:rsidRPr="002C25C6">
        <w:rPr>
          <w:lang w:val="ru-RU"/>
        </w:rPr>
        <w:t>5</w:t>
      </w:r>
      <w:r w:rsidR="00EB539F" w:rsidRPr="002C25C6">
        <w:rPr>
          <w:lang w:val="ru-RU"/>
        </w:rPr>
        <w:t> году − 9,</w:t>
      </w:r>
      <w:r w:rsidR="00C374B5" w:rsidRPr="002C25C6">
        <w:rPr>
          <w:lang w:val="ru-RU"/>
        </w:rPr>
        <w:t>2</w:t>
      </w:r>
      <w:r w:rsidR="00EB539F" w:rsidRPr="002C25C6">
        <w:rPr>
          <w:lang w:val="ru-RU"/>
        </w:rPr>
        <w:t xml:space="preserve"> млн. швейцарских франков). Подробное описание и разбивка вознаграждения сотрудников </w:t>
      </w:r>
      <w:r w:rsidR="00955627" w:rsidRPr="002C25C6">
        <w:rPr>
          <w:lang w:val="ru-RU"/>
        </w:rPr>
        <w:t>показаны в Примечании 12</w:t>
      </w:r>
      <w:r w:rsidR="00EB539F" w:rsidRPr="002C25C6">
        <w:rPr>
          <w:lang w:val="ru-RU"/>
        </w:rPr>
        <w:t xml:space="preserve">.2 к Отчету о финансовой деятельности. </w:t>
      </w:r>
    </w:p>
    <w:p w:rsidR="00EB539F" w:rsidRPr="002C25C6" w:rsidRDefault="00EB539F" w:rsidP="00EB539F">
      <w:pPr>
        <w:pStyle w:val="Headingb"/>
        <w:rPr>
          <w:lang w:val="ru-RU"/>
        </w:rPr>
      </w:pPr>
      <w:bookmarkStart w:id="192" w:name="_Toc356330897"/>
      <w:bookmarkStart w:id="193" w:name="_Toc358192846"/>
      <w:bookmarkStart w:id="194" w:name="_Toc398125329"/>
      <w:bookmarkStart w:id="195" w:name="_Toc398125808"/>
      <w:bookmarkStart w:id="196" w:name="_Toc398127101"/>
      <w:bookmarkStart w:id="197" w:name="_Toc452157322"/>
      <w:bookmarkStart w:id="198" w:name="_Toc482995189"/>
      <w:r w:rsidRPr="002C25C6">
        <w:rPr>
          <w:lang w:val="ru-RU"/>
        </w:rPr>
        <w:t>Вознаграждение сотрудников: подъемные пособия и субсидии на репатриацию</w:t>
      </w:r>
      <w:bookmarkEnd w:id="192"/>
      <w:bookmarkEnd w:id="193"/>
      <w:bookmarkEnd w:id="194"/>
      <w:bookmarkEnd w:id="195"/>
      <w:bookmarkEnd w:id="196"/>
      <w:bookmarkEnd w:id="197"/>
      <w:bookmarkEnd w:id="198"/>
    </w:p>
    <w:p w:rsidR="00EB539F" w:rsidRPr="002C25C6" w:rsidRDefault="002F5709" w:rsidP="004B705F">
      <w:pPr>
        <w:rPr>
          <w:lang w:val="ru-RU"/>
        </w:rPr>
      </w:pPr>
      <w:r w:rsidRPr="002C25C6">
        <w:rPr>
          <w:lang w:val="ru-RU"/>
        </w:rPr>
        <w:t>4</w:t>
      </w:r>
      <w:r w:rsidR="00EB539F" w:rsidRPr="002C25C6">
        <w:rPr>
          <w:lang w:val="ru-RU"/>
        </w:rPr>
        <w:t>1</w:t>
      </w:r>
      <w:r w:rsidR="00EB539F" w:rsidRPr="002C25C6">
        <w:rPr>
          <w:lang w:val="ru-RU"/>
        </w:rPr>
        <w:tab/>
        <w:t>Как показано в предыдущем пункте, резервные фонды, учтенные по состоянию на 31 декабря 201</w:t>
      </w:r>
      <w:r w:rsidRPr="002C25C6">
        <w:rPr>
          <w:lang w:val="ru-RU"/>
        </w:rPr>
        <w:t>6</w:t>
      </w:r>
      <w:r w:rsidR="00EB539F" w:rsidRPr="002C25C6">
        <w:rPr>
          <w:lang w:val="ru-RU"/>
        </w:rPr>
        <w:t> года, для введения в должность и возвращения на родину сотрудников составили 1</w:t>
      </w:r>
      <w:r w:rsidRPr="002C25C6">
        <w:rPr>
          <w:lang w:val="ru-RU"/>
        </w:rPr>
        <w:t>4</w:t>
      </w:r>
      <w:r w:rsidR="00EB539F" w:rsidRPr="002C25C6">
        <w:rPr>
          <w:lang w:val="ru-RU"/>
        </w:rPr>
        <w:t>,</w:t>
      </w:r>
      <w:r w:rsidRPr="002C25C6">
        <w:rPr>
          <w:lang w:val="ru-RU"/>
        </w:rPr>
        <w:t>7</w:t>
      </w:r>
      <w:r w:rsidR="00EB539F" w:rsidRPr="002C25C6">
        <w:rPr>
          <w:lang w:val="ru-RU"/>
        </w:rPr>
        <w:t> млн. швейцарских франков (в 201</w:t>
      </w:r>
      <w:r w:rsidRPr="002C25C6">
        <w:rPr>
          <w:lang w:val="ru-RU"/>
        </w:rPr>
        <w:t>5</w:t>
      </w:r>
      <w:r w:rsidR="00EB539F" w:rsidRPr="002C25C6">
        <w:rPr>
          <w:lang w:val="ru-RU"/>
        </w:rPr>
        <w:t> г. − 12,</w:t>
      </w:r>
      <w:r w:rsidRPr="002C25C6">
        <w:rPr>
          <w:lang w:val="ru-RU"/>
        </w:rPr>
        <w:t>9</w:t>
      </w:r>
      <w:r w:rsidR="00EB539F" w:rsidRPr="002C25C6">
        <w:rPr>
          <w:lang w:val="ru-RU"/>
        </w:rPr>
        <w:t> млн. швейцарских франков) и рассчитывались в соответствии с актуарным исследованием, для проведения которого руководство привлекло актуария. Результаты исследования пре</w:t>
      </w:r>
      <w:r w:rsidRPr="002C25C6">
        <w:rPr>
          <w:lang w:val="ru-RU"/>
        </w:rPr>
        <w:t xml:space="preserve">дставлены в отчете </w:t>
      </w:r>
      <w:r w:rsidR="004B705F" w:rsidRPr="002C25C6">
        <w:rPr>
          <w:lang w:val="ru-RU"/>
        </w:rPr>
        <w:t>актуария за</w:t>
      </w:r>
      <w:r w:rsidRPr="002C25C6">
        <w:rPr>
          <w:lang w:val="ru-RU"/>
        </w:rPr>
        <w:t xml:space="preserve"> март</w:t>
      </w:r>
      <w:r w:rsidR="00EB539F" w:rsidRPr="002C25C6">
        <w:rPr>
          <w:lang w:val="ru-RU"/>
        </w:rPr>
        <w:t xml:space="preserve"> 201</w:t>
      </w:r>
      <w:r w:rsidRPr="002C25C6">
        <w:rPr>
          <w:lang w:val="ru-RU"/>
        </w:rPr>
        <w:t>7</w:t>
      </w:r>
      <w:r w:rsidR="00EB539F" w:rsidRPr="002C25C6">
        <w:rPr>
          <w:lang w:val="ru-RU"/>
        </w:rPr>
        <w:t xml:space="preserve"> года. </w:t>
      </w:r>
    </w:p>
    <w:p w:rsidR="00EB539F" w:rsidRPr="002C25C6" w:rsidRDefault="00EB539F" w:rsidP="00EB539F">
      <w:pPr>
        <w:pStyle w:val="Headingb"/>
        <w:rPr>
          <w:lang w:val="ru-RU"/>
        </w:rPr>
      </w:pPr>
      <w:bookmarkStart w:id="199" w:name="_Toc356330899"/>
      <w:bookmarkStart w:id="200" w:name="_Toc358192848"/>
      <w:bookmarkStart w:id="201" w:name="_Toc398125331"/>
      <w:bookmarkStart w:id="202" w:name="_Toc398125810"/>
      <w:bookmarkStart w:id="203" w:name="_Toc398127102"/>
      <w:bookmarkStart w:id="204" w:name="_Toc452157323"/>
      <w:bookmarkStart w:id="205" w:name="_Toc482995190"/>
      <w:r w:rsidRPr="002C25C6">
        <w:rPr>
          <w:lang w:val="ru-RU"/>
        </w:rPr>
        <w:t>Вознаграждение сотрудников: АСХИ</w:t>
      </w:r>
      <w:bookmarkEnd w:id="199"/>
      <w:bookmarkEnd w:id="200"/>
      <w:bookmarkEnd w:id="201"/>
      <w:bookmarkEnd w:id="202"/>
      <w:bookmarkEnd w:id="203"/>
      <w:bookmarkEnd w:id="204"/>
      <w:bookmarkEnd w:id="205"/>
    </w:p>
    <w:p w:rsidR="00EB539F" w:rsidRPr="002C25C6" w:rsidRDefault="008F6432" w:rsidP="00691D8E">
      <w:pPr>
        <w:rPr>
          <w:lang w:val="ru-RU"/>
        </w:rPr>
      </w:pPr>
      <w:r w:rsidRPr="002C25C6">
        <w:rPr>
          <w:lang w:val="ru-RU"/>
        </w:rPr>
        <w:t>4</w:t>
      </w:r>
      <w:r w:rsidR="00EB539F" w:rsidRPr="002C25C6">
        <w:rPr>
          <w:lang w:val="ru-RU"/>
        </w:rPr>
        <w:t>2</w:t>
      </w:r>
      <w:r w:rsidR="00EB539F" w:rsidRPr="002C25C6">
        <w:rPr>
          <w:lang w:val="ru-RU"/>
        </w:rPr>
        <w:tab/>
        <w:t>В 201</w:t>
      </w:r>
      <w:r w:rsidR="006B31F5" w:rsidRPr="002C25C6">
        <w:rPr>
          <w:lang w:val="ru-RU"/>
        </w:rPr>
        <w:t>6</w:t>
      </w:r>
      <w:r w:rsidR="00EB539F" w:rsidRPr="002C25C6">
        <w:rPr>
          <w:lang w:val="ru-RU"/>
        </w:rPr>
        <w:t xml:space="preserve"> году резервный фонд для актуарных обязательств в отношении плана АСХИ составил </w:t>
      </w:r>
      <w:r w:rsidR="006B31F5" w:rsidRPr="002C25C6">
        <w:rPr>
          <w:lang w:val="ru-RU"/>
        </w:rPr>
        <w:t>551</w:t>
      </w:r>
      <w:r w:rsidR="00EB539F" w:rsidRPr="002C25C6">
        <w:rPr>
          <w:lang w:val="ru-RU"/>
        </w:rPr>
        <w:t>,</w:t>
      </w:r>
      <w:r w:rsidR="006B31F5" w:rsidRPr="002C25C6">
        <w:rPr>
          <w:lang w:val="ru-RU"/>
        </w:rPr>
        <w:t>9</w:t>
      </w:r>
      <w:r w:rsidR="00EB539F" w:rsidRPr="002C25C6">
        <w:rPr>
          <w:lang w:val="ru-RU"/>
        </w:rPr>
        <w:t> млн. швейцарских франков, у</w:t>
      </w:r>
      <w:r w:rsidR="00507FB3" w:rsidRPr="002C25C6">
        <w:rPr>
          <w:lang w:val="ru-RU"/>
        </w:rPr>
        <w:t>величив</w:t>
      </w:r>
      <w:r w:rsidR="00EB539F" w:rsidRPr="002C25C6">
        <w:rPr>
          <w:lang w:val="ru-RU"/>
        </w:rPr>
        <w:t xml:space="preserve">шись на </w:t>
      </w:r>
      <w:r w:rsidR="004074BA" w:rsidRPr="002C25C6">
        <w:rPr>
          <w:lang w:val="ru-RU"/>
        </w:rPr>
        <w:t>79</w:t>
      </w:r>
      <w:r w:rsidR="00EB539F" w:rsidRPr="002C25C6">
        <w:rPr>
          <w:lang w:val="ru-RU"/>
        </w:rPr>
        <w:t>,</w:t>
      </w:r>
      <w:r w:rsidR="004074BA" w:rsidRPr="002C25C6">
        <w:rPr>
          <w:lang w:val="ru-RU"/>
        </w:rPr>
        <w:t>1</w:t>
      </w:r>
      <w:r w:rsidR="00EB539F" w:rsidRPr="002C25C6">
        <w:rPr>
          <w:lang w:val="ru-RU"/>
        </w:rPr>
        <w:t> млн. швейцарских франков (</w:t>
      </w:r>
      <w:r w:rsidR="004074BA" w:rsidRPr="002C25C6">
        <w:rPr>
          <w:lang w:val="ru-RU"/>
        </w:rPr>
        <w:t>+16,</w:t>
      </w:r>
      <w:r w:rsidR="00EB539F" w:rsidRPr="002C25C6">
        <w:rPr>
          <w:lang w:val="ru-RU"/>
        </w:rPr>
        <w:t xml:space="preserve">7%) по сравнению с </w:t>
      </w:r>
      <w:r w:rsidR="004074BA" w:rsidRPr="002C25C6">
        <w:rPr>
          <w:lang w:val="ru-RU"/>
        </w:rPr>
        <w:t>472</w:t>
      </w:r>
      <w:r w:rsidR="00EB539F" w:rsidRPr="002C25C6">
        <w:rPr>
          <w:lang w:val="ru-RU"/>
        </w:rPr>
        <w:t>,</w:t>
      </w:r>
      <w:r w:rsidR="004074BA" w:rsidRPr="002C25C6">
        <w:rPr>
          <w:lang w:val="ru-RU"/>
        </w:rPr>
        <w:t>8</w:t>
      </w:r>
      <w:r w:rsidR="00EB539F" w:rsidRPr="002C25C6">
        <w:rPr>
          <w:lang w:val="ru-RU"/>
        </w:rPr>
        <w:t> млн. швейцарских франков в 201</w:t>
      </w:r>
      <w:r w:rsidR="004074BA" w:rsidRPr="002C25C6">
        <w:rPr>
          <w:lang w:val="ru-RU"/>
        </w:rPr>
        <w:t>5</w:t>
      </w:r>
      <w:r w:rsidR="00EB539F" w:rsidRPr="002C25C6">
        <w:rPr>
          <w:lang w:val="ru-RU"/>
        </w:rPr>
        <w:t> году. Это у</w:t>
      </w:r>
      <w:r w:rsidR="00507FB3" w:rsidRPr="002C25C6">
        <w:rPr>
          <w:lang w:val="ru-RU"/>
        </w:rPr>
        <w:t>велич</w:t>
      </w:r>
      <w:r w:rsidR="00691D8E" w:rsidRPr="002C25C6">
        <w:rPr>
          <w:lang w:val="ru-RU"/>
        </w:rPr>
        <w:t>ение в основном обусловлено сниж</w:t>
      </w:r>
      <w:r w:rsidR="00EB539F" w:rsidRPr="002C25C6">
        <w:rPr>
          <w:lang w:val="ru-RU"/>
        </w:rPr>
        <w:t>ение</w:t>
      </w:r>
      <w:r w:rsidR="00507FB3" w:rsidRPr="002C25C6">
        <w:rPr>
          <w:lang w:val="ru-RU"/>
        </w:rPr>
        <w:t>м</w:t>
      </w:r>
      <w:r w:rsidR="00EB539F" w:rsidRPr="002C25C6">
        <w:rPr>
          <w:lang w:val="ru-RU"/>
        </w:rPr>
        <w:t xml:space="preserve"> ставки дисконтирования до </w:t>
      </w:r>
      <w:r w:rsidR="004074BA" w:rsidRPr="002C25C6">
        <w:rPr>
          <w:lang w:val="ru-RU"/>
        </w:rPr>
        <w:t>0</w:t>
      </w:r>
      <w:r w:rsidR="00EB539F" w:rsidRPr="002C25C6">
        <w:rPr>
          <w:lang w:val="ru-RU"/>
        </w:rPr>
        <w:t>,</w:t>
      </w:r>
      <w:r w:rsidR="004074BA" w:rsidRPr="002C25C6">
        <w:rPr>
          <w:lang w:val="ru-RU"/>
        </w:rPr>
        <w:t>9</w:t>
      </w:r>
      <w:r w:rsidR="00EB539F" w:rsidRPr="002C25C6">
        <w:rPr>
          <w:lang w:val="ru-RU"/>
        </w:rPr>
        <w:t>2% в 201</w:t>
      </w:r>
      <w:r w:rsidR="004074BA" w:rsidRPr="002C25C6">
        <w:rPr>
          <w:lang w:val="ru-RU"/>
        </w:rPr>
        <w:t>6</w:t>
      </w:r>
      <w:r w:rsidR="00EB539F" w:rsidRPr="002C25C6">
        <w:rPr>
          <w:lang w:val="ru-RU"/>
        </w:rPr>
        <w:t xml:space="preserve"> году с 1,</w:t>
      </w:r>
      <w:r w:rsidR="004074BA" w:rsidRPr="002C25C6">
        <w:rPr>
          <w:lang w:val="ru-RU"/>
        </w:rPr>
        <w:t>32</w:t>
      </w:r>
      <w:r w:rsidR="00EB539F" w:rsidRPr="002C25C6">
        <w:rPr>
          <w:lang w:val="ru-RU"/>
        </w:rPr>
        <w:t>% в 201</w:t>
      </w:r>
      <w:r w:rsidR="004074BA" w:rsidRPr="002C25C6">
        <w:rPr>
          <w:lang w:val="ru-RU"/>
        </w:rPr>
        <w:t>5</w:t>
      </w:r>
      <w:r w:rsidR="00EB539F" w:rsidRPr="002C25C6">
        <w:rPr>
          <w:lang w:val="ru-RU"/>
        </w:rPr>
        <w:t> году</w:t>
      </w:r>
      <w:r w:rsidR="00691D8E" w:rsidRPr="002C25C6">
        <w:rPr>
          <w:lang w:val="ru-RU"/>
        </w:rPr>
        <w:t xml:space="preserve"> и разницей между реальными и ожидаемыми результатами деятельности в текущем финансовом году</w:t>
      </w:r>
      <w:r w:rsidR="00EB539F" w:rsidRPr="002C25C6">
        <w:rPr>
          <w:lang w:val="ru-RU"/>
        </w:rPr>
        <w:t>. Данный расчет на основе актуарных допущений был выполнен актуарием.</w:t>
      </w:r>
    </w:p>
    <w:p w:rsidR="00EB539F" w:rsidRPr="002C25C6" w:rsidRDefault="00EB539F" w:rsidP="00EB539F">
      <w:pPr>
        <w:pStyle w:val="Headingb"/>
        <w:rPr>
          <w:lang w:val="ru-RU"/>
        </w:rPr>
      </w:pPr>
      <w:bookmarkStart w:id="206" w:name="_Toc452157324"/>
      <w:bookmarkStart w:id="207" w:name="_Toc482995191"/>
      <w:r w:rsidRPr="002C25C6">
        <w:rPr>
          <w:lang w:val="ru-RU"/>
        </w:rPr>
        <w:lastRenderedPageBreak/>
        <w:t>На отрицательное значение чистых активов влияют актуарные обязательства</w:t>
      </w:r>
      <w:bookmarkEnd w:id="206"/>
      <w:bookmarkEnd w:id="207"/>
    </w:p>
    <w:p w:rsidR="00EB539F" w:rsidRPr="002C25C6" w:rsidRDefault="00F555F2" w:rsidP="00446E57">
      <w:pPr>
        <w:rPr>
          <w:lang w:val="ru-RU"/>
        </w:rPr>
      </w:pPr>
      <w:r w:rsidRPr="002C25C6">
        <w:rPr>
          <w:lang w:val="ru-RU"/>
        </w:rPr>
        <w:t>4</w:t>
      </w:r>
      <w:r w:rsidR="00EB539F" w:rsidRPr="002C25C6">
        <w:rPr>
          <w:lang w:val="ru-RU"/>
        </w:rPr>
        <w:t>3</w:t>
      </w:r>
      <w:r w:rsidR="00EB539F" w:rsidRPr="002C25C6">
        <w:rPr>
          <w:lang w:val="ru-RU"/>
        </w:rPr>
        <w:tab/>
        <w:t>Значительная величина актуарных потерь АСХИ (</w:t>
      </w:r>
      <w:r w:rsidR="00446E57" w:rsidRPr="002C25C6">
        <w:rPr>
          <w:lang w:val="ru-RU"/>
        </w:rPr>
        <w:t>322</w:t>
      </w:r>
      <w:r w:rsidR="00EB539F" w:rsidRPr="002C25C6">
        <w:rPr>
          <w:lang w:val="ru-RU"/>
        </w:rPr>
        <w:t>,</w:t>
      </w:r>
      <w:r w:rsidR="00446E57" w:rsidRPr="002C25C6">
        <w:rPr>
          <w:lang w:val="ru-RU"/>
        </w:rPr>
        <w:t>6</w:t>
      </w:r>
      <w:r w:rsidR="00EB539F" w:rsidRPr="002C25C6">
        <w:rPr>
          <w:lang w:val="ru-RU"/>
        </w:rPr>
        <w:t> млн. швейцарских франков) оказывает существенное воздействие на чистые активы МСЭ, и по этой причине, как и в прошлые годы, часть нашей аудиторской проверки мы посвятили вопросам правильности и надежности сумм раздела "Вознаграждение сотрудников".</w:t>
      </w:r>
    </w:p>
    <w:p w:rsidR="00EB539F" w:rsidRPr="002C25C6" w:rsidRDefault="00E2649F" w:rsidP="00EB539F">
      <w:pPr>
        <w:rPr>
          <w:lang w:val="ru-RU"/>
        </w:rPr>
      </w:pPr>
      <w:r w:rsidRPr="002C25C6">
        <w:rPr>
          <w:lang w:val="ru-RU"/>
        </w:rPr>
        <w:t>4</w:t>
      </w:r>
      <w:r w:rsidR="00EB539F" w:rsidRPr="002C25C6">
        <w:rPr>
          <w:lang w:val="ru-RU"/>
        </w:rPr>
        <w:t>4</w:t>
      </w:r>
      <w:r w:rsidR="00EB539F" w:rsidRPr="002C25C6">
        <w:rPr>
          <w:lang w:val="ru-RU"/>
        </w:rPr>
        <w:tab/>
        <w:t xml:space="preserve">Выбор актуарных допущений является исключительной ответственностью руководства. Внешний аудитор проверяет их правдоподобие и их соответствие стандарту IPSAS 25 и допущениям, использовавшимся в предыдущем году, а также подтверждает их правильность. </w:t>
      </w:r>
    </w:p>
    <w:p w:rsidR="005C3CEB" w:rsidRPr="002C25C6" w:rsidRDefault="009E185A" w:rsidP="0022204D">
      <w:pPr>
        <w:rPr>
          <w:lang w:val="ru-RU"/>
        </w:rPr>
      </w:pPr>
      <w:r w:rsidRPr="002C25C6">
        <w:rPr>
          <w:lang w:val="ru-RU"/>
        </w:rPr>
        <w:t>4</w:t>
      </w:r>
      <w:r w:rsidR="00EB539F" w:rsidRPr="002C25C6">
        <w:rPr>
          <w:lang w:val="ru-RU"/>
        </w:rPr>
        <w:t>5</w:t>
      </w:r>
      <w:r w:rsidR="00EB539F" w:rsidRPr="002C25C6">
        <w:rPr>
          <w:lang w:val="ru-RU"/>
        </w:rPr>
        <w:tab/>
        <w:t xml:space="preserve">Как и в </w:t>
      </w:r>
      <w:r w:rsidR="0022204D" w:rsidRPr="002C25C6">
        <w:rPr>
          <w:lang w:val="ru-RU"/>
        </w:rPr>
        <w:t>предыдущие</w:t>
      </w:r>
      <w:r w:rsidR="00EB539F" w:rsidRPr="002C25C6">
        <w:rPr>
          <w:lang w:val="ru-RU"/>
        </w:rPr>
        <w:t xml:space="preserve"> год</w:t>
      </w:r>
      <w:r w:rsidR="0022204D" w:rsidRPr="002C25C6">
        <w:rPr>
          <w:lang w:val="ru-RU"/>
        </w:rPr>
        <w:t>ы</w:t>
      </w:r>
      <w:r w:rsidR="00EB539F" w:rsidRPr="002C25C6">
        <w:rPr>
          <w:lang w:val="ru-RU"/>
        </w:rPr>
        <w:t>, по этому конкретному вопросу мы подключили группу актуариев, занимающихся общественным сектором, которые являются экспертами по социальным выплатам. Они выполнили анализ ключевых допущений, относящихся к 201</w:t>
      </w:r>
      <w:r w:rsidR="00AF2CA4" w:rsidRPr="002C25C6">
        <w:rPr>
          <w:lang w:val="ru-RU"/>
        </w:rPr>
        <w:t>6</w:t>
      </w:r>
      <w:r w:rsidR="00EB539F" w:rsidRPr="002C25C6">
        <w:rPr>
          <w:lang w:val="ru-RU"/>
        </w:rPr>
        <w:t xml:space="preserve"> году, которые были должным образом обсуждены с руководством. Мы установили, что эти допущения соответствуют экономическим тенденциям и ставкам, а также согласуются с данными, имевшимися в МСЭ на момент проведения нами аудита, и мы подтвердили их правильность.</w:t>
      </w:r>
      <w:r w:rsidR="005C3CEB" w:rsidRPr="002C25C6">
        <w:rPr>
          <w:lang w:val="ru-RU"/>
        </w:rPr>
        <w:t xml:space="preserve"> </w:t>
      </w:r>
    </w:p>
    <w:p w:rsidR="00EB539F" w:rsidRPr="002C25C6" w:rsidRDefault="003A2955" w:rsidP="0022204D">
      <w:pPr>
        <w:rPr>
          <w:lang w:val="ru-RU"/>
        </w:rPr>
      </w:pPr>
      <w:r w:rsidRPr="002C25C6">
        <w:rPr>
          <w:lang w:val="ru-RU"/>
        </w:rPr>
        <w:t>46</w:t>
      </w:r>
      <w:r w:rsidRPr="002C25C6">
        <w:rPr>
          <w:lang w:val="ru-RU"/>
        </w:rPr>
        <w:tab/>
      </w:r>
      <w:r w:rsidR="00EB539F" w:rsidRPr="002C25C6">
        <w:rPr>
          <w:lang w:val="ru-RU"/>
        </w:rPr>
        <w:t>Для проведения своего аудита наши актуарии пересчитали оценки, подготовленные актуари</w:t>
      </w:r>
      <w:r w:rsidR="0022204D" w:rsidRPr="002C25C6">
        <w:rPr>
          <w:lang w:val="ru-RU"/>
        </w:rPr>
        <w:t>ем</w:t>
      </w:r>
      <w:r w:rsidR="00EB539F" w:rsidRPr="002C25C6">
        <w:rPr>
          <w:lang w:val="ru-RU"/>
        </w:rPr>
        <w:t xml:space="preserve"> (</w:t>
      </w:r>
      <w:proofErr w:type="spellStart"/>
      <w:r w:rsidR="00EB539F" w:rsidRPr="002C25C6">
        <w:rPr>
          <w:lang w:val="ru-RU"/>
        </w:rPr>
        <w:t>AON</w:t>
      </w:r>
      <w:proofErr w:type="spellEnd"/>
      <w:r w:rsidR="000D1F13" w:rsidRPr="002C25C6">
        <w:rPr>
          <w:lang w:val="ru-RU"/>
        </w:rPr>
        <w:t xml:space="preserve"> </w:t>
      </w:r>
      <w:proofErr w:type="spellStart"/>
      <w:r w:rsidR="000D1F13" w:rsidRPr="002C25C6">
        <w:rPr>
          <w:lang w:val="ru-RU"/>
        </w:rPr>
        <w:t>Hewitt</w:t>
      </w:r>
      <w:proofErr w:type="spellEnd"/>
      <w:r w:rsidR="000D1F13" w:rsidRPr="002C25C6">
        <w:rPr>
          <w:lang w:val="ru-RU"/>
        </w:rPr>
        <w:t xml:space="preserve"> </w:t>
      </w:r>
      <w:proofErr w:type="spellStart"/>
      <w:r w:rsidR="000D1F13" w:rsidRPr="002C25C6">
        <w:rPr>
          <w:lang w:val="ru-RU"/>
        </w:rPr>
        <w:t>Consulting</w:t>
      </w:r>
      <w:proofErr w:type="spellEnd"/>
      <w:r w:rsidR="00EB539F" w:rsidRPr="002C25C6">
        <w:rPr>
          <w:lang w:val="ru-RU"/>
        </w:rPr>
        <w:t>), отобранным МСЭ; кроме того, они провели углубленный анализ всех актуарных оценок и допущений, чтобы рассмотреть их правдоподобие и использованные алгоритмы. Руководство и актуари</w:t>
      </w:r>
      <w:r w:rsidR="0022204D" w:rsidRPr="002C25C6">
        <w:rPr>
          <w:lang w:val="ru-RU"/>
        </w:rPr>
        <w:t>й</w:t>
      </w:r>
      <w:r w:rsidR="00EB539F" w:rsidRPr="002C25C6">
        <w:rPr>
          <w:lang w:val="ru-RU"/>
        </w:rPr>
        <w:t xml:space="preserve"> </w:t>
      </w:r>
      <w:r w:rsidR="0022204D" w:rsidRPr="002C25C6">
        <w:rPr>
          <w:lang w:val="ru-RU"/>
        </w:rPr>
        <w:t>в полной мере взаимодействовали и сотрудничали при осуществлении этого анализа</w:t>
      </w:r>
      <w:r w:rsidR="00EB539F" w:rsidRPr="002C25C6">
        <w:rPr>
          <w:lang w:val="ru-RU"/>
        </w:rPr>
        <w:t>.</w:t>
      </w:r>
      <w:r w:rsidR="0016572B" w:rsidRPr="002C25C6">
        <w:rPr>
          <w:lang w:val="ru-RU"/>
        </w:rPr>
        <w:t xml:space="preserve"> </w:t>
      </w:r>
      <w:r w:rsidR="00272A95" w:rsidRPr="002C25C6">
        <w:rPr>
          <w:lang w:val="ru-RU"/>
        </w:rPr>
        <w:t>Работа,</w:t>
      </w:r>
      <w:r w:rsidR="0016572B" w:rsidRPr="002C25C6">
        <w:rPr>
          <w:lang w:val="ru-RU"/>
        </w:rPr>
        <w:t xml:space="preserve"> проведенная нашими актуариями, подтвердила, что суммы, зафиксированные на счетах, были по существу правильными.</w:t>
      </w:r>
    </w:p>
    <w:p w:rsidR="003A6F14" w:rsidRPr="002C25C6" w:rsidRDefault="003A2955" w:rsidP="002B61F2">
      <w:pPr>
        <w:rPr>
          <w:lang w:val="ru-RU"/>
        </w:rPr>
      </w:pPr>
      <w:r w:rsidRPr="002C25C6">
        <w:rPr>
          <w:lang w:val="ru-RU"/>
        </w:rPr>
        <w:t>47</w:t>
      </w:r>
      <w:r w:rsidRPr="002C25C6">
        <w:rPr>
          <w:lang w:val="ru-RU"/>
        </w:rPr>
        <w:tab/>
      </w:r>
      <w:r w:rsidR="00EB539F" w:rsidRPr="002C25C6">
        <w:rPr>
          <w:lang w:val="ru-RU"/>
        </w:rPr>
        <w:t xml:space="preserve">Мы отмечаем, что в соответствии с </w:t>
      </w:r>
      <w:r w:rsidR="002B61F2" w:rsidRPr="002C25C6">
        <w:rPr>
          <w:lang w:val="ru-RU"/>
        </w:rPr>
        <w:t>рекомендацией</w:t>
      </w:r>
      <w:r w:rsidR="00EB539F" w:rsidRPr="002C25C6">
        <w:rPr>
          <w:lang w:val="ru-RU"/>
        </w:rPr>
        <w:t xml:space="preserve"> </w:t>
      </w:r>
      <w:r w:rsidR="00031D2D" w:rsidRPr="002C25C6">
        <w:rPr>
          <w:lang w:val="ru-RU"/>
        </w:rPr>
        <w:t>3</w:t>
      </w:r>
      <w:r w:rsidR="00EB539F" w:rsidRPr="002C25C6">
        <w:rPr>
          <w:lang w:val="ru-RU"/>
        </w:rPr>
        <w:t>, представленн</w:t>
      </w:r>
      <w:r w:rsidR="002B61F2" w:rsidRPr="002C25C6">
        <w:rPr>
          <w:lang w:val="ru-RU"/>
        </w:rPr>
        <w:t>ой</w:t>
      </w:r>
      <w:r w:rsidR="00EB539F" w:rsidRPr="002C25C6">
        <w:rPr>
          <w:lang w:val="ru-RU"/>
        </w:rPr>
        <w:t xml:space="preserve"> в нашем отчете относительно финансовой отчетности за 2014 год, </w:t>
      </w:r>
      <w:bookmarkStart w:id="208" w:name="_Toc452157326"/>
      <w:r w:rsidR="002B61F2" w:rsidRPr="002C25C6">
        <w:rPr>
          <w:lang w:val="ru-RU"/>
        </w:rPr>
        <w:t>руководство в</w:t>
      </w:r>
      <w:r w:rsidR="003A6F14" w:rsidRPr="002C25C6">
        <w:rPr>
          <w:lang w:val="ru-RU"/>
        </w:rPr>
        <w:t xml:space="preserve"> 2016</w:t>
      </w:r>
      <w:r w:rsidR="002B61F2" w:rsidRPr="002C25C6">
        <w:rPr>
          <w:lang w:val="ru-RU"/>
        </w:rPr>
        <w:t xml:space="preserve"> году объявило конкурс для выбора нового актуария, чтобы провести полное актуарное исследование, а также ежегодную оценку в соответствии со стандартом</w:t>
      </w:r>
      <w:r w:rsidR="003A6F14" w:rsidRPr="002C25C6">
        <w:rPr>
          <w:lang w:val="ru-RU"/>
        </w:rPr>
        <w:t xml:space="preserve"> IPSAS 25.</w:t>
      </w:r>
      <w:r w:rsidR="002B61F2" w:rsidRPr="002C25C6">
        <w:rPr>
          <w:lang w:val="ru-RU"/>
        </w:rPr>
        <w:t xml:space="preserve"> Избранным актуарием стала компания</w:t>
      </w:r>
      <w:r w:rsidR="003A6F14" w:rsidRPr="002C25C6">
        <w:rPr>
          <w:lang w:val="ru-RU"/>
        </w:rPr>
        <w:t xml:space="preserve"> </w:t>
      </w:r>
      <w:proofErr w:type="spellStart"/>
      <w:r w:rsidR="003A6F14" w:rsidRPr="002C25C6">
        <w:rPr>
          <w:lang w:val="ru-RU"/>
        </w:rPr>
        <w:t>AON</w:t>
      </w:r>
      <w:proofErr w:type="spellEnd"/>
      <w:r w:rsidR="003A6F14" w:rsidRPr="002C25C6">
        <w:rPr>
          <w:lang w:val="ru-RU"/>
        </w:rPr>
        <w:t xml:space="preserve"> </w:t>
      </w:r>
      <w:proofErr w:type="spellStart"/>
      <w:r w:rsidR="003A6F14" w:rsidRPr="002C25C6">
        <w:rPr>
          <w:lang w:val="ru-RU"/>
        </w:rPr>
        <w:t>Hewitt</w:t>
      </w:r>
      <w:proofErr w:type="spellEnd"/>
      <w:r w:rsidR="003A6F14" w:rsidRPr="002C25C6">
        <w:rPr>
          <w:lang w:val="ru-RU"/>
        </w:rPr>
        <w:t xml:space="preserve"> </w:t>
      </w:r>
      <w:proofErr w:type="spellStart"/>
      <w:r w:rsidR="003A6F14" w:rsidRPr="002C25C6">
        <w:rPr>
          <w:lang w:val="ru-RU"/>
        </w:rPr>
        <w:t>Consulting</w:t>
      </w:r>
      <w:proofErr w:type="spellEnd"/>
      <w:r w:rsidR="003A6F14" w:rsidRPr="002C25C6">
        <w:rPr>
          <w:lang w:val="ru-RU"/>
        </w:rPr>
        <w:t>.</w:t>
      </w:r>
    </w:p>
    <w:p w:rsidR="00F3336C" w:rsidRPr="002C25C6" w:rsidRDefault="000A74D5" w:rsidP="000A74D5">
      <w:pPr>
        <w:rPr>
          <w:b/>
          <w:bCs/>
          <w:lang w:val="ru-RU"/>
        </w:rPr>
      </w:pPr>
      <w:r w:rsidRPr="002C25C6">
        <w:rPr>
          <w:b/>
          <w:bCs/>
          <w:lang w:val="ru-RU"/>
        </w:rPr>
        <w:t xml:space="preserve">Должно быть </w:t>
      </w:r>
      <w:r w:rsidR="00F3336C" w:rsidRPr="002C25C6">
        <w:rPr>
          <w:b/>
          <w:bCs/>
          <w:lang w:val="ru-RU"/>
        </w:rPr>
        <w:t>прове</w:t>
      </w:r>
      <w:r w:rsidRPr="002C25C6">
        <w:rPr>
          <w:b/>
          <w:bCs/>
          <w:lang w:val="ru-RU"/>
        </w:rPr>
        <w:t>дено</w:t>
      </w:r>
      <w:r w:rsidR="00F3336C" w:rsidRPr="002C25C6">
        <w:rPr>
          <w:b/>
          <w:bCs/>
          <w:lang w:val="ru-RU"/>
        </w:rPr>
        <w:t xml:space="preserve"> полное актуарное исследование</w:t>
      </w:r>
      <w:bookmarkEnd w:id="208"/>
    </w:p>
    <w:p w:rsidR="00F3336C" w:rsidRPr="002C25C6" w:rsidRDefault="00DE5FE7" w:rsidP="00C8442F">
      <w:pPr>
        <w:rPr>
          <w:lang w:val="ru-RU"/>
        </w:rPr>
      </w:pPr>
      <w:r w:rsidRPr="002C25C6">
        <w:rPr>
          <w:lang w:val="ru-RU"/>
        </w:rPr>
        <w:t>48</w:t>
      </w:r>
      <w:r w:rsidR="00F3336C" w:rsidRPr="002C25C6">
        <w:rPr>
          <w:lang w:val="ru-RU"/>
        </w:rPr>
        <w:tab/>
        <w:t xml:space="preserve">В нашем отчете, касающемся финансовой отчетности за 2014 год, мы рекомендовали руководству в ближайшие годы провести полное актуарное исследование: </w:t>
      </w:r>
      <w:r w:rsidR="00C8442F" w:rsidRPr="002C25C6">
        <w:rPr>
          <w:lang w:val="ru-RU"/>
        </w:rPr>
        <w:t xml:space="preserve">это </w:t>
      </w:r>
      <w:r w:rsidR="00F3336C" w:rsidRPr="002C25C6">
        <w:rPr>
          <w:lang w:val="ru-RU"/>
        </w:rPr>
        <w:t xml:space="preserve">важно </w:t>
      </w:r>
      <w:r w:rsidR="00C8442F" w:rsidRPr="002C25C6">
        <w:rPr>
          <w:lang w:val="ru-RU"/>
        </w:rPr>
        <w:t xml:space="preserve">для того, чтобы </w:t>
      </w:r>
      <w:r w:rsidR="00F3336C" w:rsidRPr="002C25C6">
        <w:rPr>
          <w:lang w:val="ru-RU"/>
        </w:rPr>
        <w:t>получить ответы на вопросы</w:t>
      </w:r>
      <w:r w:rsidR="00C8442F" w:rsidRPr="002C25C6">
        <w:rPr>
          <w:lang w:val="ru-RU"/>
        </w:rPr>
        <w:t xml:space="preserve">, касающиеся </w:t>
      </w:r>
      <w:r w:rsidR="00F3336C" w:rsidRPr="002C25C6">
        <w:rPr>
          <w:lang w:val="ru-RU"/>
        </w:rPr>
        <w:t>достаточного финансирования</w:t>
      </w:r>
      <w:r w:rsidR="00C8442F" w:rsidRPr="002C25C6">
        <w:rPr>
          <w:lang w:val="ru-RU"/>
        </w:rPr>
        <w:t>,</w:t>
      </w:r>
      <w:r w:rsidR="00F3336C" w:rsidRPr="002C25C6">
        <w:rPr>
          <w:lang w:val="ru-RU"/>
        </w:rPr>
        <w:t xml:space="preserve"> и возможные пути их решения, с тем чтобы не допустить недофинансирования системы медицинского страхования МСЭ на распределительной ос</w:t>
      </w:r>
      <w:r w:rsidR="000C5055" w:rsidRPr="002C25C6">
        <w:rPr>
          <w:lang w:val="ru-RU"/>
        </w:rPr>
        <w:t>нове в долгосрочной перспективе (</w:t>
      </w:r>
      <w:r w:rsidR="00387986" w:rsidRPr="002C25C6">
        <w:rPr>
          <w:lang w:val="ru-RU"/>
        </w:rPr>
        <w:t>см. также пункт 47</w:t>
      </w:r>
      <w:r w:rsidR="00CA7DD0" w:rsidRPr="002C25C6">
        <w:rPr>
          <w:lang w:val="ru-RU"/>
        </w:rPr>
        <w:t>,</w:t>
      </w:r>
      <w:r w:rsidR="00C8442F" w:rsidRPr="002C25C6">
        <w:rPr>
          <w:lang w:val="ru-RU"/>
        </w:rPr>
        <w:t xml:space="preserve"> выше</w:t>
      </w:r>
      <w:r w:rsidR="000C5055" w:rsidRPr="002C25C6">
        <w:rPr>
          <w:lang w:val="ru-RU"/>
        </w:rPr>
        <w:t>).</w:t>
      </w:r>
    </w:p>
    <w:p w:rsidR="00AF65F9" w:rsidRPr="002C25C6" w:rsidRDefault="00AF65F9" w:rsidP="00D44E89">
      <w:pPr>
        <w:rPr>
          <w:lang w:val="ru-RU"/>
        </w:rPr>
      </w:pPr>
      <w:r w:rsidRPr="002C25C6">
        <w:rPr>
          <w:lang w:val="ru-RU"/>
        </w:rPr>
        <w:t>49</w:t>
      </w:r>
      <w:r w:rsidRPr="002C25C6">
        <w:rPr>
          <w:lang w:val="ru-RU"/>
        </w:rPr>
        <w:tab/>
      </w:r>
      <w:r w:rsidR="00D44E89" w:rsidRPr="002C25C6">
        <w:rPr>
          <w:lang w:val="ru-RU"/>
        </w:rPr>
        <w:t>Мы подтверждаем, что руководство в поной мере сотрудничает с внешним аудитором, предоставляя нам все необходимые документы, касающиеся этого исследования, чтобы позволить нам проверять с помощью наших актуариев анализ ситуации и эффективность предлагаемых решений</w:t>
      </w:r>
      <w:r w:rsidR="000C5055" w:rsidRPr="002C25C6">
        <w:rPr>
          <w:lang w:val="ru-RU"/>
        </w:rPr>
        <w:t>.</w:t>
      </w:r>
    </w:p>
    <w:p w:rsidR="00810A7E" w:rsidRPr="002C25C6" w:rsidRDefault="00810A7E" w:rsidP="00E752E3">
      <w:pPr>
        <w:pStyle w:val="Headingb"/>
        <w:rPr>
          <w:lang w:val="ru-RU"/>
        </w:rPr>
      </w:pPr>
      <w:bookmarkStart w:id="209" w:name="_Toc392187686"/>
      <w:bookmarkStart w:id="210" w:name="_Toc418501329"/>
      <w:bookmarkStart w:id="211" w:name="_Toc418597596"/>
      <w:bookmarkStart w:id="212" w:name="_Toc450158119"/>
      <w:bookmarkStart w:id="213" w:name="_Toc450323549"/>
      <w:bookmarkStart w:id="214" w:name="_Toc450991488"/>
      <w:bookmarkStart w:id="215" w:name="_Toc452157329"/>
      <w:bookmarkStart w:id="216" w:name="_Toc392672719"/>
      <w:bookmarkStart w:id="217" w:name="_Toc392187689"/>
      <w:bookmarkStart w:id="218" w:name="_Toc418501330"/>
      <w:bookmarkStart w:id="219" w:name="_Toc418597597"/>
      <w:bookmarkStart w:id="220" w:name="_Toc482995192"/>
      <w:r w:rsidRPr="002C25C6">
        <w:rPr>
          <w:lang w:val="ru-RU"/>
        </w:rPr>
        <w:t xml:space="preserve">Выход из </w:t>
      </w:r>
      <w:proofErr w:type="spellStart"/>
      <w:r w:rsidRPr="002C25C6">
        <w:rPr>
          <w:lang w:val="ru-RU"/>
        </w:rPr>
        <w:t>ФМСП</w:t>
      </w:r>
      <w:proofErr w:type="spellEnd"/>
      <w:r w:rsidRPr="002C25C6">
        <w:rPr>
          <w:lang w:val="ru-RU"/>
        </w:rPr>
        <w:t>:</w:t>
      </w:r>
      <w:bookmarkEnd w:id="209"/>
      <w:bookmarkEnd w:id="210"/>
      <w:bookmarkEnd w:id="211"/>
      <w:r w:rsidRPr="002C25C6">
        <w:rPr>
          <w:lang w:val="ru-RU"/>
        </w:rPr>
        <w:t xml:space="preserve"> противоречия в производстве расчетов</w:t>
      </w:r>
      <w:bookmarkEnd w:id="212"/>
      <w:bookmarkEnd w:id="213"/>
      <w:bookmarkEnd w:id="214"/>
      <w:bookmarkEnd w:id="215"/>
      <w:bookmarkEnd w:id="220"/>
    </w:p>
    <w:p w:rsidR="00810A7E" w:rsidRPr="002C25C6" w:rsidRDefault="00AF65F9" w:rsidP="00BB76C1">
      <w:pPr>
        <w:keepNext/>
        <w:keepLines/>
        <w:rPr>
          <w:lang w:val="ru-RU"/>
        </w:rPr>
      </w:pPr>
      <w:r w:rsidRPr="002C25C6">
        <w:rPr>
          <w:lang w:val="ru-RU"/>
        </w:rPr>
        <w:t>50</w:t>
      </w:r>
      <w:r w:rsidR="00810A7E" w:rsidRPr="002C25C6">
        <w:rPr>
          <w:lang w:val="ru-RU"/>
        </w:rPr>
        <w:tab/>
      </w:r>
      <w:r w:rsidR="00BB76C1" w:rsidRPr="002C25C6">
        <w:rPr>
          <w:lang w:val="ru-RU"/>
        </w:rPr>
        <w:t>В нашем отчете за прошлый год мы</w:t>
      </w:r>
      <w:r w:rsidR="00810A7E" w:rsidRPr="002C25C6">
        <w:rPr>
          <w:lang w:val="ru-RU"/>
        </w:rPr>
        <w:t xml:space="preserve"> отмети</w:t>
      </w:r>
      <w:r w:rsidR="00BB76C1" w:rsidRPr="002C25C6">
        <w:rPr>
          <w:lang w:val="ru-RU"/>
        </w:rPr>
        <w:t>ли</w:t>
      </w:r>
      <w:r w:rsidR="00810A7E" w:rsidRPr="002C25C6">
        <w:rPr>
          <w:lang w:val="ru-RU"/>
        </w:rPr>
        <w:t xml:space="preserve">, что выход из </w:t>
      </w:r>
      <w:proofErr w:type="spellStart"/>
      <w:r w:rsidR="00810A7E" w:rsidRPr="002C25C6">
        <w:rPr>
          <w:lang w:val="ru-RU"/>
        </w:rPr>
        <w:t>ФМСП</w:t>
      </w:r>
      <w:proofErr w:type="spellEnd"/>
      <w:r w:rsidR="00810A7E" w:rsidRPr="002C25C6">
        <w:rPr>
          <w:lang w:val="ru-RU"/>
        </w:rPr>
        <w:t xml:space="preserve"> – находящейся в ведении МОТ системы медицинского страхования, в которой МСЭ участвовал до 2014 года, полностью еще не завершен из-за существующих между двумя учреждениями разногласий относительно суммы, подлежащей выплате МСЭ со стороны </w:t>
      </w:r>
      <w:proofErr w:type="spellStart"/>
      <w:r w:rsidR="00810A7E" w:rsidRPr="002C25C6">
        <w:rPr>
          <w:lang w:val="ru-RU"/>
        </w:rPr>
        <w:t>ФМСП</w:t>
      </w:r>
      <w:proofErr w:type="spellEnd"/>
      <w:r w:rsidR="00810A7E" w:rsidRPr="002C25C6">
        <w:rPr>
          <w:lang w:val="ru-RU"/>
        </w:rPr>
        <w:t>, суть которых составляют два ключевых вопроса:</w:t>
      </w:r>
    </w:p>
    <w:p w:rsidR="00810A7E" w:rsidRPr="002C25C6" w:rsidRDefault="00E752E3" w:rsidP="00BB76C1">
      <w:pPr>
        <w:pStyle w:val="enumlev1"/>
        <w:rPr>
          <w:lang w:val="ru-RU"/>
        </w:rPr>
      </w:pPr>
      <w:proofErr w:type="gramStart"/>
      <w:r w:rsidRPr="002C25C6">
        <w:rPr>
          <w:lang w:val="ru-RU"/>
        </w:rPr>
        <w:t>а)</w:t>
      </w:r>
      <w:r w:rsidRPr="002C25C6">
        <w:rPr>
          <w:lang w:val="ru-RU"/>
        </w:rPr>
        <w:tab/>
      </w:r>
      <w:proofErr w:type="gramEnd"/>
      <w:r w:rsidR="00810A7E" w:rsidRPr="002C25C6">
        <w:rPr>
          <w:lang w:val="ru-RU"/>
        </w:rPr>
        <w:t xml:space="preserve">учитывая выход из системы, застрахованные сотрудники </w:t>
      </w:r>
      <w:r w:rsidR="00BB76C1" w:rsidRPr="002C25C6">
        <w:rPr>
          <w:lang w:val="ru-RU"/>
        </w:rPr>
        <w:t xml:space="preserve">МСЭ </w:t>
      </w:r>
      <w:r w:rsidR="00810A7E" w:rsidRPr="002C25C6">
        <w:rPr>
          <w:lang w:val="ru-RU"/>
        </w:rPr>
        <w:t xml:space="preserve">могли направлять в </w:t>
      </w:r>
      <w:proofErr w:type="spellStart"/>
      <w:r w:rsidR="00810A7E" w:rsidRPr="002C25C6">
        <w:rPr>
          <w:lang w:val="ru-RU"/>
        </w:rPr>
        <w:t>ФМСП</w:t>
      </w:r>
      <w:proofErr w:type="spellEnd"/>
      <w:r w:rsidR="00810A7E" w:rsidRPr="002C25C6">
        <w:rPr>
          <w:lang w:val="ru-RU"/>
        </w:rPr>
        <w:t xml:space="preserve"> заявки на возмещение расходов до 31 января 201</w:t>
      </w:r>
      <w:r w:rsidR="0026436C" w:rsidRPr="002C25C6">
        <w:rPr>
          <w:lang w:val="ru-RU"/>
        </w:rPr>
        <w:t>6</w:t>
      </w:r>
      <w:r w:rsidR="00810A7E" w:rsidRPr="002C25C6">
        <w:rPr>
          <w:lang w:val="ru-RU"/>
        </w:rPr>
        <w:t xml:space="preserve"> года. Очевидно, что после этой даты требовалось время для обработки заявок на возмещение расходов. МОТ начислила на МСЭ административные затраты в полном объеме за пять месяцев (до 31 мая 2015 г.), как если бы все сотрудники МСЭ обратились за выплатами в прежний фонд. МСЭ утверждает, что </w:t>
      </w:r>
      <w:r w:rsidR="00BB76C1" w:rsidRPr="002C25C6">
        <w:rPr>
          <w:lang w:val="ru-RU"/>
        </w:rPr>
        <w:t xml:space="preserve">фактически </w:t>
      </w:r>
      <w:r w:rsidR="00810A7E" w:rsidRPr="002C25C6">
        <w:rPr>
          <w:lang w:val="ru-RU"/>
        </w:rPr>
        <w:t>речь идет лишь о небольшом числе заявлений, поэтому административные расходы не могут быть начислены на МСЭ в таком размере;</w:t>
      </w:r>
    </w:p>
    <w:p w:rsidR="00810A7E" w:rsidRPr="002C25C6" w:rsidRDefault="00E752E3" w:rsidP="00E752E3">
      <w:pPr>
        <w:pStyle w:val="enumlev1"/>
        <w:rPr>
          <w:lang w:val="ru-RU"/>
        </w:rPr>
      </w:pPr>
      <w:r w:rsidRPr="002C25C6">
        <w:rPr>
          <w:lang w:val="ru-RU"/>
        </w:rPr>
        <w:lastRenderedPageBreak/>
        <w:t>b)</w:t>
      </w:r>
      <w:r w:rsidRPr="002C25C6">
        <w:rPr>
          <w:lang w:val="ru-RU"/>
        </w:rPr>
        <w:tab/>
      </w:r>
      <w:r w:rsidR="00810A7E" w:rsidRPr="002C25C6">
        <w:rPr>
          <w:lang w:val="ru-RU"/>
        </w:rPr>
        <w:t xml:space="preserve">второй вопрос касается ликвидации гарантийного фонда </w:t>
      </w:r>
      <w:proofErr w:type="spellStart"/>
      <w:r w:rsidR="00810A7E" w:rsidRPr="002C25C6">
        <w:rPr>
          <w:lang w:val="ru-RU"/>
        </w:rPr>
        <w:t>ФМСП</w:t>
      </w:r>
      <w:proofErr w:type="spellEnd"/>
      <w:r w:rsidR="00810A7E" w:rsidRPr="002C25C6">
        <w:rPr>
          <w:lang w:val="ru-RU"/>
        </w:rPr>
        <w:t>, в создании и ведении которого участвовал МСЭ и его взнос составлял 23% этого фонда: МСЭ пол</w:t>
      </w:r>
      <w:r w:rsidR="007C2527" w:rsidRPr="002C25C6">
        <w:rPr>
          <w:lang w:val="ru-RU"/>
        </w:rPr>
        <w:t>а</w:t>
      </w:r>
      <w:r w:rsidR="00810A7E" w:rsidRPr="002C25C6">
        <w:rPr>
          <w:lang w:val="ru-RU"/>
        </w:rPr>
        <w:t>гал, что в соответствии с принципом пропорциональности своего взноса, а также принципами взаимности и солидарности, Союзу будет выплачена доля от оцененной стоимости фонда, соответствующая доле его уплаченного взноса в фонд; МОТ не согласилась с этой цифрой и предложила значительно меньшую сумму.</w:t>
      </w:r>
    </w:p>
    <w:p w:rsidR="0088218A" w:rsidRPr="002C25C6" w:rsidRDefault="0088218A" w:rsidP="00A86B08">
      <w:pPr>
        <w:rPr>
          <w:lang w:val="ru-RU"/>
        </w:rPr>
      </w:pPr>
      <w:r w:rsidRPr="002C25C6">
        <w:rPr>
          <w:lang w:val="ru-RU"/>
        </w:rPr>
        <w:t>51</w:t>
      </w:r>
      <w:r w:rsidRPr="002C25C6">
        <w:rPr>
          <w:lang w:val="ru-RU"/>
        </w:rPr>
        <w:tab/>
      </w:r>
      <w:r w:rsidR="00BB76C1" w:rsidRPr="002C25C6">
        <w:rPr>
          <w:lang w:val="ru-RU"/>
        </w:rPr>
        <w:t>Руководство информировало нас о том, что данное положение все еще сохраняется и что МСЭ исследует все возможные решения</w:t>
      </w:r>
      <w:r w:rsidRPr="002C25C6">
        <w:rPr>
          <w:lang w:val="ru-RU"/>
        </w:rPr>
        <w:t>.</w:t>
      </w:r>
    </w:p>
    <w:p w:rsidR="00810A7E" w:rsidRPr="002C25C6" w:rsidRDefault="00810A7E" w:rsidP="00E752E3">
      <w:pPr>
        <w:pStyle w:val="Headingb"/>
        <w:rPr>
          <w:lang w:val="ru-RU"/>
        </w:rPr>
      </w:pPr>
      <w:bookmarkStart w:id="221" w:name="_Toc452157330"/>
      <w:bookmarkStart w:id="222" w:name="_Toc482995193"/>
      <w:r w:rsidRPr="002C25C6">
        <w:rPr>
          <w:lang w:val="ru-RU"/>
        </w:rPr>
        <w:t>Вознаграждение сотрудников: Страховая касса персонала МСЭ</w:t>
      </w:r>
      <w:bookmarkEnd w:id="216"/>
      <w:r w:rsidRPr="002C25C6">
        <w:rPr>
          <w:lang w:val="ru-RU"/>
        </w:rPr>
        <w:t xml:space="preserve"> (закрытые пенсионные фонды МСЭ</w:t>
      </w:r>
      <w:bookmarkEnd w:id="217"/>
      <w:bookmarkEnd w:id="218"/>
      <w:bookmarkEnd w:id="219"/>
      <w:r w:rsidRPr="002C25C6">
        <w:rPr>
          <w:lang w:val="ru-RU"/>
        </w:rPr>
        <w:t>)</w:t>
      </w:r>
      <w:bookmarkEnd w:id="221"/>
      <w:bookmarkEnd w:id="222"/>
    </w:p>
    <w:p w:rsidR="00810A7E" w:rsidRPr="002C25C6" w:rsidRDefault="0009060F" w:rsidP="0009060F">
      <w:pPr>
        <w:rPr>
          <w:lang w:val="ru-RU"/>
        </w:rPr>
      </w:pPr>
      <w:r w:rsidRPr="002C25C6">
        <w:rPr>
          <w:lang w:val="ru-RU"/>
        </w:rPr>
        <w:t>52</w:t>
      </w:r>
      <w:r w:rsidR="00810A7E" w:rsidRPr="002C25C6">
        <w:rPr>
          <w:lang w:val="ru-RU"/>
        </w:rPr>
        <w:tab/>
        <w:t xml:space="preserve">Как и в предыдущие годы, на момент закрытия на счетах учтена сумма в </w:t>
      </w:r>
      <w:r w:rsidRPr="002C25C6">
        <w:rPr>
          <w:lang w:val="ru-RU"/>
        </w:rPr>
        <w:t>54</w:t>
      </w:r>
      <w:r w:rsidR="00810A7E" w:rsidRPr="002C25C6">
        <w:rPr>
          <w:lang w:val="ru-RU"/>
        </w:rPr>
        <w:t> 000 швейцарских франков; она связана с обязательствами по пособиям в форме пенсии, выплачиваемой бывшим сотрудникам из Страховой кассы персонала (см. также связанный с этим пункт </w:t>
      </w:r>
      <w:r w:rsidRPr="002C25C6">
        <w:rPr>
          <w:lang w:val="ru-RU"/>
        </w:rPr>
        <w:t>123</w:t>
      </w:r>
      <w:r w:rsidR="00810A7E" w:rsidRPr="002C25C6">
        <w:rPr>
          <w:lang w:val="ru-RU"/>
        </w:rPr>
        <w:t>).</w:t>
      </w:r>
    </w:p>
    <w:p w:rsidR="00810A7E" w:rsidRPr="002C25C6" w:rsidRDefault="00810A7E" w:rsidP="00E752E3">
      <w:pPr>
        <w:pStyle w:val="Heading1"/>
        <w:rPr>
          <w:lang w:val="ru-RU"/>
        </w:rPr>
      </w:pPr>
      <w:bookmarkStart w:id="223" w:name="_Toc418501331"/>
      <w:bookmarkStart w:id="224" w:name="_Toc418597598"/>
      <w:bookmarkStart w:id="225" w:name="_Toc452157331"/>
      <w:bookmarkStart w:id="226" w:name="_Toc482995194"/>
      <w:r w:rsidRPr="002C25C6">
        <w:rPr>
          <w:lang w:val="ru-RU"/>
        </w:rPr>
        <w:t>ЧИСТЫЕ АКТИВЫ</w:t>
      </w:r>
      <w:bookmarkEnd w:id="223"/>
      <w:bookmarkEnd w:id="224"/>
      <w:bookmarkEnd w:id="225"/>
      <w:bookmarkEnd w:id="226"/>
    </w:p>
    <w:p w:rsidR="00810A7E" w:rsidRPr="002C25C6" w:rsidRDefault="00FB73A6" w:rsidP="00FB73A6">
      <w:pPr>
        <w:rPr>
          <w:lang w:val="ru-RU"/>
        </w:rPr>
      </w:pPr>
      <w:r w:rsidRPr="002C25C6">
        <w:rPr>
          <w:lang w:val="ru-RU"/>
        </w:rPr>
        <w:t>53</w:t>
      </w:r>
      <w:r w:rsidR="00810A7E" w:rsidRPr="002C25C6">
        <w:rPr>
          <w:lang w:val="ru-RU"/>
        </w:rPr>
        <w:tab/>
        <w:t>Чистые активы состояли из собственных целевых и нецелевых средств, внебюджетных фондов, результата внебюджетной деятельности, активного сальдо/дефицита за финансовый год и воздействия перехода к IPSAS. В 201</w:t>
      </w:r>
      <w:r w:rsidRPr="002C25C6">
        <w:rPr>
          <w:lang w:val="ru-RU"/>
        </w:rPr>
        <w:t>6</w:t>
      </w:r>
      <w:r w:rsidR="00810A7E" w:rsidRPr="002C25C6">
        <w:rPr>
          <w:lang w:val="ru-RU"/>
        </w:rPr>
        <w:t xml:space="preserve"> году чистые активы составили отрицательное значение </w:t>
      </w:r>
      <w:r w:rsidR="00E752E3" w:rsidRPr="002C25C6">
        <w:rPr>
          <w:lang w:val="ru-RU"/>
        </w:rPr>
        <w:t>−</w:t>
      </w:r>
      <w:r w:rsidRPr="002C25C6">
        <w:rPr>
          <w:lang w:val="ru-RU"/>
        </w:rPr>
        <w:t>419</w:t>
      </w:r>
      <w:r w:rsidR="00810A7E" w:rsidRPr="002C25C6">
        <w:rPr>
          <w:lang w:val="ru-RU"/>
        </w:rPr>
        <w:t xml:space="preserve">,2 млн. швейцарских франков, что представляет уменьшение по сравнению с </w:t>
      </w:r>
      <w:r w:rsidR="00E752E3" w:rsidRPr="002C25C6">
        <w:rPr>
          <w:lang w:val="ru-RU"/>
        </w:rPr>
        <w:t>−</w:t>
      </w:r>
      <w:r w:rsidRPr="002C25C6">
        <w:rPr>
          <w:lang w:val="ru-RU"/>
        </w:rPr>
        <w:t>343</w:t>
      </w:r>
      <w:r w:rsidR="00810A7E" w:rsidRPr="002C25C6">
        <w:rPr>
          <w:lang w:val="ru-RU"/>
        </w:rPr>
        <w:t>,</w:t>
      </w:r>
      <w:r w:rsidRPr="002C25C6">
        <w:rPr>
          <w:lang w:val="ru-RU"/>
        </w:rPr>
        <w:t>2</w:t>
      </w:r>
      <w:r w:rsidR="00810A7E" w:rsidRPr="002C25C6">
        <w:rPr>
          <w:lang w:val="ru-RU"/>
        </w:rPr>
        <w:t> млн. швейцарских франков в 201</w:t>
      </w:r>
      <w:r w:rsidRPr="002C25C6">
        <w:rPr>
          <w:lang w:val="ru-RU"/>
        </w:rPr>
        <w:t>5</w:t>
      </w:r>
      <w:r w:rsidR="00810A7E" w:rsidRPr="002C25C6">
        <w:rPr>
          <w:lang w:val="ru-RU"/>
        </w:rPr>
        <w:t> году.</w:t>
      </w:r>
    </w:p>
    <w:p w:rsidR="00810A7E" w:rsidRPr="002C25C6" w:rsidRDefault="00A12BE4" w:rsidP="00810A7E">
      <w:pPr>
        <w:rPr>
          <w:lang w:val="ru-RU"/>
        </w:rPr>
      </w:pPr>
      <w:r w:rsidRPr="002C25C6">
        <w:rPr>
          <w:lang w:val="ru-RU"/>
        </w:rPr>
        <w:t>54</w:t>
      </w:r>
      <w:r w:rsidR="00810A7E" w:rsidRPr="002C25C6">
        <w:rPr>
          <w:lang w:val="ru-RU"/>
        </w:rPr>
        <w:tab/>
        <w:t>Все движения в чистых активах поясняются в различных таблицах и примечаниях к Отчету о финансовой деятельности, в частности:</w:t>
      </w:r>
    </w:p>
    <w:p w:rsidR="00810A7E" w:rsidRPr="002C25C6" w:rsidRDefault="00810A7E" w:rsidP="004903CC">
      <w:pPr>
        <w:pStyle w:val="enumlev1"/>
        <w:rPr>
          <w:lang w:val="ru-RU"/>
        </w:rPr>
      </w:pPr>
      <w:r w:rsidRPr="002C25C6">
        <w:rPr>
          <w:lang w:val="ru-RU"/>
        </w:rPr>
        <w:t>a)</w:t>
      </w:r>
      <w:r w:rsidRPr="002C25C6">
        <w:rPr>
          <w:lang w:val="ru-RU"/>
        </w:rPr>
        <w:tab/>
        <w:t>в Таблице II "Отчет о результатах финансовой деятельности", в котором показан дефицит за финансовый период (–1</w:t>
      </w:r>
      <w:r w:rsidR="004903CC" w:rsidRPr="002C25C6">
        <w:rPr>
          <w:lang w:val="ru-RU"/>
        </w:rPr>
        <w:t>1</w:t>
      </w:r>
      <w:r w:rsidRPr="002C25C6">
        <w:rPr>
          <w:lang w:val="ru-RU"/>
        </w:rPr>
        <w:t>,</w:t>
      </w:r>
      <w:r w:rsidR="004903CC" w:rsidRPr="002C25C6">
        <w:rPr>
          <w:lang w:val="ru-RU"/>
        </w:rPr>
        <w:t>7</w:t>
      </w:r>
      <w:r w:rsidRPr="002C25C6">
        <w:rPr>
          <w:lang w:val="ru-RU"/>
        </w:rPr>
        <w:t> млн. швейцарских франков);</w:t>
      </w:r>
    </w:p>
    <w:p w:rsidR="00810A7E" w:rsidRPr="002C25C6" w:rsidRDefault="00810A7E" w:rsidP="00E752E3">
      <w:pPr>
        <w:pStyle w:val="enumlev1"/>
        <w:rPr>
          <w:lang w:val="ru-RU"/>
        </w:rPr>
      </w:pPr>
      <w:r w:rsidRPr="002C25C6">
        <w:rPr>
          <w:lang w:val="ru-RU"/>
        </w:rPr>
        <w:t>b)</w:t>
      </w:r>
      <w:r w:rsidRPr="002C25C6">
        <w:rPr>
          <w:lang w:val="ru-RU"/>
        </w:rPr>
        <w:tab/>
        <w:t>в Таблице III "Отчет об изменениях в чистых активах", в котором показано движение отдельно по каждому виду собственных средств и воздействие перехода к IPSAS;</w:t>
      </w:r>
    </w:p>
    <w:p w:rsidR="00810A7E" w:rsidRPr="002C25C6" w:rsidRDefault="00810A7E" w:rsidP="00E752E3">
      <w:pPr>
        <w:pStyle w:val="enumlev1"/>
        <w:rPr>
          <w:lang w:val="ru-RU"/>
        </w:rPr>
      </w:pPr>
      <w:r w:rsidRPr="002C25C6">
        <w:rPr>
          <w:lang w:val="ru-RU"/>
        </w:rPr>
        <w:t>c)</w:t>
      </w:r>
      <w:r w:rsidRPr="002C25C6">
        <w:rPr>
          <w:lang w:val="ru-RU"/>
        </w:rPr>
        <w:tab/>
        <w:t>в Таблице V "Сравнительная таблица предусмотренных в бюджете сумм и фактических сумм", в которой также приводится информация по бухгалтерской выверке указанных в бюджете результатов (фактических сумм) и сумм, учтенных в финансовой отчетности (в связи с этим см. также Примечание 25);</w:t>
      </w:r>
    </w:p>
    <w:p w:rsidR="00810A7E" w:rsidRPr="002C25C6" w:rsidRDefault="00810A7E" w:rsidP="007D32FC">
      <w:pPr>
        <w:pStyle w:val="enumlev1"/>
        <w:rPr>
          <w:lang w:val="ru-RU"/>
        </w:rPr>
      </w:pPr>
      <w:r w:rsidRPr="002C25C6">
        <w:rPr>
          <w:lang w:val="ru-RU"/>
        </w:rPr>
        <w:t>d)</w:t>
      </w:r>
      <w:r w:rsidRPr="002C25C6">
        <w:rPr>
          <w:lang w:val="ru-RU"/>
        </w:rPr>
        <w:tab/>
        <w:t>в Примечании </w:t>
      </w:r>
      <w:r w:rsidR="007D32FC" w:rsidRPr="002C25C6">
        <w:rPr>
          <w:lang w:val="ru-RU"/>
        </w:rPr>
        <w:t>2</w:t>
      </w:r>
      <w:r w:rsidRPr="002C25C6">
        <w:rPr>
          <w:lang w:val="ru-RU"/>
        </w:rPr>
        <w:t xml:space="preserve"> "Основные принципы бухгалтерского учета", в пункте, касающемся "учета средств", в частности в подпункте "Собственные целевые средства" и пункте, касающемся "Резервного счета";</w:t>
      </w:r>
    </w:p>
    <w:p w:rsidR="00810A7E" w:rsidRPr="002C25C6" w:rsidRDefault="00810A7E" w:rsidP="007D32FC">
      <w:pPr>
        <w:pStyle w:val="enumlev1"/>
        <w:rPr>
          <w:lang w:val="ru-RU"/>
        </w:rPr>
      </w:pPr>
      <w:r w:rsidRPr="002C25C6">
        <w:rPr>
          <w:lang w:val="ru-RU"/>
        </w:rPr>
        <w:t>e)</w:t>
      </w:r>
      <w:r w:rsidRPr="002C25C6">
        <w:rPr>
          <w:lang w:val="ru-RU"/>
        </w:rPr>
        <w:tab/>
        <w:t>в Примечании </w:t>
      </w:r>
      <w:r w:rsidR="007D32FC" w:rsidRPr="002C25C6">
        <w:rPr>
          <w:lang w:val="ru-RU"/>
        </w:rPr>
        <w:t>3</w:t>
      </w:r>
      <w:r w:rsidRPr="002C25C6">
        <w:rPr>
          <w:lang w:val="ru-RU"/>
        </w:rPr>
        <w:t xml:space="preserve"> "Управление чистыми активами", в котором отражено движение средств Резервного счета.</w:t>
      </w:r>
    </w:p>
    <w:p w:rsidR="00810A7E" w:rsidRPr="002C25C6" w:rsidRDefault="00810A7E" w:rsidP="007D32FC">
      <w:pPr>
        <w:pStyle w:val="Heading1"/>
        <w:rPr>
          <w:lang w:val="ru-RU"/>
        </w:rPr>
      </w:pPr>
      <w:bookmarkStart w:id="227" w:name="_Toc418501332"/>
      <w:bookmarkStart w:id="228" w:name="_Toc418597599"/>
      <w:bookmarkStart w:id="229" w:name="_Toc452157332"/>
      <w:bookmarkStart w:id="230" w:name="_Toc482995195"/>
      <w:r w:rsidRPr="002C25C6">
        <w:rPr>
          <w:lang w:val="ru-RU"/>
        </w:rPr>
        <w:t>ОТЧЕТ О РЕЗУЛЬТАТАХ ФИНАНСОВОЙ ДЕЯТЕЛЬНОСТИ ЗА 201</w:t>
      </w:r>
      <w:bookmarkEnd w:id="227"/>
      <w:bookmarkEnd w:id="228"/>
      <w:r w:rsidR="007D32FC" w:rsidRPr="002C25C6">
        <w:rPr>
          <w:lang w:val="ru-RU"/>
        </w:rPr>
        <w:t>6</w:t>
      </w:r>
      <w:r w:rsidRPr="002C25C6">
        <w:rPr>
          <w:lang w:val="ru-RU"/>
        </w:rPr>
        <w:t xml:space="preserve"> ГОД</w:t>
      </w:r>
      <w:bookmarkEnd w:id="229"/>
      <w:bookmarkEnd w:id="230"/>
    </w:p>
    <w:p w:rsidR="00810A7E" w:rsidRPr="002C25C6" w:rsidRDefault="006E1C41" w:rsidP="006E1C41">
      <w:pPr>
        <w:rPr>
          <w:lang w:val="ru-RU"/>
        </w:rPr>
      </w:pPr>
      <w:r w:rsidRPr="002C25C6">
        <w:rPr>
          <w:lang w:val="ru-RU"/>
        </w:rPr>
        <w:t>55</w:t>
      </w:r>
      <w:r w:rsidR="00810A7E" w:rsidRPr="002C25C6">
        <w:rPr>
          <w:lang w:val="ru-RU"/>
        </w:rPr>
        <w:tab/>
        <w:t>В этом Отчете показаны оперативные и финансовые доходы и расходы Организации, которые классифицированы, раскрыты и представлены на согласованной основе, с тем чтобы пояснить чистый дефицит или чистое активное сальдо за год. Финансов</w:t>
      </w:r>
      <w:r w:rsidR="00013C48" w:rsidRPr="002C25C6">
        <w:rPr>
          <w:lang w:val="ru-RU"/>
        </w:rPr>
        <w:t>ый период завершен с дефицитом −</w:t>
      </w:r>
      <w:r w:rsidR="00810A7E" w:rsidRPr="002C25C6">
        <w:rPr>
          <w:lang w:val="ru-RU"/>
        </w:rPr>
        <w:t>1</w:t>
      </w:r>
      <w:r w:rsidRPr="002C25C6">
        <w:rPr>
          <w:lang w:val="ru-RU"/>
        </w:rPr>
        <w:t>1</w:t>
      </w:r>
      <w:r w:rsidR="00810A7E" w:rsidRPr="002C25C6">
        <w:rPr>
          <w:lang w:val="ru-RU"/>
        </w:rPr>
        <w:t>,</w:t>
      </w:r>
      <w:r w:rsidRPr="002C25C6">
        <w:rPr>
          <w:lang w:val="ru-RU"/>
        </w:rPr>
        <w:t>7</w:t>
      </w:r>
      <w:r w:rsidR="00810A7E" w:rsidRPr="002C25C6">
        <w:rPr>
          <w:lang w:val="ru-RU"/>
        </w:rPr>
        <w:t> млн. швейцарских франков.</w:t>
      </w:r>
    </w:p>
    <w:p w:rsidR="00810A7E" w:rsidRPr="002C25C6" w:rsidRDefault="00810A7E" w:rsidP="00E752E3">
      <w:pPr>
        <w:pStyle w:val="Headingb"/>
        <w:rPr>
          <w:lang w:val="ru-RU"/>
        </w:rPr>
      </w:pPr>
      <w:bookmarkStart w:id="231" w:name="_Toc418501333"/>
      <w:bookmarkStart w:id="232" w:name="_Toc418597600"/>
      <w:bookmarkStart w:id="233" w:name="_Toc392672723"/>
      <w:bookmarkStart w:id="234" w:name="_Toc452157333"/>
      <w:bookmarkStart w:id="235" w:name="_Toc482995196"/>
      <w:r w:rsidRPr="002C25C6">
        <w:rPr>
          <w:lang w:val="ru-RU"/>
        </w:rPr>
        <w:t>Доходы и расходы</w:t>
      </w:r>
      <w:bookmarkEnd w:id="231"/>
      <w:bookmarkEnd w:id="232"/>
      <w:bookmarkEnd w:id="233"/>
      <w:bookmarkEnd w:id="234"/>
      <w:bookmarkEnd w:id="235"/>
    </w:p>
    <w:p w:rsidR="00810A7E" w:rsidRPr="002C25C6" w:rsidRDefault="00831CF7" w:rsidP="004F0576">
      <w:pPr>
        <w:rPr>
          <w:lang w:val="ru-RU"/>
        </w:rPr>
      </w:pPr>
      <w:r w:rsidRPr="002C25C6">
        <w:rPr>
          <w:lang w:val="ru-RU"/>
        </w:rPr>
        <w:t>56</w:t>
      </w:r>
      <w:r w:rsidR="00810A7E" w:rsidRPr="002C25C6">
        <w:rPr>
          <w:lang w:val="ru-RU"/>
        </w:rPr>
        <w:tab/>
        <w:t>Общие доходы составили 17</w:t>
      </w:r>
      <w:r w:rsidR="00610C46" w:rsidRPr="002C25C6">
        <w:rPr>
          <w:lang w:val="ru-RU"/>
        </w:rPr>
        <w:t>6</w:t>
      </w:r>
      <w:r w:rsidR="00810A7E" w:rsidRPr="002C25C6">
        <w:rPr>
          <w:lang w:val="ru-RU"/>
        </w:rPr>
        <w:t>,</w:t>
      </w:r>
      <w:r w:rsidR="00610C46" w:rsidRPr="002C25C6">
        <w:rPr>
          <w:lang w:val="ru-RU"/>
        </w:rPr>
        <w:t>5</w:t>
      </w:r>
      <w:r w:rsidR="00810A7E" w:rsidRPr="002C25C6">
        <w:rPr>
          <w:lang w:val="ru-RU"/>
        </w:rPr>
        <w:t xml:space="preserve"> млн. швейцарских франков, что на </w:t>
      </w:r>
      <w:r w:rsidR="009137F5" w:rsidRPr="002C25C6">
        <w:rPr>
          <w:lang w:val="ru-RU"/>
        </w:rPr>
        <w:t>2</w:t>
      </w:r>
      <w:r w:rsidR="00810A7E" w:rsidRPr="002C25C6">
        <w:rPr>
          <w:lang w:val="ru-RU"/>
        </w:rPr>
        <w:t>,</w:t>
      </w:r>
      <w:r w:rsidR="009137F5" w:rsidRPr="002C25C6">
        <w:rPr>
          <w:lang w:val="ru-RU"/>
        </w:rPr>
        <w:t>2</w:t>
      </w:r>
      <w:r w:rsidR="00810A7E" w:rsidRPr="002C25C6">
        <w:rPr>
          <w:lang w:val="ru-RU"/>
        </w:rPr>
        <w:t> млн. швейцарских франков (</w:t>
      </w:r>
      <w:r w:rsidR="00CA7DD0" w:rsidRPr="002C25C6">
        <w:rPr>
          <w:lang w:val="ru-RU"/>
        </w:rPr>
        <w:t>+1,</w:t>
      </w:r>
      <w:r w:rsidR="00810A7E" w:rsidRPr="002C25C6">
        <w:rPr>
          <w:lang w:val="ru-RU"/>
        </w:rPr>
        <w:t xml:space="preserve">3%) </w:t>
      </w:r>
      <w:r w:rsidR="009137F5" w:rsidRPr="002C25C6">
        <w:rPr>
          <w:lang w:val="ru-RU"/>
        </w:rPr>
        <w:t>больше, чем в</w:t>
      </w:r>
      <w:r w:rsidR="00810A7E" w:rsidRPr="002C25C6">
        <w:rPr>
          <w:lang w:val="ru-RU"/>
        </w:rPr>
        <w:t xml:space="preserve"> 201</w:t>
      </w:r>
      <w:r w:rsidR="0079230C" w:rsidRPr="002C25C6">
        <w:rPr>
          <w:lang w:val="ru-RU"/>
        </w:rPr>
        <w:t>5</w:t>
      </w:r>
      <w:r w:rsidR="00810A7E" w:rsidRPr="002C25C6">
        <w:rPr>
          <w:lang w:val="ru-RU"/>
        </w:rPr>
        <w:t> год</w:t>
      </w:r>
      <w:r w:rsidR="009137F5" w:rsidRPr="002C25C6">
        <w:rPr>
          <w:lang w:val="ru-RU"/>
        </w:rPr>
        <w:t>у</w:t>
      </w:r>
      <w:r w:rsidR="00810A7E" w:rsidRPr="002C25C6">
        <w:rPr>
          <w:lang w:val="ru-RU"/>
        </w:rPr>
        <w:t xml:space="preserve"> (1</w:t>
      </w:r>
      <w:r w:rsidR="0079230C" w:rsidRPr="002C25C6">
        <w:rPr>
          <w:lang w:val="ru-RU"/>
        </w:rPr>
        <w:t>74</w:t>
      </w:r>
      <w:r w:rsidR="00810A7E" w:rsidRPr="002C25C6">
        <w:rPr>
          <w:lang w:val="ru-RU"/>
        </w:rPr>
        <w:t>,</w:t>
      </w:r>
      <w:r w:rsidR="0079230C" w:rsidRPr="002C25C6">
        <w:rPr>
          <w:lang w:val="ru-RU"/>
        </w:rPr>
        <w:t>3</w:t>
      </w:r>
      <w:r w:rsidR="00810A7E" w:rsidRPr="002C25C6">
        <w:rPr>
          <w:lang w:val="ru-RU"/>
        </w:rPr>
        <w:t> млн. швейцарских франков), в основном</w:t>
      </w:r>
      <w:r w:rsidR="009137F5" w:rsidRPr="002C25C6">
        <w:rPr>
          <w:lang w:val="ru-RU"/>
        </w:rPr>
        <w:t xml:space="preserve"> в связи с </w:t>
      </w:r>
      <w:r w:rsidR="009137F5" w:rsidRPr="002C25C6">
        <w:rPr>
          <w:lang w:val="ru-RU"/>
        </w:rPr>
        <w:lastRenderedPageBreak/>
        <w:t>увеличением</w:t>
      </w:r>
      <w:r w:rsidR="00810A7E" w:rsidRPr="002C25C6">
        <w:rPr>
          <w:lang w:val="ru-RU"/>
        </w:rPr>
        <w:t xml:space="preserve"> i) добровольных взносов (</w:t>
      </w:r>
      <w:r w:rsidR="0079230C" w:rsidRPr="002C25C6">
        <w:rPr>
          <w:lang w:val="ru-RU"/>
        </w:rPr>
        <w:t>+1</w:t>
      </w:r>
      <w:r w:rsidR="00810A7E" w:rsidRPr="002C25C6">
        <w:rPr>
          <w:lang w:val="ru-RU"/>
        </w:rPr>
        <w:t>,</w:t>
      </w:r>
      <w:r w:rsidR="0079230C" w:rsidRPr="002C25C6">
        <w:rPr>
          <w:lang w:val="ru-RU"/>
        </w:rPr>
        <w:t>0</w:t>
      </w:r>
      <w:r w:rsidR="00810A7E" w:rsidRPr="002C25C6">
        <w:rPr>
          <w:lang w:val="ru-RU"/>
        </w:rPr>
        <w:t xml:space="preserve"> млн. швейцарских франков или </w:t>
      </w:r>
      <w:r w:rsidR="00603D18" w:rsidRPr="002C25C6">
        <w:rPr>
          <w:lang w:val="ru-RU"/>
        </w:rPr>
        <w:t>+10</w:t>
      </w:r>
      <w:r w:rsidR="00810A7E" w:rsidRPr="002C25C6">
        <w:rPr>
          <w:lang w:val="ru-RU"/>
        </w:rPr>
        <w:t>,</w:t>
      </w:r>
      <w:r w:rsidR="00603D18" w:rsidRPr="002C25C6">
        <w:rPr>
          <w:lang w:val="ru-RU"/>
        </w:rPr>
        <w:t>9</w:t>
      </w:r>
      <w:r w:rsidR="00810A7E" w:rsidRPr="002C25C6">
        <w:rPr>
          <w:lang w:val="ru-RU"/>
        </w:rPr>
        <w:t xml:space="preserve">%); </w:t>
      </w:r>
      <w:proofErr w:type="spellStart"/>
      <w:r w:rsidR="00810A7E" w:rsidRPr="002C25C6">
        <w:rPr>
          <w:lang w:val="ru-RU"/>
        </w:rPr>
        <w:t>ii</w:t>
      </w:r>
      <w:proofErr w:type="spellEnd"/>
      <w:r w:rsidR="00810A7E" w:rsidRPr="002C25C6">
        <w:rPr>
          <w:lang w:val="ru-RU"/>
        </w:rPr>
        <w:t>) других операционных доходов (</w:t>
      </w:r>
      <w:r w:rsidR="0039369B" w:rsidRPr="002C25C6">
        <w:rPr>
          <w:lang w:val="ru-RU"/>
        </w:rPr>
        <w:t>+4</w:t>
      </w:r>
      <w:r w:rsidR="00810A7E" w:rsidRPr="002C25C6">
        <w:rPr>
          <w:lang w:val="ru-RU"/>
        </w:rPr>
        <w:t>,</w:t>
      </w:r>
      <w:r w:rsidR="0039369B" w:rsidRPr="002C25C6">
        <w:rPr>
          <w:lang w:val="ru-RU"/>
        </w:rPr>
        <w:t>9</w:t>
      </w:r>
      <w:r w:rsidR="00810A7E" w:rsidRPr="002C25C6">
        <w:rPr>
          <w:lang w:val="ru-RU"/>
        </w:rPr>
        <w:t xml:space="preserve"> млн. швейцарских франков или </w:t>
      </w:r>
      <w:r w:rsidR="0039369B" w:rsidRPr="002C25C6">
        <w:rPr>
          <w:lang w:val="ru-RU"/>
        </w:rPr>
        <w:t>+13</w:t>
      </w:r>
      <w:r w:rsidR="00810A7E" w:rsidRPr="002C25C6">
        <w:rPr>
          <w:lang w:val="ru-RU"/>
        </w:rPr>
        <w:t>,</w:t>
      </w:r>
      <w:r w:rsidR="0039369B" w:rsidRPr="002C25C6">
        <w:rPr>
          <w:lang w:val="ru-RU"/>
        </w:rPr>
        <w:t>1</w:t>
      </w:r>
      <w:r w:rsidR="00810A7E" w:rsidRPr="002C25C6">
        <w:rPr>
          <w:lang w:val="ru-RU"/>
        </w:rPr>
        <w:t>%), в частности у</w:t>
      </w:r>
      <w:r w:rsidR="009137F5" w:rsidRPr="002C25C6">
        <w:rPr>
          <w:lang w:val="ru-RU"/>
        </w:rPr>
        <w:t>величен</w:t>
      </w:r>
      <w:r w:rsidR="00810A7E" w:rsidRPr="002C25C6">
        <w:rPr>
          <w:lang w:val="ru-RU"/>
        </w:rPr>
        <w:t xml:space="preserve">ием внебюджетных доходов, связанных с </w:t>
      </w:r>
      <w:r w:rsidR="009137F5" w:rsidRPr="002C25C6">
        <w:rPr>
          <w:lang w:val="ru-RU"/>
        </w:rPr>
        <w:t xml:space="preserve">поддержкой проектов, продажами </w:t>
      </w:r>
      <w:r w:rsidR="00810A7E" w:rsidRPr="002C25C6">
        <w:rPr>
          <w:lang w:val="ru-RU"/>
        </w:rPr>
        <w:t>публикаций и</w:t>
      </w:r>
      <w:r w:rsidR="009137F5" w:rsidRPr="002C25C6">
        <w:rPr>
          <w:lang w:val="ru-RU"/>
        </w:rPr>
        <w:t xml:space="preserve"> обработкой заявок на регистрацию спутниковых сетей</w:t>
      </w:r>
      <w:r w:rsidR="00810A7E" w:rsidRPr="002C25C6">
        <w:rPr>
          <w:lang w:val="ru-RU"/>
        </w:rPr>
        <w:t>. Начисленные взносы на сумму 12</w:t>
      </w:r>
      <w:r w:rsidR="00544EF9" w:rsidRPr="002C25C6">
        <w:rPr>
          <w:lang w:val="ru-RU"/>
        </w:rPr>
        <w:t>2</w:t>
      </w:r>
      <w:r w:rsidR="00810A7E" w:rsidRPr="002C25C6">
        <w:rPr>
          <w:lang w:val="ru-RU"/>
        </w:rPr>
        <w:t>,</w:t>
      </w:r>
      <w:r w:rsidR="00544EF9" w:rsidRPr="002C25C6">
        <w:rPr>
          <w:lang w:val="ru-RU"/>
        </w:rPr>
        <w:t>9</w:t>
      </w:r>
      <w:r w:rsidR="00810A7E" w:rsidRPr="002C25C6">
        <w:rPr>
          <w:lang w:val="ru-RU"/>
        </w:rPr>
        <w:t xml:space="preserve"> млн. швейцарских франков, что составляет </w:t>
      </w:r>
      <w:r w:rsidR="0080597C" w:rsidRPr="002C25C6">
        <w:rPr>
          <w:lang w:val="ru-RU"/>
        </w:rPr>
        <w:t>69</w:t>
      </w:r>
      <w:r w:rsidR="00810A7E" w:rsidRPr="002C25C6">
        <w:rPr>
          <w:lang w:val="ru-RU"/>
        </w:rPr>
        <w:t>,</w:t>
      </w:r>
      <w:r w:rsidR="0080597C" w:rsidRPr="002C25C6">
        <w:rPr>
          <w:lang w:val="ru-RU"/>
        </w:rPr>
        <w:t>6</w:t>
      </w:r>
      <w:r w:rsidR="00810A7E" w:rsidRPr="002C25C6">
        <w:rPr>
          <w:lang w:val="ru-RU"/>
        </w:rPr>
        <w:t>% от общих доход</w:t>
      </w:r>
      <w:r w:rsidR="00E61202" w:rsidRPr="002C25C6">
        <w:rPr>
          <w:lang w:val="ru-RU"/>
        </w:rPr>
        <w:t>ов, уменьшились (</w:t>
      </w:r>
      <w:r w:rsidR="009137F5" w:rsidRPr="002C25C6">
        <w:rPr>
          <w:lang w:val="ru-RU"/>
        </w:rPr>
        <w:t xml:space="preserve">на </w:t>
      </w:r>
      <w:r w:rsidR="00E61202" w:rsidRPr="002C25C6">
        <w:rPr>
          <w:lang w:val="ru-RU"/>
        </w:rPr>
        <w:t>3</w:t>
      </w:r>
      <w:r w:rsidR="00810A7E" w:rsidRPr="002C25C6">
        <w:rPr>
          <w:lang w:val="ru-RU"/>
        </w:rPr>
        <w:t>,</w:t>
      </w:r>
      <w:r w:rsidR="00E61202" w:rsidRPr="002C25C6">
        <w:rPr>
          <w:lang w:val="ru-RU"/>
        </w:rPr>
        <w:t>6</w:t>
      </w:r>
      <w:r w:rsidR="00810A7E" w:rsidRPr="002C25C6">
        <w:rPr>
          <w:lang w:val="ru-RU"/>
        </w:rPr>
        <w:t> млн. швейцарских франков или –</w:t>
      </w:r>
      <w:r w:rsidR="00816E46" w:rsidRPr="002C25C6">
        <w:rPr>
          <w:lang w:val="ru-RU"/>
        </w:rPr>
        <w:t>2</w:t>
      </w:r>
      <w:r w:rsidR="00810A7E" w:rsidRPr="002C25C6">
        <w:rPr>
          <w:lang w:val="ru-RU"/>
        </w:rPr>
        <w:t>,</w:t>
      </w:r>
      <w:r w:rsidR="00816E46" w:rsidRPr="002C25C6">
        <w:rPr>
          <w:lang w:val="ru-RU"/>
        </w:rPr>
        <w:t>8</w:t>
      </w:r>
      <w:r w:rsidR="00810A7E" w:rsidRPr="002C25C6">
        <w:rPr>
          <w:lang w:val="ru-RU"/>
        </w:rPr>
        <w:t>%) по сравнению с 201</w:t>
      </w:r>
      <w:r w:rsidR="00A9158C" w:rsidRPr="002C25C6">
        <w:rPr>
          <w:lang w:val="ru-RU"/>
        </w:rPr>
        <w:t>5</w:t>
      </w:r>
      <w:r w:rsidR="00810A7E" w:rsidRPr="002C25C6">
        <w:rPr>
          <w:lang w:val="ru-RU"/>
        </w:rPr>
        <w:t> годом</w:t>
      </w:r>
      <w:r w:rsidR="009137F5" w:rsidRPr="002C25C6">
        <w:rPr>
          <w:lang w:val="ru-RU"/>
        </w:rPr>
        <w:t xml:space="preserve">. Подробная информация о доходах с разбивкой представлена в </w:t>
      </w:r>
      <w:r w:rsidR="00810A7E" w:rsidRPr="002C25C6">
        <w:rPr>
          <w:lang w:val="ru-RU"/>
        </w:rPr>
        <w:t>Примечании 21 к Отчету о финансовой деятельности.</w:t>
      </w:r>
    </w:p>
    <w:p w:rsidR="00810A7E" w:rsidRPr="002C25C6" w:rsidRDefault="001D36C3" w:rsidP="008839E1">
      <w:pPr>
        <w:rPr>
          <w:lang w:val="ru-RU"/>
        </w:rPr>
      </w:pPr>
      <w:r w:rsidRPr="002C25C6">
        <w:rPr>
          <w:lang w:val="ru-RU"/>
        </w:rPr>
        <w:t>57</w:t>
      </w:r>
      <w:r w:rsidR="00810A7E" w:rsidRPr="002C25C6">
        <w:rPr>
          <w:lang w:val="ru-RU"/>
        </w:rPr>
        <w:tab/>
        <w:t>Расходы составили 1</w:t>
      </w:r>
      <w:r w:rsidRPr="002C25C6">
        <w:rPr>
          <w:lang w:val="ru-RU"/>
        </w:rPr>
        <w:t>88</w:t>
      </w:r>
      <w:r w:rsidR="00810A7E" w:rsidRPr="002C25C6">
        <w:rPr>
          <w:lang w:val="ru-RU"/>
        </w:rPr>
        <w:t>,</w:t>
      </w:r>
      <w:r w:rsidRPr="002C25C6">
        <w:rPr>
          <w:lang w:val="ru-RU"/>
        </w:rPr>
        <w:t>2</w:t>
      </w:r>
      <w:r w:rsidR="00810A7E" w:rsidRPr="002C25C6">
        <w:rPr>
          <w:lang w:val="ru-RU"/>
        </w:rPr>
        <w:t xml:space="preserve"> млн. швейцарских франков, </w:t>
      </w:r>
      <w:r w:rsidR="008839E1" w:rsidRPr="002C25C6">
        <w:rPr>
          <w:lang w:val="ru-RU"/>
        </w:rPr>
        <w:t>что на</w:t>
      </w:r>
      <w:r w:rsidR="00810A7E" w:rsidRPr="002C25C6">
        <w:rPr>
          <w:lang w:val="ru-RU"/>
        </w:rPr>
        <w:t xml:space="preserve"> </w:t>
      </w:r>
      <w:r w:rsidRPr="002C25C6">
        <w:rPr>
          <w:lang w:val="ru-RU"/>
        </w:rPr>
        <w:t>1</w:t>
      </w:r>
      <w:r w:rsidR="00810A7E" w:rsidRPr="002C25C6">
        <w:rPr>
          <w:lang w:val="ru-RU"/>
        </w:rPr>
        <w:t>,</w:t>
      </w:r>
      <w:r w:rsidRPr="002C25C6">
        <w:rPr>
          <w:lang w:val="ru-RU"/>
        </w:rPr>
        <w:t>9</w:t>
      </w:r>
      <w:r w:rsidR="00810A7E" w:rsidRPr="002C25C6">
        <w:rPr>
          <w:lang w:val="ru-RU"/>
        </w:rPr>
        <w:t> млн. швейцарских франков (</w:t>
      </w:r>
      <w:r w:rsidR="00CA7DD0" w:rsidRPr="002C25C6">
        <w:rPr>
          <w:lang w:val="ru-RU"/>
        </w:rPr>
        <w:t>−</w:t>
      </w:r>
      <w:r w:rsidRPr="002C25C6">
        <w:rPr>
          <w:lang w:val="ru-RU"/>
        </w:rPr>
        <w:t>1,0</w:t>
      </w:r>
      <w:r w:rsidR="00810A7E" w:rsidRPr="002C25C6">
        <w:rPr>
          <w:lang w:val="ru-RU"/>
        </w:rPr>
        <w:t>%)</w:t>
      </w:r>
      <w:r w:rsidR="008839E1" w:rsidRPr="002C25C6">
        <w:rPr>
          <w:lang w:val="ru-RU"/>
        </w:rPr>
        <w:t xml:space="preserve"> ниже, чем в</w:t>
      </w:r>
      <w:r w:rsidR="00810A7E" w:rsidRPr="002C25C6">
        <w:rPr>
          <w:lang w:val="ru-RU"/>
        </w:rPr>
        <w:t xml:space="preserve"> 201</w:t>
      </w:r>
      <w:r w:rsidRPr="002C25C6">
        <w:rPr>
          <w:lang w:val="ru-RU"/>
        </w:rPr>
        <w:t>5</w:t>
      </w:r>
      <w:r w:rsidR="00810A7E" w:rsidRPr="002C25C6">
        <w:rPr>
          <w:lang w:val="ru-RU"/>
        </w:rPr>
        <w:t> год</w:t>
      </w:r>
      <w:r w:rsidR="008839E1" w:rsidRPr="002C25C6">
        <w:rPr>
          <w:lang w:val="ru-RU"/>
        </w:rPr>
        <w:t>у</w:t>
      </w:r>
      <w:r w:rsidR="00810A7E" w:rsidRPr="002C25C6">
        <w:rPr>
          <w:lang w:val="ru-RU"/>
        </w:rPr>
        <w:t xml:space="preserve"> (1</w:t>
      </w:r>
      <w:r w:rsidR="00FE01CA" w:rsidRPr="002C25C6">
        <w:rPr>
          <w:lang w:val="ru-RU"/>
        </w:rPr>
        <w:t>90</w:t>
      </w:r>
      <w:r w:rsidR="00810A7E" w:rsidRPr="002C25C6">
        <w:rPr>
          <w:lang w:val="ru-RU"/>
        </w:rPr>
        <w:t>,</w:t>
      </w:r>
      <w:r w:rsidR="00FE01CA" w:rsidRPr="002C25C6">
        <w:rPr>
          <w:lang w:val="ru-RU"/>
        </w:rPr>
        <w:t>1</w:t>
      </w:r>
      <w:r w:rsidR="00810A7E" w:rsidRPr="002C25C6">
        <w:rPr>
          <w:lang w:val="ru-RU"/>
        </w:rPr>
        <w:t> млн. швейцарских франков). Расходы по персоналу в размере 1</w:t>
      </w:r>
      <w:r w:rsidR="00FE01CA" w:rsidRPr="002C25C6">
        <w:rPr>
          <w:lang w:val="ru-RU"/>
        </w:rPr>
        <w:t>47</w:t>
      </w:r>
      <w:r w:rsidR="00810A7E" w:rsidRPr="002C25C6">
        <w:rPr>
          <w:lang w:val="ru-RU"/>
        </w:rPr>
        <w:t> млн. швейцарских франков, составляющие 7</w:t>
      </w:r>
      <w:r w:rsidR="00FE01CA" w:rsidRPr="002C25C6">
        <w:rPr>
          <w:lang w:val="ru-RU"/>
        </w:rPr>
        <w:t>8</w:t>
      </w:r>
      <w:r w:rsidR="00810A7E" w:rsidRPr="002C25C6">
        <w:rPr>
          <w:lang w:val="ru-RU"/>
        </w:rPr>
        <w:t>,</w:t>
      </w:r>
      <w:r w:rsidR="00FE01CA" w:rsidRPr="002C25C6">
        <w:rPr>
          <w:lang w:val="ru-RU"/>
        </w:rPr>
        <w:t>1</w:t>
      </w:r>
      <w:r w:rsidR="00810A7E" w:rsidRPr="002C25C6">
        <w:rPr>
          <w:lang w:val="ru-RU"/>
        </w:rPr>
        <w:t xml:space="preserve">% общих расходов, </w:t>
      </w:r>
      <w:r w:rsidR="008839E1" w:rsidRPr="002C25C6">
        <w:rPr>
          <w:lang w:val="ru-RU"/>
        </w:rPr>
        <w:t xml:space="preserve">снизились </w:t>
      </w:r>
      <w:r w:rsidR="00810A7E" w:rsidRPr="002C25C6">
        <w:rPr>
          <w:lang w:val="ru-RU"/>
        </w:rPr>
        <w:t xml:space="preserve">на </w:t>
      </w:r>
      <w:r w:rsidR="00FE01CA" w:rsidRPr="002C25C6">
        <w:rPr>
          <w:lang w:val="ru-RU"/>
        </w:rPr>
        <w:t>3</w:t>
      </w:r>
      <w:r w:rsidR="00810A7E" w:rsidRPr="002C25C6">
        <w:rPr>
          <w:lang w:val="ru-RU"/>
        </w:rPr>
        <w:t>,</w:t>
      </w:r>
      <w:r w:rsidR="00FE01CA" w:rsidRPr="002C25C6">
        <w:rPr>
          <w:lang w:val="ru-RU"/>
        </w:rPr>
        <w:t>8</w:t>
      </w:r>
      <w:r w:rsidR="00810A7E" w:rsidRPr="002C25C6">
        <w:rPr>
          <w:lang w:val="ru-RU"/>
        </w:rPr>
        <w:t> млн. швейцарских франков (</w:t>
      </w:r>
      <w:r w:rsidR="00FE01CA" w:rsidRPr="002C25C6">
        <w:rPr>
          <w:lang w:val="ru-RU"/>
        </w:rPr>
        <w:t>–2,5</w:t>
      </w:r>
      <w:r w:rsidR="00810A7E" w:rsidRPr="002C25C6">
        <w:rPr>
          <w:lang w:val="ru-RU"/>
        </w:rPr>
        <w:t>%), как отмечается в Примечании 2</w:t>
      </w:r>
      <w:r w:rsidR="00FE01CA" w:rsidRPr="002C25C6">
        <w:rPr>
          <w:lang w:val="ru-RU"/>
        </w:rPr>
        <w:t>2</w:t>
      </w:r>
      <w:r w:rsidR="00810A7E" w:rsidRPr="002C25C6">
        <w:rPr>
          <w:lang w:val="ru-RU"/>
        </w:rPr>
        <w:t xml:space="preserve"> к От</w:t>
      </w:r>
      <w:r w:rsidR="00510B83" w:rsidRPr="002C25C6">
        <w:rPr>
          <w:lang w:val="ru-RU"/>
        </w:rPr>
        <w:t>чету о финансовой деятельности.</w:t>
      </w:r>
    </w:p>
    <w:p w:rsidR="00810A7E" w:rsidRPr="002C25C6" w:rsidRDefault="00810A7E" w:rsidP="00E752E3">
      <w:pPr>
        <w:pStyle w:val="Headingb"/>
        <w:rPr>
          <w:lang w:val="ru-RU"/>
        </w:rPr>
      </w:pPr>
      <w:bookmarkStart w:id="236" w:name="_Toc415170511"/>
      <w:bookmarkStart w:id="237" w:name="_Toc418501339"/>
      <w:bookmarkStart w:id="238" w:name="_Toc418597606"/>
      <w:bookmarkStart w:id="239" w:name="_Toc452157334"/>
      <w:bookmarkStart w:id="240" w:name="_Toc482995197"/>
      <w:r w:rsidRPr="002C25C6">
        <w:rPr>
          <w:lang w:val="ru-RU"/>
        </w:rPr>
        <w:t>Персонал</w:t>
      </w:r>
      <w:bookmarkEnd w:id="236"/>
      <w:bookmarkEnd w:id="237"/>
      <w:bookmarkEnd w:id="238"/>
      <w:bookmarkEnd w:id="239"/>
      <w:bookmarkEnd w:id="240"/>
    </w:p>
    <w:p w:rsidR="00810A7E" w:rsidRPr="002C25C6" w:rsidRDefault="004F7773" w:rsidP="00673B63">
      <w:pPr>
        <w:rPr>
          <w:lang w:val="ru-RU"/>
        </w:rPr>
      </w:pPr>
      <w:r w:rsidRPr="002C25C6">
        <w:rPr>
          <w:lang w:val="ru-RU"/>
        </w:rPr>
        <w:t>58</w:t>
      </w:r>
      <w:r w:rsidR="00810A7E" w:rsidRPr="002C25C6">
        <w:rPr>
          <w:lang w:val="ru-RU"/>
        </w:rPr>
        <w:tab/>
        <w:t>Мы прове</w:t>
      </w:r>
      <w:r w:rsidR="00BD00DB" w:rsidRPr="002C25C6">
        <w:rPr>
          <w:lang w:val="ru-RU"/>
        </w:rPr>
        <w:t>ри</w:t>
      </w:r>
      <w:r w:rsidR="00810A7E" w:rsidRPr="002C25C6">
        <w:rPr>
          <w:lang w:val="ru-RU"/>
        </w:rPr>
        <w:t>ли</w:t>
      </w:r>
      <w:r w:rsidR="00BD00DB" w:rsidRPr="002C25C6">
        <w:rPr>
          <w:lang w:val="ru-RU"/>
        </w:rPr>
        <w:t xml:space="preserve"> ряд</w:t>
      </w:r>
      <w:r w:rsidR="00810A7E" w:rsidRPr="002C25C6">
        <w:rPr>
          <w:lang w:val="ru-RU"/>
        </w:rPr>
        <w:t xml:space="preserve"> произвольно отобранных </w:t>
      </w:r>
      <w:r w:rsidR="00BD00DB" w:rsidRPr="002C25C6">
        <w:rPr>
          <w:lang w:val="ru-RU"/>
        </w:rPr>
        <w:t xml:space="preserve">ведомостей заработной платы </w:t>
      </w:r>
      <w:r w:rsidR="00810A7E" w:rsidRPr="002C25C6">
        <w:rPr>
          <w:lang w:val="ru-RU"/>
        </w:rPr>
        <w:t>сотрудников различных категорий и классов</w:t>
      </w:r>
      <w:r w:rsidR="00BD00DB" w:rsidRPr="002C25C6">
        <w:rPr>
          <w:lang w:val="ru-RU"/>
        </w:rPr>
        <w:t xml:space="preserve"> (категории общего обслуживания и категории специалистов), работающих в штаб-квартире и в отделениях на местах</w:t>
      </w:r>
      <w:r w:rsidR="00810A7E" w:rsidRPr="002C25C6">
        <w:rPr>
          <w:lang w:val="ru-RU"/>
        </w:rPr>
        <w:t>. Наша выборка включала также консультантов, работающих по специальным соглашениям об услугах (внештатный персонал</w:t>
      </w:r>
      <w:r w:rsidR="004F5399" w:rsidRPr="002C25C6">
        <w:rPr>
          <w:lang w:val="ru-RU"/>
        </w:rPr>
        <w:t>)</w:t>
      </w:r>
      <w:r w:rsidR="00BD00DB" w:rsidRPr="002C25C6">
        <w:rPr>
          <w:lang w:val="ru-RU"/>
        </w:rPr>
        <w:t>.</w:t>
      </w:r>
      <w:r w:rsidR="00810A7E" w:rsidRPr="002C25C6">
        <w:rPr>
          <w:lang w:val="ru-RU"/>
        </w:rPr>
        <w:t xml:space="preserve"> Мы проверили точность</w:t>
      </w:r>
      <w:r w:rsidR="00BD00DB" w:rsidRPr="002C25C6">
        <w:rPr>
          <w:lang w:val="ru-RU"/>
        </w:rPr>
        <w:t xml:space="preserve"> начисленных сумм в сравнении с соответствующими пакетами вознаграждения и запросили данные из личных дел</w:t>
      </w:r>
      <w:r w:rsidR="00810A7E" w:rsidRPr="002C25C6">
        <w:rPr>
          <w:lang w:val="ru-RU"/>
        </w:rPr>
        <w:t xml:space="preserve">, </w:t>
      </w:r>
      <w:r w:rsidR="00BD00DB" w:rsidRPr="002C25C6">
        <w:rPr>
          <w:lang w:val="ru-RU"/>
        </w:rPr>
        <w:t>подтверждающие необходимость предоставления пособий</w:t>
      </w:r>
      <w:r w:rsidR="00810A7E" w:rsidRPr="002C25C6">
        <w:rPr>
          <w:lang w:val="ru-RU"/>
        </w:rPr>
        <w:t xml:space="preserve">. </w:t>
      </w:r>
      <w:r w:rsidR="00BD00DB" w:rsidRPr="002C25C6">
        <w:rPr>
          <w:lang w:val="ru-RU"/>
        </w:rPr>
        <w:t>Наши проверки</w:t>
      </w:r>
      <w:r w:rsidR="00673B63" w:rsidRPr="002C25C6">
        <w:rPr>
          <w:lang w:val="ru-RU"/>
        </w:rPr>
        <w:t>,</w:t>
      </w:r>
      <w:r w:rsidR="00BD00DB" w:rsidRPr="002C25C6">
        <w:rPr>
          <w:lang w:val="ru-RU"/>
        </w:rPr>
        <w:t xml:space="preserve"> по существу</w:t>
      </w:r>
      <w:r w:rsidR="00673B63" w:rsidRPr="002C25C6">
        <w:rPr>
          <w:lang w:val="ru-RU"/>
        </w:rPr>
        <w:t xml:space="preserve">, </w:t>
      </w:r>
      <w:r w:rsidR="00BD00DB" w:rsidRPr="002C25C6">
        <w:rPr>
          <w:lang w:val="ru-RU"/>
        </w:rPr>
        <w:t>не выявили</w:t>
      </w:r>
      <w:r w:rsidR="00810A7E" w:rsidRPr="002C25C6">
        <w:rPr>
          <w:lang w:val="ru-RU"/>
        </w:rPr>
        <w:t xml:space="preserve"> каких-либо ошибок или существенных </w:t>
      </w:r>
      <w:r w:rsidR="00BD00DB" w:rsidRPr="002C25C6">
        <w:rPr>
          <w:lang w:val="ru-RU"/>
        </w:rPr>
        <w:t>проблем</w:t>
      </w:r>
      <w:r w:rsidR="00810A7E" w:rsidRPr="002C25C6">
        <w:rPr>
          <w:lang w:val="ru-RU"/>
        </w:rPr>
        <w:t>,</w:t>
      </w:r>
      <w:r w:rsidR="00BD00DB" w:rsidRPr="002C25C6">
        <w:rPr>
          <w:lang w:val="ru-RU"/>
        </w:rPr>
        <w:t xml:space="preserve"> и</w:t>
      </w:r>
      <w:r w:rsidR="00810A7E" w:rsidRPr="002C25C6">
        <w:rPr>
          <w:lang w:val="ru-RU"/>
        </w:rPr>
        <w:t xml:space="preserve"> поэтому считаем, что получили достаточные доказательства того, что данные</w:t>
      </w:r>
      <w:r w:rsidR="00FB6C6B" w:rsidRPr="002C25C6">
        <w:rPr>
          <w:lang w:val="ru-RU"/>
        </w:rPr>
        <w:t xml:space="preserve">, зафиксированные в </w:t>
      </w:r>
      <w:r w:rsidR="00810A7E" w:rsidRPr="002C25C6">
        <w:rPr>
          <w:lang w:val="ru-RU"/>
        </w:rPr>
        <w:t>ведомост</w:t>
      </w:r>
      <w:r w:rsidR="00FB6C6B" w:rsidRPr="002C25C6">
        <w:rPr>
          <w:lang w:val="ru-RU"/>
        </w:rPr>
        <w:t>ях,</w:t>
      </w:r>
      <w:r w:rsidR="00810A7E" w:rsidRPr="002C25C6">
        <w:rPr>
          <w:lang w:val="ru-RU"/>
        </w:rPr>
        <w:t xml:space="preserve"> верны. </w:t>
      </w:r>
    </w:p>
    <w:p w:rsidR="00F66D99" w:rsidRPr="002C25C6" w:rsidRDefault="00F66D99" w:rsidP="004A11D4">
      <w:pPr>
        <w:rPr>
          <w:lang w:val="ru-RU"/>
        </w:rPr>
      </w:pPr>
      <w:r w:rsidRPr="002C25C6">
        <w:rPr>
          <w:lang w:val="ru-RU"/>
        </w:rPr>
        <w:t>59</w:t>
      </w:r>
      <w:r w:rsidRPr="002C25C6">
        <w:rPr>
          <w:lang w:val="ru-RU"/>
        </w:rPr>
        <w:tab/>
      </w:r>
      <w:r w:rsidR="00F65AEB" w:rsidRPr="002C25C6">
        <w:rPr>
          <w:lang w:val="ru-RU"/>
        </w:rPr>
        <w:t xml:space="preserve">В </w:t>
      </w:r>
      <w:r w:rsidR="009C0827" w:rsidRPr="002C25C6">
        <w:rPr>
          <w:lang w:val="ru-RU"/>
        </w:rPr>
        <w:t>2016</w:t>
      </w:r>
      <w:r w:rsidR="00F65AEB" w:rsidRPr="002C25C6">
        <w:rPr>
          <w:lang w:val="ru-RU"/>
        </w:rPr>
        <w:t xml:space="preserve"> году был</w:t>
      </w:r>
      <w:r w:rsidR="004A11D4">
        <w:rPr>
          <w:lang w:val="ru-RU"/>
        </w:rPr>
        <w:t>и</w:t>
      </w:r>
      <w:r w:rsidR="00F65AEB" w:rsidRPr="002C25C6">
        <w:rPr>
          <w:lang w:val="ru-RU"/>
        </w:rPr>
        <w:t xml:space="preserve"> отмечен</w:t>
      </w:r>
      <w:r w:rsidR="004A11D4">
        <w:rPr>
          <w:lang w:val="ru-RU"/>
        </w:rPr>
        <w:t>ы</w:t>
      </w:r>
      <w:r w:rsidR="00F65AEB" w:rsidRPr="002C25C6">
        <w:rPr>
          <w:lang w:val="ru-RU"/>
        </w:rPr>
        <w:t xml:space="preserve"> некотор</w:t>
      </w:r>
      <w:r w:rsidR="004A11D4">
        <w:rPr>
          <w:lang w:val="ru-RU"/>
        </w:rPr>
        <w:t>ы</w:t>
      </w:r>
      <w:r w:rsidR="00F65AEB" w:rsidRPr="002C25C6">
        <w:rPr>
          <w:lang w:val="ru-RU"/>
        </w:rPr>
        <w:t>е ново</w:t>
      </w:r>
      <w:r w:rsidR="004A11D4">
        <w:rPr>
          <w:lang w:val="ru-RU"/>
        </w:rPr>
        <w:t>введения</w:t>
      </w:r>
      <w:r w:rsidR="00F65AEB" w:rsidRPr="002C25C6">
        <w:rPr>
          <w:lang w:val="ru-RU"/>
        </w:rPr>
        <w:t>, касающи</w:t>
      </w:r>
      <w:r w:rsidR="004A11D4">
        <w:rPr>
          <w:lang w:val="ru-RU"/>
        </w:rPr>
        <w:t>е</w:t>
      </w:r>
      <w:r w:rsidR="00F65AEB" w:rsidRPr="002C25C6">
        <w:rPr>
          <w:lang w:val="ru-RU"/>
        </w:rPr>
        <w:t>ся управления людскими ресурсами</w:t>
      </w:r>
      <w:r w:rsidR="009C0827" w:rsidRPr="002C25C6">
        <w:rPr>
          <w:lang w:val="ru-RU"/>
        </w:rPr>
        <w:t xml:space="preserve">. </w:t>
      </w:r>
      <w:r w:rsidR="00F65AEB" w:rsidRPr="002C25C6">
        <w:rPr>
          <w:lang w:val="ru-RU"/>
        </w:rPr>
        <w:t>Речь идет</w:t>
      </w:r>
      <w:r w:rsidR="00673B63" w:rsidRPr="002C25C6">
        <w:rPr>
          <w:lang w:val="ru-RU"/>
        </w:rPr>
        <w:t>,</w:t>
      </w:r>
      <w:r w:rsidR="00F65AEB" w:rsidRPr="002C25C6">
        <w:rPr>
          <w:lang w:val="ru-RU"/>
        </w:rPr>
        <w:t xml:space="preserve"> в частности</w:t>
      </w:r>
      <w:r w:rsidR="00673B63" w:rsidRPr="002C25C6">
        <w:rPr>
          <w:lang w:val="ru-RU"/>
        </w:rPr>
        <w:t>,</w:t>
      </w:r>
      <w:r w:rsidR="00F65AEB" w:rsidRPr="002C25C6">
        <w:rPr>
          <w:lang w:val="ru-RU"/>
        </w:rPr>
        <w:t xml:space="preserve"> о принятии пересмотренного пакета вознаграждения для сотрудников категории специалистов и выше</w:t>
      </w:r>
      <w:r w:rsidR="009C0827" w:rsidRPr="002C25C6">
        <w:rPr>
          <w:lang w:val="ru-RU"/>
        </w:rPr>
        <w:t xml:space="preserve"> (</w:t>
      </w:r>
      <w:r w:rsidR="00F65AEB" w:rsidRPr="002C25C6">
        <w:rPr>
          <w:lang w:val="ru-RU"/>
        </w:rPr>
        <w:t xml:space="preserve">в соответствии с </w:t>
      </w:r>
      <w:r w:rsidR="00673B63" w:rsidRPr="002C25C6">
        <w:rPr>
          <w:lang w:val="ru-RU"/>
        </w:rPr>
        <w:t xml:space="preserve">резолюцией </w:t>
      </w:r>
      <w:r w:rsidR="009C0827" w:rsidRPr="002C25C6">
        <w:rPr>
          <w:lang w:val="ru-RU"/>
        </w:rPr>
        <w:t xml:space="preserve">70/244 </w:t>
      </w:r>
      <w:r w:rsidR="00F65AEB" w:rsidRPr="002C25C6">
        <w:rPr>
          <w:lang w:val="ru-RU"/>
        </w:rPr>
        <w:t>Генеральной Ассамблеи ООН</w:t>
      </w:r>
      <w:r w:rsidR="009C0827" w:rsidRPr="002C25C6">
        <w:rPr>
          <w:lang w:val="ru-RU"/>
        </w:rPr>
        <w:t>),</w:t>
      </w:r>
      <w:r w:rsidR="00F65AEB" w:rsidRPr="002C25C6">
        <w:rPr>
          <w:lang w:val="ru-RU"/>
        </w:rPr>
        <w:t xml:space="preserve"> цель которого заключается в обеспечении общего сдерживания затрат</w:t>
      </w:r>
      <w:r w:rsidR="009C0827" w:rsidRPr="002C25C6">
        <w:rPr>
          <w:lang w:val="ru-RU"/>
        </w:rPr>
        <w:t>.</w:t>
      </w:r>
      <w:r w:rsidR="00F65AEB" w:rsidRPr="002C25C6">
        <w:rPr>
          <w:lang w:val="ru-RU"/>
        </w:rPr>
        <w:t xml:space="preserve"> Это необходимо было осуществлять в два этапа</w:t>
      </w:r>
      <w:r w:rsidR="009C0827" w:rsidRPr="002C25C6">
        <w:rPr>
          <w:lang w:val="ru-RU"/>
        </w:rPr>
        <w:t>:</w:t>
      </w:r>
      <w:r w:rsidR="00F65AEB" w:rsidRPr="002C25C6">
        <w:rPr>
          <w:lang w:val="ru-RU"/>
        </w:rPr>
        <w:t xml:space="preserve"> с 1 января 2017 года введена шкала окладов с едиными ставками</w:t>
      </w:r>
      <w:r w:rsidR="009C0827" w:rsidRPr="002C25C6">
        <w:rPr>
          <w:lang w:val="ru-RU"/>
        </w:rPr>
        <w:t xml:space="preserve"> (</w:t>
      </w:r>
      <w:r w:rsidR="00F65AEB" w:rsidRPr="002C25C6">
        <w:rPr>
          <w:lang w:val="ru-RU"/>
        </w:rPr>
        <w:t>независимо от наличия иждивенцев</w:t>
      </w:r>
      <w:r w:rsidR="009C0827" w:rsidRPr="002C25C6">
        <w:rPr>
          <w:lang w:val="ru-RU"/>
        </w:rPr>
        <w:t xml:space="preserve">); </w:t>
      </w:r>
      <w:r w:rsidR="004B2536" w:rsidRPr="002C25C6">
        <w:rPr>
          <w:lang w:val="ru-RU"/>
        </w:rPr>
        <w:t>новая система выплаты субсидий на образование вступит в силу с января</w:t>
      </w:r>
      <w:r w:rsidR="009C0827" w:rsidRPr="002C25C6">
        <w:rPr>
          <w:lang w:val="ru-RU"/>
        </w:rPr>
        <w:t xml:space="preserve"> 2018</w:t>
      </w:r>
      <w:r w:rsidR="004B2536" w:rsidRPr="002C25C6">
        <w:rPr>
          <w:lang w:val="ru-RU"/>
        </w:rPr>
        <w:t xml:space="preserve"> года</w:t>
      </w:r>
      <w:r w:rsidR="009C0827" w:rsidRPr="002C25C6">
        <w:rPr>
          <w:lang w:val="ru-RU"/>
        </w:rPr>
        <w:t>.</w:t>
      </w:r>
      <w:r w:rsidR="004B2536" w:rsidRPr="002C25C6">
        <w:rPr>
          <w:lang w:val="ru-RU"/>
        </w:rPr>
        <w:t xml:space="preserve"> Кроме того, принята новая система компетенций МСЭ, которая увязывается со стратегическими целями МСЭ, зафиксированными в четырехгодичных скользящих </w:t>
      </w:r>
      <w:r w:rsidR="00673B63" w:rsidRPr="002C25C6">
        <w:rPr>
          <w:lang w:val="ru-RU"/>
        </w:rPr>
        <w:t xml:space="preserve">Оперативных </w:t>
      </w:r>
      <w:r w:rsidR="004B2536" w:rsidRPr="002C25C6">
        <w:rPr>
          <w:lang w:val="ru-RU"/>
        </w:rPr>
        <w:t>планах</w:t>
      </w:r>
      <w:r w:rsidR="009C0827" w:rsidRPr="002C25C6">
        <w:rPr>
          <w:lang w:val="ru-RU"/>
        </w:rPr>
        <w:t xml:space="preserve">. </w:t>
      </w:r>
      <w:r w:rsidR="004B2536" w:rsidRPr="002C25C6">
        <w:rPr>
          <w:lang w:val="ru-RU"/>
        </w:rPr>
        <w:t>Базовые и управленческие компетенции будут интегрированы в новый электронный инструмент оценки производственных показателей</w:t>
      </w:r>
      <w:r w:rsidR="009C0827" w:rsidRPr="002C25C6">
        <w:rPr>
          <w:lang w:val="ru-RU"/>
        </w:rPr>
        <w:t xml:space="preserve"> (</w:t>
      </w:r>
      <w:r w:rsidR="004B2536" w:rsidRPr="002C25C6">
        <w:rPr>
          <w:lang w:val="ru-RU"/>
        </w:rPr>
        <w:t>система аттестации персонала</w:t>
      </w:r>
      <w:r w:rsidR="009C0827" w:rsidRPr="002C25C6">
        <w:rPr>
          <w:lang w:val="ru-RU"/>
        </w:rPr>
        <w:t xml:space="preserve">), </w:t>
      </w:r>
      <w:r w:rsidR="004B2536" w:rsidRPr="002C25C6">
        <w:rPr>
          <w:lang w:val="ru-RU"/>
        </w:rPr>
        <w:t>которая в настоящее время разрабатывается</w:t>
      </w:r>
      <w:r w:rsidR="009C0827" w:rsidRPr="002C25C6">
        <w:rPr>
          <w:lang w:val="ru-RU"/>
        </w:rPr>
        <w:t>.</w:t>
      </w:r>
    </w:p>
    <w:p w:rsidR="00F66D99" w:rsidRPr="002C25C6" w:rsidRDefault="00F66D99" w:rsidP="00313A26">
      <w:pPr>
        <w:rPr>
          <w:lang w:val="ru-RU"/>
        </w:rPr>
      </w:pPr>
      <w:r w:rsidRPr="002C25C6">
        <w:rPr>
          <w:lang w:val="ru-RU"/>
        </w:rPr>
        <w:t>60</w:t>
      </w:r>
      <w:r w:rsidRPr="002C25C6">
        <w:rPr>
          <w:lang w:val="ru-RU"/>
        </w:rPr>
        <w:tab/>
      </w:r>
      <w:r w:rsidR="00AB10D6" w:rsidRPr="002C25C6">
        <w:rPr>
          <w:lang w:val="ru-RU"/>
        </w:rPr>
        <w:t>С другой стороны, в 2016 году не было принято никаких конкретных мер в отношении внештатного персонала</w:t>
      </w:r>
      <w:r w:rsidR="009C0827" w:rsidRPr="002C25C6">
        <w:rPr>
          <w:lang w:val="ru-RU"/>
        </w:rPr>
        <w:t>.</w:t>
      </w:r>
      <w:r w:rsidR="00AB10D6" w:rsidRPr="002C25C6">
        <w:rPr>
          <w:lang w:val="ru-RU"/>
        </w:rPr>
        <w:t xml:space="preserve"> В наших отчетах за последние годы мы обращали внимание на продолжающееся использование внештатных консультантов, которые частично выполняют текущие обычные задачи</w:t>
      </w:r>
      <w:r w:rsidR="004D520F" w:rsidRPr="002C25C6">
        <w:rPr>
          <w:lang w:val="ru-RU"/>
        </w:rPr>
        <w:t>, а не специализированные задачи, для выполнения которых у организации нет соответствующего опыта или потенциала</w:t>
      </w:r>
      <w:r w:rsidR="009C0827" w:rsidRPr="002C25C6">
        <w:rPr>
          <w:lang w:val="ru-RU"/>
        </w:rPr>
        <w:t>.</w:t>
      </w:r>
      <w:r w:rsidR="004D520F" w:rsidRPr="002C25C6">
        <w:rPr>
          <w:lang w:val="ru-RU"/>
        </w:rPr>
        <w:t xml:space="preserve"> Отвечая на наше предложение №</w:t>
      </w:r>
      <w:r w:rsidR="009C0827" w:rsidRPr="002C25C6">
        <w:rPr>
          <w:lang w:val="ru-RU"/>
        </w:rPr>
        <w:t xml:space="preserve"> 7/2014, </w:t>
      </w:r>
      <w:r w:rsidR="004D520F" w:rsidRPr="002C25C6">
        <w:rPr>
          <w:lang w:val="ru-RU"/>
        </w:rPr>
        <w:t xml:space="preserve">руководство сообщило о своем намерении рассмотреть текущую ситуацию и внедрить новую политику заключения контрактов </w:t>
      </w:r>
      <w:proofErr w:type="spellStart"/>
      <w:r w:rsidR="009C0827" w:rsidRPr="002C25C6">
        <w:rPr>
          <w:lang w:val="ru-RU"/>
        </w:rPr>
        <w:t>SSA</w:t>
      </w:r>
      <w:proofErr w:type="spellEnd"/>
      <w:r w:rsidR="009C0827" w:rsidRPr="002C25C6">
        <w:rPr>
          <w:lang w:val="ru-RU"/>
        </w:rPr>
        <w:t xml:space="preserve">. </w:t>
      </w:r>
      <w:r w:rsidR="004D520F" w:rsidRPr="002C25C6">
        <w:rPr>
          <w:lang w:val="ru-RU"/>
        </w:rPr>
        <w:t xml:space="preserve">В том же духе, в отчете о выполнении рекомендаций </w:t>
      </w:r>
      <w:proofErr w:type="spellStart"/>
      <w:r w:rsidR="004D520F" w:rsidRPr="002C25C6">
        <w:rPr>
          <w:lang w:val="ru-RU"/>
        </w:rPr>
        <w:t>ОИГ</w:t>
      </w:r>
      <w:proofErr w:type="spellEnd"/>
      <w:r w:rsidR="004D520F" w:rsidRPr="002C25C6">
        <w:rPr>
          <w:lang w:val="ru-RU"/>
        </w:rPr>
        <w:t xml:space="preserve"> в рамках</w:t>
      </w:r>
      <w:r w:rsidR="009C0827" w:rsidRPr="002C25C6">
        <w:rPr>
          <w:lang w:val="ru-RU"/>
        </w:rPr>
        <w:t xml:space="preserve"> "Обзор</w:t>
      </w:r>
      <w:r w:rsidR="004D520F" w:rsidRPr="002C25C6">
        <w:rPr>
          <w:lang w:val="ru-RU"/>
        </w:rPr>
        <w:t>а</w:t>
      </w:r>
      <w:r w:rsidR="009C0827" w:rsidRPr="002C25C6">
        <w:rPr>
          <w:lang w:val="ru-RU"/>
        </w:rPr>
        <w:t xml:space="preserve"> управления и администрирования в Международном союзе электросвязи (МСЭ)" </w:t>
      </w:r>
      <w:r w:rsidR="004D520F" w:rsidRPr="002C25C6">
        <w:rPr>
          <w:lang w:val="ru-RU"/>
        </w:rPr>
        <w:t>отмечается, что</w:t>
      </w:r>
      <w:r w:rsidR="009C0827" w:rsidRPr="002C25C6">
        <w:rPr>
          <w:lang w:val="ru-RU"/>
        </w:rPr>
        <w:t xml:space="preserve"> </w:t>
      </w:r>
      <w:r w:rsidR="004D520F" w:rsidRPr="002C25C6">
        <w:rPr>
          <w:lang w:val="ru-RU"/>
        </w:rPr>
        <w:t>с</w:t>
      </w:r>
      <w:r w:rsidR="004D520F" w:rsidRPr="002C25C6">
        <w:rPr>
          <w:color w:val="000000"/>
          <w:lang w:val="ru-RU"/>
        </w:rPr>
        <w:t>ессии Совета 2017 года будет представлена "комплексная оценка ситуации в целях создания новых нормативно-правовых рамок"</w:t>
      </w:r>
      <w:r w:rsidR="009C0827" w:rsidRPr="002C25C6">
        <w:rPr>
          <w:lang w:val="ru-RU"/>
        </w:rPr>
        <w:t>.</w:t>
      </w:r>
      <w:r w:rsidR="004D520F" w:rsidRPr="002C25C6">
        <w:rPr>
          <w:lang w:val="ru-RU"/>
        </w:rPr>
        <w:t xml:space="preserve"> В мае</w:t>
      </w:r>
      <w:r w:rsidR="009C0827" w:rsidRPr="002C25C6">
        <w:rPr>
          <w:lang w:val="ru-RU"/>
        </w:rPr>
        <w:t xml:space="preserve"> 2017</w:t>
      </w:r>
      <w:r w:rsidR="004D520F" w:rsidRPr="002C25C6">
        <w:rPr>
          <w:lang w:val="ru-RU"/>
        </w:rPr>
        <w:t xml:space="preserve"> года нам был представлен проект документа об использовании консультантов</w:t>
      </w:r>
      <w:r w:rsidR="009C0827" w:rsidRPr="002C25C6">
        <w:rPr>
          <w:lang w:val="ru-RU"/>
        </w:rPr>
        <w:t>.</w:t>
      </w:r>
      <w:r w:rsidR="004D520F" w:rsidRPr="002C25C6">
        <w:rPr>
          <w:lang w:val="ru-RU"/>
        </w:rPr>
        <w:t xml:space="preserve"> Цель документа заключается в том, чтобы обеспечить руководящие указания относительно правильного использования контрактов</w:t>
      </w:r>
      <w:r w:rsidR="009C0827" w:rsidRPr="002C25C6">
        <w:rPr>
          <w:lang w:val="ru-RU"/>
        </w:rPr>
        <w:t xml:space="preserve"> </w:t>
      </w:r>
      <w:proofErr w:type="spellStart"/>
      <w:r w:rsidR="009C0827" w:rsidRPr="002C25C6">
        <w:rPr>
          <w:lang w:val="ru-RU"/>
        </w:rPr>
        <w:t>SSA</w:t>
      </w:r>
      <w:proofErr w:type="spellEnd"/>
      <w:r w:rsidR="004D520F" w:rsidRPr="002C25C6">
        <w:rPr>
          <w:lang w:val="ru-RU"/>
        </w:rPr>
        <w:t>, а также установить единообразную процедуру набора</w:t>
      </w:r>
      <w:r w:rsidR="00313A26" w:rsidRPr="002C25C6">
        <w:rPr>
          <w:lang w:val="ru-RU"/>
        </w:rPr>
        <w:t xml:space="preserve"> персонала во всей организации</w:t>
      </w:r>
      <w:r w:rsidR="009C0827" w:rsidRPr="002C25C6">
        <w:rPr>
          <w:lang w:val="ru-RU"/>
        </w:rPr>
        <w:t>.</w:t>
      </w:r>
      <w:r w:rsidR="00313A26" w:rsidRPr="002C25C6">
        <w:rPr>
          <w:lang w:val="ru-RU"/>
        </w:rPr>
        <w:t xml:space="preserve"> В соответствии с его требованиями, эти контракты заключаются на ограниченный период времени с четким указанием условий для его продления (на разовой основе</w:t>
      </w:r>
      <w:r w:rsidR="009C0827" w:rsidRPr="002C25C6">
        <w:rPr>
          <w:lang w:val="ru-RU"/>
        </w:rPr>
        <w:t xml:space="preserve">), </w:t>
      </w:r>
      <w:r w:rsidR="00313A26" w:rsidRPr="002C25C6">
        <w:rPr>
          <w:lang w:val="ru-RU"/>
        </w:rPr>
        <w:t>причем они предоставляются только для выполнения специализированных задач с поддающимися измерению результатами (итогами</w:t>
      </w:r>
      <w:r w:rsidR="009C0827" w:rsidRPr="002C25C6">
        <w:rPr>
          <w:lang w:val="ru-RU"/>
        </w:rPr>
        <w:t xml:space="preserve">). </w:t>
      </w:r>
      <w:r w:rsidR="00313A26" w:rsidRPr="002C25C6">
        <w:rPr>
          <w:lang w:val="ru-RU"/>
        </w:rPr>
        <w:lastRenderedPageBreak/>
        <w:t>Вместе с тем, мы понимаем, что внутреннее рассмотрение все еще ожидается и руководящие указания будут представлены Совету только для информации</w:t>
      </w:r>
      <w:r w:rsidR="009C0827" w:rsidRPr="002C25C6">
        <w:rPr>
          <w:lang w:val="ru-RU"/>
        </w:rPr>
        <w:t xml:space="preserve">. </w:t>
      </w:r>
    </w:p>
    <w:p w:rsidR="00810A7E" w:rsidRPr="002C25C6" w:rsidRDefault="000505E5" w:rsidP="00BC42F2">
      <w:pPr>
        <w:rPr>
          <w:lang w:val="ru-RU"/>
        </w:rPr>
      </w:pPr>
      <w:bookmarkStart w:id="241" w:name="_Toc415170513"/>
      <w:r w:rsidRPr="002C25C6">
        <w:rPr>
          <w:lang w:val="ru-RU"/>
        </w:rPr>
        <w:t>61</w:t>
      </w:r>
      <w:r w:rsidR="00810A7E" w:rsidRPr="002C25C6">
        <w:rPr>
          <w:lang w:val="ru-RU"/>
        </w:rPr>
        <w:tab/>
        <w:t>В 201</w:t>
      </w:r>
      <w:r w:rsidRPr="002C25C6">
        <w:rPr>
          <w:lang w:val="ru-RU"/>
        </w:rPr>
        <w:t>6</w:t>
      </w:r>
      <w:r w:rsidR="00810A7E" w:rsidRPr="002C25C6">
        <w:rPr>
          <w:lang w:val="ru-RU"/>
        </w:rPr>
        <w:t xml:space="preserve"> году число лиц, имевших по крайней мере один контракт на предоставление консультационных услуг, было следующим: </w:t>
      </w:r>
      <w:proofErr w:type="spellStart"/>
      <w:r w:rsidR="00810A7E" w:rsidRPr="002C25C6">
        <w:rPr>
          <w:lang w:val="ru-RU"/>
        </w:rPr>
        <w:t>ГС</w:t>
      </w:r>
      <w:proofErr w:type="spellEnd"/>
      <w:r w:rsidR="00810A7E" w:rsidRPr="002C25C6">
        <w:rPr>
          <w:lang w:val="ru-RU"/>
        </w:rPr>
        <w:t xml:space="preserve">: </w:t>
      </w:r>
      <w:r w:rsidRPr="002C25C6">
        <w:rPr>
          <w:lang w:val="ru-RU"/>
        </w:rPr>
        <w:t>128</w:t>
      </w:r>
      <w:r w:rsidR="00810A7E" w:rsidRPr="002C25C6">
        <w:rPr>
          <w:lang w:val="ru-RU"/>
        </w:rPr>
        <w:t xml:space="preserve"> </w:t>
      </w:r>
      <w:r w:rsidRPr="002C25C6">
        <w:rPr>
          <w:lang w:val="ru-RU"/>
        </w:rPr>
        <w:t>(</w:t>
      </w:r>
      <w:r w:rsidR="00C84B50" w:rsidRPr="002C25C6">
        <w:rPr>
          <w:lang w:val="ru-RU"/>
        </w:rPr>
        <w:t>исключая письменных переводчиков</w:t>
      </w:r>
      <w:r w:rsidRPr="002C25C6">
        <w:rPr>
          <w:lang w:val="ru-RU"/>
        </w:rPr>
        <w:t>)</w:t>
      </w:r>
      <w:r w:rsidR="00810A7E" w:rsidRPr="002C25C6">
        <w:rPr>
          <w:lang w:val="ru-RU"/>
        </w:rPr>
        <w:t xml:space="preserve">, БСЭ: </w:t>
      </w:r>
      <w:r w:rsidRPr="002C25C6">
        <w:rPr>
          <w:lang w:val="ru-RU"/>
        </w:rPr>
        <w:t>61</w:t>
      </w:r>
      <w:r w:rsidR="00BC42F2" w:rsidRPr="002C25C6">
        <w:rPr>
          <w:lang w:val="ru-RU"/>
        </w:rPr>
        <w:t>;</w:t>
      </w:r>
      <w:r w:rsidR="00810A7E" w:rsidRPr="002C25C6">
        <w:rPr>
          <w:lang w:val="ru-RU"/>
        </w:rPr>
        <w:t xml:space="preserve"> </w:t>
      </w:r>
      <w:proofErr w:type="spellStart"/>
      <w:r w:rsidR="00810A7E" w:rsidRPr="002C25C6">
        <w:rPr>
          <w:lang w:val="ru-RU"/>
        </w:rPr>
        <w:t>БР</w:t>
      </w:r>
      <w:proofErr w:type="spellEnd"/>
      <w:r w:rsidR="00810A7E" w:rsidRPr="002C25C6">
        <w:rPr>
          <w:lang w:val="ru-RU"/>
        </w:rPr>
        <w:t>:</w:t>
      </w:r>
      <w:r w:rsidR="00E752E3" w:rsidRPr="002C25C6">
        <w:rPr>
          <w:lang w:val="ru-RU"/>
        </w:rPr>
        <w:t> </w:t>
      </w:r>
      <w:r w:rsidR="00907941" w:rsidRPr="002C25C6">
        <w:rPr>
          <w:lang w:val="ru-RU"/>
        </w:rPr>
        <w:t>12</w:t>
      </w:r>
      <w:r w:rsidR="00BC42F2" w:rsidRPr="002C25C6">
        <w:rPr>
          <w:lang w:val="ru-RU"/>
        </w:rPr>
        <w:t>;</w:t>
      </w:r>
      <w:r w:rsidR="00810A7E" w:rsidRPr="002C25C6">
        <w:rPr>
          <w:lang w:val="ru-RU"/>
        </w:rPr>
        <w:t xml:space="preserve"> БРЭ: 2</w:t>
      </w:r>
      <w:r w:rsidR="009C7431" w:rsidRPr="002C25C6">
        <w:rPr>
          <w:lang w:val="ru-RU"/>
        </w:rPr>
        <w:t>39</w:t>
      </w:r>
      <w:r w:rsidR="00810A7E" w:rsidRPr="002C25C6">
        <w:rPr>
          <w:lang w:val="ru-RU"/>
        </w:rPr>
        <w:t>. В 201</w:t>
      </w:r>
      <w:r w:rsidR="000928B3" w:rsidRPr="002C25C6">
        <w:rPr>
          <w:lang w:val="ru-RU"/>
        </w:rPr>
        <w:t>5</w:t>
      </w:r>
      <w:r w:rsidR="00810A7E" w:rsidRPr="002C25C6">
        <w:rPr>
          <w:lang w:val="ru-RU"/>
        </w:rPr>
        <w:t xml:space="preserve"> году соответствующие цифры были следующими: </w:t>
      </w:r>
      <w:proofErr w:type="spellStart"/>
      <w:r w:rsidR="00810A7E" w:rsidRPr="002C25C6">
        <w:rPr>
          <w:lang w:val="ru-RU"/>
        </w:rPr>
        <w:t>ГС</w:t>
      </w:r>
      <w:proofErr w:type="spellEnd"/>
      <w:r w:rsidR="00810A7E" w:rsidRPr="002C25C6">
        <w:rPr>
          <w:lang w:val="ru-RU"/>
        </w:rPr>
        <w:t>: 1</w:t>
      </w:r>
      <w:r w:rsidR="00024F8C" w:rsidRPr="002C25C6">
        <w:rPr>
          <w:lang w:val="ru-RU"/>
        </w:rPr>
        <w:t>59</w:t>
      </w:r>
      <w:r w:rsidR="00BC42F2" w:rsidRPr="002C25C6">
        <w:rPr>
          <w:lang w:val="ru-RU"/>
        </w:rPr>
        <w:t>;</w:t>
      </w:r>
      <w:r w:rsidR="00810A7E" w:rsidRPr="002C25C6">
        <w:rPr>
          <w:lang w:val="ru-RU"/>
        </w:rPr>
        <w:t xml:space="preserve"> БСЭ:</w:t>
      </w:r>
      <w:r w:rsidR="00780FBB" w:rsidRPr="002C25C6">
        <w:rPr>
          <w:lang w:val="ru-RU"/>
        </w:rPr>
        <w:t> </w:t>
      </w:r>
      <w:r w:rsidR="000A4485" w:rsidRPr="002C25C6">
        <w:rPr>
          <w:lang w:val="ru-RU"/>
        </w:rPr>
        <w:t>94</w:t>
      </w:r>
      <w:r w:rsidR="00BC42F2" w:rsidRPr="002C25C6">
        <w:rPr>
          <w:lang w:val="ru-RU"/>
        </w:rPr>
        <w:t>;</w:t>
      </w:r>
      <w:r w:rsidR="00810A7E" w:rsidRPr="002C25C6">
        <w:rPr>
          <w:lang w:val="ru-RU"/>
        </w:rPr>
        <w:t xml:space="preserve"> </w:t>
      </w:r>
      <w:proofErr w:type="spellStart"/>
      <w:r w:rsidR="00810A7E" w:rsidRPr="002C25C6">
        <w:rPr>
          <w:lang w:val="ru-RU"/>
        </w:rPr>
        <w:t>БР</w:t>
      </w:r>
      <w:proofErr w:type="spellEnd"/>
      <w:r w:rsidR="00810A7E" w:rsidRPr="002C25C6">
        <w:rPr>
          <w:lang w:val="ru-RU"/>
        </w:rPr>
        <w:t xml:space="preserve">: </w:t>
      </w:r>
      <w:r w:rsidR="00D93AC5" w:rsidRPr="002C25C6">
        <w:rPr>
          <w:lang w:val="ru-RU"/>
        </w:rPr>
        <w:t>32</w:t>
      </w:r>
      <w:r w:rsidR="00BC42F2" w:rsidRPr="002C25C6">
        <w:rPr>
          <w:lang w:val="ru-RU"/>
        </w:rPr>
        <w:t>;</w:t>
      </w:r>
      <w:r w:rsidR="00810A7E" w:rsidRPr="002C25C6">
        <w:rPr>
          <w:lang w:val="ru-RU"/>
        </w:rPr>
        <w:t xml:space="preserve"> БРЭ: </w:t>
      </w:r>
      <w:r w:rsidR="00EF6749" w:rsidRPr="002C25C6">
        <w:rPr>
          <w:lang w:val="ru-RU"/>
        </w:rPr>
        <w:t>293</w:t>
      </w:r>
      <w:r w:rsidR="00810A7E" w:rsidRPr="002C25C6">
        <w:rPr>
          <w:lang w:val="ru-RU"/>
        </w:rPr>
        <w:t>.</w:t>
      </w:r>
      <w:r w:rsidR="006370F2" w:rsidRPr="002C25C6">
        <w:rPr>
          <w:lang w:val="ru-RU"/>
        </w:rPr>
        <w:t xml:space="preserve"> </w:t>
      </w:r>
      <w:r w:rsidR="00C84B50" w:rsidRPr="002C25C6">
        <w:rPr>
          <w:lang w:val="ru-RU"/>
        </w:rPr>
        <w:t xml:space="preserve">Уровень вознаграждения в общей сложности составил </w:t>
      </w:r>
      <w:r w:rsidR="006370F2" w:rsidRPr="002C25C6">
        <w:rPr>
          <w:lang w:val="ru-RU"/>
        </w:rPr>
        <w:t>4</w:t>
      </w:r>
      <w:r w:rsidR="00C84B50" w:rsidRPr="002C25C6">
        <w:rPr>
          <w:lang w:val="ru-RU"/>
        </w:rPr>
        <w:t>,</w:t>
      </w:r>
      <w:r w:rsidR="006370F2" w:rsidRPr="002C25C6">
        <w:rPr>
          <w:lang w:val="ru-RU"/>
        </w:rPr>
        <w:t xml:space="preserve">7 </w:t>
      </w:r>
      <w:r w:rsidR="00C84B50" w:rsidRPr="002C25C6">
        <w:rPr>
          <w:lang w:val="ru-RU"/>
        </w:rPr>
        <w:t>млн. швейцарских франков в</w:t>
      </w:r>
      <w:r w:rsidR="006370F2" w:rsidRPr="002C25C6">
        <w:rPr>
          <w:lang w:val="ru-RU"/>
        </w:rPr>
        <w:t xml:space="preserve"> 2016</w:t>
      </w:r>
      <w:r w:rsidR="00A007CA" w:rsidRPr="002C25C6">
        <w:rPr>
          <w:lang w:val="ru-RU"/>
        </w:rPr>
        <w:t> </w:t>
      </w:r>
      <w:r w:rsidR="00C84B50" w:rsidRPr="002C25C6">
        <w:rPr>
          <w:lang w:val="ru-RU"/>
        </w:rPr>
        <w:t>году</w:t>
      </w:r>
      <w:r w:rsidR="006370F2" w:rsidRPr="002C25C6">
        <w:rPr>
          <w:lang w:val="ru-RU"/>
        </w:rPr>
        <w:t xml:space="preserve">; </w:t>
      </w:r>
      <w:r w:rsidR="00C84B50" w:rsidRPr="002C25C6">
        <w:rPr>
          <w:lang w:val="ru-RU"/>
        </w:rPr>
        <w:t>в 2015 году он был</w:t>
      </w:r>
      <w:r w:rsidR="006370F2" w:rsidRPr="002C25C6">
        <w:rPr>
          <w:lang w:val="ru-RU"/>
        </w:rPr>
        <w:t xml:space="preserve"> 6</w:t>
      </w:r>
      <w:r w:rsidR="00C84B50" w:rsidRPr="002C25C6">
        <w:rPr>
          <w:lang w:val="ru-RU"/>
        </w:rPr>
        <w:t>,</w:t>
      </w:r>
      <w:r w:rsidR="006370F2" w:rsidRPr="002C25C6">
        <w:rPr>
          <w:lang w:val="ru-RU"/>
        </w:rPr>
        <w:t xml:space="preserve">1 </w:t>
      </w:r>
      <w:r w:rsidR="00C84B50" w:rsidRPr="002C25C6">
        <w:rPr>
          <w:lang w:val="ru-RU"/>
        </w:rPr>
        <w:t>млн. швейцарских франков</w:t>
      </w:r>
      <w:r w:rsidR="006370F2" w:rsidRPr="002C25C6">
        <w:rPr>
          <w:lang w:val="ru-RU"/>
        </w:rPr>
        <w:t>.</w:t>
      </w:r>
    </w:p>
    <w:p w:rsidR="00A0084C" w:rsidRPr="002C25C6" w:rsidRDefault="00A0084C" w:rsidP="00AC2062">
      <w:pPr>
        <w:rPr>
          <w:lang w:val="ru-RU"/>
        </w:rPr>
      </w:pPr>
      <w:r w:rsidRPr="002C25C6">
        <w:rPr>
          <w:lang w:val="ru-RU"/>
        </w:rPr>
        <w:t>62</w:t>
      </w:r>
      <w:r w:rsidRPr="002C25C6">
        <w:rPr>
          <w:lang w:val="ru-RU"/>
        </w:rPr>
        <w:tab/>
      </w:r>
      <w:r w:rsidR="00AC2062" w:rsidRPr="002C25C6">
        <w:rPr>
          <w:lang w:val="ru-RU"/>
        </w:rPr>
        <w:t>Несмотря на то, что эти цифры свидетельствуют о снижении затрат в течение прошлого двухгодичного периода</w:t>
      </w:r>
      <w:r w:rsidRPr="002C25C6">
        <w:rPr>
          <w:lang w:val="ru-RU"/>
        </w:rPr>
        <w:t xml:space="preserve">, </w:t>
      </w:r>
      <w:r w:rsidR="00AC2062" w:rsidRPr="002C25C6">
        <w:rPr>
          <w:lang w:val="ru-RU"/>
        </w:rPr>
        <w:t>отход от текущей практики вполне может создать трудности в оперативной деятельности и сейчас рассматривается возможность введения более гибких условий для заключения временных контрактов</w:t>
      </w:r>
      <w:r w:rsidRPr="002C25C6">
        <w:rPr>
          <w:lang w:val="ru-RU"/>
        </w:rPr>
        <w:t xml:space="preserve"> (</w:t>
      </w:r>
      <w:r w:rsidR="00AC2062" w:rsidRPr="002C25C6">
        <w:rPr>
          <w:lang w:val="ru-RU"/>
        </w:rPr>
        <w:t>таких как</w:t>
      </w:r>
      <w:r w:rsidRPr="002C25C6">
        <w:rPr>
          <w:lang w:val="ru-RU"/>
        </w:rPr>
        <w:t xml:space="preserve"> </w:t>
      </w:r>
      <w:r w:rsidR="00AC2062" w:rsidRPr="002C25C6">
        <w:rPr>
          <w:color w:val="000000"/>
          <w:lang w:val="ru-RU"/>
        </w:rPr>
        <w:t>индивидуальные договоры подрядчика (</w:t>
      </w:r>
      <w:proofErr w:type="spellStart"/>
      <w:r w:rsidR="00AC2062" w:rsidRPr="002C25C6">
        <w:rPr>
          <w:color w:val="000000"/>
          <w:lang w:val="ru-RU"/>
        </w:rPr>
        <w:t>ICA</w:t>
      </w:r>
      <w:proofErr w:type="spellEnd"/>
      <w:r w:rsidR="00AC2062" w:rsidRPr="002C25C6">
        <w:rPr>
          <w:color w:val="000000"/>
          <w:lang w:val="ru-RU"/>
        </w:rPr>
        <w:t>),</w:t>
      </w:r>
      <w:r w:rsidRPr="002C25C6">
        <w:rPr>
          <w:lang w:val="ru-RU"/>
        </w:rPr>
        <w:t xml:space="preserve"> </w:t>
      </w:r>
      <w:r w:rsidR="00AC2062" w:rsidRPr="002C25C6">
        <w:rPr>
          <w:lang w:val="ru-RU"/>
        </w:rPr>
        <w:t>которые уже применяются в других организациях</w:t>
      </w:r>
      <w:r w:rsidRPr="002C25C6">
        <w:rPr>
          <w:lang w:val="ru-RU"/>
        </w:rPr>
        <w:t>)</w:t>
      </w:r>
      <w:r w:rsidR="00AC2062" w:rsidRPr="002C25C6">
        <w:rPr>
          <w:lang w:val="ru-RU"/>
        </w:rPr>
        <w:t xml:space="preserve"> для выполнения конкретных вспомогательных функций</w:t>
      </w:r>
      <w:r w:rsidRPr="002C25C6">
        <w:rPr>
          <w:lang w:val="ru-RU"/>
        </w:rPr>
        <w:t>.</w:t>
      </w:r>
    </w:p>
    <w:p w:rsidR="00A0084C" w:rsidRPr="002C25C6" w:rsidRDefault="00A0084C" w:rsidP="004A11D4">
      <w:pPr>
        <w:rPr>
          <w:lang w:val="ru-RU"/>
        </w:rPr>
      </w:pPr>
      <w:r w:rsidRPr="002C25C6">
        <w:rPr>
          <w:lang w:val="ru-RU"/>
        </w:rPr>
        <w:t>63</w:t>
      </w:r>
      <w:r w:rsidRPr="002C25C6">
        <w:rPr>
          <w:lang w:val="ru-RU"/>
        </w:rPr>
        <w:tab/>
      </w:r>
      <w:r w:rsidR="0048392C" w:rsidRPr="002C25C6">
        <w:rPr>
          <w:lang w:val="ru-RU"/>
        </w:rPr>
        <w:t>Руководство ведет статистический учет на ежегодной основе и осведомлено о массовом прогнозируемом выходе на пенсию сотрудников в предстоящие</w:t>
      </w:r>
      <w:r w:rsidRPr="002C25C6">
        <w:rPr>
          <w:lang w:val="ru-RU"/>
        </w:rPr>
        <w:t xml:space="preserve"> 10 </w:t>
      </w:r>
      <w:r w:rsidR="0048392C" w:rsidRPr="002C25C6">
        <w:rPr>
          <w:lang w:val="ru-RU"/>
        </w:rPr>
        <w:t>лет</w:t>
      </w:r>
      <w:r w:rsidRPr="002C25C6">
        <w:rPr>
          <w:lang w:val="ru-RU"/>
        </w:rPr>
        <w:t xml:space="preserve">: 248 </w:t>
      </w:r>
      <w:r w:rsidR="0048392C" w:rsidRPr="002C25C6">
        <w:rPr>
          <w:lang w:val="ru-RU"/>
        </w:rPr>
        <w:t>постов</w:t>
      </w:r>
      <w:r w:rsidRPr="002C25C6">
        <w:rPr>
          <w:lang w:val="ru-RU"/>
        </w:rPr>
        <w:t xml:space="preserve"> (</w:t>
      </w:r>
      <w:r w:rsidR="0048392C" w:rsidRPr="002C25C6">
        <w:rPr>
          <w:lang w:val="ru-RU"/>
        </w:rPr>
        <w:t>более</w:t>
      </w:r>
      <w:r w:rsidRPr="002C25C6">
        <w:rPr>
          <w:lang w:val="ru-RU"/>
        </w:rPr>
        <w:t xml:space="preserve"> 30%) </w:t>
      </w:r>
      <w:r w:rsidR="0048392C" w:rsidRPr="002C25C6">
        <w:rPr>
          <w:lang w:val="ru-RU"/>
        </w:rPr>
        <w:t>станут вакантными в период</w:t>
      </w:r>
      <w:r w:rsidR="00A007CA" w:rsidRPr="002C25C6">
        <w:rPr>
          <w:lang w:val="ru-RU"/>
        </w:rPr>
        <w:t xml:space="preserve"> 2017−</w:t>
      </w:r>
      <w:r w:rsidRPr="002C25C6">
        <w:rPr>
          <w:lang w:val="ru-RU"/>
        </w:rPr>
        <w:t>2026</w:t>
      </w:r>
      <w:r w:rsidR="0048392C" w:rsidRPr="002C25C6">
        <w:rPr>
          <w:lang w:val="ru-RU"/>
        </w:rPr>
        <w:t xml:space="preserve"> годов</w:t>
      </w:r>
      <w:r w:rsidRPr="002C25C6">
        <w:rPr>
          <w:lang w:val="ru-RU"/>
        </w:rPr>
        <w:t xml:space="preserve">, </w:t>
      </w:r>
      <w:r w:rsidR="0048392C" w:rsidRPr="002C25C6">
        <w:rPr>
          <w:lang w:val="ru-RU"/>
        </w:rPr>
        <w:t xml:space="preserve">причем больше всего сотрудников выйдут </w:t>
      </w:r>
      <w:r w:rsidR="004A11D4">
        <w:rPr>
          <w:lang w:val="ru-RU"/>
        </w:rPr>
        <w:t>на пенсию</w:t>
      </w:r>
      <w:r w:rsidR="0048392C" w:rsidRPr="002C25C6">
        <w:rPr>
          <w:lang w:val="ru-RU"/>
        </w:rPr>
        <w:t xml:space="preserve"> в </w:t>
      </w:r>
      <w:r w:rsidRPr="002C25C6">
        <w:rPr>
          <w:lang w:val="ru-RU"/>
        </w:rPr>
        <w:t xml:space="preserve">2018 </w:t>
      </w:r>
      <w:r w:rsidR="0048392C" w:rsidRPr="002C25C6">
        <w:rPr>
          <w:lang w:val="ru-RU"/>
        </w:rPr>
        <w:t>и</w:t>
      </w:r>
      <w:r w:rsidRPr="002C25C6">
        <w:rPr>
          <w:lang w:val="ru-RU"/>
        </w:rPr>
        <w:t xml:space="preserve"> 2023</w:t>
      </w:r>
      <w:r w:rsidR="0048392C" w:rsidRPr="002C25C6">
        <w:rPr>
          <w:lang w:val="ru-RU"/>
        </w:rPr>
        <w:t xml:space="preserve"> годах</w:t>
      </w:r>
      <w:r w:rsidRPr="002C25C6">
        <w:rPr>
          <w:lang w:val="ru-RU"/>
        </w:rPr>
        <w:t xml:space="preserve"> (29 </w:t>
      </w:r>
      <w:r w:rsidR="0048392C" w:rsidRPr="002C25C6">
        <w:rPr>
          <w:lang w:val="ru-RU"/>
        </w:rPr>
        <w:t>и</w:t>
      </w:r>
      <w:r w:rsidRPr="002C25C6">
        <w:rPr>
          <w:lang w:val="ru-RU"/>
        </w:rPr>
        <w:t xml:space="preserve"> 32 </w:t>
      </w:r>
      <w:r w:rsidR="004A11D4">
        <w:rPr>
          <w:lang w:val="ru-RU"/>
        </w:rPr>
        <w:t>сотрудника</w:t>
      </w:r>
      <w:r w:rsidR="00A007CA" w:rsidRPr="002C25C6">
        <w:rPr>
          <w:lang w:val="ru-RU"/>
        </w:rPr>
        <w:t>,</w:t>
      </w:r>
      <w:r w:rsidR="0048392C" w:rsidRPr="002C25C6">
        <w:rPr>
          <w:lang w:val="ru-RU"/>
        </w:rPr>
        <w:t xml:space="preserve"> соответственно</w:t>
      </w:r>
      <w:r w:rsidRPr="002C25C6">
        <w:rPr>
          <w:lang w:val="ru-RU"/>
        </w:rPr>
        <w:t xml:space="preserve">). </w:t>
      </w:r>
      <w:r w:rsidR="0048392C" w:rsidRPr="002C25C6">
        <w:rPr>
          <w:lang w:val="ru-RU"/>
        </w:rPr>
        <w:t xml:space="preserve">Самое большое количество выходящих </w:t>
      </w:r>
      <w:r w:rsidR="004A11D4">
        <w:rPr>
          <w:lang w:val="ru-RU"/>
        </w:rPr>
        <w:t>на пенсию</w:t>
      </w:r>
      <w:r w:rsidR="0048392C" w:rsidRPr="002C25C6">
        <w:rPr>
          <w:lang w:val="ru-RU"/>
        </w:rPr>
        <w:t xml:space="preserve"> </w:t>
      </w:r>
      <w:r w:rsidR="004A11D4">
        <w:rPr>
          <w:lang w:val="ru-RU"/>
        </w:rPr>
        <w:t>сотрудников</w:t>
      </w:r>
      <w:r w:rsidR="0048392C" w:rsidRPr="002C25C6">
        <w:rPr>
          <w:lang w:val="ru-RU"/>
        </w:rPr>
        <w:t xml:space="preserve"> входят в категорию специалистов и выше, на которых в соответствии с прогнозами приходится</w:t>
      </w:r>
      <w:r w:rsidRPr="002C25C6">
        <w:rPr>
          <w:lang w:val="ru-RU"/>
        </w:rPr>
        <w:t xml:space="preserve"> 50</w:t>
      </w:r>
      <w:r w:rsidR="0048392C" w:rsidRPr="002C25C6">
        <w:rPr>
          <w:lang w:val="ru-RU"/>
        </w:rPr>
        <w:t>,</w:t>
      </w:r>
      <w:r w:rsidRPr="002C25C6">
        <w:rPr>
          <w:lang w:val="ru-RU"/>
        </w:rPr>
        <w:t xml:space="preserve">4% </w:t>
      </w:r>
      <w:r w:rsidR="0048392C" w:rsidRPr="002C25C6">
        <w:rPr>
          <w:lang w:val="ru-RU"/>
        </w:rPr>
        <w:t xml:space="preserve">всех выходящих </w:t>
      </w:r>
      <w:r w:rsidR="004A11D4">
        <w:rPr>
          <w:lang w:val="ru-RU"/>
        </w:rPr>
        <w:t>на пенсию</w:t>
      </w:r>
      <w:r w:rsidR="0048392C" w:rsidRPr="002C25C6">
        <w:rPr>
          <w:lang w:val="ru-RU"/>
        </w:rPr>
        <w:t xml:space="preserve"> сотрудников,</w:t>
      </w:r>
      <w:r w:rsidRPr="002C25C6">
        <w:rPr>
          <w:lang w:val="ru-RU"/>
        </w:rPr>
        <w:t xml:space="preserve"> </w:t>
      </w:r>
      <w:r w:rsidR="0048392C" w:rsidRPr="002C25C6">
        <w:rPr>
          <w:lang w:val="ru-RU"/>
        </w:rPr>
        <w:t>и</w:t>
      </w:r>
      <w:r w:rsidRPr="002C25C6">
        <w:rPr>
          <w:lang w:val="ru-RU"/>
        </w:rPr>
        <w:t xml:space="preserve"> 32</w:t>
      </w:r>
      <w:r w:rsidR="0048392C" w:rsidRPr="002C25C6">
        <w:rPr>
          <w:lang w:val="ru-RU"/>
        </w:rPr>
        <w:t>,</w:t>
      </w:r>
      <w:r w:rsidRPr="002C25C6">
        <w:rPr>
          <w:lang w:val="ru-RU"/>
        </w:rPr>
        <w:t xml:space="preserve">8% </w:t>
      </w:r>
      <w:r w:rsidR="0048392C" w:rsidRPr="002C25C6">
        <w:rPr>
          <w:lang w:val="ru-RU"/>
        </w:rPr>
        <w:t xml:space="preserve">постов категории специалистов и выше по состоянию на </w:t>
      </w:r>
      <w:r w:rsidRPr="002C25C6">
        <w:rPr>
          <w:lang w:val="ru-RU"/>
        </w:rPr>
        <w:t>31</w:t>
      </w:r>
      <w:r w:rsidR="0048392C" w:rsidRPr="002C25C6">
        <w:rPr>
          <w:lang w:val="ru-RU"/>
        </w:rPr>
        <w:t xml:space="preserve"> декабря </w:t>
      </w:r>
      <w:r w:rsidRPr="002C25C6">
        <w:rPr>
          <w:lang w:val="ru-RU"/>
        </w:rPr>
        <w:t>2016</w:t>
      </w:r>
      <w:r w:rsidR="0048392C" w:rsidRPr="002C25C6">
        <w:rPr>
          <w:lang w:val="ru-RU"/>
        </w:rPr>
        <w:t xml:space="preserve"> года</w:t>
      </w:r>
      <w:r w:rsidRPr="002C25C6">
        <w:rPr>
          <w:lang w:val="ru-RU"/>
        </w:rPr>
        <w:t xml:space="preserve">. </w:t>
      </w:r>
      <w:r w:rsidR="00CA214B" w:rsidRPr="002C25C6">
        <w:rPr>
          <w:lang w:val="ru-RU"/>
        </w:rPr>
        <w:t>Кроме того,</w:t>
      </w:r>
      <w:r w:rsidR="0048392C" w:rsidRPr="002C25C6">
        <w:rPr>
          <w:lang w:val="ru-RU"/>
        </w:rPr>
        <w:t xml:space="preserve"> сотрудник</w:t>
      </w:r>
      <w:r w:rsidR="00CA214B" w:rsidRPr="002C25C6">
        <w:rPr>
          <w:lang w:val="ru-RU"/>
        </w:rPr>
        <w:t>и также</w:t>
      </w:r>
      <w:r w:rsidR="0048392C" w:rsidRPr="002C25C6">
        <w:rPr>
          <w:lang w:val="ru-RU"/>
        </w:rPr>
        <w:t xml:space="preserve"> выходили на пенсию на основе программы добровольного прекращения службы, которая выполнялась в</w:t>
      </w:r>
      <w:r w:rsidRPr="002C25C6">
        <w:rPr>
          <w:lang w:val="ru-RU"/>
        </w:rPr>
        <w:t xml:space="preserve"> 2016</w:t>
      </w:r>
      <w:r w:rsidR="0048392C" w:rsidRPr="002C25C6">
        <w:rPr>
          <w:lang w:val="ru-RU"/>
        </w:rPr>
        <w:t xml:space="preserve"> году</w:t>
      </w:r>
      <w:r w:rsidR="00656069" w:rsidRPr="002C25C6">
        <w:rPr>
          <w:lang w:val="ru-RU"/>
        </w:rPr>
        <w:t xml:space="preserve"> и</w:t>
      </w:r>
      <w:r w:rsidR="0048392C" w:rsidRPr="002C25C6">
        <w:rPr>
          <w:lang w:val="ru-RU"/>
        </w:rPr>
        <w:t xml:space="preserve"> </w:t>
      </w:r>
      <w:r w:rsidR="00CA214B" w:rsidRPr="002C25C6">
        <w:rPr>
          <w:lang w:val="ru-RU"/>
        </w:rPr>
        <w:t>в соответствии с которой допускался</w:t>
      </w:r>
      <w:r w:rsidR="0048392C" w:rsidRPr="002C25C6">
        <w:rPr>
          <w:lang w:val="ru-RU"/>
        </w:rPr>
        <w:t xml:space="preserve"> досрочн</w:t>
      </w:r>
      <w:r w:rsidR="00CA214B" w:rsidRPr="002C25C6">
        <w:rPr>
          <w:lang w:val="ru-RU"/>
        </w:rPr>
        <w:t>ый</w:t>
      </w:r>
      <w:r w:rsidR="0048392C" w:rsidRPr="002C25C6">
        <w:rPr>
          <w:lang w:val="ru-RU"/>
        </w:rPr>
        <w:t xml:space="preserve"> выход на пенсию в</w:t>
      </w:r>
      <w:r w:rsidRPr="002C25C6">
        <w:rPr>
          <w:lang w:val="ru-RU"/>
        </w:rPr>
        <w:t xml:space="preserve"> 2016 </w:t>
      </w:r>
      <w:r w:rsidR="0048392C" w:rsidRPr="002C25C6">
        <w:rPr>
          <w:lang w:val="ru-RU"/>
        </w:rPr>
        <w:t>и</w:t>
      </w:r>
      <w:r w:rsidRPr="002C25C6">
        <w:rPr>
          <w:lang w:val="ru-RU"/>
        </w:rPr>
        <w:t xml:space="preserve"> 2017</w:t>
      </w:r>
      <w:r w:rsidR="00A007CA" w:rsidRPr="002C25C6">
        <w:rPr>
          <w:lang w:val="ru-RU"/>
        </w:rPr>
        <w:t> </w:t>
      </w:r>
      <w:r w:rsidR="0048392C" w:rsidRPr="002C25C6">
        <w:rPr>
          <w:lang w:val="ru-RU"/>
        </w:rPr>
        <w:t>годах</w:t>
      </w:r>
      <w:r w:rsidRPr="002C25C6">
        <w:rPr>
          <w:lang w:val="ru-RU"/>
        </w:rPr>
        <w:t xml:space="preserve">, </w:t>
      </w:r>
      <w:r w:rsidR="00C311D6" w:rsidRPr="002C25C6">
        <w:rPr>
          <w:lang w:val="ru-RU"/>
        </w:rPr>
        <w:t>как следствие повышения возраста обязательного выхода на пенсию</w:t>
      </w:r>
      <w:r w:rsidRPr="002C25C6">
        <w:rPr>
          <w:lang w:val="ru-RU"/>
        </w:rPr>
        <w:t xml:space="preserve">. </w:t>
      </w:r>
      <w:r w:rsidR="00C311D6" w:rsidRPr="002C25C6">
        <w:rPr>
          <w:lang w:val="ru-RU"/>
        </w:rPr>
        <w:t xml:space="preserve">Это затронуло </w:t>
      </w:r>
      <w:r w:rsidR="00A007CA" w:rsidRPr="002C25C6">
        <w:rPr>
          <w:lang w:val="ru-RU"/>
        </w:rPr>
        <w:t>30 </w:t>
      </w:r>
      <w:r w:rsidR="004A11D4">
        <w:rPr>
          <w:lang w:val="ru-RU"/>
        </w:rPr>
        <w:t>сотрудников</w:t>
      </w:r>
      <w:r w:rsidR="00C311D6" w:rsidRPr="002C25C6">
        <w:rPr>
          <w:lang w:val="ru-RU"/>
        </w:rPr>
        <w:t xml:space="preserve"> в</w:t>
      </w:r>
      <w:r w:rsidRPr="002C25C6">
        <w:rPr>
          <w:lang w:val="ru-RU"/>
        </w:rPr>
        <w:t xml:space="preserve"> 2016 </w:t>
      </w:r>
      <w:r w:rsidR="00C311D6" w:rsidRPr="002C25C6">
        <w:rPr>
          <w:lang w:val="ru-RU"/>
        </w:rPr>
        <w:t>и</w:t>
      </w:r>
      <w:r w:rsidRPr="002C25C6">
        <w:rPr>
          <w:lang w:val="ru-RU"/>
        </w:rPr>
        <w:t xml:space="preserve"> 2017</w:t>
      </w:r>
      <w:r w:rsidR="00C311D6" w:rsidRPr="002C25C6">
        <w:rPr>
          <w:lang w:val="ru-RU"/>
        </w:rPr>
        <w:t xml:space="preserve"> годах</w:t>
      </w:r>
      <w:r w:rsidRPr="002C25C6">
        <w:rPr>
          <w:lang w:val="ru-RU"/>
        </w:rPr>
        <w:t xml:space="preserve"> (</w:t>
      </w:r>
      <w:r w:rsidR="00C311D6" w:rsidRPr="002C25C6">
        <w:rPr>
          <w:lang w:val="ru-RU"/>
        </w:rPr>
        <w:t>прогнозы</w:t>
      </w:r>
      <w:r w:rsidRPr="002C25C6">
        <w:rPr>
          <w:lang w:val="ru-RU"/>
        </w:rPr>
        <w:t xml:space="preserve">). </w:t>
      </w:r>
    </w:p>
    <w:p w:rsidR="00A0084C" w:rsidRPr="002C25C6" w:rsidRDefault="00A0084C" w:rsidP="00A81591">
      <w:pPr>
        <w:rPr>
          <w:lang w:val="ru-RU"/>
        </w:rPr>
      </w:pPr>
      <w:r w:rsidRPr="002C25C6">
        <w:rPr>
          <w:lang w:val="ru-RU"/>
        </w:rPr>
        <w:t>64</w:t>
      </w:r>
      <w:r w:rsidRPr="002C25C6">
        <w:rPr>
          <w:lang w:val="ru-RU"/>
        </w:rPr>
        <w:tab/>
      </w:r>
      <w:r w:rsidR="00A81591" w:rsidRPr="002C25C6">
        <w:rPr>
          <w:lang w:val="ru-RU"/>
        </w:rPr>
        <w:t>Следует также учитывать количество случаев добровольного выхода в отставку</w:t>
      </w:r>
      <w:r w:rsidRPr="002C25C6">
        <w:rPr>
          <w:lang w:val="ru-RU"/>
        </w:rPr>
        <w:t>.</w:t>
      </w:r>
      <w:r w:rsidR="00A81591" w:rsidRPr="002C25C6">
        <w:rPr>
          <w:lang w:val="ru-RU"/>
        </w:rPr>
        <w:t xml:space="preserve"> Сотрудники увольняются чаще, чем это было в прошлом, причем самый высокий уровень в</w:t>
      </w:r>
      <w:r w:rsidRPr="002C25C6">
        <w:rPr>
          <w:lang w:val="ru-RU"/>
        </w:rPr>
        <w:t xml:space="preserve"> 16 </w:t>
      </w:r>
      <w:r w:rsidR="00A81591" w:rsidRPr="002C25C6">
        <w:rPr>
          <w:lang w:val="ru-RU"/>
        </w:rPr>
        <w:t>человек был достигнут в</w:t>
      </w:r>
      <w:r w:rsidRPr="002C25C6">
        <w:rPr>
          <w:lang w:val="ru-RU"/>
        </w:rPr>
        <w:t xml:space="preserve"> 2015</w:t>
      </w:r>
      <w:r w:rsidR="00A81591" w:rsidRPr="002C25C6">
        <w:rPr>
          <w:lang w:val="ru-RU"/>
        </w:rPr>
        <w:t xml:space="preserve"> году и составил</w:t>
      </w:r>
      <w:r w:rsidRPr="002C25C6">
        <w:rPr>
          <w:lang w:val="ru-RU"/>
        </w:rPr>
        <w:t xml:space="preserve"> 13 </w:t>
      </w:r>
      <w:r w:rsidR="00A81591" w:rsidRPr="002C25C6">
        <w:rPr>
          <w:lang w:val="ru-RU"/>
        </w:rPr>
        <w:t>человек в</w:t>
      </w:r>
      <w:r w:rsidRPr="002C25C6">
        <w:rPr>
          <w:lang w:val="ru-RU"/>
        </w:rPr>
        <w:t xml:space="preserve"> 2016</w:t>
      </w:r>
      <w:r w:rsidR="00A81591" w:rsidRPr="002C25C6">
        <w:rPr>
          <w:lang w:val="ru-RU"/>
        </w:rPr>
        <w:t xml:space="preserve"> году</w:t>
      </w:r>
      <w:r w:rsidRPr="002C25C6">
        <w:rPr>
          <w:lang w:val="ru-RU"/>
        </w:rPr>
        <w:t xml:space="preserve">. </w:t>
      </w:r>
    </w:p>
    <w:p w:rsidR="00A0084C" w:rsidRPr="002C25C6" w:rsidRDefault="00A0084C" w:rsidP="004A11D4">
      <w:pPr>
        <w:rPr>
          <w:lang w:val="ru-RU"/>
        </w:rPr>
      </w:pPr>
      <w:r w:rsidRPr="002C25C6">
        <w:rPr>
          <w:lang w:val="ru-RU"/>
        </w:rPr>
        <w:t>65</w:t>
      </w:r>
      <w:r w:rsidRPr="002C25C6">
        <w:rPr>
          <w:lang w:val="ru-RU"/>
        </w:rPr>
        <w:tab/>
      </w:r>
      <w:r w:rsidR="00613D85" w:rsidRPr="002C25C6">
        <w:rPr>
          <w:lang w:val="ru-RU"/>
        </w:rPr>
        <w:t xml:space="preserve">Однако руководство до сих пор не обновило </w:t>
      </w:r>
      <w:r w:rsidR="00D37A1C" w:rsidRPr="002C25C6">
        <w:rPr>
          <w:lang w:val="ru-RU"/>
        </w:rPr>
        <w:t xml:space="preserve">Стратегический </w:t>
      </w:r>
      <w:r w:rsidR="00613D85" w:rsidRPr="002C25C6">
        <w:rPr>
          <w:lang w:val="ru-RU"/>
        </w:rPr>
        <w:t>план в области людских ресурсов и не приняло стратегию планирования преемственности</w:t>
      </w:r>
      <w:r w:rsidRPr="002C25C6">
        <w:rPr>
          <w:lang w:val="ru-RU"/>
        </w:rPr>
        <w:t>.</w:t>
      </w:r>
      <w:r w:rsidR="00613D85" w:rsidRPr="002C25C6">
        <w:rPr>
          <w:lang w:val="ru-RU"/>
        </w:rPr>
        <w:t xml:space="preserve"> До настоящего времени нет никакой официальной процедуры для передачи знаний выходящих на пенсию сотрудников и отсутствует координация действий между процедурой набора персонала и обеспечением преемственности</w:t>
      </w:r>
      <w:r w:rsidRPr="002C25C6">
        <w:rPr>
          <w:lang w:val="ru-RU"/>
        </w:rPr>
        <w:t>,</w:t>
      </w:r>
      <w:r w:rsidR="00613D85" w:rsidRPr="002C25C6">
        <w:rPr>
          <w:lang w:val="ru-RU"/>
        </w:rPr>
        <w:t xml:space="preserve"> отсутствует система поэтапного выхода на пенсию, нет никаких данных, свидетельствующих о проведении стратегии в области смены поколений</w:t>
      </w:r>
      <w:r w:rsidRPr="002C25C6">
        <w:rPr>
          <w:lang w:val="ru-RU"/>
        </w:rPr>
        <w:t>.</w:t>
      </w:r>
      <w:r w:rsidR="00613D85" w:rsidRPr="002C25C6">
        <w:rPr>
          <w:lang w:val="ru-RU"/>
        </w:rPr>
        <w:t xml:space="preserve"> Количество </w:t>
      </w:r>
      <w:r w:rsidR="004A11D4">
        <w:rPr>
          <w:lang w:val="ru-RU"/>
        </w:rPr>
        <w:t>сотрудников</w:t>
      </w:r>
      <w:r w:rsidR="00613D85" w:rsidRPr="002C25C6">
        <w:rPr>
          <w:lang w:val="ru-RU"/>
        </w:rPr>
        <w:t xml:space="preserve">, достигших обязательного возраста выхода </w:t>
      </w:r>
      <w:r w:rsidR="004A11D4">
        <w:rPr>
          <w:lang w:val="ru-RU"/>
        </w:rPr>
        <w:t>на пенсию</w:t>
      </w:r>
      <w:r w:rsidR="00AE32C0" w:rsidRPr="002C25C6">
        <w:rPr>
          <w:lang w:val="ru-RU"/>
        </w:rPr>
        <w:t xml:space="preserve">, которые остались на своих постах </w:t>
      </w:r>
      <w:r w:rsidR="0076579C" w:rsidRPr="002C25C6">
        <w:rPr>
          <w:lang w:val="ru-RU"/>
        </w:rPr>
        <w:t>с</w:t>
      </w:r>
      <w:r w:rsidR="00AE32C0" w:rsidRPr="002C25C6">
        <w:rPr>
          <w:lang w:val="ru-RU"/>
        </w:rPr>
        <w:t xml:space="preserve"> разрешени</w:t>
      </w:r>
      <w:r w:rsidR="0076579C" w:rsidRPr="002C25C6">
        <w:rPr>
          <w:lang w:val="ru-RU"/>
        </w:rPr>
        <w:t>я</w:t>
      </w:r>
      <w:r w:rsidR="00AE32C0" w:rsidRPr="002C25C6">
        <w:rPr>
          <w:lang w:val="ru-RU"/>
        </w:rPr>
        <w:t xml:space="preserve"> Генерального секретаря, составило</w:t>
      </w:r>
      <w:r w:rsidR="00A007CA" w:rsidRPr="002C25C6">
        <w:rPr>
          <w:lang w:val="ru-RU"/>
        </w:rPr>
        <w:t xml:space="preserve"> пять</w:t>
      </w:r>
      <w:r w:rsidRPr="002C25C6">
        <w:rPr>
          <w:lang w:val="ru-RU"/>
        </w:rPr>
        <w:t xml:space="preserve"> </w:t>
      </w:r>
      <w:r w:rsidR="00AE32C0" w:rsidRPr="002C25C6">
        <w:rPr>
          <w:lang w:val="ru-RU"/>
        </w:rPr>
        <w:t>человек в</w:t>
      </w:r>
      <w:r w:rsidRPr="002C25C6">
        <w:rPr>
          <w:lang w:val="ru-RU"/>
        </w:rPr>
        <w:t xml:space="preserve"> 2016</w:t>
      </w:r>
      <w:r w:rsidR="00AE32C0" w:rsidRPr="002C25C6">
        <w:rPr>
          <w:lang w:val="ru-RU"/>
        </w:rPr>
        <w:t xml:space="preserve"> году</w:t>
      </w:r>
      <w:r w:rsidRPr="002C25C6">
        <w:rPr>
          <w:lang w:val="ru-RU"/>
        </w:rPr>
        <w:t xml:space="preserve"> (</w:t>
      </w:r>
      <w:r w:rsidR="00AE32C0" w:rsidRPr="002C25C6">
        <w:rPr>
          <w:lang w:val="ru-RU"/>
        </w:rPr>
        <w:t>и</w:t>
      </w:r>
      <w:r w:rsidR="00A007CA" w:rsidRPr="002C25C6">
        <w:rPr>
          <w:lang w:val="ru-RU"/>
        </w:rPr>
        <w:t xml:space="preserve"> три</w:t>
      </w:r>
      <w:r w:rsidR="00AE32C0" w:rsidRPr="002C25C6">
        <w:rPr>
          <w:lang w:val="ru-RU"/>
        </w:rPr>
        <w:t xml:space="preserve"> человека </w:t>
      </w:r>
      <w:r w:rsidR="00A007CA" w:rsidRPr="002C25C6">
        <w:rPr>
          <w:lang w:val="ru-RU"/>
        </w:rPr>
        <w:t xml:space="preserve">− </w:t>
      </w:r>
      <w:r w:rsidR="00AE32C0" w:rsidRPr="002C25C6">
        <w:rPr>
          <w:lang w:val="ru-RU"/>
        </w:rPr>
        <w:t>на данный момент в</w:t>
      </w:r>
      <w:r w:rsidRPr="002C25C6">
        <w:rPr>
          <w:lang w:val="ru-RU"/>
        </w:rPr>
        <w:t xml:space="preserve"> 2017</w:t>
      </w:r>
      <w:r w:rsidR="00AE32C0" w:rsidRPr="002C25C6">
        <w:rPr>
          <w:lang w:val="ru-RU"/>
        </w:rPr>
        <w:t xml:space="preserve"> году</w:t>
      </w:r>
      <w:r w:rsidRPr="002C25C6">
        <w:rPr>
          <w:lang w:val="ru-RU"/>
        </w:rPr>
        <w:t xml:space="preserve">); </w:t>
      </w:r>
      <w:r w:rsidR="00AE32C0" w:rsidRPr="002C25C6">
        <w:rPr>
          <w:lang w:val="ru-RU"/>
        </w:rPr>
        <w:t>контракты</w:t>
      </w:r>
      <w:r w:rsidRPr="002C25C6">
        <w:rPr>
          <w:lang w:val="ru-RU"/>
        </w:rPr>
        <w:t xml:space="preserve"> </w:t>
      </w:r>
      <w:proofErr w:type="spellStart"/>
      <w:r w:rsidRPr="002C25C6">
        <w:rPr>
          <w:lang w:val="ru-RU"/>
        </w:rPr>
        <w:t>SSA</w:t>
      </w:r>
      <w:proofErr w:type="spellEnd"/>
      <w:r w:rsidR="00AE32C0" w:rsidRPr="002C25C6">
        <w:rPr>
          <w:lang w:val="ru-RU"/>
        </w:rPr>
        <w:t xml:space="preserve"> в 2016 году заключили</w:t>
      </w:r>
      <w:r w:rsidRPr="002C25C6">
        <w:rPr>
          <w:lang w:val="ru-RU"/>
        </w:rPr>
        <w:t xml:space="preserve"> </w:t>
      </w:r>
      <w:r w:rsidR="00A007CA" w:rsidRPr="002C25C6">
        <w:rPr>
          <w:lang w:val="ru-RU"/>
        </w:rPr>
        <w:t>четыре</w:t>
      </w:r>
      <w:r w:rsidR="00AE32C0" w:rsidRPr="002C25C6">
        <w:rPr>
          <w:lang w:val="ru-RU"/>
        </w:rPr>
        <w:t xml:space="preserve"> человека</w:t>
      </w:r>
      <w:r w:rsidRPr="002C25C6">
        <w:rPr>
          <w:lang w:val="ru-RU"/>
        </w:rPr>
        <w:t xml:space="preserve"> (</w:t>
      </w:r>
      <w:r w:rsidR="00AE32C0" w:rsidRPr="002C25C6">
        <w:rPr>
          <w:lang w:val="ru-RU"/>
        </w:rPr>
        <w:t>и</w:t>
      </w:r>
      <w:r w:rsidRPr="002C25C6">
        <w:rPr>
          <w:lang w:val="ru-RU"/>
        </w:rPr>
        <w:t xml:space="preserve"> </w:t>
      </w:r>
      <w:r w:rsidR="00A007CA" w:rsidRPr="002C25C6">
        <w:rPr>
          <w:lang w:val="ru-RU"/>
        </w:rPr>
        <w:t>один</w:t>
      </w:r>
      <w:r w:rsidRPr="002C25C6">
        <w:rPr>
          <w:lang w:val="ru-RU"/>
        </w:rPr>
        <w:t xml:space="preserve"> </w:t>
      </w:r>
      <w:r w:rsidR="00A007CA" w:rsidRPr="002C25C6">
        <w:rPr>
          <w:lang w:val="ru-RU"/>
        </w:rPr>
        <w:t xml:space="preserve">человек − </w:t>
      </w:r>
      <w:r w:rsidR="00AE32C0" w:rsidRPr="002C25C6">
        <w:rPr>
          <w:lang w:val="ru-RU"/>
        </w:rPr>
        <w:t>на данный момент в</w:t>
      </w:r>
      <w:r w:rsidRPr="002C25C6">
        <w:rPr>
          <w:lang w:val="ru-RU"/>
        </w:rPr>
        <w:t xml:space="preserve"> 2017</w:t>
      </w:r>
      <w:r w:rsidR="00AE32C0" w:rsidRPr="002C25C6">
        <w:rPr>
          <w:lang w:val="ru-RU"/>
        </w:rPr>
        <w:t xml:space="preserve"> году</w:t>
      </w:r>
      <w:r w:rsidRPr="002C25C6">
        <w:rPr>
          <w:lang w:val="ru-RU"/>
        </w:rPr>
        <w:t>).</w:t>
      </w:r>
    </w:p>
    <w:p w:rsidR="00A0084C" w:rsidRPr="002C25C6" w:rsidRDefault="00A0084C" w:rsidP="00A007CA">
      <w:pPr>
        <w:rPr>
          <w:lang w:val="ru-RU"/>
        </w:rPr>
      </w:pPr>
      <w:r w:rsidRPr="002C25C6">
        <w:rPr>
          <w:lang w:val="ru-RU"/>
        </w:rPr>
        <w:t>66</w:t>
      </w:r>
      <w:r w:rsidRPr="002C25C6">
        <w:rPr>
          <w:lang w:val="ru-RU"/>
        </w:rPr>
        <w:tab/>
      </w:r>
      <w:r w:rsidR="00B54D84" w:rsidRPr="002C25C6">
        <w:rPr>
          <w:lang w:val="ru-RU"/>
        </w:rPr>
        <w:t>В более общем плане необходимо задуматься о совместимости в долгосрочном плане политики сдерживания расходов по персоналу</w:t>
      </w:r>
      <w:r w:rsidRPr="002C25C6">
        <w:rPr>
          <w:lang w:val="ru-RU"/>
        </w:rPr>
        <w:t xml:space="preserve"> (</w:t>
      </w:r>
      <w:r w:rsidR="00B54D84" w:rsidRPr="002C25C6">
        <w:rPr>
          <w:lang w:val="ru-RU"/>
        </w:rPr>
        <w:t>в различных формах, предусмотренных в Решении</w:t>
      </w:r>
      <w:r w:rsidR="00A007CA" w:rsidRPr="002C25C6">
        <w:rPr>
          <w:lang w:val="ru-RU"/>
        </w:rPr>
        <w:t> </w:t>
      </w:r>
      <w:r w:rsidRPr="002C25C6">
        <w:rPr>
          <w:lang w:val="ru-RU"/>
        </w:rPr>
        <w:t xml:space="preserve">5: </w:t>
      </w:r>
      <w:r w:rsidR="00B54D84" w:rsidRPr="002C25C6">
        <w:rPr>
          <w:lang w:val="ru-RU"/>
        </w:rPr>
        <w:t>задержка во времени при найме персонала и назначении на должности</w:t>
      </w:r>
      <w:r w:rsidRPr="002C25C6">
        <w:rPr>
          <w:lang w:val="ru-RU"/>
        </w:rPr>
        <w:t xml:space="preserve">, </w:t>
      </w:r>
      <w:r w:rsidR="00B54D84" w:rsidRPr="002C25C6">
        <w:rPr>
          <w:color w:val="000000"/>
          <w:lang w:val="ru-RU"/>
        </w:rPr>
        <w:t>сокращение классов вакантных постов</w:t>
      </w:r>
      <w:r w:rsidRPr="002C25C6">
        <w:rPr>
          <w:lang w:val="ru-RU"/>
        </w:rPr>
        <w:t xml:space="preserve">, </w:t>
      </w:r>
      <w:r w:rsidR="00B54D84" w:rsidRPr="002C25C6">
        <w:rPr>
          <w:color w:val="000000"/>
          <w:lang w:val="ru-RU"/>
        </w:rPr>
        <w:t>перестановка персонала и наем на внутренней основе вместо найма на внешней основе</w:t>
      </w:r>
      <w:r w:rsidRPr="002C25C6">
        <w:rPr>
          <w:lang w:val="ru-RU"/>
        </w:rPr>
        <w:t xml:space="preserve">, </w:t>
      </w:r>
      <w:r w:rsidR="00B54D84" w:rsidRPr="002C25C6">
        <w:rPr>
          <w:lang w:val="ru-RU"/>
        </w:rPr>
        <w:t>отказ от заполнения вакантных постов</w:t>
      </w:r>
      <w:r w:rsidRPr="002C25C6">
        <w:rPr>
          <w:lang w:val="ru-RU"/>
        </w:rPr>
        <w:t xml:space="preserve">) </w:t>
      </w:r>
      <w:r w:rsidR="00B54D84" w:rsidRPr="002C25C6">
        <w:rPr>
          <w:lang w:val="ru-RU"/>
        </w:rPr>
        <w:t>с поддержанием</w:t>
      </w:r>
      <w:r w:rsidRPr="002C25C6">
        <w:rPr>
          <w:lang w:val="ru-RU"/>
        </w:rPr>
        <w:t xml:space="preserve"> </w:t>
      </w:r>
      <w:r w:rsidR="00B54D84" w:rsidRPr="002C25C6">
        <w:rPr>
          <w:lang w:val="ru-RU"/>
        </w:rPr>
        <w:t>важн</w:t>
      </w:r>
      <w:r w:rsidR="00F92641" w:rsidRPr="002C25C6">
        <w:rPr>
          <w:lang w:val="ru-RU"/>
        </w:rPr>
        <w:t>ейших</w:t>
      </w:r>
      <w:r w:rsidR="00B54D84" w:rsidRPr="002C25C6">
        <w:rPr>
          <w:lang w:val="ru-RU"/>
        </w:rPr>
        <w:t xml:space="preserve"> стратегических целей</w:t>
      </w:r>
      <w:r w:rsidRPr="002C25C6">
        <w:rPr>
          <w:lang w:val="ru-RU"/>
        </w:rPr>
        <w:t>.</w:t>
      </w:r>
    </w:p>
    <w:p w:rsidR="00D37A1C" w:rsidRPr="002C25C6" w:rsidRDefault="00D37A1C" w:rsidP="00A007CA">
      <w:pPr>
        <w:rPr>
          <w:lang w:val="ru-RU"/>
        </w:rPr>
      </w:pPr>
    </w:p>
    <w:tbl>
      <w:tblPr>
        <w:tblStyle w:val="TableGrid2"/>
        <w:tblW w:w="0" w:type="auto"/>
        <w:tblInd w:w="-5" w:type="dxa"/>
        <w:tblLook w:val="04A0" w:firstRow="1" w:lastRow="0" w:firstColumn="1" w:lastColumn="0" w:noHBand="0" w:noVBand="1"/>
      </w:tblPr>
      <w:tblGrid>
        <w:gridCol w:w="9350"/>
      </w:tblGrid>
      <w:tr w:rsidR="00A0084C" w:rsidRPr="002C25C6" w:rsidTr="00A86B08">
        <w:tc>
          <w:tcPr>
            <w:tcW w:w="9350" w:type="dxa"/>
          </w:tcPr>
          <w:p w:rsidR="00A0084C" w:rsidRPr="002C25C6" w:rsidRDefault="00A0084C" w:rsidP="001902C3">
            <w:pPr>
              <w:keepNext/>
              <w:rPr>
                <w:b/>
                <w:bCs/>
                <w:lang w:val="ru-RU"/>
              </w:rPr>
            </w:pPr>
            <w:r w:rsidRPr="002C25C6">
              <w:rPr>
                <w:b/>
                <w:bCs/>
                <w:lang w:val="ru-RU"/>
              </w:rPr>
              <w:lastRenderedPageBreak/>
              <w:t>Рекомендация 1</w:t>
            </w:r>
          </w:p>
          <w:p w:rsidR="00A0084C" w:rsidRPr="002C25C6" w:rsidRDefault="00A0084C" w:rsidP="00CE5361">
            <w:pPr>
              <w:spacing w:after="120"/>
              <w:rPr>
                <w:lang w:val="ru-RU"/>
              </w:rPr>
            </w:pPr>
            <w:r w:rsidRPr="002C25C6">
              <w:rPr>
                <w:lang w:val="ru-RU"/>
              </w:rPr>
              <w:t>67</w:t>
            </w:r>
            <w:r w:rsidRPr="002C25C6">
              <w:rPr>
                <w:lang w:val="ru-RU"/>
              </w:rPr>
              <w:tab/>
            </w:r>
            <w:r w:rsidR="00CE5361" w:rsidRPr="002C25C6">
              <w:rPr>
                <w:lang w:val="ru-RU"/>
              </w:rPr>
              <w:t>Учитывая прогнозы в области выхода на пенсию в предстоящие 10 лет и потенциальный риск, связанный с нарушением преемственности</w:t>
            </w:r>
            <w:r w:rsidRPr="002C25C6">
              <w:rPr>
                <w:lang w:val="ru-RU"/>
              </w:rPr>
              <w:t xml:space="preserve">, </w:t>
            </w:r>
            <w:r w:rsidR="00CE5361" w:rsidRPr="002C25C6">
              <w:rPr>
                <w:u w:val="single"/>
                <w:lang w:val="ru-RU"/>
              </w:rPr>
              <w:t>мы рекомендуем</w:t>
            </w:r>
            <w:r w:rsidR="00CE5361" w:rsidRPr="002C25C6">
              <w:rPr>
                <w:lang w:val="ru-RU"/>
              </w:rPr>
              <w:t>, чтобы руководство приняло официальную стратегию планирования преемственности, которая должна войти в Стратегический план в области людских ресурсов</w:t>
            </w:r>
            <w:r w:rsidRPr="002C25C6">
              <w:rPr>
                <w:lang w:val="ru-RU"/>
              </w:rPr>
              <w:t>.</w:t>
            </w:r>
            <w:r w:rsidR="00CE5361" w:rsidRPr="002C25C6">
              <w:rPr>
                <w:lang w:val="ru-RU"/>
              </w:rPr>
              <w:t xml:space="preserve"> Эта стратегия должна уточнять важнейшие функции и посты, исходя из задач и потребностей МСЭ</w:t>
            </w:r>
            <w:r w:rsidRPr="002C25C6">
              <w:rPr>
                <w:lang w:val="ru-RU"/>
              </w:rPr>
              <w:t xml:space="preserve">, </w:t>
            </w:r>
            <w:r w:rsidR="00CE5361" w:rsidRPr="002C25C6">
              <w:rPr>
                <w:lang w:val="ru-RU"/>
              </w:rPr>
              <w:t>и устанавливать планы на ближайшее будущее</w:t>
            </w:r>
            <w:r w:rsidRPr="002C25C6">
              <w:rPr>
                <w:lang w:val="ru-RU"/>
              </w:rPr>
              <w:t xml:space="preserve"> (</w:t>
            </w:r>
            <w:r w:rsidR="00CE5361" w:rsidRPr="002C25C6">
              <w:rPr>
                <w:lang w:val="ru-RU"/>
              </w:rPr>
              <w:t>передачу знаний</w:t>
            </w:r>
            <w:r w:rsidRPr="002C25C6">
              <w:rPr>
                <w:lang w:val="ru-RU"/>
              </w:rPr>
              <w:t xml:space="preserve">) </w:t>
            </w:r>
            <w:r w:rsidR="00CE5361" w:rsidRPr="002C25C6">
              <w:rPr>
                <w:lang w:val="ru-RU"/>
              </w:rPr>
              <w:t>и на более долгосрочный период</w:t>
            </w:r>
            <w:r w:rsidRPr="002C25C6">
              <w:rPr>
                <w:lang w:val="ru-RU"/>
              </w:rPr>
              <w:t xml:space="preserve"> (</w:t>
            </w:r>
            <w:r w:rsidR="00CE5361" w:rsidRPr="002C25C6">
              <w:rPr>
                <w:lang w:val="ru-RU"/>
              </w:rPr>
              <w:t>на основе</w:t>
            </w:r>
            <w:r w:rsidR="00D37A1C" w:rsidRPr="002C25C6">
              <w:rPr>
                <w:lang w:val="ru-RU"/>
              </w:rPr>
              <w:t>,</w:t>
            </w:r>
            <w:r w:rsidR="00CE5361" w:rsidRPr="002C25C6">
              <w:rPr>
                <w:lang w:val="ru-RU"/>
              </w:rPr>
              <w:t xml:space="preserve"> в том числе</w:t>
            </w:r>
            <w:r w:rsidR="00D37A1C" w:rsidRPr="002C25C6">
              <w:rPr>
                <w:lang w:val="ru-RU"/>
              </w:rPr>
              <w:t>,</w:t>
            </w:r>
            <w:r w:rsidR="00CE5361" w:rsidRPr="002C25C6">
              <w:rPr>
                <w:lang w:val="ru-RU"/>
              </w:rPr>
              <w:t xml:space="preserve"> перечня квалификационных навыков, содержащегося в принятой недавно Системе компетенций МСЭ, в целях определения внутреннего потенциала для обеспечения преемственности</w:t>
            </w:r>
            <w:r w:rsidRPr="002C25C6">
              <w:rPr>
                <w:lang w:val="ru-RU"/>
              </w:rPr>
              <w:t>).</w:t>
            </w:r>
          </w:p>
        </w:tc>
      </w:tr>
    </w:tbl>
    <w:p w:rsidR="00A0084C" w:rsidRPr="002C25C6" w:rsidRDefault="00A0084C" w:rsidP="00A0084C">
      <w:pPr>
        <w:rPr>
          <w:lang w:val="ru-RU"/>
        </w:rPr>
      </w:pPr>
    </w:p>
    <w:tbl>
      <w:tblPr>
        <w:tblStyle w:val="TableGrid2"/>
        <w:tblW w:w="0" w:type="auto"/>
        <w:tblInd w:w="-5" w:type="dxa"/>
        <w:tblLook w:val="04A0" w:firstRow="1" w:lastRow="0" w:firstColumn="1" w:lastColumn="0" w:noHBand="0" w:noVBand="1"/>
      </w:tblPr>
      <w:tblGrid>
        <w:gridCol w:w="9634"/>
      </w:tblGrid>
      <w:tr w:rsidR="00A0084C" w:rsidRPr="002C25C6" w:rsidTr="001902C3">
        <w:trPr>
          <w:cantSplit/>
        </w:trPr>
        <w:tc>
          <w:tcPr>
            <w:tcW w:w="9634" w:type="dxa"/>
          </w:tcPr>
          <w:p w:rsidR="00A0084C" w:rsidRPr="002C25C6" w:rsidRDefault="00A0084C" w:rsidP="001902C3">
            <w:pPr>
              <w:rPr>
                <w:b/>
                <w:bCs/>
                <w:lang w:val="ru-RU"/>
              </w:rPr>
            </w:pPr>
            <w:r w:rsidRPr="002C25C6">
              <w:rPr>
                <w:b/>
                <w:bCs/>
                <w:lang w:val="ru-RU"/>
              </w:rPr>
              <w:t>Комментарии Генерального секретаря</w:t>
            </w:r>
          </w:p>
          <w:p w:rsidR="00A0084C" w:rsidRPr="002C25C6" w:rsidRDefault="00A03CE7" w:rsidP="00A03CE7">
            <w:pPr>
              <w:spacing w:after="120"/>
              <w:rPr>
                <w:lang w:val="ru-RU"/>
              </w:rPr>
            </w:pPr>
            <w:r w:rsidRPr="002C25C6">
              <w:rPr>
                <w:lang w:val="ru-RU"/>
              </w:rPr>
              <w:t xml:space="preserve">Департамент по управлению людскими ресурсами проведет консультации с Бюро и Департаментами </w:t>
            </w:r>
            <w:proofErr w:type="spellStart"/>
            <w:r w:rsidRPr="002C25C6">
              <w:rPr>
                <w:lang w:val="ru-RU"/>
              </w:rPr>
              <w:t>ГС</w:t>
            </w:r>
            <w:proofErr w:type="spellEnd"/>
            <w:r w:rsidRPr="002C25C6">
              <w:rPr>
                <w:lang w:val="ru-RU"/>
              </w:rPr>
              <w:t xml:space="preserve"> в целях разработки стратегии планирования преемственности, направленной на сохранение институциональных знаний и обеспечение преемственности в осуществлении мандата Союза</w:t>
            </w:r>
            <w:r w:rsidR="00A0084C" w:rsidRPr="002C25C6">
              <w:rPr>
                <w:lang w:val="ru-RU"/>
              </w:rPr>
              <w:t>.</w:t>
            </w:r>
          </w:p>
        </w:tc>
      </w:tr>
    </w:tbl>
    <w:p w:rsidR="009A6D4B" w:rsidRPr="002C25C6" w:rsidRDefault="00A72187" w:rsidP="00A72187">
      <w:pPr>
        <w:pStyle w:val="Heading1"/>
        <w:rPr>
          <w:lang w:val="ru-RU"/>
        </w:rPr>
      </w:pPr>
      <w:bookmarkStart w:id="242" w:name="_Toc478775834"/>
      <w:bookmarkStart w:id="243" w:name="_Toc482176245"/>
      <w:bookmarkStart w:id="244" w:name="_Toc482995198"/>
      <w:r w:rsidRPr="002C25C6">
        <w:rPr>
          <w:lang w:val="ru-RU"/>
        </w:rPr>
        <w:t>Закупки</w:t>
      </w:r>
      <w:bookmarkEnd w:id="242"/>
      <w:bookmarkEnd w:id="243"/>
      <w:bookmarkEnd w:id="244"/>
    </w:p>
    <w:p w:rsidR="009A6D4B" w:rsidRPr="002C25C6" w:rsidRDefault="009A6D4B" w:rsidP="00A72187">
      <w:pPr>
        <w:rPr>
          <w:lang w:val="ru-RU"/>
        </w:rPr>
      </w:pPr>
      <w:r w:rsidRPr="002C25C6">
        <w:rPr>
          <w:lang w:val="ru-RU"/>
        </w:rPr>
        <w:t>68</w:t>
      </w:r>
      <w:r w:rsidRPr="002C25C6">
        <w:rPr>
          <w:lang w:val="ru-RU"/>
        </w:rPr>
        <w:tab/>
      </w:r>
      <w:r w:rsidR="00A72187" w:rsidRPr="002C25C6">
        <w:rPr>
          <w:lang w:val="ru-RU"/>
        </w:rPr>
        <w:t>Закупки составляют часть расходов, анализ которых содержится в пункте выше, которая фиксируется как</w:t>
      </w:r>
      <w:r w:rsidRPr="002C25C6">
        <w:rPr>
          <w:lang w:val="ru-RU"/>
        </w:rPr>
        <w:t xml:space="preserve"> </w:t>
      </w:r>
      <w:r w:rsidR="000E7382" w:rsidRPr="002C25C6">
        <w:rPr>
          <w:lang w:val="ru-RU"/>
        </w:rPr>
        <w:t>"</w:t>
      </w:r>
      <w:r w:rsidR="00A72187" w:rsidRPr="002C25C6">
        <w:rPr>
          <w:lang w:val="ru-RU"/>
        </w:rPr>
        <w:t>Контрактные услуги</w:t>
      </w:r>
      <w:r w:rsidR="000E7382" w:rsidRPr="002C25C6">
        <w:rPr>
          <w:lang w:val="ru-RU"/>
        </w:rPr>
        <w:t>"</w:t>
      </w:r>
      <w:r w:rsidRPr="002C25C6">
        <w:rPr>
          <w:lang w:val="ru-RU"/>
        </w:rPr>
        <w:t xml:space="preserve">, </w:t>
      </w:r>
      <w:r w:rsidR="000E7382" w:rsidRPr="002C25C6">
        <w:rPr>
          <w:lang w:val="ru-RU"/>
        </w:rPr>
        <w:t>"</w:t>
      </w:r>
      <w:r w:rsidR="00A72187" w:rsidRPr="002C25C6">
        <w:rPr>
          <w:lang w:val="ru-RU"/>
        </w:rPr>
        <w:t>Аренда и эксплуатация помещений и оборудования</w:t>
      </w:r>
      <w:r w:rsidR="000E7382" w:rsidRPr="002C25C6">
        <w:rPr>
          <w:lang w:val="ru-RU"/>
        </w:rPr>
        <w:t>"</w:t>
      </w:r>
      <w:r w:rsidRPr="002C25C6">
        <w:rPr>
          <w:lang w:val="ru-RU"/>
        </w:rPr>
        <w:t xml:space="preserve">, </w:t>
      </w:r>
      <w:r w:rsidR="000E7382" w:rsidRPr="002C25C6">
        <w:rPr>
          <w:lang w:val="ru-RU"/>
        </w:rPr>
        <w:t>"</w:t>
      </w:r>
      <w:r w:rsidR="00A72187" w:rsidRPr="002C25C6">
        <w:rPr>
          <w:lang w:val="ru-RU"/>
        </w:rPr>
        <w:t>Оборудование и предметы снабжения</w:t>
      </w:r>
      <w:r w:rsidR="000E7382" w:rsidRPr="002C25C6">
        <w:rPr>
          <w:lang w:val="ru-RU"/>
        </w:rPr>
        <w:t>"</w:t>
      </w:r>
      <w:r w:rsidR="00A72187" w:rsidRPr="002C25C6">
        <w:rPr>
          <w:lang w:val="ru-RU"/>
        </w:rPr>
        <w:t xml:space="preserve"> и</w:t>
      </w:r>
      <w:r w:rsidRPr="002C25C6">
        <w:rPr>
          <w:lang w:val="ru-RU"/>
        </w:rPr>
        <w:t xml:space="preserve"> </w:t>
      </w:r>
      <w:r w:rsidR="000E7382" w:rsidRPr="002C25C6">
        <w:rPr>
          <w:lang w:val="ru-RU"/>
        </w:rPr>
        <w:t>"</w:t>
      </w:r>
      <w:r w:rsidR="00A72187" w:rsidRPr="002C25C6">
        <w:rPr>
          <w:lang w:val="ru-RU"/>
        </w:rPr>
        <w:t xml:space="preserve">Расходы по перевозке, </w:t>
      </w:r>
      <w:r w:rsidR="004A11D4">
        <w:rPr>
          <w:lang w:val="ru-RU"/>
        </w:rPr>
        <w:t>электро</w:t>
      </w:r>
      <w:r w:rsidR="00A72187" w:rsidRPr="002C25C6">
        <w:rPr>
          <w:lang w:val="ru-RU"/>
        </w:rPr>
        <w:t>связи и услугам</w:t>
      </w:r>
      <w:r w:rsidR="000E7382" w:rsidRPr="002C25C6">
        <w:rPr>
          <w:lang w:val="ru-RU"/>
        </w:rPr>
        <w:t>"</w:t>
      </w:r>
      <w:r w:rsidRPr="002C25C6">
        <w:rPr>
          <w:lang w:val="ru-RU"/>
        </w:rPr>
        <w:t>.</w:t>
      </w:r>
    </w:p>
    <w:p w:rsidR="009A6D4B" w:rsidRPr="002C25C6" w:rsidRDefault="009A6D4B" w:rsidP="0080237B">
      <w:pPr>
        <w:rPr>
          <w:lang w:val="ru-RU"/>
        </w:rPr>
      </w:pPr>
      <w:r w:rsidRPr="002C25C6">
        <w:rPr>
          <w:lang w:val="ru-RU"/>
        </w:rPr>
        <w:t>69</w:t>
      </w:r>
      <w:r w:rsidRPr="002C25C6">
        <w:rPr>
          <w:lang w:val="ru-RU"/>
        </w:rPr>
        <w:tab/>
      </w:r>
      <w:r w:rsidR="0080237B" w:rsidRPr="002C25C6">
        <w:rPr>
          <w:lang w:val="ru-RU"/>
        </w:rPr>
        <w:t>Выводы и заключения аудиторской проверки, касающиеся закупок, резюмируются в следующих пунктах</w:t>
      </w:r>
      <w:r w:rsidRPr="002C25C6">
        <w:rPr>
          <w:lang w:val="ru-RU"/>
        </w:rPr>
        <w:t>.</w:t>
      </w:r>
    </w:p>
    <w:p w:rsidR="009A6D4B" w:rsidRPr="002C25C6" w:rsidRDefault="0080237B" w:rsidP="00117809">
      <w:pPr>
        <w:pStyle w:val="Heading1"/>
        <w:ind w:left="0" w:firstLine="0"/>
        <w:rPr>
          <w:lang w:val="ru-RU"/>
        </w:rPr>
      </w:pPr>
      <w:bookmarkStart w:id="245" w:name="_Toc482176246"/>
      <w:bookmarkStart w:id="246" w:name="_Toc482995199"/>
      <w:r w:rsidRPr="002C25C6">
        <w:rPr>
          <w:lang w:val="ru-RU"/>
        </w:rPr>
        <w:t>Отсутствие "ключевых руководящих указаний" в Финансовом регламенте и Финансовых правилах</w:t>
      </w:r>
      <w:bookmarkEnd w:id="245"/>
      <w:bookmarkEnd w:id="246"/>
    </w:p>
    <w:p w:rsidR="009A6D4B" w:rsidRPr="002C25C6" w:rsidRDefault="009A6D4B" w:rsidP="00117809">
      <w:pPr>
        <w:rPr>
          <w:lang w:val="ru-RU"/>
        </w:rPr>
      </w:pPr>
      <w:r w:rsidRPr="002C25C6">
        <w:rPr>
          <w:lang w:val="ru-RU"/>
        </w:rPr>
        <w:t>70</w:t>
      </w:r>
      <w:r w:rsidRPr="002C25C6">
        <w:rPr>
          <w:lang w:val="ru-RU"/>
        </w:rPr>
        <w:tab/>
      </w:r>
      <w:r w:rsidR="00117809" w:rsidRPr="002C25C6">
        <w:rPr>
          <w:lang w:val="ru-RU"/>
        </w:rPr>
        <w:t>В ходе аудиторской проверки мы обнаружили, что в Финансовом регламенте и в Финансовых правилах не содержатся общие принципы для осуществления закупок</w:t>
      </w:r>
      <w:r w:rsidRPr="002C25C6">
        <w:rPr>
          <w:lang w:val="ru-RU"/>
        </w:rPr>
        <w:t>.</w:t>
      </w:r>
    </w:p>
    <w:p w:rsidR="009A6D4B" w:rsidRPr="002C25C6" w:rsidRDefault="009A6D4B" w:rsidP="009A6D4B">
      <w:pPr>
        <w:rPr>
          <w:lang w:val="ru-RU"/>
        </w:rPr>
      </w:pPr>
    </w:p>
    <w:tbl>
      <w:tblPr>
        <w:tblStyle w:val="TableGrid2"/>
        <w:tblW w:w="0" w:type="auto"/>
        <w:tblInd w:w="-5" w:type="dxa"/>
        <w:tblLook w:val="04A0" w:firstRow="1" w:lastRow="0" w:firstColumn="1" w:lastColumn="0" w:noHBand="0" w:noVBand="1"/>
      </w:tblPr>
      <w:tblGrid>
        <w:gridCol w:w="9634"/>
      </w:tblGrid>
      <w:tr w:rsidR="009A6D4B" w:rsidRPr="002C25C6" w:rsidTr="001902C3">
        <w:tc>
          <w:tcPr>
            <w:tcW w:w="9634" w:type="dxa"/>
          </w:tcPr>
          <w:p w:rsidR="009A6D4B" w:rsidRPr="002C25C6" w:rsidRDefault="009A6D4B" w:rsidP="009A6D4B">
            <w:pPr>
              <w:keepNext/>
              <w:rPr>
                <w:b/>
                <w:bCs/>
                <w:lang w:val="ru-RU"/>
              </w:rPr>
            </w:pPr>
            <w:r w:rsidRPr="002C25C6">
              <w:rPr>
                <w:b/>
                <w:bCs/>
                <w:lang w:val="ru-RU"/>
              </w:rPr>
              <w:t>Рекомендация 2</w:t>
            </w:r>
          </w:p>
          <w:p w:rsidR="009A6D4B" w:rsidRPr="002C25C6" w:rsidRDefault="009A6D4B" w:rsidP="00AC1F19">
            <w:pPr>
              <w:spacing w:after="120"/>
              <w:rPr>
                <w:lang w:val="ru-RU"/>
              </w:rPr>
            </w:pPr>
            <w:r w:rsidRPr="002C25C6">
              <w:rPr>
                <w:lang w:val="ru-RU"/>
              </w:rPr>
              <w:t>71</w:t>
            </w:r>
            <w:r w:rsidRPr="002C25C6">
              <w:rPr>
                <w:lang w:val="ru-RU"/>
              </w:rPr>
              <w:tab/>
            </w:r>
            <w:r w:rsidR="00117809" w:rsidRPr="002C25C6">
              <w:rPr>
                <w:lang w:val="ru-RU"/>
              </w:rPr>
              <w:t xml:space="preserve">Поэтому </w:t>
            </w:r>
            <w:r w:rsidR="00117809" w:rsidRPr="002C25C6">
              <w:rPr>
                <w:u w:val="single"/>
                <w:lang w:val="ru-RU"/>
              </w:rPr>
              <w:t>мы рекомендуем</w:t>
            </w:r>
            <w:r w:rsidR="00117809" w:rsidRPr="002C25C6">
              <w:rPr>
                <w:lang w:val="ru-RU"/>
              </w:rPr>
              <w:t>,</w:t>
            </w:r>
            <w:r w:rsidRPr="002C25C6">
              <w:rPr>
                <w:lang w:val="ru-RU"/>
              </w:rPr>
              <w:t xml:space="preserve"> </w:t>
            </w:r>
            <w:r w:rsidR="00117809" w:rsidRPr="002C25C6">
              <w:rPr>
                <w:lang w:val="ru-RU"/>
              </w:rPr>
              <w:t xml:space="preserve">чтобы руководство представило на рассмотрение Совета предложение о внесении поправок в Финансовый регламент и Финансовые правила, чтобы привести их в соответствие с принципами закупок, содержащимися в Служебном приказе, который должен быть </w:t>
            </w:r>
            <w:r w:rsidR="00AC1F19" w:rsidRPr="002C25C6">
              <w:rPr>
                <w:lang w:val="ru-RU"/>
              </w:rPr>
              <w:t>согласован</w:t>
            </w:r>
            <w:r w:rsidRPr="002C25C6">
              <w:rPr>
                <w:lang w:val="ru-RU"/>
              </w:rPr>
              <w:t>.</w:t>
            </w:r>
          </w:p>
        </w:tc>
      </w:tr>
    </w:tbl>
    <w:p w:rsidR="009A6D4B" w:rsidRPr="002C25C6" w:rsidRDefault="009A6D4B" w:rsidP="009A6D4B">
      <w:pPr>
        <w:rPr>
          <w:lang w:val="ru-RU"/>
        </w:rPr>
      </w:pPr>
    </w:p>
    <w:tbl>
      <w:tblPr>
        <w:tblStyle w:val="TableGrid2"/>
        <w:tblW w:w="0" w:type="auto"/>
        <w:tblInd w:w="-5" w:type="dxa"/>
        <w:tblLook w:val="04A0" w:firstRow="1" w:lastRow="0" w:firstColumn="1" w:lastColumn="0" w:noHBand="0" w:noVBand="1"/>
      </w:tblPr>
      <w:tblGrid>
        <w:gridCol w:w="9634"/>
      </w:tblGrid>
      <w:tr w:rsidR="009A6D4B" w:rsidRPr="002C25C6" w:rsidTr="001902C3">
        <w:trPr>
          <w:cantSplit/>
        </w:trPr>
        <w:tc>
          <w:tcPr>
            <w:tcW w:w="9634" w:type="dxa"/>
          </w:tcPr>
          <w:p w:rsidR="009A6D4B" w:rsidRPr="002C25C6" w:rsidRDefault="009A6D4B" w:rsidP="001902C3">
            <w:pPr>
              <w:rPr>
                <w:b/>
                <w:bCs/>
                <w:lang w:val="ru-RU"/>
              </w:rPr>
            </w:pPr>
            <w:r w:rsidRPr="002C25C6">
              <w:rPr>
                <w:b/>
                <w:bCs/>
                <w:lang w:val="ru-RU"/>
              </w:rPr>
              <w:t>Комментарии Генерального секретаря</w:t>
            </w:r>
          </w:p>
          <w:p w:rsidR="009A6D4B" w:rsidRPr="002C25C6" w:rsidRDefault="00AC1F19" w:rsidP="00AC1F19">
            <w:pPr>
              <w:spacing w:after="120"/>
              <w:rPr>
                <w:lang w:val="ru-RU"/>
              </w:rPr>
            </w:pPr>
            <w:r w:rsidRPr="002C25C6">
              <w:rPr>
                <w:lang w:val="ru-RU"/>
              </w:rPr>
              <w:t>МСЭ принимает к сведению эту рекомендацию и рассмотрит вопрос о подготовке предложения для Совета</w:t>
            </w:r>
            <w:r w:rsidR="009A6D4B" w:rsidRPr="002C25C6">
              <w:rPr>
                <w:lang w:val="ru-RU"/>
              </w:rPr>
              <w:t>.</w:t>
            </w:r>
          </w:p>
        </w:tc>
      </w:tr>
    </w:tbl>
    <w:p w:rsidR="004A430C" w:rsidRPr="002C25C6" w:rsidRDefault="004A430C" w:rsidP="00A86B08">
      <w:pPr>
        <w:pStyle w:val="Heading1"/>
        <w:rPr>
          <w:lang w:val="ru-RU"/>
        </w:rPr>
      </w:pPr>
      <w:bookmarkStart w:id="247" w:name="_Toc478775835"/>
      <w:bookmarkStart w:id="248" w:name="_Toc482176247"/>
      <w:bookmarkStart w:id="249" w:name="_Toc482995200"/>
      <w:bookmarkEnd w:id="241"/>
      <w:r w:rsidRPr="002C25C6">
        <w:rPr>
          <w:lang w:val="ru-RU"/>
        </w:rPr>
        <w:lastRenderedPageBreak/>
        <w:t>Глобальный рынок Организации Объединенных Наций</w:t>
      </w:r>
      <w:bookmarkEnd w:id="247"/>
      <w:bookmarkEnd w:id="248"/>
      <w:bookmarkEnd w:id="249"/>
    </w:p>
    <w:p w:rsidR="004A430C" w:rsidRPr="002C25C6" w:rsidRDefault="004A430C" w:rsidP="00A86B08">
      <w:pPr>
        <w:rPr>
          <w:lang w:val="ru-RU"/>
        </w:rPr>
      </w:pPr>
      <w:r w:rsidRPr="002C25C6">
        <w:rPr>
          <w:lang w:val="ru-RU"/>
        </w:rPr>
        <w:t>72</w:t>
      </w:r>
      <w:r w:rsidRPr="002C25C6">
        <w:rPr>
          <w:lang w:val="ru-RU"/>
        </w:rPr>
        <w:tab/>
        <w:t>Глобальный рынок Организации Объединенных Наций (</w:t>
      </w:r>
      <w:proofErr w:type="spellStart"/>
      <w:r w:rsidRPr="002C25C6">
        <w:rPr>
          <w:lang w:val="ru-RU"/>
        </w:rPr>
        <w:t>ГРООН</w:t>
      </w:r>
      <w:proofErr w:type="spellEnd"/>
      <w:r w:rsidRPr="002C25C6">
        <w:rPr>
          <w:lang w:val="ru-RU"/>
        </w:rPr>
        <w:t>), который представляет собой общий портал закупок организаций системы ООН, имеет от Генеральной Ассамблеи Организации Объединенных Наций следующий мандат: 1) повышать прозрачность и совершенствовать согласованность практики закупок ООН; 2) упрощать и упорядочивать процесс регистрации для поставщиков; 3) расширять перспективы закупок для поставщиков из развивающихся стран; 4) создать единый общий глобальный портал закупок ООН.</w:t>
      </w:r>
    </w:p>
    <w:p w:rsidR="004A430C" w:rsidRPr="002C25C6" w:rsidRDefault="004A430C" w:rsidP="00A86B08">
      <w:pPr>
        <w:rPr>
          <w:lang w:val="ru-RU"/>
        </w:rPr>
      </w:pPr>
      <w:r w:rsidRPr="002C25C6">
        <w:rPr>
          <w:lang w:val="ru-RU"/>
        </w:rPr>
        <w:t>73</w:t>
      </w:r>
      <w:r w:rsidRPr="002C25C6">
        <w:rPr>
          <w:lang w:val="ru-RU"/>
        </w:rPr>
        <w:tab/>
        <w:t>В ходе нашей аудиторской проверки отдел закупок (</w:t>
      </w:r>
      <w:proofErr w:type="spellStart"/>
      <w:r w:rsidRPr="002C25C6">
        <w:rPr>
          <w:lang w:val="ru-RU"/>
        </w:rPr>
        <w:t>PROC</w:t>
      </w:r>
      <w:proofErr w:type="spellEnd"/>
      <w:r w:rsidRPr="002C25C6">
        <w:rPr>
          <w:lang w:val="ru-RU"/>
        </w:rPr>
        <w:t xml:space="preserve">) сообщил нам, что МСЭ регулярно публикует сведения о всех тендерах на сумму, </w:t>
      </w:r>
      <w:proofErr w:type="spellStart"/>
      <w:r w:rsidRPr="002C25C6">
        <w:rPr>
          <w:lang w:val="ru-RU"/>
        </w:rPr>
        <w:t>бóльшую</w:t>
      </w:r>
      <w:proofErr w:type="spellEnd"/>
      <w:r w:rsidRPr="002C25C6">
        <w:rPr>
          <w:lang w:val="ru-RU"/>
        </w:rPr>
        <w:t xml:space="preserve"> чем 50 000 швейцарских франков, на </w:t>
      </w:r>
      <w:proofErr w:type="spellStart"/>
      <w:r w:rsidRPr="002C25C6">
        <w:rPr>
          <w:lang w:val="ru-RU"/>
        </w:rPr>
        <w:t>ГРООН</w:t>
      </w:r>
      <w:proofErr w:type="spellEnd"/>
      <w:r w:rsidRPr="002C25C6">
        <w:rPr>
          <w:lang w:val="ru-RU"/>
        </w:rPr>
        <w:t xml:space="preserve">, а договорные уведомления на сумму меньше 50 000 швейцарских франков публикуются на </w:t>
      </w:r>
      <w:proofErr w:type="spellStart"/>
      <w:r w:rsidRPr="002C25C6">
        <w:rPr>
          <w:lang w:val="ru-RU"/>
        </w:rPr>
        <w:t>ГРООН</w:t>
      </w:r>
      <w:proofErr w:type="spellEnd"/>
      <w:r w:rsidRPr="002C25C6">
        <w:rPr>
          <w:lang w:val="ru-RU"/>
        </w:rPr>
        <w:t xml:space="preserve"> на разовой основе. </w:t>
      </w:r>
    </w:p>
    <w:p w:rsidR="004A430C" w:rsidRPr="002C25C6" w:rsidRDefault="004A430C" w:rsidP="00A459B2">
      <w:pPr>
        <w:rPr>
          <w:lang w:val="ru-RU"/>
        </w:rPr>
      </w:pPr>
    </w:p>
    <w:tbl>
      <w:tblPr>
        <w:tblStyle w:val="TableGrid2"/>
        <w:tblW w:w="0" w:type="auto"/>
        <w:tblInd w:w="-5" w:type="dxa"/>
        <w:tblLook w:val="04A0" w:firstRow="1" w:lastRow="0" w:firstColumn="1" w:lastColumn="0" w:noHBand="0" w:noVBand="1"/>
      </w:tblPr>
      <w:tblGrid>
        <w:gridCol w:w="9634"/>
      </w:tblGrid>
      <w:tr w:rsidR="004A430C" w:rsidRPr="002C25C6" w:rsidTr="001902C3">
        <w:tc>
          <w:tcPr>
            <w:tcW w:w="9634" w:type="dxa"/>
          </w:tcPr>
          <w:p w:rsidR="004A430C" w:rsidRPr="002C25C6" w:rsidRDefault="004A430C" w:rsidP="00A459B2">
            <w:pPr>
              <w:keepNext/>
              <w:rPr>
                <w:b/>
                <w:bCs/>
                <w:lang w:val="ru-RU"/>
              </w:rPr>
            </w:pPr>
            <w:r w:rsidRPr="002C25C6">
              <w:rPr>
                <w:b/>
                <w:bCs/>
                <w:lang w:val="ru-RU"/>
              </w:rPr>
              <w:t>Рекомендация 3</w:t>
            </w:r>
          </w:p>
          <w:p w:rsidR="004A430C" w:rsidRPr="002C25C6" w:rsidRDefault="004A430C" w:rsidP="00A86B08">
            <w:pPr>
              <w:spacing w:after="120"/>
              <w:rPr>
                <w:lang w:val="ru-RU"/>
              </w:rPr>
            </w:pPr>
            <w:r w:rsidRPr="002C25C6">
              <w:rPr>
                <w:lang w:val="ru-RU"/>
              </w:rPr>
              <w:t>74</w:t>
            </w:r>
            <w:r w:rsidRPr="002C25C6">
              <w:rPr>
                <w:lang w:val="ru-RU"/>
              </w:rPr>
              <w:tab/>
              <w:t xml:space="preserve">Мы отмечаем, что МСЭ регулярно публикует сведения о всех тендерах на сумму, </w:t>
            </w:r>
            <w:proofErr w:type="spellStart"/>
            <w:r w:rsidRPr="002C25C6">
              <w:rPr>
                <w:lang w:val="ru-RU"/>
              </w:rPr>
              <w:t>бóльшую</w:t>
            </w:r>
            <w:proofErr w:type="spellEnd"/>
            <w:r w:rsidRPr="002C25C6">
              <w:rPr>
                <w:lang w:val="ru-RU"/>
              </w:rPr>
              <w:t xml:space="preserve"> чем 50 000 швейцарских франков, на </w:t>
            </w:r>
            <w:proofErr w:type="spellStart"/>
            <w:r w:rsidRPr="002C25C6">
              <w:rPr>
                <w:lang w:val="ru-RU"/>
              </w:rPr>
              <w:t>ГРООН</w:t>
            </w:r>
            <w:proofErr w:type="spellEnd"/>
            <w:r w:rsidRPr="002C25C6">
              <w:rPr>
                <w:lang w:val="ru-RU"/>
              </w:rPr>
              <w:t xml:space="preserve">, но для повышения уровня прозрачности процесса закупок и в целом для достижения цели, предусмотренной мандатом Генеральной Ассамблеи Организации Объединенных Наций, </w:t>
            </w:r>
            <w:r w:rsidRPr="002C25C6">
              <w:rPr>
                <w:u w:val="single"/>
                <w:lang w:val="ru-RU"/>
              </w:rPr>
              <w:t>мы рекомендуем</w:t>
            </w:r>
            <w:r w:rsidRPr="002C25C6">
              <w:rPr>
                <w:lang w:val="ru-RU"/>
              </w:rPr>
              <w:t xml:space="preserve"> регулярно публиковать сведения о всех тендерах (на товары и услуги) на сумму меньше 50 000 швейцарских франков.</w:t>
            </w:r>
          </w:p>
        </w:tc>
      </w:tr>
    </w:tbl>
    <w:p w:rsidR="004A430C" w:rsidRPr="002C25C6" w:rsidRDefault="004A430C" w:rsidP="00A459B2">
      <w:pPr>
        <w:rPr>
          <w:lang w:val="ru-RU"/>
        </w:rPr>
      </w:pPr>
    </w:p>
    <w:tbl>
      <w:tblPr>
        <w:tblStyle w:val="TableGrid2"/>
        <w:tblW w:w="0" w:type="auto"/>
        <w:tblInd w:w="-5" w:type="dxa"/>
        <w:tblLook w:val="04A0" w:firstRow="1" w:lastRow="0" w:firstColumn="1" w:lastColumn="0" w:noHBand="0" w:noVBand="1"/>
      </w:tblPr>
      <w:tblGrid>
        <w:gridCol w:w="9634"/>
      </w:tblGrid>
      <w:tr w:rsidR="004A430C" w:rsidRPr="002C25C6" w:rsidTr="001902C3">
        <w:trPr>
          <w:cantSplit/>
        </w:trPr>
        <w:tc>
          <w:tcPr>
            <w:tcW w:w="9634" w:type="dxa"/>
          </w:tcPr>
          <w:p w:rsidR="004A430C" w:rsidRPr="002C25C6" w:rsidRDefault="004A430C" w:rsidP="001902C3">
            <w:pPr>
              <w:rPr>
                <w:b/>
                <w:bCs/>
                <w:lang w:val="ru-RU"/>
              </w:rPr>
            </w:pPr>
            <w:r w:rsidRPr="002C25C6">
              <w:rPr>
                <w:b/>
                <w:bCs/>
                <w:lang w:val="ru-RU"/>
              </w:rPr>
              <w:t>Комментарии Генерального секретаря</w:t>
            </w:r>
          </w:p>
          <w:p w:rsidR="004A430C" w:rsidRPr="002C25C6" w:rsidRDefault="004A430C" w:rsidP="00A86B08">
            <w:pPr>
              <w:spacing w:after="120"/>
              <w:rPr>
                <w:lang w:val="ru-RU"/>
              </w:rPr>
            </w:pPr>
            <w:r w:rsidRPr="002C25C6">
              <w:rPr>
                <w:lang w:val="ru-RU"/>
              </w:rPr>
              <w:t xml:space="preserve">МСЭ принимает данную рекомендацию к сведению и подтверждает, что цель опубликования на </w:t>
            </w:r>
            <w:proofErr w:type="spellStart"/>
            <w:r w:rsidRPr="002C25C6">
              <w:rPr>
                <w:lang w:val="ru-RU"/>
              </w:rPr>
              <w:t>ГРООН</w:t>
            </w:r>
            <w:proofErr w:type="spellEnd"/>
            <w:r w:rsidRPr="002C25C6">
              <w:rPr>
                <w:lang w:val="ru-RU"/>
              </w:rPr>
              <w:t xml:space="preserve"> заключается в обеспечении конкуренции на международном уровне, для которой согласно действующему служебному приказу существуют требования по тендерам на сумму, </w:t>
            </w:r>
            <w:proofErr w:type="spellStart"/>
            <w:r w:rsidRPr="002C25C6">
              <w:rPr>
                <w:lang w:val="ru-RU"/>
              </w:rPr>
              <w:t>бóльшую</w:t>
            </w:r>
            <w:proofErr w:type="spellEnd"/>
            <w:r w:rsidRPr="002C25C6">
              <w:rPr>
                <w:lang w:val="ru-RU"/>
              </w:rPr>
              <w:t xml:space="preserve"> чем 100 000 швейцарских франков. В настоящее время практикуется также опубликование сведений о тендерах на сумму, </w:t>
            </w:r>
            <w:proofErr w:type="spellStart"/>
            <w:r w:rsidRPr="002C25C6">
              <w:rPr>
                <w:lang w:val="ru-RU"/>
              </w:rPr>
              <w:t>бóльшую</w:t>
            </w:r>
            <w:proofErr w:type="spellEnd"/>
            <w:r w:rsidRPr="002C25C6">
              <w:rPr>
                <w:lang w:val="ru-RU"/>
              </w:rPr>
              <w:t xml:space="preserve"> чем 50 000 швейцарских франков (и меньшую, чем 100 000 швейцарских франков) на </w:t>
            </w:r>
            <w:proofErr w:type="spellStart"/>
            <w:r w:rsidRPr="002C25C6">
              <w:rPr>
                <w:lang w:val="ru-RU"/>
              </w:rPr>
              <w:t>ГРООН</w:t>
            </w:r>
            <w:proofErr w:type="spellEnd"/>
            <w:r w:rsidRPr="002C25C6">
              <w:rPr>
                <w:lang w:val="ru-RU"/>
              </w:rPr>
              <w:t>. Когда этого требуют обстоятельства, можно обеспечивать международную конкуренцию для тендеров на меньшие суммы.</w:t>
            </w:r>
          </w:p>
        </w:tc>
      </w:tr>
    </w:tbl>
    <w:p w:rsidR="004A430C" w:rsidRPr="002C25C6" w:rsidRDefault="004A430C" w:rsidP="00A86B08">
      <w:pPr>
        <w:pStyle w:val="Heading1"/>
        <w:rPr>
          <w:lang w:val="ru-RU"/>
        </w:rPr>
      </w:pPr>
      <w:bookmarkStart w:id="250" w:name="_Toc482176248"/>
      <w:bookmarkStart w:id="251" w:name="_Toc482995201"/>
      <w:r w:rsidRPr="002C25C6">
        <w:rPr>
          <w:lang w:val="ru-RU"/>
        </w:rPr>
        <w:t>Принятие инструкции по закупкам и кодифицированной процедуры в МСЭ</w:t>
      </w:r>
      <w:bookmarkEnd w:id="250"/>
      <w:bookmarkEnd w:id="251"/>
      <w:r w:rsidRPr="002C25C6">
        <w:rPr>
          <w:lang w:val="ru-RU"/>
        </w:rPr>
        <w:t xml:space="preserve"> </w:t>
      </w:r>
    </w:p>
    <w:p w:rsidR="004A430C" w:rsidRPr="002C25C6" w:rsidRDefault="004A430C" w:rsidP="00A86B08">
      <w:pPr>
        <w:rPr>
          <w:lang w:val="ru-RU"/>
        </w:rPr>
      </w:pPr>
      <w:r w:rsidRPr="002C25C6">
        <w:rPr>
          <w:lang w:val="ru-RU"/>
        </w:rPr>
        <w:t>75</w:t>
      </w:r>
      <w:r w:rsidRPr="002C25C6">
        <w:rPr>
          <w:lang w:val="ru-RU"/>
        </w:rPr>
        <w:tab/>
        <w:t>Закупки в МСЭ регулируются следующими законодательными принципами:</w:t>
      </w:r>
    </w:p>
    <w:p w:rsidR="004A430C" w:rsidRPr="002C25C6" w:rsidRDefault="004A430C" w:rsidP="002C25C6">
      <w:pPr>
        <w:pStyle w:val="enumlev1"/>
        <w:rPr>
          <w:lang w:val="ru-RU"/>
        </w:rPr>
      </w:pPr>
      <w:r w:rsidRPr="002C25C6">
        <w:rPr>
          <w:lang w:val="ru-RU"/>
        </w:rPr>
        <w:t>a)</w:t>
      </w:r>
      <w:r w:rsidRPr="002C25C6">
        <w:rPr>
          <w:lang w:val="ru-RU"/>
        </w:rPr>
        <w:tab/>
        <w:t>Базовые правила закупки оборудования для проектов МСЭ в области технического сотрудничества и технической помощи (утверждены Административным советом в 1968 г.) и Пособие по административным процедурам для применения этих Базовых правил, разработанное Генеральным секретарем в 1968 г</w:t>
      </w:r>
      <w:r w:rsidR="002C25C6">
        <w:rPr>
          <w:lang w:val="ru-RU"/>
        </w:rPr>
        <w:t>оду</w:t>
      </w:r>
      <w:r w:rsidRPr="002C25C6">
        <w:rPr>
          <w:lang w:val="ru-RU"/>
        </w:rPr>
        <w:t xml:space="preserve"> и обновленное в 1987 и 1991 </w:t>
      </w:r>
      <w:r w:rsidR="002C25C6">
        <w:rPr>
          <w:lang w:val="ru-RU"/>
        </w:rPr>
        <w:t>годах</w:t>
      </w:r>
      <w:r w:rsidRPr="002C25C6">
        <w:rPr>
          <w:lang w:val="ru-RU"/>
        </w:rPr>
        <w:t xml:space="preserve"> для вступления в силу 1 января 1992 г</w:t>
      </w:r>
      <w:r w:rsidR="002C25C6">
        <w:rPr>
          <w:lang w:val="ru-RU"/>
        </w:rPr>
        <w:t>ода</w:t>
      </w:r>
      <w:r w:rsidRPr="002C25C6">
        <w:rPr>
          <w:lang w:val="ru-RU"/>
        </w:rPr>
        <w:t>;</w:t>
      </w:r>
    </w:p>
    <w:p w:rsidR="004A430C" w:rsidRPr="002C25C6" w:rsidRDefault="004A430C" w:rsidP="002C25C6">
      <w:pPr>
        <w:pStyle w:val="enumlev1"/>
        <w:rPr>
          <w:lang w:val="ru-RU"/>
        </w:rPr>
      </w:pPr>
      <w:r w:rsidRPr="002C25C6">
        <w:rPr>
          <w:lang w:val="ru-RU"/>
        </w:rPr>
        <w:t>b)</w:t>
      </w:r>
      <w:r w:rsidRPr="002C25C6">
        <w:rPr>
          <w:lang w:val="ru-RU"/>
        </w:rPr>
        <w:tab/>
        <w:t xml:space="preserve">Служебный приказ 14/06 о правилах и процедурах, регулирующих размещение контрактов. </w:t>
      </w:r>
    </w:p>
    <w:p w:rsidR="004A430C" w:rsidRPr="002C25C6" w:rsidRDefault="004A430C" w:rsidP="00A86B08">
      <w:pPr>
        <w:rPr>
          <w:lang w:val="ru-RU"/>
        </w:rPr>
      </w:pPr>
      <w:r w:rsidRPr="002C25C6">
        <w:rPr>
          <w:lang w:val="ru-RU"/>
        </w:rPr>
        <w:t>76</w:t>
      </w:r>
      <w:r w:rsidRPr="002C25C6">
        <w:rPr>
          <w:lang w:val="ru-RU"/>
        </w:rPr>
        <w:tab/>
        <w:t xml:space="preserve">В ходе нашей аудиторской проверки мы уделяли основное внимание </w:t>
      </w:r>
      <w:r w:rsidR="009E4DA7" w:rsidRPr="002C25C6">
        <w:rPr>
          <w:lang w:val="ru-RU"/>
        </w:rPr>
        <w:t xml:space="preserve">Служебному </w:t>
      </w:r>
      <w:r w:rsidRPr="002C25C6">
        <w:rPr>
          <w:lang w:val="ru-RU"/>
        </w:rPr>
        <w:t>приказу 14/06 и ограниченной выборке закупок, произведенных согласно этому приказу.</w:t>
      </w:r>
    </w:p>
    <w:p w:rsidR="004A430C" w:rsidRPr="002C25C6" w:rsidRDefault="004A430C" w:rsidP="004A11D4">
      <w:pPr>
        <w:rPr>
          <w:lang w:val="ru-RU"/>
        </w:rPr>
      </w:pPr>
      <w:r w:rsidRPr="002C25C6">
        <w:rPr>
          <w:lang w:val="ru-RU"/>
        </w:rPr>
        <w:t>77</w:t>
      </w:r>
      <w:r w:rsidRPr="002C25C6">
        <w:rPr>
          <w:lang w:val="ru-RU"/>
        </w:rPr>
        <w:tab/>
        <w:t xml:space="preserve">В ходе нашей аудиторской проверки мы выяснили, что </w:t>
      </w:r>
      <w:r w:rsidR="009E4DA7" w:rsidRPr="002C25C6">
        <w:rPr>
          <w:lang w:val="ru-RU"/>
        </w:rPr>
        <w:t xml:space="preserve">Служебный </w:t>
      </w:r>
      <w:r w:rsidRPr="002C25C6">
        <w:rPr>
          <w:lang w:val="ru-RU"/>
        </w:rPr>
        <w:t xml:space="preserve">приказ 14/06 охватывает лишь базовые общие принципы закупок. Кроме того, </w:t>
      </w:r>
      <w:r w:rsidR="009E4DA7" w:rsidRPr="002C25C6">
        <w:rPr>
          <w:lang w:val="ru-RU"/>
        </w:rPr>
        <w:t xml:space="preserve">Служебный </w:t>
      </w:r>
      <w:r w:rsidRPr="002C25C6">
        <w:rPr>
          <w:lang w:val="ru-RU"/>
        </w:rPr>
        <w:t xml:space="preserve">приказ 14/06 </w:t>
      </w:r>
      <w:r w:rsidR="004A11D4">
        <w:rPr>
          <w:lang w:val="ru-RU"/>
        </w:rPr>
        <w:t>реализуется в отсутствие</w:t>
      </w:r>
      <w:r w:rsidRPr="002C25C6">
        <w:rPr>
          <w:lang w:val="ru-RU"/>
        </w:rPr>
        <w:t xml:space="preserve"> направлений политики и процедур, которые должны служить руководством для всех сотрудников, задействованных на различных этапах процесса закупок.</w:t>
      </w:r>
    </w:p>
    <w:p w:rsidR="004A430C" w:rsidRPr="002C25C6" w:rsidRDefault="004A430C" w:rsidP="00A86B08">
      <w:pPr>
        <w:rPr>
          <w:lang w:val="ru-RU"/>
        </w:rPr>
      </w:pPr>
      <w:r w:rsidRPr="002C25C6">
        <w:rPr>
          <w:lang w:val="ru-RU"/>
        </w:rPr>
        <w:lastRenderedPageBreak/>
        <w:t>78</w:t>
      </w:r>
      <w:r w:rsidRPr="002C25C6">
        <w:rPr>
          <w:lang w:val="ru-RU"/>
        </w:rPr>
        <w:tab/>
        <w:t>Подразделение внутреннего аудита (</w:t>
      </w:r>
      <w:proofErr w:type="spellStart"/>
      <w:r w:rsidRPr="002C25C6">
        <w:rPr>
          <w:lang w:val="ru-RU"/>
        </w:rPr>
        <w:t>IAU</w:t>
      </w:r>
      <w:proofErr w:type="spellEnd"/>
      <w:r w:rsidRPr="002C25C6">
        <w:rPr>
          <w:lang w:val="ru-RU"/>
        </w:rPr>
        <w:t xml:space="preserve">) рекомендовало в своем Отчете </w:t>
      </w:r>
      <w:proofErr w:type="spellStart"/>
      <w:r w:rsidRPr="002C25C6">
        <w:rPr>
          <w:lang w:val="ru-RU"/>
        </w:rPr>
        <w:t>SG-SGO</w:t>
      </w:r>
      <w:proofErr w:type="spellEnd"/>
      <w:r w:rsidRPr="002C25C6">
        <w:rPr>
          <w:lang w:val="ru-RU"/>
        </w:rPr>
        <w:t>/</w:t>
      </w:r>
      <w:proofErr w:type="spellStart"/>
      <w:r w:rsidRPr="002C25C6">
        <w:rPr>
          <w:lang w:val="ru-RU"/>
        </w:rPr>
        <w:t>IA17</w:t>
      </w:r>
      <w:proofErr w:type="spellEnd"/>
      <w:r w:rsidRPr="002C25C6">
        <w:rPr>
          <w:lang w:val="ru-RU"/>
        </w:rPr>
        <w:t>-02 "</w:t>
      </w:r>
      <w:r w:rsidRPr="002C25C6">
        <w:rPr>
          <w:i/>
          <w:iCs/>
          <w:lang w:val="ru-RU"/>
        </w:rPr>
        <w:t xml:space="preserve">ускорить подготовку инструкции МСЭ по закупкам с указанием, среди прочего, применимых методов закупки, соответствующих процессов, </w:t>
      </w:r>
      <w:r w:rsidRPr="002C25C6">
        <w:rPr>
          <w:i/>
          <w:iCs/>
          <w:color w:val="000000"/>
          <w:lang w:val="ru-RU"/>
        </w:rPr>
        <w:t>применимых предельных значений</w:t>
      </w:r>
      <w:r w:rsidRPr="002C25C6">
        <w:rPr>
          <w:lang w:val="ru-RU"/>
        </w:rPr>
        <w:t xml:space="preserve"> </w:t>
      </w:r>
      <w:r w:rsidRPr="002C25C6">
        <w:rPr>
          <w:i/>
          <w:iCs/>
          <w:lang w:val="ru-RU"/>
        </w:rPr>
        <w:t>и т. д</w:t>
      </w:r>
      <w:r w:rsidRPr="002C25C6">
        <w:rPr>
          <w:lang w:val="ru-RU"/>
        </w:rPr>
        <w:t>.</w:t>
      </w:r>
      <w:r w:rsidRPr="009E4DA7">
        <w:rPr>
          <w:iCs/>
          <w:lang w:val="ru-RU"/>
        </w:rPr>
        <w:t>".</w:t>
      </w:r>
    </w:p>
    <w:p w:rsidR="004A430C" w:rsidRPr="002C25C6" w:rsidRDefault="004A430C" w:rsidP="00F5077D">
      <w:pPr>
        <w:rPr>
          <w:lang w:val="ru-RU"/>
        </w:rPr>
      </w:pPr>
    </w:p>
    <w:tbl>
      <w:tblPr>
        <w:tblStyle w:val="TableGrid2"/>
        <w:tblW w:w="0" w:type="auto"/>
        <w:tblInd w:w="-5" w:type="dxa"/>
        <w:tblLook w:val="04A0" w:firstRow="1" w:lastRow="0" w:firstColumn="1" w:lastColumn="0" w:noHBand="0" w:noVBand="1"/>
      </w:tblPr>
      <w:tblGrid>
        <w:gridCol w:w="9634"/>
      </w:tblGrid>
      <w:tr w:rsidR="004A430C" w:rsidRPr="002C25C6" w:rsidTr="001902C3">
        <w:tc>
          <w:tcPr>
            <w:tcW w:w="9634" w:type="dxa"/>
          </w:tcPr>
          <w:p w:rsidR="004A430C" w:rsidRPr="002C25C6" w:rsidRDefault="004A430C" w:rsidP="00F5077D">
            <w:pPr>
              <w:keepNext/>
              <w:rPr>
                <w:b/>
                <w:bCs/>
                <w:lang w:val="ru-RU"/>
              </w:rPr>
            </w:pPr>
            <w:r w:rsidRPr="002C25C6">
              <w:rPr>
                <w:b/>
                <w:bCs/>
                <w:lang w:val="ru-RU"/>
              </w:rPr>
              <w:t>Рекомендация 4</w:t>
            </w:r>
          </w:p>
          <w:p w:rsidR="004A430C" w:rsidRPr="002C25C6" w:rsidRDefault="004A430C" w:rsidP="00A86B08">
            <w:pPr>
              <w:spacing w:after="120"/>
              <w:rPr>
                <w:lang w:val="ru-RU"/>
              </w:rPr>
            </w:pPr>
            <w:r w:rsidRPr="002C25C6">
              <w:rPr>
                <w:lang w:val="ru-RU"/>
              </w:rPr>
              <w:t>79</w:t>
            </w:r>
            <w:r w:rsidRPr="002C25C6">
              <w:rPr>
                <w:lang w:val="ru-RU"/>
              </w:rPr>
              <w:tab/>
            </w:r>
            <w:r w:rsidRPr="003A6154">
              <w:rPr>
                <w:u w:val="single"/>
                <w:lang w:val="ru-RU"/>
              </w:rPr>
              <w:t>Мы</w:t>
            </w:r>
            <w:r w:rsidRPr="002C25C6">
              <w:rPr>
                <w:lang w:val="ru-RU"/>
              </w:rPr>
              <w:t xml:space="preserve"> разделяем позицию Внутреннего аудитора и </w:t>
            </w:r>
            <w:r w:rsidRPr="002C25C6">
              <w:rPr>
                <w:u w:val="single"/>
                <w:lang w:val="ru-RU"/>
              </w:rPr>
              <w:t>рекомендуем</w:t>
            </w:r>
            <w:r w:rsidRPr="002C25C6">
              <w:rPr>
                <w:lang w:val="ru-RU"/>
              </w:rPr>
              <w:t xml:space="preserve"> принять: </w:t>
            </w:r>
            <w:r w:rsidRPr="002C25C6">
              <w:rPr>
                <w:b/>
                <w:bCs/>
                <w:lang w:val="ru-RU"/>
              </w:rPr>
              <w:t>A</w:t>
            </w:r>
            <w:r w:rsidRPr="002C25C6">
              <w:rPr>
                <w:lang w:val="ru-RU"/>
              </w:rPr>
              <w:t xml:space="preserve">) инструкцию по закупкам, которая охватывала бы все этапы процесса закупок в соответствии с передовым опытом ООН в этой области, а также </w:t>
            </w:r>
            <w:r w:rsidRPr="002C25C6">
              <w:rPr>
                <w:b/>
                <w:bCs/>
                <w:lang w:val="ru-RU"/>
              </w:rPr>
              <w:t>B</w:t>
            </w:r>
            <w:r w:rsidRPr="002C25C6">
              <w:rPr>
                <w:lang w:val="ru-RU"/>
              </w:rPr>
              <w:t>) меры по реализации с направлениями политики и процедурами, которые должны служить руководством для всех сотрудников, задействованных на различных этапах процесса закупок.</w:t>
            </w:r>
          </w:p>
        </w:tc>
      </w:tr>
    </w:tbl>
    <w:p w:rsidR="004A430C" w:rsidRPr="002C25C6" w:rsidRDefault="004A430C" w:rsidP="00F5077D">
      <w:pPr>
        <w:rPr>
          <w:lang w:val="ru-RU"/>
        </w:rPr>
      </w:pPr>
    </w:p>
    <w:tbl>
      <w:tblPr>
        <w:tblStyle w:val="TableGrid2"/>
        <w:tblW w:w="0" w:type="auto"/>
        <w:tblInd w:w="-5" w:type="dxa"/>
        <w:tblLook w:val="04A0" w:firstRow="1" w:lastRow="0" w:firstColumn="1" w:lastColumn="0" w:noHBand="0" w:noVBand="1"/>
      </w:tblPr>
      <w:tblGrid>
        <w:gridCol w:w="9634"/>
      </w:tblGrid>
      <w:tr w:rsidR="004A430C" w:rsidRPr="002C25C6" w:rsidTr="001902C3">
        <w:trPr>
          <w:cantSplit/>
        </w:trPr>
        <w:tc>
          <w:tcPr>
            <w:tcW w:w="9634" w:type="dxa"/>
          </w:tcPr>
          <w:p w:rsidR="004A430C" w:rsidRPr="002C25C6" w:rsidRDefault="004A430C" w:rsidP="001902C3">
            <w:pPr>
              <w:rPr>
                <w:b/>
                <w:bCs/>
                <w:lang w:val="ru-RU"/>
              </w:rPr>
            </w:pPr>
            <w:r w:rsidRPr="002C25C6">
              <w:rPr>
                <w:b/>
                <w:bCs/>
                <w:lang w:val="ru-RU"/>
              </w:rPr>
              <w:t>Комментарии Генерального секретаря</w:t>
            </w:r>
          </w:p>
          <w:p w:rsidR="004A430C" w:rsidRPr="002C25C6" w:rsidRDefault="004A430C" w:rsidP="00A86B08">
            <w:pPr>
              <w:spacing w:after="120"/>
              <w:rPr>
                <w:lang w:val="ru-RU"/>
              </w:rPr>
            </w:pPr>
            <w:r w:rsidRPr="002C25C6">
              <w:rPr>
                <w:lang w:val="ru-RU"/>
              </w:rPr>
              <w:t>МСЭ принимает эту рекомендацию. В настоящее время готовится инструкция по закупкам, которая охватит все этапы процесса закупок и будет служить руководством по направлениям политики и процедурам для всех сотрудников, задействованных на различных этапах процесса закупок.</w:t>
            </w:r>
          </w:p>
        </w:tc>
      </w:tr>
    </w:tbl>
    <w:p w:rsidR="004A430C" w:rsidRPr="002C25C6" w:rsidRDefault="004A430C" w:rsidP="00A86B08">
      <w:pPr>
        <w:rPr>
          <w:lang w:val="ru-RU"/>
        </w:rPr>
      </w:pPr>
      <w:r w:rsidRPr="002C25C6">
        <w:rPr>
          <w:lang w:val="ru-RU"/>
        </w:rPr>
        <w:t>80</w:t>
      </w:r>
      <w:r w:rsidRPr="002C25C6">
        <w:rPr>
          <w:lang w:val="ru-RU"/>
        </w:rPr>
        <w:tab/>
        <w:t xml:space="preserve">Согласно пункту 2.1.1 </w:t>
      </w:r>
      <w:r w:rsidR="009E4DA7" w:rsidRPr="002C25C6">
        <w:rPr>
          <w:lang w:val="ru-RU"/>
        </w:rPr>
        <w:t xml:space="preserve">Служебного </w:t>
      </w:r>
      <w:r w:rsidRPr="002C25C6">
        <w:rPr>
          <w:lang w:val="ru-RU"/>
        </w:rPr>
        <w:t>приказа 14/06, "</w:t>
      </w:r>
      <w:r w:rsidRPr="002C25C6">
        <w:rPr>
          <w:i/>
          <w:iCs/>
          <w:lang w:val="ru-RU"/>
        </w:rPr>
        <w:t>отдел закупок разрабатывает письменную процедуру для контрактов, предусматривающих сметную сумму менее 20 000 швейцарских франков</w:t>
      </w:r>
      <w:r w:rsidRPr="002C25C6">
        <w:rPr>
          <w:lang w:val="ru-RU"/>
        </w:rPr>
        <w:t xml:space="preserve">". В ходе аудиторской проверки мы выявили отсутствие этой письменной процедуры. </w:t>
      </w:r>
    </w:p>
    <w:p w:rsidR="004A430C" w:rsidRPr="002C25C6" w:rsidRDefault="004A430C" w:rsidP="002424D9">
      <w:pPr>
        <w:rPr>
          <w:lang w:val="ru-RU"/>
        </w:rPr>
      </w:pPr>
    </w:p>
    <w:tbl>
      <w:tblPr>
        <w:tblStyle w:val="TableGrid2"/>
        <w:tblW w:w="0" w:type="auto"/>
        <w:tblInd w:w="-5" w:type="dxa"/>
        <w:tblLook w:val="04A0" w:firstRow="1" w:lastRow="0" w:firstColumn="1" w:lastColumn="0" w:noHBand="0" w:noVBand="1"/>
      </w:tblPr>
      <w:tblGrid>
        <w:gridCol w:w="9634"/>
      </w:tblGrid>
      <w:tr w:rsidR="004A430C" w:rsidRPr="002C25C6" w:rsidTr="001902C3">
        <w:tc>
          <w:tcPr>
            <w:tcW w:w="9634" w:type="dxa"/>
          </w:tcPr>
          <w:p w:rsidR="004A430C" w:rsidRPr="002C25C6" w:rsidRDefault="004A430C" w:rsidP="002424D9">
            <w:pPr>
              <w:keepNext/>
              <w:rPr>
                <w:b/>
                <w:bCs/>
                <w:lang w:val="ru-RU"/>
              </w:rPr>
            </w:pPr>
            <w:r w:rsidRPr="002C25C6">
              <w:rPr>
                <w:b/>
                <w:bCs/>
                <w:lang w:val="ru-RU"/>
              </w:rPr>
              <w:t>Рекомендация 5</w:t>
            </w:r>
          </w:p>
          <w:p w:rsidR="004A430C" w:rsidRPr="002C25C6" w:rsidRDefault="004A430C" w:rsidP="00A86B08">
            <w:pPr>
              <w:spacing w:after="120"/>
              <w:rPr>
                <w:lang w:val="ru-RU"/>
              </w:rPr>
            </w:pPr>
            <w:r w:rsidRPr="002C25C6">
              <w:rPr>
                <w:lang w:val="ru-RU"/>
              </w:rPr>
              <w:t>81</w:t>
            </w:r>
            <w:r w:rsidRPr="002C25C6">
              <w:rPr>
                <w:lang w:val="ru-RU"/>
              </w:rPr>
              <w:tab/>
              <w:t xml:space="preserve">Ввиду этого </w:t>
            </w:r>
            <w:r w:rsidRPr="002C25C6">
              <w:rPr>
                <w:u w:val="single"/>
                <w:lang w:val="ru-RU"/>
              </w:rPr>
              <w:t>мы рекомендуем</w:t>
            </w:r>
            <w:r w:rsidRPr="002C25C6">
              <w:rPr>
                <w:lang w:val="ru-RU"/>
              </w:rPr>
              <w:t xml:space="preserve"> МСЭ ввести письменную процедуру, которой бы следовали сотрудники МСЭ в случаях закупок на сумму менее 20 000 швейцарских франков.</w:t>
            </w:r>
          </w:p>
        </w:tc>
      </w:tr>
    </w:tbl>
    <w:p w:rsidR="004A430C" w:rsidRPr="002C25C6" w:rsidRDefault="004A430C" w:rsidP="002424D9">
      <w:pPr>
        <w:rPr>
          <w:lang w:val="ru-RU"/>
        </w:rPr>
      </w:pPr>
    </w:p>
    <w:tbl>
      <w:tblPr>
        <w:tblStyle w:val="TableGrid2"/>
        <w:tblW w:w="0" w:type="auto"/>
        <w:tblInd w:w="-5" w:type="dxa"/>
        <w:tblLook w:val="04A0" w:firstRow="1" w:lastRow="0" w:firstColumn="1" w:lastColumn="0" w:noHBand="0" w:noVBand="1"/>
      </w:tblPr>
      <w:tblGrid>
        <w:gridCol w:w="9634"/>
      </w:tblGrid>
      <w:tr w:rsidR="004A430C" w:rsidRPr="002C25C6" w:rsidTr="001902C3">
        <w:trPr>
          <w:cantSplit/>
        </w:trPr>
        <w:tc>
          <w:tcPr>
            <w:tcW w:w="9634" w:type="dxa"/>
          </w:tcPr>
          <w:p w:rsidR="004A430C" w:rsidRPr="002C25C6" w:rsidRDefault="004A430C" w:rsidP="001902C3">
            <w:pPr>
              <w:rPr>
                <w:b/>
                <w:bCs/>
                <w:lang w:val="ru-RU"/>
              </w:rPr>
            </w:pPr>
            <w:r w:rsidRPr="002C25C6">
              <w:rPr>
                <w:b/>
                <w:bCs/>
                <w:lang w:val="ru-RU"/>
              </w:rPr>
              <w:t>Комментарии Генерального секретаря</w:t>
            </w:r>
          </w:p>
          <w:p w:rsidR="004A430C" w:rsidRPr="002C25C6" w:rsidRDefault="004A430C" w:rsidP="00A86B08">
            <w:pPr>
              <w:spacing w:after="120"/>
              <w:rPr>
                <w:lang w:val="ru-RU"/>
              </w:rPr>
            </w:pPr>
            <w:r w:rsidRPr="002C25C6">
              <w:rPr>
                <w:lang w:val="ru-RU"/>
              </w:rPr>
              <w:t>МСЭ принимает эту рекомендацию. Это будет включено в инструкцию по закупкам.</w:t>
            </w:r>
          </w:p>
        </w:tc>
      </w:tr>
    </w:tbl>
    <w:p w:rsidR="004A430C" w:rsidRPr="002C25C6" w:rsidRDefault="004A430C" w:rsidP="009A6D4B">
      <w:pPr>
        <w:rPr>
          <w:lang w:val="ru-RU"/>
        </w:rPr>
      </w:pPr>
    </w:p>
    <w:tbl>
      <w:tblPr>
        <w:tblStyle w:val="TableGrid2"/>
        <w:tblW w:w="0" w:type="auto"/>
        <w:tblInd w:w="-5" w:type="dxa"/>
        <w:tblLook w:val="04A0" w:firstRow="1" w:lastRow="0" w:firstColumn="1" w:lastColumn="0" w:noHBand="0" w:noVBand="1"/>
      </w:tblPr>
      <w:tblGrid>
        <w:gridCol w:w="9634"/>
      </w:tblGrid>
      <w:tr w:rsidR="004A430C" w:rsidRPr="002C25C6" w:rsidTr="001902C3">
        <w:tc>
          <w:tcPr>
            <w:tcW w:w="9634" w:type="dxa"/>
          </w:tcPr>
          <w:p w:rsidR="004A430C" w:rsidRPr="002C25C6" w:rsidRDefault="004A430C" w:rsidP="002424D9">
            <w:pPr>
              <w:keepNext/>
              <w:rPr>
                <w:b/>
                <w:bCs/>
                <w:lang w:val="ru-RU"/>
              </w:rPr>
            </w:pPr>
            <w:r w:rsidRPr="002C25C6">
              <w:rPr>
                <w:b/>
                <w:bCs/>
                <w:lang w:val="ru-RU"/>
              </w:rPr>
              <w:t>Предложение 2</w:t>
            </w:r>
          </w:p>
          <w:p w:rsidR="004A430C" w:rsidRPr="002C25C6" w:rsidRDefault="004A430C" w:rsidP="00A86B08">
            <w:pPr>
              <w:spacing w:after="120"/>
              <w:rPr>
                <w:lang w:val="ru-RU"/>
              </w:rPr>
            </w:pPr>
            <w:r w:rsidRPr="002C25C6">
              <w:rPr>
                <w:lang w:val="ru-RU"/>
              </w:rPr>
              <w:t>82</w:t>
            </w:r>
            <w:r w:rsidRPr="002C25C6">
              <w:rPr>
                <w:lang w:val="ru-RU"/>
              </w:rPr>
              <w:tab/>
              <w:t xml:space="preserve">Наряду с этим </w:t>
            </w:r>
            <w:r w:rsidRPr="002C25C6">
              <w:rPr>
                <w:u w:val="single"/>
                <w:lang w:val="ru-RU"/>
              </w:rPr>
              <w:t>мы предлагаем</w:t>
            </w:r>
            <w:r w:rsidRPr="002C25C6">
              <w:rPr>
                <w:lang w:val="ru-RU"/>
              </w:rPr>
              <w:t>, чтобы МСЭ пересмотрел порог получения минимум трех предложений для гарантии разумного финансового управления процессом.</w:t>
            </w:r>
          </w:p>
        </w:tc>
      </w:tr>
    </w:tbl>
    <w:p w:rsidR="004A430C" w:rsidRPr="002C25C6" w:rsidRDefault="004A430C" w:rsidP="002424D9">
      <w:pPr>
        <w:rPr>
          <w:lang w:val="ru-RU"/>
        </w:rPr>
      </w:pPr>
    </w:p>
    <w:tbl>
      <w:tblPr>
        <w:tblStyle w:val="TableGrid2"/>
        <w:tblW w:w="0" w:type="auto"/>
        <w:tblInd w:w="-5" w:type="dxa"/>
        <w:tblLook w:val="04A0" w:firstRow="1" w:lastRow="0" w:firstColumn="1" w:lastColumn="0" w:noHBand="0" w:noVBand="1"/>
      </w:tblPr>
      <w:tblGrid>
        <w:gridCol w:w="9634"/>
      </w:tblGrid>
      <w:tr w:rsidR="004A430C" w:rsidRPr="002C25C6" w:rsidTr="001902C3">
        <w:trPr>
          <w:cantSplit/>
        </w:trPr>
        <w:tc>
          <w:tcPr>
            <w:tcW w:w="9634" w:type="dxa"/>
          </w:tcPr>
          <w:p w:rsidR="004A430C" w:rsidRPr="002C25C6" w:rsidRDefault="004A430C" w:rsidP="001902C3">
            <w:pPr>
              <w:rPr>
                <w:b/>
                <w:bCs/>
                <w:lang w:val="ru-RU"/>
              </w:rPr>
            </w:pPr>
            <w:r w:rsidRPr="002C25C6">
              <w:rPr>
                <w:b/>
                <w:bCs/>
                <w:lang w:val="ru-RU"/>
              </w:rPr>
              <w:t>Комментарии Генерального секретаря</w:t>
            </w:r>
          </w:p>
          <w:p w:rsidR="004A430C" w:rsidRPr="002C25C6" w:rsidRDefault="004A430C" w:rsidP="00A86B08">
            <w:pPr>
              <w:spacing w:after="120"/>
              <w:rPr>
                <w:lang w:val="ru-RU"/>
              </w:rPr>
            </w:pPr>
            <w:r w:rsidRPr="002C25C6">
              <w:rPr>
                <w:lang w:val="ru-RU"/>
              </w:rPr>
              <w:t>МСЭ согласен с этим предложением. Это будет включено в новую инструкцию по закупкам.</w:t>
            </w:r>
          </w:p>
        </w:tc>
      </w:tr>
    </w:tbl>
    <w:p w:rsidR="004A430C" w:rsidRPr="002C25C6" w:rsidRDefault="004A430C" w:rsidP="00A86B08">
      <w:pPr>
        <w:pStyle w:val="Heading1"/>
        <w:rPr>
          <w:lang w:val="ru-RU"/>
        </w:rPr>
      </w:pPr>
      <w:bookmarkStart w:id="252" w:name="_Toc482176249"/>
      <w:bookmarkStart w:id="253" w:name="_Toc482995202"/>
      <w:r w:rsidRPr="002C25C6">
        <w:rPr>
          <w:lang w:val="ru-RU"/>
        </w:rPr>
        <w:t>Повышение прозрачности процесса закупок</w:t>
      </w:r>
      <w:bookmarkEnd w:id="252"/>
      <w:bookmarkEnd w:id="253"/>
    </w:p>
    <w:p w:rsidR="004A430C" w:rsidRPr="002C25C6" w:rsidRDefault="004A430C" w:rsidP="00A86B08">
      <w:pPr>
        <w:rPr>
          <w:lang w:val="ru-RU"/>
        </w:rPr>
      </w:pPr>
      <w:r w:rsidRPr="002C25C6">
        <w:rPr>
          <w:lang w:val="ru-RU"/>
        </w:rPr>
        <w:t>83</w:t>
      </w:r>
      <w:r w:rsidRPr="002C25C6">
        <w:rPr>
          <w:lang w:val="ru-RU"/>
        </w:rPr>
        <w:tab/>
        <w:t xml:space="preserve">В ходе нашей аудиторской проверки мы обнаружили, что </w:t>
      </w:r>
      <w:proofErr w:type="spellStart"/>
      <w:r w:rsidRPr="002C25C6">
        <w:rPr>
          <w:lang w:val="ru-RU"/>
        </w:rPr>
        <w:t>PROC</w:t>
      </w:r>
      <w:proofErr w:type="spellEnd"/>
      <w:r w:rsidRPr="002C25C6">
        <w:rPr>
          <w:lang w:val="ru-RU"/>
        </w:rPr>
        <w:t xml:space="preserve"> не уведомляет в индивидуальном порядке проигравших поставщиков о том, что их заявка не была принята, а также мы отметили отсутствие этого требования в </w:t>
      </w:r>
      <w:r w:rsidR="009E4DA7" w:rsidRPr="002C25C6">
        <w:rPr>
          <w:lang w:val="ru-RU"/>
        </w:rPr>
        <w:t xml:space="preserve">Служебном </w:t>
      </w:r>
      <w:r w:rsidRPr="002C25C6">
        <w:rPr>
          <w:lang w:val="ru-RU"/>
        </w:rPr>
        <w:t>приказе 14/06.</w:t>
      </w:r>
    </w:p>
    <w:p w:rsidR="004A430C" w:rsidRPr="002C25C6" w:rsidRDefault="004A430C" w:rsidP="000073BF">
      <w:pPr>
        <w:rPr>
          <w:lang w:val="ru-RU"/>
        </w:rPr>
      </w:pPr>
    </w:p>
    <w:tbl>
      <w:tblPr>
        <w:tblStyle w:val="TableGrid2"/>
        <w:tblW w:w="0" w:type="auto"/>
        <w:tblInd w:w="-5" w:type="dxa"/>
        <w:tblLook w:val="04A0" w:firstRow="1" w:lastRow="0" w:firstColumn="1" w:lastColumn="0" w:noHBand="0" w:noVBand="1"/>
      </w:tblPr>
      <w:tblGrid>
        <w:gridCol w:w="9634"/>
      </w:tblGrid>
      <w:tr w:rsidR="004A430C" w:rsidRPr="002C25C6" w:rsidTr="001902C3">
        <w:tc>
          <w:tcPr>
            <w:tcW w:w="9634" w:type="dxa"/>
          </w:tcPr>
          <w:p w:rsidR="004A430C" w:rsidRPr="002C25C6" w:rsidRDefault="004A430C" w:rsidP="000073BF">
            <w:pPr>
              <w:keepNext/>
              <w:rPr>
                <w:b/>
                <w:bCs/>
                <w:lang w:val="ru-RU"/>
              </w:rPr>
            </w:pPr>
            <w:r w:rsidRPr="002C25C6">
              <w:rPr>
                <w:b/>
                <w:bCs/>
                <w:lang w:val="ru-RU"/>
              </w:rPr>
              <w:t>Рекомендация 6</w:t>
            </w:r>
          </w:p>
          <w:p w:rsidR="004A430C" w:rsidRPr="002C25C6" w:rsidRDefault="004A430C" w:rsidP="00A86B08">
            <w:pPr>
              <w:spacing w:after="120"/>
              <w:rPr>
                <w:lang w:val="ru-RU"/>
              </w:rPr>
            </w:pPr>
            <w:r w:rsidRPr="002C25C6">
              <w:rPr>
                <w:lang w:val="ru-RU"/>
              </w:rPr>
              <w:t>84</w:t>
            </w:r>
            <w:r w:rsidRPr="002C25C6">
              <w:rPr>
                <w:lang w:val="ru-RU"/>
              </w:rPr>
              <w:tab/>
              <w:t xml:space="preserve">Мы отмечаем, что Управление закупками МСЭ регулярно публикует все решения о присуждении контрактов на </w:t>
            </w:r>
            <w:proofErr w:type="spellStart"/>
            <w:r w:rsidRPr="002C25C6">
              <w:rPr>
                <w:lang w:val="ru-RU"/>
              </w:rPr>
              <w:t>ГРООН</w:t>
            </w:r>
            <w:proofErr w:type="spellEnd"/>
            <w:r w:rsidRPr="002C25C6">
              <w:rPr>
                <w:lang w:val="ru-RU"/>
              </w:rPr>
              <w:t xml:space="preserve">, но для повышения уровня прозрачности процесса закупок </w:t>
            </w:r>
            <w:r w:rsidRPr="002C25C6">
              <w:rPr>
                <w:u w:val="single"/>
                <w:lang w:val="ru-RU"/>
              </w:rPr>
              <w:t>мы рекомендуем</w:t>
            </w:r>
            <w:r w:rsidRPr="002C25C6">
              <w:rPr>
                <w:lang w:val="ru-RU"/>
              </w:rPr>
              <w:t xml:space="preserve"> МСЭ: </w:t>
            </w:r>
            <w:r w:rsidRPr="002C25C6">
              <w:rPr>
                <w:b/>
                <w:bCs/>
                <w:lang w:val="ru-RU"/>
              </w:rPr>
              <w:t>A</w:t>
            </w:r>
            <w:r w:rsidRPr="002C25C6">
              <w:rPr>
                <w:lang w:val="ru-RU"/>
              </w:rPr>
              <w:t xml:space="preserve">) уведомлять в индивидуальном порядке всех участников тендера о завершении или аннулировании процесса закупок; </w:t>
            </w:r>
            <w:r w:rsidRPr="002C25C6">
              <w:rPr>
                <w:b/>
                <w:bCs/>
                <w:lang w:val="ru-RU"/>
              </w:rPr>
              <w:t>B</w:t>
            </w:r>
            <w:r w:rsidRPr="002C25C6">
              <w:rPr>
                <w:lang w:val="ru-RU"/>
              </w:rPr>
              <w:t xml:space="preserve">) проводить, если поступает запрос, собеседование с проигравшими/исключенными участниками тендера, которые участвовали в процессе закупок, чтобы дать им возможность эффективнее конкурировать при представлении заявок в будущем; </w:t>
            </w:r>
            <w:r w:rsidRPr="002C25C6">
              <w:rPr>
                <w:b/>
                <w:bCs/>
                <w:lang w:val="ru-RU"/>
              </w:rPr>
              <w:t>C</w:t>
            </w:r>
            <w:r w:rsidRPr="002C25C6">
              <w:rPr>
                <w:lang w:val="ru-RU"/>
              </w:rPr>
              <w:t>) информировать в ходе собеседования проигравших поставщиков о причинах отклонения их заявок.</w:t>
            </w:r>
          </w:p>
        </w:tc>
      </w:tr>
    </w:tbl>
    <w:p w:rsidR="004A430C" w:rsidRPr="002C25C6" w:rsidRDefault="004A430C" w:rsidP="000073BF">
      <w:pPr>
        <w:rPr>
          <w:lang w:val="ru-RU"/>
        </w:rPr>
      </w:pPr>
    </w:p>
    <w:tbl>
      <w:tblPr>
        <w:tblStyle w:val="TableGrid2"/>
        <w:tblW w:w="0" w:type="auto"/>
        <w:tblInd w:w="-5" w:type="dxa"/>
        <w:tblLook w:val="04A0" w:firstRow="1" w:lastRow="0" w:firstColumn="1" w:lastColumn="0" w:noHBand="0" w:noVBand="1"/>
      </w:tblPr>
      <w:tblGrid>
        <w:gridCol w:w="9634"/>
      </w:tblGrid>
      <w:tr w:rsidR="004A430C" w:rsidRPr="002C25C6" w:rsidTr="001902C3">
        <w:trPr>
          <w:cantSplit/>
        </w:trPr>
        <w:tc>
          <w:tcPr>
            <w:tcW w:w="9634" w:type="dxa"/>
          </w:tcPr>
          <w:p w:rsidR="004A430C" w:rsidRPr="002C25C6" w:rsidRDefault="004A430C" w:rsidP="001902C3">
            <w:pPr>
              <w:rPr>
                <w:b/>
                <w:bCs/>
                <w:lang w:val="ru-RU"/>
              </w:rPr>
            </w:pPr>
            <w:r w:rsidRPr="002C25C6">
              <w:rPr>
                <w:b/>
                <w:bCs/>
                <w:lang w:val="ru-RU"/>
              </w:rPr>
              <w:t>Комментарии Генерального секретаря</w:t>
            </w:r>
          </w:p>
          <w:p w:rsidR="004A430C" w:rsidRPr="002C25C6" w:rsidRDefault="004A430C" w:rsidP="00A86B08">
            <w:pPr>
              <w:spacing w:after="120"/>
              <w:rPr>
                <w:lang w:val="ru-RU"/>
              </w:rPr>
            </w:pPr>
            <w:r w:rsidRPr="002C25C6">
              <w:rPr>
                <w:lang w:val="ru-RU"/>
              </w:rPr>
              <w:t>В настоящее время в МСЭ практикуется отправка писем с сожалениями (по электронной почте для сумм менее 50 000 швейцарских франков) всем проигравшим поставщикам, уведомляя их об отклонении их заявок. В документе по представлению заявок поставщикам предлагается запрашивать информацию об оценке их заявки. МСЭ принимает рекомендацию относительно уведомления также поставщиков в письме с сожалениями о том, что они могут запрашивать информацию по оценке своих заявок, и это будет включено в новую инструкцию по закупкам.</w:t>
            </w:r>
          </w:p>
        </w:tc>
      </w:tr>
    </w:tbl>
    <w:p w:rsidR="004A430C" w:rsidRPr="002C25C6" w:rsidRDefault="004A430C" w:rsidP="00A86B08">
      <w:pPr>
        <w:rPr>
          <w:lang w:val="ru-RU"/>
        </w:rPr>
      </w:pPr>
      <w:r w:rsidRPr="002C25C6">
        <w:rPr>
          <w:lang w:val="ru-RU"/>
        </w:rPr>
        <w:t>85</w:t>
      </w:r>
      <w:r w:rsidRPr="002C25C6">
        <w:rPr>
          <w:lang w:val="ru-RU"/>
        </w:rPr>
        <w:tab/>
        <w:t xml:space="preserve">Наряду с этим мы обнаружили в некоторых файлах по закупкам, что в предложении представлять заявки не предусматриваются критерии "успеха/неуспеха" (или соответствия/несоответствия, которым должны удовлетворять поставщики при технической оценке их заявок, чтобы исключить их из процесса закупок или считать их технически соответствующими для коммерческой оценки. Мы также отметили отсутствие этого требования в </w:t>
      </w:r>
      <w:r w:rsidR="009E4DA7" w:rsidRPr="002C25C6">
        <w:rPr>
          <w:lang w:val="ru-RU"/>
        </w:rPr>
        <w:t xml:space="preserve">Служебном </w:t>
      </w:r>
      <w:r w:rsidRPr="002C25C6">
        <w:rPr>
          <w:lang w:val="ru-RU"/>
        </w:rPr>
        <w:t>приказе 14/06.</w:t>
      </w:r>
    </w:p>
    <w:p w:rsidR="004A430C" w:rsidRPr="002C25C6" w:rsidRDefault="004A430C" w:rsidP="000073BF">
      <w:pPr>
        <w:rPr>
          <w:lang w:val="ru-RU"/>
        </w:rPr>
      </w:pPr>
    </w:p>
    <w:tbl>
      <w:tblPr>
        <w:tblStyle w:val="TableGrid2"/>
        <w:tblW w:w="0" w:type="auto"/>
        <w:tblInd w:w="-5" w:type="dxa"/>
        <w:tblLook w:val="04A0" w:firstRow="1" w:lastRow="0" w:firstColumn="1" w:lastColumn="0" w:noHBand="0" w:noVBand="1"/>
      </w:tblPr>
      <w:tblGrid>
        <w:gridCol w:w="9634"/>
      </w:tblGrid>
      <w:tr w:rsidR="004A430C" w:rsidRPr="002C25C6" w:rsidTr="001902C3">
        <w:tc>
          <w:tcPr>
            <w:tcW w:w="9634" w:type="dxa"/>
          </w:tcPr>
          <w:p w:rsidR="004A430C" w:rsidRPr="002C25C6" w:rsidRDefault="004A430C" w:rsidP="000073BF">
            <w:pPr>
              <w:keepNext/>
              <w:rPr>
                <w:b/>
                <w:bCs/>
                <w:lang w:val="ru-RU"/>
              </w:rPr>
            </w:pPr>
            <w:r w:rsidRPr="002C25C6">
              <w:rPr>
                <w:b/>
                <w:bCs/>
                <w:lang w:val="ru-RU"/>
              </w:rPr>
              <w:t>Рекомендация 7</w:t>
            </w:r>
          </w:p>
          <w:p w:rsidR="004A430C" w:rsidRPr="002C25C6" w:rsidRDefault="004A430C" w:rsidP="00A86B08">
            <w:pPr>
              <w:spacing w:after="120"/>
              <w:rPr>
                <w:lang w:val="ru-RU"/>
              </w:rPr>
            </w:pPr>
            <w:r w:rsidRPr="002C25C6">
              <w:rPr>
                <w:lang w:val="ru-RU"/>
              </w:rPr>
              <w:t>86</w:t>
            </w:r>
            <w:r w:rsidRPr="002C25C6">
              <w:rPr>
                <w:lang w:val="ru-RU"/>
              </w:rPr>
              <w:tab/>
            </w:r>
            <w:r w:rsidRPr="002C25C6">
              <w:rPr>
                <w:u w:val="single"/>
                <w:lang w:val="ru-RU"/>
              </w:rPr>
              <w:t>Мы рекомендуем</w:t>
            </w:r>
            <w:r w:rsidRPr="002C25C6">
              <w:rPr>
                <w:lang w:val="ru-RU"/>
              </w:rPr>
              <w:t xml:space="preserve"> МСЭ обеспечить последовательное применение четких критериев успеха/неуспеха (или соответствия/несоответствия) во всех предложениях представлять заявки.</w:t>
            </w:r>
          </w:p>
        </w:tc>
      </w:tr>
    </w:tbl>
    <w:p w:rsidR="004A430C" w:rsidRPr="002C25C6" w:rsidRDefault="004A430C" w:rsidP="000073BF">
      <w:pPr>
        <w:rPr>
          <w:lang w:val="ru-RU"/>
        </w:rPr>
      </w:pPr>
    </w:p>
    <w:tbl>
      <w:tblPr>
        <w:tblStyle w:val="TableGrid2"/>
        <w:tblW w:w="0" w:type="auto"/>
        <w:tblInd w:w="-5" w:type="dxa"/>
        <w:tblLook w:val="04A0" w:firstRow="1" w:lastRow="0" w:firstColumn="1" w:lastColumn="0" w:noHBand="0" w:noVBand="1"/>
      </w:tblPr>
      <w:tblGrid>
        <w:gridCol w:w="9634"/>
      </w:tblGrid>
      <w:tr w:rsidR="004A430C" w:rsidRPr="002C25C6" w:rsidTr="001902C3">
        <w:trPr>
          <w:cantSplit/>
        </w:trPr>
        <w:tc>
          <w:tcPr>
            <w:tcW w:w="9634" w:type="dxa"/>
          </w:tcPr>
          <w:p w:rsidR="004A430C" w:rsidRPr="002C25C6" w:rsidRDefault="004A430C" w:rsidP="001902C3">
            <w:pPr>
              <w:rPr>
                <w:b/>
                <w:bCs/>
                <w:lang w:val="ru-RU"/>
              </w:rPr>
            </w:pPr>
            <w:r w:rsidRPr="002C25C6">
              <w:rPr>
                <w:b/>
                <w:bCs/>
                <w:lang w:val="ru-RU"/>
              </w:rPr>
              <w:t>Комментарии Генерального секретаря</w:t>
            </w:r>
          </w:p>
          <w:p w:rsidR="004A430C" w:rsidRPr="002C25C6" w:rsidRDefault="004A430C" w:rsidP="00A86B08">
            <w:pPr>
              <w:spacing w:after="120"/>
              <w:rPr>
                <w:lang w:val="ru-RU"/>
              </w:rPr>
            </w:pPr>
            <w:r w:rsidRPr="002C25C6">
              <w:rPr>
                <w:lang w:val="ru-RU"/>
              </w:rPr>
              <w:t>В настоящее время в МСЭ практикуется применение для всех предложений представлять заявки четких критериев успеха/неуспеха, которые определяются до выпуска предложения представлять заявки. Эта практика будет включена в новую инструкцию по закупкам.</w:t>
            </w:r>
          </w:p>
        </w:tc>
      </w:tr>
    </w:tbl>
    <w:p w:rsidR="004A430C" w:rsidRPr="002C25C6" w:rsidRDefault="004A430C" w:rsidP="00A86B08">
      <w:pPr>
        <w:pStyle w:val="Heading1"/>
        <w:rPr>
          <w:lang w:val="ru-RU"/>
        </w:rPr>
      </w:pPr>
      <w:bookmarkStart w:id="254" w:name="_Toc482176250"/>
      <w:bookmarkStart w:id="255" w:name="_Toc482995203"/>
      <w:r w:rsidRPr="002C25C6">
        <w:rPr>
          <w:lang w:val="ru-RU"/>
        </w:rPr>
        <w:t>Активизация роли Комитета по оценке</w:t>
      </w:r>
      <w:bookmarkEnd w:id="254"/>
      <w:bookmarkEnd w:id="255"/>
    </w:p>
    <w:p w:rsidR="004A430C" w:rsidRPr="002C25C6" w:rsidRDefault="004A430C" w:rsidP="00A86B08">
      <w:pPr>
        <w:rPr>
          <w:lang w:val="ru-RU"/>
        </w:rPr>
      </w:pPr>
      <w:r w:rsidRPr="002C25C6">
        <w:rPr>
          <w:lang w:val="ru-RU"/>
        </w:rPr>
        <w:t>87</w:t>
      </w:r>
      <w:r w:rsidRPr="002C25C6">
        <w:rPr>
          <w:lang w:val="ru-RU"/>
        </w:rPr>
        <w:tab/>
        <w:t xml:space="preserve">В соответствии с передовым опытом ООН задача группы оценки заключается в обеспечении того, чтобы поставщики и их заявки удовлетворяли требованиям документов о предложении принять участие в тендере, а также в оценке предложений в соответствии с заранее определенными критериями оценки. </w:t>
      </w:r>
    </w:p>
    <w:p w:rsidR="004A430C" w:rsidRPr="002C25C6" w:rsidRDefault="004A430C" w:rsidP="00A86B08">
      <w:pPr>
        <w:rPr>
          <w:lang w:val="ru-RU"/>
        </w:rPr>
      </w:pPr>
      <w:r w:rsidRPr="002C25C6">
        <w:rPr>
          <w:lang w:val="ru-RU"/>
        </w:rPr>
        <w:t>88</w:t>
      </w:r>
      <w:r w:rsidRPr="002C25C6">
        <w:rPr>
          <w:lang w:val="ru-RU"/>
        </w:rPr>
        <w:tab/>
        <w:t>В то же время мы обнаружили, что правила закупок МСЭ этого не предусматривают. В отчетах по оценке следует отражать технические и коммерческие баллы, выставленные Комитетом по оценке, чтобы получить четкое ранжирование заявки, рекомендованной для заключения контракта, в соответствии с критериями, установленными в досье тендера.</w:t>
      </w:r>
    </w:p>
    <w:p w:rsidR="004A430C" w:rsidRPr="002C25C6" w:rsidRDefault="004A430C" w:rsidP="009E4DA7">
      <w:pPr>
        <w:rPr>
          <w:lang w:val="ru-RU"/>
        </w:rPr>
      </w:pPr>
      <w:r w:rsidRPr="002C25C6">
        <w:rPr>
          <w:lang w:val="ru-RU"/>
        </w:rPr>
        <w:lastRenderedPageBreak/>
        <w:t>89</w:t>
      </w:r>
      <w:r w:rsidRPr="002C25C6">
        <w:rPr>
          <w:lang w:val="ru-RU"/>
        </w:rPr>
        <w:tab/>
        <w:t>Например, в одном файле по закупкам, который мы проверили, одна из заявок, полученных в установленные сроки, была заполнена не целиком. Недостающая часть заявки была прислана с опозданием, и предложение не было отклонено, хотя в соответствии с приглашением подавать предложения "</w:t>
      </w:r>
      <w:r w:rsidRPr="002C25C6">
        <w:rPr>
          <w:i/>
          <w:iCs/>
          <w:lang w:val="ru-RU"/>
        </w:rPr>
        <w:t>любое предложение, полученное после вышеупомянутого конечного срока, не будет рассматриваться</w:t>
      </w:r>
      <w:r w:rsidRPr="002C25C6">
        <w:rPr>
          <w:lang w:val="ru-RU"/>
        </w:rPr>
        <w:t>".</w:t>
      </w:r>
    </w:p>
    <w:p w:rsidR="004A430C" w:rsidRPr="002C25C6" w:rsidRDefault="004A430C" w:rsidP="00A86B08">
      <w:pPr>
        <w:rPr>
          <w:lang w:val="ru-RU"/>
        </w:rPr>
      </w:pPr>
      <w:r w:rsidRPr="002C25C6">
        <w:rPr>
          <w:lang w:val="ru-RU"/>
        </w:rPr>
        <w:t>90</w:t>
      </w:r>
      <w:r w:rsidRPr="002C25C6">
        <w:rPr>
          <w:lang w:val="ru-RU"/>
        </w:rPr>
        <w:tab/>
        <w:t>В ходе технической оценки Комитет по оценке применял совершенно иные критерии и весовые факторы, чем предварительно определенные в приглашении подавать предложения. Кроме того, в своем отчете по оценке Комитет по оценке не учитывал баллы, выставленные заявкам по итогам технической и коммерческой оценки, как предусматривается в приглашении подавать предложения, и контракт был присужден поставщику, предложившему самую низкую цену.</w:t>
      </w:r>
    </w:p>
    <w:p w:rsidR="004A430C" w:rsidRPr="002C25C6" w:rsidRDefault="004A430C" w:rsidP="000073BF">
      <w:pPr>
        <w:rPr>
          <w:lang w:val="ru-RU"/>
        </w:rPr>
      </w:pPr>
      <w:bookmarkStart w:id="256" w:name="_Ref476323373"/>
    </w:p>
    <w:tbl>
      <w:tblPr>
        <w:tblStyle w:val="TableGrid2"/>
        <w:tblW w:w="0" w:type="auto"/>
        <w:tblInd w:w="-5" w:type="dxa"/>
        <w:tblLook w:val="04A0" w:firstRow="1" w:lastRow="0" w:firstColumn="1" w:lastColumn="0" w:noHBand="0" w:noVBand="1"/>
      </w:tblPr>
      <w:tblGrid>
        <w:gridCol w:w="9634"/>
      </w:tblGrid>
      <w:tr w:rsidR="004A430C" w:rsidRPr="002C25C6" w:rsidTr="001902C3">
        <w:tc>
          <w:tcPr>
            <w:tcW w:w="9634" w:type="dxa"/>
          </w:tcPr>
          <w:p w:rsidR="004A430C" w:rsidRPr="002C25C6" w:rsidRDefault="004A430C" w:rsidP="000073BF">
            <w:pPr>
              <w:keepNext/>
              <w:rPr>
                <w:b/>
                <w:bCs/>
                <w:lang w:val="ru-RU"/>
              </w:rPr>
            </w:pPr>
            <w:r w:rsidRPr="002C25C6">
              <w:rPr>
                <w:b/>
                <w:bCs/>
                <w:lang w:val="ru-RU"/>
              </w:rPr>
              <w:t>Рекомендация 8</w:t>
            </w:r>
          </w:p>
          <w:p w:rsidR="004A430C" w:rsidRPr="002C25C6" w:rsidRDefault="004A430C" w:rsidP="009E4DA7">
            <w:pPr>
              <w:spacing w:after="120"/>
              <w:rPr>
                <w:lang w:val="ru-RU"/>
              </w:rPr>
            </w:pPr>
            <w:r w:rsidRPr="002C25C6">
              <w:rPr>
                <w:lang w:val="ru-RU"/>
              </w:rPr>
              <w:t>91</w:t>
            </w:r>
            <w:r w:rsidRPr="002C25C6">
              <w:rPr>
                <w:lang w:val="ru-RU"/>
              </w:rPr>
              <w:tab/>
            </w:r>
            <w:r w:rsidRPr="002C25C6">
              <w:rPr>
                <w:u w:val="single"/>
                <w:lang w:val="ru-RU"/>
              </w:rPr>
              <w:t>Мы рекомендуем</w:t>
            </w:r>
            <w:r w:rsidRPr="002C25C6">
              <w:rPr>
                <w:lang w:val="ru-RU"/>
              </w:rPr>
              <w:t xml:space="preserve"> для проведения процесса закупок справедливым и прозрачным образом</w:t>
            </w:r>
            <w:r w:rsidR="009E4DA7">
              <w:rPr>
                <w:lang w:val="ru-RU"/>
              </w:rPr>
              <w:t>,</w:t>
            </w:r>
            <w:r w:rsidRPr="002C25C6">
              <w:rPr>
                <w:lang w:val="ru-RU"/>
              </w:rPr>
              <w:t xml:space="preserve"> и учитывая наилучшее соотношение цены и качества, следующее: </w:t>
            </w:r>
            <w:r w:rsidRPr="002C25C6">
              <w:rPr>
                <w:b/>
                <w:bCs/>
                <w:lang w:val="ru-RU"/>
              </w:rPr>
              <w:t>A</w:t>
            </w:r>
            <w:r w:rsidRPr="002C25C6">
              <w:rPr>
                <w:lang w:val="ru-RU"/>
              </w:rPr>
              <w:t>) Комитету по оценке следует в процессе оценки применять критерии и метод оценки, предусмотренные в документе с предложением принять участие в тендере/досье тендера. Наряду с этим мы считаем неподобающими критерии, установленные в приглашении подавать предложения, согласно которым "</w:t>
            </w:r>
            <w:r w:rsidRPr="002C25C6">
              <w:rPr>
                <w:i/>
                <w:iCs/>
                <w:lang w:val="ru-RU"/>
              </w:rPr>
              <w:t>доступность участников тендера в середине ноября (2012 года) будет важным критерием отбора</w:t>
            </w:r>
            <w:r w:rsidRPr="002C25C6">
              <w:rPr>
                <w:lang w:val="ru-RU"/>
              </w:rPr>
              <w:t>", потому что они могут сократить конкуренцию, ограничивая участие других поставщиков в процессе закупок (фактически в отношении проверенной закупки контракт был подписан только в феврале 2013 г</w:t>
            </w:r>
            <w:r w:rsidR="009E4DA7">
              <w:rPr>
                <w:lang w:val="ru-RU"/>
              </w:rPr>
              <w:t>.</w:t>
            </w:r>
            <w:r w:rsidRPr="002C25C6">
              <w:rPr>
                <w:lang w:val="ru-RU"/>
              </w:rPr>
              <w:t xml:space="preserve">); </w:t>
            </w:r>
            <w:r w:rsidRPr="002C25C6">
              <w:rPr>
                <w:b/>
                <w:bCs/>
                <w:lang w:val="ru-RU"/>
              </w:rPr>
              <w:t>B</w:t>
            </w:r>
            <w:r w:rsidRPr="002C25C6">
              <w:rPr>
                <w:lang w:val="ru-RU"/>
              </w:rPr>
              <w:t xml:space="preserve">) Комитету по оценке следует составлять четкие отчеты по оценке, учитывая технические и коммерческие баллы в заявках, чтобы получить четкое ранжирование заявки, рекомендуемой для заключения контракта, в соответствии с критериями, установленными в файле тендера; </w:t>
            </w:r>
            <w:r w:rsidRPr="002C25C6">
              <w:rPr>
                <w:b/>
                <w:bCs/>
                <w:lang w:val="ru-RU"/>
              </w:rPr>
              <w:t>C</w:t>
            </w:r>
            <w:r w:rsidRPr="002C25C6">
              <w:rPr>
                <w:lang w:val="ru-RU"/>
              </w:rPr>
              <w:t xml:space="preserve">) в случае отступления от принципа автоматического отклонения заявок, полученных с опозданием, в </w:t>
            </w:r>
            <w:r w:rsidR="009E4DA7" w:rsidRPr="002C25C6">
              <w:rPr>
                <w:lang w:val="ru-RU"/>
              </w:rPr>
              <w:t xml:space="preserve">Служебном </w:t>
            </w:r>
            <w:r w:rsidRPr="002C25C6">
              <w:rPr>
                <w:lang w:val="ru-RU"/>
              </w:rPr>
              <w:t>приказе 14/06 следует четко указать, в каких случаях применимы такие отступления.</w:t>
            </w:r>
          </w:p>
        </w:tc>
      </w:tr>
    </w:tbl>
    <w:p w:rsidR="004A430C" w:rsidRPr="002C25C6" w:rsidRDefault="004A430C" w:rsidP="000073BF">
      <w:pPr>
        <w:rPr>
          <w:lang w:val="ru-RU"/>
        </w:rPr>
      </w:pPr>
    </w:p>
    <w:tbl>
      <w:tblPr>
        <w:tblStyle w:val="TableGrid2"/>
        <w:tblW w:w="0" w:type="auto"/>
        <w:tblInd w:w="-5" w:type="dxa"/>
        <w:tblLook w:val="04A0" w:firstRow="1" w:lastRow="0" w:firstColumn="1" w:lastColumn="0" w:noHBand="0" w:noVBand="1"/>
      </w:tblPr>
      <w:tblGrid>
        <w:gridCol w:w="9634"/>
      </w:tblGrid>
      <w:tr w:rsidR="004A430C" w:rsidRPr="002C25C6" w:rsidTr="001902C3">
        <w:trPr>
          <w:cantSplit/>
        </w:trPr>
        <w:tc>
          <w:tcPr>
            <w:tcW w:w="9634" w:type="dxa"/>
          </w:tcPr>
          <w:p w:rsidR="004A430C" w:rsidRPr="002C25C6" w:rsidRDefault="004A430C" w:rsidP="001902C3">
            <w:pPr>
              <w:rPr>
                <w:b/>
                <w:bCs/>
                <w:lang w:val="ru-RU"/>
              </w:rPr>
            </w:pPr>
            <w:r w:rsidRPr="002C25C6">
              <w:rPr>
                <w:b/>
                <w:bCs/>
                <w:lang w:val="ru-RU"/>
              </w:rPr>
              <w:t>Комментарии Генерального секретаря</w:t>
            </w:r>
          </w:p>
          <w:p w:rsidR="004A430C" w:rsidRPr="002C25C6" w:rsidRDefault="004A430C" w:rsidP="00A86B08">
            <w:pPr>
              <w:spacing w:after="120"/>
              <w:rPr>
                <w:lang w:val="ru-RU"/>
              </w:rPr>
            </w:pPr>
            <w:r w:rsidRPr="002C25C6">
              <w:rPr>
                <w:lang w:val="ru-RU"/>
              </w:rPr>
              <w:t>В настоящее время в МСЭ практикуется установление критериев и методики оценки до объявления тендера, а в отчетах по оценке четко представляются баллы, выставленные каждому участнику тендера, и их индивидуальное ранжирование. Эта практика будет включена в новую инструкцию по закупкам.</w:t>
            </w:r>
          </w:p>
        </w:tc>
      </w:tr>
    </w:tbl>
    <w:p w:rsidR="004A430C" w:rsidRPr="002C25C6" w:rsidRDefault="004A430C" w:rsidP="00A86B08">
      <w:pPr>
        <w:pStyle w:val="Heading1"/>
        <w:rPr>
          <w:lang w:val="ru-RU"/>
        </w:rPr>
      </w:pPr>
      <w:bookmarkStart w:id="257" w:name="_Toc482176251"/>
      <w:bookmarkStart w:id="258" w:name="_Toc482995204"/>
      <w:bookmarkEnd w:id="256"/>
      <w:r w:rsidRPr="002C25C6">
        <w:rPr>
          <w:lang w:val="ru-RU"/>
        </w:rPr>
        <w:t>Совершенствование обязательной технической оценки</w:t>
      </w:r>
      <w:bookmarkEnd w:id="257"/>
      <w:bookmarkEnd w:id="258"/>
      <w:r w:rsidRPr="002C25C6">
        <w:rPr>
          <w:lang w:val="ru-RU"/>
        </w:rPr>
        <w:t xml:space="preserve"> </w:t>
      </w:r>
    </w:p>
    <w:p w:rsidR="004A430C" w:rsidRPr="002C25C6" w:rsidRDefault="004A430C" w:rsidP="00A86B08">
      <w:pPr>
        <w:rPr>
          <w:lang w:val="ru-RU"/>
        </w:rPr>
      </w:pPr>
      <w:r w:rsidRPr="002C25C6">
        <w:rPr>
          <w:lang w:val="ru-RU"/>
        </w:rPr>
        <w:t>92</w:t>
      </w:r>
      <w:r w:rsidRPr="002C25C6">
        <w:rPr>
          <w:lang w:val="ru-RU"/>
        </w:rPr>
        <w:tab/>
        <w:t>В нашей ограниченной выборке мы обнаружили, что в приглашении подавать предложения не предусматриваются обязательные или минимальные требования (или баллы), которым должны соответствовать поставщики в ходе технической оценки заявки, чтобы быть исключенными из процесса закупок или быть признанными технически соответствующими для коммерческой оценки.</w:t>
      </w:r>
    </w:p>
    <w:p w:rsidR="004A430C" w:rsidRPr="002C25C6" w:rsidRDefault="004A430C" w:rsidP="000073BF">
      <w:pPr>
        <w:rPr>
          <w:lang w:val="ru-RU"/>
        </w:rPr>
      </w:pPr>
    </w:p>
    <w:tbl>
      <w:tblPr>
        <w:tblStyle w:val="TableGrid2"/>
        <w:tblW w:w="0" w:type="auto"/>
        <w:tblInd w:w="-5" w:type="dxa"/>
        <w:tblLook w:val="04A0" w:firstRow="1" w:lastRow="0" w:firstColumn="1" w:lastColumn="0" w:noHBand="0" w:noVBand="1"/>
      </w:tblPr>
      <w:tblGrid>
        <w:gridCol w:w="9634"/>
      </w:tblGrid>
      <w:tr w:rsidR="004A430C" w:rsidRPr="002C25C6" w:rsidTr="001902C3">
        <w:tc>
          <w:tcPr>
            <w:tcW w:w="9634" w:type="dxa"/>
          </w:tcPr>
          <w:p w:rsidR="004A430C" w:rsidRPr="002C25C6" w:rsidRDefault="004A430C" w:rsidP="000073BF">
            <w:pPr>
              <w:keepNext/>
              <w:rPr>
                <w:b/>
                <w:bCs/>
                <w:lang w:val="ru-RU"/>
              </w:rPr>
            </w:pPr>
            <w:r w:rsidRPr="002C25C6">
              <w:rPr>
                <w:b/>
                <w:bCs/>
                <w:lang w:val="ru-RU"/>
              </w:rPr>
              <w:lastRenderedPageBreak/>
              <w:t>Рекомендация 9</w:t>
            </w:r>
          </w:p>
          <w:p w:rsidR="004A430C" w:rsidRPr="002C25C6" w:rsidRDefault="004A430C" w:rsidP="004A11D4">
            <w:pPr>
              <w:spacing w:after="120"/>
              <w:rPr>
                <w:lang w:val="ru-RU"/>
              </w:rPr>
            </w:pPr>
            <w:r w:rsidRPr="002C25C6">
              <w:rPr>
                <w:lang w:val="ru-RU"/>
              </w:rPr>
              <w:t>93</w:t>
            </w:r>
            <w:r w:rsidRPr="002C25C6">
              <w:rPr>
                <w:lang w:val="ru-RU"/>
              </w:rPr>
              <w:tab/>
            </w:r>
            <w:r w:rsidRPr="009E4DA7">
              <w:rPr>
                <w:u w:val="single"/>
                <w:lang w:val="ru-RU"/>
              </w:rPr>
              <w:t>Мы рекомендуем</w:t>
            </w:r>
            <w:r w:rsidRPr="002C25C6">
              <w:rPr>
                <w:lang w:val="ru-RU"/>
              </w:rPr>
              <w:t>, как это предусматривает передовой опыт ООН, что</w:t>
            </w:r>
            <w:r w:rsidR="004A11D4">
              <w:rPr>
                <w:lang w:val="ru-RU"/>
              </w:rPr>
              <w:t>бы применительно к</w:t>
            </w:r>
            <w:r w:rsidRPr="002C25C6">
              <w:rPr>
                <w:lang w:val="ru-RU"/>
              </w:rPr>
              <w:t xml:space="preserve"> приглашения</w:t>
            </w:r>
            <w:r w:rsidR="004A11D4">
              <w:rPr>
                <w:lang w:val="ru-RU"/>
              </w:rPr>
              <w:t>м</w:t>
            </w:r>
            <w:r w:rsidRPr="002C25C6">
              <w:rPr>
                <w:lang w:val="ru-RU"/>
              </w:rPr>
              <w:t xml:space="preserve"> подавать предложения</w:t>
            </w:r>
            <w:r w:rsidR="004A11D4">
              <w:rPr>
                <w:lang w:val="ru-RU"/>
              </w:rPr>
              <w:t xml:space="preserve"> при коммерческой оценке учитывались</w:t>
            </w:r>
            <w:r w:rsidRPr="002C25C6">
              <w:rPr>
                <w:lang w:val="ru-RU"/>
              </w:rPr>
              <w:t xml:space="preserve"> только предложения, соответствующие обязательным и минимальным требованиям (или баллам), а коммерческие заявки от поставщиков, которые были признаны технически не соответствующими спецификациям тендера, не оценива</w:t>
            </w:r>
            <w:r w:rsidR="004A11D4">
              <w:rPr>
                <w:lang w:val="ru-RU"/>
              </w:rPr>
              <w:t>лись</w:t>
            </w:r>
            <w:r w:rsidRPr="002C25C6">
              <w:rPr>
                <w:lang w:val="ru-RU"/>
              </w:rPr>
              <w:t>.</w:t>
            </w:r>
          </w:p>
        </w:tc>
      </w:tr>
    </w:tbl>
    <w:p w:rsidR="004A430C" w:rsidRPr="002C25C6" w:rsidRDefault="004A430C" w:rsidP="000073BF">
      <w:pPr>
        <w:rPr>
          <w:lang w:val="ru-RU"/>
        </w:rPr>
      </w:pPr>
    </w:p>
    <w:tbl>
      <w:tblPr>
        <w:tblStyle w:val="TableGrid2"/>
        <w:tblW w:w="0" w:type="auto"/>
        <w:tblInd w:w="-5" w:type="dxa"/>
        <w:tblLook w:val="04A0" w:firstRow="1" w:lastRow="0" w:firstColumn="1" w:lastColumn="0" w:noHBand="0" w:noVBand="1"/>
      </w:tblPr>
      <w:tblGrid>
        <w:gridCol w:w="9634"/>
      </w:tblGrid>
      <w:tr w:rsidR="004A430C" w:rsidRPr="002C25C6" w:rsidTr="001902C3">
        <w:trPr>
          <w:cantSplit/>
        </w:trPr>
        <w:tc>
          <w:tcPr>
            <w:tcW w:w="9634" w:type="dxa"/>
          </w:tcPr>
          <w:p w:rsidR="004A430C" w:rsidRPr="002C25C6" w:rsidRDefault="004A430C" w:rsidP="001902C3">
            <w:pPr>
              <w:rPr>
                <w:b/>
                <w:bCs/>
                <w:lang w:val="ru-RU"/>
              </w:rPr>
            </w:pPr>
            <w:r w:rsidRPr="002C25C6">
              <w:rPr>
                <w:b/>
                <w:bCs/>
                <w:lang w:val="ru-RU"/>
              </w:rPr>
              <w:t>Комментарии Генерального секретаря</w:t>
            </w:r>
          </w:p>
          <w:p w:rsidR="004A430C" w:rsidRPr="002C25C6" w:rsidRDefault="004A430C" w:rsidP="00A86B08">
            <w:pPr>
              <w:spacing w:after="120"/>
              <w:rPr>
                <w:lang w:val="ru-RU"/>
              </w:rPr>
            </w:pPr>
            <w:r w:rsidRPr="002C25C6">
              <w:rPr>
                <w:lang w:val="ru-RU"/>
              </w:rPr>
              <w:t>В настоящее время в МСЭ практикуется оценка только коммерческих предложений поставщиков, которые технически соответствуют условиям тендера. Эта практика будет включена в новую инструкцию по закупкам.</w:t>
            </w:r>
          </w:p>
        </w:tc>
      </w:tr>
    </w:tbl>
    <w:p w:rsidR="00A86B08" w:rsidRPr="002C25C6" w:rsidRDefault="00A86B08" w:rsidP="00A86B08">
      <w:pPr>
        <w:pStyle w:val="Heading1"/>
        <w:rPr>
          <w:lang w:val="ru-RU"/>
        </w:rPr>
      </w:pPr>
      <w:bookmarkStart w:id="259" w:name="_Toc482176252"/>
      <w:bookmarkStart w:id="260" w:name="_Toc482995205"/>
      <w:r w:rsidRPr="002C25C6">
        <w:rPr>
          <w:lang w:val="ru-RU"/>
        </w:rPr>
        <w:t>Объявление суммы бюджета в целях обеспечения лучшей ориентировки в предложениях</w:t>
      </w:r>
      <w:bookmarkEnd w:id="260"/>
    </w:p>
    <w:bookmarkEnd w:id="259"/>
    <w:p w:rsidR="00A86B08" w:rsidRPr="002C25C6" w:rsidRDefault="00A86B08" w:rsidP="00D31A49">
      <w:pPr>
        <w:rPr>
          <w:lang w:val="ru-RU"/>
        </w:rPr>
      </w:pPr>
      <w:r w:rsidRPr="002C25C6">
        <w:rPr>
          <w:lang w:val="ru-RU"/>
        </w:rPr>
        <w:t>94</w:t>
      </w:r>
      <w:r w:rsidRPr="002C25C6">
        <w:rPr>
          <w:lang w:val="ru-RU"/>
        </w:rPr>
        <w:tab/>
        <w:t xml:space="preserve">Аудиторская проверка одной из закупок показала, что в </w:t>
      </w:r>
      <w:r w:rsidR="004A11D4">
        <w:rPr>
          <w:color w:val="000000"/>
          <w:lang w:val="ru-RU"/>
        </w:rPr>
        <w:t>приглашении подавать</w:t>
      </w:r>
      <w:r w:rsidRPr="002C25C6">
        <w:rPr>
          <w:color w:val="000000"/>
          <w:lang w:val="ru-RU"/>
        </w:rPr>
        <w:t xml:space="preserve"> предложени</w:t>
      </w:r>
      <w:r w:rsidR="004A11D4">
        <w:rPr>
          <w:color w:val="000000"/>
          <w:lang w:val="ru-RU"/>
        </w:rPr>
        <w:t>я</w:t>
      </w:r>
      <w:r w:rsidRPr="002C25C6">
        <w:rPr>
          <w:color w:val="000000"/>
          <w:lang w:val="ru-RU"/>
        </w:rPr>
        <w:t xml:space="preserve"> </w:t>
      </w:r>
      <w:r w:rsidRPr="002C25C6">
        <w:rPr>
          <w:lang w:val="ru-RU"/>
        </w:rPr>
        <w:t>поставщикам предлагалось учесть то, что выделенные МСЭ на проект бюджетные средства будут достаточно ограниченными (45 000 швейцарских франков). Эти сведения о сумме бюджета не были объявлены поставщикам.</w:t>
      </w:r>
    </w:p>
    <w:p w:rsidR="00A86B08" w:rsidRPr="002C25C6" w:rsidRDefault="00A86B08" w:rsidP="00A86B08">
      <w:pPr>
        <w:rPr>
          <w:lang w:val="ru-RU"/>
        </w:rPr>
      </w:pPr>
      <w:r w:rsidRPr="002C25C6">
        <w:rPr>
          <w:lang w:val="ru-RU"/>
        </w:rPr>
        <w:t>95</w:t>
      </w:r>
      <w:r w:rsidRPr="002C25C6">
        <w:rPr>
          <w:lang w:val="ru-RU"/>
        </w:rPr>
        <w:tab/>
        <w:t xml:space="preserve">Оценка МСЭ предложения была основана на критерии </w:t>
      </w:r>
      <w:r w:rsidRPr="002C25C6">
        <w:rPr>
          <w:color w:val="000000"/>
          <w:lang w:val="ru-RU"/>
        </w:rPr>
        <w:t>наилучшего соотношения цены и качества</w:t>
      </w:r>
      <w:r w:rsidRPr="002C25C6">
        <w:rPr>
          <w:lang w:val="ru-RU"/>
        </w:rPr>
        <w:t>: технический аспект (30 пунктов), коммерческий и административный (70 пунктов).</w:t>
      </w:r>
    </w:p>
    <w:p w:rsidR="00A86B08" w:rsidRPr="002C25C6" w:rsidRDefault="00A86B08" w:rsidP="00A86B08">
      <w:pPr>
        <w:rPr>
          <w:lang w:val="ru-RU"/>
        </w:rPr>
      </w:pPr>
      <w:r w:rsidRPr="002C25C6">
        <w:rPr>
          <w:lang w:val="ru-RU"/>
        </w:rPr>
        <w:t>96</w:t>
      </w:r>
      <w:r w:rsidRPr="002C25C6">
        <w:rPr>
          <w:lang w:val="ru-RU"/>
        </w:rPr>
        <w:tab/>
        <w:t>Во время процесса оценки автоматически исключались все предложения, превышавшие выделенную на проект сумму бюджета. Контракт достался единственному поставщику, предложившему цену в пределах заложенной в бюджете суммы.</w:t>
      </w:r>
    </w:p>
    <w:p w:rsidR="00A86B08" w:rsidRPr="002C25C6" w:rsidRDefault="00A86B08" w:rsidP="00A86B08">
      <w:pPr>
        <w:rPr>
          <w:lang w:val="ru-RU"/>
        </w:rPr>
      </w:pPr>
    </w:p>
    <w:tbl>
      <w:tblPr>
        <w:tblStyle w:val="TableGrid2"/>
        <w:tblW w:w="0" w:type="auto"/>
        <w:tblInd w:w="-5" w:type="dxa"/>
        <w:tblLook w:val="04A0" w:firstRow="1" w:lastRow="0" w:firstColumn="1" w:lastColumn="0" w:noHBand="0" w:noVBand="1"/>
      </w:tblPr>
      <w:tblGrid>
        <w:gridCol w:w="9634"/>
      </w:tblGrid>
      <w:tr w:rsidR="00A86B08" w:rsidRPr="002C25C6" w:rsidTr="00A86B08">
        <w:tc>
          <w:tcPr>
            <w:tcW w:w="9634" w:type="dxa"/>
          </w:tcPr>
          <w:p w:rsidR="00A86B08" w:rsidRPr="002C25C6" w:rsidRDefault="00A86B08" w:rsidP="003A6154">
            <w:pPr>
              <w:keepNext/>
              <w:rPr>
                <w:b/>
                <w:bCs/>
                <w:lang w:val="ru-RU"/>
              </w:rPr>
            </w:pPr>
            <w:r w:rsidRPr="002C25C6">
              <w:rPr>
                <w:b/>
                <w:bCs/>
                <w:lang w:val="ru-RU"/>
              </w:rPr>
              <w:t xml:space="preserve">Предложение </w:t>
            </w:r>
            <w:r w:rsidR="003A6154">
              <w:rPr>
                <w:b/>
                <w:bCs/>
                <w:lang w:val="ru-RU"/>
              </w:rPr>
              <w:t>3</w:t>
            </w:r>
          </w:p>
          <w:p w:rsidR="00A86B08" w:rsidRPr="002C25C6" w:rsidRDefault="00A86B08" w:rsidP="00A86B08">
            <w:pPr>
              <w:spacing w:after="120"/>
              <w:rPr>
                <w:lang w:val="ru-RU"/>
              </w:rPr>
            </w:pPr>
            <w:r w:rsidRPr="002C25C6">
              <w:rPr>
                <w:lang w:val="ru-RU"/>
              </w:rPr>
              <w:t>97</w:t>
            </w:r>
            <w:r w:rsidRPr="002C25C6">
              <w:rPr>
                <w:lang w:val="ru-RU"/>
              </w:rPr>
              <w:tab/>
              <w:t xml:space="preserve">Когда МСЭ принимает решение о начале процесса закупки и выделяет ограниченные ресурсы на приобретение товаров и услуг, в целях повышения конкуренции и </w:t>
            </w:r>
            <w:proofErr w:type="spellStart"/>
            <w:r w:rsidRPr="002C25C6">
              <w:rPr>
                <w:lang w:val="ru-RU"/>
              </w:rPr>
              <w:t>избежания</w:t>
            </w:r>
            <w:proofErr w:type="spellEnd"/>
            <w:r w:rsidRPr="002C25C6">
              <w:rPr>
                <w:lang w:val="ru-RU"/>
              </w:rPr>
              <w:t xml:space="preserve"> автоматического исключения поставщиков, </w:t>
            </w:r>
            <w:r w:rsidRPr="003A6154">
              <w:rPr>
                <w:u w:val="single"/>
                <w:lang w:val="ru-RU"/>
              </w:rPr>
              <w:t>мы предлагаем</w:t>
            </w:r>
            <w:r w:rsidRPr="002C25C6">
              <w:rPr>
                <w:lang w:val="ru-RU"/>
              </w:rPr>
              <w:t>, чтобы МСЭ объявлял в надлежащих случаях максимальную заложенную в бюджете сумму.</w:t>
            </w:r>
          </w:p>
        </w:tc>
      </w:tr>
    </w:tbl>
    <w:p w:rsidR="00A86B08" w:rsidRPr="002C25C6" w:rsidRDefault="00A86B08" w:rsidP="00A86B08">
      <w:pPr>
        <w:rPr>
          <w:lang w:val="ru-RU"/>
        </w:rPr>
      </w:pPr>
    </w:p>
    <w:tbl>
      <w:tblPr>
        <w:tblStyle w:val="TableGrid2"/>
        <w:tblW w:w="0" w:type="auto"/>
        <w:tblInd w:w="-5" w:type="dxa"/>
        <w:tblLook w:val="04A0" w:firstRow="1" w:lastRow="0" w:firstColumn="1" w:lastColumn="0" w:noHBand="0" w:noVBand="1"/>
      </w:tblPr>
      <w:tblGrid>
        <w:gridCol w:w="9634"/>
      </w:tblGrid>
      <w:tr w:rsidR="00A86B08" w:rsidRPr="002C25C6" w:rsidTr="00A86B08">
        <w:trPr>
          <w:cantSplit/>
        </w:trPr>
        <w:tc>
          <w:tcPr>
            <w:tcW w:w="9634" w:type="dxa"/>
          </w:tcPr>
          <w:p w:rsidR="00A86B08" w:rsidRPr="002C25C6" w:rsidRDefault="00A86B08" w:rsidP="00A86B08">
            <w:pPr>
              <w:rPr>
                <w:b/>
                <w:bCs/>
                <w:lang w:val="ru-RU"/>
              </w:rPr>
            </w:pPr>
            <w:r w:rsidRPr="002C25C6">
              <w:rPr>
                <w:b/>
                <w:bCs/>
                <w:lang w:val="ru-RU"/>
              </w:rPr>
              <w:t>Комментарии Генерального секретаря</w:t>
            </w:r>
          </w:p>
          <w:p w:rsidR="00A86B08" w:rsidRPr="002C25C6" w:rsidRDefault="00A86B08" w:rsidP="00A86B08">
            <w:pPr>
              <w:spacing w:after="120"/>
              <w:rPr>
                <w:lang w:val="ru-RU"/>
              </w:rPr>
            </w:pPr>
            <w:r w:rsidRPr="002C25C6">
              <w:rPr>
                <w:lang w:val="ru-RU"/>
              </w:rPr>
              <w:t>МСЭ согласен с предложением и будет, когда это необходимо, объявлять максимальную заложенную в бюджете сумму.</w:t>
            </w:r>
          </w:p>
        </w:tc>
      </w:tr>
    </w:tbl>
    <w:p w:rsidR="00A86B08" w:rsidRPr="002C25C6" w:rsidRDefault="00A86B08" w:rsidP="00A86B08">
      <w:pPr>
        <w:pStyle w:val="Heading1"/>
        <w:rPr>
          <w:lang w:val="ru-RU"/>
        </w:rPr>
      </w:pPr>
      <w:bookmarkStart w:id="261" w:name="_Toc478775838"/>
      <w:bookmarkStart w:id="262" w:name="_Toc482176253"/>
      <w:bookmarkStart w:id="263" w:name="_Toc482995206"/>
      <w:r w:rsidRPr="002C25C6">
        <w:rPr>
          <w:lang w:val="ru-RU"/>
        </w:rPr>
        <w:t xml:space="preserve">Контроль </w:t>
      </w:r>
      <w:bookmarkEnd w:id="261"/>
      <w:bookmarkEnd w:id="262"/>
      <w:r w:rsidRPr="002C25C6">
        <w:rPr>
          <w:color w:val="000000"/>
          <w:lang w:val="ru-RU"/>
        </w:rPr>
        <w:t>показателей работы поставщиков</w:t>
      </w:r>
      <w:bookmarkEnd w:id="263"/>
    </w:p>
    <w:p w:rsidR="00A86B08" w:rsidRPr="002C25C6" w:rsidRDefault="00A86B08" w:rsidP="00A86B08">
      <w:pPr>
        <w:rPr>
          <w:lang w:val="ru-RU"/>
        </w:rPr>
      </w:pPr>
      <w:r w:rsidRPr="002C25C6">
        <w:rPr>
          <w:lang w:val="ru-RU"/>
        </w:rPr>
        <w:t>98</w:t>
      </w:r>
      <w:r w:rsidRPr="002C25C6">
        <w:rPr>
          <w:lang w:val="ru-RU"/>
        </w:rPr>
        <w:tab/>
        <w:t>Во время аудиторской проверки мы обнаружили, что правила закупок МСЭ не предусматривали оценку показателей работы поставщиков по выполнению контракта.</w:t>
      </w:r>
    </w:p>
    <w:p w:rsidR="00A86B08" w:rsidRPr="00571B7E" w:rsidRDefault="00A86B08" w:rsidP="00571B7E">
      <w:pPr>
        <w:rPr>
          <w:iCs/>
          <w:lang w:val="ru-RU"/>
        </w:rPr>
      </w:pPr>
      <w:r w:rsidRPr="002C25C6">
        <w:rPr>
          <w:lang w:val="ru-RU"/>
        </w:rPr>
        <w:t>99</w:t>
      </w:r>
      <w:r w:rsidRPr="002C25C6">
        <w:rPr>
          <w:lang w:val="ru-RU"/>
        </w:rPr>
        <w:tab/>
        <w:t xml:space="preserve">В своем отчете </w:t>
      </w:r>
      <w:proofErr w:type="spellStart"/>
      <w:r w:rsidRPr="002C25C6">
        <w:rPr>
          <w:lang w:val="ru-RU"/>
        </w:rPr>
        <w:t>SG-SGO</w:t>
      </w:r>
      <w:proofErr w:type="spellEnd"/>
      <w:r w:rsidRPr="002C25C6">
        <w:rPr>
          <w:lang w:val="ru-RU"/>
        </w:rPr>
        <w:t>/</w:t>
      </w:r>
      <w:proofErr w:type="spellStart"/>
      <w:r w:rsidRPr="002C25C6">
        <w:rPr>
          <w:lang w:val="ru-RU"/>
        </w:rPr>
        <w:t>IA17</w:t>
      </w:r>
      <w:proofErr w:type="spellEnd"/>
      <w:r w:rsidRPr="002C25C6">
        <w:rPr>
          <w:lang w:val="ru-RU"/>
        </w:rPr>
        <w:t>-02 Внутренний аудитор "</w:t>
      </w:r>
      <w:r w:rsidRPr="002C25C6">
        <w:rPr>
          <w:i/>
          <w:lang w:val="ru-RU"/>
        </w:rPr>
        <w:t xml:space="preserve">оценил возможности формальной оценки показателей работы поставщика до возобновления контракта, однако не смог обнаружить доказательных данных, что это сделано. </w:t>
      </w:r>
      <w:r w:rsidRPr="002C25C6">
        <w:rPr>
          <w:i/>
          <w:iCs/>
          <w:color w:val="000000"/>
          <w:lang w:val="ru-RU"/>
        </w:rPr>
        <w:t>Оценка подрядчика</w:t>
      </w:r>
      <w:r w:rsidRPr="002C25C6">
        <w:rPr>
          <w:i/>
          <w:lang w:val="ru-RU"/>
        </w:rPr>
        <w:t xml:space="preserve"> даже в отношении контрактов, которые не подлежат возобновлению/продлению, могла бы</w:t>
      </w:r>
      <w:r w:rsidR="00571B7E">
        <w:rPr>
          <w:i/>
          <w:lang w:val="ru-RU"/>
        </w:rPr>
        <w:t>,</w:t>
      </w:r>
      <w:r w:rsidRPr="002C25C6">
        <w:rPr>
          <w:i/>
          <w:lang w:val="ru-RU"/>
        </w:rPr>
        <w:t xml:space="preserve"> как правило</w:t>
      </w:r>
      <w:r w:rsidR="00571B7E">
        <w:rPr>
          <w:i/>
          <w:lang w:val="ru-RU"/>
        </w:rPr>
        <w:t>,</w:t>
      </w:r>
      <w:r w:rsidRPr="002C25C6">
        <w:rPr>
          <w:i/>
          <w:lang w:val="ru-RU"/>
        </w:rPr>
        <w:t xml:space="preserve"> помочь </w:t>
      </w:r>
      <w:r w:rsidRPr="002C25C6">
        <w:rPr>
          <w:i/>
          <w:lang w:val="ru-RU"/>
        </w:rPr>
        <w:lastRenderedPageBreak/>
        <w:t>руководству узнать</w:t>
      </w:r>
      <w:r w:rsidR="00571B7E">
        <w:rPr>
          <w:i/>
          <w:lang w:val="ru-RU"/>
        </w:rPr>
        <w:t>,</w:t>
      </w:r>
      <w:r w:rsidRPr="002C25C6">
        <w:rPr>
          <w:i/>
          <w:lang w:val="ru-RU"/>
        </w:rPr>
        <w:t xml:space="preserve"> насколько эффективно и экономно используются выделенные по И</w:t>
      </w:r>
      <w:r w:rsidR="00571B7E">
        <w:rPr>
          <w:i/>
          <w:lang w:val="ru-RU"/>
        </w:rPr>
        <w:t>Т</w:t>
      </w:r>
      <w:r w:rsidR="00571B7E">
        <w:rPr>
          <w:i/>
          <w:lang w:val="ru-RU"/>
        </w:rPr>
        <w:noBreakHyphen/>
      </w:r>
      <w:r w:rsidRPr="002C25C6">
        <w:rPr>
          <w:i/>
          <w:lang w:val="ru-RU"/>
        </w:rPr>
        <w:t>контрактам ресурсы</w:t>
      </w:r>
      <w:r w:rsidR="00571B7E" w:rsidRPr="00571B7E">
        <w:rPr>
          <w:iCs/>
          <w:lang w:val="ru-RU"/>
        </w:rPr>
        <w:t>"</w:t>
      </w:r>
      <w:r w:rsidRPr="00571B7E">
        <w:rPr>
          <w:iCs/>
          <w:lang w:val="ru-RU"/>
        </w:rPr>
        <w:t>.</w:t>
      </w:r>
    </w:p>
    <w:p w:rsidR="00A86B08" w:rsidRPr="002C25C6" w:rsidRDefault="00A86B08" w:rsidP="00A86B08">
      <w:pPr>
        <w:rPr>
          <w:lang w:val="ru-RU"/>
        </w:rPr>
      </w:pPr>
    </w:p>
    <w:tbl>
      <w:tblPr>
        <w:tblStyle w:val="TableGrid2"/>
        <w:tblW w:w="0" w:type="auto"/>
        <w:tblInd w:w="-5" w:type="dxa"/>
        <w:tblLook w:val="04A0" w:firstRow="1" w:lastRow="0" w:firstColumn="1" w:lastColumn="0" w:noHBand="0" w:noVBand="1"/>
      </w:tblPr>
      <w:tblGrid>
        <w:gridCol w:w="9634"/>
      </w:tblGrid>
      <w:tr w:rsidR="00A86B08" w:rsidRPr="002C25C6" w:rsidTr="00A86B08">
        <w:tc>
          <w:tcPr>
            <w:tcW w:w="9634" w:type="dxa"/>
          </w:tcPr>
          <w:p w:rsidR="00A86B08" w:rsidRPr="002C25C6" w:rsidRDefault="00A86B08" w:rsidP="003A6154">
            <w:pPr>
              <w:keepNext/>
              <w:rPr>
                <w:b/>
                <w:bCs/>
                <w:lang w:val="ru-RU"/>
              </w:rPr>
            </w:pPr>
            <w:r w:rsidRPr="002C25C6">
              <w:rPr>
                <w:b/>
                <w:bCs/>
                <w:lang w:val="ru-RU"/>
              </w:rPr>
              <w:t>Рекомендация 1</w:t>
            </w:r>
            <w:r w:rsidR="003A6154">
              <w:rPr>
                <w:b/>
                <w:bCs/>
                <w:lang w:val="ru-RU"/>
              </w:rPr>
              <w:t>0</w:t>
            </w:r>
          </w:p>
          <w:p w:rsidR="00A86B08" w:rsidRPr="002C25C6" w:rsidRDefault="00A86B08" w:rsidP="00A86B08">
            <w:pPr>
              <w:spacing w:after="120"/>
              <w:rPr>
                <w:lang w:val="ru-RU"/>
              </w:rPr>
            </w:pPr>
            <w:r w:rsidRPr="002C25C6">
              <w:rPr>
                <w:lang w:val="ru-RU"/>
              </w:rPr>
              <w:t>100</w:t>
            </w:r>
            <w:r w:rsidRPr="002C25C6">
              <w:rPr>
                <w:lang w:val="ru-RU"/>
              </w:rPr>
              <w:tab/>
            </w:r>
            <w:r w:rsidRPr="00571B7E">
              <w:rPr>
                <w:u w:val="single"/>
                <w:lang w:val="ru-RU"/>
              </w:rPr>
              <w:t>Мы</w:t>
            </w:r>
            <w:r w:rsidRPr="002C25C6">
              <w:rPr>
                <w:lang w:val="ru-RU"/>
              </w:rPr>
              <w:t xml:space="preserve"> разделяем мнение Внутреннего аудитора и </w:t>
            </w:r>
            <w:r w:rsidRPr="00571B7E">
              <w:rPr>
                <w:u w:val="single"/>
                <w:lang w:val="ru-RU"/>
              </w:rPr>
              <w:t>рекомендуем</w:t>
            </w:r>
            <w:r w:rsidRPr="002C25C6">
              <w:rPr>
                <w:lang w:val="ru-RU"/>
              </w:rPr>
              <w:t xml:space="preserve"> ввести оценку показателей работы поставщика с целью их контроля и оценки фактического исполнения контрактов в отношении таких показателей, как качество, поставка, своевременность, контроль затрат, соответствие </w:t>
            </w:r>
            <w:r w:rsidRPr="002C25C6">
              <w:rPr>
                <w:color w:val="000000"/>
                <w:lang w:val="ru-RU"/>
              </w:rPr>
              <w:t xml:space="preserve">кругу ведения </w:t>
            </w:r>
            <w:r w:rsidRPr="002C25C6">
              <w:rPr>
                <w:lang w:val="ru-RU"/>
              </w:rPr>
              <w:t xml:space="preserve">или </w:t>
            </w:r>
            <w:r w:rsidRPr="002C25C6">
              <w:rPr>
                <w:color w:val="000000"/>
                <w:lang w:val="ru-RU"/>
              </w:rPr>
              <w:t xml:space="preserve">описанию работ </w:t>
            </w:r>
            <w:r w:rsidRPr="002C25C6">
              <w:rPr>
                <w:lang w:val="ru-RU"/>
              </w:rPr>
              <w:t>(</w:t>
            </w:r>
            <w:proofErr w:type="spellStart"/>
            <w:r w:rsidRPr="002C25C6">
              <w:rPr>
                <w:lang w:val="ru-RU"/>
              </w:rPr>
              <w:t>SOW</w:t>
            </w:r>
            <w:proofErr w:type="spellEnd"/>
            <w:r w:rsidRPr="002C25C6">
              <w:rPr>
                <w:lang w:val="ru-RU"/>
              </w:rPr>
              <w:t>), а также всем остальным установленным в контракте показателям работы.</w:t>
            </w:r>
          </w:p>
        </w:tc>
      </w:tr>
    </w:tbl>
    <w:p w:rsidR="00A86B08" w:rsidRPr="002C25C6" w:rsidRDefault="00A86B08" w:rsidP="00A86B08">
      <w:pPr>
        <w:rPr>
          <w:lang w:val="ru-RU"/>
        </w:rPr>
      </w:pPr>
    </w:p>
    <w:tbl>
      <w:tblPr>
        <w:tblStyle w:val="TableGrid2"/>
        <w:tblW w:w="0" w:type="auto"/>
        <w:tblInd w:w="-5" w:type="dxa"/>
        <w:tblLook w:val="04A0" w:firstRow="1" w:lastRow="0" w:firstColumn="1" w:lastColumn="0" w:noHBand="0" w:noVBand="1"/>
      </w:tblPr>
      <w:tblGrid>
        <w:gridCol w:w="9634"/>
      </w:tblGrid>
      <w:tr w:rsidR="00A86B08" w:rsidRPr="002C25C6" w:rsidTr="00A86B08">
        <w:trPr>
          <w:cantSplit/>
        </w:trPr>
        <w:tc>
          <w:tcPr>
            <w:tcW w:w="9634" w:type="dxa"/>
          </w:tcPr>
          <w:p w:rsidR="00A86B08" w:rsidRPr="002C25C6" w:rsidRDefault="00A86B08" w:rsidP="00A86B08">
            <w:pPr>
              <w:rPr>
                <w:b/>
                <w:bCs/>
                <w:lang w:val="ru-RU"/>
              </w:rPr>
            </w:pPr>
            <w:r w:rsidRPr="002C25C6">
              <w:rPr>
                <w:b/>
                <w:bCs/>
                <w:lang w:val="ru-RU"/>
              </w:rPr>
              <w:t>Комментарии Генерального секретаря</w:t>
            </w:r>
          </w:p>
          <w:p w:rsidR="00A86B08" w:rsidRPr="002C25C6" w:rsidRDefault="00A86B08" w:rsidP="00D31A49">
            <w:pPr>
              <w:spacing w:after="120"/>
              <w:rPr>
                <w:lang w:val="ru-RU"/>
              </w:rPr>
            </w:pPr>
            <w:r w:rsidRPr="002C25C6">
              <w:rPr>
                <w:lang w:val="ru-RU"/>
              </w:rPr>
              <w:t xml:space="preserve">МСЭ согласен с этой рекомендацией. </w:t>
            </w:r>
            <w:r w:rsidR="00D31A49">
              <w:rPr>
                <w:lang w:val="ru-RU"/>
              </w:rPr>
              <w:t>Политика</w:t>
            </w:r>
            <w:r w:rsidRPr="002C25C6">
              <w:rPr>
                <w:lang w:val="ru-RU"/>
              </w:rPr>
              <w:t xml:space="preserve"> управления показател</w:t>
            </w:r>
            <w:r w:rsidR="00D31A49">
              <w:rPr>
                <w:lang w:val="ru-RU"/>
              </w:rPr>
              <w:t>ями</w:t>
            </w:r>
            <w:r w:rsidRPr="002C25C6">
              <w:rPr>
                <w:lang w:val="ru-RU"/>
              </w:rPr>
              <w:t xml:space="preserve"> работы поставщиков будет включена в новые </w:t>
            </w:r>
            <w:r w:rsidRPr="002C25C6">
              <w:rPr>
                <w:color w:val="000000"/>
                <w:lang w:val="ru-RU"/>
              </w:rPr>
              <w:t>инструкции по закупкам</w:t>
            </w:r>
            <w:r w:rsidRPr="002C25C6">
              <w:rPr>
                <w:lang w:val="ru-RU"/>
              </w:rPr>
              <w:t>.</w:t>
            </w:r>
          </w:p>
        </w:tc>
      </w:tr>
    </w:tbl>
    <w:p w:rsidR="00A86B08" w:rsidRPr="002C25C6" w:rsidRDefault="00A86B08" w:rsidP="00D31A49">
      <w:pPr>
        <w:pStyle w:val="Heading1"/>
        <w:ind w:left="0" w:firstLine="0"/>
        <w:rPr>
          <w:lang w:val="ru-RU"/>
        </w:rPr>
      </w:pPr>
      <w:bookmarkStart w:id="264" w:name="_Toc478775841"/>
      <w:bookmarkStart w:id="265" w:name="_Toc482176254"/>
      <w:bookmarkStart w:id="266" w:name="_Toc482995207"/>
      <w:r w:rsidRPr="002C25C6">
        <w:rPr>
          <w:lang w:val="ru-RU"/>
        </w:rPr>
        <w:t xml:space="preserve">Внедрение Декларации об отсутствии </w:t>
      </w:r>
      <w:r w:rsidRPr="002C25C6">
        <w:rPr>
          <w:color w:val="000000"/>
          <w:lang w:val="ru-RU"/>
        </w:rPr>
        <w:t xml:space="preserve">конфликта интересов </w:t>
      </w:r>
      <w:r w:rsidRPr="002C25C6">
        <w:rPr>
          <w:lang w:val="ru-RU"/>
        </w:rPr>
        <w:t>в процессе закупки в МСЭ</w:t>
      </w:r>
      <w:bookmarkEnd w:id="264"/>
      <w:r w:rsidRPr="002C25C6">
        <w:rPr>
          <w:lang w:val="ru-RU"/>
        </w:rPr>
        <w:t xml:space="preserve"> и отсутствие </w:t>
      </w:r>
      <w:r w:rsidR="00D31A49">
        <w:rPr>
          <w:lang w:val="ru-RU"/>
        </w:rPr>
        <w:t>политики</w:t>
      </w:r>
      <w:r w:rsidRPr="002C25C6">
        <w:rPr>
          <w:lang w:val="ru-RU"/>
        </w:rPr>
        <w:t xml:space="preserve"> по вопросам этики</w:t>
      </w:r>
      <w:r w:rsidR="00D31A49">
        <w:rPr>
          <w:lang w:val="ru-RU"/>
        </w:rPr>
        <w:t>, мошенничества и коррупции</w:t>
      </w:r>
      <w:r w:rsidRPr="002C25C6">
        <w:rPr>
          <w:lang w:val="ru-RU"/>
        </w:rPr>
        <w:t xml:space="preserve"> в области закупок</w:t>
      </w:r>
      <w:bookmarkEnd w:id="265"/>
      <w:bookmarkEnd w:id="266"/>
    </w:p>
    <w:p w:rsidR="00A86B08" w:rsidRPr="002C25C6" w:rsidRDefault="00A86B08" w:rsidP="00A86B08">
      <w:pPr>
        <w:rPr>
          <w:lang w:val="ru-RU"/>
        </w:rPr>
      </w:pPr>
      <w:r w:rsidRPr="002C25C6">
        <w:rPr>
          <w:lang w:val="ru-RU"/>
        </w:rPr>
        <w:t>101</w:t>
      </w:r>
      <w:r w:rsidRPr="002C25C6">
        <w:rPr>
          <w:lang w:val="ru-RU"/>
        </w:rPr>
        <w:tab/>
        <w:t>В ходе проведенной нами аудиторской проверки мы установили, что правила закупок в МСЭ не предусматривают подачу декларации об отсутствии конфликта интересов (</w:t>
      </w:r>
      <w:proofErr w:type="spellStart"/>
      <w:r w:rsidRPr="002C25C6">
        <w:rPr>
          <w:lang w:val="ru-RU"/>
        </w:rPr>
        <w:t>DACI</w:t>
      </w:r>
      <w:proofErr w:type="spellEnd"/>
      <w:r w:rsidRPr="002C25C6">
        <w:rPr>
          <w:lang w:val="ru-RU"/>
        </w:rPr>
        <w:t>), которую участвующие в процессе закупок сотрудники должны предоставлять в каждом соответствующем случае.</w:t>
      </w:r>
    </w:p>
    <w:p w:rsidR="00A86B08" w:rsidRPr="002C25C6" w:rsidRDefault="00A86B08" w:rsidP="00D31A49">
      <w:pPr>
        <w:rPr>
          <w:lang w:val="ru-RU"/>
        </w:rPr>
      </w:pPr>
      <w:r w:rsidRPr="002C25C6">
        <w:rPr>
          <w:lang w:val="ru-RU"/>
        </w:rPr>
        <w:t>102</w:t>
      </w:r>
      <w:r w:rsidRPr="002C25C6">
        <w:rPr>
          <w:lang w:val="ru-RU"/>
        </w:rPr>
        <w:tab/>
        <w:t xml:space="preserve">Кроме того, было установлено отсутствие процедур для определения лица, отвечающего за </w:t>
      </w:r>
      <w:r w:rsidR="00D31A49">
        <w:rPr>
          <w:lang w:val="ru-RU"/>
        </w:rPr>
        <w:t>проверку</w:t>
      </w:r>
      <w:r w:rsidRPr="002C25C6">
        <w:rPr>
          <w:lang w:val="ru-RU"/>
        </w:rPr>
        <w:t xml:space="preserve"> отсутствия конфликта интересов и имеющего полномочия расследовать достоверность </w:t>
      </w:r>
      <w:proofErr w:type="spellStart"/>
      <w:r w:rsidRPr="002C25C6">
        <w:rPr>
          <w:lang w:val="ru-RU"/>
        </w:rPr>
        <w:t>DACI</w:t>
      </w:r>
      <w:proofErr w:type="spellEnd"/>
      <w:r w:rsidRPr="002C25C6">
        <w:rPr>
          <w:lang w:val="ru-RU"/>
        </w:rPr>
        <w:t>.</w:t>
      </w:r>
    </w:p>
    <w:p w:rsidR="00A86B08" w:rsidRPr="002C25C6" w:rsidRDefault="00A86B08" w:rsidP="00D31A49">
      <w:pPr>
        <w:rPr>
          <w:lang w:val="ru-RU"/>
        </w:rPr>
      </w:pPr>
      <w:r w:rsidRPr="002C25C6">
        <w:rPr>
          <w:lang w:val="ru-RU"/>
        </w:rPr>
        <w:t>103</w:t>
      </w:r>
      <w:r w:rsidRPr="002C25C6">
        <w:rPr>
          <w:lang w:val="ru-RU"/>
        </w:rPr>
        <w:tab/>
        <w:t xml:space="preserve">В ходе проведенной нами аудиторской проверки мы установили отсутствие документов, излагающих для всех участвующих в процессе закупок сотрудников </w:t>
      </w:r>
      <w:r w:rsidR="00D31A49">
        <w:rPr>
          <w:lang w:val="ru-RU"/>
        </w:rPr>
        <w:t>политику</w:t>
      </w:r>
      <w:r w:rsidRPr="002C25C6">
        <w:rPr>
          <w:lang w:val="ru-RU"/>
        </w:rPr>
        <w:t xml:space="preserve"> по вопросам этики</w:t>
      </w:r>
      <w:r w:rsidR="00D31A49">
        <w:rPr>
          <w:lang w:val="ru-RU"/>
        </w:rPr>
        <w:t>, мошенничества и коррупционных действий в области закупок</w:t>
      </w:r>
      <w:r w:rsidRPr="002C25C6">
        <w:rPr>
          <w:lang w:val="ru-RU"/>
        </w:rPr>
        <w:t>.</w:t>
      </w:r>
    </w:p>
    <w:p w:rsidR="00A86B08" w:rsidRPr="002C25C6" w:rsidRDefault="00A86B08" w:rsidP="00A86B08">
      <w:pPr>
        <w:rPr>
          <w:lang w:val="ru-RU"/>
        </w:rPr>
      </w:pPr>
      <w:bookmarkStart w:id="267" w:name="_Ref481661848"/>
    </w:p>
    <w:tbl>
      <w:tblPr>
        <w:tblStyle w:val="TableGrid2"/>
        <w:tblW w:w="0" w:type="auto"/>
        <w:tblInd w:w="-5" w:type="dxa"/>
        <w:tblLook w:val="04A0" w:firstRow="1" w:lastRow="0" w:firstColumn="1" w:lastColumn="0" w:noHBand="0" w:noVBand="1"/>
      </w:tblPr>
      <w:tblGrid>
        <w:gridCol w:w="9634"/>
      </w:tblGrid>
      <w:tr w:rsidR="00A86B08" w:rsidRPr="002C25C6" w:rsidTr="00A86B08">
        <w:tc>
          <w:tcPr>
            <w:tcW w:w="9634" w:type="dxa"/>
          </w:tcPr>
          <w:p w:rsidR="00A86B08" w:rsidRPr="002C25C6" w:rsidRDefault="00A86B08" w:rsidP="003A6154">
            <w:pPr>
              <w:keepNext/>
              <w:rPr>
                <w:b/>
                <w:bCs/>
                <w:lang w:val="ru-RU"/>
              </w:rPr>
            </w:pPr>
            <w:r w:rsidRPr="002C25C6">
              <w:rPr>
                <w:b/>
                <w:bCs/>
                <w:lang w:val="ru-RU"/>
              </w:rPr>
              <w:t>Рекомендация 1</w:t>
            </w:r>
            <w:r w:rsidR="003A6154">
              <w:rPr>
                <w:b/>
                <w:bCs/>
                <w:lang w:val="ru-RU"/>
              </w:rPr>
              <w:t>1</w:t>
            </w:r>
          </w:p>
          <w:p w:rsidR="00A86B08" w:rsidRPr="002C25C6" w:rsidRDefault="00A86B08" w:rsidP="00D31A49">
            <w:pPr>
              <w:spacing w:after="120"/>
              <w:rPr>
                <w:lang w:val="ru-RU"/>
              </w:rPr>
            </w:pPr>
            <w:r w:rsidRPr="002C25C6">
              <w:rPr>
                <w:lang w:val="ru-RU"/>
              </w:rPr>
              <w:t>104</w:t>
            </w:r>
            <w:r w:rsidRPr="002C25C6">
              <w:rPr>
                <w:lang w:val="ru-RU"/>
              </w:rPr>
              <w:tab/>
            </w:r>
            <w:r w:rsidRPr="00571B7E">
              <w:rPr>
                <w:u w:val="single"/>
                <w:lang w:val="ru-RU"/>
              </w:rPr>
              <w:t>Мы рекомендуем</w:t>
            </w:r>
            <w:r w:rsidRPr="002C25C6">
              <w:rPr>
                <w:lang w:val="ru-RU"/>
              </w:rPr>
              <w:t xml:space="preserve"> руководству принять </w:t>
            </w:r>
            <w:r w:rsidR="00D31A49">
              <w:rPr>
                <w:lang w:val="ru-RU"/>
              </w:rPr>
              <w:t>политику</w:t>
            </w:r>
            <w:r w:rsidRPr="002C25C6">
              <w:rPr>
                <w:lang w:val="ru-RU"/>
              </w:rPr>
              <w:t xml:space="preserve"> МСЭ по вопросам этики</w:t>
            </w:r>
            <w:r w:rsidR="00D31A49">
              <w:rPr>
                <w:lang w:val="ru-RU"/>
              </w:rPr>
              <w:t>, мошенничества и коррупционных действий в области закупок</w:t>
            </w:r>
            <w:r w:rsidRPr="002C25C6">
              <w:rPr>
                <w:lang w:val="ru-RU"/>
              </w:rPr>
              <w:t>, содержащую определение понятия "конфликт интересов."</w:t>
            </w:r>
          </w:p>
        </w:tc>
      </w:tr>
    </w:tbl>
    <w:p w:rsidR="00A86B08" w:rsidRPr="002C25C6" w:rsidRDefault="00A86B08" w:rsidP="00A86B08">
      <w:pPr>
        <w:rPr>
          <w:lang w:val="ru-RU"/>
        </w:rPr>
      </w:pPr>
    </w:p>
    <w:tbl>
      <w:tblPr>
        <w:tblStyle w:val="TableGrid2"/>
        <w:tblW w:w="0" w:type="auto"/>
        <w:tblInd w:w="-5" w:type="dxa"/>
        <w:tblLook w:val="04A0" w:firstRow="1" w:lastRow="0" w:firstColumn="1" w:lastColumn="0" w:noHBand="0" w:noVBand="1"/>
      </w:tblPr>
      <w:tblGrid>
        <w:gridCol w:w="9634"/>
      </w:tblGrid>
      <w:tr w:rsidR="00A86B08" w:rsidRPr="002C25C6" w:rsidTr="00A86B08">
        <w:trPr>
          <w:cantSplit/>
        </w:trPr>
        <w:tc>
          <w:tcPr>
            <w:tcW w:w="9634" w:type="dxa"/>
          </w:tcPr>
          <w:p w:rsidR="00A86B08" w:rsidRPr="002C25C6" w:rsidRDefault="00A86B08" w:rsidP="00A86B08">
            <w:pPr>
              <w:rPr>
                <w:b/>
                <w:bCs/>
                <w:lang w:val="ru-RU"/>
              </w:rPr>
            </w:pPr>
            <w:r w:rsidRPr="002C25C6">
              <w:rPr>
                <w:b/>
                <w:bCs/>
                <w:lang w:val="ru-RU"/>
              </w:rPr>
              <w:t>Комментарии Генерального секретаря</w:t>
            </w:r>
          </w:p>
          <w:p w:rsidR="00A86B08" w:rsidRPr="002C25C6" w:rsidRDefault="00A86B08" w:rsidP="00D31A49">
            <w:pPr>
              <w:spacing w:after="120"/>
              <w:rPr>
                <w:lang w:val="ru-RU"/>
              </w:rPr>
            </w:pPr>
            <w:r w:rsidRPr="002C25C6">
              <w:rPr>
                <w:lang w:val="ru-RU"/>
              </w:rPr>
              <w:t xml:space="preserve">МСЭ согласен с этой рекомендацией и подготовит такую </w:t>
            </w:r>
            <w:r w:rsidR="00D31A49">
              <w:rPr>
                <w:lang w:val="ru-RU"/>
              </w:rPr>
              <w:t>политику</w:t>
            </w:r>
            <w:r w:rsidRPr="002C25C6">
              <w:rPr>
                <w:lang w:val="ru-RU"/>
              </w:rPr>
              <w:t xml:space="preserve"> для принятия.</w:t>
            </w:r>
          </w:p>
        </w:tc>
      </w:tr>
    </w:tbl>
    <w:p w:rsidR="00A86B08" w:rsidRPr="002C25C6" w:rsidRDefault="00A86B08" w:rsidP="00A86B08">
      <w:pPr>
        <w:pStyle w:val="Heading1"/>
        <w:rPr>
          <w:lang w:val="ru-RU"/>
        </w:rPr>
      </w:pPr>
      <w:bookmarkStart w:id="268" w:name="_Toc482995208"/>
      <w:bookmarkEnd w:id="267"/>
      <w:r w:rsidRPr="002C25C6">
        <w:rPr>
          <w:color w:val="000000"/>
          <w:lang w:val="ru-RU"/>
        </w:rPr>
        <w:t>Стандарты этики</w:t>
      </w:r>
      <w:bookmarkEnd w:id="268"/>
    </w:p>
    <w:p w:rsidR="00A86B08" w:rsidRPr="002C25C6" w:rsidRDefault="00A86B08" w:rsidP="00571B7E">
      <w:pPr>
        <w:rPr>
          <w:lang w:val="ru-RU"/>
        </w:rPr>
      </w:pPr>
      <w:r w:rsidRPr="002C25C6">
        <w:rPr>
          <w:lang w:val="ru-RU"/>
        </w:rPr>
        <w:t>105</w:t>
      </w:r>
      <w:r w:rsidRPr="002C25C6">
        <w:rPr>
          <w:lang w:val="ru-RU"/>
        </w:rPr>
        <w:tab/>
        <w:t xml:space="preserve">Должность </w:t>
      </w:r>
      <w:r w:rsidRPr="002C25C6">
        <w:rPr>
          <w:color w:val="000000"/>
          <w:lang w:val="ru-RU"/>
        </w:rPr>
        <w:t xml:space="preserve">сотрудника по вопросам </w:t>
      </w:r>
      <w:r w:rsidRPr="002C25C6">
        <w:rPr>
          <w:lang w:val="ru-RU"/>
        </w:rPr>
        <w:t>этики была создана по решению Резолюции</w:t>
      </w:r>
      <w:r w:rsidR="00571B7E">
        <w:rPr>
          <w:lang w:val="ru-RU"/>
        </w:rPr>
        <w:t> </w:t>
      </w:r>
      <w:r w:rsidRPr="002C25C6">
        <w:rPr>
          <w:lang w:val="ru-RU"/>
        </w:rPr>
        <w:t>1308, которая была утверждена Советом (</w:t>
      </w:r>
      <w:proofErr w:type="spellStart"/>
      <w:r w:rsidRPr="002C25C6">
        <w:rPr>
          <w:lang w:val="ru-RU"/>
        </w:rPr>
        <w:t>C09</w:t>
      </w:r>
      <w:proofErr w:type="spellEnd"/>
      <w:r w:rsidRPr="002C25C6">
        <w:rPr>
          <w:lang w:val="ru-RU"/>
        </w:rPr>
        <w:t>/121, пункт 3.21) в декабре 2009 года. В 2016 году</w:t>
      </w:r>
      <w:r w:rsidR="00571B7E">
        <w:rPr>
          <w:lang w:val="ru-RU"/>
        </w:rPr>
        <w:t xml:space="preserve"> (1 </w:t>
      </w:r>
      <w:r w:rsidRPr="002C25C6">
        <w:rPr>
          <w:lang w:val="ru-RU"/>
        </w:rPr>
        <w:t>ноября) была заполнена должность сотрудника по вопросам этики, кото</w:t>
      </w:r>
      <w:r w:rsidR="00571B7E">
        <w:rPr>
          <w:lang w:val="ru-RU"/>
        </w:rPr>
        <w:t>рая оставалась вакантной с 2013 </w:t>
      </w:r>
      <w:r w:rsidRPr="002C25C6">
        <w:rPr>
          <w:lang w:val="ru-RU"/>
        </w:rPr>
        <w:t>года.</w:t>
      </w:r>
    </w:p>
    <w:p w:rsidR="00A86B08" w:rsidRPr="002C25C6" w:rsidRDefault="00A86B08" w:rsidP="00A86B08">
      <w:pPr>
        <w:rPr>
          <w:lang w:val="ru-RU"/>
        </w:rPr>
      </w:pPr>
      <w:r w:rsidRPr="002C25C6">
        <w:rPr>
          <w:lang w:val="ru-RU"/>
        </w:rPr>
        <w:lastRenderedPageBreak/>
        <w:t>106</w:t>
      </w:r>
      <w:r w:rsidRPr="002C25C6">
        <w:rPr>
          <w:lang w:val="ru-RU"/>
        </w:rPr>
        <w:tab/>
        <w:t xml:space="preserve">С учетом того, что должность оставалась вакантной столь долго (см. также Рекомендацию </w:t>
      </w:r>
      <w:proofErr w:type="spellStart"/>
      <w:r w:rsidRPr="002C25C6">
        <w:rPr>
          <w:lang w:val="ru-RU"/>
        </w:rPr>
        <w:t>IMAC</w:t>
      </w:r>
      <w:proofErr w:type="spellEnd"/>
      <w:r w:rsidRPr="002C25C6">
        <w:rPr>
          <w:lang w:val="ru-RU"/>
        </w:rPr>
        <w:t xml:space="preserve"> 4/2014, в которой указывалось, что "</w:t>
      </w:r>
      <w:proofErr w:type="spellStart"/>
      <w:r w:rsidRPr="00571B7E">
        <w:rPr>
          <w:i/>
          <w:iCs/>
          <w:color w:val="000000"/>
          <w:lang w:val="ru-RU"/>
        </w:rPr>
        <w:t>IMAC</w:t>
      </w:r>
      <w:proofErr w:type="spellEnd"/>
      <w:r w:rsidRPr="00571B7E">
        <w:rPr>
          <w:i/>
          <w:iCs/>
          <w:color w:val="000000"/>
          <w:lang w:val="ru-RU"/>
        </w:rPr>
        <w:t xml:space="preserve"> рекомендует МСЭ назначить в срочном порядке сотрудника по вопросам этики</w:t>
      </w:r>
      <w:r w:rsidRPr="002C25C6">
        <w:rPr>
          <w:color w:val="000000"/>
          <w:lang w:val="ru-RU"/>
        </w:rPr>
        <w:t>"),</w:t>
      </w:r>
      <w:r w:rsidRPr="002C25C6">
        <w:rPr>
          <w:lang w:val="ru-RU"/>
        </w:rPr>
        <w:t xml:space="preserve"> необходимо провести обзор связанных с вопросами этики положений </w:t>
      </w:r>
      <w:r w:rsidRPr="002C25C6">
        <w:rPr>
          <w:color w:val="000000"/>
          <w:lang w:val="ru-RU"/>
        </w:rPr>
        <w:t>нормативно-правовой базы</w:t>
      </w:r>
      <w:r w:rsidRPr="002C25C6">
        <w:rPr>
          <w:lang w:val="ru-RU"/>
        </w:rPr>
        <w:t xml:space="preserve">, чтобы рассмотреть вопрос о возможности ее </w:t>
      </w:r>
      <w:r w:rsidRPr="002C25C6">
        <w:rPr>
          <w:color w:val="000000"/>
          <w:lang w:val="ru-RU"/>
        </w:rPr>
        <w:t>обновления и улучшения</w:t>
      </w:r>
      <w:r w:rsidRPr="002C25C6">
        <w:rPr>
          <w:lang w:val="ru-RU"/>
        </w:rPr>
        <w:t xml:space="preserve">. </w:t>
      </w:r>
      <w:r w:rsidRPr="002C25C6">
        <w:rPr>
          <w:color w:val="000000"/>
          <w:lang w:val="ru-RU"/>
        </w:rPr>
        <w:t>Управление по вопросам этики</w:t>
      </w:r>
      <w:r w:rsidRPr="002C25C6">
        <w:rPr>
          <w:lang w:val="ru-RU"/>
        </w:rPr>
        <w:t xml:space="preserve"> проводит в настоящее время такой обзор во взаимодействии с другими соответствующими сотрудниками.</w:t>
      </w:r>
    </w:p>
    <w:p w:rsidR="00A86B08" w:rsidRPr="002C25C6" w:rsidRDefault="00A86B08" w:rsidP="00A86B08">
      <w:pPr>
        <w:rPr>
          <w:lang w:val="ru-RU"/>
        </w:rPr>
      </w:pPr>
    </w:p>
    <w:tbl>
      <w:tblPr>
        <w:tblStyle w:val="TableGrid2"/>
        <w:tblW w:w="0" w:type="auto"/>
        <w:tblInd w:w="-5" w:type="dxa"/>
        <w:tblLook w:val="04A0" w:firstRow="1" w:lastRow="0" w:firstColumn="1" w:lastColumn="0" w:noHBand="0" w:noVBand="1"/>
      </w:tblPr>
      <w:tblGrid>
        <w:gridCol w:w="9634"/>
      </w:tblGrid>
      <w:tr w:rsidR="00A86B08" w:rsidRPr="002C25C6" w:rsidTr="00A86B08">
        <w:tc>
          <w:tcPr>
            <w:tcW w:w="9634" w:type="dxa"/>
          </w:tcPr>
          <w:p w:rsidR="00A86B08" w:rsidRPr="002C25C6" w:rsidRDefault="00A86B08" w:rsidP="003A6154">
            <w:pPr>
              <w:keepNext/>
              <w:rPr>
                <w:b/>
                <w:bCs/>
                <w:lang w:val="ru-RU"/>
              </w:rPr>
            </w:pPr>
            <w:r w:rsidRPr="002C25C6">
              <w:rPr>
                <w:b/>
                <w:bCs/>
                <w:lang w:val="ru-RU"/>
              </w:rPr>
              <w:t>Рекомендация 1</w:t>
            </w:r>
            <w:r w:rsidR="003A6154">
              <w:rPr>
                <w:b/>
                <w:bCs/>
                <w:lang w:val="ru-RU"/>
              </w:rPr>
              <w:t>2</w:t>
            </w:r>
          </w:p>
          <w:p w:rsidR="00A86B08" w:rsidRPr="002C25C6" w:rsidRDefault="00A86B08" w:rsidP="00A86B08">
            <w:pPr>
              <w:spacing w:after="120"/>
              <w:rPr>
                <w:lang w:val="ru-RU"/>
              </w:rPr>
            </w:pPr>
            <w:r w:rsidRPr="002C25C6">
              <w:rPr>
                <w:lang w:val="ru-RU"/>
              </w:rPr>
              <w:t>107</w:t>
            </w:r>
            <w:r w:rsidRPr="002C25C6">
              <w:rPr>
                <w:lang w:val="ru-RU"/>
              </w:rPr>
              <w:tab/>
            </w:r>
            <w:r w:rsidRPr="002C25C6">
              <w:rPr>
                <w:color w:val="000000"/>
                <w:lang w:val="ru-RU"/>
              </w:rPr>
              <w:t>Управление по вопросам этики</w:t>
            </w:r>
            <w:r w:rsidRPr="002C25C6">
              <w:rPr>
                <w:lang w:val="ru-RU"/>
              </w:rPr>
              <w:t xml:space="preserve"> проводит всесторонний обзор связанных с вопросами этики положений </w:t>
            </w:r>
            <w:r w:rsidRPr="002C25C6">
              <w:rPr>
                <w:color w:val="000000"/>
                <w:lang w:val="ru-RU"/>
              </w:rPr>
              <w:t>нормативно-правовой базы</w:t>
            </w:r>
            <w:r w:rsidRPr="002C25C6">
              <w:rPr>
                <w:lang w:val="ru-RU"/>
              </w:rPr>
              <w:t xml:space="preserve">. Помимо такого обзора </w:t>
            </w:r>
            <w:r w:rsidRPr="00571B7E">
              <w:rPr>
                <w:u w:val="single"/>
                <w:lang w:val="ru-RU"/>
              </w:rPr>
              <w:t>мы рекомендуем</w:t>
            </w:r>
            <w:r w:rsidRPr="002C25C6">
              <w:rPr>
                <w:lang w:val="ru-RU"/>
              </w:rPr>
              <w:t>, чтобы руководство обновило, улучшило и полностью соблюдало правовые положения по связанным с этикой вопросам, в частности в таких направлениях</w:t>
            </w:r>
            <w:r w:rsidR="00571B7E">
              <w:rPr>
                <w:lang w:val="ru-RU"/>
              </w:rPr>
              <w:t>,</w:t>
            </w:r>
            <w:r w:rsidRPr="002C25C6">
              <w:rPr>
                <w:lang w:val="ru-RU"/>
              </w:rPr>
              <w:t xml:space="preserve"> как закупки и трудоустройство персонала (</w:t>
            </w:r>
            <w:r w:rsidR="00571B7E">
              <w:rPr>
                <w:lang w:val="ru-RU"/>
              </w:rPr>
              <w:t>см. </w:t>
            </w:r>
            <w:r w:rsidRPr="002C25C6">
              <w:rPr>
                <w:lang w:val="ru-RU"/>
              </w:rPr>
              <w:t>также Рекомендацию 11). В этой работе следует учитывать передовой опыт организаций системы ООН применительно к конкретным потребностям и обстоятельствам МСЭ.</w:t>
            </w:r>
          </w:p>
        </w:tc>
      </w:tr>
    </w:tbl>
    <w:p w:rsidR="00A86B08" w:rsidRPr="002C25C6" w:rsidRDefault="00A86B08" w:rsidP="00A86B08">
      <w:pPr>
        <w:rPr>
          <w:lang w:val="ru-RU"/>
        </w:rPr>
      </w:pPr>
    </w:p>
    <w:tbl>
      <w:tblPr>
        <w:tblStyle w:val="TableGrid2"/>
        <w:tblW w:w="0" w:type="auto"/>
        <w:tblInd w:w="-5" w:type="dxa"/>
        <w:tblLook w:val="04A0" w:firstRow="1" w:lastRow="0" w:firstColumn="1" w:lastColumn="0" w:noHBand="0" w:noVBand="1"/>
      </w:tblPr>
      <w:tblGrid>
        <w:gridCol w:w="9634"/>
      </w:tblGrid>
      <w:tr w:rsidR="00A86B08" w:rsidRPr="002C25C6" w:rsidTr="00A86B08">
        <w:trPr>
          <w:cantSplit/>
        </w:trPr>
        <w:tc>
          <w:tcPr>
            <w:tcW w:w="9634" w:type="dxa"/>
          </w:tcPr>
          <w:p w:rsidR="00A86B08" w:rsidRPr="002C25C6" w:rsidRDefault="00A86B08" w:rsidP="00A86B08">
            <w:pPr>
              <w:rPr>
                <w:b/>
                <w:bCs/>
                <w:lang w:val="ru-RU"/>
              </w:rPr>
            </w:pPr>
            <w:r w:rsidRPr="002C25C6">
              <w:rPr>
                <w:b/>
                <w:bCs/>
                <w:lang w:val="ru-RU"/>
              </w:rPr>
              <w:t>Комментарии Генерального секретаря</w:t>
            </w:r>
          </w:p>
          <w:p w:rsidR="00A86B08" w:rsidRPr="002C25C6" w:rsidRDefault="00A86B08" w:rsidP="00A86B08">
            <w:pPr>
              <w:spacing w:after="120"/>
              <w:rPr>
                <w:lang w:val="ru-RU"/>
              </w:rPr>
            </w:pPr>
            <w:r w:rsidRPr="002C25C6">
              <w:rPr>
                <w:lang w:val="ru-RU" w:eastAsia="zh-CN"/>
              </w:rPr>
              <w:t>МСЭ согласен с этой рекомендацией, которая соответствует общей стратегией по вопросам этики, которую проводит руководство МСЭ и Управление по вопросам этики.</w:t>
            </w:r>
          </w:p>
        </w:tc>
      </w:tr>
    </w:tbl>
    <w:p w:rsidR="00A86B08" w:rsidRPr="002C25C6" w:rsidRDefault="00A86B08" w:rsidP="00A86B08">
      <w:pPr>
        <w:pStyle w:val="Heading1"/>
        <w:tabs>
          <w:tab w:val="clear" w:pos="1588"/>
          <w:tab w:val="clear" w:pos="1985"/>
          <w:tab w:val="left" w:pos="2919"/>
        </w:tabs>
        <w:rPr>
          <w:lang w:val="ru-RU"/>
        </w:rPr>
      </w:pPr>
      <w:bookmarkStart w:id="269" w:name="_Toc482995209"/>
      <w:r w:rsidRPr="002C25C6">
        <w:rPr>
          <w:lang w:val="ru-RU"/>
        </w:rPr>
        <w:t>Публикации</w:t>
      </w:r>
      <w:bookmarkEnd w:id="269"/>
    </w:p>
    <w:p w:rsidR="00A86B08" w:rsidRPr="002C25C6" w:rsidRDefault="00A86B08" w:rsidP="00D31A49">
      <w:pPr>
        <w:rPr>
          <w:lang w:val="ru-RU"/>
        </w:rPr>
      </w:pPr>
      <w:r w:rsidRPr="002C25C6">
        <w:rPr>
          <w:lang w:val="ru-RU"/>
        </w:rPr>
        <w:t>108</w:t>
      </w:r>
      <w:r w:rsidRPr="002C25C6">
        <w:rPr>
          <w:lang w:val="ru-RU"/>
        </w:rPr>
        <w:tab/>
        <w:t>Доходы от продаж публикаций и "других продуктов" составили 19 м</w:t>
      </w:r>
      <w:r w:rsidR="004F71F4">
        <w:rPr>
          <w:lang w:val="ru-RU"/>
        </w:rPr>
        <w:t>лн.</w:t>
      </w:r>
      <w:r w:rsidRPr="002C25C6">
        <w:rPr>
          <w:lang w:val="ru-RU"/>
        </w:rPr>
        <w:t xml:space="preserve"> швейцарских франков, </w:t>
      </w:r>
      <w:r w:rsidRPr="002C25C6">
        <w:rPr>
          <w:color w:val="000000"/>
          <w:lang w:val="ru-RU"/>
        </w:rPr>
        <w:t>увелич</w:t>
      </w:r>
      <w:r w:rsidR="00D31A49">
        <w:rPr>
          <w:color w:val="000000"/>
          <w:lang w:val="ru-RU"/>
        </w:rPr>
        <w:t>ившись</w:t>
      </w:r>
      <w:r w:rsidRPr="002C25C6">
        <w:rPr>
          <w:color w:val="000000"/>
          <w:lang w:val="ru-RU"/>
        </w:rPr>
        <w:t xml:space="preserve"> по сравнению с прошлым годом</w:t>
      </w:r>
      <w:r w:rsidRPr="002C25C6">
        <w:rPr>
          <w:lang w:val="ru-RU"/>
        </w:rPr>
        <w:t xml:space="preserve"> (16</w:t>
      </w:r>
      <w:r w:rsidR="000B4F05">
        <w:rPr>
          <w:lang w:val="ru-RU"/>
        </w:rPr>
        <w:t>,</w:t>
      </w:r>
      <w:r w:rsidRPr="002C25C6">
        <w:rPr>
          <w:lang w:val="ru-RU"/>
        </w:rPr>
        <w:t xml:space="preserve">7 </w:t>
      </w:r>
      <w:r w:rsidR="004F71F4">
        <w:rPr>
          <w:lang w:val="ru-RU"/>
        </w:rPr>
        <w:t>млн.</w:t>
      </w:r>
      <w:r w:rsidRPr="002C25C6">
        <w:rPr>
          <w:lang w:val="ru-RU"/>
        </w:rPr>
        <w:t xml:space="preserve"> швейцарских франков), и превысили заложенные в бюджете суммы (18</w:t>
      </w:r>
      <w:r w:rsidR="000B4F05">
        <w:rPr>
          <w:lang w:val="ru-RU"/>
        </w:rPr>
        <w:t>,</w:t>
      </w:r>
      <w:r w:rsidRPr="002C25C6">
        <w:rPr>
          <w:lang w:val="ru-RU"/>
        </w:rPr>
        <w:t>5 м</w:t>
      </w:r>
      <w:r w:rsidR="004F71F4">
        <w:rPr>
          <w:lang w:val="ru-RU"/>
        </w:rPr>
        <w:t>лн.</w:t>
      </w:r>
      <w:r w:rsidRPr="002C25C6">
        <w:rPr>
          <w:lang w:val="ru-RU"/>
        </w:rPr>
        <w:t xml:space="preserve"> швейцарских франков) на 0</w:t>
      </w:r>
      <w:r w:rsidR="000B4F05">
        <w:rPr>
          <w:lang w:val="ru-RU"/>
        </w:rPr>
        <w:t>,5 </w:t>
      </w:r>
      <w:r w:rsidRPr="002C25C6">
        <w:rPr>
          <w:lang w:val="ru-RU"/>
        </w:rPr>
        <w:t>м</w:t>
      </w:r>
      <w:r w:rsidR="004F71F4">
        <w:rPr>
          <w:lang w:val="ru-RU"/>
        </w:rPr>
        <w:t>лн.</w:t>
      </w:r>
      <w:r w:rsidRPr="002C25C6">
        <w:rPr>
          <w:lang w:val="ru-RU"/>
        </w:rPr>
        <w:t xml:space="preserve"> швейцарских франков. Почти половина дохода поступила от реализации публикаций для "</w:t>
      </w:r>
      <w:r w:rsidRPr="002C25C6">
        <w:rPr>
          <w:color w:val="000000"/>
          <w:lang w:val="ru-RU"/>
        </w:rPr>
        <w:t>судовых станций</w:t>
      </w:r>
      <w:r w:rsidRPr="002C25C6">
        <w:rPr>
          <w:lang w:val="ru-RU"/>
        </w:rPr>
        <w:t>"</w:t>
      </w:r>
      <w:r w:rsidR="00C0066F" w:rsidRPr="002C25C6">
        <w:rPr>
          <w:color w:val="000000"/>
          <w:lang w:val="ru-RU"/>
        </w:rPr>
        <w:t>.</w:t>
      </w:r>
    </w:p>
    <w:p w:rsidR="00A86B08" w:rsidRPr="002C25C6" w:rsidRDefault="00A86B08" w:rsidP="00D31A49">
      <w:pPr>
        <w:rPr>
          <w:lang w:val="ru-RU"/>
        </w:rPr>
      </w:pPr>
      <w:r w:rsidRPr="002C25C6">
        <w:rPr>
          <w:lang w:val="ru-RU"/>
        </w:rPr>
        <w:t>109</w:t>
      </w:r>
      <w:r w:rsidRPr="002C25C6">
        <w:rPr>
          <w:lang w:val="ru-RU"/>
        </w:rPr>
        <w:tab/>
        <w:t xml:space="preserve">В прошлые годы мы наблюдали снижение продаж </w:t>
      </w:r>
      <w:r w:rsidRPr="002C25C6">
        <w:rPr>
          <w:color w:val="000000"/>
          <w:lang w:val="ru-RU"/>
        </w:rPr>
        <w:t>бумажных изданий и</w:t>
      </w:r>
      <w:r w:rsidRPr="002C25C6">
        <w:rPr>
          <w:lang w:val="ru-RU"/>
        </w:rPr>
        <w:t xml:space="preserve">, наоборот, увеличение продаж изданий в </w:t>
      </w:r>
      <w:r w:rsidRPr="002C25C6">
        <w:rPr>
          <w:color w:val="000000"/>
          <w:lang w:val="ru-RU"/>
        </w:rPr>
        <w:t>цифровом формате</w:t>
      </w:r>
      <w:r w:rsidRPr="002C25C6">
        <w:rPr>
          <w:lang w:val="ru-RU"/>
        </w:rPr>
        <w:t>: эти тенденции не получили подтверждения в 2016 году, когда отмечалось существенное увеличение продаж новых изданий в бумажном формате публикаций "</w:t>
      </w:r>
      <w:r w:rsidR="00D31A49">
        <w:rPr>
          <w:lang w:val="ru-RU"/>
        </w:rPr>
        <w:t>Руководство по морской службе</w:t>
      </w:r>
      <w:r w:rsidRPr="002C25C6">
        <w:rPr>
          <w:lang w:val="ru-RU"/>
        </w:rPr>
        <w:t>" и "</w:t>
      </w:r>
      <w:r w:rsidRPr="002C25C6">
        <w:rPr>
          <w:color w:val="000000"/>
          <w:lang w:val="ru-RU"/>
        </w:rPr>
        <w:t>Регламент радиосвязи</w:t>
      </w:r>
      <w:r w:rsidRPr="002C25C6">
        <w:rPr>
          <w:lang w:val="ru-RU"/>
        </w:rPr>
        <w:t>".</w:t>
      </w:r>
    </w:p>
    <w:p w:rsidR="00A86B08" w:rsidRPr="002C25C6" w:rsidRDefault="00A86B08" w:rsidP="00A86B08">
      <w:pPr>
        <w:rPr>
          <w:lang w:val="ru-RU"/>
        </w:rPr>
      </w:pPr>
      <w:r w:rsidRPr="002C25C6">
        <w:rPr>
          <w:lang w:val="ru-RU"/>
        </w:rPr>
        <w:t>110</w:t>
      </w:r>
      <w:r w:rsidRPr="002C25C6">
        <w:rPr>
          <w:lang w:val="ru-RU"/>
        </w:rPr>
        <w:tab/>
        <w:t xml:space="preserve">В результате, это увеличение доходов, связанное с продажами изданий в бумажном формате, также сказалось и на стоимости доставленных публикаций, с учетом того, что, по заявлениям Руководства, производство изданий в бумажном формате стоит дороже, чем производство материалов на </w:t>
      </w:r>
      <w:proofErr w:type="spellStart"/>
      <w:r w:rsidRPr="002C25C6">
        <w:rPr>
          <w:lang w:val="ru-RU"/>
        </w:rPr>
        <w:t>CD</w:t>
      </w:r>
      <w:proofErr w:type="spellEnd"/>
      <w:r w:rsidRPr="002C25C6">
        <w:rPr>
          <w:lang w:val="ru-RU"/>
        </w:rPr>
        <w:t>/</w:t>
      </w:r>
      <w:proofErr w:type="spellStart"/>
      <w:r w:rsidRPr="002C25C6">
        <w:rPr>
          <w:lang w:val="ru-RU"/>
        </w:rPr>
        <w:t>DVD</w:t>
      </w:r>
      <w:proofErr w:type="spellEnd"/>
      <w:r w:rsidRPr="002C25C6">
        <w:rPr>
          <w:lang w:val="ru-RU"/>
        </w:rPr>
        <w:t xml:space="preserve"> </w:t>
      </w:r>
      <w:proofErr w:type="spellStart"/>
      <w:r w:rsidRPr="002C25C6">
        <w:rPr>
          <w:lang w:val="ru-RU"/>
        </w:rPr>
        <w:t>ROM</w:t>
      </w:r>
      <w:proofErr w:type="spellEnd"/>
      <w:r w:rsidRPr="002C25C6">
        <w:rPr>
          <w:lang w:val="ru-RU"/>
        </w:rPr>
        <w:t>.</w:t>
      </w:r>
    </w:p>
    <w:p w:rsidR="00A86B08" w:rsidRPr="002C25C6" w:rsidRDefault="00A86B08" w:rsidP="00A86B08">
      <w:pPr>
        <w:rPr>
          <w:lang w:val="ru-RU"/>
        </w:rPr>
      </w:pPr>
    </w:p>
    <w:tbl>
      <w:tblPr>
        <w:tblStyle w:val="TableGrid2"/>
        <w:tblW w:w="0" w:type="auto"/>
        <w:tblInd w:w="-5" w:type="dxa"/>
        <w:tblLook w:val="04A0" w:firstRow="1" w:lastRow="0" w:firstColumn="1" w:lastColumn="0" w:noHBand="0" w:noVBand="1"/>
      </w:tblPr>
      <w:tblGrid>
        <w:gridCol w:w="9634"/>
      </w:tblGrid>
      <w:tr w:rsidR="00A86B08" w:rsidRPr="002C25C6" w:rsidTr="00A86B08">
        <w:tc>
          <w:tcPr>
            <w:tcW w:w="9634" w:type="dxa"/>
          </w:tcPr>
          <w:p w:rsidR="00A86B08" w:rsidRPr="002C25C6" w:rsidRDefault="00A86B08" w:rsidP="003A6154">
            <w:pPr>
              <w:keepNext/>
              <w:rPr>
                <w:b/>
                <w:bCs/>
                <w:lang w:val="ru-RU"/>
              </w:rPr>
            </w:pPr>
            <w:r w:rsidRPr="002C25C6">
              <w:rPr>
                <w:b/>
                <w:bCs/>
                <w:lang w:val="ru-RU"/>
              </w:rPr>
              <w:t xml:space="preserve">Предложение </w:t>
            </w:r>
            <w:r w:rsidR="003A6154">
              <w:rPr>
                <w:b/>
                <w:bCs/>
                <w:lang w:val="ru-RU"/>
              </w:rPr>
              <w:t>4</w:t>
            </w:r>
          </w:p>
          <w:p w:rsidR="00A86B08" w:rsidRPr="002C25C6" w:rsidRDefault="00A86B08" w:rsidP="00A86B08">
            <w:pPr>
              <w:spacing w:after="120"/>
              <w:rPr>
                <w:lang w:val="ru-RU"/>
              </w:rPr>
            </w:pPr>
            <w:r w:rsidRPr="002C25C6">
              <w:rPr>
                <w:lang w:val="ru-RU"/>
              </w:rPr>
              <w:t>111</w:t>
            </w:r>
            <w:r w:rsidRPr="002C25C6">
              <w:rPr>
                <w:lang w:val="ru-RU"/>
              </w:rPr>
              <w:tab/>
              <w:t xml:space="preserve">С целью сокращения затрат на публикации и в то же время увеличения доходов из этого источника финансирования, </w:t>
            </w:r>
            <w:r w:rsidRPr="002D72D5">
              <w:rPr>
                <w:u w:val="single"/>
                <w:lang w:val="ru-RU"/>
              </w:rPr>
              <w:t>мы предлагаем</w:t>
            </w:r>
            <w:r w:rsidRPr="002C25C6">
              <w:rPr>
                <w:lang w:val="ru-RU"/>
              </w:rPr>
              <w:t>, в этой связи, принять дополнительные меры для увеличения доли продаж публикаций в цифровом формате.</w:t>
            </w:r>
          </w:p>
        </w:tc>
      </w:tr>
    </w:tbl>
    <w:p w:rsidR="00A86B08" w:rsidRPr="002C25C6" w:rsidRDefault="00A86B08" w:rsidP="00A86B08">
      <w:pPr>
        <w:rPr>
          <w:lang w:val="ru-RU"/>
        </w:rPr>
      </w:pPr>
    </w:p>
    <w:tbl>
      <w:tblPr>
        <w:tblStyle w:val="TableGrid2"/>
        <w:tblW w:w="0" w:type="auto"/>
        <w:tblInd w:w="-5" w:type="dxa"/>
        <w:tblLook w:val="04A0" w:firstRow="1" w:lastRow="0" w:firstColumn="1" w:lastColumn="0" w:noHBand="0" w:noVBand="1"/>
      </w:tblPr>
      <w:tblGrid>
        <w:gridCol w:w="9634"/>
      </w:tblGrid>
      <w:tr w:rsidR="00A86B08" w:rsidRPr="002C25C6" w:rsidTr="00A86B08">
        <w:trPr>
          <w:cantSplit/>
        </w:trPr>
        <w:tc>
          <w:tcPr>
            <w:tcW w:w="9634" w:type="dxa"/>
          </w:tcPr>
          <w:p w:rsidR="00A86B08" w:rsidRPr="002C25C6" w:rsidRDefault="00A86B08" w:rsidP="00A86B08">
            <w:pPr>
              <w:rPr>
                <w:b/>
                <w:bCs/>
                <w:lang w:val="ru-RU"/>
              </w:rPr>
            </w:pPr>
            <w:r w:rsidRPr="002C25C6">
              <w:rPr>
                <w:b/>
                <w:bCs/>
                <w:lang w:val="ru-RU"/>
              </w:rPr>
              <w:t>Комментарии Генерального секретаря</w:t>
            </w:r>
          </w:p>
          <w:p w:rsidR="00A86B08" w:rsidRPr="002C25C6" w:rsidRDefault="00A86B08" w:rsidP="00A86B08">
            <w:pPr>
              <w:spacing w:after="120"/>
              <w:rPr>
                <w:lang w:val="ru-RU"/>
              </w:rPr>
            </w:pPr>
            <w:r w:rsidRPr="002C25C6">
              <w:rPr>
                <w:lang w:val="ru-RU"/>
              </w:rPr>
              <w:t>МСЭ согласен с предложением и подтверждает, что эта задача осуществляется с целью сокращения излишних затрат.</w:t>
            </w:r>
          </w:p>
        </w:tc>
      </w:tr>
    </w:tbl>
    <w:p w:rsidR="00A86B08" w:rsidRPr="002C25C6" w:rsidRDefault="00A86B08" w:rsidP="00A86B08">
      <w:pPr>
        <w:pStyle w:val="Heading1"/>
        <w:rPr>
          <w:lang w:val="ru-RU"/>
        </w:rPr>
      </w:pPr>
      <w:bookmarkStart w:id="270" w:name="_Toc482176257"/>
      <w:bookmarkStart w:id="271" w:name="_Toc482995210"/>
      <w:r w:rsidRPr="002C25C6">
        <w:rPr>
          <w:color w:val="000000"/>
          <w:lang w:val="ru-RU"/>
        </w:rPr>
        <w:lastRenderedPageBreak/>
        <w:t>Помещения штаб-квартиры Союза</w:t>
      </w:r>
      <w:bookmarkEnd w:id="270"/>
      <w:bookmarkEnd w:id="271"/>
    </w:p>
    <w:p w:rsidR="00A86B08" w:rsidRPr="002C25C6" w:rsidRDefault="00A86B08" w:rsidP="00B13146">
      <w:pPr>
        <w:rPr>
          <w:lang w:val="ru-RU"/>
        </w:rPr>
      </w:pPr>
      <w:r w:rsidRPr="002C25C6">
        <w:rPr>
          <w:lang w:val="ru-RU"/>
        </w:rPr>
        <w:t>112</w:t>
      </w:r>
      <w:r w:rsidRPr="002C25C6">
        <w:rPr>
          <w:lang w:val="ru-RU"/>
        </w:rPr>
        <w:tab/>
        <w:t xml:space="preserve">В 2016 году </w:t>
      </w:r>
      <w:r w:rsidRPr="002C25C6">
        <w:rPr>
          <w:color w:val="000000"/>
          <w:lang w:val="ru-RU"/>
        </w:rPr>
        <w:t>Председатель Рабочей группы Совета представил отчет: "Варианты помещений штаб-квартиры Союза в долгосрочной перспективе</w:t>
      </w:r>
      <w:r w:rsidR="00B13146">
        <w:rPr>
          <w:color w:val="000000"/>
          <w:lang w:val="ru-RU"/>
        </w:rPr>
        <w:t>"</w:t>
      </w:r>
      <w:r w:rsidRPr="002C25C6">
        <w:rPr>
          <w:lang w:val="ru-RU"/>
        </w:rPr>
        <w:t>. В отчете содержится заключение, что "</w:t>
      </w:r>
      <w:r w:rsidRPr="002C25C6">
        <w:rPr>
          <w:color w:val="000000"/>
          <w:lang w:val="ru-RU"/>
        </w:rPr>
        <w:t xml:space="preserve">замена здания "Варембе" одним зданием, которое также будет вмещать необходимые </w:t>
      </w:r>
      <w:r w:rsidR="00B13146">
        <w:rPr>
          <w:color w:val="000000"/>
          <w:lang w:val="ru-RU"/>
        </w:rPr>
        <w:t>функциональные элементы здания «</w:t>
      </w:r>
      <w:r w:rsidRPr="002C25C6">
        <w:rPr>
          <w:color w:val="000000"/>
          <w:lang w:val="ru-RU"/>
        </w:rPr>
        <w:t>Башня</w:t>
      </w:r>
      <w:r w:rsidR="00B13146">
        <w:rPr>
          <w:color w:val="000000"/>
          <w:lang w:val="ru-RU"/>
        </w:rPr>
        <w:t>»</w:t>
      </w:r>
      <w:r w:rsidRPr="002C25C6">
        <w:rPr>
          <w:lang w:val="ru-RU"/>
        </w:rPr>
        <w:t>"</w:t>
      </w:r>
      <w:r w:rsidR="00B13146">
        <w:rPr>
          <w:lang w:val="ru-RU"/>
        </w:rPr>
        <w:t>,</w:t>
      </w:r>
      <w:r w:rsidRPr="002C25C6">
        <w:rPr>
          <w:lang w:val="ru-RU"/>
        </w:rPr>
        <w:t xml:space="preserve"> </w:t>
      </w:r>
      <w:r w:rsidRPr="002C25C6">
        <w:rPr>
          <w:color w:val="000000"/>
          <w:lang w:val="ru-RU"/>
        </w:rPr>
        <w:t>представляет собой наиболее экономически эффективный вариант</w:t>
      </w:r>
      <w:r w:rsidRPr="002C25C6">
        <w:rPr>
          <w:lang w:val="ru-RU"/>
        </w:rPr>
        <w:t xml:space="preserve">, при условии </w:t>
      </w:r>
      <w:r w:rsidRPr="002C25C6">
        <w:rPr>
          <w:color w:val="000000"/>
          <w:lang w:val="ru-RU"/>
        </w:rPr>
        <w:t>успешной продажи здания "Башня</w:t>
      </w:r>
      <w:r w:rsidR="00B13146">
        <w:rPr>
          <w:color w:val="000000"/>
          <w:lang w:val="ru-RU"/>
        </w:rPr>
        <w:t>"</w:t>
      </w:r>
      <w:r w:rsidRPr="002C25C6">
        <w:rPr>
          <w:lang w:val="ru-RU"/>
        </w:rPr>
        <w:t>.</w:t>
      </w:r>
    </w:p>
    <w:p w:rsidR="00A86B08" w:rsidRPr="002C25C6" w:rsidRDefault="00A86B08" w:rsidP="00B13146">
      <w:pPr>
        <w:rPr>
          <w:lang w:val="ru-RU"/>
        </w:rPr>
      </w:pPr>
      <w:r w:rsidRPr="002C25C6">
        <w:rPr>
          <w:lang w:val="ru-RU"/>
        </w:rPr>
        <w:t>113</w:t>
      </w:r>
      <w:r w:rsidRPr="002C25C6">
        <w:rPr>
          <w:lang w:val="ru-RU"/>
        </w:rPr>
        <w:tab/>
        <w:t xml:space="preserve">Совет МСЭ 2016 года своим Решением 588 от 10 июня 2016 года, утвердил выводы </w:t>
      </w:r>
      <w:proofErr w:type="spellStart"/>
      <w:r w:rsidRPr="002C25C6">
        <w:rPr>
          <w:color w:val="000000"/>
          <w:lang w:val="ru-RU"/>
        </w:rPr>
        <w:t>РГС-ПШК</w:t>
      </w:r>
      <w:proofErr w:type="spellEnd"/>
      <w:r w:rsidRPr="002C25C6">
        <w:rPr>
          <w:lang w:val="ru-RU"/>
        </w:rPr>
        <w:t xml:space="preserve"> и </w:t>
      </w:r>
      <w:r w:rsidRPr="002C25C6">
        <w:rPr>
          <w:color w:val="000000"/>
          <w:lang w:val="ru-RU"/>
        </w:rPr>
        <w:t>соответствующий информационный документ, подготовленный Генеральным секретарем</w:t>
      </w:r>
      <w:r w:rsidRPr="002C25C6">
        <w:rPr>
          <w:lang w:val="ru-RU"/>
        </w:rPr>
        <w:t>.</w:t>
      </w:r>
    </w:p>
    <w:p w:rsidR="00A86B08" w:rsidRPr="002C25C6" w:rsidRDefault="00A86B08" w:rsidP="00B13146">
      <w:pPr>
        <w:rPr>
          <w:lang w:val="ru-RU"/>
        </w:rPr>
      </w:pPr>
      <w:r w:rsidRPr="002C25C6">
        <w:rPr>
          <w:lang w:val="ru-RU"/>
        </w:rPr>
        <w:t>114</w:t>
      </w:r>
      <w:r w:rsidRPr="002C25C6">
        <w:rPr>
          <w:lang w:val="ru-RU"/>
        </w:rPr>
        <w:tab/>
        <w:t>МСЭ</w:t>
      </w:r>
      <w:r w:rsidRPr="002C25C6">
        <w:rPr>
          <w:color w:val="000000"/>
          <w:lang w:val="ru-RU"/>
        </w:rPr>
        <w:t xml:space="preserve"> успешно получил первый транш займа</w:t>
      </w:r>
      <w:r w:rsidRPr="002C25C6">
        <w:rPr>
          <w:lang w:val="ru-RU"/>
        </w:rPr>
        <w:t xml:space="preserve"> от </w:t>
      </w:r>
      <w:r w:rsidRPr="002C25C6">
        <w:rPr>
          <w:color w:val="000000"/>
          <w:lang w:val="ru-RU"/>
        </w:rPr>
        <w:t>ФИПОИ</w:t>
      </w:r>
      <w:r w:rsidRPr="002C25C6">
        <w:rPr>
          <w:lang w:val="ru-RU"/>
        </w:rPr>
        <w:t xml:space="preserve"> в объеме 12 м</w:t>
      </w:r>
      <w:r w:rsidR="00B13146">
        <w:rPr>
          <w:lang w:val="ru-RU"/>
        </w:rPr>
        <w:t>лн.</w:t>
      </w:r>
      <w:r w:rsidRPr="002C25C6">
        <w:rPr>
          <w:lang w:val="ru-RU"/>
        </w:rPr>
        <w:t xml:space="preserve"> швейцарских франков для использования в период </w:t>
      </w:r>
      <w:r w:rsidR="00B13146">
        <w:rPr>
          <w:lang w:val="ru-RU"/>
        </w:rPr>
        <w:t>2017−</w:t>
      </w:r>
      <w:r w:rsidRPr="002C25C6">
        <w:rPr>
          <w:lang w:val="ru-RU"/>
        </w:rPr>
        <w:t xml:space="preserve">2019 годов. </w:t>
      </w:r>
    </w:p>
    <w:p w:rsidR="00A86B08" w:rsidRPr="002C25C6" w:rsidRDefault="00A86B08" w:rsidP="00B13146">
      <w:pPr>
        <w:rPr>
          <w:lang w:val="ru-RU"/>
        </w:rPr>
      </w:pPr>
      <w:r w:rsidRPr="002C25C6">
        <w:rPr>
          <w:lang w:val="ru-RU"/>
        </w:rPr>
        <w:t>115</w:t>
      </w:r>
      <w:r w:rsidRPr="002C25C6">
        <w:rPr>
          <w:lang w:val="ru-RU"/>
        </w:rPr>
        <w:tab/>
        <w:t xml:space="preserve">Была назначена </w:t>
      </w:r>
      <w:r w:rsidRPr="002C25C6">
        <w:rPr>
          <w:color w:val="000000"/>
          <w:lang w:val="ru-RU"/>
        </w:rPr>
        <w:t>Консультативная группа</w:t>
      </w:r>
      <w:r w:rsidR="00B13146">
        <w:rPr>
          <w:color w:val="000000"/>
          <w:lang w:val="ru-RU"/>
        </w:rPr>
        <w:t>,</w:t>
      </w:r>
      <w:r w:rsidRPr="002C25C6">
        <w:rPr>
          <w:color w:val="000000"/>
          <w:lang w:val="ru-RU"/>
        </w:rPr>
        <w:t xml:space="preserve"> </w:t>
      </w:r>
      <w:r w:rsidRPr="002C25C6">
        <w:rPr>
          <w:lang w:val="ru-RU"/>
        </w:rPr>
        <w:t>и по адресу</w:t>
      </w:r>
      <w:r w:rsidR="00B13146">
        <w:rPr>
          <w:lang w:val="ru-RU"/>
        </w:rPr>
        <w:t>:</w:t>
      </w:r>
      <w:r w:rsidRPr="002C25C6">
        <w:rPr>
          <w:lang w:val="ru-RU"/>
        </w:rPr>
        <w:t xml:space="preserve"> </w:t>
      </w:r>
      <w:hyperlink r:id="rId11" w:history="1">
        <w:r w:rsidR="00B13146" w:rsidRPr="005D2305">
          <w:rPr>
            <w:rStyle w:val="Hyperlink"/>
            <w:lang w:val="ru-RU"/>
          </w:rPr>
          <w:t>www.simap.ch</w:t>
        </w:r>
      </w:hyperlink>
      <w:r w:rsidRPr="002C25C6">
        <w:rPr>
          <w:lang w:val="ru-RU"/>
        </w:rPr>
        <w:t xml:space="preserve"> размещена реклама архитектурного конкурса на разработку нового здания </w:t>
      </w:r>
      <w:r w:rsidR="00B13146" w:rsidRPr="002C25C6">
        <w:rPr>
          <w:lang w:val="ru-RU"/>
        </w:rPr>
        <w:t>штаб</w:t>
      </w:r>
      <w:r w:rsidRPr="002C25C6">
        <w:rPr>
          <w:lang w:val="ru-RU"/>
        </w:rPr>
        <w:t>-квартиры, который закончится 19</w:t>
      </w:r>
      <w:r w:rsidR="00B13146">
        <w:rPr>
          <w:lang w:val="ru-RU"/>
        </w:rPr>
        <w:t> </w:t>
      </w:r>
      <w:r w:rsidRPr="002C25C6">
        <w:rPr>
          <w:lang w:val="ru-RU"/>
        </w:rPr>
        <w:t>июня 2017</w:t>
      </w:r>
      <w:r w:rsidR="00B13146">
        <w:rPr>
          <w:lang w:val="ru-RU"/>
        </w:rPr>
        <w:t> </w:t>
      </w:r>
      <w:r w:rsidRPr="002C25C6">
        <w:rPr>
          <w:lang w:val="ru-RU"/>
        </w:rPr>
        <w:t>года.</w:t>
      </w:r>
    </w:p>
    <w:p w:rsidR="00A86B08" w:rsidRPr="002C25C6" w:rsidRDefault="00A86B08" w:rsidP="00D31A49">
      <w:pPr>
        <w:rPr>
          <w:lang w:val="ru-RU"/>
        </w:rPr>
      </w:pPr>
      <w:r w:rsidRPr="002C25C6">
        <w:rPr>
          <w:lang w:val="ru-RU"/>
        </w:rPr>
        <w:t>116</w:t>
      </w:r>
      <w:r w:rsidRPr="002C25C6">
        <w:rPr>
          <w:lang w:val="ru-RU"/>
        </w:rPr>
        <w:tab/>
        <w:t>Мы будем осуществлять контроль за дальнейшими этап</w:t>
      </w:r>
      <w:r w:rsidR="00D31A49">
        <w:rPr>
          <w:lang w:val="ru-RU"/>
        </w:rPr>
        <w:t>ами</w:t>
      </w:r>
      <w:r w:rsidRPr="002C25C6">
        <w:rPr>
          <w:lang w:val="ru-RU"/>
        </w:rPr>
        <w:t xml:space="preserve"> реализации этого сложного проекта.</w:t>
      </w:r>
    </w:p>
    <w:p w:rsidR="00A86B08" w:rsidRPr="002C25C6" w:rsidRDefault="00A86B08" w:rsidP="00A86B08">
      <w:pPr>
        <w:pStyle w:val="Heading1"/>
        <w:ind w:left="0" w:firstLine="0"/>
        <w:rPr>
          <w:lang w:val="ru-RU"/>
        </w:rPr>
      </w:pPr>
      <w:bookmarkStart w:id="272" w:name="_Toc418501341"/>
      <w:bookmarkStart w:id="273" w:name="_Toc358192859"/>
      <w:bookmarkStart w:id="274" w:name="_Toc398125346"/>
      <w:bookmarkStart w:id="275" w:name="_Toc398125825"/>
      <w:bookmarkStart w:id="276" w:name="_Toc418597609"/>
      <w:bookmarkStart w:id="277" w:name="_Toc452157335"/>
      <w:bookmarkStart w:id="278" w:name="_Toc482995211"/>
      <w:r w:rsidRPr="002C25C6">
        <w:rPr>
          <w:lang w:val="ru-RU"/>
        </w:rPr>
        <w:t>ОТЧЕТ ОБ ИЗМЕНЕНИЯХ В ЧИСТЫХ АКТИВАХ ЗА ФИНАНСОВЫЙ ПЕРИОД, ЗАВЕРШИВШИЙСЯ 31 ДЕКАБРЯ 2016 ГОДА</w:t>
      </w:r>
      <w:bookmarkEnd w:id="272"/>
      <w:bookmarkEnd w:id="273"/>
      <w:bookmarkEnd w:id="274"/>
      <w:bookmarkEnd w:id="275"/>
      <w:bookmarkEnd w:id="276"/>
      <w:bookmarkEnd w:id="277"/>
      <w:bookmarkEnd w:id="278"/>
    </w:p>
    <w:p w:rsidR="00A86B08" w:rsidRPr="002C25C6" w:rsidRDefault="00A86B08" w:rsidP="00A86B08">
      <w:pPr>
        <w:rPr>
          <w:lang w:val="ru-RU"/>
        </w:rPr>
      </w:pPr>
      <w:r w:rsidRPr="002C25C6">
        <w:rPr>
          <w:lang w:val="ru-RU"/>
        </w:rPr>
        <w:t>117</w:t>
      </w:r>
      <w:r w:rsidRPr="002C25C6">
        <w:rPr>
          <w:lang w:val="ru-RU"/>
        </w:rPr>
        <w:tab/>
        <w:t xml:space="preserve">В Таблице III "Отчет об изменениях в чистых активах" представлено не только движение накопленных собственных целевых и нецелевых средств и воздействие перехода к IPSAS, но и движение каждого вида собственных средств, как это отмечается в Примечании 4. </w:t>
      </w:r>
    </w:p>
    <w:p w:rsidR="00A86B08" w:rsidRPr="002C25C6" w:rsidRDefault="00A86B08" w:rsidP="00A86B08">
      <w:pPr>
        <w:pStyle w:val="Heading1"/>
        <w:ind w:left="0" w:firstLine="0"/>
        <w:rPr>
          <w:lang w:val="ru-RU"/>
        </w:rPr>
      </w:pPr>
      <w:bookmarkStart w:id="279" w:name="_Toc358192861"/>
      <w:bookmarkStart w:id="280" w:name="_Toc398125348"/>
      <w:bookmarkStart w:id="281" w:name="_Toc398125827"/>
      <w:bookmarkStart w:id="282" w:name="_Toc452157336"/>
      <w:bookmarkStart w:id="283" w:name="_Toc482995212"/>
      <w:r w:rsidRPr="002C25C6">
        <w:rPr>
          <w:lang w:val="ru-RU"/>
        </w:rPr>
        <w:t>ТАБЛИЦА ДВИЖЕНИЯ ДЕНЕЖНЫХ СРЕДСТВ ЗА ФИНАНСОВЫЙ ПЕРИОД, ЗАВЕРШИВШИЙСЯ 31 ДЕКАБРЯ</w:t>
      </w:r>
      <w:bookmarkEnd w:id="279"/>
      <w:r w:rsidRPr="002C25C6">
        <w:rPr>
          <w:lang w:val="ru-RU"/>
        </w:rPr>
        <w:t xml:space="preserve"> 2016 ГОДА</w:t>
      </w:r>
      <w:bookmarkEnd w:id="280"/>
      <w:bookmarkEnd w:id="281"/>
      <w:bookmarkEnd w:id="282"/>
      <w:bookmarkEnd w:id="283"/>
    </w:p>
    <w:p w:rsidR="00A86B08" w:rsidRPr="002C25C6" w:rsidRDefault="00A86B08" w:rsidP="00A86B08">
      <w:pPr>
        <w:rPr>
          <w:lang w:val="ru-RU"/>
        </w:rPr>
      </w:pPr>
      <w:r w:rsidRPr="002C25C6">
        <w:rPr>
          <w:lang w:val="ru-RU"/>
        </w:rPr>
        <w:t>118</w:t>
      </w:r>
      <w:r w:rsidRPr="002C25C6">
        <w:rPr>
          <w:lang w:val="ru-RU"/>
        </w:rPr>
        <w:tab/>
        <w:t>В таблице движения денежных средств определены источники притока средств; статьи, на которые потрачены денежные средства за отчетный период; и остаток денежных средств на дату составления отчета.</w:t>
      </w:r>
    </w:p>
    <w:p w:rsidR="00A86B08" w:rsidRPr="002C25C6" w:rsidRDefault="00A86B08" w:rsidP="00D31A49">
      <w:pPr>
        <w:rPr>
          <w:lang w:val="ru-RU"/>
        </w:rPr>
      </w:pPr>
      <w:r w:rsidRPr="002C25C6">
        <w:rPr>
          <w:lang w:val="ru-RU"/>
        </w:rPr>
        <w:t>119</w:t>
      </w:r>
      <w:r w:rsidRPr="002C25C6">
        <w:rPr>
          <w:lang w:val="ru-RU"/>
        </w:rPr>
        <w:tab/>
        <w:t>В 2016 году МСЭ сообщил о движении денежных средств в результате оперативной деятельности в размере +0,7 млн. швейцарских франков, что является положительным показателем, но меньшим по сравнению со значением, зарегистрированным в 2015 году, когда этот показатель составил +1,7 млн. швейцарских франков. Отрицательное значение движения денежных средств зарегистрировано также в результате финансовой деятельности (–1,5 млн. швейцарских франков), что обусловлено выплатой ссуды ФИПОИ. По чистому движению денежных средств в результат</w:t>
      </w:r>
      <w:r w:rsidR="00943ED6">
        <w:rPr>
          <w:lang w:val="ru-RU"/>
        </w:rPr>
        <w:t>е инвестиционной деятельности (</w:t>
      </w:r>
      <w:r w:rsidRPr="002C25C6">
        <w:rPr>
          <w:lang w:val="ru-RU"/>
        </w:rPr>
        <w:t xml:space="preserve">45,6 млн. швейцарских франков) отмечается значительное </w:t>
      </w:r>
      <w:r w:rsidR="00D31A49">
        <w:rPr>
          <w:lang w:val="ru-RU"/>
        </w:rPr>
        <w:t>положительное</w:t>
      </w:r>
      <w:r w:rsidRPr="002C25C6">
        <w:rPr>
          <w:lang w:val="ru-RU"/>
        </w:rPr>
        <w:t xml:space="preserve"> изменение по сравнению с 2015 годом, когда этот показатель составил −26,8 млн. швейцарских франков, которое объясняется в основном уменьшением объема вложенных средств.</w:t>
      </w:r>
    </w:p>
    <w:p w:rsidR="00A86B08" w:rsidRPr="002C25C6" w:rsidRDefault="00A86B08" w:rsidP="00A86B08">
      <w:pPr>
        <w:rPr>
          <w:lang w:val="ru-RU"/>
        </w:rPr>
      </w:pPr>
      <w:r w:rsidRPr="002C25C6">
        <w:rPr>
          <w:lang w:val="ru-RU"/>
        </w:rPr>
        <w:t>120</w:t>
      </w:r>
      <w:r w:rsidRPr="002C25C6">
        <w:rPr>
          <w:lang w:val="ru-RU"/>
        </w:rPr>
        <w:tab/>
        <w:t>Чистый результат по денежным средствам и эквивалентам денежных средств показал увеличение на 52,9 млн. швейцарских франков в 2016 году. Мы проверили служившие основой записи путем выборки по некоторым счетам. Как показал результат, все выбранные транзакции были надлежащим образом обоснованы подтверждающими документами. Отчет о движении денежных средств, таким образом, проверен и подтвержден.</w:t>
      </w:r>
    </w:p>
    <w:p w:rsidR="00A86B08" w:rsidRPr="002C25C6" w:rsidRDefault="00A86B08" w:rsidP="00A86B08">
      <w:pPr>
        <w:pStyle w:val="Heading1"/>
        <w:ind w:left="0" w:firstLine="0"/>
        <w:rPr>
          <w:lang w:val="ru-RU"/>
        </w:rPr>
      </w:pPr>
      <w:bookmarkStart w:id="284" w:name="_Toc358192860"/>
      <w:bookmarkStart w:id="285" w:name="_Toc398125347"/>
      <w:bookmarkStart w:id="286" w:name="_Toc398125826"/>
      <w:bookmarkStart w:id="287" w:name="_Toc452157337"/>
      <w:bookmarkStart w:id="288" w:name="_Toc482995213"/>
      <w:r w:rsidRPr="002C25C6">
        <w:rPr>
          <w:lang w:val="ru-RU"/>
        </w:rPr>
        <w:lastRenderedPageBreak/>
        <w:t>СРАВНЕНИЕ ПРЕДУСМОТРЕННЫХ В БЮДЖЕТЕ СУММ И ФАКТИЧЕСКИХ СУММ ЗА 2016 ФИНАНСОВЫЙ ГОД</w:t>
      </w:r>
      <w:bookmarkEnd w:id="284"/>
      <w:bookmarkEnd w:id="285"/>
      <w:bookmarkEnd w:id="286"/>
      <w:bookmarkEnd w:id="287"/>
      <w:bookmarkEnd w:id="288"/>
    </w:p>
    <w:p w:rsidR="00A86B08" w:rsidRPr="002C25C6" w:rsidRDefault="00A86B08" w:rsidP="00A86B08">
      <w:pPr>
        <w:rPr>
          <w:lang w:val="ru-RU"/>
        </w:rPr>
      </w:pPr>
      <w:r w:rsidRPr="002C25C6">
        <w:rPr>
          <w:lang w:val="ru-RU"/>
        </w:rPr>
        <w:t>121</w:t>
      </w:r>
      <w:r w:rsidRPr="002C25C6">
        <w:rPr>
          <w:lang w:val="ru-RU"/>
        </w:rPr>
        <w:tab/>
        <w:t>Таблица V "Сравнительная таблица предусмотренных в бюджете сумм и фактических сумм за 2016 финансовый год" составлена в целях соответствия стандарту IPSAS 24, который требует включения в финансовую отчетность сравнения сумм, полученных в результате исполнения этого бюджета. Данным стандартом также определяется раскрытие причин существенных расхождений, возникающих между бюджетом и фактическими суммами.</w:t>
      </w:r>
    </w:p>
    <w:p w:rsidR="00A86B08" w:rsidRPr="002C25C6" w:rsidRDefault="00A86B08" w:rsidP="00A86B08">
      <w:pPr>
        <w:rPr>
          <w:lang w:val="ru-RU"/>
        </w:rPr>
      </w:pPr>
      <w:r w:rsidRPr="002C25C6">
        <w:rPr>
          <w:lang w:val="ru-RU"/>
        </w:rPr>
        <w:t>122</w:t>
      </w:r>
      <w:r w:rsidRPr="002C25C6">
        <w:rPr>
          <w:lang w:val="ru-RU"/>
        </w:rPr>
        <w:tab/>
        <w:t>В Таблицу V включена также бухгалтерская выверка расхождений между бюджетными результатами (фактическими суммами) и суммами, учтенными в бухгалтерской отчетности. Более подробная информация представлена в Примечании 25 к Отчету о финансовой деятельности, и мы также ссылаемся на комментарии Генерального секретаря, отраженные в Отчете о финансовой деятельности.</w:t>
      </w:r>
    </w:p>
    <w:p w:rsidR="00A86B08" w:rsidRPr="002C25C6" w:rsidRDefault="00A86B08" w:rsidP="00A86B08">
      <w:pPr>
        <w:pStyle w:val="Heading1"/>
        <w:rPr>
          <w:lang w:val="ru-RU"/>
        </w:rPr>
      </w:pPr>
      <w:bookmarkStart w:id="289" w:name="_Toc358192862"/>
      <w:bookmarkStart w:id="290" w:name="_Toc398125349"/>
      <w:bookmarkStart w:id="291" w:name="_Toc398125828"/>
      <w:bookmarkStart w:id="292" w:name="_Toc452157338"/>
      <w:bookmarkStart w:id="293" w:name="_Toc482995214"/>
      <w:r w:rsidRPr="002C25C6">
        <w:rPr>
          <w:lang w:val="ru-RU"/>
        </w:rPr>
        <w:t>СТРАХОВАЯ КАССА ПЕРСОНАЛА</w:t>
      </w:r>
      <w:bookmarkEnd w:id="289"/>
      <w:bookmarkEnd w:id="290"/>
      <w:bookmarkEnd w:id="291"/>
      <w:bookmarkEnd w:id="292"/>
      <w:bookmarkEnd w:id="293"/>
    </w:p>
    <w:p w:rsidR="00A86B08" w:rsidRPr="002C25C6" w:rsidRDefault="00A86B08" w:rsidP="002E44D6">
      <w:pPr>
        <w:rPr>
          <w:lang w:val="ru-RU"/>
        </w:rPr>
      </w:pPr>
      <w:bookmarkStart w:id="294" w:name="_Ref418164202"/>
      <w:r w:rsidRPr="002C25C6">
        <w:rPr>
          <w:lang w:val="ru-RU"/>
        </w:rPr>
        <w:t>123</w:t>
      </w:r>
      <w:r w:rsidRPr="002C25C6">
        <w:rPr>
          <w:lang w:val="ru-RU"/>
        </w:rPr>
        <w:tab/>
        <w:t>В Приложение </w:t>
      </w:r>
      <w:proofErr w:type="spellStart"/>
      <w:r w:rsidRPr="002C25C6">
        <w:rPr>
          <w:lang w:val="ru-RU"/>
        </w:rPr>
        <w:t>B2</w:t>
      </w:r>
      <w:proofErr w:type="spellEnd"/>
      <w:r w:rsidRPr="002C25C6">
        <w:rPr>
          <w:lang w:val="ru-RU"/>
        </w:rPr>
        <w:t xml:space="preserve"> к Отчету о финансовой деятельности включены три фонда: </w:t>
      </w:r>
      <w:r w:rsidRPr="002C25C6">
        <w:rPr>
          <w:i/>
          <w:iCs/>
          <w:lang w:val="ru-RU"/>
        </w:rPr>
        <w:t>Фонд резервных и дополнительных средств</w:t>
      </w:r>
      <w:r w:rsidRPr="002C25C6">
        <w:rPr>
          <w:lang w:val="ru-RU"/>
        </w:rPr>
        <w:t xml:space="preserve"> (общие активы которого составляют 6,3 млн. швейцарских франков без существенных изменений по сравнению с 2015 годом), </w:t>
      </w:r>
      <w:r w:rsidRPr="002C25C6">
        <w:rPr>
          <w:i/>
          <w:iCs/>
          <w:lang w:val="ru-RU"/>
        </w:rPr>
        <w:t>Пенсионный фонд</w:t>
      </w:r>
      <w:r w:rsidRPr="002C25C6">
        <w:rPr>
          <w:lang w:val="ru-RU"/>
        </w:rPr>
        <w:t xml:space="preserve"> (</w:t>
      </w:r>
      <w:r w:rsidR="00D31A49" w:rsidRPr="002C25C6">
        <w:rPr>
          <w:lang w:val="ru-RU"/>
        </w:rPr>
        <w:t xml:space="preserve">без </w:t>
      </w:r>
      <w:r w:rsidR="00D31A49">
        <w:rPr>
          <w:lang w:val="ru-RU"/>
        </w:rPr>
        <w:t>указания</w:t>
      </w:r>
      <w:r w:rsidR="00D31A49" w:rsidRPr="002C25C6">
        <w:rPr>
          <w:lang w:val="ru-RU"/>
        </w:rPr>
        <w:t xml:space="preserve"> </w:t>
      </w:r>
      <w:r w:rsidR="002E44D6" w:rsidRPr="002C25C6">
        <w:rPr>
          <w:lang w:val="ru-RU"/>
        </w:rPr>
        <w:t xml:space="preserve">общих </w:t>
      </w:r>
      <w:r w:rsidR="00D31A49" w:rsidRPr="002C25C6">
        <w:rPr>
          <w:lang w:val="ru-RU"/>
        </w:rPr>
        <w:t>активов в 2016 году</w:t>
      </w:r>
      <w:r w:rsidR="002E44D6">
        <w:rPr>
          <w:lang w:val="ru-RU"/>
        </w:rPr>
        <w:t>,</w:t>
      </w:r>
      <w:r w:rsidR="00D31A49">
        <w:rPr>
          <w:lang w:val="ru-RU"/>
        </w:rPr>
        <w:t xml:space="preserve"> в 2015 году они состав</w:t>
      </w:r>
      <w:r w:rsidR="002E44D6">
        <w:rPr>
          <w:lang w:val="ru-RU"/>
        </w:rPr>
        <w:t xml:space="preserve">ляли </w:t>
      </w:r>
      <w:r w:rsidRPr="002C25C6">
        <w:rPr>
          <w:lang w:val="ru-RU"/>
        </w:rPr>
        <w:t xml:space="preserve">1,5 млн. швейцарских франков) и </w:t>
      </w:r>
      <w:r w:rsidRPr="002C25C6">
        <w:rPr>
          <w:i/>
          <w:iCs/>
          <w:lang w:val="ru-RU"/>
        </w:rPr>
        <w:t>Фонд помощи</w:t>
      </w:r>
      <w:r w:rsidRPr="002C25C6">
        <w:rPr>
          <w:lang w:val="ru-RU"/>
        </w:rPr>
        <w:t xml:space="preserve"> (</w:t>
      </w:r>
      <w:r w:rsidR="002E44D6" w:rsidRPr="002C25C6">
        <w:rPr>
          <w:lang w:val="ru-RU"/>
        </w:rPr>
        <w:t>общи</w:t>
      </w:r>
      <w:r w:rsidR="002E44D6">
        <w:rPr>
          <w:lang w:val="ru-RU"/>
        </w:rPr>
        <w:t>е</w:t>
      </w:r>
      <w:r w:rsidR="002E44D6" w:rsidRPr="002C25C6">
        <w:rPr>
          <w:lang w:val="ru-RU"/>
        </w:rPr>
        <w:t xml:space="preserve"> </w:t>
      </w:r>
      <w:r w:rsidRPr="002C25C6">
        <w:rPr>
          <w:lang w:val="ru-RU"/>
        </w:rPr>
        <w:t>акти</w:t>
      </w:r>
      <w:r w:rsidR="002E44D6">
        <w:rPr>
          <w:lang w:val="ru-RU"/>
        </w:rPr>
        <w:t>вы которого</w:t>
      </w:r>
      <w:r w:rsidRPr="002C25C6">
        <w:rPr>
          <w:lang w:val="ru-RU"/>
        </w:rPr>
        <w:t xml:space="preserve"> составля</w:t>
      </w:r>
      <w:r w:rsidR="002E44D6">
        <w:rPr>
          <w:lang w:val="ru-RU"/>
        </w:rPr>
        <w:t>ю</w:t>
      </w:r>
      <w:r w:rsidRPr="002C25C6">
        <w:rPr>
          <w:lang w:val="ru-RU"/>
        </w:rPr>
        <w:t>т около 0,3 млн. швейцарских франков, в 2015 году они составляли 0,2 млн. швейцарских франков).</w:t>
      </w:r>
    </w:p>
    <w:p w:rsidR="00A86B08" w:rsidRPr="002C25C6" w:rsidRDefault="00A86B08" w:rsidP="002E44D6">
      <w:pPr>
        <w:rPr>
          <w:lang w:val="ru-RU"/>
        </w:rPr>
      </w:pPr>
      <w:r w:rsidRPr="002C25C6">
        <w:rPr>
          <w:lang w:val="ru-RU"/>
        </w:rPr>
        <w:t>124</w:t>
      </w:r>
      <w:r w:rsidRPr="002C25C6">
        <w:rPr>
          <w:lang w:val="ru-RU"/>
        </w:rPr>
        <w:tab/>
      </w:r>
      <w:bookmarkEnd w:id="294"/>
      <w:r w:rsidRPr="002C25C6">
        <w:rPr>
          <w:lang w:val="ru-RU"/>
        </w:rPr>
        <w:t xml:space="preserve">В отношении обязательств по </w:t>
      </w:r>
      <w:r w:rsidRPr="002C25C6">
        <w:rPr>
          <w:i/>
          <w:iCs/>
          <w:lang w:val="ru-RU"/>
        </w:rPr>
        <w:t>Фонду резервных и дополнительных средств</w:t>
      </w:r>
      <w:r w:rsidRPr="002C25C6">
        <w:rPr>
          <w:lang w:val="ru-RU"/>
        </w:rPr>
        <w:t xml:space="preserve"> показан актуарный резервный фонд объемом 54 тыс. швейцарских франков по статье "Вознаграждение сотрудников" в соответствии с актуарной оценкой, проведенной в 2010 году. В 2015 году в д</w:t>
      </w:r>
      <w:r w:rsidR="00F872C0">
        <w:rPr>
          <w:lang w:val="ru-RU"/>
        </w:rPr>
        <w:t xml:space="preserve">ополнение к </w:t>
      </w:r>
      <w:r w:rsidR="002E44D6">
        <w:rPr>
          <w:lang w:val="ru-RU"/>
        </w:rPr>
        <w:t>таким же</w:t>
      </w:r>
      <w:r w:rsidR="00F872C0">
        <w:rPr>
          <w:lang w:val="ru-RU"/>
        </w:rPr>
        <w:t xml:space="preserve"> резервам</w:t>
      </w:r>
      <w:r w:rsidR="002E44D6">
        <w:rPr>
          <w:lang w:val="ru-RU"/>
        </w:rPr>
        <w:t xml:space="preserve"> под этот фонд</w:t>
      </w:r>
      <w:r w:rsidRPr="002C25C6">
        <w:rPr>
          <w:lang w:val="ru-RU"/>
        </w:rPr>
        <w:t xml:space="preserve"> показаны резервы в объеме 36 тыс. швейцарских франков по Пенсионному фонду.</w:t>
      </w:r>
    </w:p>
    <w:p w:rsidR="00A86B08" w:rsidRPr="002C25C6" w:rsidRDefault="00A86B08" w:rsidP="00A86B08">
      <w:pPr>
        <w:rPr>
          <w:lang w:val="ru-RU"/>
        </w:rPr>
      </w:pPr>
      <w:r w:rsidRPr="002C25C6">
        <w:rPr>
          <w:lang w:val="ru-RU"/>
        </w:rPr>
        <w:t>125</w:t>
      </w:r>
      <w:r w:rsidRPr="002C25C6">
        <w:rPr>
          <w:lang w:val="ru-RU"/>
        </w:rPr>
        <w:tab/>
        <w:t xml:space="preserve">Как указано в </w:t>
      </w:r>
      <w:r w:rsidR="00F872C0" w:rsidRPr="002C25C6">
        <w:rPr>
          <w:lang w:val="ru-RU"/>
        </w:rPr>
        <w:t xml:space="preserve">Примечании </w:t>
      </w:r>
      <w:r w:rsidRPr="002C25C6">
        <w:rPr>
          <w:lang w:val="ru-RU"/>
        </w:rPr>
        <w:t xml:space="preserve">2 </w:t>
      </w:r>
      <w:r w:rsidR="00F872C0">
        <w:rPr>
          <w:lang w:val="ru-RU"/>
        </w:rPr>
        <w:t xml:space="preserve">к </w:t>
      </w:r>
      <w:r w:rsidRPr="002C25C6">
        <w:rPr>
          <w:color w:val="000000"/>
          <w:lang w:val="ru-RU"/>
        </w:rPr>
        <w:t>Отчет</w:t>
      </w:r>
      <w:r w:rsidR="00F872C0">
        <w:rPr>
          <w:color w:val="000000"/>
          <w:lang w:val="ru-RU"/>
        </w:rPr>
        <w:t>у</w:t>
      </w:r>
      <w:r w:rsidRPr="002C25C6">
        <w:rPr>
          <w:color w:val="000000"/>
          <w:lang w:val="ru-RU"/>
        </w:rPr>
        <w:t xml:space="preserve"> о финансовой деятельности</w:t>
      </w:r>
      <w:r w:rsidRPr="002C25C6">
        <w:rPr>
          <w:lang w:val="ru-RU"/>
        </w:rPr>
        <w:t>, эти фонды представляют собой "</w:t>
      </w:r>
      <w:r w:rsidRPr="00F872C0">
        <w:rPr>
          <w:i/>
          <w:iCs/>
          <w:lang w:val="ru-RU"/>
        </w:rPr>
        <w:t>совокупность фондов, гарантирующих выплату пенсий сотрудникам, работавшим до 1 января 1960 года, т. е. до даты присоединения МСЭ к Объединенному пенсионному фонду персонала Организации Объединенных Наций</w:t>
      </w:r>
      <w:r w:rsidRPr="00F872C0">
        <w:rPr>
          <w:i/>
          <w:iCs/>
          <w:color w:val="000000"/>
          <w:lang w:val="ru-RU"/>
        </w:rPr>
        <w:t xml:space="preserve">. </w:t>
      </w:r>
      <w:r w:rsidRPr="00F872C0">
        <w:rPr>
          <w:i/>
          <w:iCs/>
          <w:lang w:val="ru-RU"/>
        </w:rPr>
        <w:t>В 2016 году из Фонда резервных и дополнительных средств произведены выплаты 26 пенсий по старости и 25 пенсий по случаю потери кормильца; Фонд помощи служил для оказания помощи персоналу и пенсионерам, которые находились в сложном финансовом положении</w:t>
      </w:r>
      <w:r w:rsidRPr="002C25C6">
        <w:rPr>
          <w:lang w:val="ru-RU"/>
        </w:rPr>
        <w:t xml:space="preserve">". </w:t>
      </w:r>
    </w:p>
    <w:p w:rsidR="00A86B08" w:rsidRPr="002C25C6" w:rsidRDefault="00A86B08" w:rsidP="00F872C0">
      <w:pPr>
        <w:rPr>
          <w:lang w:val="ru-RU"/>
        </w:rPr>
      </w:pPr>
      <w:r w:rsidRPr="002C25C6">
        <w:rPr>
          <w:lang w:val="ru-RU"/>
        </w:rPr>
        <w:t>126</w:t>
      </w:r>
      <w:r w:rsidRPr="002C25C6">
        <w:rPr>
          <w:lang w:val="ru-RU"/>
        </w:rPr>
        <w:tab/>
        <w:t xml:space="preserve">В соответствии с Решением 596 (Документ </w:t>
      </w:r>
      <w:proofErr w:type="spellStart"/>
      <w:r w:rsidRPr="002C25C6">
        <w:rPr>
          <w:lang w:val="ru-RU"/>
        </w:rPr>
        <w:t>C16</w:t>
      </w:r>
      <w:proofErr w:type="spellEnd"/>
      <w:r w:rsidRPr="002C25C6">
        <w:rPr>
          <w:lang w:val="ru-RU"/>
        </w:rPr>
        <w:t>/141 от 7 июня 2016 г</w:t>
      </w:r>
      <w:r w:rsidR="00F872C0">
        <w:rPr>
          <w:lang w:val="ru-RU"/>
        </w:rPr>
        <w:t>.)</w:t>
      </w:r>
      <w:r w:rsidRPr="002C25C6">
        <w:rPr>
          <w:lang w:val="ru-RU"/>
        </w:rPr>
        <w:t xml:space="preserve"> "Пенсионный фонд" был закрыт в 2016 году; остающиеся средства были распределены следующим образом: 100 тыс</w:t>
      </w:r>
      <w:r w:rsidR="00F872C0">
        <w:rPr>
          <w:lang w:val="ru-RU"/>
        </w:rPr>
        <w:t>.</w:t>
      </w:r>
      <w:r w:rsidRPr="002C25C6">
        <w:rPr>
          <w:lang w:val="ru-RU"/>
        </w:rPr>
        <w:t xml:space="preserve"> швейцарских франков </w:t>
      </w:r>
      <w:r w:rsidR="00F872C0">
        <w:rPr>
          <w:lang w:val="ru-RU"/>
        </w:rPr>
        <w:t xml:space="preserve">− </w:t>
      </w:r>
      <w:r w:rsidRPr="002C25C6">
        <w:rPr>
          <w:lang w:val="ru-RU"/>
        </w:rPr>
        <w:t>в "Фонд помощи" и 1146 тыс</w:t>
      </w:r>
      <w:r w:rsidR="00F872C0">
        <w:rPr>
          <w:lang w:val="ru-RU"/>
        </w:rPr>
        <w:t>.</w:t>
      </w:r>
      <w:r w:rsidRPr="002C25C6">
        <w:rPr>
          <w:lang w:val="ru-RU"/>
        </w:rPr>
        <w:t xml:space="preserve"> швейцарских франков в </w:t>
      </w:r>
      <w:r w:rsidR="00F872C0" w:rsidRPr="002C25C6">
        <w:rPr>
          <w:lang w:val="ru-RU"/>
        </w:rPr>
        <w:t xml:space="preserve">Фонд </w:t>
      </w:r>
      <w:r w:rsidRPr="002C25C6">
        <w:rPr>
          <w:color w:val="000000"/>
          <w:lang w:val="ru-RU"/>
        </w:rPr>
        <w:t>ПКМС</w:t>
      </w:r>
      <w:r w:rsidRPr="002C25C6">
        <w:rPr>
          <w:lang w:val="ru-RU"/>
        </w:rPr>
        <w:t>.</w:t>
      </w:r>
    </w:p>
    <w:p w:rsidR="00A86B08" w:rsidRPr="002C25C6" w:rsidRDefault="00A86B08" w:rsidP="00A86B08">
      <w:pPr>
        <w:pStyle w:val="Heading1"/>
        <w:ind w:left="0" w:firstLine="0"/>
        <w:rPr>
          <w:lang w:val="ru-RU"/>
        </w:rPr>
      </w:pPr>
      <w:bookmarkStart w:id="295" w:name="_Toc356330915"/>
      <w:bookmarkStart w:id="296" w:name="_Toc358192864"/>
      <w:bookmarkStart w:id="297" w:name="_Toc398125350"/>
      <w:bookmarkStart w:id="298" w:name="_Toc398125829"/>
      <w:bookmarkStart w:id="299" w:name="_Toc452157339"/>
      <w:bookmarkStart w:id="300" w:name="_Toc482995215"/>
      <w:r w:rsidRPr="002C25C6">
        <w:rPr>
          <w:lang w:val="ru-RU"/>
        </w:rPr>
        <w:t>ПРОГРАММА РАЗВИТИЯ ОРГАНИЗАЦИИ ОБЪЕДИНЕННЫХ НАЦИЙ (ПРООН), ФОНД РАЗВИТИЯ ИНФОРМАЦИОННО-КОММУНИКАЦИОННЫХ ТЕХНОЛОГИЙ (ФРИКТ) И</w:t>
      </w:r>
      <w:bookmarkEnd w:id="295"/>
      <w:r w:rsidRPr="002C25C6">
        <w:rPr>
          <w:lang w:val="ru-RU"/>
        </w:rPr>
        <w:t> ЦЕЛЕВЫЕ ФОНДЫ</w:t>
      </w:r>
      <w:bookmarkEnd w:id="296"/>
      <w:bookmarkEnd w:id="297"/>
      <w:bookmarkEnd w:id="298"/>
      <w:bookmarkEnd w:id="299"/>
      <w:bookmarkEnd w:id="300"/>
    </w:p>
    <w:p w:rsidR="00A86B08" w:rsidRPr="002C25C6" w:rsidRDefault="00A86B08" w:rsidP="00A86B08">
      <w:pPr>
        <w:rPr>
          <w:lang w:val="ru-RU"/>
        </w:rPr>
      </w:pPr>
      <w:r w:rsidRPr="002C25C6">
        <w:rPr>
          <w:lang w:val="ru-RU"/>
        </w:rPr>
        <w:t>127</w:t>
      </w:r>
      <w:r w:rsidRPr="002C25C6">
        <w:rPr>
          <w:lang w:val="ru-RU"/>
        </w:rPr>
        <w:tab/>
        <w:t>В Правиле 5 Приложения 2 к Финансовому регламенту предусмотрено, что "для каждого добровольного взноса или целевого фонда в рамках специального счета Союза открывается отдельный счет".</w:t>
      </w:r>
    </w:p>
    <w:p w:rsidR="00A86B08" w:rsidRPr="002C25C6" w:rsidRDefault="00A86B08" w:rsidP="00F872C0">
      <w:pPr>
        <w:rPr>
          <w:lang w:val="ru-RU"/>
        </w:rPr>
      </w:pPr>
      <w:r w:rsidRPr="002C25C6">
        <w:rPr>
          <w:lang w:val="ru-RU"/>
        </w:rPr>
        <w:t>128</w:t>
      </w:r>
      <w:r w:rsidRPr="002C25C6">
        <w:rPr>
          <w:lang w:val="ru-RU"/>
        </w:rPr>
        <w:tab/>
        <w:t>В Приложении </w:t>
      </w:r>
      <w:proofErr w:type="spellStart"/>
      <w:r w:rsidRPr="002C25C6">
        <w:rPr>
          <w:lang w:val="ru-RU"/>
        </w:rPr>
        <w:t>B3</w:t>
      </w:r>
      <w:proofErr w:type="spellEnd"/>
      <w:r w:rsidRPr="002C25C6">
        <w:rPr>
          <w:lang w:val="ru-RU"/>
        </w:rPr>
        <w:t xml:space="preserve"> к Отчету о финансовой деятельности указаны </w:t>
      </w:r>
      <w:r w:rsidR="00F872C0">
        <w:rPr>
          <w:lang w:val="ru-RU"/>
        </w:rPr>
        <w:t>два</w:t>
      </w:r>
      <w:r w:rsidRPr="002C25C6">
        <w:rPr>
          <w:lang w:val="ru-RU"/>
        </w:rPr>
        <w:t xml:space="preserve"> проекта, в настоящее время относящиеся к деятельности ПРООН. В Приложении </w:t>
      </w:r>
      <w:proofErr w:type="spellStart"/>
      <w:r w:rsidRPr="002C25C6">
        <w:rPr>
          <w:lang w:val="ru-RU"/>
        </w:rPr>
        <w:t>B4</w:t>
      </w:r>
      <w:proofErr w:type="spellEnd"/>
      <w:r w:rsidRPr="002C25C6">
        <w:rPr>
          <w:lang w:val="ru-RU"/>
        </w:rPr>
        <w:t xml:space="preserve"> к Отчету о финансовой деятельности показаны проекты, финансируемые по линии целевых фондов. Они частично финансируются путем снятия средств из ФРИКТ, разрешенного решением Руководящего комитета ФРИКТ. Другие проекты </w:t>
      </w:r>
      <w:r w:rsidRPr="002C25C6">
        <w:rPr>
          <w:lang w:val="ru-RU"/>
        </w:rPr>
        <w:lastRenderedPageBreak/>
        <w:t>финансируются за счет специальных взносов (показанных в Приложении В5) и регулируются соглашениями с донорами. В Приложении </w:t>
      </w:r>
      <w:proofErr w:type="spellStart"/>
      <w:r w:rsidRPr="002C25C6">
        <w:rPr>
          <w:lang w:val="ru-RU"/>
        </w:rPr>
        <w:t>B6</w:t>
      </w:r>
      <w:proofErr w:type="spellEnd"/>
      <w:r w:rsidRPr="002C25C6">
        <w:rPr>
          <w:lang w:val="ru-RU"/>
        </w:rPr>
        <w:t xml:space="preserve"> представлены проекты, относящиеся к ФРИКТ. </w:t>
      </w:r>
    </w:p>
    <w:p w:rsidR="00A86B08" w:rsidRPr="002C25C6" w:rsidRDefault="00A86B08" w:rsidP="00F872C0">
      <w:pPr>
        <w:rPr>
          <w:lang w:val="ru-RU"/>
        </w:rPr>
      </w:pPr>
      <w:r w:rsidRPr="002C25C6">
        <w:rPr>
          <w:lang w:val="ru-RU"/>
        </w:rPr>
        <w:t>129</w:t>
      </w:r>
      <w:r w:rsidRPr="002C25C6">
        <w:rPr>
          <w:lang w:val="ru-RU"/>
        </w:rPr>
        <w:tab/>
      </w:r>
      <w:r w:rsidR="00F872C0" w:rsidRPr="002C25C6">
        <w:rPr>
          <w:lang w:val="ru-RU"/>
        </w:rPr>
        <w:t xml:space="preserve">Собственные </w:t>
      </w:r>
      <w:r w:rsidRPr="002C25C6">
        <w:rPr>
          <w:lang w:val="ru-RU"/>
        </w:rPr>
        <w:t>средства МСЭ, выделенные на проекты, увеличились в 2016 году до 7,6 млн. швейцарских франков по сравнению с 6,4 млн. швейцарских франков в 2015 году. С другой стороны, средства третьих сторон, выделяемые на проекты, в 2016 году сократились до 23,6 млн. швейцарских франков по сравнению с 28,7 млн. швейцарских франков в 2015 году.</w:t>
      </w:r>
    </w:p>
    <w:p w:rsidR="00A86B08" w:rsidRPr="002C25C6" w:rsidRDefault="00A86B08" w:rsidP="00A86B08">
      <w:pPr>
        <w:rPr>
          <w:lang w:val="ru-RU"/>
        </w:rPr>
      </w:pPr>
      <w:r w:rsidRPr="002C25C6">
        <w:rPr>
          <w:lang w:val="ru-RU"/>
        </w:rPr>
        <w:t>130</w:t>
      </w:r>
      <w:r w:rsidRPr="002C25C6">
        <w:rPr>
          <w:lang w:val="ru-RU"/>
        </w:rPr>
        <w:tab/>
        <w:t>Объем собственных средств МСЭ, выделенных на проекты, увеличился в основном благодаря переводу средств из ФРИКТ. Ожидающие распределения средства третьих сторон в 2016 году увеличились до 3,8 млн. швейцарских франков (в 2015 г. они составляли 2,9 млн. швейцарских франков).</w:t>
      </w:r>
    </w:p>
    <w:p w:rsidR="00A86B08" w:rsidRPr="002C25C6" w:rsidRDefault="00A86B08" w:rsidP="00A86B08">
      <w:pPr>
        <w:pStyle w:val="Heading1"/>
        <w:ind w:left="0" w:firstLine="0"/>
        <w:rPr>
          <w:lang w:val="ru-RU"/>
        </w:rPr>
      </w:pPr>
      <w:bookmarkStart w:id="301" w:name="_Toc482176263"/>
      <w:bookmarkStart w:id="302" w:name="_Toc482995216"/>
      <w:r w:rsidRPr="002C25C6">
        <w:rPr>
          <w:color w:val="000000"/>
          <w:lang w:val="ru-RU"/>
        </w:rPr>
        <w:t>Подразделение внутреннего аудита</w:t>
      </w:r>
      <w:r w:rsidRPr="002C25C6">
        <w:rPr>
          <w:lang w:val="ru-RU"/>
        </w:rPr>
        <w:t xml:space="preserve"> (</w:t>
      </w:r>
      <w:proofErr w:type="spellStart"/>
      <w:r w:rsidRPr="002C25C6">
        <w:rPr>
          <w:lang w:val="ru-RU"/>
        </w:rPr>
        <w:t>IAU</w:t>
      </w:r>
      <w:proofErr w:type="spellEnd"/>
      <w:r w:rsidRPr="002C25C6">
        <w:rPr>
          <w:lang w:val="ru-RU"/>
        </w:rPr>
        <w:t>)</w:t>
      </w:r>
      <w:bookmarkEnd w:id="301"/>
      <w:bookmarkEnd w:id="302"/>
    </w:p>
    <w:p w:rsidR="00A86B08" w:rsidRPr="002C25C6" w:rsidRDefault="00A86B08" w:rsidP="00A86B08">
      <w:pPr>
        <w:rPr>
          <w:lang w:val="ru-RU"/>
        </w:rPr>
      </w:pPr>
      <w:r w:rsidRPr="002C25C6">
        <w:rPr>
          <w:lang w:val="ru-RU"/>
        </w:rPr>
        <w:t>131</w:t>
      </w:r>
      <w:r w:rsidRPr="002C25C6">
        <w:rPr>
          <w:lang w:val="ru-RU"/>
        </w:rPr>
        <w:tab/>
        <w:t>В этой части отчета кратко рассматриваются отношения между Внешним аудитором и подразделением внутреннего аудита.</w:t>
      </w:r>
    </w:p>
    <w:p w:rsidR="00A86B08" w:rsidRPr="002C25C6" w:rsidRDefault="00A86B08" w:rsidP="002E44D6">
      <w:pPr>
        <w:rPr>
          <w:lang w:val="ru-RU"/>
        </w:rPr>
      </w:pPr>
      <w:r w:rsidRPr="002C25C6">
        <w:rPr>
          <w:lang w:val="ru-RU"/>
        </w:rPr>
        <w:t>132</w:t>
      </w:r>
      <w:r w:rsidRPr="002C25C6">
        <w:rPr>
          <w:lang w:val="ru-RU"/>
        </w:rPr>
        <w:tab/>
        <w:t>В нашем отчете за прошлый год мы сочли выполненными все рекомендации и предложения, связанные с оценкой функции внутреннего аудита, которую мы представили в нашем отчете</w:t>
      </w:r>
      <w:r w:rsidR="002E44D6">
        <w:rPr>
          <w:lang w:val="ru-RU"/>
        </w:rPr>
        <w:t>, касающемся финансовой отчетности за 2013 год</w:t>
      </w:r>
      <w:r w:rsidRPr="002C25C6">
        <w:rPr>
          <w:lang w:val="ru-RU"/>
        </w:rPr>
        <w:t>.</w:t>
      </w:r>
    </w:p>
    <w:p w:rsidR="00A86B08" w:rsidRPr="002C25C6" w:rsidRDefault="00A86B08" w:rsidP="002E44D6">
      <w:pPr>
        <w:rPr>
          <w:lang w:val="ru-RU"/>
        </w:rPr>
      </w:pPr>
      <w:r w:rsidRPr="002C25C6">
        <w:rPr>
          <w:lang w:val="ru-RU"/>
        </w:rPr>
        <w:t>133</w:t>
      </w:r>
      <w:r w:rsidRPr="002C25C6">
        <w:rPr>
          <w:lang w:val="ru-RU"/>
        </w:rPr>
        <w:tab/>
        <w:t xml:space="preserve">Мы признательны за содействие сотрудников подразделения внутреннего аудита, которым также было поручено оказывать </w:t>
      </w:r>
      <w:r w:rsidR="002E44D6">
        <w:rPr>
          <w:lang w:val="ru-RU"/>
        </w:rPr>
        <w:t>материально-техническую</w:t>
      </w:r>
      <w:r w:rsidRPr="002C25C6">
        <w:rPr>
          <w:lang w:val="ru-RU"/>
        </w:rPr>
        <w:t xml:space="preserve"> поддержку деятельности Внешнего аудитора. </w:t>
      </w:r>
      <w:proofErr w:type="spellStart"/>
      <w:r w:rsidRPr="002C25C6">
        <w:rPr>
          <w:lang w:val="ru-RU"/>
        </w:rPr>
        <w:t>IAU</w:t>
      </w:r>
      <w:proofErr w:type="spellEnd"/>
      <w:r w:rsidRPr="002C25C6">
        <w:rPr>
          <w:lang w:val="ru-RU"/>
        </w:rPr>
        <w:t xml:space="preserve"> предоставляет свои аудиторские отчеты Внешнему аудитору, а также планы проведения аудиторских проверок.</w:t>
      </w:r>
    </w:p>
    <w:p w:rsidR="00A86B08" w:rsidRPr="002C25C6" w:rsidRDefault="00A86B08" w:rsidP="00A86B08">
      <w:pPr>
        <w:rPr>
          <w:lang w:val="ru-RU"/>
        </w:rPr>
      </w:pPr>
      <w:r w:rsidRPr="002C25C6">
        <w:rPr>
          <w:lang w:val="ru-RU"/>
        </w:rPr>
        <w:t>134</w:t>
      </w:r>
      <w:r w:rsidRPr="002C25C6">
        <w:rPr>
          <w:lang w:val="ru-RU"/>
        </w:rPr>
        <w:tab/>
        <w:t>В соответствии с требованиями передового опыта мы продолжаем следить за деятельностью подразделения внутреннего аудита.</w:t>
      </w:r>
    </w:p>
    <w:p w:rsidR="00A86B08" w:rsidRPr="002C25C6" w:rsidRDefault="00A86B08" w:rsidP="00A86B08">
      <w:pPr>
        <w:pStyle w:val="Heading1"/>
        <w:rPr>
          <w:lang w:val="ru-RU"/>
        </w:rPr>
      </w:pPr>
      <w:bookmarkStart w:id="303" w:name="_Toc356330916"/>
      <w:bookmarkStart w:id="304" w:name="_Toc415170524"/>
      <w:bookmarkStart w:id="305" w:name="_Toc415566518"/>
      <w:bookmarkStart w:id="306" w:name="_Toc418501347"/>
      <w:bookmarkStart w:id="307" w:name="_Toc418861208"/>
      <w:bookmarkStart w:id="308" w:name="_Toc452157343"/>
      <w:bookmarkStart w:id="309" w:name="_Toc482995217"/>
      <w:r w:rsidRPr="002C25C6">
        <w:rPr>
          <w:lang w:val="ru-RU"/>
        </w:rPr>
        <w:t>ПОСЛЕДУЮЩИЕ МЕРЫ В СВЯЗИ С ПРЕДЫДУЩИМИ РЕКОМЕНДАЦИЯМИ И ПРЕДЛОЖЕНИЯМИ</w:t>
      </w:r>
      <w:bookmarkEnd w:id="303"/>
      <w:bookmarkEnd w:id="304"/>
      <w:bookmarkEnd w:id="305"/>
      <w:bookmarkEnd w:id="306"/>
      <w:bookmarkEnd w:id="307"/>
      <w:bookmarkEnd w:id="308"/>
      <w:bookmarkEnd w:id="309"/>
    </w:p>
    <w:p w:rsidR="00A86B08" w:rsidRPr="002C25C6" w:rsidRDefault="00A86B08" w:rsidP="00A86B08">
      <w:pPr>
        <w:rPr>
          <w:lang w:val="ru-RU"/>
        </w:rPr>
      </w:pPr>
      <w:r w:rsidRPr="002C25C6">
        <w:rPr>
          <w:lang w:val="ru-RU"/>
        </w:rPr>
        <w:t>135</w:t>
      </w:r>
      <w:r w:rsidRPr="002C25C6">
        <w:rPr>
          <w:lang w:val="ru-RU"/>
        </w:rPr>
        <w:tab/>
        <w:t xml:space="preserve">В Приложении I представлены все наши предыдущие рекомендации, а также комментарии, полученные от руководства МСЭ во время выпуска Отчета. В Приложении II представлены все рекомендации наших предшественников из </w:t>
      </w:r>
      <w:proofErr w:type="spellStart"/>
      <w:r w:rsidRPr="002C25C6">
        <w:rPr>
          <w:lang w:val="ru-RU"/>
        </w:rPr>
        <w:t>ШФАБ</w:t>
      </w:r>
      <w:proofErr w:type="spellEnd"/>
      <w:r w:rsidRPr="002C25C6">
        <w:rPr>
          <w:lang w:val="ru-RU"/>
        </w:rPr>
        <w:t xml:space="preserve"> и комментарии, полученные от руководства МСЭ во время выпуска Отчета. В Приложении III представлены последующие меры, принятые по всем нашим предложениям.</w:t>
      </w:r>
    </w:p>
    <w:p w:rsidR="00A86B08" w:rsidRPr="002C25C6" w:rsidRDefault="00A86B08" w:rsidP="00A86B08">
      <w:pPr>
        <w:rPr>
          <w:lang w:val="ru-RU"/>
        </w:rPr>
      </w:pPr>
      <w:r w:rsidRPr="002C25C6">
        <w:rPr>
          <w:lang w:val="ru-RU"/>
        </w:rPr>
        <w:t>136</w:t>
      </w:r>
      <w:r w:rsidRPr="002C25C6">
        <w:rPr>
          <w:lang w:val="ru-RU"/>
        </w:rPr>
        <w:tab/>
        <w:t>Рекомендации, получившие оценку "Выполнено", не будут включаться повторно в отчет об аудиторской проверке следующего года, если только они не требуют принятия последующих мер на ежегодной основе.</w:t>
      </w:r>
    </w:p>
    <w:p w:rsidR="00A86B08" w:rsidRPr="002C25C6" w:rsidRDefault="00A86B08" w:rsidP="00A86B08">
      <w:pPr>
        <w:rPr>
          <w:lang w:val="ru-RU"/>
        </w:rPr>
      </w:pPr>
    </w:p>
    <w:p w:rsidR="00A86B08" w:rsidRPr="002C25C6" w:rsidRDefault="00A86B08" w:rsidP="00A86B08">
      <w:pPr>
        <w:rPr>
          <w:lang w:val="ru-RU"/>
        </w:rPr>
        <w:sectPr w:rsidR="00A86B08" w:rsidRPr="002C25C6" w:rsidSect="00E774F5">
          <w:headerReference w:type="default" r:id="rId12"/>
          <w:footerReference w:type="default" r:id="rId13"/>
          <w:footerReference w:type="first" r:id="rId14"/>
          <w:pgSz w:w="11907" w:h="16834" w:code="9"/>
          <w:pgMar w:top="1418" w:right="1134" w:bottom="1418" w:left="1134" w:header="567" w:footer="567" w:gutter="0"/>
          <w:paperSrc w:first="15" w:other="15"/>
          <w:cols w:space="720"/>
          <w:titlePg/>
        </w:sectPr>
      </w:pPr>
    </w:p>
    <w:p w:rsidR="00A86B08" w:rsidRPr="002C25C6" w:rsidRDefault="00A86B08" w:rsidP="00A86B08">
      <w:pPr>
        <w:pStyle w:val="AnnexNo"/>
        <w:spacing w:before="0"/>
        <w:rPr>
          <w:lang w:val="ru-RU"/>
        </w:rPr>
      </w:pPr>
      <w:bookmarkStart w:id="310" w:name="_Toc419489441"/>
      <w:bookmarkStart w:id="311" w:name="_Toc452157344"/>
      <w:bookmarkStart w:id="312" w:name="_Toc418501348"/>
      <w:bookmarkStart w:id="313" w:name="_Toc418861209"/>
      <w:bookmarkStart w:id="314" w:name="_Toc482995218"/>
      <w:r w:rsidRPr="002C25C6">
        <w:rPr>
          <w:lang w:val="ru-RU"/>
        </w:rPr>
        <w:lastRenderedPageBreak/>
        <w:t>ПРИЛОЖЕНИЕ I</w:t>
      </w:r>
      <w:bookmarkEnd w:id="310"/>
      <w:bookmarkEnd w:id="311"/>
      <w:bookmarkEnd w:id="314"/>
      <w:r w:rsidRPr="002C25C6">
        <w:rPr>
          <w:lang w:val="ru-RU"/>
        </w:rPr>
        <w:t xml:space="preserve"> </w:t>
      </w:r>
    </w:p>
    <w:p w:rsidR="00A86B08" w:rsidRPr="002C25C6" w:rsidRDefault="00A86B08" w:rsidP="00A86B08">
      <w:pPr>
        <w:pStyle w:val="Annextitle"/>
        <w:rPr>
          <w:lang w:val="ru-RU"/>
        </w:rPr>
      </w:pPr>
      <w:bookmarkStart w:id="315" w:name="_Toc452157345"/>
      <w:bookmarkStart w:id="316" w:name="_Toc482995219"/>
      <w:r w:rsidRPr="002C25C6">
        <w:rPr>
          <w:lang w:val="ru-RU"/>
        </w:rPr>
        <w:t>Последующие меры в связи с рекомендациями, представленными в наших предыдущих отчет</w:t>
      </w:r>
      <w:bookmarkEnd w:id="312"/>
      <w:bookmarkEnd w:id="313"/>
      <w:r w:rsidRPr="002C25C6">
        <w:rPr>
          <w:lang w:val="ru-RU"/>
        </w:rPr>
        <w:t>ах</w:t>
      </w:r>
      <w:bookmarkEnd w:id="315"/>
      <w:bookmarkEnd w:id="316"/>
    </w:p>
    <w:tbl>
      <w:tblPr>
        <w:tblW w:w="14559" w:type="dxa"/>
        <w:tblLayout w:type="fixed"/>
        <w:tblCellMar>
          <w:left w:w="85" w:type="dxa"/>
          <w:right w:w="85" w:type="dxa"/>
        </w:tblCellMar>
        <w:tblLook w:val="0000" w:firstRow="0" w:lastRow="0" w:firstColumn="0" w:lastColumn="0" w:noHBand="0" w:noVBand="0"/>
      </w:tblPr>
      <w:tblGrid>
        <w:gridCol w:w="1493"/>
        <w:gridCol w:w="3322"/>
        <w:gridCol w:w="3544"/>
        <w:gridCol w:w="3674"/>
        <w:gridCol w:w="2526"/>
      </w:tblGrid>
      <w:tr w:rsidR="00A86B08" w:rsidRPr="002C25C6" w:rsidTr="00A86B08">
        <w:trPr>
          <w:cantSplit/>
          <w:tblHeader/>
        </w:trPr>
        <w:tc>
          <w:tcPr>
            <w:tcW w:w="149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86B08" w:rsidRPr="002C25C6" w:rsidRDefault="00A86B08" w:rsidP="00A86B08">
            <w:pPr>
              <w:spacing w:before="40" w:after="40"/>
              <w:jc w:val="center"/>
              <w:rPr>
                <w:b/>
                <w:bCs/>
                <w:sz w:val="18"/>
                <w:szCs w:val="18"/>
                <w:lang w:val="ru-RU"/>
              </w:rPr>
            </w:pPr>
          </w:p>
        </w:tc>
        <w:tc>
          <w:tcPr>
            <w:tcW w:w="332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86B08" w:rsidRPr="002C25C6" w:rsidRDefault="00A86B08" w:rsidP="00A86B08">
            <w:pPr>
              <w:spacing w:before="40" w:after="40"/>
              <w:jc w:val="center"/>
              <w:rPr>
                <w:b/>
                <w:bCs/>
                <w:sz w:val="18"/>
                <w:szCs w:val="18"/>
                <w:lang w:val="ru-RU"/>
              </w:rPr>
            </w:pPr>
            <w:r w:rsidRPr="002C25C6">
              <w:rPr>
                <w:b/>
                <w:bCs/>
                <w:sz w:val="18"/>
                <w:szCs w:val="18"/>
                <w:lang w:val="ru-RU"/>
              </w:rPr>
              <w:t>Рекомендация, представленная Государственной счетной палатой Италии</w:t>
            </w:r>
          </w:p>
        </w:tc>
        <w:tc>
          <w:tcPr>
            <w:tcW w:w="3544"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86B08" w:rsidRPr="002C25C6" w:rsidRDefault="00A86B08" w:rsidP="00A86B08">
            <w:pPr>
              <w:spacing w:before="40" w:after="40"/>
              <w:jc w:val="center"/>
              <w:rPr>
                <w:b/>
                <w:bCs/>
                <w:sz w:val="18"/>
                <w:szCs w:val="18"/>
                <w:lang w:val="ru-RU"/>
              </w:rPr>
            </w:pPr>
            <w:r w:rsidRPr="002C25C6">
              <w:rPr>
                <w:b/>
                <w:bCs/>
                <w:sz w:val="18"/>
                <w:szCs w:val="18"/>
                <w:lang w:val="ru-RU"/>
              </w:rPr>
              <w:t>Комментарии, полученные от Генерального секретаря во время опубликования отчета</w:t>
            </w:r>
          </w:p>
        </w:tc>
        <w:tc>
          <w:tcPr>
            <w:tcW w:w="3674"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86B08" w:rsidRPr="002C25C6" w:rsidRDefault="00A86B08" w:rsidP="00A86B08">
            <w:pPr>
              <w:spacing w:before="40" w:after="40"/>
              <w:jc w:val="center"/>
              <w:rPr>
                <w:b/>
                <w:bCs/>
                <w:sz w:val="18"/>
                <w:szCs w:val="18"/>
                <w:lang w:val="ru-RU"/>
              </w:rPr>
            </w:pPr>
            <w:r w:rsidRPr="002C25C6">
              <w:rPr>
                <w:b/>
                <w:bCs/>
                <w:sz w:val="18"/>
                <w:szCs w:val="18"/>
                <w:lang w:val="ru-RU"/>
              </w:rPr>
              <w:t>Статус выполнения по сообщению руководства МСЭ</w:t>
            </w:r>
          </w:p>
        </w:tc>
        <w:tc>
          <w:tcPr>
            <w:tcW w:w="25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rsidR="00A86B08" w:rsidRPr="002C25C6" w:rsidRDefault="00A86B08" w:rsidP="00A86B08">
            <w:pPr>
              <w:spacing w:before="40" w:after="40"/>
              <w:jc w:val="center"/>
              <w:rPr>
                <w:b/>
                <w:bCs/>
                <w:sz w:val="18"/>
                <w:szCs w:val="18"/>
                <w:lang w:val="ru-RU"/>
              </w:rPr>
            </w:pPr>
            <w:r w:rsidRPr="002C25C6">
              <w:rPr>
                <w:b/>
                <w:bCs/>
                <w:sz w:val="18"/>
                <w:szCs w:val="18"/>
                <w:lang w:val="ru-RU"/>
              </w:rPr>
              <w:t>Статус мер, принятых руководством, по оценке Государственной счетной палаты Италии</w:t>
            </w:r>
          </w:p>
        </w:tc>
      </w:tr>
      <w:tr w:rsidR="00A86B08" w:rsidRPr="002C25C6" w:rsidTr="00A86B08">
        <w:trPr>
          <w:cantSplit/>
        </w:trPr>
        <w:tc>
          <w:tcPr>
            <w:tcW w:w="149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A86B08" w:rsidRPr="002C25C6" w:rsidRDefault="00A86B08" w:rsidP="00A86B08">
            <w:pPr>
              <w:spacing w:before="40" w:after="40"/>
              <w:rPr>
                <w:b/>
                <w:bCs/>
                <w:sz w:val="18"/>
                <w:szCs w:val="18"/>
                <w:lang w:val="ru-RU"/>
              </w:rPr>
            </w:pPr>
            <w:r w:rsidRPr="002C25C6">
              <w:rPr>
                <w:b/>
                <w:bCs/>
                <w:sz w:val="18"/>
                <w:szCs w:val="18"/>
                <w:lang w:val="ru-RU"/>
              </w:rPr>
              <w:t>Рек. 1/2015</w:t>
            </w:r>
          </w:p>
        </w:tc>
        <w:tc>
          <w:tcPr>
            <w:tcW w:w="332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A86B08" w:rsidRPr="00F872C0" w:rsidRDefault="00A86B08" w:rsidP="00A86B08">
            <w:pPr>
              <w:spacing w:before="40" w:after="40"/>
              <w:rPr>
                <w:b/>
                <w:bCs/>
                <w:sz w:val="18"/>
                <w:szCs w:val="18"/>
                <w:lang w:val="ru-RU"/>
              </w:rPr>
            </w:pPr>
            <w:r w:rsidRPr="00F872C0">
              <w:rPr>
                <w:b/>
                <w:bCs/>
                <w:sz w:val="18"/>
                <w:szCs w:val="18"/>
                <w:lang w:val="ru-RU"/>
              </w:rPr>
              <w:t>Необходимо повысить точность реестра активов</w:t>
            </w:r>
          </w:p>
          <w:p w:rsidR="00A86B08" w:rsidRPr="002C25C6" w:rsidRDefault="00A86B08" w:rsidP="00A86B08">
            <w:pPr>
              <w:spacing w:before="40" w:after="40"/>
              <w:rPr>
                <w:sz w:val="18"/>
                <w:szCs w:val="18"/>
                <w:lang w:val="ru-RU"/>
              </w:rPr>
            </w:pPr>
            <w:r w:rsidRPr="002C25C6">
              <w:rPr>
                <w:sz w:val="18"/>
                <w:szCs w:val="18"/>
                <w:lang w:val="ru-RU"/>
              </w:rPr>
              <w:t xml:space="preserve">В связи с этим </w:t>
            </w:r>
            <w:r w:rsidRPr="00F872C0">
              <w:rPr>
                <w:sz w:val="18"/>
                <w:szCs w:val="18"/>
                <w:u w:val="single"/>
                <w:lang w:val="ru-RU"/>
              </w:rPr>
              <w:t>мы р</w:t>
            </w:r>
            <w:r w:rsidRPr="002C25C6">
              <w:rPr>
                <w:sz w:val="18"/>
                <w:szCs w:val="18"/>
                <w:u w:val="single"/>
                <w:lang w:val="ru-RU"/>
              </w:rPr>
              <w:t>екомендуем</w:t>
            </w:r>
            <w:r w:rsidRPr="002C25C6">
              <w:rPr>
                <w:sz w:val="18"/>
                <w:szCs w:val="18"/>
                <w:lang w:val="ru-RU"/>
              </w:rPr>
              <w:t xml:space="preserve"> руководству приложить дополнительные усилия для учета, маркировки и капитализации находящихся в МСЭ материальных активов в целях ведения более точных записей об активах, используя для этого процедуры и процессы, которые усилят координацию между различными Департаментами.</w:t>
            </w:r>
          </w:p>
        </w:tc>
        <w:tc>
          <w:tcPr>
            <w:tcW w:w="3544"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A86B08" w:rsidRPr="002C25C6" w:rsidRDefault="00A86B08" w:rsidP="00A86B08">
            <w:pPr>
              <w:spacing w:before="40" w:after="40"/>
              <w:rPr>
                <w:sz w:val="18"/>
                <w:szCs w:val="18"/>
                <w:lang w:val="ru-RU"/>
              </w:rPr>
            </w:pPr>
            <w:r w:rsidRPr="002C25C6">
              <w:rPr>
                <w:sz w:val="18"/>
                <w:szCs w:val="18"/>
                <w:lang w:val="ru-RU"/>
              </w:rPr>
              <w:t>Секретариат продолжит предпринятые усилия для обеспечения учета всех активов в соответствующих базах данных.</w:t>
            </w:r>
          </w:p>
        </w:tc>
        <w:tc>
          <w:tcPr>
            <w:tcW w:w="3674"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A86B08" w:rsidRPr="002C25C6" w:rsidRDefault="00A86B08" w:rsidP="00A86B08">
            <w:pPr>
              <w:spacing w:before="40" w:after="40"/>
              <w:rPr>
                <w:b/>
                <w:bCs/>
                <w:sz w:val="18"/>
                <w:szCs w:val="18"/>
                <w:lang w:val="ru-RU"/>
              </w:rPr>
            </w:pPr>
            <w:r w:rsidRPr="002C25C6">
              <w:rPr>
                <w:b/>
                <w:bCs/>
                <w:sz w:val="18"/>
                <w:szCs w:val="18"/>
                <w:lang w:val="ru-RU"/>
              </w:rPr>
              <w:t>Обновление</w:t>
            </w:r>
            <w:r w:rsidR="00204D14">
              <w:rPr>
                <w:b/>
                <w:bCs/>
                <w:sz w:val="18"/>
                <w:szCs w:val="18"/>
                <w:lang w:val="ru-RU"/>
              </w:rPr>
              <w:t>,</w:t>
            </w:r>
            <w:r w:rsidRPr="002C25C6">
              <w:rPr>
                <w:b/>
                <w:bCs/>
                <w:sz w:val="18"/>
                <w:szCs w:val="18"/>
                <w:lang w:val="ru-RU"/>
              </w:rPr>
              <w:t xml:space="preserve"> по состоянию на конец апреля 2017 г</w:t>
            </w:r>
            <w:r w:rsidRPr="00F872C0">
              <w:rPr>
                <w:sz w:val="18"/>
                <w:szCs w:val="18"/>
                <w:lang w:val="ru-RU"/>
              </w:rPr>
              <w:t>.</w:t>
            </w:r>
          </w:p>
          <w:p w:rsidR="00A86B08" w:rsidRPr="002C25C6" w:rsidRDefault="00A86B08" w:rsidP="00A86B08">
            <w:pPr>
              <w:spacing w:before="40" w:after="40"/>
              <w:rPr>
                <w:sz w:val="18"/>
                <w:szCs w:val="18"/>
                <w:lang w:val="ru-RU"/>
              </w:rPr>
            </w:pPr>
            <w:r w:rsidRPr="002C25C6">
              <w:rPr>
                <w:sz w:val="18"/>
                <w:szCs w:val="18"/>
                <w:lang w:val="ru-RU"/>
              </w:rPr>
              <w:t>При тесном сотрудничестве между различными Департаментами было обеспечено улучшение в плане согласованности данных двух модулей SAP, предназначенных для учета активов и управления оборудованием в штаб-квартире и региональных отделениях. Коме того, был выпущен служебный приказ о товарно-материальных запасах и защите оборудования МСЭ.</w:t>
            </w:r>
          </w:p>
        </w:tc>
        <w:tc>
          <w:tcPr>
            <w:tcW w:w="25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A86B08" w:rsidRPr="002C25C6" w:rsidRDefault="00A86B08" w:rsidP="00A86B08">
            <w:pPr>
              <w:spacing w:before="40" w:after="40"/>
              <w:rPr>
                <w:sz w:val="18"/>
                <w:szCs w:val="18"/>
                <w:lang w:val="ru-RU"/>
              </w:rPr>
            </w:pPr>
            <w:r w:rsidRPr="002C25C6">
              <w:rPr>
                <w:sz w:val="18"/>
                <w:szCs w:val="18"/>
                <w:lang w:val="ru-RU"/>
              </w:rPr>
              <w:t>В процессе выполнения.</w:t>
            </w:r>
          </w:p>
        </w:tc>
      </w:tr>
      <w:tr w:rsidR="00A86B08" w:rsidRPr="002C25C6" w:rsidTr="00A86B08">
        <w:trPr>
          <w:cantSplit/>
        </w:trPr>
        <w:tc>
          <w:tcPr>
            <w:tcW w:w="1493"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A86B08" w:rsidRPr="002C25C6" w:rsidRDefault="00A86B08" w:rsidP="00A86B08">
            <w:pPr>
              <w:spacing w:before="40" w:after="40"/>
              <w:rPr>
                <w:b/>
                <w:bCs/>
                <w:sz w:val="18"/>
                <w:szCs w:val="18"/>
                <w:lang w:val="ru-RU"/>
              </w:rPr>
            </w:pPr>
            <w:r w:rsidRPr="002C25C6">
              <w:rPr>
                <w:b/>
                <w:bCs/>
                <w:sz w:val="18"/>
                <w:szCs w:val="18"/>
                <w:lang w:val="ru-RU"/>
              </w:rPr>
              <w:t>Рек. 2/2015</w:t>
            </w:r>
          </w:p>
        </w:tc>
        <w:tc>
          <w:tcPr>
            <w:tcW w:w="332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A86B08" w:rsidRPr="002C25C6" w:rsidRDefault="00A86B08" w:rsidP="00A86B08">
            <w:pPr>
              <w:spacing w:before="40" w:after="40"/>
              <w:rPr>
                <w:b/>
                <w:bCs/>
                <w:sz w:val="18"/>
                <w:szCs w:val="18"/>
                <w:lang w:val="ru-RU"/>
              </w:rPr>
            </w:pPr>
            <w:bookmarkStart w:id="317" w:name="_Toc450991467"/>
            <w:r w:rsidRPr="002C25C6">
              <w:rPr>
                <w:b/>
                <w:bCs/>
                <w:sz w:val="18"/>
                <w:szCs w:val="18"/>
                <w:lang w:val="ru-RU"/>
              </w:rPr>
              <w:t>Необходимо пересмотреть коэффициенты амортизации</w:t>
            </w:r>
            <w:bookmarkEnd w:id="317"/>
          </w:p>
          <w:p w:rsidR="00A86B08" w:rsidRPr="002C25C6" w:rsidRDefault="00A86B08" w:rsidP="00A86B08">
            <w:pPr>
              <w:spacing w:before="40" w:after="40"/>
              <w:rPr>
                <w:sz w:val="18"/>
                <w:szCs w:val="18"/>
                <w:lang w:val="ru-RU"/>
              </w:rPr>
            </w:pPr>
            <w:r w:rsidRPr="002C25C6">
              <w:rPr>
                <w:sz w:val="18"/>
                <w:szCs w:val="18"/>
                <w:lang w:val="ru-RU"/>
              </w:rPr>
              <w:t xml:space="preserve">В связи с этим </w:t>
            </w:r>
            <w:r w:rsidRPr="00F872C0">
              <w:rPr>
                <w:sz w:val="18"/>
                <w:szCs w:val="18"/>
                <w:u w:val="single"/>
                <w:lang w:val="ru-RU"/>
              </w:rPr>
              <w:t>мы р</w:t>
            </w:r>
            <w:r w:rsidRPr="002C25C6">
              <w:rPr>
                <w:sz w:val="18"/>
                <w:szCs w:val="18"/>
                <w:u w:val="single"/>
                <w:lang w:val="ru-RU"/>
              </w:rPr>
              <w:t>екомендуем</w:t>
            </w:r>
            <w:r w:rsidRPr="002C25C6">
              <w:rPr>
                <w:sz w:val="18"/>
                <w:szCs w:val="18"/>
                <w:lang w:val="ru-RU"/>
              </w:rPr>
              <w:t xml:space="preserve"> руководству пересмотреть сроки использования различных категорий и относящиеся к ним коэффициенты амортизации в соответствии с практикой ООН. В случае уточнения категорий потребуется осуществить корректировку чистой балансовой стоимости.</w:t>
            </w:r>
          </w:p>
        </w:tc>
        <w:tc>
          <w:tcPr>
            <w:tcW w:w="3544"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A86B08" w:rsidRPr="002C25C6" w:rsidRDefault="00A86B08" w:rsidP="00A86B08">
            <w:pPr>
              <w:spacing w:before="40" w:after="40"/>
              <w:rPr>
                <w:sz w:val="18"/>
                <w:szCs w:val="18"/>
                <w:lang w:val="ru-RU"/>
              </w:rPr>
            </w:pPr>
            <w:r w:rsidRPr="002C25C6">
              <w:rPr>
                <w:sz w:val="18"/>
                <w:szCs w:val="18"/>
                <w:lang w:val="ru-RU"/>
              </w:rPr>
              <w:t>Секретариат проведет дополнительный анализ этой рекомендации и ее возможных последствий.</w:t>
            </w:r>
          </w:p>
        </w:tc>
        <w:tc>
          <w:tcPr>
            <w:tcW w:w="3674"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A86B08" w:rsidRPr="002C25C6" w:rsidRDefault="00A86B08" w:rsidP="00A86B08">
            <w:pPr>
              <w:spacing w:before="40" w:after="40"/>
              <w:rPr>
                <w:b/>
                <w:bCs/>
                <w:sz w:val="18"/>
                <w:szCs w:val="18"/>
                <w:lang w:val="ru-RU"/>
              </w:rPr>
            </w:pPr>
            <w:r w:rsidRPr="002C25C6">
              <w:rPr>
                <w:b/>
                <w:bCs/>
                <w:sz w:val="18"/>
                <w:szCs w:val="18"/>
                <w:lang w:val="ru-RU"/>
              </w:rPr>
              <w:t>Обновление</w:t>
            </w:r>
            <w:r w:rsidR="00204D14">
              <w:rPr>
                <w:b/>
                <w:bCs/>
                <w:sz w:val="18"/>
                <w:szCs w:val="18"/>
                <w:lang w:val="ru-RU"/>
              </w:rPr>
              <w:t>,</w:t>
            </w:r>
            <w:r w:rsidRPr="002C25C6">
              <w:rPr>
                <w:b/>
                <w:bCs/>
                <w:sz w:val="18"/>
                <w:szCs w:val="18"/>
                <w:lang w:val="ru-RU"/>
              </w:rPr>
              <w:t xml:space="preserve"> по состоянию на конец апреля 2017 г</w:t>
            </w:r>
            <w:r w:rsidRPr="00F872C0">
              <w:rPr>
                <w:sz w:val="18"/>
                <w:szCs w:val="18"/>
                <w:lang w:val="ru-RU"/>
              </w:rPr>
              <w:t>.</w:t>
            </w:r>
          </w:p>
          <w:p w:rsidR="00A86B08" w:rsidRPr="002C25C6" w:rsidRDefault="00A86B08" w:rsidP="00A86B08">
            <w:pPr>
              <w:spacing w:before="40" w:after="40"/>
              <w:rPr>
                <w:sz w:val="18"/>
                <w:szCs w:val="18"/>
                <w:lang w:val="ru-RU"/>
              </w:rPr>
            </w:pPr>
            <w:r w:rsidRPr="002C25C6">
              <w:rPr>
                <w:sz w:val="18"/>
                <w:szCs w:val="18"/>
                <w:lang w:val="ru-RU"/>
              </w:rPr>
              <w:t>Было проведено изучение вопроса о полезном сроке службы активов в сравнении с другими международными организациями, находящимися в Женеве. Рассматривается вопрос о возможных изменениях в сроках использования некоторых категорий активов, и решение о выполнении этой рекомендации связано со строительством нового здан</w:t>
            </w:r>
            <w:r w:rsidR="00F872C0">
              <w:rPr>
                <w:sz w:val="18"/>
                <w:szCs w:val="18"/>
                <w:lang w:val="ru-RU"/>
              </w:rPr>
              <w:t>ия штаб</w:t>
            </w:r>
            <w:r w:rsidR="00F872C0">
              <w:rPr>
                <w:sz w:val="18"/>
                <w:szCs w:val="18"/>
                <w:lang w:val="ru-RU"/>
              </w:rPr>
              <w:noBreakHyphen/>
            </w:r>
            <w:r w:rsidRPr="002C25C6">
              <w:rPr>
                <w:sz w:val="18"/>
                <w:szCs w:val="18"/>
                <w:lang w:val="ru-RU"/>
              </w:rPr>
              <w:t>квартиры МСЭ.</w:t>
            </w:r>
          </w:p>
        </w:tc>
        <w:tc>
          <w:tcPr>
            <w:tcW w:w="25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A86B08" w:rsidRPr="002C25C6" w:rsidRDefault="00A86B08" w:rsidP="00A86B08">
            <w:pPr>
              <w:spacing w:before="40" w:after="40"/>
              <w:rPr>
                <w:sz w:val="18"/>
                <w:szCs w:val="18"/>
                <w:lang w:val="ru-RU"/>
              </w:rPr>
            </w:pPr>
            <w:r w:rsidRPr="002C25C6">
              <w:rPr>
                <w:sz w:val="18"/>
                <w:szCs w:val="18"/>
                <w:lang w:val="ru-RU"/>
              </w:rPr>
              <w:t>В процессе выполнения.</w:t>
            </w:r>
          </w:p>
        </w:tc>
      </w:tr>
      <w:tr w:rsidR="00A86B08" w:rsidRPr="002C25C6" w:rsidTr="00A86B08">
        <w:trPr>
          <w:cantSplit/>
        </w:trPr>
        <w:tc>
          <w:tcPr>
            <w:tcW w:w="1493" w:type="dxa"/>
            <w:tcBorders>
              <w:top w:val="single" w:sz="4" w:space="0" w:color="auto"/>
              <w:left w:val="single" w:sz="4" w:space="0" w:color="auto"/>
              <w:bottom w:val="single" w:sz="4" w:space="0" w:color="auto"/>
              <w:right w:val="single" w:sz="4" w:space="0" w:color="auto"/>
            </w:tcBorders>
          </w:tcPr>
          <w:p w:rsidR="00A86B08" w:rsidRPr="002C25C6" w:rsidRDefault="00A86B08" w:rsidP="00A86B08">
            <w:pPr>
              <w:spacing w:before="40" w:after="40"/>
              <w:rPr>
                <w:b/>
                <w:bCs/>
                <w:sz w:val="18"/>
                <w:szCs w:val="18"/>
                <w:lang w:val="ru-RU"/>
              </w:rPr>
            </w:pPr>
            <w:r w:rsidRPr="002C25C6">
              <w:rPr>
                <w:b/>
                <w:bCs/>
                <w:sz w:val="18"/>
                <w:szCs w:val="18"/>
                <w:lang w:val="ru-RU"/>
              </w:rPr>
              <w:lastRenderedPageBreak/>
              <w:t>Рек. 3/2015</w:t>
            </w:r>
          </w:p>
        </w:tc>
        <w:tc>
          <w:tcPr>
            <w:tcW w:w="3322" w:type="dxa"/>
            <w:tcBorders>
              <w:top w:val="single" w:sz="4" w:space="0" w:color="auto"/>
              <w:left w:val="single" w:sz="4" w:space="0" w:color="auto"/>
              <w:bottom w:val="single" w:sz="4" w:space="0" w:color="auto"/>
              <w:right w:val="single" w:sz="4" w:space="0" w:color="auto"/>
            </w:tcBorders>
          </w:tcPr>
          <w:p w:rsidR="00A86B08" w:rsidRPr="002C25C6" w:rsidRDefault="00A86B08" w:rsidP="00A86B08">
            <w:pPr>
              <w:spacing w:before="40" w:after="40"/>
              <w:rPr>
                <w:b/>
                <w:bCs/>
                <w:sz w:val="18"/>
                <w:szCs w:val="18"/>
                <w:lang w:val="ru-RU"/>
              </w:rPr>
            </w:pPr>
            <w:bookmarkStart w:id="318" w:name="_Toc452157309"/>
            <w:bookmarkStart w:id="319" w:name="_Toc452158632"/>
            <w:r w:rsidRPr="002C25C6">
              <w:rPr>
                <w:b/>
                <w:bCs/>
                <w:sz w:val="18"/>
                <w:szCs w:val="18"/>
                <w:lang w:val="ru-RU"/>
              </w:rPr>
              <w:t>Стоит осуществить дальнейшее внедрение "управления материальными активами"</w:t>
            </w:r>
            <w:bookmarkEnd w:id="318"/>
            <w:bookmarkEnd w:id="319"/>
          </w:p>
          <w:p w:rsidR="00A86B08" w:rsidRPr="002C25C6" w:rsidRDefault="00A86B08" w:rsidP="00A86B08">
            <w:pPr>
              <w:spacing w:before="40" w:after="40"/>
              <w:rPr>
                <w:sz w:val="18"/>
                <w:szCs w:val="18"/>
                <w:lang w:val="ru-RU"/>
              </w:rPr>
            </w:pPr>
            <w:r w:rsidRPr="002C25C6">
              <w:rPr>
                <w:sz w:val="18"/>
                <w:szCs w:val="18"/>
                <w:lang w:val="ru-RU"/>
              </w:rPr>
              <w:t xml:space="preserve">Мы считаем, что необходимо дальнейшее совершенствование системы управления активами, и поэтому </w:t>
            </w:r>
            <w:r w:rsidRPr="00F872C0">
              <w:rPr>
                <w:sz w:val="18"/>
                <w:szCs w:val="18"/>
                <w:u w:val="single"/>
                <w:lang w:val="ru-RU"/>
              </w:rPr>
              <w:t>мы рекомендуем</w:t>
            </w:r>
            <w:r w:rsidRPr="002C25C6">
              <w:rPr>
                <w:sz w:val="18"/>
                <w:szCs w:val="18"/>
                <w:lang w:val="ru-RU"/>
              </w:rPr>
              <w:t xml:space="preserve"> руководству: i) рассмотреть осуществимость оценки статуса и уровня использования активов; </w:t>
            </w:r>
            <w:proofErr w:type="spellStart"/>
            <w:r w:rsidRPr="002C25C6">
              <w:rPr>
                <w:sz w:val="18"/>
                <w:szCs w:val="18"/>
                <w:lang w:val="ru-RU"/>
              </w:rPr>
              <w:t>ii</w:t>
            </w:r>
            <w:proofErr w:type="spellEnd"/>
            <w:r w:rsidRPr="002C25C6">
              <w:rPr>
                <w:sz w:val="18"/>
                <w:szCs w:val="18"/>
                <w:lang w:val="ru-RU"/>
              </w:rPr>
              <w:t xml:space="preserve">) периодически отслеживать моральное устаревание объектов, в том числе для оценки точности реестра активов; </w:t>
            </w:r>
            <w:proofErr w:type="spellStart"/>
            <w:r w:rsidRPr="002C25C6">
              <w:rPr>
                <w:sz w:val="18"/>
                <w:szCs w:val="18"/>
                <w:lang w:val="ru-RU"/>
              </w:rPr>
              <w:t>iii</w:t>
            </w:r>
            <w:proofErr w:type="spellEnd"/>
            <w:r w:rsidRPr="002C25C6">
              <w:rPr>
                <w:sz w:val="18"/>
                <w:szCs w:val="18"/>
                <w:lang w:val="ru-RU"/>
              </w:rPr>
              <w:t xml:space="preserve">) распространить эти процессы и процедуры на все департаменты и региональные отделения МСЭ. </w:t>
            </w:r>
          </w:p>
        </w:tc>
        <w:tc>
          <w:tcPr>
            <w:tcW w:w="3544" w:type="dxa"/>
            <w:tcBorders>
              <w:top w:val="single" w:sz="4" w:space="0" w:color="auto"/>
              <w:left w:val="single" w:sz="4" w:space="0" w:color="auto"/>
              <w:bottom w:val="single" w:sz="4" w:space="0" w:color="auto"/>
              <w:right w:val="single" w:sz="4" w:space="0" w:color="auto"/>
            </w:tcBorders>
          </w:tcPr>
          <w:p w:rsidR="00A86B08" w:rsidRPr="002C25C6" w:rsidRDefault="00A86B08" w:rsidP="00A86B08">
            <w:pPr>
              <w:spacing w:before="40" w:after="40"/>
              <w:rPr>
                <w:sz w:val="18"/>
                <w:szCs w:val="18"/>
                <w:lang w:val="ru-RU"/>
              </w:rPr>
            </w:pPr>
            <w:r w:rsidRPr="002C25C6">
              <w:rPr>
                <w:sz w:val="18"/>
                <w:szCs w:val="18"/>
                <w:lang w:val="ru-RU"/>
              </w:rPr>
              <w:t xml:space="preserve">Секретариат проведет дополнительный анализ этой рекомендации и представит внешним аудиторам отчет о своих выводах и заключениях. </w:t>
            </w:r>
          </w:p>
        </w:tc>
        <w:tc>
          <w:tcPr>
            <w:tcW w:w="3674" w:type="dxa"/>
            <w:tcBorders>
              <w:top w:val="single" w:sz="4" w:space="0" w:color="auto"/>
              <w:left w:val="single" w:sz="4" w:space="0" w:color="auto"/>
              <w:bottom w:val="single" w:sz="4" w:space="0" w:color="auto"/>
              <w:right w:val="single" w:sz="4" w:space="0" w:color="auto"/>
            </w:tcBorders>
          </w:tcPr>
          <w:p w:rsidR="00A86B08" w:rsidRPr="002C25C6" w:rsidRDefault="00A86B08" w:rsidP="00A86B08">
            <w:pPr>
              <w:spacing w:before="40" w:after="40"/>
              <w:rPr>
                <w:rFonts w:ascii="Arial Narrow" w:hAnsi="Arial Narrow"/>
                <w:sz w:val="20"/>
                <w:lang w:val="ru-RU" w:eastAsia="it-IT"/>
              </w:rPr>
            </w:pPr>
            <w:r w:rsidRPr="002C25C6">
              <w:rPr>
                <w:b/>
                <w:bCs/>
                <w:sz w:val="18"/>
                <w:szCs w:val="18"/>
                <w:lang w:val="ru-RU"/>
              </w:rPr>
              <w:t>Обновление</w:t>
            </w:r>
            <w:r w:rsidR="00204D14">
              <w:rPr>
                <w:b/>
                <w:bCs/>
                <w:sz w:val="18"/>
                <w:szCs w:val="18"/>
                <w:lang w:val="ru-RU"/>
              </w:rPr>
              <w:t>,</w:t>
            </w:r>
            <w:r w:rsidRPr="002C25C6">
              <w:rPr>
                <w:b/>
                <w:bCs/>
                <w:sz w:val="18"/>
                <w:szCs w:val="18"/>
                <w:lang w:val="ru-RU"/>
              </w:rPr>
              <w:t xml:space="preserve"> по состоянию на конец апреля 2017 г</w:t>
            </w:r>
            <w:r w:rsidRPr="00F872C0">
              <w:rPr>
                <w:sz w:val="18"/>
                <w:szCs w:val="18"/>
                <w:lang w:val="ru-RU"/>
              </w:rPr>
              <w:t>.</w:t>
            </w:r>
          </w:p>
          <w:p w:rsidR="00A86B08" w:rsidRPr="002C25C6" w:rsidRDefault="00A86B08" w:rsidP="00A86B08">
            <w:pPr>
              <w:spacing w:before="40" w:after="40"/>
              <w:rPr>
                <w:sz w:val="18"/>
                <w:szCs w:val="18"/>
                <w:lang w:val="ru-RU"/>
              </w:rPr>
            </w:pPr>
            <w:r w:rsidRPr="002C25C6">
              <w:rPr>
                <w:sz w:val="18"/>
                <w:szCs w:val="18"/>
                <w:lang w:val="ru-RU"/>
              </w:rPr>
              <w:t>В 2016 году в целях обновления учетных записей было проведено подробное изучение уровня использования активов находящихся в распоряжении сотрудников МСЭ, которое позволило, выявить в значительных объемах устаревшее оборудование. Готовятся новые процедуры управления оборудованием и его защиты в штаб-квартире и региональных отделениях.</w:t>
            </w:r>
          </w:p>
        </w:tc>
        <w:tc>
          <w:tcPr>
            <w:tcW w:w="2526" w:type="dxa"/>
            <w:tcBorders>
              <w:top w:val="single" w:sz="4" w:space="0" w:color="auto"/>
              <w:left w:val="single" w:sz="4" w:space="0" w:color="auto"/>
              <w:bottom w:val="single" w:sz="4" w:space="0" w:color="auto"/>
              <w:right w:val="single" w:sz="4" w:space="0" w:color="auto"/>
            </w:tcBorders>
          </w:tcPr>
          <w:p w:rsidR="00A86B08" w:rsidRPr="002C25C6" w:rsidRDefault="00A86B08" w:rsidP="00A86B08">
            <w:pPr>
              <w:spacing w:before="40" w:after="40"/>
              <w:rPr>
                <w:sz w:val="18"/>
                <w:szCs w:val="18"/>
                <w:lang w:val="ru-RU"/>
              </w:rPr>
            </w:pPr>
            <w:r w:rsidRPr="002C25C6">
              <w:rPr>
                <w:sz w:val="18"/>
                <w:szCs w:val="18"/>
                <w:lang w:val="ru-RU"/>
              </w:rPr>
              <w:t>В процессе выполнения.</w:t>
            </w:r>
          </w:p>
        </w:tc>
      </w:tr>
      <w:tr w:rsidR="004A430C" w:rsidRPr="002C25C6" w:rsidTr="00B50CE5">
        <w:trPr>
          <w:cantSplit/>
        </w:trPr>
        <w:tc>
          <w:tcPr>
            <w:tcW w:w="1493" w:type="dxa"/>
            <w:tcBorders>
              <w:top w:val="single" w:sz="4" w:space="0" w:color="auto"/>
              <w:left w:val="single" w:sz="4" w:space="0" w:color="auto"/>
              <w:bottom w:val="single" w:sz="4" w:space="0" w:color="auto"/>
              <w:right w:val="single" w:sz="4" w:space="0" w:color="auto"/>
            </w:tcBorders>
          </w:tcPr>
          <w:p w:rsidR="004A430C" w:rsidRPr="002C25C6" w:rsidRDefault="004A430C" w:rsidP="001D1DF9">
            <w:pPr>
              <w:spacing w:before="40" w:after="40"/>
              <w:rPr>
                <w:b/>
                <w:bCs/>
                <w:sz w:val="18"/>
                <w:szCs w:val="18"/>
                <w:lang w:val="ru-RU"/>
              </w:rPr>
            </w:pPr>
            <w:r w:rsidRPr="002C25C6">
              <w:rPr>
                <w:b/>
                <w:bCs/>
                <w:sz w:val="18"/>
                <w:szCs w:val="18"/>
                <w:lang w:val="ru-RU"/>
              </w:rPr>
              <w:lastRenderedPageBreak/>
              <w:t>Рек. 4/2015</w:t>
            </w:r>
          </w:p>
        </w:tc>
        <w:tc>
          <w:tcPr>
            <w:tcW w:w="3322" w:type="dxa"/>
            <w:tcBorders>
              <w:top w:val="single" w:sz="4" w:space="0" w:color="auto"/>
              <w:left w:val="single" w:sz="4" w:space="0" w:color="auto"/>
              <w:bottom w:val="single" w:sz="4" w:space="0" w:color="auto"/>
              <w:right w:val="single" w:sz="4" w:space="0" w:color="auto"/>
            </w:tcBorders>
          </w:tcPr>
          <w:p w:rsidR="004A430C" w:rsidRPr="002C25C6" w:rsidRDefault="004A430C" w:rsidP="00D12A14">
            <w:pPr>
              <w:spacing w:before="40" w:after="40"/>
              <w:rPr>
                <w:sz w:val="18"/>
                <w:szCs w:val="18"/>
                <w:lang w:val="ru-RU"/>
              </w:rPr>
            </w:pPr>
            <w:r w:rsidRPr="002C25C6">
              <w:rPr>
                <w:sz w:val="18"/>
                <w:szCs w:val="18"/>
                <w:lang w:val="ru-RU"/>
              </w:rPr>
              <w:t xml:space="preserve">С учетом цели оценки в соответствии с требованиями IPSAS 25, а также указаний, приведенных в пунктах 92–94 этого стандарта, </w:t>
            </w:r>
            <w:r w:rsidRPr="002C25C6">
              <w:rPr>
                <w:sz w:val="18"/>
                <w:szCs w:val="18"/>
                <w:u w:val="single"/>
                <w:lang w:val="ru-RU"/>
              </w:rPr>
              <w:t>мы рекомендуем</w:t>
            </w:r>
            <w:r w:rsidRPr="002C25C6">
              <w:rPr>
                <w:sz w:val="18"/>
                <w:szCs w:val="18"/>
                <w:lang w:val="ru-RU"/>
              </w:rPr>
              <w:t xml:space="preserve"> руководству в будущем просить актуария использовать ставку дисконтирования, равную доходности государственных долгосрочных облигаций Швейцарии.</w:t>
            </w:r>
          </w:p>
        </w:tc>
        <w:tc>
          <w:tcPr>
            <w:tcW w:w="3544" w:type="dxa"/>
            <w:tcBorders>
              <w:top w:val="single" w:sz="4" w:space="0" w:color="auto"/>
              <w:left w:val="single" w:sz="4" w:space="0" w:color="auto"/>
              <w:bottom w:val="single" w:sz="4" w:space="0" w:color="auto"/>
              <w:right w:val="single" w:sz="4" w:space="0" w:color="auto"/>
            </w:tcBorders>
          </w:tcPr>
          <w:p w:rsidR="004A430C" w:rsidRPr="002C25C6" w:rsidRDefault="004A430C" w:rsidP="00A86B08">
            <w:pPr>
              <w:spacing w:before="40" w:after="40"/>
              <w:rPr>
                <w:sz w:val="18"/>
                <w:szCs w:val="18"/>
                <w:lang w:val="ru-RU"/>
              </w:rPr>
            </w:pPr>
            <w:r w:rsidRPr="00F872C0">
              <w:rPr>
                <w:sz w:val="18"/>
                <w:szCs w:val="18"/>
                <w:lang w:val="ru-RU"/>
              </w:rPr>
              <w:t xml:space="preserve">Руководство принимает к сведению данную рекомендацию и обсудит этот вопрос с назначенным актуарием, с тем чтобы определить наиболее целесообразный подход с учетом передового опыта организаций системы ООН. </w:t>
            </w:r>
          </w:p>
        </w:tc>
        <w:tc>
          <w:tcPr>
            <w:tcW w:w="3674" w:type="dxa"/>
            <w:tcBorders>
              <w:top w:val="single" w:sz="4" w:space="0" w:color="auto"/>
              <w:left w:val="single" w:sz="4" w:space="0" w:color="auto"/>
              <w:bottom w:val="single" w:sz="4" w:space="0" w:color="auto"/>
              <w:right w:val="single" w:sz="4" w:space="0" w:color="auto"/>
            </w:tcBorders>
          </w:tcPr>
          <w:p w:rsidR="004A430C" w:rsidRPr="00F872C0" w:rsidRDefault="004A430C" w:rsidP="00C72F90">
            <w:pPr>
              <w:spacing w:before="40" w:after="40"/>
              <w:rPr>
                <w:sz w:val="18"/>
                <w:szCs w:val="18"/>
                <w:lang w:val="ru-RU"/>
              </w:rPr>
            </w:pPr>
            <w:r w:rsidRPr="00F872C0">
              <w:rPr>
                <w:b/>
                <w:bCs/>
                <w:sz w:val="18"/>
                <w:szCs w:val="18"/>
                <w:lang w:val="ru-RU"/>
              </w:rPr>
              <w:t>Обновление</w:t>
            </w:r>
            <w:r w:rsidR="00204D14">
              <w:rPr>
                <w:b/>
                <w:bCs/>
                <w:sz w:val="18"/>
                <w:szCs w:val="18"/>
                <w:lang w:val="ru-RU"/>
              </w:rPr>
              <w:t>,</w:t>
            </w:r>
            <w:r w:rsidRPr="00F872C0">
              <w:rPr>
                <w:b/>
                <w:bCs/>
                <w:sz w:val="18"/>
                <w:szCs w:val="18"/>
                <w:lang w:val="ru-RU"/>
              </w:rPr>
              <w:t xml:space="preserve"> по состоянию на конец апреля 2017 г</w:t>
            </w:r>
            <w:r w:rsidRPr="00F872C0">
              <w:rPr>
                <w:sz w:val="18"/>
                <w:szCs w:val="18"/>
                <w:lang w:val="ru-RU"/>
              </w:rPr>
              <w:t>.</w:t>
            </w:r>
          </w:p>
          <w:p w:rsidR="004A430C" w:rsidRPr="002C25C6" w:rsidRDefault="004A430C" w:rsidP="00A86B08">
            <w:pPr>
              <w:spacing w:before="40" w:after="40"/>
              <w:rPr>
                <w:sz w:val="18"/>
                <w:szCs w:val="18"/>
                <w:lang w:val="ru-RU"/>
              </w:rPr>
            </w:pPr>
            <w:r w:rsidRPr="002C25C6">
              <w:rPr>
                <w:sz w:val="18"/>
                <w:szCs w:val="18"/>
                <w:lang w:val="ru-RU"/>
              </w:rPr>
              <w:t>В соответствии с предложением о представлении заявок был выбран новый актуарий. Д</w:t>
            </w:r>
            <w:r w:rsidR="004749D6">
              <w:rPr>
                <w:sz w:val="18"/>
                <w:szCs w:val="18"/>
                <w:lang w:val="ru-RU"/>
              </w:rPr>
              <w:t>анная тема была обсуждена с ним</w:t>
            </w:r>
            <w:r w:rsidRPr="002C25C6">
              <w:rPr>
                <w:sz w:val="18"/>
                <w:szCs w:val="18"/>
                <w:lang w:val="ru-RU"/>
              </w:rPr>
              <w:t xml:space="preserve"> с учетом рекомендации, разработанной </w:t>
            </w:r>
            <w:r w:rsidRPr="00F872C0">
              <w:rPr>
                <w:sz w:val="18"/>
                <w:szCs w:val="18"/>
                <w:lang w:val="ru-RU"/>
              </w:rPr>
              <w:t>Рабочей группой по вопросам АСХИ и представленной Генеральной Ассамблее в декабре</w:t>
            </w:r>
            <w:r w:rsidR="00A67FE4">
              <w:rPr>
                <w:sz w:val="18"/>
                <w:szCs w:val="18"/>
                <w:lang w:val="ru-RU"/>
              </w:rPr>
              <w:t xml:space="preserve">. </w:t>
            </w:r>
            <w:r w:rsidRPr="002C25C6">
              <w:rPr>
                <w:sz w:val="18"/>
                <w:szCs w:val="18"/>
                <w:lang w:val="ru-RU"/>
              </w:rPr>
              <w:t xml:space="preserve">Эта рекомендация была разработана на основе результатов работы </w:t>
            </w:r>
            <w:r w:rsidRPr="00F872C0">
              <w:rPr>
                <w:sz w:val="18"/>
                <w:szCs w:val="18"/>
                <w:lang w:val="ru-RU"/>
              </w:rPr>
              <w:t>Целевой группы ООН по IPSAS, которая</w:t>
            </w:r>
            <w:r w:rsidR="00A67FE4">
              <w:rPr>
                <w:sz w:val="18"/>
                <w:szCs w:val="18"/>
                <w:lang w:val="ru-RU"/>
              </w:rPr>
              <w:t>,</w:t>
            </w:r>
            <w:r w:rsidRPr="00F872C0">
              <w:rPr>
                <w:sz w:val="18"/>
                <w:szCs w:val="18"/>
                <w:lang w:val="ru-RU"/>
              </w:rPr>
              <w:t xml:space="preserve"> в принципе</w:t>
            </w:r>
            <w:r w:rsidR="00A67FE4">
              <w:rPr>
                <w:sz w:val="18"/>
                <w:szCs w:val="18"/>
                <w:lang w:val="ru-RU"/>
              </w:rPr>
              <w:t>,</w:t>
            </w:r>
            <w:r w:rsidRPr="00F872C0">
              <w:rPr>
                <w:sz w:val="18"/>
                <w:szCs w:val="18"/>
                <w:lang w:val="ru-RU"/>
              </w:rPr>
              <w:t xml:space="preserve"> приняла решение о том, что показатели доходности за тридцатилетний период высококачественных корпоративных облигаций</w:t>
            </w:r>
            <w:r w:rsidRPr="002C25C6">
              <w:rPr>
                <w:sz w:val="18"/>
                <w:szCs w:val="18"/>
                <w:lang w:val="ru-RU"/>
              </w:rPr>
              <w:t xml:space="preserve"> </w:t>
            </w:r>
            <w:r w:rsidRPr="00F872C0">
              <w:rPr>
                <w:sz w:val="18"/>
                <w:szCs w:val="18"/>
                <w:lang w:val="ru-RU"/>
              </w:rPr>
              <w:t>будут ежегодно определят</w:t>
            </w:r>
            <w:r w:rsidR="004749D6">
              <w:rPr>
                <w:sz w:val="18"/>
                <w:szCs w:val="18"/>
                <w:lang w:val="ru-RU"/>
              </w:rPr>
              <w:t>ь</w:t>
            </w:r>
            <w:r w:rsidRPr="00F872C0">
              <w:rPr>
                <w:sz w:val="18"/>
                <w:szCs w:val="18"/>
                <w:lang w:val="ru-RU"/>
              </w:rPr>
              <w:t>ся для каждой из трех валют, в которых выплачиваются в подавляющем большинстве случаев пособия по медицинскому страхованию, т.</w:t>
            </w:r>
            <w:r w:rsidR="00A67FE4">
              <w:rPr>
                <w:sz w:val="18"/>
                <w:szCs w:val="18"/>
                <w:lang w:val="ru-RU"/>
              </w:rPr>
              <w:t> </w:t>
            </w:r>
            <w:r w:rsidRPr="00F872C0">
              <w:rPr>
                <w:sz w:val="18"/>
                <w:szCs w:val="18"/>
                <w:lang w:val="ru-RU"/>
              </w:rPr>
              <w:t>е. для долларов США, евро и швейцарских франков</w:t>
            </w:r>
            <w:r w:rsidRPr="002C25C6">
              <w:rPr>
                <w:sz w:val="18"/>
                <w:szCs w:val="18"/>
                <w:lang w:val="ru-RU"/>
              </w:rPr>
              <w:t>.</w:t>
            </w:r>
          </w:p>
        </w:tc>
        <w:tc>
          <w:tcPr>
            <w:tcW w:w="2526" w:type="dxa"/>
            <w:tcBorders>
              <w:top w:val="single" w:sz="4" w:space="0" w:color="auto"/>
              <w:left w:val="single" w:sz="4" w:space="0" w:color="auto"/>
              <w:bottom w:val="single" w:sz="4" w:space="0" w:color="auto"/>
              <w:right w:val="single" w:sz="4" w:space="0" w:color="auto"/>
            </w:tcBorders>
          </w:tcPr>
          <w:p w:rsidR="004A430C" w:rsidRPr="002C25C6" w:rsidRDefault="004A430C" w:rsidP="00D12A14">
            <w:pPr>
              <w:spacing w:before="40" w:after="40"/>
              <w:rPr>
                <w:sz w:val="18"/>
                <w:szCs w:val="18"/>
                <w:lang w:val="ru-RU"/>
              </w:rPr>
            </w:pPr>
            <w:r w:rsidRPr="002C25C6">
              <w:rPr>
                <w:sz w:val="18"/>
                <w:szCs w:val="18"/>
                <w:lang w:val="ru-RU"/>
              </w:rPr>
              <w:t>В процессе выполнения.</w:t>
            </w:r>
          </w:p>
        </w:tc>
      </w:tr>
      <w:tr w:rsidR="004A430C" w:rsidRPr="002C25C6" w:rsidTr="00B50CE5">
        <w:trPr>
          <w:cantSplit/>
        </w:trPr>
        <w:tc>
          <w:tcPr>
            <w:tcW w:w="1493" w:type="dxa"/>
            <w:tcBorders>
              <w:top w:val="single" w:sz="4" w:space="0" w:color="auto"/>
              <w:left w:val="single" w:sz="4" w:space="0" w:color="auto"/>
              <w:bottom w:val="single" w:sz="4" w:space="0" w:color="auto"/>
              <w:right w:val="single" w:sz="4" w:space="0" w:color="auto"/>
            </w:tcBorders>
          </w:tcPr>
          <w:p w:rsidR="004A430C" w:rsidRPr="002C25C6" w:rsidRDefault="004A430C" w:rsidP="00D44892">
            <w:pPr>
              <w:spacing w:before="40" w:after="40"/>
              <w:rPr>
                <w:b/>
                <w:bCs/>
                <w:sz w:val="18"/>
                <w:szCs w:val="18"/>
                <w:lang w:val="ru-RU"/>
              </w:rPr>
            </w:pPr>
            <w:r w:rsidRPr="002C25C6">
              <w:rPr>
                <w:b/>
                <w:bCs/>
                <w:sz w:val="18"/>
                <w:szCs w:val="18"/>
                <w:lang w:val="ru-RU"/>
              </w:rPr>
              <w:t>Рек. 5/2015</w:t>
            </w:r>
          </w:p>
        </w:tc>
        <w:tc>
          <w:tcPr>
            <w:tcW w:w="3322" w:type="dxa"/>
            <w:tcBorders>
              <w:top w:val="single" w:sz="4" w:space="0" w:color="auto"/>
              <w:left w:val="single" w:sz="4" w:space="0" w:color="auto"/>
              <w:bottom w:val="single" w:sz="4" w:space="0" w:color="auto"/>
              <w:right w:val="single" w:sz="4" w:space="0" w:color="auto"/>
            </w:tcBorders>
          </w:tcPr>
          <w:p w:rsidR="004A430C" w:rsidRPr="002C25C6" w:rsidRDefault="004A430C" w:rsidP="00D12A14">
            <w:pPr>
              <w:spacing w:before="40" w:after="40"/>
              <w:rPr>
                <w:sz w:val="18"/>
                <w:szCs w:val="18"/>
                <w:lang w:val="ru-RU"/>
              </w:rPr>
            </w:pPr>
            <w:r w:rsidRPr="002C25C6">
              <w:rPr>
                <w:sz w:val="18"/>
                <w:szCs w:val="18"/>
                <w:lang w:val="ru-RU"/>
              </w:rPr>
              <w:t xml:space="preserve">Мы подтверждаем тот факт, что руководство предоставляет прозрачным образом Совету и членам информацию о региональном присутствии в рамках нескольких документов и отчетов. Однако в целях более полного выполнения требований Резолюции 25 и в соответствии с принципами IPSAS </w:t>
            </w:r>
            <w:r w:rsidR="00A67FE4">
              <w:rPr>
                <w:sz w:val="18"/>
                <w:szCs w:val="18"/>
                <w:u w:val="single"/>
                <w:lang w:val="ru-RU"/>
              </w:rPr>
              <w:t>мы </w:t>
            </w:r>
            <w:r w:rsidRPr="002C25C6">
              <w:rPr>
                <w:sz w:val="18"/>
                <w:szCs w:val="18"/>
                <w:u w:val="single"/>
                <w:lang w:val="ru-RU"/>
              </w:rPr>
              <w:t>рекомендуем</w:t>
            </w:r>
            <w:r w:rsidRPr="002C25C6">
              <w:rPr>
                <w:sz w:val="18"/>
                <w:szCs w:val="18"/>
                <w:lang w:val="ru-RU"/>
              </w:rPr>
              <w:t xml:space="preserve"> добавить в отчет о финансовой деятельности информацию по сегменту регионального присутствия, содержащую подробные данные об ассигнованиях и фактических показателях региональных отделений.</w:t>
            </w:r>
          </w:p>
        </w:tc>
        <w:tc>
          <w:tcPr>
            <w:tcW w:w="3544" w:type="dxa"/>
            <w:tcBorders>
              <w:top w:val="single" w:sz="4" w:space="0" w:color="auto"/>
              <w:left w:val="single" w:sz="4" w:space="0" w:color="auto"/>
              <w:bottom w:val="single" w:sz="4" w:space="0" w:color="auto"/>
              <w:right w:val="single" w:sz="4" w:space="0" w:color="auto"/>
            </w:tcBorders>
          </w:tcPr>
          <w:p w:rsidR="004A430C" w:rsidRPr="002C25C6" w:rsidRDefault="004A430C" w:rsidP="00D12A14">
            <w:pPr>
              <w:spacing w:before="40" w:after="40"/>
              <w:rPr>
                <w:sz w:val="18"/>
                <w:szCs w:val="18"/>
                <w:lang w:val="ru-RU"/>
              </w:rPr>
            </w:pPr>
            <w:r w:rsidRPr="002C25C6">
              <w:rPr>
                <w:sz w:val="18"/>
                <w:szCs w:val="18"/>
                <w:lang w:val="ru-RU"/>
              </w:rPr>
              <w:t>Данная рекомендация будет учтена при подготовке отчета о финансовой деятельности за 2016 год, который будет представлен Совету на его сессии 2017 года. В отчет о финансовой деятельности за 2017 год будет включено отдельное примечание, касающееся регионального присутствия, и финансовая таблица.</w:t>
            </w:r>
          </w:p>
        </w:tc>
        <w:tc>
          <w:tcPr>
            <w:tcW w:w="3674" w:type="dxa"/>
            <w:tcBorders>
              <w:top w:val="single" w:sz="4" w:space="0" w:color="auto"/>
              <w:left w:val="single" w:sz="4" w:space="0" w:color="auto"/>
              <w:bottom w:val="single" w:sz="4" w:space="0" w:color="auto"/>
              <w:right w:val="single" w:sz="4" w:space="0" w:color="auto"/>
            </w:tcBorders>
          </w:tcPr>
          <w:p w:rsidR="004A430C" w:rsidRPr="00F872C0" w:rsidRDefault="004A430C" w:rsidP="00D12A14">
            <w:pPr>
              <w:spacing w:before="40" w:after="40"/>
              <w:rPr>
                <w:sz w:val="18"/>
                <w:szCs w:val="18"/>
                <w:lang w:val="ru-RU"/>
              </w:rPr>
            </w:pPr>
            <w:r w:rsidRPr="00F872C0">
              <w:rPr>
                <w:b/>
                <w:bCs/>
                <w:sz w:val="18"/>
                <w:szCs w:val="18"/>
                <w:lang w:val="ru-RU"/>
              </w:rPr>
              <w:t>Обновление</w:t>
            </w:r>
            <w:r w:rsidR="00204D14">
              <w:rPr>
                <w:b/>
                <w:bCs/>
                <w:sz w:val="18"/>
                <w:szCs w:val="18"/>
                <w:lang w:val="ru-RU"/>
              </w:rPr>
              <w:t>,</w:t>
            </w:r>
            <w:r w:rsidRPr="00F872C0">
              <w:rPr>
                <w:b/>
                <w:bCs/>
                <w:sz w:val="18"/>
                <w:szCs w:val="18"/>
                <w:lang w:val="ru-RU"/>
              </w:rPr>
              <w:t xml:space="preserve"> по состоянию на конец апреля 2017 г</w:t>
            </w:r>
            <w:r w:rsidRPr="00F872C0">
              <w:rPr>
                <w:sz w:val="18"/>
                <w:szCs w:val="18"/>
                <w:lang w:val="ru-RU"/>
              </w:rPr>
              <w:t>.</w:t>
            </w:r>
          </w:p>
          <w:p w:rsidR="004A430C" w:rsidRPr="002C25C6" w:rsidRDefault="004A430C" w:rsidP="00A86B08">
            <w:pPr>
              <w:spacing w:before="40" w:after="40"/>
              <w:rPr>
                <w:sz w:val="18"/>
                <w:szCs w:val="18"/>
                <w:lang w:val="ru-RU"/>
              </w:rPr>
            </w:pPr>
            <w:r w:rsidRPr="00F872C0">
              <w:rPr>
                <w:sz w:val="18"/>
                <w:szCs w:val="18"/>
                <w:lang w:val="ru-RU"/>
              </w:rPr>
              <w:t xml:space="preserve">В отчет о </w:t>
            </w:r>
            <w:r w:rsidR="00A67FE4">
              <w:rPr>
                <w:sz w:val="18"/>
                <w:szCs w:val="18"/>
                <w:lang w:val="ru-RU"/>
              </w:rPr>
              <w:t>финансовой деятельности за 2016 </w:t>
            </w:r>
            <w:r w:rsidRPr="00F872C0">
              <w:rPr>
                <w:sz w:val="18"/>
                <w:szCs w:val="18"/>
                <w:lang w:val="ru-RU"/>
              </w:rPr>
              <w:t>год было включено отдельное примечание, касающееся регионального присутствия, и финансовая таблица</w:t>
            </w:r>
            <w:r w:rsidRPr="002C25C6">
              <w:rPr>
                <w:sz w:val="18"/>
                <w:szCs w:val="18"/>
                <w:lang w:val="ru-RU"/>
              </w:rPr>
              <w:t>.</w:t>
            </w:r>
          </w:p>
        </w:tc>
        <w:tc>
          <w:tcPr>
            <w:tcW w:w="2526" w:type="dxa"/>
            <w:tcBorders>
              <w:top w:val="single" w:sz="4" w:space="0" w:color="auto"/>
              <w:left w:val="single" w:sz="4" w:space="0" w:color="auto"/>
              <w:bottom w:val="single" w:sz="4" w:space="0" w:color="auto"/>
              <w:right w:val="single" w:sz="4" w:space="0" w:color="auto"/>
            </w:tcBorders>
          </w:tcPr>
          <w:p w:rsidR="004A430C" w:rsidRPr="002C25C6" w:rsidRDefault="004A430C" w:rsidP="00856ABA">
            <w:pPr>
              <w:spacing w:before="40" w:after="40"/>
              <w:rPr>
                <w:sz w:val="18"/>
                <w:szCs w:val="18"/>
                <w:lang w:val="ru-RU"/>
              </w:rPr>
            </w:pPr>
            <w:r w:rsidRPr="002C25C6">
              <w:rPr>
                <w:sz w:val="18"/>
                <w:szCs w:val="18"/>
                <w:lang w:val="ru-RU"/>
              </w:rPr>
              <w:t>Выполнен</w:t>
            </w:r>
            <w:r w:rsidR="00856ABA">
              <w:rPr>
                <w:sz w:val="18"/>
                <w:szCs w:val="18"/>
                <w:lang w:val="ru-RU"/>
              </w:rPr>
              <w:t>о</w:t>
            </w:r>
            <w:r w:rsidRPr="002C25C6">
              <w:rPr>
                <w:sz w:val="18"/>
                <w:szCs w:val="18"/>
                <w:lang w:val="ru-RU"/>
              </w:rPr>
              <w:t>.</w:t>
            </w:r>
          </w:p>
        </w:tc>
      </w:tr>
      <w:tr w:rsidR="004A430C" w:rsidRPr="002C25C6" w:rsidTr="00B50CE5">
        <w:trPr>
          <w:cantSplit/>
        </w:trPr>
        <w:tc>
          <w:tcPr>
            <w:tcW w:w="1493" w:type="dxa"/>
            <w:tcBorders>
              <w:top w:val="single" w:sz="4" w:space="0" w:color="auto"/>
              <w:left w:val="single" w:sz="4" w:space="0" w:color="auto"/>
              <w:bottom w:val="single" w:sz="4" w:space="0" w:color="auto"/>
              <w:right w:val="single" w:sz="4" w:space="0" w:color="auto"/>
            </w:tcBorders>
          </w:tcPr>
          <w:p w:rsidR="004A430C" w:rsidRPr="002C25C6" w:rsidRDefault="004A430C" w:rsidP="00BF538D">
            <w:pPr>
              <w:spacing w:before="40" w:after="40"/>
              <w:rPr>
                <w:b/>
                <w:bCs/>
                <w:sz w:val="18"/>
                <w:szCs w:val="18"/>
                <w:lang w:val="ru-RU"/>
              </w:rPr>
            </w:pPr>
            <w:r w:rsidRPr="002C25C6">
              <w:rPr>
                <w:b/>
                <w:bCs/>
                <w:sz w:val="18"/>
                <w:szCs w:val="18"/>
                <w:lang w:val="ru-RU"/>
              </w:rPr>
              <w:lastRenderedPageBreak/>
              <w:t>Рек. 2/2014</w:t>
            </w:r>
          </w:p>
        </w:tc>
        <w:tc>
          <w:tcPr>
            <w:tcW w:w="3322" w:type="dxa"/>
            <w:tcBorders>
              <w:top w:val="single" w:sz="4" w:space="0" w:color="auto"/>
              <w:left w:val="single" w:sz="4" w:space="0" w:color="auto"/>
              <w:bottom w:val="single" w:sz="4" w:space="0" w:color="auto"/>
              <w:right w:val="single" w:sz="4" w:space="0" w:color="auto"/>
            </w:tcBorders>
          </w:tcPr>
          <w:p w:rsidR="004A430C" w:rsidRPr="002C25C6" w:rsidRDefault="004A430C" w:rsidP="00D12A14">
            <w:pPr>
              <w:spacing w:before="40" w:after="40"/>
              <w:rPr>
                <w:sz w:val="18"/>
                <w:szCs w:val="18"/>
                <w:lang w:val="ru-RU"/>
              </w:rPr>
            </w:pPr>
            <w:r w:rsidRPr="002C25C6">
              <w:rPr>
                <w:sz w:val="18"/>
                <w:szCs w:val="18"/>
                <w:u w:val="single"/>
                <w:lang w:val="ru-RU"/>
              </w:rPr>
              <w:t>Мы рекомендуем</w:t>
            </w:r>
            <w:r w:rsidRPr="002C25C6">
              <w:rPr>
                <w:sz w:val="18"/>
                <w:szCs w:val="18"/>
                <w:lang w:val="ru-RU"/>
              </w:rPr>
              <w:t xml:space="preserve"> руководству приступить к процедуре проведения тендера, чтобы отобрать актуария для осуществления актуарных оценок, связанных со стандартом IPSAS 25.</w:t>
            </w:r>
          </w:p>
        </w:tc>
        <w:tc>
          <w:tcPr>
            <w:tcW w:w="3544" w:type="dxa"/>
            <w:tcBorders>
              <w:top w:val="single" w:sz="4" w:space="0" w:color="auto"/>
              <w:left w:val="single" w:sz="4" w:space="0" w:color="auto"/>
              <w:bottom w:val="single" w:sz="4" w:space="0" w:color="auto"/>
              <w:right w:val="single" w:sz="4" w:space="0" w:color="auto"/>
            </w:tcBorders>
          </w:tcPr>
          <w:p w:rsidR="004A430C" w:rsidRPr="002C25C6" w:rsidRDefault="004A430C" w:rsidP="00D12A14">
            <w:pPr>
              <w:spacing w:before="40" w:after="40"/>
              <w:rPr>
                <w:sz w:val="18"/>
                <w:szCs w:val="18"/>
                <w:lang w:val="ru-RU"/>
              </w:rPr>
            </w:pPr>
            <w:r w:rsidRPr="002C25C6">
              <w:rPr>
                <w:sz w:val="18"/>
                <w:szCs w:val="18"/>
                <w:lang w:val="ru-RU"/>
              </w:rPr>
              <w:t>При проведении тендера в отношении актуарных оценок по стандарту IPSAS 25 неукоснительно соблюдаются и будут соблюдаться правила производства закупок.</w:t>
            </w:r>
          </w:p>
        </w:tc>
        <w:tc>
          <w:tcPr>
            <w:tcW w:w="3674" w:type="dxa"/>
            <w:tcBorders>
              <w:top w:val="single" w:sz="4" w:space="0" w:color="auto"/>
              <w:left w:val="single" w:sz="4" w:space="0" w:color="auto"/>
              <w:bottom w:val="single" w:sz="4" w:space="0" w:color="auto"/>
              <w:right w:val="single" w:sz="4" w:space="0" w:color="auto"/>
            </w:tcBorders>
          </w:tcPr>
          <w:p w:rsidR="004A430C" w:rsidRPr="002C25C6" w:rsidRDefault="004A430C" w:rsidP="00B0646F">
            <w:pPr>
              <w:spacing w:before="40" w:after="40"/>
              <w:rPr>
                <w:sz w:val="18"/>
                <w:szCs w:val="18"/>
                <w:lang w:val="ru-RU"/>
              </w:rPr>
            </w:pPr>
            <w:bookmarkStart w:id="320" w:name="lt_pId413"/>
            <w:r w:rsidRPr="002C25C6">
              <w:rPr>
                <w:sz w:val="18"/>
                <w:szCs w:val="18"/>
                <w:lang w:val="ru-RU"/>
              </w:rPr>
              <w:t>МСЭ связан контрактом до конца 2015 г</w:t>
            </w:r>
            <w:r w:rsidR="004749D6">
              <w:rPr>
                <w:sz w:val="18"/>
                <w:szCs w:val="18"/>
                <w:lang w:val="ru-RU"/>
              </w:rPr>
              <w:t>ода</w:t>
            </w:r>
            <w:r w:rsidRPr="002C25C6">
              <w:rPr>
                <w:sz w:val="18"/>
                <w:szCs w:val="18"/>
                <w:lang w:val="ru-RU"/>
              </w:rPr>
              <w:t>.</w:t>
            </w:r>
            <w:bookmarkEnd w:id="320"/>
          </w:p>
          <w:p w:rsidR="004A430C" w:rsidRPr="002C25C6" w:rsidRDefault="004A430C" w:rsidP="00B0646F">
            <w:pPr>
              <w:spacing w:before="40" w:after="40"/>
              <w:rPr>
                <w:sz w:val="18"/>
                <w:szCs w:val="18"/>
                <w:lang w:val="ru-RU"/>
              </w:rPr>
            </w:pPr>
            <w:bookmarkStart w:id="321" w:name="lt_pId414"/>
            <w:r w:rsidRPr="002C25C6">
              <w:rPr>
                <w:sz w:val="18"/>
                <w:szCs w:val="18"/>
                <w:lang w:val="ru-RU"/>
              </w:rPr>
              <w:t>В соответствии с действующими правилами и нормами производства закупок предложение о представлении заявок будет опубликовано в начале 2016 г</w:t>
            </w:r>
            <w:r w:rsidR="00856ABA">
              <w:rPr>
                <w:sz w:val="18"/>
                <w:szCs w:val="18"/>
                <w:lang w:val="ru-RU"/>
              </w:rPr>
              <w:t>ода</w:t>
            </w:r>
            <w:r w:rsidRPr="002C25C6">
              <w:rPr>
                <w:sz w:val="18"/>
                <w:szCs w:val="18"/>
                <w:lang w:val="ru-RU"/>
              </w:rPr>
              <w:t>.</w:t>
            </w:r>
            <w:bookmarkEnd w:id="321"/>
          </w:p>
          <w:p w:rsidR="00E563C9" w:rsidRDefault="004A430C" w:rsidP="00B0646F">
            <w:pPr>
              <w:spacing w:before="40" w:after="40"/>
              <w:rPr>
                <w:sz w:val="18"/>
                <w:szCs w:val="18"/>
                <w:lang w:val="ru-RU"/>
              </w:rPr>
            </w:pPr>
            <w:bookmarkStart w:id="322" w:name="lt_pId415"/>
            <w:r w:rsidRPr="002C25C6">
              <w:rPr>
                <w:b/>
                <w:bCs/>
                <w:sz w:val="18"/>
                <w:szCs w:val="18"/>
                <w:lang w:val="ru-RU"/>
              </w:rPr>
              <w:t>Обновление</w:t>
            </w:r>
            <w:r w:rsidR="00204D14">
              <w:rPr>
                <w:b/>
                <w:bCs/>
                <w:sz w:val="18"/>
                <w:szCs w:val="18"/>
                <w:lang w:val="ru-RU"/>
              </w:rPr>
              <w:t>,</w:t>
            </w:r>
            <w:r w:rsidRPr="002C25C6">
              <w:rPr>
                <w:b/>
                <w:bCs/>
                <w:sz w:val="18"/>
                <w:szCs w:val="18"/>
                <w:lang w:val="ru-RU"/>
              </w:rPr>
              <w:t xml:space="preserve"> по состоянию на конец января 2016 г</w:t>
            </w:r>
            <w:r w:rsidRPr="00E563C9">
              <w:rPr>
                <w:sz w:val="18"/>
                <w:szCs w:val="18"/>
                <w:lang w:val="ru-RU"/>
              </w:rPr>
              <w:t>.</w:t>
            </w:r>
          </w:p>
          <w:p w:rsidR="004A430C" w:rsidRPr="002C25C6" w:rsidRDefault="004A430C" w:rsidP="00B0646F">
            <w:pPr>
              <w:spacing w:before="40" w:after="40"/>
              <w:rPr>
                <w:sz w:val="18"/>
                <w:szCs w:val="18"/>
                <w:lang w:val="ru-RU"/>
              </w:rPr>
            </w:pPr>
            <w:r w:rsidRPr="002C25C6">
              <w:rPr>
                <w:sz w:val="18"/>
                <w:szCs w:val="18"/>
                <w:lang w:val="ru-RU"/>
              </w:rPr>
              <w:t xml:space="preserve">В начале марта </w:t>
            </w:r>
            <w:proofErr w:type="spellStart"/>
            <w:r w:rsidRPr="002C25C6">
              <w:rPr>
                <w:sz w:val="18"/>
                <w:szCs w:val="18"/>
                <w:lang w:val="ru-RU"/>
              </w:rPr>
              <w:t>HRMD</w:t>
            </w:r>
            <w:proofErr w:type="spellEnd"/>
            <w:r w:rsidRPr="002C25C6">
              <w:rPr>
                <w:sz w:val="18"/>
                <w:szCs w:val="18"/>
                <w:lang w:val="ru-RU"/>
              </w:rPr>
              <w:t xml:space="preserve"> и </w:t>
            </w:r>
            <w:proofErr w:type="spellStart"/>
            <w:r w:rsidRPr="002C25C6">
              <w:rPr>
                <w:sz w:val="18"/>
                <w:szCs w:val="18"/>
                <w:lang w:val="ru-RU"/>
              </w:rPr>
              <w:t>FRMD</w:t>
            </w:r>
            <w:proofErr w:type="spellEnd"/>
            <w:r w:rsidRPr="002C25C6">
              <w:rPr>
                <w:sz w:val="18"/>
                <w:szCs w:val="18"/>
                <w:lang w:val="ru-RU"/>
              </w:rPr>
              <w:t xml:space="preserve"> начнут обсуждение для определения требований МСЭ, и предложение о представлении заявок должно быть опубликовано к концу апреля.</w:t>
            </w:r>
            <w:bookmarkEnd w:id="322"/>
          </w:p>
          <w:p w:rsidR="00E563C9" w:rsidRDefault="004A430C" w:rsidP="00856ABA">
            <w:pPr>
              <w:spacing w:before="40" w:after="40"/>
              <w:rPr>
                <w:sz w:val="18"/>
                <w:szCs w:val="18"/>
                <w:lang w:val="ru-RU"/>
              </w:rPr>
            </w:pPr>
            <w:bookmarkStart w:id="323" w:name="lt_pId416"/>
            <w:r w:rsidRPr="002C25C6">
              <w:rPr>
                <w:b/>
                <w:bCs/>
                <w:sz w:val="18"/>
                <w:szCs w:val="18"/>
                <w:lang w:val="ru-RU"/>
              </w:rPr>
              <w:t>Обновление</w:t>
            </w:r>
            <w:r w:rsidR="00204D14">
              <w:rPr>
                <w:b/>
                <w:bCs/>
                <w:sz w:val="18"/>
                <w:szCs w:val="18"/>
                <w:lang w:val="ru-RU"/>
              </w:rPr>
              <w:t>,</w:t>
            </w:r>
            <w:r w:rsidRPr="002C25C6">
              <w:rPr>
                <w:b/>
                <w:bCs/>
                <w:sz w:val="18"/>
                <w:szCs w:val="18"/>
                <w:lang w:val="ru-RU"/>
              </w:rPr>
              <w:t xml:space="preserve"> по состоянию на конец февраля 2016 г</w:t>
            </w:r>
            <w:r w:rsidRPr="00E563C9">
              <w:rPr>
                <w:sz w:val="18"/>
                <w:szCs w:val="18"/>
                <w:lang w:val="ru-RU"/>
              </w:rPr>
              <w:t>.</w:t>
            </w:r>
          </w:p>
          <w:bookmarkEnd w:id="323"/>
          <w:p w:rsidR="004A430C" w:rsidRPr="002C25C6" w:rsidRDefault="004A430C" w:rsidP="00856ABA">
            <w:pPr>
              <w:spacing w:before="40" w:after="40"/>
              <w:rPr>
                <w:sz w:val="18"/>
                <w:szCs w:val="18"/>
                <w:lang w:val="ru-RU"/>
              </w:rPr>
            </w:pPr>
            <w:r w:rsidRPr="002C25C6">
              <w:rPr>
                <w:sz w:val="18"/>
                <w:szCs w:val="18"/>
                <w:lang w:val="ru-RU"/>
              </w:rPr>
              <w:t>В марте 2016 г</w:t>
            </w:r>
            <w:r w:rsidR="00856ABA">
              <w:rPr>
                <w:sz w:val="18"/>
                <w:szCs w:val="18"/>
                <w:lang w:val="ru-RU"/>
              </w:rPr>
              <w:t>ода</w:t>
            </w:r>
            <w:r w:rsidRPr="002C25C6">
              <w:rPr>
                <w:sz w:val="18"/>
                <w:szCs w:val="18"/>
                <w:lang w:val="ru-RU"/>
              </w:rPr>
              <w:t xml:space="preserve"> Департамент управления финансовыми ресурсами (</w:t>
            </w:r>
            <w:proofErr w:type="spellStart"/>
            <w:r w:rsidRPr="002C25C6">
              <w:rPr>
                <w:sz w:val="18"/>
                <w:szCs w:val="18"/>
                <w:lang w:val="ru-RU"/>
              </w:rPr>
              <w:t>FRMD</w:t>
            </w:r>
            <w:proofErr w:type="spellEnd"/>
            <w:r w:rsidRPr="002C25C6">
              <w:rPr>
                <w:sz w:val="18"/>
                <w:szCs w:val="18"/>
                <w:lang w:val="ru-RU"/>
              </w:rPr>
              <w:t>) в сотрудничестве с Департаментом управления людскими ресурсами (</w:t>
            </w:r>
            <w:proofErr w:type="spellStart"/>
            <w:r w:rsidRPr="002C25C6">
              <w:rPr>
                <w:sz w:val="18"/>
                <w:szCs w:val="18"/>
                <w:lang w:val="ru-RU"/>
              </w:rPr>
              <w:t>HRMD</w:t>
            </w:r>
            <w:proofErr w:type="spellEnd"/>
            <w:r w:rsidRPr="002C25C6">
              <w:rPr>
                <w:sz w:val="18"/>
                <w:szCs w:val="18"/>
                <w:lang w:val="ru-RU"/>
              </w:rPr>
              <w:t>) определит требования, связанные с полным актуарным исследованием по стандарту IPSAS 25. Соответствующее предложение о представлении заявок планируется опубликовать к концу апреля 2016 г</w:t>
            </w:r>
            <w:r w:rsidR="00856ABA">
              <w:rPr>
                <w:sz w:val="18"/>
                <w:szCs w:val="18"/>
                <w:lang w:val="ru-RU"/>
              </w:rPr>
              <w:t>ода</w:t>
            </w:r>
            <w:r w:rsidRPr="002C25C6">
              <w:rPr>
                <w:sz w:val="18"/>
                <w:szCs w:val="18"/>
                <w:lang w:val="ru-RU"/>
              </w:rPr>
              <w:t>.</w:t>
            </w:r>
          </w:p>
          <w:p w:rsidR="00E563C9" w:rsidRDefault="004A430C" w:rsidP="00A86B08">
            <w:pPr>
              <w:spacing w:before="40" w:after="40"/>
              <w:rPr>
                <w:sz w:val="18"/>
                <w:szCs w:val="18"/>
                <w:lang w:val="ru-RU"/>
              </w:rPr>
            </w:pPr>
            <w:r w:rsidRPr="002C25C6">
              <w:rPr>
                <w:b/>
                <w:bCs/>
                <w:sz w:val="18"/>
                <w:szCs w:val="18"/>
                <w:lang w:val="ru-RU"/>
              </w:rPr>
              <w:t>Обновление</w:t>
            </w:r>
            <w:r w:rsidR="00204D14">
              <w:rPr>
                <w:b/>
                <w:bCs/>
                <w:sz w:val="18"/>
                <w:szCs w:val="18"/>
                <w:lang w:val="ru-RU"/>
              </w:rPr>
              <w:t>,</w:t>
            </w:r>
            <w:r w:rsidRPr="002C25C6">
              <w:rPr>
                <w:b/>
                <w:bCs/>
                <w:sz w:val="18"/>
                <w:szCs w:val="18"/>
                <w:lang w:val="ru-RU"/>
              </w:rPr>
              <w:t xml:space="preserve"> по состоянию на конец апреля 2017 г</w:t>
            </w:r>
            <w:r w:rsidRPr="00A67FE4">
              <w:rPr>
                <w:sz w:val="18"/>
                <w:szCs w:val="18"/>
                <w:lang w:val="ru-RU"/>
              </w:rPr>
              <w:t>.</w:t>
            </w:r>
          </w:p>
          <w:p w:rsidR="004A430C" w:rsidRPr="002C25C6" w:rsidRDefault="004A430C" w:rsidP="00A86B08">
            <w:pPr>
              <w:spacing w:before="40" w:after="40"/>
              <w:rPr>
                <w:sz w:val="18"/>
                <w:szCs w:val="18"/>
                <w:lang w:val="ru-RU"/>
              </w:rPr>
            </w:pPr>
            <w:r w:rsidRPr="002C25C6">
              <w:rPr>
                <w:sz w:val="18"/>
                <w:szCs w:val="18"/>
                <w:lang w:val="ru-RU"/>
              </w:rPr>
              <w:t>Был отобран новый актуарий</w:t>
            </w:r>
            <w:r w:rsidRPr="00A67FE4">
              <w:rPr>
                <w:sz w:val="18"/>
                <w:szCs w:val="18"/>
                <w:lang w:val="ru-RU"/>
              </w:rPr>
              <w:t>, который будет проводить актуарную оценку, соответствующую стандарту IPSAS 25.</w:t>
            </w:r>
            <w:r w:rsidRPr="002C25C6">
              <w:rPr>
                <w:sz w:val="18"/>
                <w:szCs w:val="18"/>
                <w:lang w:val="ru-RU"/>
              </w:rPr>
              <w:t xml:space="preserve"> Результаты исследования включены в </w:t>
            </w:r>
            <w:r w:rsidRPr="00A67FE4">
              <w:rPr>
                <w:sz w:val="18"/>
                <w:szCs w:val="18"/>
                <w:lang w:val="ru-RU"/>
              </w:rPr>
              <w:t>отчет о финансовой деятельности за 2016 год</w:t>
            </w:r>
            <w:r w:rsidRPr="002C25C6">
              <w:rPr>
                <w:sz w:val="18"/>
                <w:szCs w:val="18"/>
                <w:lang w:val="ru-RU"/>
              </w:rPr>
              <w:t>.</w:t>
            </w:r>
          </w:p>
        </w:tc>
        <w:tc>
          <w:tcPr>
            <w:tcW w:w="2526" w:type="dxa"/>
            <w:tcBorders>
              <w:top w:val="single" w:sz="4" w:space="0" w:color="auto"/>
              <w:left w:val="single" w:sz="4" w:space="0" w:color="auto"/>
              <w:bottom w:val="single" w:sz="4" w:space="0" w:color="auto"/>
              <w:right w:val="single" w:sz="4" w:space="0" w:color="auto"/>
            </w:tcBorders>
          </w:tcPr>
          <w:p w:rsidR="004A430C" w:rsidRPr="002C25C6" w:rsidRDefault="00856ABA" w:rsidP="00856ABA">
            <w:pPr>
              <w:spacing w:before="40" w:after="40"/>
              <w:rPr>
                <w:sz w:val="18"/>
                <w:szCs w:val="18"/>
                <w:lang w:val="ru-RU"/>
              </w:rPr>
            </w:pPr>
            <w:r>
              <w:rPr>
                <w:sz w:val="18"/>
                <w:szCs w:val="18"/>
                <w:lang w:val="ru-RU"/>
              </w:rPr>
              <w:t>Выполнено.</w:t>
            </w:r>
          </w:p>
        </w:tc>
      </w:tr>
      <w:tr w:rsidR="004A430C" w:rsidRPr="002C25C6" w:rsidTr="00B50CE5">
        <w:trPr>
          <w:cantSplit/>
        </w:trPr>
        <w:tc>
          <w:tcPr>
            <w:tcW w:w="1493" w:type="dxa"/>
            <w:tcBorders>
              <w:top w:val="single" w:sz="4" w:space="0" w:color="auto"/>
              <w:left w:val="single" w:sz="4" w:space="0" w:color="auto"/>
              <w:bottom w:val="single" w:sz="4" w:space="0" w:color="auto"/>
              <w:right w:val="single" w:sz="4" w:space="0" w:color="auto"/>
            </w:tcBorders>
          </w:tcPr>
          <w:p w:rsidR="004A430C" w:rsidRPr="002C25C6" w:rsidRDefault="004A430C" w:rsidP="002755D7">
            <w:pPr>
              <w:spacing w:before="40" w:after="40"/>
              <w:rPr>
                <w:b/>
                <w:bCs/>
                <w:sz w:val="18"/>
                <w:szCs w:val="18"/>
                <w:lang w:val="ru-RU"/>
              </w:rPr>
            </w:pPr>
            <w:r w:rsidRPr="002C25C6">
              <w:rPr>
                <w:b/>
                <w:bCs/>
                <w:sz w:val="18"/>
                <w:szCs w:val="18"/>
                <w:lang w:val="ru-RU"/>
              </w:rPr>
              <w:lastRenderedPageBreak/>
              <w:t>Рек. 3/2014</w:t>
            </w:r>
          </w:p>
        </w:tc>
        <w:tc>
          <w:tcPr>
            <w:tcW w:w="3322" w:type="dxa"/>
            <w:tcBorders>
              <w:top w:val="single" w:sz="4" w:space="0" w:color="auto"/>
              <w:left w:val="single" w:sz="4" w:space="0" w:color="auto"/>
              <w:bottom w:val="single" w:sz="4" w:space="0" w:color="auto"/>
              <w:right w:val="single" w:sz="4" w:space="0" w:color="auto"/>
            </w:tcBorders>
          </w:tcPr>
          <w:p w:rsidR="004A430C" w:rsidRPr="002C25C6" w:rsidRDefault="004A430C" w:rsidP="00D12A14">
            <w:pPr>
              <w:spacing w:before="40" w:after="40"/>
              <w:rPr>
                <w:sz w:val="18"/>
                <w:szCs w:val="18"/>
                <w:lang w:val="ru-RU"/>
              </w:rPr>
            </w:pPr>
            <w:r w:rsidRPr="004749D6">
              <w:rPr>
                <w:sz w:val="18"/>
                <w:szCs w:val="18"/>
                <w:u w:val="single"/>
                <w:lang w:val="ru-RU"/>
              </w:rPr>
              <w:t>Мы рекомендуем</w:t>
            </w:r>
            <w:r w:rsidRPr="002C25C6">
              <w:rPr>
                <w:sz w:val="18"/>
                <w:szCs w:val="18"/>
                <w:lang w:val="ru-RU"/>
              </w:rPr>
              <w:t xml:space="preserve"> руководству провести полное актуарное экспертное исследование для оценки того, когда, при долгосрочном сценарии, финансовая стабильность МСЭ могла бы быть ослаблена резервными фондами для системы медицинского страхования. Однако, с учетом продолжающегося перехода на новую систему, данное исследование должно быть проведено после выхода из </w:t>
            </w:r>
            <w:proofErr w:type="spellStart"/>
            <w:r w:rsidRPr="002C25C6">
              <w:rPr>
                <w:sz w:val="18"/>
                <w:szCs w:val="18"/>
                <w:lang w:val="ru-RU"/>
              </w:rPr>
              <w:t>ФМСП</w:t>
            </w:r>
            <w:proofErr w:type="spellEnd"/>
            <w:r w:rsidRPr="002C25C6">
              <w:rPr>
                <w:sz w:val="18"/>
                <w:szCs w:val="18"/>
                <w:lang w:val="ru-RU"/>
              </w:rPr>
              <w:t xml:space="preserve"> и получения в рамках ПКМС данных в достаточном объеме, то есть не раньше конца 2016 г</w:t>
            </w:r>
            <w:r w:rsidR="004749D6">
              <w:rPr>
                <w:sz w:val="18"/>
                <w:szCs w:val="18"/>
                <w:lang w:val="ru-RU"/>
              </w:rPr>
              <w:t>ода</w:t>
            </w:r>
            <w:r w:rsidRPr="002C25C6">
              <w:rPr>
                <w:sz w:val="18"/>
                <w:szCs w:val="18"/>
                <w:lang w:val="ru-RU"/>
              </w:rPr>
              <w:t>. Данная рекомендация заменяет предыдущие рекомендации 6/2012 и 3/2013, которые считаются выполненными.</w:t>
            </w:r>
          </w:p>
        </w:tc>
        <w:tc>
          <w:tcPr>
            <w:tcW w:w="3544" w:type="dxa"/>
            <w:tcBorders>
              <w:top w:val="single" w:sz="4" w:space="0" w:color="auto"/>
              <w:left w:val="single" w:sz="4" w:space="0" w:color="auto"/>
              <w:bottom w:val="single" w:sz="4" w:space="0" w:color="auto"/>
              <w:right w:val="single" w:sz="4" w:space="0" w:color="auto"/>
            </w:tcBorders>
          </w:tcPr>
          <w:p w:rsidR="004A430C" w:rsidRPr="002C25C6" w:rsidRDefault="004A430C" w:rsidP="004749D6">
            <w:pPr>
              <w:spacing w:before="40" w:after="40"/>
              <w:rPr>
                <w:sz w:val="18"/>
                <w:szCs w:val="18"/>
                <w:lang w:val="ru-RU"/>
              </w:rPr>
            </w:pPr>
            <w:r w:rsidRPr="002C25C6">
              <w:rPr>
                <w:sz w:val="18"/>
                <w:szCs w:val="18"/>
                <w:lang w:val="ru-RU"/>
              </w:rPr>
              <w:t>Эта рекомендация принимается к сведени</w:t>
            </w:r>
            <w:r w:rsidR="004749D6">
              <w:rPr>
                <w:sz w:val="18"/>
                <w:szCs w:val="18"/>
                <w:lang w:val="ru-RU"/>
              </w:rPr>
              <w:t>ю</w:t>
            </w:r>
            <w:r w:rsidRPr="002C25C6">
              <w:rPr>
                <w:sz w:val="18"/>
                <w:szCs w:val="18"/>
                <w:lang w:val="ru-RU"/>
              </w:rPr>
              <w:t xml:space="preserve">. В соответствии с рекомендацией будет проведено </w:t>
            </w:r>
            <w:r w:rsidRPr="004749D6">
              <w:rPr>
                <w:sz w:val="18"/>
                <w:szCs w:val="18"/>
                <w:lang w:val="ru-RU"/>
              </w:rPr>
              <w:t>полное актуарное исследование</w:t>
            </w:r>
            <w:r w:rsidRPr="002C25C6">
              <w:rPr>
                <w:sz w:val="18"/>
                <w:szCs w:val="18"/>
                <w:lang w:val="ru-RU"/>
              </w:rPr>
              <w:t>.</w:t>
            </w:r>
          </w:p>
        </w:tc>
        <w:tc>
          <w:tcPr>
            <w:tcW w:w="3674" w:type="dxa"/>
            <w:tcBorders>
              <w:top w:val="single" w:sz="4" w:space="0" w:color="auto"/>
              <w:left w:val="single" w:sz="4" w:space="0" w:color="auto"/>
              <w:bottom w:val="single" w:sz="4" w:space="0" w:color="auto"/>
              <w:right w:val="single" w:sz="4" w:space="0" w:color="auto"/>
            </w:tcBorders>
          </w:tcPr>
          <w:p w:rsidR="004A430C" w:rsidRPr="002C25C6" w:rsidRDefault="004A430C" w:rsidP="00856ABA">
            <w:pPr>
              <w:spacing w:before="40" w:after="40"/>
              <w:rPr>
                <w:sz w:val="18"/>
                <w:szCs w:val="18"/>
                <w:lang w:val="ru-RU"/>
              </w:rPr>
            </w:pPr>
            <w:r w:rsidRPr="002C25C6">
              <w:rPr>
                <w:sz w:val="18"/>
                <w:szCs w:val="18"/>
                <w:lang w:val="ru-RU"/>
              </w:rPr>
              <w:t>В соответствии с рекомендаци</w:t>
            </w:r>
            <w:r w:rsidR="004749D6">
              <w:rPr>
                <w:sz w:val="18"/>
                <w:szCs w:val="18"/>
                <w:lang w:val="ru-RU"/>
              </w:rPr>
              <w:t>е</w:t>
            </w:r>
            <w:r w:rsidRPr="002C25C6">
              <w:rPr>
                <w:sz w:val="18"/>
                <w:szCs w:val="18"/>
                <w:lang w:val="ru-RU"/>
              </w:rPr>
              <w:t>й в конце 2016</w:t>
            </w:r>
            <w:r w:rsidR="00856ABA">
              <w:rPr>
                <w:sz w:val="18"/>
                <w:szCs w:val="18"/>
                <w:lang w:val="ru-RU"/>
              </w:rPr>
              <w:t> </w:t>
            </w:r>
            <w:r w:rsidRPr="002C25C6">
              <w:rPr>
                <w:sz w:val="18"/>
                <w:szCs w:val="18"/>
                <w:lang w:val="ru-RU"/>
              </w:rPr>
              <w:t xml:space="preserve">года будет проведено полное актуарное исследование на основе данных и результатов, представленных в </w:t>
            </w:r>
            <w:r w:rsidRPr="004749D6">
              <w:rPr>
                <w:sz w:val="18"/>
                <w:szCs w:val="18"/>
                <w:lang w:val="ru-RU"/>
              </w:rPr>
              <w:t>"Плане коллективного медицинского страхования (ПКМС)"</w:t>
            </w:r>
            <w:r w:rsidRPr="002C25C6">
              <w:rPr>
                <w:sz w:val="18"/>
                <w:szCs w:val="18"/>
                <w:lang w:val="ru-RU"/>
              </w:rPr>
              <w:t>.</w:t>
            </w:r>
          </w:p>
          <w:p w:rsidR="00E563C9" w:rsidRDefault="004A430C" w:rsidP="00A86B08">
            <w:pPr>
              <w:spacing w:before="40" w:after="40"/>
              <w:rPr>
                <w:sz w:val="18"/>
                <w:szCs w:val="18"/>
                <w:lang w:val="ru-RU"/>
              </w:rPr>
            </w:pPr>
            <w:r w:rsidRPr="004749D6">
              <w:rPr>
                <w:b/>
                <w:bCs/>
                <w:sz w:val="18"/>
                <w:szCs w:val="18"/>
                <w:lang w:val="ru-RU"/>
              </w:rPr>
              <w:t>Обновление</w:t>
            </w:r>
            <w:r w:rsidR="00204D14">
              <w:rPr>
                <w:b/>
                <w:bCs/>
                <w:sz w:val="18"/>
                <w:szCs w:val="18"/>
                <w:lang w:val="ru-RU"/>
              </w:rPr>
              <w:t>,</w:t>
            </w:r>
            <w:r w:rsidRPr="004749D6">
              <w:rPr>
                <w:b/>
                <w:bCs/>
                <w:sz w:val="18"/>
                <w:szCs w:val="18"/>
                <w:lang w:val="ru-RU"/>
              </w:rPr>
              <w:t xml:space="preserve"> по состоянию на конец января 2016 г</w:t>
            </w:r>
            <w:r w:rsidRPr="00E563C9">
              <w:rPr>
                <w:sz w:val="18"/>
                <w:szCs w:val="18"/>
                <w:lang w:val="ru-RU"/>
              </w:rPr>
              <w:t>.</w:t>
            </w:r>
          </w:p>
          <w:p w:rsidR="004A430C" w:rsidRPr="002C25C6" w:rsidRDefault="004A430C" w:rsidP="00A86B08">
            <w:pPr>
              <w:spacing w:before="40" w:after="40"/>
              <w:rPr>
                <w:sz w:val="18"/>
                <w:szCs w:val="18"/>
                <w:lang w:val="ru-RU"/>
              </w:rPr>
            </w:pPr>
            <w:r w:rsidRPr="004749D6">
              <w:rPr>
                <w:sz w:val="18"/>
                <w:szCs w:val="18"/>
                <w:lang w:val="ru-RU"/>
              </w:rPr>
              <w:t>Требование о проведении этого исследования будет включено в основное актуарное исследование, касающееся IPSAS</w:t>
            </w:r>
            <w:r w:rsidR="00622B5F">
              <w:rPr>
                <w:sz w:val="18"/>
                <w:szCs w:val="18"/>
                <w:lang w:val="ru-RU"/>
              </w:rPr>
              <w:t> </w:t>
            </w:r>
            <w:r w:rsidRPr="004749D6">
              <w:rPr>
                <w:sz w:val="18"/>
                <w:szCs w:val="18"/>
                <w:lang w:val="ru-RU"/>
              </w:rPr>
              <w:t>25 (Рек. 2/2014).</w:t>
            </w:r>
          </w:p>
          <w:p w:rsidR="00E563C9" w:rsidRDefault="004A430C" w:rsidP="00A86B08">
            <w:pPr>
              <w:spacing w:before="40" w:after="40"/>
              <w:rPr>
                <w:sz w:val="18"/>
                <w:szCs w:val="18"/>
                <w:lang w:val="ru-RU"/>
              </w:rPr>
            </w:pPr>
            <w:r w:rsidRPr="004749D6">
              <w:rPr>
                <w:b/>
                <w:bCs/>
                <w:sz w:val="18"/>
                <w:szCs w:val="18"/>
                <w:lang w:val="ru-RU"/>
              </w:rPr>
              <w:t>Обновление</w:t>
            </w:r>
            <w:r w:rsidR="00204D14">
              <w:rPr>
                <w:b/>
                <w:bCs/>
                <w:sz w:val="18"/>
                <w:szCs w:val="18"/>
                <w:lang w:val="ru-RU"/>
              </w:rPr>
              <w:t>,</w:t>
            </w:r>
            <w:r w:rsidRPr="004749D6">
              <w:rPr>
                <w:b/>
                <w:bCs/>
                <w:sz w:val="18"/>
                <w:szCs w:val="18"/>
                <w:lang w:val="ru-RU"/>
              </w:rPr>
              <w:t xml:space="preserve"> по состоянию на конец апреля 2017 г</w:t>
            </w:r>
            <w:r w:rsidRPr="00E563C9">
              <w:rPr>
                <w:sz w:val="18"/>
                <w:szCs w:val="18"/>
                <w:lang w:val="ru-RU"/>
              </w:rPr>
              <w:t>.</w:t>
            </w:r>
          </w:p>
          <w:p w:rsidR="004A430C" w:rsidRPr="002C25C6" w:rsidRDefault="004A430C" w:rsidP="00A86B08">
            <w:pPr>
              <w:spacing w:before="40" w:after="40"/>
              <w:rPr>
                <w:sz w:val="18"/>
                <w:szCs w:val="18"/>
                <w:lang w:val="ru-RU"/>
              </w:rPr>
            </w:pPr>
            <w:r w:rsidRPr="002C25C6">
              <w:rPr>
                <w:sz w:val="18"/>
                <w:szCs w:val="18"/>
                <w:lang w:val="ru-RU"/>
              </w:rPr>
              <w:t xml:space="preserve">Были отобраны новые актуарии для проведения полного актуарного исследования </w:t>
            </w:r>
            <w:r w:rsidRPr="004749D6">
              <w:rPr>
                <w:sz w:val="18"/>
                <w:szCs w:val="18"/>
                <w:lang w:val="ru-RU"/>
              </w:rPr>
              <w:t>системы медицинского страхования</w:t>
            </w:r>
            <w:r w:rsidRPr="002C25C6">
              <w:rPr>
                <w:sz w:val="18"/>
                <w:szCs w:val="18"/>
                <w:lang w:val="ru-RU"/>
              </w:rPr>
              <w:t>. Результаты полного исследования будут представлены в середине 2017 года.</w:t>
            </w:r>
          </w:p>
        </w:tc>
        <w:tc>
          <w:tcPr>
            <w:tcW w:w="2526" w:type="dxa"/>
            <w:tcBorders>
              <w:top w:val="single" w:sz="4" w:space="0" w:color="auto"/>
              <w:left w:val="single" w:sz="4" w:space="0" w:color="auto"/>
              <w:bottom w:val="single" w:sz="4" w:space="0" w:color="auto"/>
              <w:right w:val="single" w:sz="4" w:space="0" w:color="auto"/>
            </w:tcBorders>
          </w:tcPr>
          <w:p w:rsidR="004A430C" w:rsidRPr="002C25C6" w:rsidRDefault="004A430C" w:rsidP="00D12A14">
            <w:pPr>
              <w:spacing w:before="40" w:after="40"/>
              <w:rPr>
                <w:sz w:val="18"/>
                <w:szCs w:val="18"/>
                <w:lang w:val="ru-RU"/>
              </w:rPr>
            </w:pPr>
            <w:r w:rsidRPr="002C25C6">
              <w:rPr>
                <w:sz w:val="18"/>
                <w:szCs w:val="18"/>
                <w:lang w:val="ru-RU"/>
              </w:rPr>
              <w:t>В процессе выполнения.</w:t>
            </w:r>
          </w:p>
        </w:tc>
      </w:tr>
      <w:tr w:rsidR="004A430C" w:rsidRPr="002C25C6" w:rsidTr="00B50CE5">
        <w:trPr>
          <w:cantSplit/>
        </w:trPr>
        <w:tc>
          <w:tcPr>
            <w:tcW w:w="1493" w:type="dxa"/>
            <w:tcBorders>
              <w:top w:val="single" w:sz="4" w:space="0" w:color="auto"/>
              <w:left w:val="single" w:sz="4" w:space="0" w:color="auto"/>
              <w:bottom w:val="single" w:sz="4" w:space="0" w:color="auto"/>
              <w:right w:val="single" w:sz="4" w:space="0" w:color="auto"/>
            </w:tcBorders>
          </w:tcPr>
          <w:p w:rsidR="004A430C" w:rsidRPr="002C25C6" w:rsidRDefault="004A430C" w:rsidP="00EE6E52">
            <w:pPr>
              <w:spacing w:before="40" w:after="40"/>
              <w:rPr>
                <w:b/>
                <w:bCs/>
                <w:sz w:val="18"/>
                <w:szCs w:val="18"/>
                <w:lang w:val="ru-RU"/>
              </w:rPr>
            </w:pPr>
            <w:r w:rsidRPr="002C25C6">
              <w:rPr>
                <w:b/>
                <w:bCs/>
                <w:sz w:val="18"/>
                <w:szCs w:val="18"/>
                <w:lang w:val="ru-RU"/>
              </w:rPr>
              <w:lastRenderedPageBreak/>
              <w:t>Рек. 4/2014</w:t>
            </w:r>
          </w:p>
        </w:tc>
        <w:tc>
          <w:tcPr>
            <w:tcW w:w="3322" w:type="dxa"/>
            <w:tcBorders>
              <w:top w:val="single" w:sz="4" w:space="0" w:color="auto"/>
              <w:left w:val="single" w:sz="4" w:space="0" w:color="auto"/>
              <w:bottom w:val="single" w:sz="4" w:space="0" w:color="auto"/>
              <w:right w:val="single" w:sz="4" w:space="0" w:color="auto"/>
            </w:tcBorders>
          </w:tcPr>
          <w:p w:rsidR="004A430C" w:rsidRPr="002C25C6" w:rsidRDefault="004A430C" w:rsidP="006B36F0">
            <w:pPr>
              <w:spacing w:before="40" w:after="40"/>
              <w:rPr>
                <w:b/>
                <w:bCs/>
                <w:sz w:val="18"/>
                <w:szCs w:val="18"/>
                <w:lang w:val="ru-RU"/>
              </w:rPr>
            </w:pPr>
            <w:r w:rsidRPr="002C25C6">
              <w:rPr>
                <w:sz w:val="18"/>
                <w:szCs w:val="18"/>
                <w:lang w:val="ru-RU"/>
              </w:rPr>
              <w:t xml:space="preserve">В связи с необходимостью принятия корректирующих мер эти факторы могут быть рассмотрены Советом: </w:t>
            </w:r>
            <w:r w:rsidRPr="002C25C6">
              <w:rPr>
                <w:sz w:val="18"/>
                <w:szCs w:val="18"/>
                <w:u w:val="single"/>
                <w:lang w:val="ru-RU"/>
              </w:rPr>
              <w:t>мы рекомендуем</w:t>
            </w:r>
            <w:r w:rsidRPr="002C25C6">
              <w:rPr>
                <w:sz w:val="18"/>
                <w:szCs w:val="18"/>
                <w:lang w:val="ru-RU"/>
              </w:rPr>
              <w:t xml:space="preserve"> руководству контролировать эти факторы и обеспечить достаточное финансирование на распределительной и долгосрочной основе. </w:t>
            </w:r>
          </w:p>
        </w:tc>
        <w:tc>
          <w:tcPr>
            <w:tcW w:w="3544" w:type="dxa"/>
            <w:tcBorders>
              <w:top w:val="single" w:sz="4" w:space="0" w:color="auto"/>
              <w:left w:val="single" w:sz="4" w:space="0" w:color="auto"/>
              <w:bottom w:val="single" w:sz="4" w:space="0" w:color="auto"/>
              <w:right w:val="single" w:sz="4" w:space="0" w:color="auto"/>
            </w:tcBorders>
          </w:tcPr>
          <w:p w:rsidR="004A430C" w:rsidRPr="002C25C6" w:rsidRDefault="004A430C" w:rsidP="00D12A14">
            <w:pPr>
              <w:spacing w:before="40" w:after="40"/>
              <w:rPr>
                <w:sz w:val="18"/>
                <w:szCs w:val="18"/>
                <w:lang w:val="ru-RU"/>
              </w:rPr>
            </w:pPr>
            <w:r w:rsidRPr="002C25C6">
              <w:rPr>
                <w:sz w:val="18"/>
                <w:szCs w:val="18"/>
                <w:lang w:val="ru-RU"/>
              </w:rPr>
              <w:t>Финансирование медицинского страхования на распределительной основе, а также финансирование актуарных обязательств по АСХИ имеет важнейшее значение для Союза и тщательно контролируется. Указанные выше факторы были учтены среди прочих факторов при планировании перехода на ПКМС и сост</w:t>
            </w:r>
            <w:r w:rsidR="004749D6">
              <w:rPr>
                <w:sz w:val="18"/>
                <w:szCs w:val="18"/>
                <w:lang w:val="ru-RU"/>
              </w:rPr>
              <w:t>авлении бюджета на 2014−2015 годы</w:t>
            </w:r>
            <w:r w:rsidRPr="002C25C6">
              <w:rPr>
                <w:sz w:val="18"/>
                <w:szCs w:val="18"/>
                <w:lang w:val="ru-RU"/>
              </w:rPr>
              <w:t>, фи</w:t>
            </w:r>
            <w:r w:rsidR="004749D6">
              <w:rPr>
                <w:sz w:val="18"/>
                <w:szCs w:val="18"/>
                <w:lang w:val="ru-RU"/>
              </w:rPr>
              <w:t>нансового плана на 2016−2019 годы</w:t>
            </w:r>
            <w:r w:rsidRPr="002C25C6">
              <w:rPr>
                <w:sz w:val="18"/>
                <w:szCs w:val="18"/>
                <w:lang w:val="ru-RU"/>
              </w:rPr>
              <w:t xml:space="preserve">, </w:t>
            </w:r>
            <w:r w:rsidR="004749D6">
              <w:rPr>
                <w:sz w:val="18"/>
                <w:szCs w:val="18"/>
                <w:lang w:val="ru-RU"/>
              </w:rPr>
              <w:t>а также бюджета на 2016−2017 годы</w:t>
            </w:r>
            <w:r w:rsidRPr="002C25C6">
              <w:rPr>
                <w:sz w:val="18"/>
                <w:szCs w:val="18"/>
                <w:lang w:val="ru-RU"/>
              </w:rPr>
              <w:t>, который будет предст</w:t>
            </w:r>
            <w:r w:rsidR="004749D6">
              <w:rPr>
                <w:sz w:val="18"/>
                <w:szCs w:val="18"/>
                <w:lang w:val="ru-RU"/>
              </w:rPr>
              <w:t>авлен в ходе сессии Совета 2015 </w:t>
            </w:r>
            <w:r w:rsidRPr="002C25C6">
              <w:rPr>
                <w:sz w:val="18"/>
                <w:szCs w:val="18"/>
                <w:lang w:val="ru-RU"/>
              </w:rPr>
              <w:t>г</w:t>
            </w:r>
            <w:r w:rsidR="004749D6">
              <w:rPr>
                <w:sz w:val="18"/>
                <w:szCs w:val="18"/>
                <w:lang w:val="ru-RU"/>
              </w:rPr>
              <w:t>ода</w:t>
            </w:r>
            <w:r w:rsidRPr="002C25C6">
              <w:rPr>
                <w:sz w:val="18"/>
                <w:szCs w:val="18"/>
                <w:lang w:val="ru-RU"/>
              </w:rPr>
              <w:t>. Постоянный контроль результатов ПКМС в сочетании с регулярным упреждающим взаимодействием со всеми заинтересованными сторонами и своевременно предлагаемыми корректировками и решениями обеспечит возможность финансирования на распределительной основе.</w:t>
            </w:r>
          </w:p>
        </w:tc>
        <w:tc>
          <w:tcPr>
            <w:tcW w:w="3674" w:type="dxa"/>
            <w:tcBorders>
              <w:top w:val="single" w:sz="4" w:space="0" w:color="auto"/>
              <w:left w:val="single" w:sz="4" w:space="0" w:color="auto"/>
              <w:bottom w:val="single" w:sz="4" w:space="0" w:color="auto"/>
              <w:right w:val="single" w:sz="4" w:space="0" w:color="auto"/>
            </w:tcBorders>
          </w:tcPr>
          <w:p w:rsidR="004A430C" w:rsidRPr="002C25C6" w:rsidRDefault="004A430C" w:rsidP="00D12A14">
            <w:pPr>
              <w:spacing w:before="40" w:after="40"/>
              <w:rPr>
                <w:sz w:val="18"/>
                <w:szCs w:val="18"/>
                <w:lang w:val="ru-RU"/>
              </w:rPr>
            </w:pPr>
            <w:r w:rsidRPr="002C25C6">
              <w:rPr>
                <w:sz w:val="18"/>
                <w:szCs w:val="18"/>
                <w:lang w:val="ru-RU"/>
              </w:rPr>
              <w:t>Руководство следует этой рекомендации и тщательно контролирует различные факторы для обеспечения прочной финансовой стабильности МСЭ.</w:t>
            </w:r>
          </w:p>
          <w:p w:rsidR="00E563C9" w:rsidRDefault="004A430C" w:rsidP="00622B5F">
            <w:pPr>
              <w:spacing w:before="40" w:after="40"/>
              <w:rPr>
                <w:sz w:val="18"/>
                <w:szCs w:val="18"/>
                <w:lang w:val="ru-RU"/>
              </w:rPr>
            </w:pPr>
            <w:r w:rsidRPr="004749D6">
              <w:rPr>
                <w:b/>
                <w:bCs/>
                <w:sz w:val="18"/>
                <w:szCs w:val="18"/>
                <w:lang w:val="ru-RU"/>
              </w:rPr>
              <w:t>Обновление</w:t>
            </w:r>
            <w:r w:rsidR="00204D14">
              <w:rPr>
                <w:b/>
                <w:bCs/>
                <w:sz w:val="18"/>
                <w:szCs w:val="18"/>
                <w:lang w:val="ru-RU"/>
              </w:rPr>
              <w:t>,</w:t>
            </w:r>
            <w:r w:rsidRPr="004749D6">
              <w:rPr>
                <w:b/>
                <w:bCs/>
                <w:sz w:val="18"/>
                <w:szCs w:val="18"/>
                <w:lang w:val="ru-RU"/>
              </w:rPr>
              <w:t xml:space="preserve"> по состоянию на конец апреля 2017 г</w:t>
            </w:r>
            <w:r w:rsidRPr="00E563C9">
              <w:rPr>
                <w:sz w:val="18"/>
                <w:szCs w:val="18"/>
                <w:lang w:val="ru-RU"/>
              </w:rPr>
              <w:t>.</w:t>
            </w:r>
          </w:p>
          <w:p w:rsidR="004A430C" w:rsidRPr="002C25C6" w:rsidRDefault="004A430C" w:rsidP="00622B5F">
            <w:pPr>
              <w:spacing w:before="40" w:after="40"/>
              <w:rPr>
                <w:sz w:val="18"/>
                <w:szCs w:val="18"/>
                <w:lang w:val="ru-RU"/>
              </w:rPr>
            </w:pPr>
            <w:r w:rsidRPr="002C25C6">
              <w:rPr>
                <w:sz w:val="18"/>
                <w:szCs w:val="18"/>
                <w:lang w:val="ru-RU"/>
              </w:rPr>
              <w:t>Руководство продолжает тщательно контролировать факторы и проведет их анализ и корректировку на основе результатов глобального актуарного исследования, заершенного в конце 2016</w:t>
            </w:r>
            <w:r w:rsidR="004749D6">
              <w:rPr>
                <w:sz w:val="18"/>
                <w:szCs w:val="18"/>
                <w:lang w:val="ru-RU"/>
              </w:rPr>
              <w:t> </w:t>
            </w:r>
            <w:r w:rsidRPr="002C25C6">
              <w:rPr>
                <w:sz w:val="18"/>
                <w:szCs w:val="18"/>
                <w:lang w:val="ru-RU"/>
              </w:rPr>
              <w:t>года. Руководство МСЭ ежегодно представляет ситуацию</w:t>
            </w:r>
            <w:r w:rsidRPr="004749D6">
              <w:rPr>
                <w:sz w:val="18"/>
                <w:szCs w:val="18"/>
                <w:lang w:val="ru-RU"/>
              </w:rPr>
              <w:t xml:space="preserve"> с обязательствами по медицинскому страхованию после выхода в отставку (АСХИ)</w:t>
            </w:r>
            <w:r w:rsidRPr="002C25C6">
              <w:rPr>
                <w:sz w:val="18"/>
                <w:szCs w:val="18"/>
                <w:lang w:val="ru-RU"/>
              </w:rPr>
              <w:t xml:space="preserve">. </w:t>
            </w:r>
            <w:r w:rsidRPr="004749D6">
              <w:rPr>
                <w:sz w:val="18"/>
                <w:szCs w:val="18"/>
                <w:lang w:val="ru-RU"/>
              </w:rPr>
              <w:t>МСЭ будет продолжать уделять внимание сдерживанию затрат с помощью поставщика услуг и предложил увеличить свою долю взносов и долю взносов членов ПКМС в бюджете 2016–2017 годов, для того чтобы обеспечить финансирование медицинского страхования на распределительной основе. Кроме того, МСЭ, по возможности, продолжит финансирование резерва АСХИ, исходя из превышения доходов над расходами бюджета</w:t>
            </w:r>
            <w:r w:rsidRPr="002C25C6">
              <w:rPr>
                <w:sz w:val="18"/>
                <w:szCs w:val="18"/>
                <w:lang w:val="ru-RU"/>
              </w:rPr>
              <w:t>.</w:t>
            </w:r>
          </w:p>
        </w:tc>
        <w:tc>
          <w:tcPr>
            <w:tcW w:w="2526" w:type="dxa"/>
            <w:tcBorders>
              <w:top w:val="single" w:sz="4" w:space="0" w:color="auto"/>
              <w:left w:val="single" w:sz="4" w:space="0" w:color="auto"/>
              <w:bottom w:val="single" w:sz="4" w:space="0" w:color="auto"/>
              <w:right w:val="single" w:sz="4" w:space="0" w:color="auto"/>
            </w:tcBorders>
          </w:tcPr>
          <w:p w:rsidR="004A430C" w:rsidRPr="002C25C6" w:rsidRDefault="004A430C" w:rsidP="00D12A14">
            <w:pPr>
              <w:spacing w:before="40" w:after="40"/>
              <w:rPr>
                <w:sz w:val="18"/>
                <w:szCs w:val="18"/>
                <w:lang w:val="ru-RU"/>
              </w:rPr>
            </w:pPr>
            <w:r w:rsidRPr="002C25C6">
              <w:rPr>
                <w:sz w:val="18"/>
                <w:szCs w:val="18"/>
                <w:lang w:val="ru-RU"/>
              </w:rPr>
              <w:t>В процессе выполнения.</w:t>
            </w:r>
          </w:p>
        </w:tc>
      </w:tr>
      <w:tr w:rsidR="004A430C" w:rsidRPr="002C25C6" w:rsidTr="00B50CE5">
        <w:trPr>
          <w:cantSplit/>
        </w:trPr>
        <w:tc>
          <w:tcPr>
            <w:tcW w:w="1493" w:type="dxa"/>
            <w:tcBorders>
              <w:top w:val="single" w:sz="4" w:space="0" w:color="auto"/>
              <w:left w:val="single" w:sz="4" w:space="0" w:color="auto"/>
              <w:bottom w:val="single" w:sz="4" w:space="0" w:color="auto"/>
              <w:right w:val="single" w:sz="4" w:space="0" w:color="auto"/>
            </w:tcBorders>
          </w:tcPr>
          <w:p w:rsidR="004A430C" w:rsidRPr="002C25C6" w:rsidRDefault="004A430C" w:rsidP="00D12A14">
            <w:pPr>
              <w:spacing w:before="40" w:after="40"/>
              <w:rPr>
                <w:b/>
                <w:bCs/>
                <w:sz w:val="18"/>
                <w:szCs w:val="18"/>
                <w:lang w:val="ru-RU"/>
              </w:rPr>
            </w:pPr>
            <w:r w:rsidRPr="002C25C6">
              <w:rPr>
                <w:b/>
                <w:bCs/>
                <w:sz w:val="18"/>
                <w:szCs w:val="18"/>
                <w:lang w:val="ru-RU"/>
              </w:rPr>
              <w:lastRenderedPageBreak/>
              <w:t>Рек. 3/2012</w:t>
            </w:r>
          </w:p>
        </w:tc>
        <w:tc>
          <w:tcPr>
            <w:tcW w:w="3322" w:type="dxa"/>
            <w:tcBorders>
              <w:top w:val="single" w:sz="4" w:space="0" w:color="auto"/>
              <w:left w:val="single" w:sz="4" w:space="0" w:color="auto"/>
              <w:bottom w:val="single" w:sz="4" w:space="0" w:color="auto"/>
              <w:right w:val="single" w:sz="4" w:space="0" w:color="auto"/>
            </w:tcBorders>
          </w:tcPr>
          <w:p w:rsidR="004A430C" w:rsidRPr="002C25C6" w:rsidRDefault="004A430C" w:rsidP="00D12A14">
            <w:pPr>
              <w:spacing w:before="40" w:after="40"/>
              <w:rPr>
                <w:b/>
                <w:bCs/>
                <w:sz w:val="18"/>
                <w:szCs w:val="18"/>
                <w:lang w:val="ru-RU"/>
              </w:rPr>
            </w:pPr>
            <w:r w:rsidRPr="002C25C6">
              <w:rPr>
                <w:b/>
                <w:bCs/>
                <w:sz w:val="18"/>
                <w:szCs w:val="18"/>
                <w:lang w:val="ru-RU"/>
              </w:rPr>
              <w:t xml:space="preserve">"Право </w:t>
            </w:r>
            <w:proofErr w:type="spellStart"/>
            <w:r w:rsidRPr="002C25C6">
              <w:rPr>
                <w:b/>
                <w:bCs/>
                <w:sz w:val="18"/>
                <w:szCs w:val="18"/>
                <w:lang w:val="ru-RU"/>
              </w:rPr>
              <w:t>суперфиция</w:t>
            </w:r>
            <w:proofErr w:type="spellEnd"/>
            <w:r w:rsidRPr="002C25C6">
              <w:rPr>
                <w:b/>
                <w:bCs/>
                <w:sz w:val="18"/>
                <w:szCs w:val="18"/>
                <w:lang w:val="ru-RU"/>
              </w:rPr>
              <w:t>"</w:t>
            </w:r>
          </w:p>
          <w:p w:rsidR="004A430C" w:rsidRPr="002C25C6" w:rsidRDefault="004A430C" w:rsidP="00D12A14">
            <w:pPr>
              <w:spacing w:before="40" w:after="40"/>
              <w:rPr>
                <w:sz w:val="18"/>
                <w:szCs w:val="18"/>
                <w:lang w:val="ru-RU"/>
              </w:rPr>
            </w:pPr>
            <w:r w:rsidRPr="002C25C6">
              <w:rPr>
                <w:sz w:val="18"/>
                <w:szCs w:val="18"/>
                <w:lang w:val="ru-RU"/>
              </w:rPr>
              <w:t xml:space="preserve">С учетом того, что важно и в интересах МСЭ продлить "право </w:t>
            </w:r>
            <w:proofErr w:type="spellStart"/>
            <w:r w:rsidRPr="002C25C6">
              <w:rPr>
                <w:sz w:val="18"/>
                <w:szCs w:val="18"/>
                <w:lang w:val="ru-RU"/>
              </w:rPr>
              <w:t>суперфиция</w:t>
            </w:r>
            <w:proofErr w:type="spellEnd"/>
            <w:r w:rsidRPr="002C25C6">
              <w:rPr>
                <w:sz w:val="18"/>
                <w:szCs w:val="18"/>
                <w:lang w:val="ru-RU"/>
              </w:rPr>
              <w:t>", предоставленное МСЭ</w:t>
            </w:r>
            <w:r w:rsidR="00622B5F">
              <w:rPr>
                <w:sz w:val="18"/>
                <w:szCs w:val="18"/>
                <w:lang w:val="ru-RU"/>
              </w:rPr>
              <w:t xml:space="preserve"> администрацией Женевы с 1967 года</w:t>
            </w:r>
            <w:r w:rsidRPr="002C25C6">
              <w:rPr>
                <w:sz w:val="18"/>
                <w:szCs w:val="18"/>
                <w:lang w:val="ru-RU"/>
              </w:rPr>
              <w:t>, мы рекомендовали руководству как можно скорее начать переговоры по этому вопросу с компетентными органами власти принимающей страны.</w:t>
            </w:r>
          </w:p>
        </w:tc>
        <w:tc>
          <w:tcPr>
            <w:tcW w:w="3544" w:type="dxa"/>
            <w:tcBorders>
              <w:top w:val="single" w:sz="4" w:space="0" w:color="auto"/>
              <w:left w:val="single" w:sz="4" w:space="0" w:color="auto"/>
              <w:bottom w:val="single" w:sz="4" w:space="0" w:color="auto"/>
              <w:right w:val="single" w:sz="4" w:space="0" w:color="auto"/>
            </w:tcBorders>
          </w:tcPr>
          <w:p w:rsidR="004A430C" w:rsidRPr="002C25C6" w:rsidRDefault="004A430C" w:rsidP="00622B5F">
            <w:pPr>
              <w:spacing w:before="40" w:after="40"/>
              <w:rPr>
                <w:sz w:val="18"/>
                <w:szCs w:val="18"/>
                <w:lang w:val="ru-RU"/>
              </w:rPr>
            </w:pPr>
            <w:r w:rsidRPr="002C25C6">
              <w:rPr>
                <w:sz w:val="18"/>
                <w:szCs w:val="18"/>
                <w:lang w:val="ru-RU"/>
              </w:rPr>
              <w:t>В январе 2013 г</w:t>
            </w:r>
            <w:r w:rsidR="00622B5F">
              <w:rPr>
                <w:sz w:val="18"/>
                <w:szCs w:val="18"/>
                <w:lang w:val="ru-RU"/>
              </w:rPr>
              <w:t>ода</w:t>
            </w:r>
            <w:r w:rsidRPr="002C25C6">
              <w:rPr>
                <w:sz w:val="18"/>
                <w:szCs w:val="18"/>
                <w:lang w:val="ru-RU"/>
              </w:rPr>
              <w:t xml:space="preserve"> Советник по правовым вопросам уже установил контакт с компетентными органами власти принимающей страны в целях начала процесса переговоров.</w:t>
            </w:r>
          </w:p>
        </w:tc>
        <w:tc>
          <w:tcPr>
            <w:tcW w:w="3674" w:type="dxa"/>
            <w:tcBorders>
              <w:top w:val="single" w:sz="4" w:space="0" w:color="auto"/>
              <w:left w:val="single" w:sz="4" w:space="0" w:color="auto"/>
              <w:bottom w:val="single" w:sz="4" w:space="0" w:color="auto"/>
              <w:right w:val="single" w:sz="4" w:space="0" w:color="auto"/>
            </w:tcBorders>
          </w:tcPr>
          <w:p w:rsidR="004A430C" w:rsidRPr="002C25C6" w:rsidRDefault="004A430C" w:rsidP="00D12A14">
            <w:pPr>
              <w:spacing w:before="40" w:after="40"/>
              <w:rPr>
                <w:sz w:val="18"/>
                <w:szCs w:val="18"/>
                <w:lang w:val="ru-RU"/>
              </w:rPr>
            </w:pPr>
            <w:r w:rsidRPr="002C25C6">
              <w:rPr>
                <w:sz w:val="18"/>
                <w:szCs w:val="18"/>
                <w:lang w:val="ru-RU"/>
              </w:rPr>
              <w:t xml:space="preserve">Компетентные органы власти принимающей страны в принципе поддержали просьбу МСЭ и подтвердили свою заинтересованность, а также то, что дальнейшее развитие событий будет зависеть от решений, связанных с заменой здания "Варембе", обсуждение которых в настоящее время продолжается. </w:t>
            </w:r>
          </w:p>
          <w:p w:rsidR="004A430C" w:rsidRPr="002C25C6" w:rsidRDefault="004A430C" w:rsidP="00AA4F19">
            <w:pPr>
              <w:spacing w:before="40" w:after="40"/>
              <w:rPr>
                <w:sz w:val="18"/>
                <w:szCs w:val="18"/>
                <w:lang w:val="ru-RU"/>
              </w:rPr>
            </w:pPr>
            <w:r w:rsidRPr="002C25C6">
              <w:rPr>
                <w:sz w:val="18"/>
                <w:szCs w:val="18"/>
                <w:lang w:val="ru-RU"/>
              </w:rPr>
              <w:t xml:space="preserve">ПК-14 приняла решение создать рабочую группу Совета. Эта </w:t>
            </w:r>
            <w:proofErr w:type="spellStart"/>
            <w:r w:rsidRPr="002C25C6">
              <w:rPr>
                <w:sz w:val="18"/>
                <w:szCs w:val="18"/>
                <w:lang w:val="ru-RU"/>
              </w:rPr>
              <w:t>РГС</w:t>
            </w:r>
            <w:proofErr w:type="spellEnd"/>
            <w:r w:rsidRPr="002C25C6">
              <w:rPr>
                <w:sz w:val="18"/>
                <w:szCs w:val="18"/>
                <w:lang w:val="ru-RU"/>
              </w:rPr>
              <w:t xml:space="preserve"> при поддержке со стороны Секретариата изучит состояние помещений штаб-квартиры Союза и продолжит анализ вариантов, представленных до настоящего времени, и любых других предложений Государств-Членов для обеспечения взвешенного подхода к размещению помещений в долгосрочной перспективе, с тем чтобы подготовить рекомендацию для Совета. Первое собрание </w:t>
            </w:r>
            <w:proofErr w:type="spellStart"/>
            <w:r w:rsidRPr="002C25C6">
              <w:rPr>
                <w:sz w:val="18"/>
                <w:szCs w:val="18"/>
                <w:lang w:val="ru-RU"/>
              </w:rPr>
              <w:t>РГС</w:t>
            </w:r>
            <w:proofErr w:type="spellEnd"/>
            <w:r w:rsidRPr="002C25C6">
              <w:rPr>
                <w:sz w:val="18"/>
                <w:szCs w:val="18"/>
                <w:lang w:val="ru-RU"/>
              </w:rPr>
              <w:t xml:space="preserve"> состоялось 28 января 2015 г</w:t>
            </w:r>
            <w:r w:rsidR="00622B5F">
              <w:rPr>
                <w:sz w:val="18"/>
                <w:szCs w:val="18"/>
                <w:lang w:val="ru-RU"/>
              </w:rPr>
              <w:t>ода</w:t>
            </w:r>
            <w:r w:rsidRPr="002C25C6">
              <w:rPr>
                <w:sz w:val="18"/>
                <w:szCs w:val="18"/>
                <w:lang w:val="ru-RU"/>
              </w:rPr>
              <w:t>.</w:t>
            </w:r>
          </w:p>
          <w:p w:rsidR="00E563C9" w:rsidRDefault="004A430C" w:rsidP="00622B5F">
            <w:pPr>
              <w:spacing w:before="40" w:after="40"/>
              <w:rPr>
                <w:sz w:val="18"/>
                <w:szCs w:val="18"/>
                <w:lang w:val="ru-RU"/>
              </w:rPr>
            </w:pPr>
            <w:r w:rsidRPr="00622B5F">
              <w:rPr>
                <w:b/>
                <w:bCs/>
                <w:sz w:val="18"/>
                <w:szCs w:val="18"/>
                <w:lang w:val="ru-RU"/>
              </w:rPr>
              <w:t>Обновление</w:t>
            </w:r>
            <w:r w:rsidR="00204D14">
              <w:rPr>
                <w:b/>
                <w:bCs/>
                <w:sz w:val="18"/>
                <w:szCs w:val="18"/>
                <w:lang w:val="ru-RU"/>
              </w:rPr>
              <w:t>,</w:t>
            </w:r>
            <w:r w:rsidRPr="00622B5F">
              <w:rPr>
                <w:b/>
                <w:bCs/>
                <w:sz w:val="18"/>
                <w:szCs w:val="18"/>
                <w:lang w:val="ru-RU"/>
              </w:rPr>
              <w:t xml:space="preserve"> по состоянию на конец января 2016 г</w:t>
            </w:r>
            <w:r w:rsidRPr="00E563C9">
              <w:rPr>
                <w:sz w:val="18"/>
                <w:szCs w:val="18"/>
                <w:lang w:val="ru-RU"/>
              </w:rPr>
              <w:t>.</w:t>
            </w:r>
          </w:p>
          <w:p w:rsidR="004A430C" w:rsidRPr="002C25C6" w:rsidRDefault="004A430C" w:rsidP="00622B5F">
            <w:pPr>
              <w:spacing w:before="40" w:after="40"/>
              <w:rPr>
                <w:sz w:val="18"/>
                <w:szCs w:val="18"/>
                <w:lang w:val="ru-RU"/>
              </w:rPr>
            </w:pPr>
            <w:r w:rsidRPr="002C25C6">
              <w:rPr>
                <w:sz w:val="18"/>
                <w:szCs w:val="18"/>
                <w:lang w:val="ru-RU"/>
              </w:rPr>
              <w:t xml:space="preserve">Работа </w:t>
            </w:r>
            <w:proofErr w:type="spellStart"/>
            <w:r w:rsidR="00E563C9">
              <w:rPr>
                <w:sz w:val="18"/>
                <w:szCs w:val="18"/>
                <w:lang w:val="ru-RU"/>
              </w:rPr>
              <w:t>РГС</w:t>
            </w:r>
            <w:proofErr w:type="spellEnd"/>
            <w:r w:rsidR="00E563C9">
              <w:rPr>
                <w:sz w:val="18"/>
                <w:szCs w:val="18"/>
                <w:lang w:val="ru-RU"/>
              </w:rPr>
              <w:t xml:space="preserve"> по вариантам помещений штаб</w:t>
            </w:r>
            <w:r w:rsidR="00E563C9">
              <w:rPr>
                <w:sz w:val="18"/>
                <w:szCs w:val="18"/>
                <w:lang w:val="ru-RU"/>
              </w:rPr>
              <w:noBreakHyphen/>
            </w:r>
            <w:r w:rsidRPr="002C25C6">
              <w:rPr>
                <w:sz w:val="18"/>
                <w:szCs w:val="18"/>
                <w:lang w:val="ru-RU"/>
              </w:rPr>
              <w:t xml:space="preserve">квартиры Союза в долгосрочной перспективе все еще продолжается. Второе собрание </w:t>
            </w:r>
            <w:proofErr w:type="spellStart"/>
            <w:r w:rsidRPr="002C25C6">
              <w:rPr>
                <w:sz w:val="18"/>
                <w:szCs w:val="18"/>
                <w:lang w:val="ru-RU"/>
              </w:rPr>
              <w:t>РГС</w:t>
            </w:r>
            <w:proofErr w:type="spellEnd"/>
            <w:r w:rsidRPr="002C25C6">
              <w:rPr>
                <w:sz w:val="18"/>
                <w:szCs w:val="18"/>
                <w:lang w:val="ru-RU"/>
              </w:rPr>
              <w:t xml:space="preserve"> было проведено 28 сентября 2015 г</w:t>
            </w:r>
            <w:r w:rsidR="00622B5F">
              <w:rPr>
                <w:sz w:val="18"/>
                <w:szCs w:val="18"/>
                <w:lang w:val="ru-RU"/>
              </w:rPr>
              <w:t>ода</w:t>
            </w:r>
            <w:r w:rsidRPr="002C25C6">
              <w:rPr>
                <w:sz w:val="18"/>
                <w:szCs w:val="18"/>
                <w:lang w:val="ru-RU"/>
              </w:rPr>
              <w:t xml:space="preserve">. </w:t>
            </w:r>
          </w:p>
        </w:tc>
        <w:tc>
          <w:tcPr>
            <w:tcW w:w="2526" w:type="dxa"/>
            <w:tcBorders>
              <w:top w:val="single" w:sz="4" w:space="0" w:color="auto"/>
              <w:left w:val="single" w:sz="4" w:space="0" w:color="auto"/>
              <w:bottom w:val="single" w:sz="4" w:space="0" w:color="auto"/>
              <w:right w:val="single" w:sz="4" w:space="0" w:color="auto"/>
            </w:tcBorders>
          </w:tcPr>
          <w:p w:rsidR="004A430C" w:rsidRPr="002C25C6" w:rsidRDefault="004A430C" w:rsidP="00D12A14">
            <w:pPr>
              <w:spacing w:before="40" w:after="40"/>
              <w:rPr>
                <w:sz w:val="18"/>
                <w:szCs w:val="18"/>
                <w:lang w:val="ru-RU"/>
              </w:rPr>
            </w:pPr>
            <w:r w:rsidRPr="002C25C6">
              <w:rPr>
                <w:sz w:val="18"/>
                <w:szCs w:val="18"/>
                <w:lang w:val="ru-RU"/>
              </w:rPr>
              <w:t>В процессе выполнения.</w:t>
            </w:r>
          </w:p>
        </w:tc>
      </w:tr>
      <w:tr w:rsidR="00622B5F" w:rsidRPr="002C25C6" w:rsidTr="00B50CE5">
        <w:tblPrEx>
          <w:jc w:val="center"/>
        </w:tblPrEx>
        <w:trPr>
          <w:cantSplit/>
          <w:jc w:val="center"/>
        </w:trPr>
        <w:tc>
          <w:tcPr>
            <w:tcW w:w="1493" w:type="dxa"/>
            <w:tcBorders>
              <w:top w:val="single" w:sz="4" w:space="0" w:color="auto"/>
              <w:left w:val="single" w:sz="4" w:space="0" w:color="auto"/>
              <w:bottom w:val="single" w:sz="4" w:space="0" w:color="auto"/>
              <w:right w:val="single" w:sz="4" w:space="0" w:color="auto"/>
            </w:tcBorders>
          </w:tcPr>
          <w:p w:rsidR="00622B5F" w:rsidRPr="002C25C6" w:rsidRDefault="00622B5F" w:rsidP="00D12A14">
            <w:pPr>
              <w:spacing w:before="40" w:after="40"/>
              <w:rPr>
                <w:b/>
                <w:bCs/>
                <w:sz w:val="18"/>
                <w:szCs w:val="18"/>
                <w:lang w:val="ru-RU"/>
              </w:rPr>
            </w:pPr>
          </w:p>
        </w:tc>
        <w:tc>
          <w:tcPr>
            <w:tcW w:w="3322" w:type="dxa"/>
            <w:tcBorders>
              <w:top w:val="single" w:sz="4" w:space="0" w:color="auto"/>
              <w:left w:val="single" w:sz="4" w:space="0" w:color="auto"/>
              <w:bottom w:val="single" w:sz="4" w:space="0" w:color="auto"/>
              <w:right w:val="single" w:sz="4" w:space="0" w:color="auto"/>
            </w:tcBorders>
          </w:tcPr>
          <w:p w:rsidR="00622B5F" w:rsidRPr="002C25C6" w:rsidRDefault="00622B5F" w:rsidP="00D12A14">
            <w:pPr>
              <w:spacing w:before="40" w:after="40"/>
              <w:rPr>
                <w:b/>
                <w:bCs/>
                <w:sz w:val="18"/>
                <w:szCs w:val="18"/>
                <w:lang w:val="ru-RU"/>
              </w:rPr>
            </w:pPr>
          </w:p>
        </w:tc>
        <w:tc>
          <w:tcPr>
            <w:tcW w:w="3544" w:type="dxa"/>
            <w:tcBorders>
              <w:top w:val="single" w:sz="4" w:space="0" w:color="auto"/>
              <w:left w:val="single" w:sz="4" w:space="0" w:color="auto"/>
              <w:bottom w:val="single" w:sz="4" w:space="0" w:color="auto"/>
              <w:right w:val="single" w:sz="4" w:space="0" w:color="auto"/>
            </w:tcBorders>
          </w:tcPr>
          <w:p w:rsidR="00622B5F" w:rsidRPr="002C25C6" w:rsidRDefault="00622B5F" w:rsidP="00D12A14">
            <w:pPr>
              <w:spacing w:before="40" w:after="40"/>
              <w:rPr>
                <w:sz w:val="18"/>
                <w:szCs w:val="18"/>
                <w:lang w:val="ru-RU"/>
              </w:rPr>
            </w:pPr>
          </w:p>
        </w:tc>
        <w:tc>
          <w:tcPr>
            <w:tcW w:w="3674" w:type="dxa"/>
            <w:tcBorders>
              <w:top w:val="single" w:sz="4" w:space="0" w:color="auto"/>
              <w:left w:val="single" w:sz="4" w:space="0" w:color="auto"/>
              <w:bottom w:val="single" w:sz="4" w:space="0" w:color="auto"/>
              <w:right w:val="single" w:sz="4" w:space="0" w:color="auto"/>
            </w:tcBorders>
          </w:tcPr>
          <w:p w:rsidR="00E563C9" w:rsidRDefault="00622B5F" w:rsidP="00D12A14">
            <w:pPr>
              <w:spacing w:before="40" w:after="40"/>
              <w:rPr>
                <w:sz w:val="18"/>
                <w:szCs w:val="18"/>
                <w:lang w:val="ru-RU"/>
              </w:rPr>
            </w:pPr>
            <w:r w:rsidRPr="00622B5F">
              <w:rPr>
                <w:b/>
                <w:bCs/>
                <w:sz w:val="18"/>
                <w:szCs w:val="18"/>
                <w:lang w:val="ru-RU"/>
              </w:rPr>
              <w:t>Обновление</w:t>
            </w:r>
            <w:r w:rsidR="00204D14">
              <w:rPr>
                <w:b/>
                <w:bCs/>
                <w:sz w:val="18"/>
                <w:szCs w:val="18"/>
                <w:lang w:val="ru-RU"/>
              </w:rPr>
              <w:t>,</w:t>
            </w:r>
            <w:r w:rsidRPr="00622B5F">
              <w:rPr>
                <w:b/>
                <w:bCs/>
                <w:sz w:val="18"/>
                <w:szCs w:val="18"/>
                <w:lang w:val="ru-RU"/>
              </w:rPr>
              <w:t xml:space="preserve"> по состоянию на конец апреля 2017 г</w:t>
            </w:r>
            <w:r w:rsidRPr="00E563C9">
              <w:rPr>
                <w:sz w:val="18"/>
                <w:szCs w:val="18"/>
                <w:lang w:val="ru-RU"/>
              </w:rPr>
              <w:t>.</w:t>
            </w:r>
          </w:p>
          <w:p w:rsidR="00622B5F" w:rsidRPr="002C25C6" w:rsidRDefault="00622B5F" w:rsidP="00D12A14">
            <w:pPr>
              <w:spacing w:before="40" w:after="40"/>
              <w:rPr>
                <w:sz w:val="18"/>
                <w:szCs w:val="18"/>
                <w:lang w:val="ru-RU"/>
              </w:rPr>
            </w:pPr>
            <w:r w:rsidRPr="002C25C6">
              <w:rPr>
                <w:sz w:val="18"/>
                <w:szCs w:val="18"/>
                <w:lang w:val="ru-RU"/>
              </w:rPr>
              <w:t xml:space="preserve">Совет в </w:t>
            </w:r>
            <w:r w:rsidRPr="00622B5F">
              <w:rPr>
                <w:sz w:val="18"/>
                <w:szCs w:val="18"/>
                <w:lang w:val="ru-RU"/>
              </w:rPr>
              <w:t>соответствии со своим</w:t>
            </w:r>
            <w:r>
              <w:rPr>
                <w:sz w:val="18"/>
                <w:szCs w:val="18"/>
                <w:lang w:val="ru-RU"/>
              </w:rPr>
              <w:t xml:space="preserve"> </w:t>
            </w:r>
            <w:r w:rsidRPr="00622B5F">
              <w:rPr>
                <w:sz w:val="18"/>
                <w:szCs w:val="18"/>
                <w:lang w:val="ru-RU"/>
              </w:rPr>
              <w:t xml:space="preserve">Решением 588 постановил заменить здание МСЭ "Варембе" новым строением, которое также будет включать служебные и иные функциональные помещения здания "Башня", и дополнить здание "Монбрийан". В этой связи будет необходимо вновь провести переговоры с властями Швейцарии по вопросу о "праве </w:t>
            </w:r>
            <w:proofErr w:type="spellStart"/>
            <w:r w:rsidRPr="00622B5F">
              <w:rPr>
                <w:sz w:val="18"/>
                <w:szCs w:val="18"/>
                <w:lang w:val="ru-RU"/>
              </w:rPr>
              <w:t>суперфиция</w:t>
            </w:r>
            <w:proofErr w:type="spellEnd"/>
            <w:r w:rsidRPr="00622B5F">
              <w:rPr>
                <w:sz w:val="18"/>
                <w:szCs w:val="18"/>
                <w:lang w:val="ru-RU"/>
              </w:rPr>
              <w:t>", которым в настоящее время МСЭ может пользоваться до 2079 года в отношении всех своих строений</w:t>
            </w:r>
            <w:r w:rsidRPr="002C25C6">
              <w:rPr>
                <w:sz w:val="18"/>
                <w:szCs w:val="18"/>
                <w:lang w:val="ru-RU"/>
              </w:rPr>
              <w:t xml:space="preserve">. Вместе с тем власти Швейцарии уже заверили МСЭ в том, что условия, предоставленные МСЭ в настоящее время, не могут быть пересмотрены в сторону сокращения </w:t>
            </w:r>
            <w:r>
              <w:rPr>
                <w:sz w:val="18"/>
                <w:szCs w:val="18"/>
                <w:lang w:val="ru-RU"/>
              </w:rPr>
              <w:t>и что предельный срок до 2079 </w:t>
            </w:r>
            <w:r w:rsidRPr="002C25C6">
              <w:rPr>
                <w:sz w:val="18"/>
                <w:szCs w:val="18"/>
                <w:lang w:val="ru-RU"/>
              </w:rPr>
              <w:t>года не будет поставлен под сомнение ни при каких обстоятельствах. В начале</w:t>
            </w:r>
            <w:r w:rsidR="00870FF8">
              <w:rPr>
                <w:sz w:val="18"/>
                <w:szCs w:val="18"/>
                <w:lang w:val="ru-RU"/>
              </w:rPr>
              <w:t xml:space="preserve"> 2017 </w:t>
            </w:r>
            <w:r w:rsidRPr="002C25C6">
              <w:rPr>
                <w:sz w:val="18"/>
                <w:szCs w:val="18"/>
                <w:lang w:val="ru-RU"/>
              </w:rPr>
              <w:t xml:space="preserve">года будет учреждена рабочая группа в составе представителей МСЭ, кантона Женевы (землевладелец), Швейцарской Конфедерации и ФИПОИ для обсуждения конкретного вопроса о "праве </w:t>
            </w:r>
            <w:proofErr w:type="spellStart"/>
            <w:r w:rsidRPr="002C25C6">
              <w:rPr>
                <w:sz w:val="18"/>
                <w:szCs w:val="18"/>
                <w:lang w:val="ru-RU"/>
              </w:rPr>
              <w:t>суперфиция</w:t>
            </w:r>
            <w:proofErr w:type="spellEnd"/>
            <w:r w:rsidRPr="002C25C6">
              <w:rPr>
                <w:sz w:val="18"/>
                <w:szCs w:val="18"/>
                <w:lang w:val="ru-RU"/>
              </w:rPr>
              <w:t>".</w:t>
            </w:r>
          </w:p>
        </w:tc>
        <w:tc>
          <w:tcPr>
            <w:tcW w:w="2526" w:type="dxa"/>
            <w:tcBorders>
              <w:top w:val="single" w:sz="4" w:space="0" w:color="auto"/>
              <w:left w:val="single" w:sz="4" w:space="0" w:color="auto"/>
              <w:bottom w:val="single" w:sz="4" w:space="0" w:color="auto"/>
              <w:right w:val="single" w:sz="4" w:space="0" w:color="auto"/>
            </w:tcBorders>
          </w:tcPr>
          <w:p w:rsidR="00622B5F" w:rsidRPr="002C25C6" w:rsidRDefault="00622B5F" w:rsidP="00D12A14">
            <w:pPr>
              <w:spacing w:before="40" w:after="40"/>
              <w:rPr>
                <w:sz w:val="18"/>
                <w:szCs w:val="18"/>
                <w:lang w:val="ru-RU"/>
              </w:rPr>
            </w:pPr>
          </w:p>
        </w:tc>
      </w:tr>
      <w:tr w:rsidR="004A430C" w:rsidRPr="002C25C6" w:rsidTr="00B50CE5">
        <w:tblPrEx>
          <w:jc w:val="center"/>
        </w:tblPrEx>
        <w:trPr>
          <w:cantSplit/>
          <w:jc w:val="center"/>
        </w:trPr>
        <w:tc>
          <w:tcPr>
            <w:tcW w:w="1493" w:type="dxa"/>
            <w:tcBorders>
              <w:top w:val="single" w:sz="4" w:space="0" w:color="auto"/>
              <w:left w:val="single" w:sz="4" w:space="0" w:color="auto"/>
              <w:bottom w:val="single" w:sz="4" w:space="0" w:color="auto"/>
              <w:right w:val="single" w:sz="4" w:space="0" w:color="auto"/>
            </w:tcBorders>
          </w:tcPr>
          <w:p w:rsidR="004A430C" w:rsidRPr="002C25C6" w:rsidRDefault="004A430C" w:rsidP="00D12A14">
            <w:pPr>
              <w:spacing w:before="40" w:after="40"/>
              <w:rPr>
                <w:b/>
                <w:bCs/>
                <w:sz w:val="18"/>
                <w:szCs w:val="18"/>
                <w:lang w:val="ru-RU"/>
              </w:rPr>
            </w:pPr>
            <w:r w:rsidRPr="002C25C6">
              <w:rPr>
                <w:b/>
                <w:bCs/>
                <w:sz w:val="18"/>
                <w:szCs w:val="18"/>
                <w:lang w:val="ru-RU"/>
              </w:rPr>
              <w:lastRenderedPageBreak/>
              <w:t>Рек. 4/2012</w:t>
            </w:r>
          </w:p>
        </w:tc>
        <w:tc>
          <w:tcPr>
            <w:tcW w:w="3322" w:type="dxa"/>
            <w:tcBorders>
              <w:top w:val="single" w:sz="4" w:space="0" w:color="auto"/>
              <w:left w:val="single" w:sz="4" w:space="0" w:color="auto"/>
              <w:bottom w:val="single" w:sz="4" w:space="0" w:color="auto"/>
              <w:right w:val="single" w:sz="4" w:space="0" w:color="auto"/>
            </w:tcBorders>
          </w:tcPr>
          <w:p w:rsidR="004A430C" w:rsidRPr="002C25C6" w:rsidRDefault="004A430C" w:rsidP="00D12A14">
            <w:pPr>
              <w:spacing w:before="40" w:after="40"/>
              <w:rPr>
                <w:b/>
                <w:bCs/>
                <w:sz w:val="18"/>
                <w:szCs w:val="18"/>
                <w:lang w:val="ru-RU"/>
              </w:rPr>
            </w:pPr>
            <w:r w:rsidRPr="002C25C6">
              <w:rPr>
                <w:b/>
                <w:bCs/>
                <w:sz w:val="18"/>
                <w:szCs w:val="18"/>
                <w:lang w:val="ru-RU"/>
              </w:rPr>
              <w:t>Учет активов в реестре</w:t>
            </w:r>
          </w:p>
          <w:p w:rsidR="004A430C" w:rsidRPr="002C25C6" w:rsidRDefault="004A430C" w:rsidP="00D12A14">
            <w:pPr>
              <w:spacing w:before="40" w:after="40"/>
              <w:rPr>
                <w:sz w:val="18"/>
                <w:szCs w:val="18"/>
                <w:lang w:val="ru-RU"/>
              </w:rPr>
            </w:pPr>
            <w:r w:rsidRPr="002C25C6">
              <w:rPr>
                <w:sz w:val="18"/>
                <w:szCs w:val="18"/>
                <w:lang w:val="ru-RU"/>
              </w:rPr>
              <w:t xml:space="preserve">[…] мы провели проверку наличных запасов по некоторым категориям основного капитала на основе выборки предметов мебели и оборудования ИТ и отследили их в счетах. Мы заметили, что ответственные лица МСЭ из Отдела административно-хозяйственного управления (Департамент </w:t>
            </w:r>
            <w:proofErr w:type="spellStart"/>
            <w:r w:rsidRPr="002C25C6">
              <w:rPr>
                <w:sz w:val="18"/>
                <w:szCs w:val="18"/>
                <w:lang w:val="ru-RU"/>
              </w:rPr>
              <w:t>HRMD</w:t>
            </w:r>
            <w:proofErr w:type="spellEnd"/>
            <w:r w:rsidRPr="002C25C6">
              <w:rPr>
                <w:sz w:val="18"/>
                <w:szCs w:val="18"/>
                <w:lang w:val="ru-RU"/>
              </w:rPr>
              <w:t>) в ходе проверки наличных запасов на конец года не обнаружили некоторых активов (около 0,73% от стоимости приобретения соответствующих активов). Мы в курсе того, что при контроле было обнаружено, что часть этих активов в конце года не была найдена, но, тем не менее, мы рекомендовали руководству продолжить изучение этого вопроса и списать предметы, которые не будут обнаружены в течение 2013 г</w:t>
            </w:r>
            <w:r w:rsidR="00A023BA">
              <w:rPr>
                <w:sz w:val="18"/>
                <w:szCs w:val="18"/>
                <w:lang w:val="ru-RU"/>
              </w:rPr>
              <w:t>ода</w:t>
            </w:r>
            <w:r w:rsidRPr="002C25C6">
              <w:rPr>
                <w:sz w:val="18"/>
                <w:szCs w:val="18"/>
                <w:lang w:val="ru-RU"/>
              </w:rPr>
              <w:t>.</w:t>
            </w:r>
          </w:p>
        </w:tc>
        <w:tc>
          <w:tcPr>
            <w:tcW w:w="3544" w:type="dxa"/>
            <w:tcBorders>
              <w:top w:val="single" w:sz="4" w:space="0" w:color="auto"/>
              <w:left w:val="single" w:sz="4" w:space="0" w:color="auto"/>
              <w:bottom w:val="single" w:sz="4" w:space="0" w:color="auto"/>
              <w:right w:val="single" w:sz="4" w:space="0" w:color="auto"/>
            </w:tcBorders>
          </w:tcPr>
          <w:p w:rsidR="004A430C" w:rsidRPr="002C25C6" w:rsidRDefault="004A430C" w:rsidP="00D12A14">
            <w:pPr>
              <w:spacing w:before="40" w:after="40"/>
              <w:rPr>
                <w:sz w:val="18"/>
                <w:szCs w:val="18"/>
                <w:lang w:val="ru-RU"/>
              </w:rPr>
            </w:pPr>
            <w:r w:rsidRPr="002C25C6">
              <w:rPr>
                <w:sz w:val="18"/>
                <w:szCs w:val="18"/>
                <w:lang w:val="ru-RU"/>
              </w:rPr>
              <w:t xml:space="preserve">Я дам </w:t>
            </w:r>
            <w:proofErr w:type="spellStart"/>
            <w:r w:rsidRPr="002C25C6">
              <w:rPr>
                <w:sz w:val="18"/>
                <w:szCs w:val="18"/>
                <w:lang w:val="ru-RU"/>
              </w:rPr>
              <w:t>FRMD</w:t>
            </w:r>
            <w:proofErr w:type="spellEnd"/>
            <w:r w:rsidRPr="002C25C6">
              <w:rPr>
                <w:sz w:val="18"/>
                <w:szCs w:val="18"/>
                <w:lang w:val="ru-RU"/>
              </w:rPr>
              <w:t xml:space="preserve"> поручение координировать свою работу с Отделом административно-хозяйственного управления, </w:t>
            </w:r>
            <w:r w:rsidR="00870FF8">
              <w:rPr>
                <w:sz w:val="18"/>
                <w:szCs w:val="18"/>
                <w:lang w:val="ru-RU"/>
              </w:rPr>
              <w:t>с тем чтобы продолжить в 2013 году</w:t>
            </w:r>
            <w:r w:rsidRPr="002C25C6">
              <w:rPr>
                <w:sz w:val="18"/>
                <w:szCs w:val="18"/>
                <w:lang w:val="ru-RU"/>
              </w:rPr>
              <w:t xml:space="preserve"> эти усилия, и представлю пояснения по поводу существования и порядка действий в отношении позиций, которые не были охвачены при проверке запасов.</w:t>
            </w:r>
          </w:p>
        </w:tc>
        <w:tc>
          <w:tcPr>
            <w:tcW w:w="3674" w:type="dxa"/>
            <w:tcBorders>
              <w:top w:val="single" w:sz="4" w:space="0" w:color="auto"/>
              <w:left w:val="single" w:sz="4" w:space="0" w:color="auto"/>
              <w:bottom w:val="single" w:sz="4" w:space="0" w:color="auto"/>
              <w:right w:val="single" w:sz="4" w:space="0" w:color="auto"/>
            </w:tcBorders>
          </w:tcPr>
          <w:p w:rsidR="004A430C" w:rsidRPr="002C25C6" w:rsidRDefault="004A430C" w:rsidP="00D12A14">
            <w:pPr>
              <w:spacing w:before="40" w:after="40"/>
              <w:rPr>
                <w:sz w:val="18"/>
                <w:szCs w:val="18"/>
                <w:lang w:val="ru-RU"/>
              </w:rPr>
            </w:pPr>
            <w:r w:rsidRPr="002C25C6">
              <w:rPr>
                <w:sz w:val="18"/>
                <w:szCs w:val="18"/>
                <w:lang w:val="ru-RU"/>
              </w:rPr>
              <w:t xml:space="preserve">Процесс выявления и определения местонахождения и/или списания активов, не обнаруженных в ходе проверки запасов, был начат в прошлых годах и продолжается согласно плану. </w:t>
            </w:r>
          </w:p>
          <w:p w:rsidR="004A430C" w:rsidRPr="002C25C6" w:rsidRDefault="004A430C" w:rsidP="00E563C9">
            <w:pPr>
              <w:spacing w:before="40" w:after="40"/>
              <w:rPr>
                <w:sz w:val="18"/>
                <w:szCs w:val="18"/>
                <w:lang w:val="ru-RU"/>
              </w:rPr>
            </w:pPr>
            <w:r w:rsidRPr="002C25C6">
              <w:rPr>
                <w:b/>
                <w:bCs/>
                <w:sz w:val="18"/>
                <w:szCs w:val="18"/>
                <w:lang w:val="ru-RU"/>
              </w:rPr>
              <w:t>В конце 2014 г</w:t>
            </w:r>
            <w:r w:rsidR="00E563C9">
              <w:rPr>
                <w:b/>
                <w:bCs/>
                <w:sz w:val="18"/>
                <w:szCs w:val="18"/>
                <w:lang w:val="ru-RU"/>
              </w:rPr>
              <w:t>ода</w:t>
            </w:r>
            <w:r w:rsidRPr="002C25C6">
              <w:rPr>
                <w:sz w:val="18"/>
                <w:szCs w:val="18"/>
                <w:lang w:val="ru-RU"/>
              </w:rPr>
              <w:t xml:space="preserve"> стоимость необнаруженных активов существенно сократи</w:t>
            </w:r>
            <w:r w:rsidR="00E563C9">
              <w:rPr>
                <w:sz w:val="18"/>
                <w:szCs w:val="18"/>
                <w:lang w:val="ru-RU"/>
              </w:rPr>
              <w:t>лась на 83% по сравнению с 2012 </w:t>
            </w:r>
            <w:r w:rsidRPr="002C25C6">
              <w:rPr>
                <w:sz w:val="18"/>
                <w:szCs w:val="18"/>
                <w:lang w:val="ru-RU"/>
              </w:rPr>
              <w:t>г</w:t>
            </w:r>
            <w:r w:rsidR="00A023BA">
              <w:rPr>
                <w:sz w:val="18"/>
                <w:szCs w:val="18"/>
                <w:lang w:val="ru-RU"/>
              </w:rPr>
              <w:t>ода</w:t>
            </w:r>
            <w:r w:rsidRPr="002C25C6">
              <w:rPr>
                <w:sz w:val="18"/>
                <w:szCs w:val="18"/>
                <w:lang w:val="ru-RU"/>
              </w:rPr>
              <w:t xml:space="preserve">. </w:t>
            </w:r>
          </w:p>
          <w:p w:rsidR="00E563C9" w:rsidRDefault="004A430C" w:rsidP="00D12A14">
            <w:pPr>
              <w:spacing w:before="40" w:after="40"/>
              <w:rPr>
                <w:sz w:val="18"/>
                <w:szCs w:val="18"/>
                <w:lang w:val="ru-RU"/>
              </w:rPr>
            </w:pPr>
            <w:r w:rsidRPr="002C25C6">
              <w:rPr>
                <w:b/>
                <w:bCs/>
                <w:sz w:val="18"/>
                <w:szCs w:val="18"/>
                <w:lang w:val="ru-RU"/>
              </w:rPr>
              <w:t>Обновление</w:t>
            </w:r>
            <w:r w:rsidR="00204D14">
              <w:rPr>
                <w:b/>
                <w:bCs/>
                <w:sz w:val="18"/>
                <w:szCs w:val="18"/>
                <w:lang w:val="ru-RU"/>
              </w:rPr>
              <w:t>,</w:t>
            </w:r>
            <w:r w:rsidRPr="002C25C6">
              <w:rPr>
                <w:b/>
                <w:bCs/>
                <w:sz w:val="18"/>
                <w:szCs w:val="18"/>
                <w:lang w:val="ru-RU"/>
              </w:rPr>
              <w:t xml:space="preserve"> по состоянию на конец января 2016 г</w:t>
            </w:r>
            <w:r w:rsidRPr="00E563C9">
              <w:rPr>
                <w:sz w:val="18"/>
                <w:szCs w:val="18"/>
                <w:lang w:val="ru-RU"/>
              </w:rPr>
              <w:t>.</w:t>
            </w:r>
          </w:p>
          <w:p w:rsidR="004A430C" w:rsidRPr="002C25C6" w:rsidRDefault="004A430C" w:rsidP="00D12A14">
            <w:pPr>
              <w:spacing w:before="40" w:after="40"/>
              <w:rPr>
                <w:sz w:val="18"/>
                <w:szCs w:val="18"/>
                <w:lang w:val="ru-RU"/>
              </w:rPr>
            </w:pPr>
            <w:r w:rsidRPr="002C25C6">
              <w:rPr>
                <w:sz w:val="18"/>
                <w:szCs w:val="18"/>
                <w:lang w:val="ru-RU"/>
              </w:rPr>
              <w:t>Уровень выявления активов, которые не были обнаружены, станет известен по завершении инвентаризации наличных запасов 31 декабря 2015 г</w:t>
            </w:r>
            <w:r w:rsidR="00A023BA">
              <w:rPr>
                <w:sz w:val="18"/>
                <w:szCs w:val="18"/>
                <w:lang w:val="ru-RU"/>
              </w:rPr>
              <w:t>ода</w:t>
            </w:r>
            <w:r w:rsidRPr="002C25C6">
              <w:rPr>
                <w:sz w:val="18"/>
                <w:szCs w:val="18"/>
                <w:lang w:val="ru-RU"/>
              </w:rPr>
              <w:t>.</w:t>
            </w:r>
          </w:p>
          <w:p w:rsidR="00E563C9" w:rsidRDefault="004A430C" w:rsidP="00A023BA">
            <w:pPr>
              <w:spacing w:before="40" w:after="40"/>
              <w:rPr>
                <w:sz w:val="18"/>
                <w:szCs w:val="18"/>
                <w:lang w:val="ru-RU"/>
              </w:rPr>
            </w:pPr>
            <w:r w:rsidRPr="002C25C6">
              <w:rPr>
                <w:b/>
                <w:bCs/>
                <w:sz w:val="18"/>
                <w:szCs w:val="18"/>
                <w:lang w:val="ru-RU"/>
              </w:rPr>
              <w:t>Обновление</w:t>
            </w:r>
            <w:r w:rsidR="00204D14">
              <w:rPr>
                <w:b/>
                <w:bCs/>
                <w:sz w:val="18"/>
                <w:szCs w:val="18"/>
                <w:lang w:val="ru-RU"/>
              </w:rPr>
              <w:t>,</w:t>
            </w:r>
            <w:r w:rsidRPr="002C25C6">
              <w:rPr>
                <w:b/>
                <w:bCs/>
                <w:sz w:val="18"/>
                <w:szCs w:val="18"/>
                <w:lang w:val="ru-RU"/>
              </w:rPr>
              <w:t xml:space="preserve"> по состоянию на конец апреля 2017 г</w:t>
            </w:r>
            <w:r w:rsidRPr="00E563C9">
              <w:rPr>
                <w:sz w:val="18"/>
                <w:szCs w:val="18"/>
                <w:lang w:val="ru-RU"/>
              </w:rPr>
              <w:t>.</w:t>
            </w:r>
          </w:p>
          <w:p w:rsidR="004A430C" w:rsidRPr="002C25C6" w:rsidRDefault="00A023BA" w:rsidP="00A023BA">
            <w:pPr>
              <w:spacing w:before="40" w:after="40"/>
              <w:rPr>
                <w:sz w:val="18"/>
                <w:szCs w:val="18"/>
                <w:lang w:val="ru-RU"/>
              </w:rPr>
            </w:pPr>
            <w:r>
              <w:rPr>
                <w:sz w:val="18"/>
                <w:szCs w:val="18"/>
                <w:lang w:val="ru-RU"/>
              </w:rPr>
              <w:t>По состоянию на 31 декабря 2016 </w:t>
            </w:r>
            <w:r w:rsidR="004A430C" w:rsidRPr="002C25C6">
              <w:rPr>
                <w:sz w:val="18"/>
                <w:szCs w:val="18"/>
                <w:lang w:val="ru-RU"/>
              </w:rPr>
              <w:t>года</w:t>
            </w:r>
            <w:r>
              <w:rPr>
                <w:sz w:val="18"/>
                <w:szCs w:val="18"/>
                <w:lang w:val="ru-RU"/>
              </w:rPr>
              <w:t>,</w:t>
            </w:r>
            <w:r w:rsidR="004A430C" w:rsidRPr="002C25C6">
              <w:rPr>
                <w:sz w:val="18"/>
                <w:szCs w:val="18"/>
                <w:lang w:val="ru-RU"/>
              </w:rPr>
              <w:t xml:space="preserve"> ситуация с возвращенными активами</w:t>
            </w:r>
            <w:r>
              <w:rPr>
                <w:sz w:val="18"/>
                <w:szCs w:val="18"/>
                <w:lang w:val="ru-RU"/>
              </w:rPr>
              <w:t xml:space="preserve"> улучшилась по сравнению с 2014 </w:t>
            </w:r>
            <w:r w:rsidR="004A430C" w:rsidRPr="002C25C6">
              <w:rPr>
                <w:sz w:val="18"/>
                <w:szCs w:val="18"/>
                <w:lang w:val="ru-RU"/>
              </w:rPr>
              <w:t>годом и предыдущими годами. Аналогичные действия предпринимались в течение</w:t>
            </w:r>
            <w:r>
              <w:rPr>
                <w:sz w:val="18"/>
                <w:szCs w:val="18"/>
                <w:lang w:val="ru-RU"/>
              </w:rPr>
              <w:t xml:space="preserve"> 2016 </w:t>
            </w:r>
            <w:r w:rsidR="004A430C" w:rsidRPr="002C25C6">
              <w:rPr>
                <w:sz w:val="18"/>
                <w:szCs w:val="18"/>
                <w:lang w:val="ru-RU"/>
              </w:rPr>
              <w:t>года. Для сравнения, стоимость активов, не найденных</w:t>
            </w:r>
            <w:r>
              <w:rPr>
                <w:sz w:val="18"/>
                <w:szCs w:val="18"/>
                <w:lang w:val="ru-RU"/>
              </w:rPr>
              <w:t>,</w:t>
            </w:r>
            <w:r w:rsidR="004A430C" w:rsidRPr="002C25C6">
              <w:rPr>
                <w:sz w:val="18"/>
                <w:szCs w:val="18"/>
                <w:lang w:val="ru-RU"/>
              </w:rPr>
              <w:t xml:space="preserve"> по состоянию на</w:t>
            </w:r>
            <w:r w:rsidR="00E563C9">
              <w:rPr>
                <w:sz w:val="18"/>
                <w:szCs w:val="18"/>
                <w:lang w:val="ru-RU"/>
              </w:rPr>
              <w:t xml:space="preserve"> 31 </w:t>
            </w:r>
            <w:r w:rsidR="004A430C" w:rsidRPr="002C25C6">
              <w:rPr>
                <w:sz w:val="18"/>
                <w:szCs w:val="18"/>
                <w:lang w:val="ru-RU"/>
              </w:rPr>
              <w:t>декабря 2012 года, составляла 392</w:t>
            </w:r>
            <w:r w:rsidR="00E563C9">
              <w:rPr>
                <w:sz w:val="18"/>
                <w:szCs w:val="18"/>
                <w:lang w:val="ru-RU"/>
              </w:rPr>
              <w:t> 744 </w:t>
            </w:r>
            <w:r w:rsidR="004A430C" w:rsidRPr="002C25C6">
              <w:rPr>
                <w:sz w:val="18"/>
                <w:szCs w:val="18"/>
                <w:lang w:val="ru-RU"/>
              </w:rPr>
              <w:t>шв. фр.</w:t>
            </w:r>
            <w:r w:rsidR="004749D6">
              <w:rPr>
                <w:sz w:val="18"/>
                <w:szCs w:val="18"/>
                <w:lang w:val="ru-RU"/>
              </w:rPr>
              <w:t xml:space="preserve"> по с</w:t>
            </w:r>
            <w:r w:rsidR="004A430C" w:rsidRPr="002C25C6">
              <w:rPr>
                <w:sz w:val="18"/>
                <w:szCs w:val="18"/>
                <w:lang w:val="ru-RU"/>
              </w:rPr>
              <w:t>равнению с 22</w:t>
            </w:r>
            <w:r>
              <w:rPr>
                <w:sz w:val="18"/>
                <w:szCs w:val="18"/>
                <w:lang w:val="ru-RU"/>
              </w:rPr>
              <w:t> </w:t>
            </w:r>
            <w:r w:rsidR="00E563C9">
              <w:rPr>
                <w:sz w:val="18"/>
                <w:szCs w:val="18"/>
                <w:lang w:val="ru-RU"/>
              </w:rPr>
              <w:t>024 шв. </w:t>
            </w:r>
            <w:r w:rsidR="004A430C" w:rsidRPr="002C25C6">
              <w:rPr>
                <w:sz w:val="18"/>
                <w:szCs w:val="18"/>
                <w:lang w:val="ru-RU"/>
              </w:rPr>
              <w:t>фр.</w:t>
            </w:r>
            <w:r>
              <w:rPr>
                <w:sz w:val="18"/>
                <w:szCs w:val="18"/>
                <w:lang w:val="ru-RU"/>
              </w:rPr>
              <w:t>,</w:t>
            </w:r>
            <w:r w:rsidR="004A430C" w:rsidRPr="002C25C6">
              <w:rPr>
                <w:sz w:val="18"/>
                <w:szCs w:val="18"/>
                <w:lang w:val="ru-RU"/>
              </w:rPr>
              <w:t xml:space="preserve"> по состоянию на 31 декабря 2016</w:t>
            </w:r>
            <w:r>
              <w:rPr>
                <w:sz w:val="18"/>
                <w:szCs w:val="18"/>
                <w:lang w:val="ru-RU"/>
              </w:rPr>
              <w:t> </w:t>
            </w:r>
            <w:r w:rsidR="004A430C" w:rsidRPr="002C25C6">
              <w:rPr>
                <w:sz w:val="18"/>
                <w:szCs w:val="18"/>
                <w:lang w:val="ru-RU"/>
              </w:rPr>
              <w:t>года.</w:t>
            </w:r>
          </w:p>
        </w:tc>
        <w:tc>
          <w:tcPr>
            <w:tcW w:w="2526" w:type="dxa"/>
            <w:tcBorders>
              <w:top w:val="single" w:sz="4" w:space="0" w:color="auto"/>
              <w:left w:val="single" w:sz="4" w:space="0" w:color="auto"/>
              <w:bottom w:val="single" w:sz="4" w:space="0" w:color="auto"/>
              <w:right w:val="single" w:sz="4" w:space="0" w:color="auto"/>
            </w:tcBorders>
          </w:tcPr>
          <w:p w:rsidR="004A430C" w:rsidRPr="002C25C6" w:rsidRDefault="004A430C" w:rsidP="00D12A14">
            <w:pPr>
              <w:spacing w:before="40" w:after="40"/>
              <w:rPr>
                <w:sz w:val="18"/>
                <w:szCs w:val="18"/>
                <w:lang w:val="ru-RU"/>
              </w:rPr>
            </w:pPr>
            <w:r w:rsidRPr="002C25C6">
              <w:rPr>
                <w:sz w:val="18"/>
                <w:szCs w:val="18"/>
                <w:lang w:val="ru-RU"/>
              </w:rPr>
              <w:t>В процессе выполнения.</w:t>
            </w:r>
          </w:p>
        </w:tc>
      </w:tr>
      <w:tr w:rsidR="004A430C" w:rsidRPr="002C25C6" w:rsidTr="00B50CE5">
        <w:tblPrEx>
          <w:jc w:val="center"/>
        </w:tblPrEx>
        <w:trPr>
          <w:trHeight w:val="2423"/>
          <w:jc w:val="center"/>
        </w:trPr>
        <w:tc>
          <w:tcPr>
            <w:tcW w:w="1493" w:type="dxa"/>
            <w:tcBorders>
              <w:top w:val="single" w:sz="4" w:space="0" w:color="auto"/>
              <w:left w:val="single" w:sz="4" w:space="0" w:color="auto"/>
              <w:bottom w:val="single" w:sz="4" w:space="0" w:color="auto"/>
              <w:right w:val="single" w:sz="4" w:space="0" w:color="auto"/>
            </w:tcBorders>
          </w:tcPr>
          <w:p w:rsidR="004A430C" w:rsidRPr="002C25C6" w:rsidRDefault="004A430C" w:rsidP="00622B5F">
            <w:pPr>
              <w:keepNext/>
              <w:keepLines/>
              <w:spacing w:before="40" w:after="40"/>
              <w:rPr>
                <w:b/>
                <w:bCs/>
                <w:sz w:val="18"/>
                <w:szCs w:val="18"/>
                <w:lang w:val="ru-RU"/>
              </w:rPr>
            </w:pPr>
            <w:r w:rsidRPr="002C25C6">
              <w:rPr>
                <w:b/>
                <w:bCs/>
                <w:sz w:val="18"/>
                <w:szCs w:val="18"/>
                <w:lang w:val="ru-RU"/>
              </w:rPr>
              <w:lastRenderedPageBreak/>
              <w:t>Рек. 10/2012</w:t>
            </w:r>
          </w:p>
        </w:tc>
        <w:tc>
          <w:tcPr>
            <w:tcW w:w="3322" w:type="dxa"/>
            <w:tcBorders>
              <w:top w:val="single" w:sz="4" w:space="0" w:color="auto"/>
              <w:left w:val="single" w:sz="4" w:space="0" w:color="auto"/>
              <w:bottom w:val="single" w:sz="4" w:space="0" w:color="auto"/>
              <w:right w:val="single" w:sz="4" w:space="0" w:color="auto"/>
            </w:tcBorders>
          </w:tcPr>
          <w:p w:rsidR="004A430C" w:rsidRPr="002C25C6" w:rsidRDefault="004A430C" w:rsidP="00D12A14">
            <w:pPr>
              <w:spacing w:before="40" w:after="40"/>
              <w:rPr>
                <w:b/>
                <w:bCs/>
                <w:sz w:val="18"/>
                <w:szCs w:val="18"/>
                <w:lang w:val="ru-RU"/>
              </w:rPr>
            </w:pPr>
            <w:r w:rsidRPr="002C25C6">
              <w:rPr>
                <w:b/>
                <w:bCs/>
                <w:sz w:val="18"/>
                <w:szCs w:val="18"/>
                <w:lang w:val="ru-RU"/>
              </w:rPr>
              <w:t>Перевод в цифровую форму досье сотрудников</w:t>
            </w:r>
          </w:p>
          <w:p w:rsidR="004A430C" w:rsidRPr="002C25C6" w:rsidRDefault="004A430C" w:rsidP="00AA4F19">
            <w:pPr>
              <w:spacing w:before="40" w:after="40"/>
              <w:rPr>
                <w:sz w:val="18"/>
                <w:szCs w:val="18"/>
                <w:lang w:val="ru-RU"/>
              </w:rPr>
            </w:pPr>
            <w:r w:rsidRPr="002C25C6">
              <w:rPr>
                <w:sz w:val="18"/>
                <w:szCs w:val="18"/>
                <w:lang w:val="ru-RU"/>
              </w:rPr>
              <w:t xml:space="preserve">Хотя проведенный нами анализ соответствия данных, введенных в систему ИТ, с досье сотрудников не выявил каких-либо серьезных проблем, мы рекомендовали руководству начать оценку экономической эффективности перевода в цифровую форму досье сотрудников не только для предотвращения потери важных данных в результате случайного события, но и для обеспечения прямого интерфейса между досье сотрудников с SAP </w:t>
            </w:r>
            <w:proofErr w:type="spellStart"/>
            <w:r w:rsidRPr="002C25C6">
              <w:rPr>
                <w:sz w:val="18"/>
                <w:szCs w:val="18"/>
                <w:lang w:val="ru-RU"/>
              </w:rPr>
              <w:t>HR</w:t>
            </w:r>
            <w:proofErr w:type="spellEnd"/>
            <w:r w:rsidRPr="002C25C6">
              <w:rPr>
                <w:sz w:val="18"/>
                <w:szCs w:val="18"/>
                <w:lang w:val="ru-RU"/>
              </w:rPr>
              <w:t>.</w:t>
            </w:r>
          </w:p>
        </w:tc>
        <w:tc>
          <w:tcPr>
            <w:tcW w:w="3544" w:type="dxa"/>
            <w:tcBorders>
              <w:top w:val="single" w:sz="4" w:space="0" w:color="auto"/>
              <w:left w:val="single" w:sz="4" w:space="0" w:color="auto"/>
              <w:bottom w:val="single" w:sz="4" w:space="0" w:color="auto"/>
              <w:right w:val="single" w:sz="4" w:space="0" w:color="auto"/>
            </w:tcBorders>
          </w:tcPr>
          <w:p w:rsidR="004A430C" w:rsidRPr="002C25C6" w:rsidRDefault="004A430C" w:rsidP="00D12A14">
            <w:pPr>
              <w:spacing w:before="40" w:after="40"/>
              <w:rPr>
                <w:sz w:val="18"/>
                <w:szCs w:val="18"/>
                <w:lang w:val="ru-RU"/>
              </w:rPr>
            </w:pPr>
            <w:r w:rsidRPr="002C25C6">
              <w:rPr>
                <w:sz w:val="18"/>
                <w:szCs w:val="18"/>
                <w:lang w:val="ru-RU"/>
              </w:rPr>
              <w:t xml:space="preserve">Я принимаю к сведению данную рекомендацию и сообщаю вам, что департамент </w:t>
            </w:r>
            <w:proofErr w:type="spellStart"/>
            <w:r w:rsidRPr="002C25C6">
              <w:rPr>
                <w:sz w:val="18"/>
                <w:szCs w:val="18"/>
                <w:lang w:val="ru-RU"/>
              </w:rPr>
              <w:t>HRMD</w:t>
            </w:r>
            <w:proofErr w:type="spellEnd"/>
            <w:r w:rsidRPr="002C25C6">
              <w:rPr>
                <w:sz w:val="18"/>
                <w:szCs w:val="18"/>
                <w:lang w:val="ru-RU"/>
              </w:rPr>
              <w:t xml:space="preserve"> изучает эту возможность.</w:t>
            </w:r>
          </w:p>
        </w:tc>
        <w:tc>
          <w:tcPr>
            <w:tcW w:w="3674" w:type="dxa"/>
            <w:tcBorders>
              <w:top w:val="single" w:sz="4" w:space="0" w:color="auto"/>
              <w:left w:val="single" w:sz="4" w:space="0" w:color="auto"/>
              <w:bottom w:val="single" w:sz="4" w:space="0" w:color="auto"/>
              <w:right w:val="single" w:sz="4" w:space="0" w:color="auto"/>
            </w:tcBorders>
          </w:tcPr>
          <w:p w:rsidR="004A430C" w:rsidRPr="002C25C6" w:rsidRDefault="004A430C" w:rsidP="00D12A14">
            <w:pPr>
              <w:spacing w:before="40" w:after="40"/>
              <w:rPr>
                <w:sz w:val="18"/>
                <w:szCs w:val="18"/>
                <w:lang w:val="ru-RU"/>
              </w:rPr>
            </w:pPr>
            <w:r w:rsidRPr="002C25C6">
              <w:rPr>
                <w:sz w:val="18"/>
                <w:szCs w:val="18"/>
                <w:lang w:val="ru-RU"/>
              </w:rPr>
              <w:t>Подробный концептуальный проект (</w:t>
            </w:r>
            <w:proofErr w:type="spellStart"/>
            <w:r w:rsidRPr="002C25C6">
              <w:rPr>
                <w:sz w:val="18"/>
                <w:szCs w:val="18"/>
                <w:lang w:val="ru-RU"/>
              </w:rPr>
              <w:t>DBBP</w:t>
            </w:r>
            <w:proofErr w:type="spellEnd"/>
            <w:r w:rsidRPr="002C25C6">
              <w:rPr>
                <w:sz w:val="18"/>
                <w:szCs w:val="18"/>
                <w:lang w:val="ru-RU"/>
              </w:rPr>
              <w:t>) системы электронных личных дел сотрудников (ведения цифровых личных дел) был составлен 19 апреля 2013 г</w:t>
            </w:r>
            <w:r w:rsidR="00A023BA">
              <w:rPr>
                <w:sz w:val="18"/>
                <w:szCs w:val="18"/>
                <w:lang w:val="ru-RU"/>
              </w:rPr>
              <w:t>ода</w:t>
            </w:r>
            <w:r w:rsidRPr="002C25C6">
              <w:rPr>
                <w:sz w:val="18"/>
                <w:szCs w:val="18"/>
                <w:lang w:val="ru-RU"/>
              </w:rPr>
              <w:t>.</w:t>
            </w:r>
          </w:p>
          <w:p w:rsidR="004A430C" w:rsidRPr="002C25C6" w:rsidRDefault="004A430C" w:rsidP="00D12A14">
            <w:pPr>
              <w:spacing w:before="40" w:after="40"/>
              <w:rPr>
                <w:sz w:val="18"/>
                <w:szCs w:val="18"/>
                <w:lang w:val="ru-RU"/>
              </w:rPr>
            </w:pPr>
            <w:r w:rsidRPr="002C25C6">
              <w:rPr>
                <w:sz w:val="18"/>
                <w:szCs w:val="18"/>
                <w:lang w:val="ru-RU"/>
              </w:rPr>
              <w:t xml:space="preserve">Этот </w:t>
            </w:r>
            <w:proofErr w:type="spellStart"/>
            <w:r w:rsidRPr="002C25C6">
              <w:rPr>
                <w:sz w:val="18"/>
                <w:szCs w:val="18"/>
                <w:lang w:val="ru-RU"/>
              </w:rPr>
              <w:t>DBBP</w:t>
            </w:r>
            <w:proofErr w:type="spellEnd"/>
            <w:r w:rsidRPr="002C25C6">
              <w:rPr>
                <w:sz w:val="18"/>
                <w:szCs w:val="18"/>
                <w:lang w:val="ru-RU"/>
              </w:rPr>
              <w:t xml:space="preserve"> включает бизнес-процессы </w:t>
            </w:r>
            <w:proofErr w:type="spellStart"/>
            <w:r w:rsidRPr="002C25C6">
              <w:rPr>
                <w:sz w:val="18"/>
                <w:szCs w:val="18"/>
                <w:lang w:val="ru-RU"/>
              </w:rPr>
              <w:t>HRAD</w:t>
            </w:r>
            <w:proofErr w:type="spellEnd"/>
            <w:r w:rsidRPr="002C25C6">
              <w:rPr>
                <w:sz w:val="18"/>
                <w:szCs w:val="18"/>
                <w:lang w:val="ru-RU"/>
              </w:rPr>
              <w:t xml:space="preserve"> (служба </w:t>
            </w:r>
            <w:proofErr w:type="spellStart"/>
            <w:r w:rsidRPr="002C25C6">
              <w:rPr>
                <w:sz w:val="18"/>
                <w:szCs w:val="18"/>
                <w:lang w:val="ru-RU"/>
              </w:rPr>
              <w:t>E&amp;B</w:t>
            </w:r>
            <w:proofErr w:type="spellEnd"/>
            <w:r w:rsidRPr="002C25C6">
              <w:rPr>
                <w:sz w:val="18"/>
                <w:szCs w:val="18"/>
                <w:lang w:val="ru-RU"/>
              </w:rPr>
              <w:t>) и отображение структуры личного дела сотрудника (в бумажном виде). Эта система связана с SAP-</w:t>
            </w:r>
            <w:proofErr w:type="spellStart"/>
            <w:r w:rsidRPr="002C25C6">
              <w:rPr>
                <w:sz w:val="18"/>
                <w:szCs w:val="18"/>
                <w:lang w:val="ru-RU"/>
              </w:rPr>
              <w:t>ERP_HCM</w:t>
            </w:r>
            <w:proofErr w:type="spellEnd"/>
            <w:r w:rsidRPr="002C25C6">
              <w:rPr>
                <w:sz w:val="18"/>
                <w:szCs w:val="18"/>
                <w:lang w:val="ru-RU"/>
              </w:rPr>
              <w:t xml:space="preserve">. </w:t>
            </w:r>
          </w:p>
          <w:p w:rsidR="00E563C9" w:rsidRDefault="004A430C" w:rsidP="00D12A14">
            <w:pPr>
              <w:spacing w:before="40" w:after="40"/>
              <w:rPr>
                <w:b/>
                <w:bCs/>
                <w:sz w:val="18"/>
                <w:szCs w:val="18"/>
                <w:lang w:val="ru-RU"/>
              </w:rPr>
            </w:pPr>
            <w:r w:rsidRPr="002C25C6">
              <w:rPr>
                <w:b/>
                <w:bCs/>
                <w:sz w:val="18"/>
                <w:szCs w:val="18"/>
                <w:lang w:val="ru-RU"/>
              </w:rPr>
              <w:t>Обновление</w:t>
            </w:r>
            <w:r w:rsidR="00204D14">
              <w:rPr>
                <w:b/>
                <w:bCs/>
                <w:sz w:val="18"/>
                <w:szCs w:val="18"/>
                <w:lang w:val="ru-RU"/>
              </w:rPr>
              <w:t>, по состоянию</w:t>
            </w:r>
            <w:r w:rsidRPr="002C25C6">
              <w:rPr>
                <w:b/>
                <w:bCs/>
                <w:sz w:val="18"/>
                <w:szCs w:val="18"/>
                <w:lang w:val="ru-RU"/>
              </w:rPr>
              <w:t xml:space="preserve"> на конец января 2015 г</w:t>
            </w:r>
            <w:r w:rsidRPr="00E563C9">
              <w:rPr>
                <w:sz w:val="18"/>
                <w:szCs w:val="18"/>
                <w:lang w:val="ru-RU"/>
              </w:rPr>
              <w:t>.</w:t>
            </w:r>
          </w:p>
          <w:p w:rsidR="004A430C" w:rsidRPr="002C25C6" w:rsidRDefault="004A430C" w:rsidP="00D12A14">
            <w:pPr>
              <w:spacing w:before="40" w:after="40"/>
              <w:rPr>
                <w:sz w:val="18"/>
                <w:szCs w:val="18"/>
                <w:lang w:val="ru-RU"/>
              </w:rPr>
            </w:pPr>
            <w:r w:rsidRPr="002C25C6">
              <w:rPr>
                <w:sz w:val="18"/>
                <w:szCs w:val="18"/>
                <w:lang w:val="ru-RU"/>
              </w:rPr>
              <w:t xml:space="preserve">Завершен первый этап создания этого инструмента. Система электронных личных дел сотрудников (ведения цифровых личных дел) теперь действует. </w:t>
            </w:r>
          </w:p>
          <w:p w:rsidR="004A430C" w:rsidRPr="002C25C6" w:rsidRDefault="004A430C" w:rsidP="004B3F98">
            <w:pPr>
              <w:keepNext/>
              <w:keepLines/>
              <w:spacing w:before="40" w:after="40"/>
              <w:rPr>
                <w:sz w:val="18"/>
                <w:szCs w:val="18"/>
                <w:lang w:val="ru-RU"/>
              </w:rPr>
            </w:pPr>
            <w:r w:rsidRPr="002C25C6">
              <w:rPr>
                <w:sz w:val="18"/>
                <w:szCs w:val="18"/>
                <w:lang w:val="ru-RU"/>
              </w:rPr>
              <w:t xml:space="preserve">Следующий этап работы, касающийся </w:t>
            </w:r>
            <w:proofErr w:type="spellStart"/>
            <w:r w:rsidRPr="002C25C6">
              <w:rPr>
                <w:sz w:val="18"/>
                <w:szCs w:val="18"/>
                <w:lang w:val="ru-RU"/>
              </w:rPr>
              <w:t>HRAD</w:t>
            </w:r>
            <w:proofErr w:type="spellEnd"/>
            <w:r w:rsidRPr="002C25C6">
              <w:rPr>
                <w:sz w:val="18"/>
                <w:szCs w:val="18"/>
                <w:lang w:val="ru-RU"/>
              </w:rPr>
              <w:t xml:space="preserve"> (служба </w:t>
            </w:r>
            <w:proofErr w:type="spellStart"/>
            <w:r w:rsidRPr="002C25C6">
              <w:rPr>
                <w:sz w:val="18"/>
                <w:szCs w:val="18"/>
                <w:lang w:val="ru-RU"/>
              </w:rPr>
              <w:t>E&amp;B</w:t>
            </w:r>
            <w:proofErr w:type="spellEnd"/>
            <w:r w:rsidRPr="002C25C6">
              <w:rPr>
                <w:sz w:val="18"/>
                <w:szCs w:val="18"/>
                <w:lang w:val="ru-RU"/>
              </w:rPr>
              <w:t>), посвящен, в основном, двум следующим различным тенденциям:</w:t>
            </w:r>
          </w:p>
          <w:p w:rsidR="004A430C" w:rsidRPr="002C25C6" w:rsidRDefault="004A430C" w:rsidP="00941FC5">
            <w:pPr>
              <w:tabs>
                <w:tab w:val="left" w:pos="284"/>
              </w:tabs>
              <w:spacing w:before="40" w:after="40"/>
              <w:ind w:left="284" w:hanging="284"/>
              <w:rPr>
                <w:sz w:val="18"/>
                <w:szCs w:val="18"/>
                <w:lang w:val="ru-RU"/>
              </w:rPr>
            </w:pPr>
            <w:r w:rsidRPr="002C25C6">
              <w:rPr>
                <w:sz w:val="18"/>
                <w:szCs w:val="18"/>
                <w:lang w:val="ru-RU"/>
              </w:rPr>
              <w:t>1)</w:t>
            </w:r>
            <w:r w:rsidRPr="002C25C6">
              <w:rPr>
                <w:sz w:val="18"/>
                <w:szCs w:val="18"/>
                <w:lang w:val="ru-RU"/>
              </w:rPr>
              <w:tab/>
              <w:t>сокращение ранее существовавших мест для хранения (шкафы, компьютеризованные справочники) для перенаправления потоков архивных документов в новую систему электронных личных дел;</w:t>
            </w:r>
          </w:p>
          <w:p w:rsidR="004A430C" w:rsidRPr="002C25C6" w:rsidRDefault="004A430C" w:rsidP="007407F7">
            <w:pPr>
              <w:tabs>
                <w:tab w:val="left" w:pos="284"/>
              </w:tabs>
              <w:spacing w:before="40" w:after="40"/>
              <w:ind w:left="284" w:hanging="284"/>
              <w:rPr>
                <w:sz w:val="18"/>
                <w:szCs w:val="18"/>
                <w:lang w:val="ru-RU"/>
              </w:rPr>
            </w:pPr>
            <w:r w:rsidRPr="002C25C6">
              <w:rPr>
                <w:sz w:val="18"/>
                <w:szCs w:val="18"/>
                <w:lang w:val="ru-RU"/>
              </w:rPr>
              <w:t>2)</w:t>
            </w:r>
            <w:r w:rsidRPr="002C25C6">
              <w:rPr>
                <w:sz w:val="18"/>
                <w:szCs w:val="18"/>
                <w:lang w:val="ru-RU"/>
              </w:rPr>
              <w:tab/>
              <w:t>сокращение числа бумажных документов в результате пересмотра методов работы (повторение, дублирование, ненужные распечатки и т. д.). Всегда будут существовать бумажные документы, так как по юридическим причинам должны храниться подписанные оригиналы документов, а также для удостоверения точности информации, занесенной в SAP</w:t>
            </w:r>
            <w:r w:rsidRPr="002C25C6">
              <w:rPr>
                <w:sz w:val="18"/>
                <w:szCs w:val="18"/>
                <w:lang w:val="ru-RU"/>
              </w:rPr>
              <w:noBreakHyphen/>
            </w:r>
            <w:proofErr w:type="spellStart"/>
            <w:r w:rsidRPr="002C25C6">
              <w:rPr>
                <w:sz w:val="18"/>
                <w:szCs w:val="18"/>
                <w:lang w:val="ru-RU"/>
              </w:rPr>
              <w:t>ERP_HCM</w:t>
            </w:r>
            <w:proofErr w:type="spellEnd"/>
            <w:r w:rsidRPr="002C25C6">
              <w:rPr>
                <w:sz w:val="18"/>
                <w:szCs w:val="18"/>
                <w:lang w:val="ru-RU"/>
              </w:rPr>
              <w:t>.</w:t>
            </w:r>
          </w:p>
        </w:tc>
        <w:tc>
          <w:tcPr>
            <w:tcW w:w="2526" w:type="dxa"/>
            <w:tcBorders>
              <w:top w:val="single" w:sz="4" w:space="0" w:color="auto"/>
              <w:left w:val="single" w:sz="4" w:space="0" w:color="auto"/>
              <w:bottom w:val="single" w:sz="4" w:space="0" w:color="auto"/>
              <w:right w:val="single" w:sz="4" w:space="0" w:color="auto"/>
            </w:tcBorders>
          </w:tcPr>
          <w:p w:rsidR="004A430C" w:rsidRPr="002C25C6" w:rsidRDefault="004A430C" w:rsidP="00D12A14">
            <w:pPr>
              <w:spacing w:before="40" w:after="40"/>
              <w:rPr>
                <w:sz w:val="18"/>
                <w:szCs w:val="18"/>
                <w:lang w:val="ru-RU"/>
              </w:rPr>
            </w:pPr>
            <w:r w:rsidRPr="002C25C6">
              <w:rPr>
                <w:sz w:val="18"/>
                <w:szCs w:val="18"/>
                <w:lang w:val="ru-RU"/>
              </w:rPr>
              <w:t xml:space="preserve"> </w:t>
            </w:r>
          </w:p>
        </w:tc>
      </w:tr>
      <w:tr w:rsidR="007407F7" w:rsidRPr="002C25C6" w:rsidTr="00B50CE5">
        <w:tblPrEx>
          <w:jc w:val="center"/>
        </w:tblPrEx>
        <w:trPr>
          <w:trHeight w:val="2423"/>
          <w:jc w:val="center"/>
        </w:trPr>
        <w:tc>
          <w:tcPr>
            <w:tcW w:w="1493" w:type="dxa"/>
            <w:tcBorders>
              <w:top w:val="single" w:sz="4" w:space="0" w:color="auto"/>
              <w:left w:val="single" w:sz="4" w:space="0" w:color="auto"/>
              <w:bottom w:val="single" w:sz="4" w:space="0" w:color="auto"/>
              <w:right w:val="single" w:sz="4" w:space="0" w:color="auto"/>
            </w:tcBorders>
          </w:tcPr>
          <w:p w:rsidR="007407F7" w:rsidRPr="002C25C6" w:rsidRDefault="007407F7" w:rsidP="00622B5F">
            <w:pPr>
              <w:keepNext/>
              <w:keepLines/>
              <w:spacing w:before="40" w:after="40"/>
              <w:rPr>
                <w:b/>
                <w:bCs/>
                <w:sz w:val="18"/>
                <w:szCs w:val="18"/>
                <w:lang w:val="ru-RU"/>
              </w:rPr>
            </w:pPr>
          </w:p>
        </w:tc>
        <w:tc>
          <w:tcPr>
            <w:tcW w:w="3322" w:type="dxa"/>
            <w:tcBorders>
              <w:top w:val="single" w:sz="4" w:space="0" w:color="auto"/>
              <w:left w:val="single" w:sz="4" w:space="0" w:color="auto"/>
              <w:bottom w:val="single" w:sz="4" w:space="0" w:color="auto"/>
              <w:right w:val="single" w:sz="4" w:space="0" w:color="auto"/>
            </w:tcBorders>
          </w:tcPr>
          <w:p w:rsidR="007407F7" w:rsidRPr="002C25C6" w:rsidRDefault="007407F7" w:rsidP="00D12A14">
            <w:pPr>
              <w:spacing w:before="40" w:after="40"/>
              <w:rPr>
                <w:b/>
                <w:bCs/>
                <w:sz w:val="18"/>
                <w:szCs w:val="18"/>
                <w:lang w:val="ru-RU"/>
              </w:rPr>
            </w:pPr>
          </w:p>
        </w:tc>
        <w:tc>
          <w:tcPr>
            <w:tcW w:w="3544" w:type="dxa"/>
            <w:tcBorders>
              <w:top w:val="single" w:sz="4" w:space="0" w:color="auto"/>
              <w:left w:val="single" w:sz="4" w:space="0" w:color="auto"/>
              <w:bottom w:val="single" w:sz="4" w:space="0" w:color="auto"/>
              <w:right w:val="single" w:sz="4" w:space="0" w:color="auto"/>
            </w:tcBorders>
          </w:tcPr>
          <w:p w:rsidR="007407F7" w:rsidRPr="002C25C6" w:rsidRDefault="007407F7" w:rsidP="00D12A14">
            <w:pPr>
              <w:spacing w:before="40" w:after="40"/>
              <w:rPr>
                <w:sz w:val="18"/>
                <w:szCs w:val="18"/>
                <w:lang w:val="ru-RU"/>
              </w:rPr>
            </w:pPr>
          </w:p>
        </w:tc>
        <w:tc>
          <w:tcPr>
            <w:tcW w:w="3674" w:type="dxa"/>
            <w:tcBorders>
              <w:top w:val="single" w:sz="4" w:space="0" w:color="auto"/>
              <w:left w:val="single" w:sz="4" w:space="0" w:color="auto"/>
              <w:bottom w:val="single" w:sz="4" w:space="0" w:color="auto"/>
              <w:right w:val="single" w:sz="4" w:space="0" w:color="auto"/>
            </w:tcBorders>
          </w:tcPr>
          <w:p w:rsidR="00E563C9" w:rsidRDefault="007407F7" w:rsidP="007407F7">
            <w:pPr>
              <w:keepNext/>
              <w:keepLines/>
              <w:spacing w:before="40" w:after="40"/>
              <w:rPr>
                <w:sz w:val="18"/>
                <w:szCs w:val="18"/>
                <w:lang w:val="ru-RU"/>
              </w:rPr>
            </w:pPr>
            <w:r w:rsidRPr="002C25C6">
              <w:rPr>
                <w:b/>
                <w:bCs/>
                <w:sz w:val="18"/>
                <w:szCs w:val="18"/>
                <w:lang w:val="ru-RU"/>
              </w:rPr>
              <w:t>Обновление</w:t>
            </w:r>
            <w:r w:rsidR="00204D14">
              <w:rPr>
                <w:b/>
                <w:bCs/>
                <w:sz w:val="18"/>
                <w:szCs w:val="18"/>
                <w:lang w:val="ru-RU"/>
              </w:rPr>
              <w:t>,</w:t>
            </w:r>
            <w:r w:rsidRPr="002C25C6">
              <w:rPr>
                <w:b/>
                <w:bCs/>
                <w:sz w:val="18"/>
                <w:szCs w:val="18"/>
                <w:lang w:val="ru-RU"/>
              </w:rPr>
              <w:t xml:space="preserve"> по состоянию на конец января 2016 г</w:t>
            </w:r>
            <w:r w:rsidRPr="00E563C9">
              <w:rPr>
                <w:sz w:val="18"/>
                <w:szCs w:val="18"/>
                <w:lang w:val="ru-RU"/>
              </w:rPr>
              <w:t>.</w:t>
            </w:r>
          </w:p>
          <w:p w:rsidR="007407F7" w:rsidRPr="002C25C6" w:rsidRDefault="007407F7" w:rsidP="007407F7">
            <w:pPr>
              <w:keepNext/>
              <w:keepLines/>
              <w:spacing w:before="40" w:after="40"/>
              <w:rPr>
                <w:sz w:val="18"/>
                <w:szCs w:val="18"/>
                <w:lang w:val="ru-RU"/>
              </w:rPr>
            </w:pPr>
            <w:r w:rsidRPr="002C25C6">
              <w:rPr>
                <w:sz w:val="18"/>
                <w:szCs w:val="18"/>
                <w:lang w:val="ru-RU"/>
              </w:rPr>
              <w:t xml:space="preserve">Осуществляется перевод в цифровую форму. </w:t>
            </w:r>
            <w:proofErr w:type="spellStart"/>
            <w:r w:rsidRPr="002C25C6">
              <w:rPr>
                <w:sz w:val="18"/>
                <w:szCs w:val="18"/>
                <w:lang w:val="ru-RU"/>
              </w:rPr>
              <w:t>HRMD</w:t>
            </w:r>
            <w:proofErr w:type="spellEnd"/>
            <w:r w:rsidRPr="002C25C6">
              <w:rPr>
                <w:sz w:val="18"/>
                <w:szCs w:val="18"/>
                <w:lang w:val="ru-RU"/>
              </w:rPr>
              <w:t xml:space="preserve"> проводит фундаментальный анализ всех своих процедур и потока документов, с тем чтобы создать инфраструктуру централизованного, организованного и безопасного управления электронной информацией в поддержку предоставления услуг </w:t>
            </w:r>
            <w:proofErr w:type="spellStart"/>
            <w:r w:rsidRPr="002C25C6">
              <w:rPr>
                <w:sz w:val="18"/>
                <w:szCs w:val="18"/>
                <w:lang w:val="ru-RU"/>
              </w:rPr>
              <w:t>HR</w:t>
            </w:r>
            <w:proofErr w:type="spellEnd"/>
            <w:r w:rsidRPr="002C25C6">
              <w:rPr>
                <w:sz w:val="18"/>
                <w:szCs w:val="18"/>
                <w:lang w:val="ru-RU"/>
              </w:rPr>
              <w:t>.</w:t>
            </w:r>
          </w:p>
          <w:p w:rsidR="00E563C9" w:rsidRDefault="007407F7" w:rsidP="007407F7">
            <w:pPr>
              <w:spacing w:before="40" w:after="40"/>
              <w:rPr>
                <w:sz w:val="18"/>
                <w:szCs w:val="18"/>
                <w:lang w:val="ru-RU"/>
              </w:rPr>
            </w:pPr>
            <w:r w:rsidRPr="002C25C6">
              <w:rPr>
                <w:b/>
                <w:bCs/>
                <w:sz w:val="18"/>
                <w:szCs w:val="18"/>
                <w:lang w:val="ru-RU"/>
              </w:rPr>
              <w:t>Обновление</w:t>
            </w:r>
            <w:r w:rsidR="00204D14">
              <w:rPr>
                <w:b/>
                <w:bCs/>
                <w:sz w:val="18"/>
                <w:szCs w:val="18"/>
                <w:lang w:val="ru-RU"/>
              </w:rPr>
              <w:t>,</w:t>
            </w:r>
            <w:r w:rsidRPr="002C25C6">
              <w:rPr>
                <w:b/>
                <w:bCs/>
                <w:sz w:val="18"/>
                <w:szCs w:val="18"/>
                <w:lang w:val="ru-RU"/>
              </w:rPr>
              <w:t xml:space="preserve"> по состоянию на конец апреля 2017 г</w:t>
            </w:r>
            <w:r w:rsidRPr="00E563C9">
              <w:rPr>
                <w:sz w:val="18"/>
                <w:szCs w:val="18"/>
                <w:lang w:val="ru-RU"/>
              </w:rPr>
              <w:t>.</w:t>
            </w:r>
          </w:p>
          <w:p w:rsidR="007407F7" w:rsidRPr="002C25C6" w:rsidRDefault="007407F7" w:rsidP="007407F7">
            <w:pPr>
              <w:spacing w:before="40" w:after="40"/>
              <w:rPr>
                <w:sz w:val="18"/>
                <w:szCs w:val="18"/>
                <w:lang w:val="ru-RU"/>
              </w:rPr>
            </w:pPr>
            <w:r w:rsidRPr="002C25C6">
              <w:rPr>
                <w:sz w:val="18"/>
                <w:szCs w:val="18"/>
                <w:lang w:val="ru-RU"/>
              </w:rPr>
              <w:t xml:space="preserve">Этот проект все еще находится на этапе осуществления. Как и прогнозировалось, его реализацией занимается один сотрудник </w:t>
            </w:r>
            <w:r w:rsidR="00A023BA" w:rsidRPr="002C25C6">
              <w:rPr>
                <w:sz w:val="18"/>
                <w:szCs w:val="18"/>
                <w:lang w:val="ru-RU"/>
              </w:rPr>
              <w:t xml:space="preserve">Департамента </w:t>
            </w:r>
            <w:proofErr w:type="spellStart"/>
            <w:r w:rsidRPr="002C25C6">
              <w:rPr>
                <w:sz w:val="18"/>
                <w:szCs w:val="18"/>
                <w:lang w:val="ru-RU"/>
              </w:rPr>
              <w:t>HRM</w:t>
            </w:r>
            <w:proofErr w:type="spellEnd"/>
            <w:r w:rsidRPr="002C25C6">
              <w:rPr>
                <w:sz w:val="18"/>
                <w:szCs w:val="18"/>
                <w:lang w:val="ru-RU"/>
              </w:rPr>
              <w:t>.</w:t>
            </w:r>
          </w:p>
        </w:tc>
        <w:tc>
          <w:tcPr>
            <w:tcW w:w="2526" w:type="dxa"/>
            <w:tcBorders>
              <w:top w:val="single" w:sz="4" w:space="0" w:color="auto"/>
              <w:left w:val="single" w:sz="4" w:space="0" w:color="auto"/>
              <w:bottom w:val="single" w:sz="4" w:space="0" w:color="auto"/>
              <w:right w:val="single" w:sz="4" w:space="0" w:color="auto"/>
            </w:tcBorders>
          </w:tcPr>
          <w:p w:rsidR="007407F7" w:rsidRPr="002C25C6" w:rsidRDefault="007407F7" w:rsidP="00D12A14">
            <w:pPr>
              <w:spacing w:before="40" w:after="40"/>
              <w:rPr>
                <w:sz w:val="18"/>
                <w:szCs w:val="18"/>
                <w:lang w:val="ru-RU"/>
              </w:rPr>
            </w:pPr>
          </w:p>
        </w:tc>
      </w:tr>
    </w:tbl>
    <w:p w:rsidR="004A430C" w:rsidRPr="002C25C6" w:rsidRDefault="004A430C" w:rsidP="00941FC5">
      <w:pPr>
        <w:rPr>
          <w:lang w:val="ru-RU"/>
        </w:rPr>
      </w:pPr>
      <w:r w:rsidRPr="002C25C6">
        <w:rPr>
          <w:lang w:val="ru-RU"/>
        </w:rPr>
        <w:br w:type="page"/>
      </w:r>
    </w:p>
    <w:p w:rsidR="004A430C" w:rsidRPr="002C25C6" w:rsidRDefault="004A430C" w:rsidP="00204D14">
      <w:pPr>
        <w:pStyle w:val="AnnexNo"/>
        <w:spacing w:before="0"/>
        <w:rPr>
          <w:lang w:val="ru-RU"/>
        </w:rPr>
      </w:pPr>
      <w:bookmarkStart w:id="324" w:name="_Toc418501349"/>
      <w:bookmarkStart w:id="325" w:name="_Toc418861210"/>
      <w:bookmarkStart w:id="326" w:name="_Toc450158134"/>
      <w:bookmarkStart w:id="327" w:name="_Toc450323565"/>
      <w:bookmarkStart w:id="328" w:name="_Toc450991504"/>
      <w:bookmarkStart w:id="329" w:name="_Toc452157346"/>
      <w:bookmarkStart w:id="330" w:name="_Toc482995220"/>
      <w:r w:rsidRPr="002C25C6">
        <w:rPr>
          <w:lang w:val="ru-RU"/>
        </w:rPr>
        <w:lastRenderedPageBreak/>
        <w:t>Приложение II</w:t>
      </w:r>
      <w:bookmarkEnd w:id="324"/>
      <w:bookmarkEnd w:id="325"/>
      <w:bookmarkEnd w:id="326"/>
      <w:bookmarkEnd w:id="327"/>
      <w:bookmarkEnd w:id="328"/>
      <w:bookmarkEnd w:id="329"/>
      <w:bookmarkEnd w:id="330"/>
    </w:p>
    <w:p w:rsidR="004A430C" w:rsidRPr="002C25C6" w:rsidRDefault="004A430C" w:rsidP="00204D14">
      <w:pPr>
        <w:pStyle w:val="Annextitle"/>
        <w:spacing w:before="120" w:after="120"/>
        <w:rPr>
          <w:lang w:val="ru-RU"/>
        </w:rPr>
      </w:pPr>
      <w:bookmarkStart w:id="331" w:name="_Toc452157347"/>
      <w:bookmarkStart w:id="332" w:name="_Toc482995221"/>
      <w:r w:rsidRPr="002C25C6">
        <w:rPr>
          <w:lang w:val="ru-RU"/>
        </w:rPr>
        <w:t xml:space="preserve">Последующие меры в связи с рекомендациями, представленными </w:t>
      </w:r>
      <w:proofErr w:type="spellStart"/>
      <w:r w:rsidRPr="002C25C6">
        <w:rPr>
          <w:lang w:val="ru-RU"/>
        </w:rPr>
        <w:t>ШФАБ</w:t>
      </w:r>
      <w:bookmarkEnd w:id="331"/>
      <w:bookmarkEnd w:id="332"/>
      <w:proofErr w:type="spellEnd"/>
    </w:p>
    <w:tbl>
      <w:tblPr>
        <w:tblW w:w="14923" w:type="dxa"/>
        <w:jc w:val="center"/>
        <w:tblLayout w:type="fixed"/>
        <w:tblCellMar>
          <w:left w:w="85" w:type="dxa"/>
          <w:right w:w="85" w:type="dxa"/>
        </w:tblCellMar>
        <w:tblLook w:val="0000" w:firstRow="0" w:lastRow="0" w:firstColumn="0" w:lastColumn="0" w:noHBand="0" w:noVBand="0"/>
      </w:tblPr>
      <w:tblGrid>
        <w:gridCol w:w="1070"/>
        <w:gridCol w:w="3603"/>
        <w:gridCol w:w="3686"/>
        <w:gridCol w:w="2268"/>
        <w:gridCol w:w="2268"/>
        <w:gridCol w:w="2028"/>
      </w:tblGrid>
      <w:tr w:rsidR="004A430C" w:rsidRPr="002C25C6" w:rsidTr="00A023BA">
        <w:trPr>
          <w:trHeight w:hRule="exact" w:val="920"/>
          <w:jc w:val="center"/>
        </w:trPr>
        <w:tc>
          <w:tcPr>
            <w:tcW w:w="1070" w:type="dxa"/>
            <w:tcBorders>
              <w:top w:val="single" w:sz="4" w:space="0" w:color="auto"/>
              <w:left w:val="single" w:sz="4" w:space="0" w:color="auto"/>
              <w:bottom w:val="single" w:sz="4" w:space="0" w:color="auto"/>
              <w:right w:val="single" w:sz="4" w:space="0" w:color="auto"/>
            </w:tcBorders>
            <w:vAlign w:val="center"/>
          </w:tcPr>
          <w:p w:rsidR="004A430C" w:rsidRPr="002C25C6" w:rsidRDefault="004A430C" w:rsidP="00941FC5">
            <w:pPr>
              <w:spacing w:before="40" w:after="40"/>
              <w:jc w:val="center"/>
              <w:rPr>
                <w:b/>
                <w:bCs/>
                <w:sz w:val="18"/>
                <w:szCs w:val="18"/>
                <w:lang w:val="ru-RU"/>
              </w:rPr>
            </w:pPr>
            <w:r w:rsidRPr="002C25C6">
              <w:rPr>
                <w:b/>
                <w:bCs/>
                <w:sz w:val="18"/>
                <w:szCs w:val="18"/>
                <w:lang w:val="ru-RU"/>
              </w:rPr>
              <w:t>Отчет</w:t>
            </w:r>
          </w:p>
        </w:tc>
        <w:tc>
          <w:tcPr>
            <w:tcW w:w="3603" w:type="dxa"/>
            <w:tcBorders>
              <w:top w:val="single" w:sz="4" w:space="0" w:color="auto"/>
              <w:left w:val="single" w:sz="4" w:space="0" w:color="auto"/>
              <w:bottom w:val="single" w:sz="4" w:space="0" w:color="auto"/>
              <w:right w:val="single" w:sz="4" w:space="0" w:color="auto"/>
            </w:tcBorders>
            <w:vAlign w:val="center"/>
          </w:tcPr>
          <w:p w:rsidR="004A430C" w:rsidRPr="002C25C6" w:rsidRDefault="004A430C" w:rsidP="00941FC5">
            <w:pPr>
              <w:spacing w:before="40" w:after="40"/>
              <w:jc w:val="center"/>
              <w:rPr>
                <w:b/>
                <w:bCs/>
                <w:sz w:val="18"/>
                <w:szCs w:val="18"/>
                <w:lang w:val="ru-RU"/>
              </w:rPr>
            </w:pPr>
            <w:r w:rsidRPr="002C25C6">
              <w:rPr>
                <w:b/>
                <w:bCs/>
                <w:sz w:val="18"/>
                <w:szCs w:val="18"/>
                <w:lang w:val="ru-RU"/>
              </w:rPr>
              <w:t xml:space="preserve">Рекомендация, представленная </w:t>
            </w:r>
            <w:r w:rsidRPr="002C25C6">
              <w:rPr>
                <w:b/>
                <w:bCs/>
                <w:sz w:val="18"/>
                <w:szCs w:val="18"/>
                <w:lang w:val="ru-RU"/>
              </w:rPr>
              <w:br/>
              <w:t>аудиторами Швейцарии</w:t>
            </w:r>
          </w:p>
        </w:tc>
        <w:tc>
          <w:tcPr>
            <w:tcW w:w="3686" w:type="dxa"/>
            <w:tcBorders>
              <w:top w:val="single" w:sz="4" w:space="0" w:color="auto"/>
              <w:left w:val="single" w:sz="4" w:space="0" w:color="auto"/>
              <w:bottom w:val="single" w:sz="4" w:space="0" w:color="auto"/>
              <w:right w:val="single" w:sz="4" w:space="0" w:color="auto"/>
            </w:tcBorders>
            <w:vAlign w:val="center"/>
          </w:tcPr>
          <w:p w:rsidR="004A430C" w:rsidRPr="002C25C6" w:rsidRDefault="004A430C" w:rsidP="00941FC5">
            <w:pPr>
              <w:spacing w:before="40" w:after="40"/>
              <w:jc w:val="center"/>
              <w:rPr>
                <w:b/>
                <w:bCs/>
                <w:sz w:val="18"/>
                <w:szCs w:val="18"/>
                <w:lang w:val="ru-RU"/>
              </w:rPr>
            </w:pPr>
            <w:r w:rsidRPr="002C25C6">
              <w:rPr>
                <w:b/>
                <w:bCs/>
                <w:sz w:val="18"/>
                <w:szCs w:val="18"/>
                <w:lang w:val="ru-RU"/>
              </w:rPr>
              <w:t>Комментарии, полученные от Генерального секретаря во время опубликования отчета аудиторов Швейцарии</w:t>
            </w:r>
          </w:p>
        </w:tc>
        <w:tc>
          <w:tcPr>
            <w:tcW w:w="2268" w:type="dxa"/>
            <w:tcBorders>
              <w:top w:val="single" w:sz="4" w:space="0" w:color="auto"/>
              <w:left w:val="single" w:sz="4" w:space="0" w:color="auto"/>
              <w:bottom w:val="single" w:sz="4" w:space="0" w:color="auto"/>
              <w:right w:val="single" w:sz="4" w:space="0" w:color="auto"/>
            </w:tcBorders>
            <w:vAlign w:val="center"/>
          </w:tcPr>
          <w:p w:rsidR="004A430C" w:rsidRPr="002C25C6" w:rsidRDefault="004A430C" w:rsidP="008E0D64">
            <w:pPr>
              <w:spacing w:before="40" w:after="40"/>
              <w:jc w:val="center"/>
              <w:rPr>
                <w:b/>
                <w:bCs/>
                <w:sz w:val="18"/>
                <w:szCs w:val="18"/>
                <w:lang w:val="ru-RU"/>
              </w:rPr>
            </w:pPr>
            <w:r w:rsidRPr="002C25C6">
              <w:rPr>
                <w:b/>
                <w:bCs/>
                <w:sz w:val="18"/>
                <w:szCs w:val="18"/>
                <w:lang w:val="ru-RU"/>
              </w:rPr>
              <w:t>Статус выполнения по сообщению руководства МСЭ в связи с отчетом аудиторов Швейцарии</w:t>
            </w:r>
          </w:p>
        </w:tc>
        <w:tc>
          <w:tcPr>
            <w:tcW w:w="2268" w:type="dxa"/>
            <w:tcBorders>
              <w:top w:val="single" w:sz="4" w:space="0" w:color="auto"/>
              <w:left w:val="single" w:sz="4" w:space="0" w:color="auto"/>
              <w:bottom w:val="single" w:sz="4" w:space="0" w:color="auto"/>
              <w:right w:val="single" w:sz="4" w:space="0" w:color="auto"/>
            </w:tcBorders>
            <w:vAlign w:val="center"/>
          </w:tcPr>
          <w:p w:rsidR="004A430C" w:rsidRPr="002C25C6" w:rsidRDefault="004A430C" w:rsidP="008E0D64">
            <w:pPr>
              <w:spacing w:before="40" w:after="40"/>
              <w:jc w:val="center"/>
              <w:rPr>
                <w:b/>
                <w:bCs/>
                <w:sz w:val="18"/>
                <w:szCs w:val="18"/>
                <w:lang w:val="ru-RU"/>
              </w:rPr>
            </w:pPr>
            <w:r w:rsidRPr="002C25C6">
              <w:rPr>
                <w:b/>
                <w:bCs/>
                <w:sz w:val="18"/>
                <w:szCs w:val="18"/>
                <w:lang w:val="ru-RU"/>
              </w:rPr>
              <w:t xml:space="preserve">Статус выполнения </w:t>
            </w:r>
            <w:r w:rsidRPr="002C25C6">
              <w:rPr>
                <w:b/>
                <w:bCs/>
                <w:sz w:val="18"/>
                <w:szCs w:val="18"/>
                <w:lang w:val="ru-RU"/>
              </w:rPr>
              <w:br/>
              <w:t>по сообщению руководства МСЭ</w:t>
            </w:r>
          </w:p>
        </w:tc>
        <w:tc>
          <w:tcPr>
            <w:tcW w:w="2028" w:type="dxa"/>
            <w:tcBorders>
              <w:top w:val="single" w:sz="4" w:space="0" w:color="auto"/>
              <w:left w:val="single" w:sz="4" w:space="0" w:color="auto"/>
              <w:bottom w:val="single" w:sz="4" w:space="0" w:color="auto"/>
              <w:right w:val="single" w:sz="4" w:space="0" w:color="auto"/>
            </w:tcBorders>
            <w:vAlign w:val="center"/>
          </w:tcPr>
          <w:p w:rsidR="004A430C" w:rsidRPr="002C25C6" w:rsidRDefault="004A430C" w:rsidP="0091340B">
            <w:pPr>
              <w:spacing w:before="40" w:after="40"/>
              <w:ind w:left="-57" w:right="-57"/>
              <w:jc w:val="center"/>
              <w:rPr>
                <w:b/>
                <w:bCs/>
                <w:sz w:val="18"/>
                <w:szCs w:val="18"/>
                <w:lang w:val="ru-RU"/>
              </w:rPr>
            </w:pPr>
            <w:r w:rsidRPr="002C25C6">
              <w:rPr>
                <w:b/>
                <w:bCs/>
                <w:sz w:val="18"/>
                <w:szCs w:val="18"/>
                <w:lang w:val="ru-RU"/>
              </w:rPr>
              <w:t>Статус мер, принятых руководством, по оценке Государственной счетной палаты Италии</w:t>
            </w:r>
          </w:p>
        </w:tc>
      </w:tr>
      <w:tr w:rsidR="004A430C" w:rsidRPr="002C25C6" w:rsidTr="00A023BA">
        <w:trPr>
          <w:jc w:val="center"/>
        </w:trPr>
        <w:tc>
          <w:tcPr>
            <w:tcW w:w="1070" w:type="dxa"/>
            <w:tcBorders>
              <w:top w:val="single" w:sz="4" w:space="0" w:color="auto"/>
              <w:left w:val="single" w:sz="4" w:space="0" w:color="auto"/>
              <w:bottom w:val="single" w:sz="4" w:space="0" w:color="auto"/>
              <w:right w:val="single" w:sz="4" w:space="0" w:color="auto"/>
            </w:tcBorders>
          </w:tcPr>
          <w:p w:rsidR="004A430C" w:rsidRPr="002C25C6" w:rsidRDefault="004A430C" w:rsidP="0091340B">
            <w:pPr>
              <w:spacing w:before="40" w:after="40" w:line="200" w:lineRule="exact"/>
              <w:rPr>
                <w:b/>
                <w:bCs/>
                <w:sz w:val="18"/>
                <w:szCs w:val="18"/>
                <w:lang w:val="ru-RU"/>
              </w:rPr>
            </w:pPr>
            <w:r w:rsidRPr="002C25C6">
              <w:rPr>
                <w:b/>
                <w:bCs/>
                <w:sz w:val="18"/>
                <w:szCs w:val="18"/>
                <w:lang w:val="ru-RU"/>
              </w:rPr>
              <w:t>Рек. 2/2008</w:t>
            </w:r>
          </w:p>
          <w:p w:rsidR="004A430C" w:rsidRPr="002C25C6" w:rsidRDefault="004A430C" w:rsidP="0091340B">
            <w:pPr>
              <w:spacing w:before="40" w:after="40" w:line="200" w:lineRule="exact"/>
              <w:rPr>
                <w:b/>
                <w:bCs/>
                <w:sz w:val="18"/>
                <w:szCs w:val="18"/>
                <w:lang w:val="ru-RU"/>
              </w:rPr>
            </w:pPr>
            <w:r w:rsidRPr="002C25C6">
              <w:rPr>
                <w:b/>
                <w:bCs/>
                <w:sz w:val="18"/>
                <w:szCs w:val="18"/>
                <w:lang w:val="ru-RU"/>
              </w:rPr>
              <w:t>Рек. 3/2009</w:t>
            </w:r>
          </w:p>
        </w:tc>
        <w:tc>
          <w:tcPr>
            <w:tcW w:w="3603" w:type="dxa"/>
            <w:tcBorders>
              <w:top w:val="single" w:sz="4" w:space="0" w:color="auto"/>
              <w:left w:val="single" w:sz="4" w:space="0" w:color="auto"/>
              <w:bottom w:val="single" w:sz="4" w:space="0" w:color="auto"/>
              <w:right w:val="single" w:sz="4" w:space="0" w:color="auto"/>
            </w:tcBorders>
          </w:tcPr>
          <w:p w:rsidR="004A430C" w:rsidRPr="002C25C6" w:rsidRDefault="004A430C" w:rsidP="0091340B">
            <w:pPr>
              <w:spacing w:before="40" w:after="40" w:line="200" w:lineRule="exact"/>
              <w:rPr>
                <w:sz w:val="18"/>
                <w:szCs w:val="18"/>
                <w:lang w:val="ru-RU"/>
              </w:rPr>
            </w:pPr>
            <w:r w:rsidRPr="002C25C6">
              <w:rPr>
                <w:sz w:val="18"/>
                <w:szCs w:val="18"/>
                <w:lang w:val="ru-RU"/>
              </w:rPr>
              <w:t xml:space="preserve">Операции, произведенные вручную вне среды SAP, приводят к ошибкам и нарушениям в работе и ставят дополнительные задачи, которые могут быть не предусмотрены перечнем обязанностей соответствующих сотрудников. Выполняемые в условиях отсутствия эффективного заместительства, они приводят к задержкам в их реализации. </w:t>
            </w:r>
          </w:p>
          <w:p w:rsidR="004A430C" w:rsidRPr="002C25C6" w:rsidRDefault="004A430C" w:rsidP="0091340B">
            <w:pPr>
              <w:spacing w:before="40" w:after="40" w:line="200" w:lineRule="exact"/>
              <w:rPr>
                <w:sz w:val="18"/>
                <w:szCs w:val="18"/>
                <w:lang w:val="ru-RU"/>
              </w:rPr>
            </w:pPr>
            <w:r w:rsidRPr="002C25C6">
              <w:rPr>
                <w:sz w:val="18"/>
                <w:szCs w:val="18"/>
                <w:lang w:val="ru-RU"/>
              </w:rPr>
              <w:t xml:space="preserve">Повторно предлагаю МСЭ как можно скорее приступить к включению системы управления проектами </w:t>
            </w:r>
            <w:proofErr w:type="spellStart"/>
            <w:r w:rsidRPr="002C25C6">
              <w:rPr>
                <w:sz w:val="18"/>
                <w:szCs w:val="18"/>
                <w:lang w:val="ru-RU"/>
              </w:rPr>
              <w:t>BCS</w:t>
            </w:r>
            <w:proofErr w:type="spellEnd"/>
            <w:r w:rsidRPr="002C25C6">
              <w:rPr>
                <w:sz w:val="18"/>
                <w:szCs w:val="18"/>
                <w:lang w:val="ru-RU"/>
              </w:rPr>
              <w:t xml:space="preserve"> в программное обеспечение SAP.</w:t>
            </w:r>
          </w:p>
          <w:p w:rsidR="004A430C" w:rsidRPr="002C25C6" w:rsidRDefault="004A430C" w:rsidP="0091340B">
            <w:pPr>
              <w:spacing w:before="40" w:after="40" w:line="200" w:lineRule="exact"/>
              <w:rPr>
                <w:sz w:val="18"/>
                <w:szCs w:val="18"/>
                <w:lang w:val="ru-RU"/>
              </w:rPr>
            </w:pPr>
            <w:r w:rsidRPr="002C25C6">
              <w:rPr>
                <w:sz w:val="18"/>
                <w:szCs w:val="18"/>
                <w:lang w:val="ru-RU"/>
              </w:rPr>
              <w:t>Поэтому я предлагаю МСЭ:</w:t>
            </w:r>
          </w:p>
          <w:p w:rsidR="004A430C" w:rsidRPr="002C25C6" w:rsidRDefault="004A430C" w:rsidP="0091340B">
            <w:pPr>
              <w:tabs>
                <w:tab w:val="left" w:pos="283"/>
              </w:tabs>
              <w:spacing w:before="40" w:after="40" w:line="200" w:lineRule="exact"/>
              <w:ind w:left="283" w:hanging="283"/>
              <w:rPr>
                <w:sz w:val="18"/>
                <w:szCs w:val="18"/>
                <w:lang w:val="ru-RU"/>
              </w:rPr>
            </w:pPr>
            <w:r w:rsidRPr="002C25C6">
              <w:rPr>
                <w:sz w:val="18"/>
                <w:szCs w:val="18"/>
                <w:lang w:val="ru-RU"/>
              </w:rPr>
              <w:t>–</w:t>
            </w:r>
            <w:r w:rsidRPr="002C25C6">
              <w:rPr>
                <w:sz w:val="18"/>
                <w:szCs w:val="18"/>
                <w:lang w:val="ru-RU"/>
              </w:rPr>
              <w:tab/>
              <w:t>принять решение о возможном включении в модуль "Управление субсидиями" (</w:t>
            </w:r>
            <w:proofErr w:type="spellStart"/>
            <w:r w:rsidRPr="002C25C6">
              <w:rPr>
                <w:sz w:val="18"/>
                <w:szCs w:val="18"/>
                <w:lang w:val="ru-RU"/>
              </w:rPr>
              <w:t>GM</w:t>
            </w:r>
            <w:proofErr w:type="spellEnd"/>
            <w:r w:rsidRPr="002C25C6">
              <w:rPr>
                <w:sz w:val="18"/>
                <w:szCs w:val="18"/>
                <w:lang w:val="ru-RU"/>
              </w:rPr>
              <w:t>) всех проектов, не закрытых в оперативном и финансовом отношении, таким образом, чтобы можно было правильно осуществлять расчет и распределение процентов на капитал, вложенный в проекты;</w:t>
            </w:r>
          </w:p>
          <w:p w:rsidR="004A430C" w:rsidRPr="002C25C6" w:rsidRDefault="004A430C" w:rsidP="0091340B">
            <w:pPr>
              <w:tabs>
                <w:tab w:val="left" w:pos="283"/>
              </w:tabs>
              <w:spacing w:before="40" w:after="40" w:line="200" w:lineRule="exact"/>
              <w:ind w:left="283" w:hanging="283"/>
              <w:rPr>
                <w:sz w:val="18"/>
                <w:szCs w:val="18"/>
                <w:lang w:val="ru-RU"/>
              </w:rPr>
            </w:pPr>
            <w:r w:rsidRPr="002C25C6">
              <w:rPr>
                <w:sz w:val="18"/>
                <w:szCs w:val="18"/>
                <w:lang w:val="ru-RU"/>
              </w:rPr>
              <w:t>–</w:t>
            </w:r>
            <w:r w:rsidRPr="002C25C6">
              <w:rPr>
                <w:sz w:val="18"/>
                <w:szCs w:val="18"/>
                <w:lang w:val="ru-RU"/>
              </w:rPr>
              <w:tab/>
              <w:t>определить основные процессы технического сотрудничества и установить соответствующие сферы ответственности;</w:t>
            </w:r>
          </w:p>
          <w:p w:rsidR="004A430C" w:rsidRPr="002C25C6" w:rsidRDefault="004A430C" w:rsidP="0091340B">
            <w:pPr>
              <w:tabs>
                <w:tab w:val="left" w:pos="283"/>
              </w:tabs>
              <w:spacing w:before="40" w:after="40" w:line="200" w:lineRule="exact"/>
              <w:ind w:left="283" w:hanging="283"/>
              <w:rPr>
                <w:sz w:val="18"/>
                <w:szCs w:val="18"/>
                <w:lang w:val="ru-RU"/>
              </w:rPr>
            </w:pPr>
            <w:r w:rsidRPr="002C25C6">
              <w:rPr>
                <w:sz w:val="18"/>
                <w:szCs w:val="18"/>
                <w:lang w:val="ru-RU"/>
              </w:rPr>
              <w:t>–</w:t>
            </w:r>
            <w:r w:rsidRPr="002C25C6">
              <w:rPr>
                <w:sz w:val="18"/>
                <w:szCs w:val="18"/>
                <w:lang w:val="ru-RU"/>
              </w:rPr>
              <w:tab/>
              <w:t>внедрить меры по профессиональной подготовке, необходимые для эффективного использования новой среды SAP в области технического сотрудничества.</w:t>
            </w:r>
          </w:p>
        </w:tc>
        <w:tc>
          <w:tcPr>
            <w:tcW w:w="3686" w:type="dxa"/>
            <w:tcBorders>
              <w:top w:val="single" w:sz="4" w:space="0" w:color="auto"/>
              <w:left w:val="single" w:sz="4" w:space="0" w:color="auto"/>
              <w:bottom w:val="single" w:sz="4" w:space="0" w:color="auto"/>
              <w:right w:val="single" w:sz="4" w:space="0" w:color="auto"/>
            </w:tcBorders>
          </w:tcPr>
          <w:p w:rsidR="004A430C" w:rsidRPr="002C25C6" w:rsidRDefault="004A430C" w:rsidP="0091340B">
            <w:pPr>
              <w:spacing w:before="40" w:after="40" w:line="200" w:lineRule="exact"/>
              <w:rPr>
                <w:sz w:val="18"/>
                <w:szCs w:val="18"/>
                <w:lang w:val="ru-RU"/>
              </w:rPr>
            </w:pPr>
            <w:r w:rsidRPr="002C25C6">
              <w:rPr>
                <w:sz w:val="18"/>
                <w:szCs w:val="18"/>
                <w:lang w:val="ru-RU"/>
              </w:rPr>
              <w:t>Эти две рекомендации – 1/2008 и 2/2009 – тесн</w:t>
            </w:r>
            <w:r w:rsidR="00A023BA">
              <w:rPr>
                <w:sz w:val="18"/>
                <w:szCs w:val="18"/>
                <w:lang w:val="ru-RU"/>
              </w:rPr>
              <w:t>о связаны между собой. В 2011 году</w:t>
            </w:r>
            <w:r w:rsidRPr="002C25C6">
              <w:rPr>
                <w:sz w:val="18"/>
                <w:szCs w:val="18"/>
                <w:lang w:val="ru-RU"/>
              </w:rPr>
              <w:t xml:space="preserve"> Департамент управления финансовыми ресурсами, Бюро развития электросвязи (БРЭ) и Департамент информационных служб при поддержке консультантов провели исследование вопроса о необходимости введения второй системы учета в долларах США. По итогам исследования был сделан вывод о том, что следует активизировать профессиональную подготовку для работы с модулем </w:t>
            </w:r>
            <w:proofErr w:type="spellStart"/>
            <w:r w:rsidRPr="002C25C6">
              <w:rPr>
                <w:sz w:val="18"/>
                <w:szCs w:val="18"/>
                <w:lang w:val="ru-RU"/>
              </w:rPr>
              <w:t>GM</w:t>
            </w:r>
            <w:proofErr w:type="spellEnd"/>
            <w:r w:rsidRPr="002C25C6">
              <w:rPr>
                <w:sz w:val="18"/>
                <w:szCs w:val="18"/>
                <w:lang w:val="ru-RU"/>
              </w:rPr>
              <w:t>, с тем чтобы добиться максимального использования специальных возможностей этого модуля.</w:t>
            </w:r>
          </w:p>
          <w:p w:rsidR="004A430C" w:rsidRPr="002C25C6" w:rsidRDefault="004A430C" w:rsidP="0091340B">
            <w:pPr>
              <w:spacing w:before="40" w:after="40" w:line="200" w:lineRule="exact"/>
              <w:rPr>
                <w:sz w:val="18"/>
                <w:szCs w:val="18"/>
                <w:lang w:val="ru-RU"/>
              </w:rPr>
            </w:pPr>
            <w:r w:rsidRPr="002C25C6">
              <w:rPr>
                <w:sz w:val="18"/>
                <w:szCs w:val="18"/>
                <w:lang w:val="ru-RU"/>
              </w:rPr>
              <w:t xml:space="preserve">Был достигнут определенный прогресс в области административного управления проектами. Все проекты, по которым в течение нескольких лет не велись работы, были закрыты, а оставшиеся средства помещены на промежуточный счет (для возмещения донорам, использования в других проектах и т. д.). К принятию решения о дальнейшем использовании этих средств привлекались доноры. </w:t>
            </w:r>
          </w:p>
          <w:p w:rsidR="004A430C" w:rsidRPr="002C25C6" w:rsidRDefault="004A430C" w:rsidP="0091340B">
            <w:pPr>
              <w:spacing w:before="40" w:after="40" w:line="200" w:lineRule="exact"/>
              <w:rPr>
                <w:sz w:val="18"/>
                <w:szCs w:val="18"/>
                <w:lang w:val="ru-RU"/>
              </w:rPr>
            </w:pPr>
            <w:r w:rsidRPr="002C25C6">
              <w:rPr>
                <w:sz w:val="18"/>
                <w:szCs w:val="18"/>
                <w:lang w:val="ru-RU"/>
              </w:rPr>
              <w:t>В от</w:t>
            </w:r>
            <w:r w:rsidR="00A023BA">
              <w:rPr>
                <w:sz w:val="18"/>
                <w:szCs w:val="18"/>
                <w:lang w:val="ru-RU"/>
              </w:rPr>
              <w:t xml:space="preserve">ношении системы SAP </w:t>
            </w:r>
            <w:proofErr w:type="spellStart"/>
            <w:r w:rsidR="00A023BA">
              <w:rPr>
                <w:sz w:val="18"/>
                <w:szCs w:val="18"/>
                <w:lang w:val="ru-RU"/>
              </w:rPr>
              <w:t>GM</w:t>
            </w:r>
            <w:proofErr w:type="spellEnd"/>
            <w:r w:rsidR="00A023BA">
              <w:rPr>
                <w:sz w:val="18"/>
                <w:szCs w:val="18"/>
                <w:lang w:val="ru-RU"/>
              </w:rPr>
              <w:t xml:space="preserve"> в 2011 году</w:t>
            </w:r>
            <w:r w:rsidRPr="002C25C6">
              <w:rPr>
                <w:sz w:val="18"/>
                <w:szCs w:val="18"/>
                <w:lang w:val="ru-RU"/>
              </w:rPr>
              <w:t xml:space="preserve"> было проведено исследование или анализ пробелов в целях определения потребностей в отношении развития, которые позволили бы обеспечить оптимальное и адаптированное использование этой системы.</w:t>
            </w:r>
          </w:p>
        </w:tc>
        <w:tc>
          <w:tcPr>
            <w:tcW w:w="2268" w:type="dxa"/>
            <w:tcBorders>
              <w:top w:val="single" w:sz="4" w:space="0" w:color="auto"/>
              <w:left w:val="single" w:sz="4" w:space="0" w:color="auto"/>
              <w:bottom w:val="single" w:sz="4" w:space="0" w:color="auto"/>
              <w:right w:val="single" w:sz="4" w:space="0" w:color="auto"/>
            </w:tcBorders>
          </w:tcPr>
          <w:p w:rsidR="004A430C" w:rsidRPr="002C25C6" w:rsidRDefault="004A430C" w:rsidP="0091340B">
            <w:pPr>
              <w:spacing w:before="40" w:after="40" w:line="200" w:lineRule="exact"/>
              <w:rPr>
                <w:sz w:val="18"/>
                <w:szCs w:val="18"/>
                <w:lang w:val="ru-RU"/>
              </w:rPr>
            </w:pPr>
            <w:r w:rsidRPr="002C25C6">
              <w:rPr>
                <w:sz w:val="18"/>
                <w:szCs w:val="18"/>
                <w:lang w:val="ru-RU"/>
              </w:rPr>
              <w:t>Модуль SAP "Управление субсидиями" (</w:t>
            </w:r>
            <w:proofErr w:type="spellStart"/>
            <w:r w:rsidRPr="002C25C6">
              <w:rPr>
                <w:sz w:val="18"/>
                <w:szCs w:val="18"/>
                <w:lang w:val="ru-RU"/>
              </w:rPr>
              <w:t>GM</w:t>
            </w:r>
            <w:proofErr w:type="spellEnd"/>
            <w:r w:rsidRPr="002C25C6">
              <w:rPr>
                <w:sz w:val="18"/>
                <w:szCs w:val="18"/>
                <w:lang w:val="ru-RU"/>
              </w:rPr>
              <w:t>) был внедрен МСЭ в январе 2010 г. для финансового управления проектами технич</w:t>
            </w:r>
            <w:r w:rsidR="00A023BA">
              <w:rPr>
                <w:sz w:val="18"/>
                <w:szCs w:val="18"/>
                <w:lang w:val="ru-RU"/>
              </w:rPr>
              <w:t>еского сотрудничества. В 2011 году</w:t>
            </w:r>
            <w:r w:rsidRPr="002C25C6">
              <w:rPr>
                <w:sz w:val="18"/>
                <w:szCs w:val="18"/>
                <w:lang w:val="ru-RU"/>
              </w:rPr>
              <w:t xml:space="preserve"> были проанализированы соответствующие финансовые процессы, и в настоящее время осуществляется их оптимизация и переподготовка пользователей.</w:t>
            </w:r>
          </w:p>
        </w:tc>
        <w:tc>
          <w:tcPr>
            <w:tcW w:w="2268" w:type="dxa"/>
            <w:tcBorders>
              <w:top w:val="single" w:sz="4" w:space="0" w:color="auto"/>
              <w:left w:val="single" w:sz="4" w:space="0" w:color="auto"/>
              <w:bottom w:val="single" w:sz="4" w:space="0" w:color="auto"/>
              <w:right w:val="single" w:sz="4" w:space="0" w:color="auto"/>
            </w:tcBorders>
          </w:tcPr>
          <w:p w:rsidR="004A430C" w:rsidRPr="002C25C6" w:rsidRDefault="004A430C" w:rsidP="0091340B">
            <w:pPr>
              <w:spacing w:before="40" w:after="40" w:line="200" w:lineRule="exact"/>
              <w:rPr>
                <w:sz w:val="18"/>
                <w:szCs w:val="18"/>
                <w:lang w:val="ru-RU"/>
              </w:rPr>
            </w:pPr>
            <w:r w:rsidRPr="002C25C6">
              <w:rPr>
                <w:sz w:val="18"/>
                <w:szCs w:val="18"/>
                <w:lang w:val="ru-RU"/>
              </w:rPr>
              <w:t>Этот процесс все еще находится в процессе выполнения вследствие бюджетных ограничений.</w:t>
            </w:r>
          </w:p>
          <w:p w:rsidR="00E563C9" w:rsidRDefault="004A430C" w:rsidP="00204D14">
            <w:pPr>
              <w:spacing w:before="40" w:after="40" w:line="200" w:lineRule="exact"/>
              <w:ind w:right="-57"/>
              <w:rPr>
                <w:b/>
                <w:bCs/>
                <w:sz w:val="18"/>
                <w:szCs w:val="18"/>
                <w:lang w:val="ru-RU"/>
              </w:rPr>
            </w:pPr>
            <w:r w:rsidRPr="002C25C6">
              <w:rPr>
                <w:b/>
                <w:bCs/>
                <w:sz w:val="18"/>
                <w:szCs w:val="18"/>
                <w:lang w:val="ru-RU"/>
              </w:rPr>
              <w:t>Обновление</w:t>
            </w:r>
            <w:r w:rsidR="00204D14">
              <w:rPr>
                <w:b/>
                <w:bCs/>
                <w:sz w:val="18"/>
                <w:szCs w:val="18"/>
                <w:lang w:val="ru-RU"/>
              </w:rPr>
              <w:t>,</w:t>
            </w:r>
            <w:r w:rsidRPr="002C25C6">
              <w:rPr>
                <w:b/>
                <w:bCs/>
                <w:sz w:val="18"/>
                <w:szCs w:val="18"/>
                <w:lang w:val="ru-RU"/>
              </w:rPr>
              <w:t xml:space="preserve"> по состоянию на конец января 2016 г</w:t>
            </w:r>
            <w:r w:rsidRPr="00E563C9">
              <w:rPr>
                <w:sz w:val="18"/>
                <w:szCs w:val="18"/>
                <w:lang w:val="ru-RU"/>
              </w:rPr>
              <w:t>.</w:t>
            </w:r>
          </w:p>
          <w:p w:rsidR="004A430C" w:rsidRPr="002C25C6" w:rsidRDefault="004A430C" w:rsidP="0091340B">
            <w:pPr>
              <w:spacing w:before="40" w:after="40" w:line="200" w:lineRule="exact"/>
              <w:rPr>
                <w:sz w:val="18"/>
                <w:szCs w:val="18"/>
                <w:lang w:val="ru-RU"/>
              </w:rPr>
            </w:pPr>
            <w:r w:rsidRPr="002C25C6">
              <w:rPr>
                <w:sz w:val="18"/>
                <w:szCs w:val="18"/>
                <w:lang w:val="ru-RU"/>
              </w:rPr>
              <w:t xml:space="preserve">Вследствие бюджетных ограничений БРЭ оптимизация этого процесса отложена. </w:t>
            </w:r>
          </w:p>
          <w:p w:rsidR="00E563C9" w:rsidRDefault="004A430C" w:rsidP="00204D14">
            <w:pPr>
              <w:spacing w:before="40" w:after="40" w:line="200" w:lineRule="exact"/>
              <w:ind w:right="-57"/>
              <w:rPr>
                <w:b/>
                <w:bCs/>
                <w:sz w:val="18"/>
                <w:szCs w:val="18"/>
                <w:lang w:val="ru-RU"/>
              </w:rPr>
            </w:pPr>
            <w:r w:rsidRPr="002C25C6">
              <w:rPr>
                <w:b/>
                <w:bCs/>
                <w:sz w:val="18"/>
                <w:szCs w:val="18"/>
                <w:lang w:val="ru-RU"/>
              </w:rPr>
              <w:t>Обновление</w:t>
            </w:r>
            <w:r w:rsidR="00204D14">
              <w:rPr>
                <w:b/>
                <w:bCs/>
                <w:sz w:val="18"/>
                <w:szCs w:val="18"/>
                <w:lang w:val="ru-RU"/>
              </w:rPr>
              <w:t>,</w:t>
            </w:r>
            <w:r w:rsidRPr="002C25C6">
              <w:rPr>
                <w:b/>
                <w:bCs/>
                <w:sz w:val="18"/>
                <w:szCs w:val="18"/>
                <w:lang w:val="ru-RU"/>
              </w:rPr>
              <w:t xml:space="preserve"> по состоянию на конец марта 2017 г</w:t>
            </w:r>
            <w:r w:rsidRPr="00E563C9">
              <w:rPr>
                <w:sz w:val="18"/>
                <w:szCs w:val="18"/>
                <w:lang w:val="ru-RU"/>
              </w:rPr>
              <w:t>.</w:t>
            </w:r>
          </w:p>
          <w:p w:rsidR="004A430C" w:rsidRPr="002C25C6" w:rsidRDefault="00823CC9" w:rsidP="0091340B">
            <w:pPr>
              <w:spacing w:before="40" w:after="40" w:line="200" w:lineRule="exact"/>
              <w:rPr>
                <w:sz w:val="18"/>
                <w:szCs w:val="18"/>
                <w:lang w:val="ru-RU"/>
              </w:rPr>
            </w:pPr>
            <w:r>
              <w:rPr>
                <w:sz w:val="18"/>
                <w:szCs w:val="18"/>
                <w:lang w:val="ru-RU"/>
              </w:rPr>
              <w:t>В </w:t>
            </w:r>
            <w:r w:rsidR="004A430C" w:rsidRPr="002C25C6">
              <w:rPr>
                <w:sz w:val="18"/>
                <w:szCs w:val="18"/>
                <w:lang w:val="ru-RU"/>
              </w:rPr>
              <w:t>течение 2016 года проводилась переоценка ситуации в области системы управления субсидиями. В связи с этим были определены области, требующие улучшения, и был принят план действий по обеспечению надлежащей реализации этих улучшений в модуле SAP</w:t>
            </w:r>
            <w:r>
              <w:rPr>
                <w:sz w:val="18"/>
                <w:szCs w:val="18"/>
                <w:lang w:val="ru-RU"/>
              </w:rPr>
              <w:noBreakHyphen/>
            </w:r>
            <w:proofErr w:type="spellStart"/>
            <w:r w:rsidR="004A430C" w:rsidRPr="002C25C6">
              <w:rPr>
                <w:sz w:val="18"/>
                <w:szCs w:val="18"/>
                <w:lang w:val="ru-RU"/>
              </w:rPr>
              <w:t>GM</w:t>
            </w:r>
            <w:proofErr w:type="spellEnd"/>
            <w:r w:rsidR="004A430C" w:rsidRPr="002C25C6">
              <w:rPr>
                <w:sz w:val="18"/>
                <w:szCs w:val="18"/>
                <w:lang w:val="ru-RU"/>
              </w:rPr>
              <w:t>. Учитывая, что в настоящее время все проекты МСЭ представляются в SAP-</w:t>
            </w:r>
            <w:proofErr w:type="spellStart"/>
            <w:r w:rsidR="004A430C" w:rsidRPr="002C25C6">
              <w:rPr>
                <w:sz w:val="18"/>
                <w:szCs w:val="18"/>
                <w:lang w:val="ru-RU"/>
              </w:rPr>
              <w:t>GM</w:t>
            </w:r>
            <w:proofErr w:type="spellEnd"/>
            <w:r w:rsidR="004A430C" w:rsidRPr="002C25C6">
              <w:rPr>
                <w:sz w:val="18"/>
                <w:szCs w:val="18"/>
                <w:lang w:val="ru-RU"/>
              </w:rPr>
              <w:t xml:space="preserve"> и были внедрены и активированы все необходимые функции, эту рекомендацию предлагается считать выполненной и закрыть этот вопрос.</w:t>
            </w:r>
          </w:p>
        </w:tc>
        <w:tc>
          <w:tcPr>
            <w:tcW w:w="2028" w:type="dxa"/>
            <w:tcBorders>
              <w:top w:val="single" w:sz="4" w:space="0" w:color="auto"/>
              <w:left w:val="single" w:sz="4" w:space="0" w:color="auto"/>
              <w:bottom w:val="single" w:sz="4" w:space="0" w:color="auto"/>
              <w:right w:val="single" w:sz="4" w:space="0" w:color="auto"/>
            </w:tcBorders>
          </w:tcPr>
          <w:p w:rsidR="004A430C" w:rsidRPr="002C25C6" w:rsidRDefault="004A430C" w:rsidP="0091340B">
            <w:pPr>
              <w:spacing w:before="40" w:after="40" w:line="200" w:lineRule="exact"/>
              <w:rPr>
                <w:sz w:val="18"/>
                <w:szCs w:val="18"/>
                <w:lang w:val="ru-RU"/>
              </w:rPr>
            </w:pPr>
            <w:r w:rsidRPr="002C25C6">
              <w:rPr>
                <w:sz w:val="18"/>
                <w:szCs w:val="18"/>
                <w:lang w:val="ru-RU"/>
              </w:rPr>
              <w:t xml:space="preserve">Выполнено. </w:t>
            </w:r>
          </w:p>
        </w:tc>
      </w:tr>
    </w:tbl>
    <w:p w:rsidR="004A430C" w:rsidRPr="002C25C6" w:rsidRDefault="004A430C" w:rsidP="00941FC5">
      <w:pPr>
        <w:rPr>
          <w:sz w:val="4"/>
          <w:szCs w:val="4"/>
          <w:lang w:val="ru-RU"/>
        </w:rPr>
      </w:pPr>
      <w:r w:rsidRPr="002C25C6">
        <w:rPr>
          <w:sz w:val="4"/>
          <w:szCs w:val="4"/>
          <w:lang w:val="ru-RU"/>
        </w:rPr>
        <w:br w:type="page"/>
      </w:r>
    </w:p>
    <w:p w:rsidR="004A430C" w:rsidRPr="002C25C6" w:rsidRDefault="004A430C" w:rsidP="008E0D64">
      <w:pPr>
        <w:pStyle w:val="AnnexNo"/>
        <w:rPr>
          <w:lang w:val="ru-RU"/>
        </w:rPr>
      </w:pPr>
      <w:bookmarkStart w:id="333" w:name="_Toc452157348"/>
      <w:bookmarkStart w:id="334" w:name="_Toc418501350"/>
      <w:bookmarkStart w:id="335" w:name="_Toc418861211"/>
      <w:bookmarkStart w:id="336" w:name="_Toc450158135"/>
      <w:bookmarkStart w:id="337" w:name="_Toc450323566"/>
      <w:bookmarkStart w:id="338" w:name="_Toc450991505"/>
      <w:bookmarkStart w:id="339" w:name="_Toc482995222"/>
      <w:r w:rsidRPr="002C25C6">
        <w:rPr>
          <w:lang w:val="ru-RU"/>
        </w:rPr>
        <w:lastRenderedPageBreak/>
        <w:t>Приложение III</w:t>
      </w:r>
      <w:bookmarkEnd w:id="333"/>
      <w:bookmarkEnd w:id="339"/>
      <w:r w:rsidRPr="002C25C6">
        <w:rPr>
          <w:lang w:val="ru-RU"/>
        </w:rPr>
        <w:t xml:space="preserve"> </w:t>
      </w:r>
      <w:bookmarkEnd w:id="334"/>
      <w:bookmarkEnd w:id="335"/>
      <w:bookmarkEnd w:id="336"/>
      <w:bookmarkEnd w:id="337"/>
      <w:bookmarkEnd w:id="338"/>
    </w:p>
    <w:p w:rsidR="004A430C" w:rsidRPr="002C25C6" w:rsidRDefault="004A430C" w:rsidP="008E0D64">
      <w:pPr>
        <w:pStyle w:val="Annextitle"/>
        <w:rPr>
          <w:lang w:val="ru-RU"/>
        </w:rPr>
      </w:pPr>
      <w:bookmarkStart w:id="340" w:name="_Toc452157349"/>
      <w:bookmarkStart w:id="341" w:name="_Toc482995223"/>
      <w:r w:rsidRPr="002C25C6">
        <w:rPr>
          <w:lang w:val="ru-RU"/>
        </w:rPr>
        <w:t>Последующие меры в связи с предложениями, представленными в наших предыдущих отчетах</w:t>
      </w:r>
      <w:bookmarkEnd w:id="340"/>
      <w:bookmarkEnd w:id="341"/>
    </w:p>
    <w:tbl>
      <w:tblPr>
        <w:tblW w:w="5000" w:type="pct"/>
        <w:jc w:val="center"/>
        <w:tblCellMar>
          <w:left w:w="85" w:type="dxa"/>
          <w:right w:w="85" w:type="dxa"/>
        </w:tblCellMar>
        <w:tblLook w:val="0000" w:firstRow="0" w:lastRow="0" w:firstColumn="0" w:lastColumn="0" w:noHBand="0" w:noVBand="0"/>
      </w:tblPr>
      <w:tblGrid>
        <w:gridCol w:w="1464"/>
        <w:gridCol w:w="3345"/>
        <w:gridCol w:w="3543"/>
        <w:gridCol w:w="3680"/>
        <w:gridCol w:w="2524"/>
      </w:tblGrid>
      <w:tr w:rsidR="004A430C" w:rsidRPr="002C25C6" w:rsidTr="00B50CE5">
        <w:trPr>
          <w:cantSplit/>
          <w:tblHeader/>
          <w:jc w:val="center"/>
        </w:trPr>
        <w:tc>
          <w:tcPr>
            <w:tcW w:w="503" w:type="pct"/>
            <w:tcBorders>
              <w:top w:val="single" w:sz="4" w:space="0" w:color="auto"/>
              <w:left w:val="single" w:sz="4" w:space="0" w:color="auto"/>
              <w:bottom w:val="single" w:sz="4" w:space="0" w:color="auto"/>
              <w:right w:val="single" w:sz="4" w:space="0" w:color="auto"/>
            </w:tcBorders>
          </w:tcPr>
          <w:p w:rsidR="004A430C" w:rsidRPr="002C25C6" w:rsidRDefault="004A430C" w:rsidP="008E0D64">
            <w:pPr>
              <w:spacing w:before="40" w:after="40"/>
              <w:jc w:val="center"/>
              <w:rPr>
                <w:b/>
                <w:bCs/>
                <w:sz w:val="18"/>
                <w:szCs w:val="18"/>
                <w:lang w:val="ru-RU"/>
              </w:rPr>
            </w:pPr>
          </w:p>
        </w:tc>
        <w:tc>
          <w:tcPr>
            <w:tcW w:w="1149" w:type="pct"/>
            <w:tcBorders>
              <w:top w:val="single" w:sz="4" w:space="0" w:color="auto"/>
              <w:left w:val="single" w:sz="4" w:space="0" w:color="auto"/>
              <w:bottom w:val="single" w:sz="4" w:space="0" w:color="auto"/>
              <w:right w:val="single" w:sz="4" w:space="0" w:color="auto"/>
            </w:tcBorders>
            <w:vAlign w:val="center"/>
          </w:tcPr>
          <w:p w:rsidR="004A430C" w:rsidRPr="002C25C6" w:rsidRDefault="004A430C" w:rsidP="008E0D64">
            <w:pPr>
              <w:spacing w:before="40" w:after="40"/>
              <w:jc w:val="center"/>
              <w:rPr>
                <w:b/>
                <w:bCs/>
                <w:sz w:val="18"/>
                <w:szCs w:val="18"/>
                <w:lang w:val="ru-RU"/>
              </w:rPr>
            </w:pPr>
            <w:r w:rsidRPr="002C25C6">
              <w:rPr>
                <w:b/>
                <w:bCs/>
                <w:sz w:val="18"/>
                <w:szCs w:val="18"/>
                <w:lang w:val="ru-RU"/>
              </w:rPr>
              <w:t>Предложение, представленное Государственной счетной палатой Италии</w:t>
            </w:r>
          </w:p>
        </w:tc>
        <w:tc>
          <w:tcPr>
            <w:tcW w:w="1217" w:type="pct"/>
            <w:tcBorders>
              <w:top w:val="single" w:sz="4" w:space="0" w:color="auto"/>
              <w:left w:val="single" w:sz="4" w:space="0" w:color="auto"/>
              <w:bottom w:val="single" w:sz="4" w:space="0" w:color="auto"/>
              <w:right w:val="single" w:sz="4" w:space="0" w:color="auto"/>
            </w:tcBorders>
            <w:vAlign w:val="center"/>
          </w:tcPr>
          <w:p w:rsidR="004A430C" w:rsidRPr="002C25C6" w:rsidRDefault="004A430C" w:rsidP="008E0D64">
            <w:pPr>
              <w:spacing w:before="40" w:after="40"/>
              <w:jc w:val="center"/>
              <w:rPr>
                <w:b/>
                <w:bCs/>
                <w:sz w:val="18"/>
                <w:szCs w:val="18"/>
                <w:lang w:val="ru-RU"/>
              </w:rPr>
            </w:pPr>
            <w:r w:rsidRPr="002C25C6">
              <w:rPr>
                <w:b/>
                <w:bCs/>
                <w:sz w:val="18"/>
                <w:szCs w:val="18"/>
                <w:lang w:val="ru-RU"/>
              </w:rPr>
              <w:t>Комментарии, полученные от Генерального секретаря во время опубликования отчета</w:t>
            </w:r>
          </w:p>
        </w:tc>
        <w:tc>
          <w:tcPr>
            <w:tcW w:w="1264" w:type="pct"/>
            <w:tcBorders>
              <w:top w:val="single" w:sz="4" w:space="0" w:color="auto"/>
              <w:left w:val="single" w:sz="4" w:space="0" w:color="auto"/>
              <w:bottom w:val="single" w:sz="4" w:space="0" w:color="auto"/>
              <w:right w:val="single" w:sz="4" w:space="0" w:color="auto"/>
            </w:tcBorders>
            <w:vAlign w:val="center"/>
          </w:tcPr>
          <w:p w:rsidR="004A430C" w:rsidRPr="002C25C6" w:rsidRDefault="004A430C" w:rsidP="008E0D64">
            <w:pPr>
              <w:spacing w:before="40" w:after="40"/>
              <w:jc w:val="center"/>
              <w:rPr>
                <w:b/>
                <w:bCs/>
                <w:sz w:val="18"/>
                <w:szCs w:val="18"/>
                <w:lang w:val="ru-RU"/>
              </w:rPr>
            </w:pPr>
            <w:r w:rsidRPr="002C25C6">
              <w:rPr>
                <w:b/>
                <w:bCs/>
                <w:sz w:val="18"/>
                <w:szCs w:val="18"/>
                <w:lang w:val="ru-RU"/>
              </w:rPr>
              <w:t xml:space="preserve">Статус выполнения по сообщению </w:t>
            </w:r>
            <w:r w:rsidRPr="002C25C6">
              <w:rPr>
                <w:b/>
                <w:bCs/>
                <w:sz w:val="18"/>
                <w:szCs w:val="18"/>
                <w:lang w:val="ru-RU"/>
              </w:rPr>
              <w:br/>
              <w:t>руководства МСЭ</w:t>
            </w:r>
          </w:p>
        </w:tc>
        <w:tc>
          <w:tcPr>
            <w:tcW w:w="867" w:type="pct"/>
            <w:tcBorders>
              <w:top w:val="single" w:sz="4" w:space="0" w:color="auto"/>
              <w:left w:val="single" w:sz="4" w:space="0" w:color="auto"/>
              <w:bottom w:val="single" w:sz="4" w:space="0" w:color="auto"/>
              <w:right w:val="single" w:sz="4" w:space="0" w:color="auto"/>
            </w:tcBorders>
            <w:vAlign w:val="center"/>
          </w:tcPr>
          <w:p w:rsidR="004A430C" w:rsidRPr="002C25C6" w:rsidRDefault="004A430C" w:rsidP="008E0D64">
            <w:pPr>
              <w:spacing w:before="40" w:after="40"/>
              <w:jc w:val="center"/>
              <w:rPr>
                <w:b/>
                <w:bCs/>
                <w:sz w:val="18"/>
                <w:szCs w:val="18"/>
                <w:lang w:val="ru-RU"/>
              </w:rPr>
            </w:pPr>
            <w:r w:rsidRPr="002C25C6">
              <w:rPr>
                <w:b/>
                <w:bCs/>
                <w:sz w:val="18"/>
                <w:szCs w:val="18"/>
                <w:lang w:val="ru-RU"/>
              </w:rPr>
              <w:t>Статус мер, принятых руководством, по оценке Государственной счетной палаты Италии</w:t>
            </w:r>
          </w:p>
        </w:tc>
      </w:tr>
      <w:tr w:rsidR="004A430C" w:rsidRPr="002C25C6" w:rsidTr="00B50CE5">
        <w:trPr>
          <w:cantSplit/>
          <w:jc w:val="center"/>
        </w:trPr>
        <w:tc>
          <w:tcPr>
            <w:tcW w:w="503" w:type="pct"/>
            <w:tcBorders>
              <w:top w:val="single" w:sz="4" w:space="0" w:color="auto"/>
              <w:left w:val="single" w:sz="4" w:space="0" w:color="auto"/>
              <w:bottom w:val="single" w:sz="4" w:space="0" w:color="auto"/>
              <w:right w:val="single" w:sz="4" w:space="0" w:color="auto"/>
            </w:tcBorders>
          </w:tcPr>
          <w:p w:rsidR="004A430C" w:rsidRPr="002C25C6" w:rsidRDefault="004A430C" w:rsidP="00345D32">
            <w:pPr>
              <w:spacing w:before="40" w:after="40"/>
              <w:rPr>
                <w:b/>
                <w:bCs/>
                <w:sz w:val="18"/>
                <w:szCs w:val="18"/>
                <w:lang w:val="ru-RU"/>
              </w:rPr>
            </w:pPr>
            <w:proofErr w:type="spellStart"/>
            <w:r w:rsidRPr="002C25C6">
              <w:rPr>
                <w:b/>
                <w:bCs/>
                <w:sz w:val="18"/>
                <w:szCs w:val="18"/>
                <w:lang w:val="ru-RU"/>
              </w:rPr>
              <w:t>Предл</w:t>
            </w:r>
            <w:proofErr w:type="spellEnd"/>
            <w:r w:rsidRPr="002C25C6">
              <w:rPr>
                <w:b/>
                <w:bCs/>
                <w:sz w:val="18"/>
                <w:szCs w:val="18"/>
                <w:lang w:val="ru-RU"/>
              </w:rPr>
              <w:t>. 1/2015</w:t>
            </w:r>
          </w:p>
        </w:tc>
        <w:tc>
          <w:tcPr>
            <w:tcW w:w="1149" w:type="pct"/>
            <w:tcBorders>
              <w:top w:val="single" w:sz="4" w:space="0" w:color="auto"/>
              <w:left w:val="single" w:sz="4" w:space="0" w:color="auto"/>
              <w:bottom w:val="single" w:sz="4" w:space="0" w:color="auto"/>
              <w:right w:val="single" w:sz="4" w:space="0" w:color="auto"/>
            </w:tcBorders>
          </w:tcPr>
          <w:p w:rsidR="0018753B" w:rsidRPr="0018753B" w:rsidRDefault="0018753B" w:rsidP="0018753B">
            <w:pPr>
              <w:spacing w:before="40" w:after="40"/>
              <w:rPr>
                <w:b/>
                <w:bCs/>
                <w:sz w:val="18"/>
                <w:szCs w:val="18"/>
                <w:lang w:val="ru-RU"/>
              </w:rPr>
            </w:pPr>
            <w:r w:rsidRPr="0018753B">
              <w:rPr>
                <w:b/>
                <w:bCs/>
                <w:sz w:val="18"/>
                <w:szCs w:val="18"/>
                <w:lang w:val="ru-RU"/>
              </w:rPr>
              <w:t>Списание активов</w:t>
            </w:r>
          </w:p>
          <w:p w:rsidR="004A430C" w:rsidRPr="002C25C6" w:rsidRDefault="004A430C" w:rsidP="00941FC5">
            <w:pPr>
              <w:spacing w:before="40" w:after="40"/>
              <w:rPr>
                <w:sz w:val="18"/>
                <w:szCs w:val="18"/>
                <w:lang w:val="ru-RU"/>
              </w:rPr>
            </w:pPr>
            <w:r w:rsidRPr="002C25C6">
              <w:rPr>
                <w:sz w:val="18"/>
                <w:szCs w:val="18"/>
                <w:u w:val="single"/>
                <w:lang w:val="ru-RU"/>
              </w:rPr>
              <w:t>Мы</w:t>
            </w:r>
            <w:r w:rsidRPr="00CD78C7">
              <w:rPr>
                <w:sz w:val="18"/>
                <w:szCs w:val="18"/>
                <w:lang w:val="ru-RU"/>
              </w:rPr>
              <w:t xml:space="preserve"> также </w:t>
            </w:r>
            <w:r w:rsidRPr="002C25C6">
              <w:rPr>
                <w:sz w:val="18"/>
                <w:szCs w:val="18"/>
                <w:u w:val="single"/>
                <w:lang w:val="ru-RU"/>
              </w:rPr>
              <w:t>предлагаем</w:t>
            </w:r>
            <w:r w:rsidRPr="002C25C6">
              <w:rPr>
                <w:sz w:val="18"/>
                <w:szCs w:val="18"/>
                <w:lang w:val="ru-RU"/>
              </w:rPr>
              <w:t xml:space="preserve"> и далее совершенствовать управление активами, связанное с реализацией и передачей в дар, в частности путем оптимизации процедур, например, учреждения специального комитета. Кроме того, было бы целесообразно учитывать, при условии оценки затрат/выгоды, возможность передачи активов между департаментами и региональными отделениями до принятия решения о приобретении новых объектов.</w:t>
            </w:r>
          </w:p>
        </w:tc>
        <w:tc>
          <w:tcPr>
            <w:tcW w:w="1217" w:type="pct"/>
            <w:tcBorders>
              <w:top w:val="single" w:sz="4" w:space="0" w:color="auto"/>
              <w:left w:val="single" w:sz="4" w:space="0" w:color="auto"/>
              <w:bottom w:val="single" w:sz="4" w:space="0" w:color="auto"/>
              <w:right w:val="single" w:sz="4" w:space="0" w:color="auto"/>
            </w:tcBorders>
          </w:tcPr>
          <w:p w:rsidR="004A430C" w:rsidRPr="002C25C6" w:rsidRDefault="004A430C" w:rsidP="00941FC5">
            <w:pPr>
              <w:spacing w:before="40" w:after="40"/>
              <w:rPr>
                <w:sz w:val="18"/>
                <w:szCs w:val="18"/>
                <w:lang w:val="ru-RU"/>
              </w:rPr>
            </w:pPr>
            <w:r w:rsidRPr="002C25C6">
              <w:rPr>
                <w:sz w:val="18"/>
                <w:szCs w:val="18"/>
                <w:lang w:val="ru-RU"/>
              </w:rPr>
              <w:t>Секретариат рассмотрит степень осуществимости данного предложения и изучит несколько вариантов, например, учреждение внутреннего комитета, внедрение электронных деловых процедур или использование аналогичных внутренних процессов.</w:t>
            </w:r>
          </w:p>
        </w:tc>
        <w:tc>
          <w:tcPr>
            <w:tcW w:w="1264" w:type="pct"/>
            <w:tcBorders>
              <w:top w:val="single" w:sz="4" w:space="0" w:color="auto"/>
              <w:left w:val="single" w:sz="4" w:space="0" w:color="auto"/>
              <w:bottom w:val="single" w:sz="4" w:space="0" w:color="auto"/>
              <w:right w:val="single" w:sz="4" w:space="0" w:color="auto"/>
            </w:tcBorders>
          </w:tcPr>
          <w:p w:rsidR="00204D14" w:rsidRDefault="004A430C" w:rsidP="00A86B08">
            <w:pPr>
              <w:spacing w:before="40" w:after="40"/>
              <w:rPr>
                <w:b/>
                <w:bCs/>
                <w:sz w:val="18"/>
                <w:szCs w:val="18"/>
                <w:lang w:val="ru-RU"/>
              </w:rPr>
            </w:pPr>
            <w:r w:rsidRPr="002C25C6">
              <w:rPr>
                <w:b/>
                <w:bCs/>
                <w:sz w:val="18"/>
                <w:szCs w:val="18"/>
                <w:lang w:val="ru-RU"/>
              </w:rPr>
              <w:t>Обновление</w:t>
            </w:r>
            <w:r w:rsidR="00204D14">
              <w:rPr>
                <w:b/>
                <w:bCs/>
                <w:sz w:val="18"/>
                <w:szCs w:val="18"/>
                <w:lang w:val="ru-RU"/>
              </w:rPr>
              <w:t>,</w:t>
            </w:r>
            <w:r w:rsidRPr="002C25C6">
              <w:rPr>
                <w:b/>
                <w:bCs/>
                <w:sz w:val="18"/>
                <w:szCs w:val="18"/>
                <w:lang w:val="ru-RU"/>
              </w:rPr>
              <w:t xml:space="preserve"> по состоянию на конец апреля 2017 г</w:t>
            </w:r>
            <w:r w:rsidRPr="00204D14">
              <w:rPr>
                <w:sz w:val="18"/>
                <w:szCs w:val="18"/>
                <w:lang w:val="ru-RU"/>
              </w:rPr>
              <w:t>.</w:t>
            </w:r>
          </w:p>
          <w:p w:rsidR="004A430C" w:rsidRPr="002C25C6" w:rsidRDefault="004A430C" w:rsidP="00A86B08">
            <w:pPr>
              <w:spacing w:before="40" w:after="40"/>
              <w:rPr>
                <w:sz w:val="18"/>
                <w:szCs w:val="18"/>
                <w:lang w:val="ru-RU"/>
              </w:rPr>
            </w:pPr>
            <w:r w:rsidRPr="002C25C6">
              <w:rPr>
                <w:sz w:val="18"/>
                <w:szCs w:val="18"/>
                <w:lang w:val="ru-RU"/>
              </w:rPr>
              <w:t xml:space="preserve">Значительная часть 2016 года была посвящена проведению в сотрудничестве с департаментом </w:t>
            </w:r>
            <w:proofErr w:type="spellStart"/>
            <w:r w:rsidRPr="002C25C6">
              <w:rPr>
                <w:sz w:val="18"/>
                <w:szCs w:val="18"/>
                <w:lang w:val="ru-RU"/>
              </w:rPr>
              <w:t>IS</w:t>
            </w:r>
            <w:proofErr w:type="spellEnd"/>
            <w:r w:rsidRPr="002C25C6">
              <w:rPr>
                <w:sz w:val="18"/>
                <w:szCs w:val="18"/>
                <w:lang w:val="ru-RU"/>
              </w:rPr>
              <w:t xml:space="preserve"> и пользователями тщательных проверок в целях обновления учетных записей и осуществления необходимых исключений.</w:t>
            </w:r>
          </w:p>
          <w:p w:rsidR="004A430C" w:rsidRPr="002C25C6" w:rsidRDefault="004A430C" w:rsidP="00A86B08">
            <w:pPr>
              <w:spacing w:before="40" w:after="40"/>
              <w:rPr>
                <w:sz w:val="18"/>
                <w:szCs w:val="18"/>
                <w:lang w:val="ru-RU"/>
              </w:rPr>
            </w:pPr>
            <w:r w:rsidRPr="002C25C6">
              <w:rPr>
                <w:sz w:val="18"/>
                <w:szCs w:val="18"/>
                <w:lang w:val="ru-RU"/>
              </w:rPr>
              <w:t xml:space="preserve">В настоящее время также предпринимаются усилия по стимулированию обмена </w:t>
            </w:r>
            <w:proofErr w:type="spellStart"/>
            <w:r w:rsidRPr="002C25C6">
              <w:rPr>
                <w:sz w:val="18"/>
                <w:szCs w:val="18"/>
                <w:lang w:val="ru-RU"/>
              </w:rPr>
              <w:t>внутридепартаменскими</w:t>
            </w:r>
            <w:proofErr w:type="spellEnd"/>
            <w:r w:rsidRPr="002C25C6">
              <w:rPr>
                <w:sz w:val="18"/>
                <w:szCs w:val="18"/>
                <w:lang w:val="ru-RU"/>
              </w:rPr>
              <w:t xml:space="preserve"> и </w:t>
            </w:r>
            <w:proofErr w:type="spellStart"/>
            <w:r w:rsidRPr="002C25C6">
              <w:rPr>
                <w:sz w:val="18"/>
                <w:szCs w:val="18"/>
                <w:lang w:val="ru-RU"/>
              </w:rPr>
              <w:t>внутрисекторальными</w:t>
            </w:r>
            <w:proofErr w:type="spellEnd"/>
            <w:r w:rsidRPr="002C25C6">
              <w:rPr>
                <w:sz w:val="18"/>
                <w:szCs w:val="18"/>
                <w:lang w:val="ru-RU"/>
              </w:rPr>
              <w:t xml:space="preserve"> активами и предоставлению их в кредит.</w:t>
            </w:r>
          </w:p>
        </w:tc>
        <w:tc>
          <w:tcPr>
            <w:tcW w:w="867" w:type="pct"/>
            <w:tcBorders>
              <w:top w:val="single" w:sz="4" w:space="0" w:color="auto"/>
              <w:left w:val="single" w:sz="4" w:space="0" w:color="auto"/>
              <w:bottom w:val="single" w:sz="4" w:space="0" w:color="auto"/>
              <w:right w:val="single" w:sz="4" w:space="0" w:color="auto"/>
            </w:tcBorders>
          </w:tcPr>
          <w:p w:rsidR="004A430C" w:rsidRPr="002C25C6" w:rsidRDefault="004A430C" w:rsidP="00941FC5">
            <w:pPr>
              <w:spacing w:before="40" w:after="40"/>
              <w:rPr>
                <w:sz w:val="18"/>
                <w:szCs w:val="18"/>
                <w:lang w:val="ru-RU"/>
              </w:rPr>
            </w:pPr>
            <w:r w:rsidRPr="002C25C6">
              <w:rPr>
                <w:sz w:val="18"/>
                <w:szCs w:val="18"/>
                <w:lang w:val="ru-RU"/>
              </w:rPr>
              <w:t>В процессе выполнения.</w:t>
            </w:r>
          </w:p>
        </w:tc>
      </w:tr>
      <w:tr w:rsidR="004A430C" w:rsidRPr="002C25C6" w:rsidTr="00B50CE5">
        <w:trPr>
          <w:cantSplit/>
          <w:jc w:val="center"/>
        </w:trPr>
        <w:tc>
          <w:tcPr>
            <w:tcW w:w="503" w:type="pct"/>
            <w:tcBorders>
              <w:top w:val="single" w:sz="4" w:space="0" w:color="auto"/>
              <w:left w:val="single" w:sz="4" w:space="0" w:color="auto"/>
              <w:bottom w:val="single" w:sz="4" w:space="0" w:color="auto"/>
              <w:right w:val="single" w:sz="4" w:space="0" w:color="auto"/>
            </w:tcBorders>
          </w:tcPr>
          <w:p w:rsidR="004A430C" w:rsidRPr="002C25C6" w:rsidRDefault="004A430C" w:rsidP="00345D32">
            <w:pPr>
              <w:spacing w:before="40" w:after="40"/>
              <w:rPr>
                <w:b/>
                <w:bCs/>
                <w:sz w:val="18"/>
                <w:szCs w:val="18"/>
                <w:lang w:val="ru-RU"/>
              </w:rPr>
            </w:pPr>
            <w:proofErr w:type="spellStart"/>
            <w:r w:rsidRPr="002C25C6">
              <w:rPr>
                <w:b/>
                <w:bCs/>
                <w:sz w:val="18"/>
                <w:szCs w:val="18"/>
                <w:lang w:val="ru-RU"/>
              </w:rPr>
              <w:lastRenderedPageBreak/>
              <w:t>Предл</w:t>
            </w:r>
            <w:proofErr w:type="spellEnd"/>
            <w:r w:rsidRPr="002C25C6">
              <w:rPr>
                <w:b/>
                <w:bCs/>
                <w:sz w:val="18"/>
                <w:szCs w:val="18"/>
                <w:lang w:val="ru-RU"/>
              </w:rPr>
              <w:t>. 2/2015</w:t>
            </w:r>
          </w:p>
        </w:tc>
        <w:tc>
          <w:tcPr>
            <w:tcW w:w="1149" w:type="pct"/>
            <w:tcBorders>
              <w:top w:val="single" w:sz="4" w:space="0" w:color="auto"/>
              <w:left w:val="single" w:sz="4" w:space="0" w:color="auto"/>
              <w:bottom w:val="single" w:sz="4" w:space="0" w:color="auto"/>
              <w:right w:val="single" w:sz="4" w:space="0" w:color="auto"/>
            </w:tcBorders>
          </w:tcPr>
          <w:p w:rsidR="004A430C" w:rsidRPr="00E563C9" w:rsidRDefault="004A430C" w:rsidP="00651250">
            <w:pPr>
              <w:spacing w:before="40" w:after="40"/>
              <w:rPr>
                <w:b/>
                <w:bCs/>
                <w:sz w:val="18"/>
                <w:szCs w:val="18"/>
                <w:lang w:val="ru-RU"/>
              </w:rPr>
            </w:pPr>
            <w:bookmarkStart w:id="342" w:name="_Toc450158131"/>
            <w:bookmarkStart w:id="343" w:name="_Toc450323561"/>
            <w:bookmarkStart w:id="344" w:name="_Toc450991500"/>
            <w:bookmarkStart w:id="345" w:name="_Toc452157341"/>
            <w:r w:rsidRPr="00E563C9">
              <w:rPr>
                <w:b/>
                <w:bCs/>
                <w:sz w:val="18"/>
                <w:szCs w:val="18"/>
                <w:lang w:val="ru-RU"/>
              </w:rPr>
              <w:t xml:space="preserve">Соглашения с принимающей страной для </w:t>
            </w:r>
            <w:bookmarkEnd w:id="342"/>
            <w:bookmarkEnd w:id="343"/>
            <w:bookmarkEnd w:id="344"/>
            <w:r w:rsidRPr="00E563C9">
              <w:rPr>
                <w:b/>
                <w:bCs/>
                <w:sz w:val="18"/>
                <w:szCs w:val="18"/>
                <w:lang w:val="ru-RU"/>
              </w:rPr>
              <w:t>отделений на местах</w:t>
            </w:r>
            <w:bookmarkEnd w:id="345"/>
          </w:p>
          <w:p w:rsidR="004A430C" w:rsidRPr="002C25C6" w:rsidRDefault="004A430C" w:rsidP="00A86B08">
            <w:pPr>
              <w:spacing w:before="40" w:after="40"/>
              <w:rPr>
                <w:sz w:val="18"/>
                <w:szCs w:val="18"/>
                <w:lang w:val="ru-RU"/>
              </w:rPr>
            </w:pPr>
            <w:r w:rsidRPr="00E563C9">
              <w:rPr>
                <w:sz w:val="18"/>
                <w:szCs w:val="18"/>
                <w:lang w:val="ru-RU"/>
              </w:rPr>
              <w:t xml:space="preserve">В связи с этим </w:t>
            </w:r>
            <w:r w:rsidRPr="00CD78C7">
              <w:rPr>
                <w:sz w:val="18"/>
                <w:szCs w:val="18"/>
                <w:u w:val="single"/>
                <w:lang w:val="ru-RU"/>
              </w:rPr>
              <w:t>мы рекомендуем</w:t>
            </w:r>
            <w:r w:rsidRPr="00E563C9">
              <w:rPr>
                <w:sz w:val="18"/>
                <w:szCs w:val="18"/>
                <w:lang w:val="ru-RU"/>
              </w:rPr>
              <w:t xml:space="preserve"> руководству МСЭ продолжить анализ существующих соглашений с принимающей страной в целях закрепления в документе "принятой практики" и выгод, получаемых по соглашению с принимающей страной, с тем чтобы усилить его значение и защитить его активы</w:t>
            </w:r>
            <w:r w:rsidRPr="002C25C6">
              <w:rPr>
                <w:sz w:val="18"/>
                <w:szCs w:val="18"/>
                <w:lang w:val="ru-RU"/>
              </w:rPr>
              <w:t>.</w:t>
            </w:r>
          </w:p>
        </w:tc>
        <w:tc>
          <w:tcPr>
            <w:tcW w:w="1217" w:type="pct"/>
            <w:tcBorders>
              <w:top w:val="single" w:sz="4" w:space="0" w:color="auto"/>
              <w:left w:val="single" w:sz="4" w:space="0" w:color="auto"/>
              <w:bottom w:val="single" w:sz="4" w:space="0" w:color="auto"/>
              <w:right w:val="single" w:sz="4" w:space="0" w:color="auto"/>
            </w:tcBorders>
          </w:tcPr>
          <w:p w:rsidR="004A430C" w:rsidRPr="002C25C6" w:rsidRDefault="004A430C" w:rsidP="00941FC5">
            <w:pPr>
              <w:spacing w:before="40" w:after="40"/>
              <w:rPr>
                <w:sz w:val="18"/>
                <w:szCs w:val="18"/>
                <w:lang w:val="ru-RU"/>
              </w:rPr>
            </w:pPr>
            <w:r w:rsidRPr="002C25C6">
              <w:rPr>
                <w:sz w:val="18"/>
                <w:szCs w:val="18"/>
                <w:lang w:val="ru-RU"/>
              </w:rPr>
              <w:t>Предложение 2 является приемлемым и на практике оно осуществляется в течение нескольких лет и эта работа будет продлена в будущем.</w:t>
            </w:r>
          </w:p>
          <w:p w:rsidR="004A430C" w:rsidRPr="002C25C6" w:rsidRDefault="004A430C" w:rsidP="00A86B08">
            <w:pPr>
              <w:spacing w:before="40" w:after="40"/>
              <w:rPr>
                <w:sz w:val="18"/>
                <w:szCs w:val="18"/>
                <w:lang w:val="ru-RU"/>
              </w:rPr>
            </w:pPr>
            <w:r w:rsidRPr="002C25C6">
              <w:rPr>
                <w:sz w:val="18"/>
                <w:szCs w:val="18"/>
                <w:lang w:val="ru-RU"/>
              </w:rPr>
              <w:t xml:space="preserve">Так, в 2013 году </w:t>
            </w:r>
            <w:r w:rsidRPr="00E563C9">
              <w:rPr>
                <w:sz w:val="18"/>
                <w:szCs w:val="18"/>
                <w:lang w:val="ru-RU"/>
              </w:rPr>
              <w:t>было заключено специальное соглашение о зональном отделении в Гондурасе, по которому отсутствовало конкретное соглашение</w:t>
            </w:r>
            <w:r w:rsidRPr="002C25C6">
              <w:rPr>
                <w:sz w:val="18"/>
                <w:szCs w:val="18"/>
                <w:lang w:val="ru-RU"/>
              </w:rPr>
              <w:t>.</w:t>
            </w:r>
          </w:p>
          <w:p w:rsidR="004A430C" w:rsidRPr="002C25C6" w:rsidRDefault="004A430C" w:rsidP="00A86B08">
            <w:pPr>
              <w:spacing w:before="40" w:after="40"/>
              <w:rPr>
                <w:sz w:val="18"/>
                <w:szCs w:val="18"/>
                <w:lang w:val="ru-RU"/>
              </w:rPr>
            </w:pPr>
            <w:r w:rsidRPr="00E563C9">
              <w:rPr>
                <w:sz w:val="18"/>
                <w:szCs w:val="18"/>
                <w:lang w:val="ru-RU"/>
              </w:rPr>
              <w:t>Аналогично, в ближайшем будущем должно быть подписано официальное соглашение о зональном отделении в Индонезии (по которому в настоящее время официального соглашения не существует); проект соглашения был в принципе согласован обеими сторонами, за исключением одного пункта, который отложен на период проведения внутренних консультаций с правительством Индонезии</w:t>
            </w:r>
            <w:r w:rsidRPr="002C25C6">
              <w:rPr>
                <w:sz w:val="18"/>
                <w:szCs w:val="18"/>
                <w:lang w:val="ru-RU"/>
              </w:rPr>
              <w:t xml:space="preserve">. </w:t>
            </w:r>
            <w:r w:rsidRPr="00E563C9">
              <w:rPr>
                <w:sz w:val="18"/>
                <w:szCs w:val="18"/>
                <w:lang w:val="ru-RU"/>
              </w:rPr>
              <w:t>Вскоре может быть также завершено рассмотрение действующего в настоящее время соглашения с принимающей страной о региональном отделении в Бангкоке. Наконец, ведутся также переговоры о заключении соглашения с принимающей страной о зональном отделении в Чили.</w:t>
            </w:r>
            <w:r w:rsidRPr="002C25C6">
              <w:rPr>
                <w:sz w:val="18"/>
                <w:szCs w:val="18"/>
                <w:lang w:val="ru-RU"/>
              </w:rPr>
              <w:t xml:space="preserve"> </w:t>
            </w:r>
          </w:p>
          <w:p w:rsidR="004A430C" w:rsidRPr="002C25C6" w:rsidRDefault="004A430C" w:rsidP="00A86B08">
            <w:pPr>
              <w:spacing w:before="40" w:after="40"/>
              <w:rPr>
                <w:sz w:val="18"/>
                <w:szCs w:val="18"/>
                <w:lang w:val="ru-RU"/>
              </w:rPr>
            </w:pPr>
            <w:r w:rsidRPr="00E563C9">
              <w:rPr>
                <w:sz w:val="18"/>
                <w:szCs w:val="18"/>
                <w:lang w:val="ru-RU"/>
              </w:rPr>
              <w:t>Цель проводимых переговоров об отделениях на местах, по которым отсутствует официальное соглашение с принимающей страной, заключается в кодификации существующей практики с помощью соглашений с заинтересованными принимающими странами.</w:t>
            </w:r>
            <w:r w:rsidRPr="002C25C6">
              <w:rPr>
                <w:sz w:val="18"/>
                <w:szCs w:val="18"/>
                <w:lang w:val="ru-RU"/>
              </w:rPr>
              <w:t xml:space="preserve"> </w:t>
            </w:r>
          </w:p>
        </w:tc>
        <w:tc>
          <w:tcPr>
            <w:tcW w:w="1264" w:type="pct"/>
            <w:tcBorders>
              <w:top w:val="single" w:sz="4" w:space="0" w:color="auto"/>
              <w:left w:val="single" w:sz="4" w:space="0" w:color="auto"/>
              <w:bottom w:val="single" w:sz="4" w:space="0" w:color="auto"/>
              <w:right w:val="single" w:sz="4" w:space="0" w:color="auto"/>
            </w:tcBorders>
          </w:tcPr>
          <w:p w:rsidR="00204D14" w:rsidRDefault="004A430C" w:rsidP="004749D6">
            <w:pPr>
              <w:spacing w:before="40" w:after="40"/>
              <w:rPr>
                <w:b/>
                <w:bCs/>
                <w:sz w:val="18"/>
                <w:szCs w:val="18"/>
                <w:lang w:val="ru-RU"/>
              </w:rPr>
            </w:pPr>
            <w:r w:rsidRPr="00E563C9">
              <w:rPr>
                <w:b/>
                <w:bCs/>
                <w:sz w:val="18"/>
                <w:szCs w:val="18"/>
                <w:lang w:val="ru-RU"/>
              </w:rPr>
              <w:t>Обновление</w:t>
            </w:r>
            <w:r w:rsidR="00204D14">
              <w:rPr>
                <w:b/>
                <w:bCs/>
                <w:sz w:val="18"/>
                <w:szCs w:val="18"/>
                <w:lang w:val="ru-RU"/>
              </w:rPr>
              <w:t>,</w:t>
            </w:r>
            <w:r w:rsidRPr="00E563C9">
              <w:rPr>
                <w:b/>
                <w:bCs/>
                <w:sz w:val="18"/>
                <w:szCs w:val="18"/>
                <w:lang w:val="ru-RU"/>
              </w:rPr>
              <w:t xml:space="preserve"> по состоянию на конец апреля 2017 г</w:t>
            </w:r>
            <w:r w:rsidRPr="00204D14">
              <w:rPr>
                <w:sz w:val="18"/>
                <w:szCs w:val="18"/>
                <w:lang w:val="ru-RU"/>
              </w:rPr>
              <w:t>.</w:t>
            </w:r>
          </w:p>
          <w:p w:rsidR="004A430C" w:rsidRPr="002C25C6" w:rsidRDefault="004A430C" w:rsidP="004749D6">
            <w:pPr>
              <w:spacing w:before="40" w:after="40"/>
              <w:rPr>
                <w:sz w:val="18"/>
                <w:szCs w:val="18"/>
                <w:lang w:val="ru-RU"/>
              </w:rPr>
            </w:pPr>
            <w:r w:rsidRPr="002C25C6">
              <w:rPr>
                <w:sz w:val="18"/>
                <w:szCs w:val="18"/>
                <w:lang w:val="ru-RU"/>
              </w:rPr>
              <w:t>В апреле 2017 года после восьми лет переговоров было подписано официальное</w:t>
            </w:r>
            <w:r w:rsidRPr="00E563C9">
              <w:rPr>
                <w:sz w:val="18"/>
                <w:szCs w:val="18"/>
                <w:lang w:val="ru-RU"/>
              </w:rPr>
              <w:t xml:space="preserve"> соглашение о зональном отделении в Индонезии (по которому официально</w:t>
            </w:r>
            <w:r w:rsidR="004749D6" w:rsidRPr="00E563C9">
              <w:rPr>
                <w:sz w:val="18"/>
                <w:szCs w:val="18"/>
                <w:lang w:val="ru-RU"/>
              </w:rPr>
              <w:t>е</w:t>
            </w:r>
            <w:r w:rsidRPr="00E563C9">
              <w:rPr>
                <w:sz w:val="18"/>
                <w:szCs w:val="18"/>
                <w:lang w:val="ru-RU"/>
              </w:rPr>
              <w:t xml:space="preserve"> соглашени</w:t>
            </w:r>
            <w:r w:rsidR="004749D6" w:rsidRPr="00E563C9">
              <w:rPr>
                <w:sz w:val="18"/>
                <w:szCs w:val="18"/>
                <w:lang w:val="ru-RU"/>
              </w:rPr>
              <w:t>е</w:t>
            </w:r>
            <w:r w:rsidRPr="00E563C9">
              <w:rPr>
                <w:sz w:val="18"/>
                <w:szCs w:val="18"/>
                <w:lang w:val="ru-RU"/>
              </w:rPr>
              <w:t xml:space="preserve"> </w:t>
            </w:r>
            <w:r w:rsidR="004749D6" w:rsidRPr="00E563C9">
              <w:rPr>
                <w:sz w:val="18"/>
                <w:szCs w:val="18"/>
                <w:lang w:val="ru-RU"/>
              </w:rPr>
              <w:t>отсутствует</w:t>
            </w:r>
            <w:r w:rsidRPr="00E563C9">
              <w:rPr>
                <w:sz w:val="18"/>
                <w:szCs w:val="18"/>
                <w:lang w:val="ru-RU"/>
              </w:rPr>
              <w:t>)</w:t>
            </w:r>
            <w:r w:rsidR="004749D6" w:rsidRPr="00E563C9">
              <w:rPr>
                <w:sz w:val="18"/>
                <w:szCs w:val="18"/>
                <w:lang w:val="ru-RU"/>
              </w:rPr>
              <w:t>.</w:t>
            </w:r>
            <w:r w:rsidRPr="00E563C9">
              <w:rPr>
                <w:sz w:val="18"/>
                <w:szCs w:val="18"/>
                <w:lang w:val="ru-RU"/>
              </w:rPr>
              <w:t xml:space="preserve"> Вскоре может быть также завершен</w:t>
            </w:r>
            <w:r w:rsidR="004749D6" w:rsidRPr="00E563C9">
              <w:rPr>
                <w:sz w:val="18"/>
                <w:szCs w:val="18"/>
                <w:lang w:val="ru-RU"/>
              </w:rPr>
              <w:t xml:space="preserve"> пересмотр</w:t>
            </w:r>
            <w:r w:rsidRPr="00E563C9">
              <w:rPr>
                <w:sz w:val="18"/>
                <w:szCs w:val="18"/>
                <w:lang w:val="ru-RU"/>
              </w:rPr>
              <w:t xml:space="preserve"> действующего в настоящее время соглашения с принимающей страной о региональном отделении в Бангкоке. Наконец, ведутся также переговоры о заключении соглашения с принимающей страной о зональном отделении в Чили.</w:t>
            </w:r>
            <w:r w:rsidRPr="002C25C6">
              <w:rPr>
                <w:sz w:val="18"/>
                <w:szCs w:val="18"/>
                <w:lang w:val="ru-RU"/>
              </w:rPr>
              <w:t xml:space="preserve"> </w:t>
            </w:r>
          </w:p>
        </w:tc>
        <w:tc>
          <w:tcPr>
            <w:tcW w:w="867" w:type="pct"/>
            <w:tcBorders>
              <w:top w:val="single" w:sz="4" w:space="0" w:color="auto"/>
              <w:left w:val="single" w:sz="4" w:space="0" w:color="auto"/>
              <w:bottom w:val="single" w:sz="4" w:space="0" w:color="auto"/>
              <w:right w:val="single" w:sz="4" w:space="0" w:color="auto"/>
            </w:tcBorders>
          </w:tcPr>
          <w:p w:rsidR="004A430C" w:rsidRPr="002C25C6" w:rsidRDefault="004A430C" w:rsidP="00941FC5">
            <w:pPr>
              <w:spacing w:before="40" w:after="40"/>
              <w:rPr>
                <w:sz w:val="18"/>
                <w:szCs w:val="18"/>
                <w:lang w:val="ru-RU"/>
              </w:rPr>
            </w:pPr>
            <w:r w:rsidRPr="002C25C6">
              <w:rPr>
                <w:sz w:val="18"/>
                <w:szCs w:val="18"/>
                <w:lang w:val="ru-RU"/>
              </w:rPr>
              <w:t>В процессе выполнения.</w:t>
            </w:r>
          </w:p>
        </w:tc>
      </w:tr>
      <w:tr w:rsidR="004A430C" w:rsidRPr="002C25C6" w:rsidTr="00B50CE5">
        <w:trPr>
          <w:cantSplit/>
          <w:jc w:val="center"/>
        </w:trPr>
        <w:tc>
          <w:tcPr>
            <w:tcW w:w="503" w:type="pct"/>
            <w:tcBorders>
              <w:top w:val="single" w:sz="4" w:space="0" w:color="auto"/>
              <w:left w:val="single" w:sz="4" w:space="0" w:color="auto"/>
              <w:bottom w:val="single" w:sz="4" w:space="0" w:color="auto"/>
              <w:right w:val="single" w:sz="4" w:space="0" w:color="auto"/>
            </w:tcBorders>
          </w:tcPr>
          <w:p w:rsidR="004A430C" w:rsidRPr="002C25C6" w:rsidRDefault="004A430C" w:rsidP="00F42E5E">
            <w:pPr>
              <w:spacing w:before="40" w:after="40"/>
              <w:rPr>
                <w:b/>
                <w:bCs/>
                <w:sz w:val="18"/>
                <w:szCs w:val="18"/>
                <w:lang w:val="ru-RU"/>
              </w:rPr>
            </w:pPr>
            <w:proofErr w:type="spellStart"/>
            <w:r w:rsidRPr="002C25C6">
              <w:rPr>
                <w:b/>
                <w:bCs/>
                <w:sz w:val="18"/>
                <w:szCs w:val="18"/>
                <w:lang w:val="ru-RU"/>
              </w:rPr>
              <w:lastRenderedPageBreak/>
              <w:t>Предл</w:t>
            </w:r>
            <w:proofErr w:type="spellEnd"/>
            <w:r w:rsidRPr="002C25C6">
              <w:rPr>
                <w:b/>
                <w:bCs/>
                <w:sz w:val="18"/>
                <w:szCs w:val="18"/>
                <w:lang w:val="ru-RU"/>
              </w:rPr>
              <w:t>. 1/2014</w:t>
            </w:r>
          </w:p>
        </w:tc>
        <w:tc>
          <w:tcPr>
            <w:tcW w:w="1149" w:type="pct"/>
            <w:tcBorders>
              <w:top w:val="single" w:sz="4" w:space="0" w:color="auto"/>
              <w:left w:val="single" w:sz="4" w:space="0" w:color="auto"/>
              <w:bottom w:val="single" w:sz="4" w:space="0" w:color="auto"/>
              <w:right w:val="single" w:sz="4" w:space="0" w:color="auto"/>
            </w:tcBorders>
          </w:tcPr>
          <w:p w:rsidR="004A430C" w:rsidRPr="002C25C6" w:rsidRDefault="004A430C" w:rsidP="00F42E5E">
            <w:pPr>
              <w:spacing w:before="40" w:after="40"/>
              <w:rPr>
                <w:b/>
                <w:bCs/>
                <w:sz w:val="18"/>
                <w:szCs w:val="18"/>
                <w:lang w:val="ru-RU"/>
              </w:rPr>
            </w:pPr>
            <w:r w:rsidRPr="002C25C6">
              <w:rPr>
                <w:b/>
                <w:bCs/>
                <w:sz w:val="18"/>
                <w:szCs w:val="18"/>
                <w:lang w:val="ru-RU"/>
              </w:rPr>
              <w:t xml:space="preserve">Малоценные активы </w:t>
            </w:r>
          </w:p>
          <w:p w:rsidR="004A430C" w:rsidRPr="002C25C6" w:rsidRDefault="004A430C" w:rsidP="00F42E5E">
            <w:pPr>
              <w:spacing w:before="40" w:after="40"/>
              <w:rPr>
                <w:sz w:val="18"/>
                <w:szCs w:val="18"/>
                <w:lang w:val="ru-RU"/>
              </w:rPr>
            </w:pPr>
            <w:r w:rsidRPr="002C25C6">
              <w:rPr>
                <w:sz w:val="18"/>
                <w:szCs w:val="18"/>
                <w:lang w:val="ru-RU"/>
              </w:rPr>
              <w:t xml:space="preserve">В связи с этим </w:t>
            </w:r>
            <w:r w:rsidRPr="003A6154">
              <w:rPr>
                <w:sz w:val="18"/>
                <w:szCs w:val="18"/>
                <w:u w:val="single"/>
                <w:lang w:val="ru-RU"/>
              </w:rPr>
              <w:t>мы предлагаем</w:t>
            </w:r>
            <w:r w:rsidRPr="002C25C6">
              <w:rPr>
                <w:sz w:val="18"/>
                <w:szCs w:val="18"/>
                <w:lang w:val="ru-RU"/>
              </w:rPr>
              <w:t xml:space="preserve"> руководству рассмотреть вопрос о пересмотре порогового уровня малоценных активов, в частности определить различные категории предметов и их амортизацию в соответствии с продолжительностью их полезного использования.</w:t>
            </w:r>
          </w:p>
        </w:tc>
        <w:tc>
          <w:tcPr>
            <w:tcW w:w="1217" w:type="pct"/>
            <w:tcBorders>
              <w:top w:val="single" w:sz="4" w:space="0" w:color="auto"/>
              <w:left w:val="single" w:sz="4" w:space="0" w:color="auto"/>
              <w:bottom w:val="single" w:sz="4" w:space="0" w:color="auto"/>
              <w:right w:val="single" w:sz="4" w:space="0" w:color="auto"/>
            </w:tcBorders>
          </w:tcPr>
          <w:p w:rsidR="004A430C" w:rsidRPr="002C25C6" w:rsidRDefault="004A430C" w:rsidP="00F42E5E">
            <w:pPr>
              <w:spacing w:before="40" w:after="40"/>
              <w:rPr>
                <w:sz w:val="18"/>
                <w:szCs w:val="18"/>
                <w:lang w:val="ru-RU"/>
              </w:rPr>
            </w:pPr>
            <w:r w:rsidRPr="002C25C6">
              <w:rPr>
                <w:sz w:val="18"/>
                <w:szCs w:val="18"/>
                <w:lang w:val="ru-RU"/>
              </w:rPr>
              <w:t>Данное предложение будет изучено с целью анализа последствий введения дифференцированных пороговых уровней в соответствии с категорией материальных активов. Следует отметить, что 15,2 млн. швейцарских франков составляют накопленную сумму малоценных активов, определяемую моделью материальных активов со времени введения IPSAS (включая остаток на момент, предшествовавший внедрению IPSAS).</w:t>
            </w:r>
          </w:p>
        </w:tc>
        <w:tc>
          <w:tcPr>
            <w:tcW w:w="1264" w:type="pct"/>
            <w:tcBorders>
              <w:top w:val="single" w:sz="4" w:space="0" w:color="auto"/>
              <w:left w:val="single" w:sz="4" w:space="0" w:color="auto"/>
              <w:bottom w:val="single" w:sz="4" w:space="0" w:color="auto"/>
              <w:right w:val="single" w:sz="4" w:space="0" w:color="auto"/>
            </w:tcBorders>
          </w:tcPr>
          <w:p w:rsidR="004A430C" w:rsidRPr="002C25C6" w:rsidRDefault="004A430C" w:rsidP="00F42E5E">
            <w:pPr>
              <w:spacing w:before="40" w:after="40"/>
              <w:rPr>
                <w:sz w:val="18"/>
                <w:szCs w:val="18"/>
                <w:lang w:val="ru-RU"/>
              </w:rPr>
            </w:pPr>
            <w:r w:rsidRPr="002C25C6">
              <w:rPr>
                <w:sz w:val="18"/>
                <w:szCs w:val="18"/>
                <w:lang w:val="ru-RU"/>
              </w:rPr>
              <w:t xml:space="preserve">Выполнение этого предложения пока оценивается. </w:t>
            </w:r>
          </w:p>
          <w:p w:rsidR="00204D14" w:rsidRDefault="004A430C" w:rsidP="00A86B08">
            <w:pPr>
              <w:spacing w:before="40" w:after="40"/>
              <w:rPr>
                <w:b/>
                <w:bCs/>
                <w:sz w:val="18"/>
                <w:szCs w:val="18"/>
                <w:lang w:val="ru-RU"/>
              </w:rPr>
            </w:pPr>
            <w:r w:rsidRPr="002C25C6">
              <w:rPr>
                <w:b/>
                <w:bCs/>
                <w:sz w:val="18"/>
                <w:szCs w:val="18"/>
                <w:lang w:val="ru-RU"/>
              </w:rPr>
              <w:t>Обновление</w:t>
            </w:r>
            <w:r w:rsidR="0018753B">
              <w:rPr>
                <w:b/>
                <w:bCs/>
                <w:sz w:val="18"/>
                <w:szCs w:val="18"/>
                <w:lang w:val="ru-RU"/>
              </w:rPr>
              <w:t>,</w:t>
            </w:r>
            <w:r w:rsidRPr="002C25C6">
              <w:rPr>
                <w:b/>
                <w:bCs/>
                <w:sz w:val="18"/>
                <w:szCs w:val="18"/>
                <w:lang w:val="ru-RU"/>
              </w:rPr>
              <w:t xml:space="preserve"> по состоянию на конец апреля 2017 г</w:t>
            </w:r>
            <w:r w:rsidRPr="00204D14">
              <w:rPr>
                <w:sz w:val="18"/>
                <w:szCs w:val="18"/>
                <w:lang w:val="ru-RU"/>
              </w:rPr>
              <w:t>.</w:t>
            </w:r>
          </w:p>
          <w:p w:rsidR="004A430C" w:rsidRPr="002C25C6" w:rsidRDefault="004A430C" w:rsidP="00A86B08">
            <w:pPr>
              <w:spacing w:before="40" w:after="40"/>
              <w:rPr>
                <w:sz w:val="18"/>
                <w:szCs w:val="18"/>
                <w:lang w:val="ru-RU"/>
              </w:rPr>
            </w:pPr>
            <w:r w:rsidRPr="002C25C6">
              <w:rPr>
                <w:sz w:val="18"/>
                <w:szCs w:val="18"/>
                <w:lang w:val="ru-RU"/>
              </w:rPr>
              <w:t>Решение будет принято на основе результатов проводимого в настоящее время изучения воздействия порядка учета.</w:t>
            </w:r>
          </w:p>
        </w:tc>
        <w:tc>
          <w:tcPr>
            <w:tcW w:w="867" w:type="pct"/>
            <w:tcBorders>
              <w:top w:val="single" w:sz="4" w:space="0" w:color="auto"/>
              <w:left w:val="single" w:sz="4" w:space="0" w:color="auto"/>
              <w:bottom w:val="single" w:sz="4" w:space="0" w:color="auto"/>
              <w:right w:val="single" w:sz="4" w:space="0" w:color="auto"/>
            </w:tcBorders>
          </w:tcPr>
          <w:p w:rsidR="004A430C" w:rsidRPr="002C25C6" w:rsidRDefault="004A430C" w:rsidP="00F42E5E">
            <w:pPr>
              <w:spacing w:before="40" w:after="40"/>
              <w:rPr>
                <w:sz w:val="18"/>
                <w:szCs w:val="18"/>
                <w:lang w:val="ru-RU"/>
              </w:rPr>
            </w:pPr>
            <w:r w:rsidRPr="002C25C6">
              <w:rPr>
                <w:sz w:val="18"/>
                <w:szCs w:val="18"/>
                <w:lang w:val="ru-RU"/>
              </w:rPr>
              <w:t>В процессе выполнения.</w:t>
            </w:r>
          </w:p>
        </w:tc>
      </w:tr>
      <w:tr w:rsidR="004A430C" w:rsidRPr="002C25C6" w:rsidTr="00B50CE5">
        <w:trPr>
          <w:cantSplit/>
          <w:jc w:val="center"/>
        </w:trPr>
        <w:tc>
          <w:tcPr>
            <w:tcW w:w="503" w:type="pct"/>
            <w:tcBorders>
              <w:top w:val="single" w:sz="4" w:space="0" w:color="auto"/>
              <w:left w:val="single" w:sz="4" w:space="0" w:color="auto"/>
              <w:bottom w:val="single" w:sz="4" w:space="0" w:color="auto"/>
              <w:right w:val="single" w:sz="4" w:space="0" w:color="auto"/>
            </w:tcBorders>
          </w:tcPr>
          <w:p w:rsidR="004A430C" w:rsidRPr="002C25C6" w:rsidRDefault="004A430C" w:rsidP="00941FC5">
            <w:pPr>
              <w:spacing w:before="40" w:after="40"/>
              <w:rPr>
                <w:b/>
                <w:bCs/>
                <w:sz w:val="18"/>
                <w:szCs w:val="18"/>
                <w:lang w:val="ru-RU"/>
              </w:rPr>
            </w:pPr>
            <w:proofErr w:type="spellStart"/>
            <w:r w:rsidRPr="002C25C6">
              <w:rPr>
                <w:b/>
                <w:bCs/>
                <w:sz w:val="18"/>
                <w:szCs w:val="18"/>
                <w:lang w:val="ru-RU"/>
              </w:rPr>
              <w:t>Предл</w:t>
            </w:r>
            <w:proofErr w:type="spellEnd"/>
            <w:r w:rsidRPr="002C25C6">
              <w:rPr>
                <w:b/>
                <w:bCs/>
                <w:sz w:val="18"/>
                <w:szCs w:val="18"/>
                <w:lang w:val="ru-RU"/>
              </w:rPr>
              <w:t>. 3/2014</w:t>
            </w:r>
          </w:p>
        </w:tc>
        <w:tc>
          <w:tcPr>
            <w:tcW w:w="1149" w:type="pct"/>
            <w:tcBorders>
              <w:top w:val="single" w:sz="4" w:space="0" w:color="auto"/>
              <w:left w:val="single" w:sz="4" w:space="0" w:color="auto"/>
              <w:bottom w:val="single" w:sz="4" w:space="0" w:color="auto"/>
              <w:right w:val="single" w:sz="4" w:space="0" w:color="auto"/>
            </w:tcBorders>
          </w:tcPr>
          <w:p w:rsidR="004A430C" w:rsidRPr="002C25C6" w:rsidRDefault="004A430C" w:rsidP="00941FC5">
            <w:pPr>
              <w:spacing w:before="40" w:after="40"/>
              <w:rPr>
                <w:sz w:val="18"/>
                <w:szCs w:val="18"/>
                <w:lang w:val="ru-RU"/>
              </w:rPr>
            </w:pPr>
            <w:r w:rsidRPr="003A6154">
              <w:rPr>
                <w:sz w:val="18"/>
                <w:szCs w:val="18"/>
                <w:u w:val="single"/>
                <w:lang w:val="ru-RU"/>
              </w:rPr>
              <w:t>Мы предлагаем</w:t>
            </w:r>
            <w:r w:rsidRPr="002C25C6">
              <w:rPr>
                <w:sz w:val="18"/>
                <w:szCs w:val="18"/>
                <w:lang w:val="ru-RU"/>
              </w:rPr>
              <w:t xml:space="preserve"> руководству, по мере необходимости, определить комплексный набор факторов и </w:t>
            </w:r>
            <w:proofErr w:type="spellStart"/>
            <w:r w:rsidRPr="002C25C6">
              <w:rPr>
                <w:sz w:val="18"/>
                <w:szCs w:val="18"/>
                <w:lang w:val="ru-RU"/>
              </w:rPr>
              <w:t>субфакторов</w:t>
            </w:r>
            <w:proofErr w:type="spellEnd"/>
            <w:r w:rsidRPr="002C25C6">
              <w:rPr>
                <w:sz w:val="18"/>
                <w:szCs w:val="18"/>
                <w:lang w:val="ru-RU"/>
              </w:rPr>
              <w:t xml:space="preserve"> и использовать наиболее подходящие факторы для эффективного мониторинга положения АСХИ и принятия по нему мер.</w:t>
            </w:r>
          </w:p>
        </w:tc>
        <w:tc>
          <w:tcPr>
            <w:tcW w:w="1217" w:type="pct"/>
            <w:tcBorders>
              <w:top w:val="single" w:sz="4" w:space="0" w:color="auto"/>
              <w:left w:val="single" w:sz="4" w:space="0" w:color="auto"/>
              <w:bottom w:val="single" w:sz="4" w:space="0" w:color="auto"/>
              <w:right w:val="single" w:sz="4" w:space="0" w:color="auto"/>
            </w:tcBorders>
          </w:tcPr>
          <w:p w:rsidR="004A430C" w:rsidRPr="002C25C6" w:rsidRDefault="004A430C" w:rsidP="00941FC5">
            <w:pPr>
              <w:spacing w:before="40" w:after="40"/>
              <w:rPr>
                <w:sz w:val="18"/>
                <w:szCs w:val="18"/>
                <w:lang w:val="ru-RU"/>
              </w:rPr>
            </w:pPr>
            <w:r w:rsidRPr="002C25C6">
              <w:rPr>
                <w:sz w:val="18"/>
                <w:szCs w:val="18"/>
                <w:lang w:val="ru-RU"/>
              </w:rPr>
              <w:t>В настоящее время проводится мониторинг ПКМС с целью заблаговременного определения коррективов для обеспечения финансирования на основе оплаты по факту оказания услуг. Вышеупомянутые факторы принимаются во внимание для определения соответствующих коррективов. Обязательство по АСХИ будет финансироваться в соответствии с имеющимися ресурсами на долгосрочной основе, принимая во внимание бюджетные ограничения.</w:t>
            </w:r>
          </w:p>
        </w:tc>
        <w:tc>
          <w:tcPr>
            <w:tcW w:w="1264" w:type="pct"/>
            <w:tcBorders>
              <w:top w:val="single" w:sz="4" w:space="0" w:color="auto"/>
              <w:left w:val="single" w:sz="4" w:space="0" w:color="auto"/>
              <w:bottom w:val="single" w:sz="4" w:space="0" w:color="auto"/>
              <w:right w:val="single" w:sz="4" w:space="0" w:color="auto"/>
            </w:tcBorders>
          </w:tcPr>
          <w:p w:rsidR="004A430C" w:rsidRPr="002C25C6" w:rsidRDefault="004A430C" w:rsidP="00941FC5">
            <w:pPr>
              <w:spacing w:before="40" w:after="40"/>
              <w:rPr>
                <w:sz w:val="18"/>
                <w:szCs w:val="18"/>
                <w:lang w:val="ru-RU"/>
              </w:rPr>
            </w:pPr>
            <w:r w:rsidRPr="002C25C6">
              <w:rPr>
                <w:sz w:val="18"/>
                <w:szCs w:val="18"/>
                <w:lang w:val="ru-RU"/>
              </w:rPr>
              <w:t>Руководство следует этому предложению; как только будет завершено полное актуарное исследование, его результаты будут учтены при определении надлежащих факторов для эффективного мониторинга положения АСХИ.</w:t>
            </w:r>
          </w:p>
          <w:p w:rsidR="00204D14" w:rsidRDefault="004A430C" w:rsidP="00A86B08">
            <w:pPr>
              <w:spacing w:before="40" w:after="40"/>
              <w:rPr>
                <w:b/>
                <w:bCs/>
                <w:sz w:val="18"/>
                <w:szCs w:val="18"/>
                <w:lang w:val="ru-RU"/>
              </w:rPr>
            </w:pPr>
            <w:r w:rsidRPr="002C25C6">
              <w:rPr>
                <w:b/>
                <w:bCs/>
                <w:sz w:val="18"/>
                <w:szCs w:val="18"/>
                <w:lang w:val="ru-RU"/>
              </w:rPr>
              <w:t>Обновление</w:t>
            </w:r>
            <w:r w:rsidR="0018753B">
              <w:rPr>
                <w:b/>
                <w:bCs/>
                <w:sz w:val="18"/>
                <w:szCs w:val="18"/>
                <w:lang w:val="ru-RU"/>
              </w:rPr>
              <w:t>,</w:t>
            </w:r>
            <w:r w:rsidRPr="002C25C6">
              <w:rPr>
                <w:b/>
                <w:bCs/>
                <w:sz w:val="18"/>
                <w:szCs w:val="18"/>
                <w:lang w:val="ru-RU"/>
              </w:rPr>
              <w:t xml:space="preserve"> по состоянию на конец апреля 2017 г</w:t>
            </w:r>
            <w:r w:rsidRPr="00204D14">
              <w:rPr>
                <w:sz w:val="18"/>
                <w:szCs w:val="18"/>
                <w:lang w:val="ru-RU"/>
              </w:rPr>
              <w:t>.</w:t>
            </w:r>
          </w:p>
          <w:p w:rsidR="004A430C" w:rsidRPr="002C25C6" w:rsidRDefault="004A430C" w:rsidP="00A86B08">
            <w:pPr>
              <w:spacing w:before="40" w:after="40"/>
              <w:rPr>
                <w:sz w:val="18"/>
                <w:szCs w:val="18"/>
                <w:lang w:val="ru-RU"/>
              </w:rPr>
            </w:pPr>
            <w:r w:rsidRPr="002C25C6">
              <w:rPr>
                <w:sz w:val="18"/>
                <w:szCs w:val="18"/>
                <w:lang w:val="ru-RU"/>
              </w:rPr>
              <w:t>Результаты полного актуарного исследования будут получены в середине 2017 года. На основе результатов этого исследования руководство определит различные факторы для обеспечения эффективного контроля ситуации в отношении АСХИ.</w:t>
            </w:r>
          </w:p>
        </w:tc>
        <w:tc>
          <w:tcPr>
            <w:tcW w:w="867" w:type="pct"/>
            <w:tcBorders>
              <w:top w:val="single" w:sz="4" w:space="0" w:color="auto"/>
              <w:left w:val="single" w:sz="4" w:space="0" w:color="auto"/>
              <w:bottom w:val="single" w:sz="4" w:space="0" w:color="auto"/>
              <w:right w:val="single" w:sz="4" w:space="0" w:color="auto"/>
            </w:tcBorders>
          </w:tcPr>
          <w:p w:rsidR="004A430C" w:rsidRPr="002C25C6" w:rsidRDefault="004A430C" w:rsidP="00941FC5">
            <w:pPr>
              <w:spacing w:before="40" w:after="40"/>
              <w:rPr>
                <w:sz w:val="18"/>
                <w:szCs w:val="18"/>
                <w:lang w:val="ru-RU"/>
              </w:rPr>
            </w:pPr>
            <w:r w:rsidRPr="002C25C6">
              <w:rPr>
                <w:sz w:val="18"/>
                <w:szCs w:val="18"/>
                <w:lang w:val="ru-RU"/>
              </w:rPr>
              <w:t>В процессе выполнения.</w:t>
            </w:r>
          </w:p>
        </w:tc>
      </w:tr>
      <w:tr w:rsidR="004A430C" w:rsidRPr="002C25C6" w:rsidTr="00B50CE5">
        <w:trPr>
          <w:jc w:val="center"/>
        </w:trPr>
        <w:tc>
          <w:tcPr>
            <w:tcW w:w="503" w:type="pct"/>
            <w:tcBorders>
              <w:top w:val="single" w:sz="4" w:space="0" w:color="auto"/>
              <w:left w:val="single" w:sz="4" w:space="0" w:color="auto"/>
              <w:bottom w:val="single" w:sz="4" w:space="0" w:color="auto"/>
              <w:right w:val="single" w:sz="4" w:space="0" w:color="auto"/>
            </w:tcBorders>
          </w:tcPr>
          <w:p w:rsidR="004A430C" w:rsidRPr="002C25C6" w:rsidRDefault="004A430C" w:rsidP="00CD78C7">
            <w:pPr>
              <w:keepNext/>
              <w:keepLines/>
              <w:spacing w:before="40" w:after="40"/>
              <w:rPr>
                <w:b/>
                <w:bCs/>
                <w:sz w:val="18"/>
                <w:szCs w:val="18"/>
                <w:lang w:val="ru-RU"/>
              </w:rPr>
            </w:pPr>
            <w:proofErr w:type="spellStart"/>
            <w:r w:rsidRPr="002C25C6">
              <w:rPr>
                <w:b/>
                <w:bCs/>
                <w:sz w:val="18"/>
                <w:szCs w:val="18"/>
                <w:lang w:val="ru-RU"/>
              </w:rPr>
              <w:lastRenderedPageBreak/>
              <w:t>Предл</w:t>
            </w:r>
            <w:proofErr w:type="spellEnd"/>
            <w:r w:rsidRPr="002C25C6">
              <w:rPr>
                <w:b/>
                <w:bCs/>
                <w:sz w:val="18"/>
                <w:szCs w:val="18"/>
                <w:lang w:val="ru-RU"/>
              </w:rPr>
              <w:t>. 7/2014</w:t>
            </w:r>
          </w:p>
        </w:tc>
        <w:tc>
          <w:tcPr>
            <w:tcW w:w="1149" w:type="pct"/>
            <w:tcBorders>
              <w:top w:val="single" w:sz="4" w:space="0" w:color="auto"/>
              <w:left w:val="single" w:sz="4" w:space="0" w:color="auto"/>
              <w:bottom w:val="single" w:sz="4" w:space="0" w:color="auto"/>
              <w:right w:val="single" w:sz="4" w:space="0" w:color="auto"/>
            </w:tcBorders>
          </w:tcPr>
          <w:p w:rsidR="004A430C" w:rsidRPr="002C25C6" w:rsidRDefault="004A430C" w:rsidP="00941FC5">
            <w:pPr>
              <w:spacing w:before="40" w:after="40"/>
              <w:rPr>
                <w:sz w:val="18"/>
                <w:szCs w:val="18"/>
                <w:lang w:val="ru-RU"/>
              </w:rPr>
            </w:pPr>
            <w:r w:rsidRPr="003A6154">
              <w:rPr>
                <w:sz w:val="18"/>
                <w:szCs w:val="18"/>
                <w:u w:val="single"/>
                <w:lang w:val="ru-RU"/>
              </w:rPr>
              <w:t>Мы предлагаем</w:t>
            </w:r>
            <w:r w:rsidRPr="002C25C6">
              <w:rPr>
                <w:sz w:val="18"/>
                <w:szCs w:val="18"/>
                <w:lang w:val="ru-RU"/>
              </w:rPr>
              <w:t xml:space="preserve"> руководству проанализировать последствия в отношении утраты соответствующего опыта, что может стать следствием быстрой ротации и ожидаемых случаев выхода на пенсию, а также установить стратегические приоритеты по кадровым потребностям в будущем в среднесрочной перспективе.</w:t>
            </w:r>
          </w:p>
        </w:tc>
        <w:tc>
          <w:tcPr>
            <w:tcW w:w="1217" w:type="pct"/>
            <w:tcBorders>
              <w:top w:val="single" w:sz="4" w:space="0" w:color="auto"/>
              <w:left w:val="single" w:sz="4" w:space="0" w:color="auto"/>
              <w:bottom w:val="single" w:sz="4" w:space="0" w:color="auto"/>
              <w:right w:val="single" w:sz="4" w:space="0" w:color="auto"/>
            </w:tcBorders>
          </w:tcPr>
          <w:p w:rsidR="004A430C" w:rsidRPr="002C25C6" w:rsidRDefault="004A430C" w:rsidP="00941FC5">
            <w:pPr>
              <w:spacing w:before="40" w:after="40"/>
              <w:rPr>
                <w:sz w:val="18"/>
                <w:szCs w:val="18"/>
                <w:lang w:val="ru-RU"/>
              </w:rPr>
            </w:pPr>
            <w:r w:rsidRPr="002C25C6">
              <w:rPr>
                <w:sz w:val="18"/>
                <w:szCs w:val="18"/>
                <w:lang w:val="ru-RU"/>
              </w:rPr>
              <w:t>Руководство принимает данное предложение к сведению. Дополнительно будет введена в действие политика использования специальных соглашений об услугах, с тем чтобы обеспечить надлежащее использование рабочей силы в интересах Союза.</w:t>
            </w:r>
          </w:p>
        </w:tc>
        <w:tc>
          <w:tcPr>
            <w:tcW w:w="1264" w:type="pct"/>
            <w:tcBorders>
              <w:top w:val="single" w:sz="4" w:space="0" w:color="auto"/>
              <w:left w:val="single" w:sz="4" w:space="0" w:color="auto"/>
              <w:bottom w:val="single" w:sz="4" w:space="0" w:color="auto"/>
              <w:right w:val="single" w:sz="4" w:space="0" w:color="auto"/>
            </w:tcBorders>
          </w:tcPr>
          <w:p w:rsidR="004A430C" w:rsidRPr="002C25C6" w:rsidRDefault="004A430C" w:rsidP="008E0D64">
            <w:pPr>
              <w:tabs>
                <w:tab w:val="left" w:pos="284"/>
              </w:tabs>
              <w:spacing w:before="40" w:after="40"/>
              <w:ind w:left="284" w:hanging="284"/>
              <w:rPr>
                <w:sz w:val="18"/>
                <w:szCs w:val="18"/>
                <w:lang w:val="ru-RU"/>
              </w:rPr>
            </w:pPr>
            <w:r w:rsidRPr="002C25C6">
              <w:rPr>
                <w:sz w:val="18"/>
                <w:szCs w:val="18"/>
                <w:lang w:val="ru-RU"/>
              </w:rPr>
              <w:t>a)</w:t>
            </w:r>
            <w:r w:rsidRPr="002C25C6">
              <w:rPr>
                <w:sz w:val="18"/>
                <w:szCs w:val="18"/>
                <w:lang w:val="ru-RU"/>
              </w:rPr>
              <w:tab/>
              <w:t>Все еще ведется работа по введению в действие политики использования специальных соглашений об услугах (</w:t>
            </w:r>
            <w:proofErr w:type="spellStart"/>
            <w:r w:rsidRPr="002C25C6">
              <w:rPr>
                <w:sz w:val="18"/>
                <w:szCs w:val="18"/>
                <w:lang w:val="ru-RU"/>
              </w:rPr>
              <w:t>SSA</w:t>
            </w:r>
            <w:proofErr w:type="spellEnd"/>
            <w:r w:rsidRPr="002C25C6">
              <w:rPr>
                <w:sz w:val="18"/>
                <w:szCs w:val="18"/>
                <w:lang w:val="ru-RU"/>
              </w:rPr>
              <w:t>). Новая политика будет охватывать следующие элементы:</w:t>
            </w:r>
          </w:p>
          <w:p w:rsidR="004A430C" w:rsidRPr="002C25C6" w:rsidRDefault="004A430C" w:rsidP="001767CE">
            <w:pPr>
              <w:tabs>
                <w:tab w:val="left" w:pos="567"/>
              </w:tabs>
              <w:spacing w:before="40" w:after="40"/>
              <w:ind w:left="568" w:hanging="284"/>
              <w:rPr>
                <w:sz w:val="18"/>
                <w:szCs w:val="18"/>
                <w:lang w:val="ru-RU"/>
              </w:rPr>
            </w:pPr>
            <w:r w:rsidRPr="002C25C6">
              <w:rPr>
                <w:sz w:val="18"/>
                <w:szCs w:val="18"/>
                <w:lang w:val="ru-RU"/>
              </w:rPr>
              <w:t>−</w:t>
            </w:r>
            <w:r w:rsidRPr="002C25C6">
              <w:rPr>
                <w:sz w:val="18"/>
                <w:szCs w:val="18"/>
                <w:lang w:val="ru-RU"/>
              </w:rPr>
              <w:tab/>
              <w:t xml:space="preserve">пересмотренное определение работающих по </w:t>
            </w:r>
            <w:proofErr w:type="spellStart"/>
            <w:r w:rsidRPr="002C25C6">
              <w:rPr>
                <w:sz w:val="18"/>
                <w:szCs w:val="18"/>
                <w:lang w:val="ru-RU"/>
              </w:rPr>
              <w:t>SSA</w:t>
            </w:r>
            <w:proofErr w:type="spellEnd"/>
            <w:r w:rsidRPr="002C25C6">
              <w:rPr>
                <w:sz w:val="18"/>
                <w:szCs w:val="18"/>
                <w:lang w:val="ru-RU"/>
              </w:rPr>
              <w:t>;</w:t>
            </w:r>
          </w:p>
          <w:p w:rsidR="004A430C" w:rsidRPr="002C25C6" w:rsidRDefault="004A430C" w:rsidP="00AA4F19">
            <w:pPr>
              <w:tabs>
                <w:tab w:val="left" w:pos="567"/>
              </w:tabs>
              <w:spacing w:before="40" w:after="40"/>
              <w:ind w:left="568" w:hanging="284"/>
              <w:rPr>
                <w:sz w:val="18"/>
                <w:szCs w:val="18"/>
                <w:lang w:val="ru-RU"/>
              </w:rPr>
            </w:pPr>
            <w:r w:rsidRPr="002C25C6">
              <w:rPr>
                <w:sz w:val="18"/>
                <w:szCs w:val="18"/>
                <w:lang w:val="ru-RU"/>
              </w:rPr>
              <w:t>−</w:t>
            </w:r>
            <w:r w:rsidRPr="002C25C6">
              <w:rPr>
                <w:sz w:val="18"/>
                <w:szCs w:val="18"/>
                <w:lang w:val="ru-RU"/>
              </w:rPr>
              <w:tab/>
              <w:t xml:space="preserve">установление различных категорий задач, для выполнения которых могут быть выданы контракты </w:t>
            </w:r>
            <w:proofErr w:type="spellStart"/>
            <w:r w:rsidRPr="002C25C6">
              <w:rPr>
                <w:sz w:val="18"/>
                <w:szCs w:val="18"/>
                <w:lang w:val="ru-RU"/>
              </w:rPr>
              <w:t>SSA</w:t>
            </w:r>
            <w:proofErr w:type="spellEnd"/>
            <w:r w:rsidRPr="002C25C6">
              <w:rPr>
                <w:sz w:val="18"/>
                <w:szCs w:val="18"/>
                <w:lang w:val="ru-RU"/>
              </w:rPr>
              <w:t>, с учетом объема основных/неосновных функций, задач, связанных с проектами, и высокого уровня профессиональных знаний, необходимого для конкретных исследований;</w:t>
            </w:r>
          </w:p>
          <w:p w:rsidR="004A430C" w:rsidRPr="002C25C6" w:rsidRDefault="004A430C" w:rsidP="001767CE">
            <w:pPr>
              <w:tabs>
                <w:tab w:val="left" w:pos="567"/>
              </w:tabs>
              <w:spacing w:before="40" w:after="40"/>
              <w:ind w:left="568" w:hanging="284"/>
              <w:rPr>
                <w:sz w:val="18"/>
                <w:szCs w:val="18"/>
                <w:lang w:val="ru-RU"/>
              </w:rPr>
            </w:pPr>
            <w:r w:rsidRPr="002C25C6">
              <w:rPr>
                <w:sz w:val="18"/>
                <w:szCs w:val="18"/>
                <w:lang w:val="ru-RU"/>
              </w:rPr>
              <w:t>−</w:t>
            </w:r>
            <w:r w:rsidRPr="002C25C6">
              <w:rPr>
                <w:sz w:val="18"/>
                <w:szCs w:val="18"/>
                <w:lang w:val="ru-RU"/>
              </w:rPr>
              <w:tab/>
              <w:t>введение единого для всего Союза процесса набора персонала;</w:t>
            </w:r>
          </w:p>
          <w:p w:rsidR="004A430C" w:rsidRPr="002C25C6" w:rsidRDefault="004A430C" w:rsidP="001767CE">
            <w:pPr>
              <w:tabs>
                <w:tab w:val="left" w:pos="567"/>
              </w:tabs>
              <w:spacing w:before="40" w:after="40"/>
              <w:ind w:left="568" w:hanging="284"/>
              <w:rPr>
                <w:sz w:val="18"/>
                <w:szCs w:val="18"/>
                <w:lang w:val="ru-RU"/>
              </w:rPr>
            </w:pPr>
            <w:r w:rsidRPr="002C25C6">
              <w:rPr>
                <w:sz w:val="18"/>
                <w:szCs w:val="18"/>
                <w:lang w:val="ru-RU"/>
              </w:rPr>
              <w:t>−</w:t>
            </w:r>
            <w:r w:rsidRPr="002C25C6">
              <w:rPr>
                <w:sz w:val="18"/>
                <w:szCs w:val="18"/>
                <w:lang w:val="ru-RU"/>
              </w:rPr>
              <w:tab/>
              <w:t>введение шкалы и диапазонов вознаграждений, охватывающих различные потребности;</w:t>
            </w:r>
          </w:p>
          <w:p w:rsidR="004A430C" w:rsidRPr="002C25C6" w:rsidRDefault="004A430C" w:rsidP="001767CE">
            <w:pPr>
              <w:tabs>
                <w:tab w:val="left" w:pos="567"/>
              </w:tabs>
              <w:spacing w:before="40" w:after="40"/>
              <w:ind w:left="568" w:hanging="284"/>
              <w:rPr>
                <w:sz w:val="18"/>
                <w:szCs w:val="18"/>
                <w:lang w:val="ru-RU"/>
              </w:rPr>
            </w:pPr>
            <w:r w:rsidRPr="002C25C6">
              <w:rPr>
                <w:sz w:val="18"/>
                <w:szCs w:val="18"/>
                <w:lang w:val="ru-RU"/>
              </w:rPr>
              <w:t>−</w:t>
            </w:r>
            <w:r w:rsidRPr="002C25C6">
              <w:rPr>
                <w:sz w:val="18"/>
                <w:szCs w:val="18"/>
                <w:lang w:val="ru-RU"/>
              </w:rPr>
              <w:tab/>
              <w:t>четкие руководящие указания по включению установления временных рамок;</w:t>
            </w:r>
          </w:p>
          <w:p w:rsidR="004A430C" w:rsidRPr="002C25C6" w:rsidRDefault="004A430C" w:rsidP="001767CE">
            <w:pPr>
              <w:tabs>
                <w:tab w:val="left" w:pos="567"/>
              </w:tabs>
              <w:spacing w:before="40" w:after="40"/>
              <w:ind w:left="568" w:hanging="284"/>
              <w:rPr>
                <w:sz w:val="18"/>
                <w:szCs w:val="18"/>
                <w:lang w:val="ru-RU"/>
              </w:rPr>
            </w:pPr>
            <w:r w:rsidRPr="002C25C6">
              <w:rPr>
                <w:sz w:val="18"/>
                <w:szCs w:val="18"/>
                <w:lang w:val="ru-RU"/>
              </w:rPr>
              <w:t>−</w:t>
            </w:r>
            <w:r w:rsidRPr="002C25C6">
              <w:rPr>
                <w:sz w:val="18"/>
                <w:szCs w:val="18"/>
                <w:lang w:val="ru-RU"/>
              </w:rPr>
              <w:tab/>
              <w:t>четкие руководящие указания по продолжительности, включая ограничения и условия продления и возобновления таких контрактов;</w:t>
            </w:r>
          </w:p>
          <w:p w:rsidR="004A430C" w:rsidRPr="002C25C6" w:rsidRDefault="004A430C" w:rsidP="001767CE">
            <w:pPr>
              <w:tabs>
                <w:tab w:val="left" w:pos="567"/>
              </w:tabs>
              <w:spacing w:before="40" w:after="40"/>
              <w:ind w:left="568" w:hanging="284"/>
              <w:rPr>
                <w:sz w:val="18"/>
                <w:szCs w:val="18"/>
                <w:lang w:val="ru-RU"/>
              </w:rPr>
            </w:pPr>
            <w:r w:rsidRPr="002C25C6">
              <w:rPr>
                <w:sz w:val="18"/>
                <w:szCs w:val="18"/>
                <w:lang w:val="ru-RU"/>
              </w:rPr>
              <w:t>−</w:t>
            </w:r>
            <w:r w:rsidRPr="002C25C6">
              <w:rPr>
                <w:sz w:val="18"/>
                <w:szCs w:val="18"/>
                <w:lang w:val="ru-RU"/>
              </w:rPr>
              <w:tab/>
              <w:t>повторное определение соответствующих социальных пособий и других льгот (путевые затраты, суточные для нанятого на неместной основе персонала и др.);</w:t>
            </w:r>
          </w:p>
          <w:p w:rsidR="004A430C" w:rsidRPr="002C25C6" w:rsidRDefault="004A430C" w:rsidP="00CD78C7">
            <w:pPr>
              <w:tabs>
                <w:tab w:val="left" w:pos="567"/>
              </w:tabs>
              <w:spacing w:before="40" w:after="40"/>
              <w:ind w:left="568" w:hanging="284"/>
              <w:rPr>
                <w:sz w:val="18"/>
                <w:szCs w:val="18"/>
                <w:lang w:val="ru-RU"/>
              </w:rPr>
            </w:pPr>
            <w:r w:rsidRPr="002C25C6">
              <w:rPr>
                <w:sz w:val="18"/>
                <w:szCs w:val="18"/>
                <w:lang w:val="ru-RU"/>
              </w:rPr>
              <w:t>−</w:t>
            </w:r>
            <w:r w:rsidRPr="002C25C6">
              <w:rPr>
                <w:sz w:val="18"/>
                <w:szCs w:val="18"/>
                <w:lang w:val="ru-RU"/>
              </w:rPr>
              <w:tab/>
              <w:t xml:space="preserve">определение инструмента оценки результатов работы. </w:t>
            </w:r>
          </w:p>
        </w:tc>
        <w:tc>
          <w:tcPr>
            <w:tcW w:w="867" w:type="pct"/>
            <w:tcBorders>
              <w:top w:val="single" w:sz="4" w:space="0" w:color="auto"/>
              <w:left w:val="single" w:sz="4" w:space="0" w:color="auto"/>
              <w:bottom w:val="single" w:sz="4" w:space="0" w:color="auto"/>
              <w:right w:val="single" w:sz="4" w:space="0" w:color="auto"/>
            </w:tcBorders>
          </w:tcPr>
          <w:p w:rsidR="004A430C" w:rsidRPr="002C25C6" w:rsidRDefault="004A430C" w:rsidP="00941FC5">
            <w:pPr>
              <w:spacing w:before="40" w:after="40"/>
              <w:rPr>
                <w:sz w:val="18"/>
                <w:szCs w:val="18"/>
                <w:lang w:val="ru-RU"/>
              </w:rPr>
            </w:pPr>
            <w:r w:rsidRPr="002C25C6">
              <w:rPr>
                <w:sz w:val="18"/>
                <w:szCs w:val="18"/>
                <w:lang w:val="ru-RU"/>
              </w:rPr>
              <w:t>В процессе выполнения.</w:t>
            </w:r>
          </w:p>
        </w:tc>
      </w:tr>
      <w:tr w:rsidR="00CD78C7" w:rsidRPr="002C25C6" w:rsidTr="00B50CE5">
        <w:trPr>
          <w:jc w:val="center"/>
        </w:trPr>
        <w:tc>
          <w:tcPr>
            <w:tcW w:w="503" w:type="pct"/>
            <w:tcBorders>
              <w:top w:val="single" w:sz="4" w:space="0" w:color="auto"/>
              <w:left w:val="single" w:sz="4" w:space="0" w:color="auto"/>
              <w:bottom w:val="single" w:sz="4" w:space="0" w:color="auto"/>
              <w:right w:val="single" w:sz="4" w:space="0" w:color="auto"/>
            </w:tcBorders>
          </w:tcPr>
          <w:p w:rsidR="00CD78C7" w:rsidRPr="002C25C6" w:rsidRDefault="00CD78C7" w:rsidP="00CD78C7">
            <w:pPr>
              <w:keepNext/>
              <w:keepLines/>
              <w:spacing w:before="40" w:after="40"/>
              <w:rPr>
                <w:b/>
                <w:bCs/>
                <w:sz w:val="18"/>
                <w:szCs w:val="18"/>
                <w:lang w:val="ru-RU"/>
              </w:rPr>
            </w:pPr>
          </w:p>
        </w:tc>
        <w:tc>
          <w:tcPr>
            <w:tcW w:w="1149" w:type="pct"/>
            <w:tcBorders>
              <w:top w:val="single" w:sz="4" w:space="0" w:color="auto"/>
              <w:left w:val="single" w:sz="4" w:space="0" w:color="auto"/>
              <w:bottom w:val="single" w:sz="4" w:space="0" w:color="auto"/>
              <w:right w:val="single" w:sz="4" w:space="0" w:color="auto"/>
            </w:tcBorders>
          </w:tcPr>
          <w:p w:rsidR="00CD78C7" w:rsidRPr="002C25C6" w:rsidRDefault="00CD78C7" w:rsidP="00941FC5">
            <w:pPr>
              <w:spacing w:before="40" w:after="40"/>
              <w:rPr>
                <w:sz w:val="18"/>
                <w:szCs w:val="18"/>
                <w:lang w:val="ru-RU"/>
              </w:rPr>
            </w:pPr>
          </w:p>
        </w:tc>
        <w:tc>
          <w:tcPr>
            <w:tcW w:w="1217" w:type="pct"/>
            <w:tcBorders>
              <w:top w:val="single" w:sz="4" w:space="0" w:color="auto"/>
              <w:left w:val="single" w:sz="4" w:space="0" w:color="auto"/>
              <w:bottom w:val="single" w:sz="4" w:space="0" w:color="auto"/>
              <w:right w:val="single" w:sz="4" w:space="0" w:color="auto"/>
            </w:tcBorders>
          </w:tcPr>
          <w:p w:rsidR="00CD78C7" w:rsidRPr="002C25C6" w:rsidRDefault="00CD78C7" w:rsidP="00941FC5">
            <w:pPr>
              <w:spacing w:before="40" w:after="40"/>
              <w:rPr>
                <w:sz w:val="18"/>
                <w:szCs w:val="18"/>
                <w:lang w:val="ru-RU"/>
              </w:rPr>
            </w:pPr>
          </w:p>
        </w:tc>
        <w:tc>
          <w:tcPr>
            <w:tcW w:w="1264" w:type="pct"/>
            <w:tcBorders>
              <w:top w:val="single" w:sz="4" w:space="0" w:color="auto"/>
              <w:left w:val="single" w:sz="4" w:space="0" w:color="auto"/>
              <w:bottom w:val="single" w:sz="4" w:space="0" w:color="auto"/>
              <w:right w:val="single" w:sz="4" w:space="0" w:color="auto"/>
            </w:tcBorders>
          </w:tcPr>
          <w:p w:rsidR="00CD78C7" w:rsidRPr="002C25C6" w:rsidRDefault="00CD78C7" w:rsidP="00CD78C7">
            <w:pPr>
              <w:tabs>
                <w:tab w:val="left" w:pos="284"/>
              </w:tabs>
              <w:spacing w:before="40" w:after="40"/>
              <w:ind w:left="284" w:hanging="284"/>
              <w:rPr>
                <w:sz w:val="18"/>
                <w:szCs w:val="18"/>
                <w:lang w:val="ru-RU"/>
              </w:rPr>
            </w:pPr>
            <w:r w:rsidRPr="002C25C6">
              <w:rPr>
                <w:sz w:val="18"/>
                <w:szCs w:val="18"/>
                <w:lang w:val="ru-RU"/>
              </w:rPr>
              <w:t>b)</w:t>
            </w:r>
            <w:r w:rsidRPr="002C25C6">
              <w:rPr>
                <w:sz w:val="18"/>
                <w:szCs w:val="18"/>
                <w:lang w:val="ru-RU"/>
              </w:rPr>
              <w:tab/>
              <w:t xml:space="preserve">Кроме того, важно отметить, что помочь в сохранении постоянного персонала может привлечение практикантов и сотрудников с </w:t>
            </w:r>
            <w:proofErr w:type="spellStart"/>
            <w:r w:rsidRPr="002C25C6">
              <w:rPr>
                <w:sz w:val="18"/>
                <w:szCs w:val="18"/>
                <w:lang w:val="ru-RU"/>
              </w:rPr>
              <w:t>SSA</w:t>
            </w:r>
            <w:proofErr w:type="spellEnd"/>
            <w:r w:rsidRPr="002C25C6">
              <w:rPr>
                <w:sz w:val="18"/>
                <w:szCs w:val="18"/>
                <w:lang w:val="ru-RU"/>
              </w:rPr>
              <w:t xml:space="preserve">, работающих под контролем со стороны назначаемого персонала. </w:t>
            </w:r>
          </w:p>
          <w:p w:rsidR="00CD78C7" w:rsidRDefault="00CD78C7" w:rsidP="00CD78C7">
            <w:pPr>
              <w:tabs>
                <w:tab w:val="left" w:pos="284"/>
              </w:tabs>
              <w:spacing w:before="40" w:after="40"/>
              <w:rPr>
                <w:b/>
                <w:bCs/>
                <w:sz w:val="18"/>
                <w:szCs w:val="18"/>
                <w:lang w:val="ru-RU"/>
              </w:rPr>
            </w:pPr>
            <w:r w:rsidRPr="002C25C6">
              <w:rPr>
                <w:b/>
                <w:bCs/>
                <w:sz w:val="18"/>
                <w:szCs w:val="18"/>
                <w:lang w:val="ru-RU"/>
              </w:rPr>
              <w:t>Обновление</w:t>
            </w:r>
            <w:r w:rsidR="0018753B">
              <w:rPr>
                <w:b/>
                <w:bCs/>
                <w:sz w:val="18"/>
                <w:szCs w:val="18"/>
                <w:lang w:val="ru-RU"/>
              </w:rPr>
              <w:t>,</w:t>
            </w:r>
            <w:r w:rsidRPr="002C25C6">
              <w:rPr>
                <w:b/>
                <w:bCs/>
                <w:sz w:val="18"/>
                <w:szCs w:val="18"/>
                <w:lang w:val="ru-RU"/>
              </w:rPr>
              <w:t xml:space="preserve"> по состоянию на конец апреля 2017 г</w:t>
            </w:r>
            <w:r w:rsidRPr="00CD78C7">
              <w:rPr>
                <w:sz w:val="18"/>
                <w:szCs w:val="18"/>
                <w:lang w:val="ru-RU"/>
              </w:rPr>
              <w:t>.</w:t>
            </w:r>
          </w:p>
          <w:p w:rsidR="00CD78C7" w:rsidRPr="002C25C6" w:rsidRDefault="00CD78C7" w:rsidP="00CD78C7">
            <w:pPr>
              <w:tabs>
                <w:tab w:val="left" w:pos="284"/>
              </w:tabs>
              <w:spacing w:before="40" w:after="40"/>
              <w:rPr>
                <w:sz w:val="18"/>
                <w:szCs w:val="18"/>
                <w:lang w:val="ru-RU"/>
              </w:rPr>
            </w:pPr>
            <w:r w:rsidRPr="002C25C6">
              <w:rPr>
                <w:sz w:val="18"/>
                <w:szCs w:val="18"/>
                <w:lang w:val="ru-RU"/>
              </w:rPr>
              <w:t>Соответствующий проект разработан и приставляется для информации Совету 2017</w:t>
            </w:r>
            <w:r>
              <w:rPr>
                <w:sz w:val="18"/>
                <w:szCs w:val="18"/>
                <w:lang w:val="ru-RU"/>
              </w:rPr>
              <w:t> </w:t>
            </w:r>
            <w:r w:rsidRPr="002C25C6">
              <w:rPr>
                <w:sz w:val="18"/>
                <w:szCs w:val="18"/>
                <w:lang w:val="ru-RU"/>
              </w:rPr>
              <w:t>года в ожидании его рассмотрения в рамках обычного процесса внутренних консультаций</w:t>
            </w:r>
            <w:r>
              <w:rPr>
                <w:sz w:val="18"/>
                <w:szCs w:val="18"/>
                <w:lang w:val="ru-RU"/>
              </w:rPr>
              <w:t>.</w:t>
            </w:r>
          </w:p>
        </w:tc>
        <w:tc>
          <w:tcPr>
            <w:tcW w:w="867" w:type="pct"/>
            <w:tcBorders>
              <w:top w:val="single" w:sz="4" w:space="0" w:color="auto"/>
              <w:left w:val="single" w:sz="4" w:space="0" w:color="auto"/>
              <w:bottom w:val="single" w:sz="4" w:space="0" w:color="auto"/>
              <w:right w:val="single" w:sz="4" w:space="0" w:color="auto"/>
            </w:tcBorders>
          </w:tcPr>
          <w:p w:rsidR="00CD78C7" w:rsidRPr="002C25C6" w:rsidRDefault="00CD78C7" w:rsidP="00941FC5">
            <w:pPr>
              <w:spacing w:before="40" w:after="40"/>
              <w:rPr>
                <w:sz w:val="18"/>
                <w:szCs w:val="18"/>
                <w:lang w:val="ru-RU"/>
              </w:rPr>
            </w:pPr>
          </w:p>
        </w:tc>
      </w:tr>
    </w:tbl>
    <w:p w:rsidR="004A430C" w:rsidRPr="002C25C6" w:rsidRDefault="004A430C" w:rsidP="00542F98">
      <w:pPr>
        <w:pStyle w:val="Reasons"/>
        <w:rPr>
          <w:lang w:val="ru-RU"/>
        </w:rPr>
      </w:pPr>
    </w:p>
    <w:p w:rsidR="004A430C" w:rsidRPr="002C25C6" w:rsidRDefault="004A430C" w:rsidP="009B78E4">
      <w:pPr>
        <w:jc w:val="center"/>
        <w:rPr>
          <w:lang w:val="ru-RU"/>
        </w:rPr>
      </w:pPr>
      <w:r w:rsidRPr="002C25C6">
        <w:rPr>
          <w:lang w:val="ru-RU"/>
        </w:rPr>
        <w:t>______________</w:t>
      </w:r>
    </w:p>
    <w:sectPr w:rsidR="004A430C" w:rsidRPr="002C25C6" w:rsidSect="009B78E4">
      <w:headerReference w:type="default" r:id="rId15"/>
      <w:footerReference w:type="default" r:id="rId16"/>
      <w:footerReference w:type="first" r:id="rId17"/>
      <w:pgSz w:w="16834" w:h="11907" w:orient="landscape" w:code="9"/>
      <w:pgMar w:top="1418" w:right="1134" w:bottom="1134" w:left="1134" w:header="624" w:footer="624"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EAC" w:rsidRDefault="00787EAC">
      <w:r>
        <w:separator/>
      </w:r>
    </w:p>
  </w:endnote>
  <w:endnote w:type="continuationSeparator" w:id="0">
    <w:p w:rsidR="00787EAC" w:rsidRDefault="0078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EAC" w:rsidRPr="00C35BC0" w:rsidRDefault="00787EAC" w:rsidP="00F8086F">
    <w:pPr>
      <w:pStyle w:val="Footer"/>
    </w:pPr>
    <w:fldSimple w:instr=" FILENAME \p  \* MERGEFORMAT ">
      <w:r w:rsidRPr="009B78E4">
        <w:rPr>
          <w:lang w:val="fr-CH"/>
        </w:rPr>
        <w:t>P</w:t>
      </w:r>
      <w:r>
        <w:t>:\RUS\SG\CONSEIL\C17\000\040R.docx</w:t>
      </w:r>
    </w:fldSimple>
    <w:r w:rsidRPr="0055695C">
      <w:rPr>
        <w:lang w:val="fr-CH"/>
      </w:rPr>
      <w:t xml:space="preserve"> (</w:t>
    </w:r>
    <w:r>
      <w:rPr>
        <w:lang w:val="fr-CH"/>
      </w:rPr>
      <w:t>409490</w:t>
    </w:r>
    <w:r w:rsidRPr="0055695C">
      <w:rPr>
        <w:lang w:val="fr-CH"/>
      </w:rPr>
      <w:t>)</w:t>
    </w:r>
    <w:r w:rsidRPr="0055695C">
      <w:rPr>
        <w:lang w:val="fr-CH"/>
      </w:rPr>
      <w:tab/>
    </w:r>
    <w:r>
      <w:fldChar w:fldCharType="begin"/>
    </w:r>
    <w:r>
      <w:instrText xml:space="preserve"> SAVEDATE \@ DD.MM.YY </w:instrText>
    </w:r>
    <w:r>
      <w:fldChar w:fldCharType="separate"/>
    </w:r>
    <w:r>
      <w:t>19.05.17</w:t>
    </w:r>
    <w:r>
      <w:fldChar w:fldCharType="end"/>
    </w:r>
    <w:r w:rsidRPr="0055695C">
      <w:rPr>
        <w:lang w:val="fr-CH"/>
      </w:rPr>
      <w:tab/>
    </w:r>
    <w:r>
      <w:fldChar w:fldCharType="begin"/>
    </w:r>
    <w:r>
      <w:instrText xml:space="preserve"> PRINTDATE \@ DD.MM.YY </w:instrText>
    </w:r>
    <w:r>
      <w:fldChar w:fldCharType="separate"/>
    </w:r>
    <w:r>
      <w:t>19.05.17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EAC" w:rsidRDefault="00787EAC" w:rsidP="0067246D">
    <w:pPr>
      <w:spacing w:after="120"/>
      <w:jc w:val="center"/>
    </w:pPr>
    <w:r>
      <w:t xml:space="preserve">• </w:t>
    </w:r>
    <w:hyperlink r:id="rId1" w:history="1">
      <w:r>
        <w:rPr>
          <w:rStyle w:val="Hyperlink"/>
        </w:rPr>
        <w:t>http://www.itu.int/council</w:t>
      </w:r>
    </w:hyperlink>
    <w:r>
      <w:t xml:space="preserve"> •</w:t>
    </w:r>
  </w:p>
  <w:p w:rsidR="00787EAC" w:rsidRDefault="00787EAC" w:rsidP="00F8086F">
    <w:pPr>
      <w:pStyle w:val="Footer"/>
    </w:pPr>
    <w:fldSimple w:instr=" FILENAME \p  \* MERGEFORMAT ">
      <w:r w:rsidRPr="005507BB">
        <w:rPr>
          <w:lang w:val="fr-CH"/>
        </w:rPr>
        <w:t>P</w:t>
      </w:r>
      <w:r>
        <w:t>:\RUS\SG\CONSEIL\C17\000\040R.docx</w:t>
      </w:r>
    </w:fldSimple>
    <w:r w:rsidRPr="0055695C">
      <w:rPr>
        <w:lang w:val="fr-CH"/>
      </w:rPr>
      <w:t xml:space="preserve"> (</w:t>
    </w:r>
    <w:r>
      <w:rPr>
        <w:lang w:val="fr-CH"/>
      </w:rPr>
      <w:t>409490</w:t>
    </w:r>
    <w:r w:rsidRPr="0055695C">
      <w:rPr>
        <w:lang w:val="fr-CH"/>
      </w:rPr>
      <w:t>)</w:t>
    </w:r>
    <w:r w:rsidRPr="0055695C">
      <w:rPr>
        <w:lang w:val="fr-CH"/>
      </w:rPr>
      <w:tab/>
    </w:r>
    <w:r>
      <w:fldChar w:fldCharType="begin"/>
    </w:r>
    <w:r>
      <w:instrText xml:space="preserve"> SAVEDATE \@ DD.MM.YY </w:instrText>
    </w:r>
    <w:r>
      <w:fldChar w:fldCharType="separate"/>
    </w:r>
    <w:r>
      <w:t>19.05.17</w:t>
    </w:r>
    <w:r>
      <w:fldChar w:fldCharType="end"/>
    </w:r>
    <w:r w:rsidRPr="0055695C">
      <w:rPr>
        <w:lang w:val="fr-CH"/>
      </w:rPr>
      <w:tab/>
    </w:r>
    <w:r>
      <w:fldChar w:fldCharType="begin"/>
    </w:r>
    <w:r>
      <w:instrText xml:space="preserve"> PRINTDATE \@ DD.MM.YY </w:instrText>
    </w:r>
    <w:r>
      <w:fldChar w:fldCharType="separate"/>
    </w:r>
    <w:r>
      <w:t>19.05.17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EAC" w:rsidRPr="00A86B08" w:rsidRDefault="00787EAC" w:rsidP="009B78E4">
    <w:pPr>
      <w:pStyle w:val="Footer"/>
      <w:tabs>
        <w:tab w:val="clear" w:pos="5954"/>
        <w:tab w:val="clear" w:pos="9639"/>
        <w:tab w:val="left" w:pos="7371"/>
        <w:tab w:val="right" w:pos="14459"/>
      </w:tabs>
    </w:pPr>
    <w:r>
      <w:fldChar w:fldCharType="begin"/>
    </w:r>
    <w:r w:rsidRPr="00A86B08">
      <w:instrText xml:space="preserve"> FILENAME \p  \* MERGEFORMAT </w:instrText>
    </w:r>
    <w:r>
      <w:fldChar w:fldCharType="separate"/>
    </w:r>
    <w:r>
      <w:t>P:\RUS\SG\CONSEIL\C17\000\040R.docx</w:t>
    </w:r>
    <w:r>
      <w:fldChar w:fldCharType="end"/>
    </w:r>
    <w:r w:rsidRPr="00A86B08">
      <w:t xml:space="preserve"> (409490)</w:t>
    </w:r>
    <w:r w:rsidRPr="00A86B08">
      <w:tab/>
    </w:r>
    <w:r>
      <w:fldChar w:fldCharType="begin"/>
    </w:r>
    <w:r>
      <w:instrText xml:space="preserve"> SAVEDATE \@ DD.MM.YY </w:instrText>
    </w:r>
    <w:r>
      <w:fldChar w:fldCharType="separate"/>
    </w:r>
    <w:r>
      <w:t>19.05.17</w:t>
    </w:r>
    <w:r>
      <w:fldChar w:fldCharType="end"/>
    </w:r>
    <w:r w:rsidRPr="00A86B08">
      <w:tab/>
    </w:r>
    <w:r>
      <w:fldChar w:fldCharType="begin"/>
    </w:r>
    <w:r>
      <w:instrText xml:space="preserve"> PRINTDATE \@ DD.MM.YY </w:instrText>
    </w:r>
    <w:r>
      <w:fldChar w:fldCharType="separate"/>
    </w:r>
    <w:r>
      <w:t>19.05.17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EAC" w:rsidRPr="00A86B08" w:rsidRDefault="00787EAC" w:rsidP="009B78E4">
    <w:pPr>
      <w:pStyle w:val="Footer"/>
      <w:tabs>
        <w:tab w:val="clear" w:pos="5954"/>
        <w:tab w:val="clear" w:pos="9639"/>
        <w:tab w:val="left" w:pos="7088"/>
        <w:tab w:val="right" w:pos="14459"/>
      </w:tabs>
    </w:pPr>
    <w:r>
      <w:fldChar w:fldCharType="begin"/>
    </w:r>
    <w:r w:rsidRPr="00A86B08">
      <w:instrText xml:space="preserve"> FILENAME \p  \* MERGEFORMAT </w:instrText>
    </w:r>
    <w:r>
      <w:fldChar w:fldCharType="separate"/>
    </w:r>
    <w:r w:rsidRPr="00A86B08">
      <w:t>P:\RUS\SG\CONSEIL\C17\000\040R.docx</w:t>
    </w:r>
    <w:r>
      <w:fldChar w:fldCharType="end"/>
    </w:r>
    <w:r w:rsidRPr="00A86B08">
      <w:t xml:space="preserve"> (409490)</w:t>
    </w:r>
    <w:r w:rsidRPr="00A86B08">
      <w:tab/>
    </w:r>
    <w:r>
      <w:fldChar w:fldCharType="begin"/>
    </w:r>
    <w:r>
      <w:instrText xml:space="preserve"> SAVEDATE \@ DD.MM.YY </w:instrText>
    </w:r>
    <w:r>
      <w:fldChar w:fldCharType="separate"/>
    </w:r>
    <w:r>
      <w:t>19.05.17</w:t>
    </w:r>
    <w:r>
      <w:fldChar w:fldCharType="end"/>
    </w:r>
    <w:r w:rsidRPr="00A86B08">
      <w:tab/>
    </w:r>
    <w:r>
      <w:fldChar w:fldCharType="begin"/>
    </w:r>
    <w:r>
      <w:instrText xml:space="preserve"> PRINTDATE \@ DD.MM.YY </w:instrText>
    </w:r>
    <w:r>
      <w:fldChar w:fldCharType="separate"/>
    </w:r>
    <w:r>
      <w:t>19.05.17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EAC" w:rsidRDefault="00787EAC">
      <w:r>
        <w:t>____________________</w:t>
      </w:r>
    </w:p>
  </w:footnote>
  <w:footnote w:type="continuationSeparator" w:id="0">
    <w:p w:rsidR="00787EAC" w:rsidRDefault="00787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EAC" w:rsidRDefault="00787EAC" w:rsidP="00CE433C">
    <w:pPr>
      <w:pStyle w:val="Header"/>
    </w:pPr>
    <w:r>
      <w:fldChar w:fldCharType="begin"/>
    </w:r>
    <w:r>
      <w:instrText>PAGE</w:instrText>
    </w:r>
    <w:r>
      <w:fldChar w:fldCharType="separate"/>
    </w:r>
    <w:r w:rsidR="00C1422F">
      <w:rPr>
        <w:noProof/>
      </w:rPr>
      <w:t>6</w:t>
    </w:r>
    <w:r>
      <w:rPr>
        <w:noProof/>
      </w:rPr>
      <w:fldChar w:fldCharType="end"/>
    </w:r>
  </w:p>
  <w:p w:rsidR="00787EAC" w:rsidRPr="00FC468B" w:rsidRDefault="00787EAC" w:rsidP="005507BB">
    <w:pPr>
      <w:pStyle w:val="Header"/>
      <w:spacing w:after="120"/>
      <w:rPr>
        <w:lang w:val="ru-RU"/>
      </w:rPr>
    </w:pPr>
    <w:proofErr w:type="spellStart"/>
    <w:r>
      <w:t>C1</w:t>
    </w:r>
    <w:proofErr w:type="spellEnd"/>
    <w:r>
      <w:rPr>
        <w:lang w:val="ru-RU"/>
      </w:rPr>
      <w:t>7</w:t>
    </w:r>
    <w:r>
      <w:t>/</w:t>
    </w:r>
    <w:r>
      <w:rPr>
        <w:lang w:val="ru-RU"/>
      </w:rPr>
      <w:t>40</w:t>
    </w:r>
    <w:r>
      <w:t>-</w:t>
    </w:r>
    <w:r>
      <w:rPr>
        <w:lang w:val="en-US"/>
      </w:rPr>
      <w:t>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EAC" w:rsidRDefault="00787EAC" w:rsidP="00CE433C">
    <w:pPr>
      <w:pStyle w:val="Header"/>
    </w:pPr>
    <w:r>
      <w:fldChar w:fldCharType="begin"/>
    </w:r>
    <w:r>
      <w:instrText>PAGE</w:instrText>
    </w:r>
    <w:r>
      <w:fldChar w:fldCharType="separate"/>
    </w:r>
    <w:r w:rsidR="00516AA2">
      <w:rPr>
        <w:noProof/>
      </w:rPr>
      <w:t>48</w:t>
    </w:r>
    <w:r>
      <w:rPr>
        <w:noProof/>
      </w:rPr>
      <w:fldChar w:fldCharType="end"/>
    </w:r>
  </w:p>
  <w:p w:rsidR="00787EAC" w:rsidRPr="00FC468B" w:rsidRDefault="00787EAC" w:rsidP="005B5204">
    <w:pPr>
      <w:pStyle w:val="Header"/>
      <w:spacing w:after="120"/>
      <w:rPr>
        <w:lang w:val="ru-RU"/>
      </w:rPr>
    </w:pPr>
    <w:proofErr w:type="spellStart"/>
    <w:r>
      <w:t>C1</w:t>
    </w:r>
    <w:proofErr w:type="spellEnd"/>
    <w:r>
      <w:rPr>
        <w:lang w:val="en-US"/>
      </w:rPr>
      <w:t>7</w:t>
    </w:r>
    <w:r>
      <w:t>/</w:t>
    </w:r>
    <w:r>
      <w:rPr>
        <w:lang w:val="ru-RU"/>
      </w:rPr>
      <w:t>40</w:t>
    </w:r>
    <w:r>
      <w:t>-</w:t>
    </w:r>
    <w:r>
      <w:rPr>
        <w:lang w:val="en-U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7CD"/>
    <w:multiLevelType w:val="hybridMultilevel"/>
    <w:tmpl w:val="CC68386E"/>
    <w:lvl w:ilvl="0" w:tplc="5846FF46">
      <w:start w:val="1"/>
      <w:numFmt w:val="decimal"/>
      <w:pStyle w:val="testobase"/>
      <w:lvlText w:val="%1."/>
      <w:lvlJc w:val="left"/>
      <w:pPr>
        <w:ind w:left="420" w:hanging="420"/>
      </w:pPr>
      <w:rPr>
        <w:rFonts w:hint="default"/>
        <w:lang w:val="en-US"/>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 w15:restartNumberingAfterBreak="0">
    <w:nsid w:val="1E1843C3"/>
    <w:multiLevelType w:val="hybridMultilevel"/>
    <w:tmpl w:val="3DA2DD58"/>
    <w:lvl w:ilvl="0" w:tplc="5B46E080">
      <w:start w:val="91"/>
      <w:numFmt w:val="decimal"/>
      <w:pStyle w:val="recesug"/>
      <w:lvlText w:val="%1."/>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 w15:restartNumberingAfterBreak="0">
    <w:nsid w:val="2B6612E4"/>
    <w:multiLevelType w:val="hybridMultilevel"/>
    <w:tmpl w:val="12C0D2E8"/>
    <w:lvl w:ilvl="0" w:tplc="A5821080">
      <w:start w:val="1"/>
      <w:numFmt w:val="decimal"/>
      <w:lvlText w:val="Recommenda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74634EA"/>
    <w:multiLevelType w:val="hybridMultilevel"/>
    <w:tmpl w:val="6136F190"/>
    <w:lvl w:ilvl="0" w:tplc="04100001">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6A6502BB"/>
    <w:multiLevelType w:val="hybridMultilevel"/>
    <w:tmpl w:val="17C083C6"/>
    <w:lvl w:ilvl="0" w:tplc="B0C63C58">
      <w:start w:val="1"/>
      <w:numFmt w:val="decimal"/>
      <w:lvlText w:val="Suggestion n. %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36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12"/>
    <w:rsid w:val="00000CA1"/>
    <w:rsid w:val="00003616"/>
    <w:rsid w:val="0000385B"/>
    <w:rsid w:val="00005CA4"/>
    <w:rsid w:val="000073BF"/>
    <w:rsid w:val="00011B38"/>
    <w:rsid w:val="00013C48"/>
    <w:rsid w:val="00014082"/>
    <w:rsid w:val="00015010"/>
    <w:rsid w:val="0002435F"/>
    <w:rsid w:val="00024F8C"/>
    <w:rsid w:val="00027346"/>
    <w:rsid w:val="0003192F"/>
    <w:rsid w:val="00031D2D"/>
    <w:rsid w:val="00035E84"/>
    <w:rsid w:val="00036DF6"/>
    <w:rsid w:val="00042867"/>
    <w:rsid w:val="00042B7B"/>
    <w:rsid w:val="00046672"/>
    <w:rsid w:val="000505E5"/>
    <w:rsid w:val="00052D5B"/>
    <w:rsid w:val="0005520D"/>
    <w:rsid w:val="000619D6"/>
    <w:rsid w:val="00063016"/>
    <w:rsid w:val="000662BB"/>
    <w:rsid w:val="00072413"/>
    <w:rsid w:val="0007483C"/>
    <w:rsid w:val="00076AF6"/>
    <w:rsid w:val="00085C4D"/>
    <w:rsid w:val="00085CF2"/>
    <w:rsid w:val="0009060F"/>
    <w:rsid w:val="000928B3"/>
    <w:rsid w:val="00092F36"/>
    <w:rsid w:val="000940E9"/>
    <w:rsid w:val="00094B4C"/>
    <w:rsid w:val="00095315"/>
    <w:rsid w:val="000969EE"/>
    <w:rsid w:val="00096B44"/>
    <w:rsid w:val="000A1B27"/>
    <w:rsid w:val="000A1BA4"/>
    <w:rsid w:val="000A438D"/>
    <w:rsid w:val="000A4485"/>
    <w:rsid w:val="000A6916"/>
    <w:rsid w:val="000A6ED5"/>
    <w:rsid w:val="000A74D5"/>
    <w:rsid w:val="000B102A"/>
    <w:rsid w:val="000B16CD"/>
    <w:rsid w:val="000B1705"/>
    <w:rsid w:val="000B1ADA"/>
    <w:rsid w:val="000B4F05"/>
    <w:rsid w:val="000B5425"/>
    <w:rsid w:val="000C5055"/>
    <w:rsid w:val="000C5DE2"/>
    <w:rsid w:val="000C67C7"/>
    <w:rsid w:val="000C7FDC"/>
    <w:rsid w:val="000D0496"/>
    <w:rsid w:val="000D1F13"/>
    <w:rsid w:val="000D612A"/>
    <w:rsid w:val="000D75B2"/>
    <w:rsid w:val="000E6180"/>
    <w:rsid w:val="000E7382"/>
    <w:rsid w:val="000F132B"/>
    <w:rsid w:val="000F1A10"/>
    <w:rsid w:val="0010123B"/>
    <w:rsid w:val="0010437C"/>
    <w:rsid w:val="00104CAD"/>
    <w:rsid w:val="00106A7C"/>
    <w:rsid w:val="00107CE4"/>
    <w:rsid w:val="001121F5"/>
    <w:rsid w:val="001123DF"/>
    <w:rsid w:val="001144BA"/>
    <w:rsid w:val="00117809"/>
    <w:rsid w:val="00117BEC"/>
    <w:rsid w:val="00117CBE"/>
    <w:rsid w:val="00123CC7"/>
    <w:rsid w:val="0012712F"/>
    <w:rsid w:val="00131987"/>
    <w:rsid w:val="00134860"/>
    <w:rsid w:val="001361FF"/>
    <w:rsid w:val="00137438"/>
    <w:rsid w:val="00140CE1"/>
    <w:rsid w:val="0014245E"/>
    <w:rsid w:val="0014745B"/>
    <w:rsid w:val="0015054B"/>
    <w:rsid w:val="001527F0"/>
    <w:rsid w:val="001529FA"/>
    <w:rsid w:val="00156435"/>
    <w:rsid w:val="00163A66"/>
    <w:rsid w:val="0016572B"/>
    <w:rsid w:val="001674FF"/>
    <w:rsid w:val="0017046E"/>
    <w:rsid w:val="001708A0"/>
    <w:rsid w:val="00170E25"/>
    <w:rsid w:val="00172FAB"/>
    <w:rsid w:val="0017539C"/>
    <w:rsid w:val="00175476"/>
    <w:rsid w:val="00175AC2"/>
    <w:rsid w:val="0017609F"/>
    <w:rsid w:val="00176186"/>
    <w:rsid w:val="001767CE"/>
    <w:rsid w:val="00177C23"/>
    <w:rsid w:val="0018753B"/>
    <w:rsid w:val="001902C3"/>
    <w:rsid w:val="00194E99"/>
    <w:rsid w:val="00195B4D"/>
    <w:rsid w:val="00196134"/>
    <w:rsid w:val="001969EA"/>
    <w:rsid w:val="001A3ECD"/>
    <w:rsid w:val="001A59CB"/>
    <w:rsid w:val="001A7F84"/>
    <w:rsid w:val="001B0822"/>
    <w:rsid w:val="001B281F"/>
    <w:rsid w:val="001C51AD"/>
    <w:rsid w:val="001C628E"/>
    <w:rsid w:val="001C6BF9"/>
    <w:rsid w:val="001C76A2"/>
    <w:rsid w:val="001D1884"/>
    <w:rsid w:val="001D1DF9"/>
    <w:rsid w:val="001D2580"/>
    <w:rsid w:val="001D2BEE"/>
    <w:rsid w:val="001D36C3"/>
    <w:rsid w:val="001D6B29"/>
    <w:rsid w:val="001E0F7B"/>
    <w:rsid w:val="001E185A"/>
    <w:rsid w:val="001E558A"/>
    <w:rsid w:val="001E5C49"/>
    <w:rsid w:val="001E7C40"/>
    <w:rsid w:val="001F185B"/>
    <w:rsid w:val="001F36DD"/>
    <w:rsid w:val="001F4276"/>
    <w:rsid w:val="001F5129"/>
    <w:rsid w:val="001F6DF5"/>
    <w:rsid w:val="00200C3C"/>
    <w:rsid w:val="00202852"/>
    <w:rsid w:val="00204D14"/>
    <w:rsid w:val="00206C1D"/>
    <w:rsid w:val="002079FD"/>
    <w:rsid w:val="002101D4"/>
    <w:rsid w:val="002119FD"/>
    <w:rsid w:val="00211E82"/>
    <w:rsid w:val="002130E0"/>
    <w:rsid w:val="002209DB"/>
    <w:rsid w:val="00222040"/>
    <w:rsid w:val="0022204D"/>
    <w:rsid w:val="00222C4D"/>
    <w:rsid w:val="002241C6"/>
    <w:rsid w:val="0022526F"/>
    <w:rsid w:val="00227160"/>
    <w:rsid w:val="002271DE"/>
    <w:rsid w:val="00231515"/>
    <w:rsid w:val="00231E79"/>
    <w:rsid w:val="00233A6F"/>
    <w:rsid w:val="00234A1D"/>
    <w:rsid w:val="002364CE"/>
    <w:rsid w:val="002369A3"/>
    <w:rsid w:val="00241827"/>
    <w:rsid w:val="002424D9"/>
    <w:rsid w:val="0025379D"/>
    <w:rsid w:val="002551A6"/>
    <w:rsid w:val="002569E8"/>
    <w:rsid w:val="0025743F"/>
    <w:rsid w:val="0026021D"/>
    <w:rsid w:val="002606B7"/>
    <w:rsid w:val="002614C9"/>
    <w:rsid w:val="00263E98"/>
    <w:rsid w:val="0026436C"/>
    <w:rsid w:val="00265875"/>
    <w:rsid w:val="00272A95"/>
    <w:rsid w:val="00272E7E"/>
    <w:rsid w:val="0027303B"/>
    <w:rsid w:val="002755D7"/>
    <w:rsid w:val="0028109B"/>
    <w:rsid w:val="0028120D"/>
    <w:rsid w:val="00282F35"/>
    <w:rsid w:val="00283B13"/>
    <w:rsid w:val="00284ACB"/>
    <w:rsid w:val="00284D02"/>
    <w:rsid w:val="0028559A"/>
    <w:rsid w:val="00285749"/>
    <w:rsid w:val="00286014"/>
    <w:rsid w:val="00291705"/>
    <w:rsid w:val="002957E5"/>
    <w:rsid w:val="002A07E4"/>
    <w:rsid w:val="002A165D"/>
    <w:rsid w:val="002A3465"/>
    <w:rsid w:val="002A5B4E"/>
    <w:rsid w:val="002A65C0"/>
    <w:rsid w:val="002A7785"/>
    <w:rsid w:val="002B1F58"/>
    <w:rsid w:val="002B2F8A"/>
    <w:rsid w:val="002B3F69"/>
    <w:rsid w:val="002B61F2"/>
    <w:rsid w:val="002B66CD"/>
    <w:rsid w:val="002B758F"/>
    <w:rsid w:val="002B7DC2"/>
    <w:rsid w:val="002C0596"/>
    <w:rsid w:val="002C1C7A"/>
    <w:rsid w:val="002C25C6"/>
    <w:rsid w:val="002C2CD7"/>
    <w:rsid w:val="002C4C50"/>
    <w:rsid w:val="002C607F"/>
    <w:rsid w:val="002D2857"/>
    <w:rsid w:val="002D3CD0"/>
    <w:rsid w:val="002D3E55"/>
    <w:rsid w:val="002D5AFA"/>
    <w:rsid w:val="002D6EA7"/>
    <w:rsid w:val="002D7163"/>
    <w:rsid w:val="002D72D5"/>
    <w:rsid w:val="002E225C"/>
    <w:rsid w:val="002E2827"/>
    <w:rsid w:val="002E44D6"/>
    <w:rsid w:val="002E6CFB"/>
    <w:rsid w:val="002E6D8D"/>
    <w:rsid w:val="002F29BC"/>
    <w:rsid w:val="002F4ABA"/>
    <w:rsid w:val="002F5709"/>
    <w:rsid w:val="002F7DB3"/>
    <w:rsid w:val="0030160F"/>
    <w:rsid w:val="00302F49"/>
    <w:rsid w:val="003031EE"/>
    <w:rsid w:val="00303B02"/>
    <w:rsid w:val="00313A26"/>
    <w:rsid w:val="0031617C"/>
    <w:rsid w:val="00321398"/>
    <w:rsid w:val="00321DEA"/>
    <w:rsid w:val="00322D0D"/>
    <w:rsid w:val="003247F7"/>
    <w:rsid w:val="00324D79"/>
    <w:rsid w:val="0032522D"/>
    <w:rsid w:val="003306CB"/>
    <w:rsid w:val="003332B3"/>
    <w:rsid w:val="0033339F"/>
    <w:rsid w:val="00334BAD"/>
    <w:rsid w:val="003373E4"/>
    <w:rsid w:val="0033765A"/>
    <w:rsid w:val="00345D32"/>
    <w:rsid w:val="00346A56"/>
    <w:rsid w:val="0034706F"/>
    <w:rsid w:val="00347E4E"/>
    <w:rsid w:val="00351D7D"/>
    <w:rsid w:val="00351E4D"/>
    <w:rsid w:val="00352C43"/>
    <w:rsid w:val="003558A1"/>
    <w:rsid w:val="00356358"/>
    <w:rsid w:val="00362A11"/>
    <w:rsid w:val="003641B9"/>
    <w:rsid w:val="00364848"/>
    <w:rsid w:val="00367324"/>
    <w:rsid w:val="00371C2A"/>
    <w:rsid w:val="0037241D"/>
    <w:rsid w:val="0037385E"/>
    <w:rsid w:val="003746B2"/>
    <w:rsid w:val="00380661"/>
    <w:rsid w:val="00381137"/>
    <w:rsid w:val="00381753"/>
    <w:rsid w:val="00382BA6"/>
    <w:rsid w:val="003831CF"/>
    <w:rsid w:val="00383721"/>
    <w:rsid w:val="00387986"/>
    <w:rsid w:val="003913E0"/>
    <w:rsid w:val="0039369B"/>
    <w:rsid w:val="003942D4"/>
    <w:rsid w:val="003958A8"/>
    <w:rsid w:val="003A2955"/>
    <w:rsid w:val="003A3FB4"/>
    <w:rsid w:val="003A6154"/>
    <w:rsid w:val="003A65C1"/>
    <w:rsid w:val="003A6F14"/>
    <w:rsid w:val="003A7795"/>
    <w:rsid w:val="003B02F4"/>
    <w:rsid w:val="003B0FB9"/>
    <w:rsid w:val="003B6205"/>
    <w:rsid w:val="003B73FD"/>
    <w:rsid w:val="003C2533"/>
    <w:rsid w:val="003C3FA2"/>
    <w:rsid w:val="003C5EF2"/>
    <w:rsid w:val="003D1D4B"/>
    <w:rsid w:val="003D1F93"/>
    <w:rsid w:val="003D29A0"/>
    <w:rsid w:val="003D394A"/>
    <w:rsid w:val="003D55E0"/>
    <w:rsid w:val="003D5BED"/>
    <w:rsid w:val="003E1E03"/>
    <w:rsid w:val="003E5AA6"/>
    <w:rsid w:val="003E7B3B"/>
    <w:rsid w:val="003F2C5F"/>
    <w:rsid w:val="003F5903"/>
    <w:rsid w:val="0040244D"/>
    <w:rsid w:val="0040435A"/>
    <w:rsid w:val="004074BA"/>
    <w:rsid w:val="00407C3C"/>
    <w:rsid w:val="00413D78"/>
    <w:rsid w:val="004152F2"/>
    <w:rsid w:val="00416A24"/>
    <w:rsid w:val="004203D6"/>
    <w:rsid w:val="004249CF"/>
    <w:rsid w:val="00424D18"/>
    <w:rsid w:val="00426543"/>
    <w:rsid w:val="00427904"/>
    <w:rsid w:val="00430A73"/>
    <w:rsid w:val="00431D9E"/>
    <w:rsid w:val="00433CE8"/>
    <w:rsid w:val="00434A5C"/>
    <w:rsid w:val="004366F9"/>
    <w:rsid w:val="0044148F"/>
    <w:rsid w:val="00442167"/>
    <w:rsid w:val="00446E57"/>
    <w:rsid w:val="00446E72"/>
    <w:rsid w:val="00451CB7"/>
    <w:rsid w:val="004520B5"/>
    <w:rsid w:val="00452C2B"/>
    <w:rsid w:val="0045391D"/>
    <w:rsid w:val="004544D9"/>
    <w:rsid w:val="004601FB"/>
    <w:rsid w:val="0046161E"/>
    <w:rsid w:val="0046238F"/>
    <w:rsid w:val="0046396D"/>
    <w:rsid w:val="00465501"/>
    <w:rsid w:val="00465ECD"/>
    <w:rsid w:val="00466027"/>
    <w:rsid w:val="00466E22"/>
    <w:rsid w:val="00473375"/>
    <w:rsid w:val="004749D6"/>
    <w:rsid w:val="00476930"/>
    <w:rsid w:val="004820A8"/>
    <w:rsid w:val="00482DD8"/>
    <w:rsid w:val="0048392C"/>
    <w:rsid w:val="004844DC"/>
    <w:rsid w:val="0048521A"/>
    <w:rsid w:val="004903CC"/>
    <w:rsid w:val="00490E72"/>
    <w:rsid w:val="004916F9"/>
    <w:rsid w:val="004921C8"/>
    <w:rsid w:val="004A11D4"/>
    <w:rsid w:val="004A1A1C"/>
    <w:rsid w:val="004A1EE0"/>
    <w:rsid w:val="004A2B9D"/>
    <w:rsid w:val="004A2CAE"/>
    <w:rsid w:val="004A32D9"/>
    <w:rsid w:val="004A430C"/>
    <w:rsid w:val="004A60C0"/>
    <w:rsid w:val="004A6176"/>
    <w:rsid w:val="004B05FC"/>
    <w:rsid w:val="004B0C53"/>
    <w:rsid w:val="004B23C7"/>
    <w:rsid w:val="004B2536"/>
    <w:rsid w:val="004B3F98"/>
    <w:rsid w:val="004B5C62"/>
    <w:rsid w:val="004B6620"/>
    <w:rsid w:val="004B705F"/>
    <w:rsid w:val="004C08CA"/>
    <w:rsid w:val="004C138C"/>
    <w:rsid w:val="004C3B6D"/>
    <w:rsid w:val="004D018D"/>
    <w:rsid w:val="004D15F0"/>
    <w:rsid w:val="004D1851"/>
    <w:rsid w:val="004D520F"/>
    <w:rsid w:val="004D599D"/>
    <w:rsid w:val="004D5D30"/>
    <w:rsid w:val="004E07FA"/>
    <w:rsid w:val="004E2CF3"/>
    <w:rsid w:val="004E2D00"/>
    <w:rsid w:val="004E2EA5"/>
    <w:rsid w:val="004E3AEB"/>
    <w:rsid w:val="004F0164"/>
    <w:rsid w:val="004F0576"/>
    <w:rsid w:val="004F3115"/>
    <w:rsid w:val="004F4BD3"/>
    <w:rsid w:val="004F5399"/>
    <w:rsid w:val="004F5A92"/>
    <w:rsid w:val="004F71F4"/>
    <w:rsid w:val="004F7773"/>
    <w:rsid w:val="004F7B47"/>
    <w:rsid w:val="0050097E"/>
    <w:rsid w:val="00500F34"/>
    <w:rsid w:val="0050223C"/>
    <w:rsid w:val="005048C5"/>
    <w:rsid w:val="00506231"/>
    <w:rsid w:val="00507FB3"/>
    <w:rsid w:val="00510B83"/>
    <w:rsid w:val="0051663A"/>
    <w:rsid w:val="005169E7"/>
    <w:rsid w:val="00516AA2"/>
    <w:rsid w:val="005173C5"/>
    <w:rsid w:val="005243FF"/>
    <w:rsid w:val="00532DD0"/>
    <w:rsid w:val="00533A76"/>
    <w:rsid w:val="0053584D"/>
    <w:rsid w:val="00536285"/>
    <w:rsid w:val="005368BA"/>
    <w:rsid w:val="00536ADC"/>
    <w:rsid w:val="00542A09"/>
    <w:rsid w:val="00542C51"/>
    <w:rsid w:val="00542F98"/>
    <w:rsid w:val="00544EF9"/>
    <w:rsid w:val="00545D43"/>
    <w:rsid w:val="005507BB"/>
    <w:rsid w:val="00553329"/>
    <w:rsid w:val="00553B46"/>
    <w:rsid w:val="00555196"/>
    <w:rsid w:val="00557749"/>
    <w:rsid w:val="005614EF"/>
    <w:rsid w:val="00564FBC"/>
    <w:rsid w:val="005655A4"/>
    <w:rsid w:val="00570E21"/>
    <w:rsid w:val="005719F8"/>
    <w:rsid w:val="00571B7E"/>
    <w:rsid w:val="00574B74"/>
    <w:rsid w:val="0057593F"/>
    <w:rsid w:val="00581299"/>
    <w:rsid w:val="005823B0"/>
    <w:rsid w:val="00582442"/>
    <w:rsid w:val="005834FC"/>
    <w:rsid w:val="00583C2B"/>
    <w:rsid w:val="00584DC3"/>
    <w:rsid w:val="005861D1"/>
    <w:rsid w:val="00587678"/>
    <w:rsid w:val="0059225E"/>
    <w:rsid w:val="00592B72"/>
    <w:rsid w:val="005953B4"/>
    <w:rsid w:val="005956AE"/>
    <w:rsid w:val="005A32C0"/>
    <w:rsid w:val="005A7A7D"/>
    <w:rsid w:val="005B0D63"/>
    <w:rsid w:val="005B17BA"/>
    <w:rsid w:val="005B20AE"/>
    <w:rsid w:val="005B2D9F"/>
    <w:rsid w:val="005B3F3A"/>
    <w:rsid w:val="005B4922"/>
    <w:rsid w:val="005B5204"/>
    <w:rsid w:val="005C3659"/>
    <w:rsid w:val="005C3759"/>
    <w:rsid w:val="005C3CEB"/>
    <w:rsid w:val="005C519C"/>
    <w:rsid w:val="005C73B7"/>
    <w:rsid w:val="005D262C"/>
    <w:rsid w:val="005D2C60"/>
    <w:rsid w:val="005D353C"/>
    <w:rsid w:val="005E50BD"/>
    <w:rsid w:val="005F4864"/>
    <w:rsid w:val="006025C4"/>
    <w:rsid w:val="0060388B"/>
    <w:rsid w:val="00603D18"/>
    <w:rsid w:val="0060516D"/>
    <w:rsid w:val="00605975"/>
    <w:rsid w:val="00605A67"/>
    <w:rsid w:val="0060737F"/>
    <w:rsid w:val="006078F7"/>
    <w:rsid w:val="006104DA"/>
    <w:rsid w:val="00610C46"/>
    <w:rsid w:val="00610C5C"/>
    <w:rsid w:val="00612525"/>
    <w:rsid w:val="00612D79"/>
    <w:rsid w:val="00613D85"/>
    <w:rsid w:val="00614969"/>
    <w:rsid w:val="006163D5"/>
    <w:rsid w:val="006218D3"/>
    <w:rsid w:val="00621AD2"/>
    <w:rsid w:val="0062281D"/>
    <w:rsid w:val="00622B5F"/>
    <w:rsid w:val="00633917"/>
    <w:rsid w:val="00634C27"/>
    <w:rsid w:val="006355BF"/>
    <w:rsid w:val="0063567F"/>
    <w:rsid w:val="0063619D"/>
    <w:rsid w:val="006370F2"/>
    <w:rsid w:val="00640CC5"/>
    <w:rsid w:val="00641443"/>
    <w:rsid w:val="0064144F"/>
    <w:rsid w:val="00645543"/>
    <w:rsid w:val="006478FD"/>
    <w:rsid w:val="00651250"/>
    <w:rsid w:val="006535F1"/>
    <w:rsid w:val="00654265"/>
    <w:rsid w:val="006547B1"/>
    <w:rsid w:val="0065557D"/>
    <w:rsid w:val="00656069"/>
    <w:rsid w:val="00657962"/>
    <w:rsid w:val="0066165D"/>
    <w:rsid w:val="00662984"/>
    <w:rsid w:val="0067055C"/>
    <w:rsid w:val="006716BB"/>
    <w:rsid w:val="0067246D"/>
    <w:rsid w:val="00672830"/>
    <w:rsid w:val="0067372A"/>
    <w:rsid w:val="00673B63"/>
    <w:rsid w:val="00676276"/>
    <w:rsid w:val="006827D0"/>
    <w:rsid w:val="006829F3"/>
    <w:rsid w:val="00682EF1"/>
    <w:rsid w:val="00683379"/>
    <w:rsid w:val="0068385A"/>
    <w:rsid w:val="0068618C"/>
    <w:rsid w:val="00687CF9"/>
    <w:rsid w:val="00691ADA"/>
    <w:rsid w:val="00691D8E"/>
    <w:rsid w:val="006963DF"/>
    <w:rsid w:val="006A1558"/>
    <w:rsid w:val="006A2BF6"/>
    <w:rsid w:val="006A3BC7"/>
    <w:rsid w:val="006A3CA1"/>
    <w:rsid w:val="006A690E"/>
    <w:rsid w:val="006B31F5"/>
    <w:rsid w:val="006B34FA"/>
    <w:rsid w:val="006B36F0"/>
    <w:rsid w:val="006B3E48"/>
    <w:rsid w:val="006B4BB1"/>
    <w:rsid w:val="006B6DCC"/>
    <w:rsid w:val="006C0CAF"/>
    <w:rsid w:val="006C3234"/>
    <w:rsid w:val="006C35E3"/>
    <w:rsid w:val="006C5D80"/>
    <w:rsid w:val="006D0C65"/>
    <w:rsid w:val="006D5B51"/>
    <w:rsid w:val="006D6E3E"/>
    <w:rsid w:val="006E138A"/>
    <w:rsid w:val="006E1C41"/>
    <w:rsid w:val="006E3CE4"/>
    <w:rsid w:val="006E4196"/>
    <w:rsid w:val="006F42FE"/>
    <w:rsid w:val="006F7E76"/>
    <w:rsid w:val="00702B95"/>
    <w:rsid w:val="00704883"/>
    <w:rsid w:val="007104F6"/>
    <w:rsid w:val="00714514"/>
    <w:rsid w:val="00723116"/>
    <w:rsid w:val="00725B8E"/>
    <w:rsid w:val="00725C56"/>
    <w:rsid w:val="007315C4"/>
    <w:rsid w:val="007321FC"/>
    <w:rsid w:val="00734875"/>
    <w:rsid w:val="007354B0"/>
    <w:rsid w:val="00735616"/>
    <w:rsid w:val="00737C9C"/>
    <w:rsid w:val="007407F7"/>
    <w:rsid w:val="00740894"/>
    <w:rsid w:val="007422E8"/>
    <w:rsid w:val="00743403"/>
    <w:rsid w:val="00745191"/>
    <w:rsid w:val="007467C4"/>
    <w:rsid w:val="00746DEC"/>
    <w:rsid w:val="0075051B"/>
    <w:rsid w:val="00751F1D"/>
    <w:rsid w:val="00753492"/>
    <w:rsid w:val="00753DB8"/>
    <w:rsid w:val="00757126"/>
    <w:rsid w:val="00757698"/>
    <w:rsid w:val="007605C6"/>
    <w:rsid w:val="00762680"/>
    <w:rsid w:val="00762F5B"/>
    <w:rsid w:val="0076344C"/>
    <w:rsid w:val="0076579C"/>
    <w:rsid w:val="00770A1C"/>
    <w:rsid w:val="00771F15"/>
    <w:rsid w:val="007757B7"/>
    <w:rsid w:val="00776E32"/>
    <w:rsid w:val="00780FBB"/>
    <w:rsid w:val="00782DB5"/>
    <w:rsid w:val="007853AE"/>
    <w:rsid w:val="00786E58"/>
    <w:rsid w:val="00787EAC"/>
    <w:rsid w:val="00790294"/>
    <w:rsid w:val="00791548"/>
    <w:rsid w:val="0079230C"/>
    <w:rsid w:val="0079305F"/>
    <w:rsid w:val="00794D34"/>
    <w:rsid w:val="00797338"/>
    <w:rsid w:val="007A08A3"/>
    <w:rsid w:val="007A141C"/>
    <w:rsid w:val="007A29A2"/>
    <w:rsid w:val="007A31F4"/>
    <w:rsid w:val="007B179D"/>
    <w:rsid w:val="007B2C6D"/>
    <w:rsid w:val="007B3795"/>
    <w:rsid w:val="007B3D1C"/>
    <w:rsid w:val="007B4584"/>
    <w:rsid w:val="007B685D"/>
    <w:rsid w:val="007B76CF"/>
    <w:rsid w:val="007B7E1A"/>
    <w:rsid w:val="007C0EC0"/>
    <w:rsid w:val="007C2527"/>
    <w:rsid w:val="007C4D9B"/>
    <w:rsid w:val="007C581B"/>
    <w:rsid w:val="007C6FE3"/>
    <w:rsid w:val="007D055A"/>
    <w:rsid w:val="007D0B3B"/>
    <w:rsid w:val="007D2B1E"/>
    <w:rsid w:val="007D32FC"/>
    <w:rsid w:val="007D4A14"/>
    <w:rsid w:val="007D5ACF"/>
    <w:rsid w:val="007E0950"/>
    <w:rsid w:val="007E4DFF"/>
    <w:rsid w:val="007F0681"/>
    <w:rsid w:val="007F150E"/>
    <w:rsid w:val="007F2026"/>
    <w:rsid w:val="007F3001"/>
    <w:rsid w:val="007F31F7"/>
    <w:rsid w:val="007F6248"/>
    <w:rsid w:val="0080237B"/>
    <w:rsid w:val="00802785"/>
    <w:rsid w:val="0080483A"/>
    <w:rsid w:val="0080597C"/>
    <w:rsid w:val="00806B0B"/>
    <w:rsid w:val="00806C3E"/>
    <w:rsid w:val="00810A7E"/>
    <w:rsid w:val="008116CF"/>
    <w:rsid w:val="008121B9"/>
    <w:rsid w:val="008130A3"/>
    <w:rsid w:val="00813E5E"/>
    <w:rsid w:val="008142A2"/>
    <w:rsid w:val="0081557E"/>
    <w:rsid w:val="00816E46"/>
    <w:rsid w:val="00816E98"/>
    <w:rsid w:val="00817D5B"/>
    <w:rsid w:val="00820A2E"/>
    <w:rsid w:val="00823C98"/>
    <w:rsid w:val="00823CC9"/>
    <w:rsid w:val="00826221"/>
    <w:rsid w:val="00826CA7"/>
    <w:rsid w:val="00831CF7"/>
    <w:rsid w:val="00832822"/>
    <w:rsid w:val="008351B2"/>
    <w:rsid w:val="0083581B"/>
    <w:rsid w:val="0084411B"/>
    <w:rsid w:val="008503D8"/>
    <w:rsid w:val="0085345D"/>
    <w:rsid w:val="00853A54"/>
    <w:rsid w:val="008558B5"/>
    <w:rsid w:val="00856ABA"/>
    <w:rsid w:val="0086223C"/>
    <w:rsid w:val="00862E19"/>
    <w:rsid w:val="008633EC"/>
    <w:rsid w:val="00864AFF"/>
    <w:rsid w:val="00865B89"/>
    <w:rsid w:val="008667C3"/>
    <w:rsid w:val="00867362"/>
    <w:rsid w:val="0087022F"/>
    <w:rsid w:val="00870FF8"/>
    <w:rsid w:val="00871FCA"/>
    <w:rsid w:val="0088065E"/>
    <w:rsid w:val="0088218A"/>
    <w:rsid w:val="008839E1"/>
    <w:rsid w:val="00884959"/>
    <w:rsid w:val="00890DCF"/>
    <w:rsid w:val="00891815"/>
    <w:rsid w:val="00891840"/>
    <w:rsid w:val="00895FCC"/>
    <w:rsid w:val="00896910"/>
    <w:rsid w:val="00896C59"/>
    <w:rsid w:val="008A0610"/>
    <w:rsid w:val="008A38F5"/>
    <w:rsid w:val="008A4B33"/>
    <w:rsid w:val="008B163E"/>
    <w:rsid w:val="008B3ED5"/>
    <w:rsid w:val="008B4A6A"/>
    <w:rsid w:val="008B5785"/>
    <w:rsid w:val="008B5C2B"/>
    <w:rsid w:val="008C07C3"/>
    <w:rsid w:val="008C0CFB"/>
    <w:rsid w:val="008C0DB9"/>
    <w:rsid w:val="008C3822"/>
    <w:rsid w:val="008C5322"/>
    <w:rsid w:val="008C58FA"/>
    <w:rsid w:val="008C7E27"/>
    <w:rsid w:val="008D0180"/>
    <w:rsid w:val="008D2060"/>
    <w:rsid w:val="008D7FB1"/>
    <w:rsid w:val="008E0D64"/>
    <w:rsid w:val="008E567F"/>
    <w:rsid w:val="008F09C5"/>
    <w:rsid w:val="008F1E7C"/>
    <w:rsid w:val="008F40C6"/>
    <w:rsid w:val="008F6432"/>
    <w:rsid w:val="009018BF"/>
    <w:rsid w:val="009031E9"/>
    <w:rsid w:val="00905F20"/>
    <w:rsid w:val="00906BF3"/>
    <w:rsid w:val="00907941"/>
    <w:rsid w:val="0091340B"/>
    <w:rsid w:val="009137F5"/>
    <w:rsid w:val="00914661"/>
    <w:rsid w:val="00915EB2"/>
    <w:rsid w:val="009173EF"/>
    <w:rsid w:val="009239A2"/>
    <w:rsid w:val="009239FF"/>
    <w:rsid w:val="009241D7"/>
    <w:rsid w:val="009267AA"/>
    <w:rsid w:val="00926940"/>
    <w:rsid w:val="00927192"/>
    <w:rsid w:val="009326DB"/>
    <w:rsid w:val="00932906"/>
    <w:rsid w:val="009357DE"/>
    <w:rsid w:val="00936EAD"/>
    <w:rsid w:val="00940EBB"/>
    <w:rsid w:val="00941FC5"/>
    <w:rsid w:val="00942686"/>
    <w:rsid w:val="009435C5"/>
    <w:rsid w:val="00943ED6"/>
    <w:rsid w:val="0094467D"/>
    <w:rsid w:val="00954314"/>
    <w:rsid w:val="00955627"/>
    <w:rsid w:val="00961A2E"/>
    <w:rsid w:val="00961B0B"/>
    <w:rsid w:val="0096383C"/>
    <w:rsid w:val="009641C3"/>
    <w:rsid w:val="009643A7"/>
    <w:rsid w:val="00966394"/>
    <w:rsid w:val="009740C8"/>
    <w:rsid w:val="009746FB"/>
    <w:rsid w:val="00975664"/>
    <w:rsid w:val="00976E48"/>
    <w:rsid w:val="0097747C"/>
    <w:rsid w:val="00977DE8"/>
    <w:rsid w:val="00980D4D"/>
    <w:rsid w:val="0098162D"/>
    <w:rsid w:val="0098349E"/>
    <w:rsid w:val="009834B1"/>
    <w:rsid w:val="00983B49"/>
    <w:rsid w:val="0099690A"/>
    <w:rsid w:val="009A0989"/>
    <w:rsid w:val="009A58D5"/>
    <w:rsid w:val="009A6D4B"/>
    <w:rsid w:val="009A6EB5"/>
    <w:rsid w:val="009B24B2"/>
    <w:rsid w:val="009B38C3"/>
    <w:rsid w:val="009B3F6D"/>
    <w:rsid w:val="009B78E4"/>
    <w:rsid w:val="009C03CB"/>
    <w:rsid w:val="009C06A2"/>
    <w:rsid w:val="009C0827"/>
    <w:rsid w:val="009C16D4"/>
    <w:rsid w:val="009C3C7C"/>
    <w:rsid w:val="009C65CC"/>
    <w:rsid w:val="009C7431"/>
    <w:rsid w:val="009D1918"/>
    <w:rsid w:val="009D1EAC"/>
    <w:rsid w:val="009D3353"/>
    <w:rsid w:val="009D50D6"/>
    <w:rsid w:val="009E17BD"/>
    <w:rsid w:val="009E185A"/>
    <w:rsid w:val="009E1B99"/>
    <w:rsid w:val="009E2447"/>
    <w:rsid w:val="009E4DA7"/>
    <w:rsid w:val="009E503E"/>
    <w:rsid w:val="009E674E"/>
    <w:rsid w:val="009E7915"/>
    <w:rsid w:val="009F01A9"/>
    <w:rsid w:val="009F0350"/>
    <w:rsid w:val="009F4CEF"/>
    <w:rsid w:val="009F53D4"/>
    <w:rsid w:val="009F6527"/>
    <w:rsid w:val="009F6ED6"/>
    <w:rsid w:val="00A007CA"/>
    <w:rsid w:val="00A0084C"/>
    <w:rsid w:val="00A023BA"/>
    <w:rsid w:val="00A03CE7"/>
    <w:rsid w:val="00A04CEC"/>
    <w:rsid w:val="00A06A40"/>
    <w:rsid w:val="00A06C66"/>
    <w:rsid w:val="00A12BE4"/>
    <w:rsid w:val="00A155B2"/>
    <w:rsid w:val="00A15E0E"/>
    <w:rsid w:val="00A17958"/>
    <w:rsid w:val="00A17CAB"/>
    <w:rsid w:val="00A22B29"/>
    <w:rsid w:val="00A22E33"/>
    <w:rsid w:val="00A23031"/>
    <w:rsid w:val="00A25EFA"/>
    <w:rsid w:val="00A27F92"/>
    <w:rsid w:val="00A32257"/>
    <w:rsid w:val="00A327F8"/>
    <w:rsid w:val="00A36D20"/>
    <w:rsid w:val="00A37885"/>
    <w:rsid w:val="00A438A7"/>
    <w:rsid w:val="00A44EB0"/>
    <w:rsid w:val="00A459B2"/>
    <w:rsid w:val="00A46BDF"/>
    <w:rsid w:val="00A55622"/>
    <w:rsid w:val="00A55FF9"/>
    <w:rsid w:val="00A56592"/>
    <w:rsid w:val="00A56DA2"/>
    <w:rsid w:val="00A6129F"/>
    <w:rsid w:val="00A627A9"/>
    <w:rsid w:val="00A6294B"/>
    <w:rsid w:val="00A6548E"/>
    <w:rsid w:val="00A65A7D"/>
    <w:rsid w:val="00A65BC5"/>
    <w:rsid w:val="00A65E12"/>
    <w:rsid w:val="00A66F90"/>
    <w:rsid w:val="00A67FE4"/>
    <w:rsid w:val="00A72187"/>
    <w:rsid w:val="00A750A3"/>
    <w:rsid w:val="00A77840"/>
    <w:rsid w:val="00A80896"/>
    <w:rsid w:val="00A810A1"/>
    <w:rsid w:val="00A81591"/>
    <w:rsid w:val="00A83502"/>
    <w:rsid w:val="00A855DC"/>
    <w:rsid w:val="00A85786"/>
    <w:rsid w:val="00A86B08"/>
    <w:rsid w:val="00A87019"/>
    <w:rsid w:val="00A87311"/>
    <w:rsid w:val="00A902DD"/>
    <w:rsid w:val="00A9158C"/>
    <w:rsid w:val="00A91D29"/>
    <w:rsid w:val="00A921AB"/>
    <w:rsid w:val="00A925B2"/>
    <w:rsid w:val="00A92F08"/>
    <w:rsid w:val="00A930F9"/>
    <w:rsid w:val="00A9359D"/>
    <w:rsid w:val="00A94BF4"/>
    <w:rsid w:val="00A969C5"/>
    <w:rsid w:val="00A96D78"/>
    <w:rsid w:val="00AA00BD"/>
    <w:rsid w:val="00AA06C1"/>
    <w:rsid w:val="00AA4949"/>
    <w:rsid w:val="00AA4F19"/>
    <w:rsid w:val="00AA71D6"/>
    <w:rsid w:val="00AA7EA7"/>
    <w:rsid w:val="00AB10D6"/>
    <w:rsid w:val="00AB119D"/>
    <w:rsid w:val="00AB2B54"/>
    <w:rsid w:val="00AB37BA"/>
    <w:rsid w:val="00AB581C"/>
    <w:rsid w:val="00AC047A"/>
    <w:rsid w:val="00AC1F19"/>
    <w:rsid w:val="00AC2062"/>
    <w:rsid w:val="00AC4FCF"/>
    <w:rsid w:val="00AD1E4C"/>
    <w:rsid w:val="00AD7F19"/>
    <w:rsid w:val="00AE2E08"/>
    <w:rsid w:val="00AE31BF"/>
    <w:rsid w:val="00AE32C0"/>
    <w:rsid w:val="00AE39A8"/>
    <w:rsid w:val="00AF2CA4"/>
    <w:rsid w:val="00AF3AC4"/>
    <w:rsid w:val="00AF65F9"/>
    <w:rsid w:val="00AF67EC"/>
    <w:rsid w:val="00AF6E49"/>
    <w:rsid w:val="00B001C9"/>
    <w:rsid w:val="00B00D46"/>
    <w:rsid w:val="00B02100"/>
    <w:rsid w:val="00B044EB"/>
    <w:rsid w:val="00B04A67"/>
    <w:rsid w:val="00B0559F"/>
    <w:rsid w:val="00B0583C"/>
    <w:rsid w:val="00B0646F"/>
    <w:rsid w:val="00B069C2"/>
    <w:rsid w:val="00B0779C"/>
    <w:rsid w:val="00B1107B"/>
    <w:rsid w:val="00B113BC"/>
    <w:rsid w:val="00B11A7A"/>
    <w:rsid w:val="00B11DBB"/>
    <w:rsid w:val="00B13146"/>
    <w:rsid w:val="00B148F7"/>
    <w:rsid w:val="00B200EA"/>
    <w:rsid w:val="00B20DD9"/>
    <w:rsid w:val="00B21657"/>
    <w:rsid w:val="00B241A8"/>
    <w:rsid w:val="00B2670F"/>
    <w:rsid w:val="00B326A2"/>
    <w:rsid w:val="00B335C9"/>
    <w:rsid w:val="00B3426B"/>
    <w:rsid w:val="00B34CCF"/>
    <w:rsid w:val="00B352EB"/>
    <w:rsid w:val="00B369AD"/>
    <w:rsid w:val="00B40A81"/>
    <w:rsid w:val="00B44910"/>
    <w:rsid w:val="00B47D44"/>
    <w:rsid w:val="00B50AA8"/>
    <w:rsid w:val="00B50CE5"/>
    <w:rsid w:val="00B528BA"/>
    <w:rsid w:val="00B52919"/>
    <w:rsid w:val="00B54D84"/>
    <w:rsid w:val="00B5650F"/>
    <w:rsid w:val="00B57286"/>
    <w:rsid w:val="00B66546"/>
    <w:rsid w:val="00B66EDB"/>
    <w:rsid w:val="00B72267"/>
    <w:rsid w:val="00B74C88"/>
    <w:rsid w:val="00B74D78"/>
    <w:rsid w:val="00B76EB6"/>
    <w:rsid w:val="00B81213"/>
    <w:rsid w:val="00B824C8"/>
    <w:rsid w:val="00B82F9B"/>
    <w:rsid w:val="00B84DF2"/>
    <w:rsid w:val="00B90F69"/>
    <w:rsid w:val="00BA6CBB"/>
    <w:rsid w:val="00BA7A9B"/>
    <w:rsid w:val="00BB0302"/>
    <w:rsid w:val="00BB11E4"/>
    <w:rsid w:val="00BB1E45"/>
    <w:rsid w:val="00BB3D18"/>
    <w:rsid w:val="00BB3F33"/>
    <w:rsid w:val="00BB46A8"/>
    <w:rsid w:val="00BB4CDD"/>
    <w:rsid w:val="00BB5EC4"/>
    <w:rsid w:val="00BB76C1"/>
    <w:rsid w:val="00BC251A"/>
    <w:rsid w:val="00BC3526"/>
    <w:rsid w:val="00BC42F2"/>
    <w:rsid w:val="00BD00DB"/>
    <w:rsid w:val="00BD032B"/>
    <w:rsid w:val="00BD766F"/>
    <w:rsid w:val="00BE05D0"/>
    <w:rsid w:val="00BE0DB0"/>
    <w:rsid w:val="00BE0E73"/>
    <w:rsid w:val="00BE2640"/>
    <w:rsid w:val="00BE46D9"/>
    <w:rsid w:val="00BE72FC"/>
    <w:rsid w:val="00BE765F"/>
    <w:rsid w:val="00BE7BF4"/>
    <w:rsid w:val="00BF2783"/>
    <w:rsid w:val="00BF34A5"/>
    <w:rsid w:val="00BF418F"/>
    <w:rsid w:val="00BF472F"/>
    <w:rsid w:val="00BF538D"/>
    <w:rsid w:val="00C0066F"/>
    <w:rsid w:val="00C01189"/>
    <w:rsid w:val="00C02180"/>
    <w:rsid w:val="00C026BE"/>
    <w:rsid w:val="00C03E76"/>
    <w:rsid w:val="00C04ACE"/>
    <w:rsid w:val="00C0737C"/>
    <w:rsid w:val="00C07EAD"/>
    <w:rsid w:val="00C110B3"/>
    <w:rsid w:val="00C1422F"/>
    <w:rsid w:val="00C1640D"/>
    <w:rsid w:val="00C1663F"/>
    <w:rsid w:val="00C20B9A"/>
    <w:rsid w:val="00C2520C"/>
    <w:rsid w:val="00C25A22"/>
    <w:rsid w:val="00C269CF"/>
    <w:rsid w:val="00C311D6"/>
    <w:rsid w:val="00C31310"/>
    <w:rsid w:val="00C32551"/>
    <w:rsid w:val="00C35BC0"/>
    <w:rsid w:val="00C374B5"/>
    <w:rsid w:val="00C374DE"/>
    <w:rsid w:val="00C374E4"/>
    <w:rsid w:val="00C419F6"/>
    <w:rsid w:val="00C47AD4"/>
    <w:rsid w:val="00C528CC"/>
    <w:rsid w:val="00C52D81"/>
    <w:rsid w:val="00C544D4"/>
    <w:rsid w:val="00C55198"/>
    <w:rsid w:val="00C55362"/>
    <w:rsid w:val="00C55F27"/>
    <w:rsid w:val="00C63173"/>
    <w:rsid w:val="00C633DD"/>
    <w:rsid w:val="00C63F84"/>
    <w:rsid w:val="00C704B7"/>
    <w:rsid w:val="00C721B4"/>
    <w:rsid w:val="00C72F90"/>
    <w:rsid w:val="00C75987"/>
    <w:rsid w:val="00C75B97"/>
    <w:rsid w:val="00C75F90"/>
    <w:rsid w:val="00C7645B"/>
    <w:rsid w:val="00C76FE2"/>
    <w:rsid w:val="00C82A00"/>
    <w:rsid w:val="00C83EA7"/>
    <w:rsid w:val="00C83FAA"/>
    <w:rsid w:val="00C8442F"/>
    <w:rsid w:val="00C84B50"/>
    <w:rsid w:val="00C84B6C"/>
    <w:rsid w:val="00C8646A"/>
    <w:rsid w:val="00C86CD1"/>
    <w:rsid w:val="00C92BF8"/>
    <w:rsid w:val="00C946B9"/>
    <w:rsid w:val="00CA04C6"/>
    <w:rsid w:val="00CA0736"/>
    <w:rsid w:val="00CA0ADA"/>
    <w:rsid w:val="00CA214B"/>
    <w:rsid w:val="00CA540F"/>
    <w:rsid w:val="00CA6393"/>
    <w:rsid w:val="00CA7DD0"/>
    <w:rsid w:val="00CB022D"/>
    <w:rsid w:val="00CB18FF"/>
    <w:rsid w:val="00CB49BD"/>
    <w:rsid w:val="00CB7D84"/>
    <w:rsid w:val="00CB7F68"/>
    <w:rsid w:val="00CC2BAD"/>
    <w:rsid w:val="00CC4F29"/>
    <w:rsid w:val="00CC626F"/>
    <w:rsid w:val="00CD0C08"/>
    <w:rsid w:val="00CD123D"/>
    <w:rsid w:val="00CD4438"/>
    <w:rsid w:val="00CD71A9"/>
    <w:rsid w:val="00CD78C7"/>
    <w:rsid w:val="00CE03FB"/>
    <w:rsid w:val="00CE1DE6"/>
    <w:rsid w:val="00CE2869"/>
    <w:rsid w:val="00CE433C"/>
    <w:rsid w:val="00CE4EE4"/>
    <w:rsid w:val="00CE5361"/>
    <w:rsid w:val="00CF2A0E"/>
    <w:rsid w:val="00CF33F3"/>
    <w:rsid w:val="00CF3767"/>
    <w:rsid w:val="00CF3C17"/>
    <w:rsid w:val="00D0075B"/>
    <w:rsid w:val="00D02FEF"/>
    <w:rsid w:val="00D037A8"/>
    <w:rsid w:val="00D06183"/>
    <w:rsid w:val="00D121C2"/>
    <w:rsid w:val="00D12A14"/>
    <w:rsid w:val="00D14CBD"/>
    <w:rsid w:val="00D16D32"/>
    <w:rsid w:val="00D2068A"/>
    <w:rsid w:val="00D22C42"/>
    <w:rsid w:val="00D24C7C"/>
    <w:rsid w:val="00D2688A"/>
    <w:rsid w:val="00D30CF2"/>
    <w:rsid w:val="00D31A49"/>
    <w:rsid w:val="00D33C39"/>
    <w:rsid w:val="00D34880"/>
    <w:rsid w:val="00D35560"/>
    <w:rsid w:val="00D37A1C"/>
    <w:rsid w:val="00D4107F"/>
    <w:rsid w:val="00D4393D"/>
    <w:rsid w:val="00D44892"/>
    <w:rsid w:val="00D44E89"/>
    <w:rsid w:val="00D468F2"/>
    <w:rsid w:val="00D53296"/>
    <w:rsid w:val="00D548EA"/>
    <w:rsid w:val="00D562CB"/>
    <w:rsid w:val="00D615E3"/>
    <w:rsid w:val="00D63021"/>
    <w:rsid w:val="00D64609"/>
    <w:rsid w:val="00D65041"/>
    <w:rsid w:val="00D67148"/>
    <w:rsid w:val="00D70716"/>
    <w:rsid w:val="00D71368"/>
    <w:rsid w:val="00D774E1"/>
    <w:rsid w:val="00D808A4"/>
    <w:rsid w:val="00D82688"/>
    <w:rsid w:val="00D826E6"/>
    <w:rsid w:val="00D901DA"/>
    <w:rsid w:val="00D92FFC"/>
    <w:rsid w:val="00D93AC5"/>
    <w:rsid w:val="00D94F04"/>
    <w:rsid w:val="00D969D0"/>
    <w:rsid w:val="00DA0F3B"/>
    <w:rsid w:val="00DA29CD"/>
    <w:rsid w:val="00DA31FD"/>
    <w:rsid w:val="00DA49A6"/>
    <w:rsid w:val="00DA557F"/>
    <w:rsid w:val="00DA5D09"/>
    <w:rsid w:val="00DB1AD4"/>
    <w:rsid w:val="00DB4196"/>
    <w:rsid w:val="00DB44AD"/>
    <w:rsid w:val="00DB4541"/>
    <w:rsid w:val="00DB5075"/>
    <w:rsid w:val="00DB6D6C"/>
    <w:rsid w:val="00DC1270"/>
    <w:rsid w:val="00DD2135"/>
    <w:rsid w:val="00DD21BD"/>
    <w:rsid w:val="00DD21F7"/>
    <w:rsid w:val="00DD371C"/>
    <w:rsid w:val="00DD5CCF"/>
    <w:rsid w:val="00DE3B69"/>
    <w:rsid w:val="00DE5FE7"/>
    <w:rsid w:val="00DE7153"/>
    <w:rsid w:val="00DF1E91"/>
    <w:rsid w:val="00DF65B9"/>
    <w:rsid w:val="00E01FDA"/>
    <w:rsid w:val="00E026CF"/>
    <w:rsid w:val="00E101F1"/>
    <w:rsid w:val="00E10E80"/>
    <w:rsid w:val="00E124F0"/>
    <w:rsid w:val="00E13B3B"/>
    <w:rsid w:val="00E1533A"/>
    <w:rsid w:val="00E155F2"/>
    <w:rsid w:val="00E22412"/>
    <w:rsid w:val="00E22C41"/>
    <w:rsid w:val="00E24382"/>
    <w:rsid w:val="00E2621F"/>
    <w:rsid w:val="00E2649F"/>
    <w:rsid w:val="00E418C6"/>
    <w:rsid w:val="00E46841"/>
    <w:rsid w:val="00E563C9"/>
    <w:rsid w:val="00E57212"/>
    <w:rsid w:val="00E60F04"/>
    <w:rsid w:val="00E61202"/>
    <w:rsid w:val="00E647EF"/>
    <w:rsid w:val="00E6733A"/>
    <w:rsid w:val="00E676CA"/>
    <w:rsid w:val="00E70B54"/>
    <w:rsid w:val="00E737BC"/>
    <w:rsid w:val="00E752E3"/>
    <w:rsid w:val="00E774F5"/>
    <w:rsid w:val="00E82A5B"/>
    <w:rsid w:val="00E94F60"/>
    <w:rsid w:val="00E97803"/>
    <w:rsid w:val="00EA0C92"/>
    <w:rsid w:val="00EA0D35"/>
    <w:rsid w:val="00EA1255"/>
    <w:rsid w:val="00EA7C0D"/>
    <w:rsid w:val="00EB0D6F"/>
    <w:rsid w:val="00EB2232"/>
    <w:rsid w:val="00EB3B73"/>
    <w:rsid w:val="00EB539F"/>
    <w:rsid w:val="00EC3FCE"/>
    <w:rsid w:val="00EC5337"/>
    <w:rsid w:val="00ED0617"/>
    <w:rsid w:val="00ED34A5"/>
    <w:rsid w:val="00ED47DF"/>
    <w:rsid w:val="00EE6E52"/>
    <w:rsid w:val="00EF5D4E"/>
    <w:rsid w:val="00EF6749"/>
    <w:rsid w:val="00EF69C9"/>
    <w:rsid w:val="00EF76E5"/>
    <w:rsid w:val="00F06885"/>
    <w:rsid w:val="00F13F85"/>
    <w:rsid w:val="00F14880"/>
    <w:rsid w:val="00F17C2F"/>
    <w:rsid w:val="00F2150A"/>
    <w:rsid w:val="00F219A4"/>
    <w:rsid w:val="00F223DA"/>
    <w:rsid w:val="00F231D8"/>
    <w:rsid w:val="00F234A2"/>
    <w:rsid w:val="00F235CC"/>
    <w:rsid w:val="00F30539"/>
    <w:rsid w:val="00F30D9B"/>
    <w:rsid w:val="00F32358"/>
    <w:rsid w:val="00F32360"/>
    <w:rsid w:val="00F3336C"/>
    <w:rsid w:val="00F333EF"/>
    <w:rsid w:val="00F336A7"/>
    <w:rsid w:val="00F363E0"/>
    <w:rsid w:val="00F37678"/>
    <w:rsid w:val="00F4142D"/>
    <w:rsid w:val="00F42E5E"/>
    <w:rsid w:val="00F43957"/>
    <w:rsid w:val="00F44F0A"/>
    <w:rsid w:val="00F4653C"/>
    <w:rsid w:val="00F46C5F"/>
    <w:rsid w:val="00F5077D"/>
    <w:rsid w:val="00F555F2"/>
    <w:rsid w:val="00F614B7"/>
    <w:rsid w:val="00F65903"/>
    <w:rsid w:val="00F65AEB"/>
    <w:rsid w:val="00F66D99"/>
    <w:rsid w:val="00F700E7"/>
    <w:rsid w:val="00F71DD0"/>
    <w:rsid w:val="00F7372A"/>
    <w:rsid w:val="00F75162"/>
    <w:rsid w:val="00F75B08"/>
    <w:rsid w:val="00F777C5"/>
    <w:rsid w:val="00F77925"/>
    <w:rsid w:val="00F77F32"/>
    <w:rsid w:val="00F8086F"/>
    <w:rsid w:val="00F84000"/>
    <w:rsid w:val="00F872C0"/>
    <w:rsid w:val="00F875DD"/>
    <w:rsid w:val="00F910B1"/>
    <w:rsid w:val="00F91EB2"/>
    <w:rsid w:val="00F92404"/>
    <w:rsid w:val="00F92641"/>
    <w:rsid w:val="00F94A63"/>
    <w:rsid w:val="00FA0DEE"/>
    <w:rsid w:val="00FA17B8"/>
    <w:rsid w:val="00FA21D4"/>
    <w:rsid w:val="00FA4E2B"/>
    <w:rsid w:val="00FB06E8"/>
    <w:rsid w:val="00FB0B3C"/>
    <w:rsid w:val="00FB14B0"/>
    <w:rsid w:val="00FB6C6B"/>
    <w:rsid w:val="00FB73A6"/>
    <w:rsid w:val="00FB7596"/>
    <w:rsid w:val="00FB7FB8"/>
    <w:rsid w:val="00FC0983"/>
    <w:rsid w:val="00FC0B2B"/>
    <w:rsid w:val="00FC11F3"/>
    <w:rsid w:val="00FC4233"/>
    <w:rsid w:val="00FC468B"/>
    <w:rsid w:val="00FC5BA9"/>
    <w:rsid w:val="00FC65B6"/>
    <w:rsid w:val="00FC74B7"/>
    <w:rsid w:val="00FD141E"/>
    <w:rsid w:val="00FD1616"/>
    <w:rsid w:val="00FD54D4"/>
    <w:rsid w:val="00FD6E77"/>
    <w:rsid w:val="00FE01CA"/>
    <w:rsid w:val="00FE4077"/>
    <w:rsid w:val="00FE47A2"/>
    <w:rsid w:val="00FE5DB3"/>
    <w:rsid w:val="00FE6D95"/>
    <w:rsid w:val="00FE778B"/>
    <w:rsid w:val="00FE77D2"/>
    <w:rsid w:val="00FE7C3B"/>
    <w:rsid w:val="00FF3582"/>
    <w:rsid w:val="00FF37AA"/>
    <w:rsid w:val="00FF3D4F"/>
    <w:rsid w:val="00FF3F73"/>
    <w:rsid w:val="00FF47C7"/>
    <w:rsid w:val="00FF50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5:docId w15:val="{44116B15-EA9B-420C-ADB8-9A2D59B47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AD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link w:val="Heading1Char"/>
    <w:uiPriority w:val="9"/>
    <w:qFormat/>
    <w:rsid w:val="00C31310"/>
    <w:pPr>
      <w:keepNext/>
      <w:keepLines/>
      <w:spacing w:before="480"/>
      <w:ind w:left="794" w:hanging="794"/>
      <w:outlineLvl w:val="0"/>
    </w:pPr>
    <w:rPr>
      <w:b/>
    </w:rPr>
  </w:style>
  <w:style w:type="paragraph" w:styleId="Heading2">
    <w:name w:val="heading 2"/>
    <w:basedOn w:val="Heading1"/>
    <w:next w:val="Normal"/>
    <w:link w:val="Heading2Char"/>
    <w:uiPriority w:val="9"/>
    <w:qFormat/>
    <w:rsid w:val="00C35BC0"/>
    <w:pPr>
      <w:spacing w:before="320"/>
      <w:outlineLvl w:val="1"/>
    </w:pPr>
  </w:style>
  <w:style w:type="paragraph" w:styleId="Heading3">
    <w:name w:val="heading 3"/>
    <w:basedOn w:val="Heading1"/>
    <w:next w:val="Normal"/>
    <w:link w:val="Heading3Char"/>
    <w:uiPriority w:val="9"/>
    <w:qFormat/>
    <w:rsid w:val="00C35BC0"/>
    <w:pPr>
      <w:spacing w:before="200"/>
      <w:ind w:left="0" w:firstLine="0"/>
      <w:outlineLvl w:val="2"/>
    </w:pPr>
    <w:rPr>
      <w:rFonts w:ascii="Times New Roman Bold" w:hAnsi="Times New Roman Bold"/>
      <w:i/>
    </w:rPr>
  </w:style>
  <w:style w:type="paragraph" w:styleId="Heading4">
    <w:name w:val="heading 4"/>
    <w:basedOn w:val="Heading3"/>
    <w:next w:val="Normal"/>
    <w:link w:val="Heading4Char"/>
    <w:qFormat/>
    <w:rsid w:val="00C35BC0"/>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qFormat/>
    <w:rsid w:val="00C35BC0"/>
    <w:pPr>
      <w:outlineLvl w:val="4"/>
    </w:pPr>
  </w:style>
  <w:style w:type="paragraph" w:styleId="Heading6">
    <w:name w:val="heading 6"/>
    <w:basedOn w:val="Heading4"/>
    <w:next w:val="Normal"/>
    <w:link w:val="Heading6Char"/>
    <w:qFormat/>
    <w:rsid w:val="00C35BC0"/>
    <w:pPr>
      <w:outlineLvl w:val="5"/>
    </w:pPr>
  </w:style>
  <w:style w:type="paragraph" w:styleId="Heading7">
    <w:name w:val="heading 7"/>
    <w:basedOn w:val="Heading6"/>
    <w:next w:val="Normal"/>
    <w:link w:val="Heading7Char"/>
    <w:qFormat/>
    <w:rsid w:val="00C35BC0"/>
    <w:pPr>
      <w:outlineLvl w:val="6"/>
    </w:pPr>
  </w:style>
  <w:style w:type="paragraph" w:styleId="Heading8">
    <w:name w:val="heading 8"/>
    <w:basedOn w:val="Heading6"/>
    <w:next w:val="Normal"/>
    <w:link w:val="Heading8Char"/>
    <w:qFormat/>
    <w:rsid w:val="00C35BC0"/>
    <w:pPr>
      <w:outlineLvl w:val="7"/>
    </w:pPr>
  </w:style>
  <w:style w:type="paragraph" w:styleId="Heading9">
    <w:name w:val="heading 9"/>
    <w:basedOn w:val="Heading6"/>
    <w:next w:val="Normal"/>
    <w:link w:val="Heading9Char"/>
    <w:qFormat/>
    <w:rsid w:val="00C35BC0"/>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C35BC0"/>
  </w:style>
  <w:style w:type="paragraph" w:styleId="TOC4">
    <w:name w:val="toc 4"/>
    <w:basedOn w:val="TOC3"/>
    <w:rsid w:val="00C35BC0"/>
    <w:pPr>
      <w:spacing w:before="80"/>
    </w:pPr>
  </w:style>
  <w:style w:type="paragraph" w:styleId="TOC3">
    <w:name w:val="toc 3"/>
    <w:basedOn w:val="TOC2"/>
    <w:uiPriority w:val="39"/>
    <w:qFormat/>
    <w:rsid w:val="00C35BC0"/>
  </w:style>
  <w:style w:type="paragraph" w:styleId="TOC2">
    <w:name w:val="toc 2"/>
    <w:basedOn w:val="TOC1"/>
    <w:uiPriority w:val="39"/>
    <w:qFormat/>
    <w:rsid w:val="00C35BC0"/>
    <w:pPr>
      <w:spacing w:before="160"/>
    </w:pPr>
  </w:style>
  <w:style w:type="paragraph" w:styleId="TOC1">
    <w:name w:val="toc 1"/>
    <w:basedOn w:val="Normal"/>
    <w:uiPriority w:val="39"/>
    <w:qFormat/>
    <w:rsid w:val="00C35BC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C35BC0"/>
  </w:style>
  <w:style w:type="paragraph" w:styleId="TOC6">
    <w:name w:val="toc 6"/>
    <w:basedOn w:val="TOC4"/>
    <w:rsid w:val="00C35BC0"/>
  </w:style>
  <w:style w:type="paragraph" w:styleId="TOC5">
    <w:name w:val="toc 5"/>
    <w:basedOn w:val="TOC4"/>
    <w:rsid w:val="00C35BC0"/>
  </w:style>
  <w:style w:type="paragraph" w:styleId="Index7">
    <w:name w:val="index 7"/>
    <w:basedOn w:val="Normal"/>
    <w:next w:val="Normal"/>
    <w:rsid w:val="00C35BC0"/>
    <w:pPr>
      <w:ind w:left="1698"/>
    </w:pPr>
  </w:style>
  <w:style w:type="paragraph" w:styleId="Index6">
    <w:name w:val="index 6"/>
    <w:basedOn w:val="Normal"/>
    <w:next w:val="Normal"/>
    <w:rsid w:val="00C35BC0"/>
    <w:pPr>
      <w:ind w:left="1415"/>
    </w:pPr>
  </w:style>
  <w:style w:type="paragraph" w:styleId="Index5">
    <w:name w:val="index 5"/>
    <w:basedOn w:val="Normal"/>
    <w:next w:val="Normal"/>
    <w:rsid w:val="00C35BC0"/>
    <w:pPr>
      <w:ind w:left="1132"/>
    </w:pPr>
  </w:style>
  <w:style w:type="paragraph" w:styleId="Index4">
    <w:name w:val="index 4"/>
    <w:basedOn w:val="Normal"/>
    <w:next w:val="Normal"/>
    <w:rsid w:val="00C35BC0"/>
    <w:pPr>
      <w:ind w:left="849"/>
    </w:pPr>
  </w:style>
  <w:style w:type="paragraph" w:styleId="Index3">
    <w:name w:val="index 3"/>
    <w:basedOn w:val="Normal"/>
    <w:next w:val="Normal"/>
    <w:rsid w:val="00C35BC0"/>
    <w:pPr>
      <w:ind w:left="566"/>
    </w:pPr>
  </w:style>
  <w:style w:type="paragraph" w:styleId="Index2">
    <w:name w:val="index 2"/>
    <w:basedOn w:val="Normal"/>
    <w:next w:val="Normal"/>
    <w:rsid w:val="00C35BC0"/>
    <w:pPr>
      <w:ind w:left="283"/>
    </w:pPr>
  </w:style>
  <w:style w:type="paragraph" w:styleId="Index1">
    <w:name w:val="index 1"/>
    <w:basedOn w:val="Normal"/>
    <w:next w:val="Normal"/>
    <w:rsid w:val="00C35BC0"/>
  </w:style>
  <w:style w:type="character" w:styleId="LineNumber">
    <w:name w:val="line number"/>
    <w:basedOn w:val="DefaultParagraphFont"/>
    <w:rsid w:val="00C35BC0"/>
  </w:style>
  <w:style w:type="paragraph" w:styleId="IndexHeading">
    <w:name w:val="index heading"/>
    <w:basedOn w:val="Normal"/>
    <w:next w:val="Index1"/>
    <w:rsid w:val="00C35BC0"/>
  </w:style>
  <w:style w:type="paragraph" w:styleId="Footer">
    <w:name w:val="footer"/>
    <w:basedOn w:val="Normal"/>
    <w:link w:val="FooterChar"/>
    <w:uiPriority w:val="99"/>
    <w:rsid w:val="00C35BC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C35BC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C35BC0"/>
    <w:rPr>
      <w:position w:val="6"/>
      <w:sz w:val="16"/>
    </w:rPr>
  </w:style>
  <w:style w:type="paragraph" w:styleId="FootnoteText">
    <w:name w:val="footnote text"/>
    <w:basedOn w:val="Normal"/>
    <w:link w:val="FootnoteTextChar"/>
    <w:rsid w:val="00C35BC0"/>
    <w:pPr>
      <w:keepLines/>
      <w:tabs>
        <w:tab w:val="left" w:pos="255"/>
      </w:tabs>
      <w:spacing w:before="60"/>
      <w:ind w:left="284" w:hanging="284"/>
    </w:pPr>
    <w:rPr>
      <w:sz w:val="20"/>
    </w:rPr>
  </w:style>
  <w:style w:type="paragraph" w:styleId="NormalIndent">
    <w:name w:val="Normal Indent"/>
    <w:basedOn w:val="Normal"/>
    <w:rsid w:val="00C35BC0"/>
    <w:pPr>
      <w:ind w:left="794"/>
    </w:pPr>
  </w:style>
  <w:style w:type="paragraph" w:customStyle="1" w:styleId="enumlev1">
    <w:name w:val="enumlev1"/>
    <w:basedOn w:val="Normal"/>
    <w:link w:val="enumlev1Char"/>
    <w:rsid w:val="00C35BC0"/>
    <w:pPr>
      <w:tabs>
        <w:tab w:val="left" w:pos="2608"/>
        <w:tab w:val="left" w:pos="3345"/>
      </w:tabs>
      <w:spacing w:before="80"/>
      <w:ind w:left="794" w:hanging="794"/>
    </w:pPr>
  </w:style>
  <w:style w:type="paragraph" w:customStyle="1" w:styleId="enumlev2">
    <w:name w:val="enumlev2"/>
    <w:basedOn w:val="enumlev1"/>
    <w:rsid w:val="00C35BC0"/>
    <w:pPr>
      <w:ind w:left="1191" w:hanging="397"/>
    </w:pPr>
  </w:style>
  <w:style w:type="paragraph" w:customStyle="1" w:styleId="enumlev3">
    <w:name w:val="enumlev3"/>
    <w:basedOn w:val="enumlev2"/>
    <w:rsid w:val="00C35BC0"/>
    <w:pPr>
      <w:ind w:left="1588"/>
    </w:pPr>
  </w:style>
  <w:style w:type="paragraph" w:customStyle="1" w:styleId="Normalaftertitle">
    <w:name w:val="Normal after title"/>
    <w:basedOn w:val="Normal"/>
    <w:next w:val="Normal"/>
    <w:link w:val="NormalaftertitleChar"/>
    <w:rsid w:val="00C35BC0"/>
    <w:pPr>
      <w:spacing w:before="320"/>
    </w:pPr>
  </w:style>
  <w:style w:type="paragraph" w:customStyle="1" w:styleId="Equation">
    <w:name w:val="Equation"/>
    <w:basedOn w:val="Normal"/>
    <w:rsid w:val="00C35BC0"/>
    <w:pPr>
      <w:tabs>
        <w:tab w:val="clear" w:pos="1191"/>
        <w:tab w:val="clear" w:pos="1588"/>
        <w:tab w:val="clear" w:pos="1985"/>
        <w:tab w:val="center" w:pos="4820"/>
        <w:tab w:val="right" w:pos="9639"/>
      </w:tabs>
    </w:pPr>
  </w:style>
  <w:style w:type="paragraph" w:customStyle="1" w:styleId="Head">
    <w:name w:val="Head"/>
    <w:basedOn w:val="Normal"/>
    <w:rsid w:val="00C35BC0"/>
    <w:pPr>
      <w:tabs>
        <w:tab w:val="left" w:pos="6663"/>
      </w:tabs>
      <w:overflowPunct/>
      <w:autoSpaceDE/>
      <w:autoSpaceDN/>
      <w:adjustRightInd/>
      <w:spacing w:before="0"/>
      <w:textAlignment w:val="auto"/>
    </w:pPr>
  </w:style>
  <w:style w:type="paragraph" w:customStyle="1" w:styleId="toc0">
    <w:name w:val="toc 0"/>
    <w:basedOn w:val="Normal"/>
    <w:next w:val="TOC1"/>
    <w:rsid w:val="00C35BC0"/>
    <w:pPr>
      <w:tabs>
        <w:tab w:val="clear" w:pos="1191"/>
        <w:tab w:val="clear" w:pos="1588"/>
        <w:tab w:val="clear" w:pos="1985"/>
        <w:tab w:val="center" w:pos="8789"/>
      </w:tabs>
    </w:pPr>
    <w:rPr>
      <w:b/>
    </w:rPr>
  </w:style>
  <w:style w:type="paragraph" w:styleId="List">
    <w:name w:val="List"/>
    <w:basedOn w:val="Normal"/>
    <w:rsid w:val="00C35BC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C35BC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C35BC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C35BC0"/>
    <w:pPr>
      <w:spacing w:before="480"/>
      <w:jc w:val="center"/>
    </w:pPr>
    <w:rPr>
      <w:b/>
      <w:sz w:val="26"/>
    </w:rPr>
  </w:style>
  <w:style w:type="paragraph" w:customStyle="1" w:styleId="meeting">
    <w:name w:val="meeting"/>
    <w:basedOn w:val="Head"/>
    <w:next w:val="Head"/>
    <w:rsid w:val="00C35BC0"/>
    <w:pPr>
      <w:tabs>
        <w:tab w:val="left" w:pos="7371"/>
      </w:tabs>
      <w:spacing w:after="567"/>
    </w:pPr>
  </w:style>
  <w:style w:type="paragraph" w:customStyle="1" w:styleId="Subject">
    <w:name w:val="Subject"/>
    <w:basedOn w:val="Normal"/>
    <w:next w:val="Source"/>
    <w:rsid w:val="00C35BC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C35BC0"/>
  </w:style>
  <w:style w:type="paragraph" w:customStyle="1" w:styleId="Data">
    <w:name w:val="Data"/>
    <w:basedOn w:val="Subject"/>
    <w:next w:val="Subject"/>
    <w:rsid w:val="00C35BC0"/>
  </w:style>
  <w:style w:type="paragraph" w:customStyle="1" w:styleId="Reasons">
    <w:name w:val="Reasons"/>
    <w:basedOn w:val="Normal"/>
    <w:qFormat/>
    <w:rsid w:val="00C35BC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C35BC0"/>
    <w:rPr>
      <w:color w:val="0000FF"/>
      <w:u w:val="single"/>
    </w:rPr>
  </w:style>
  <w:style w:type="paragraph" w:customStyle="1" w:styleId="FirstFooter">
    <w:name w:val="FirstFooter"/>
    <w:basedOn w:val="Footer"/>
    <w:rsid w:val="00C35BC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C35BC0"/>
    <w:pPr>
      <w:tabs>
        <w:tab w:val="clear" w:pos="794"/>
        <w:tab w:val="clear" w:pos="1191"/>
        <w:tab w:val="clear" w:pos="1588"/>
        <w:tab w:val="clear" w:pos="1985"/>
      </w:tabs>
      <w:spacing w:before="80"/>
    </w:pPr>
  </w:style>
  <w:style w:type="paragraph" w:styleId="TOC9">
    <w:name w:val="toc 9"/>
    <w:basedOn w:val="TOC4"/>
    <w:rsid w:val="00C35BC0"/>
  </w:style>
  <w:style w:type="paragraph" w:customStyle="1" w:styleId="Headingb">
    <w:name w:val="Heading_b"/>
    <w:basedOn w:val="Heading3"/>
    <w:next w:val="Normal"/>
    <w:rsid w:val="0076344C"/>
    <w:pPr>
      <w:tabs>
        <w:tab w:val="clear" w:pos="1191"/>
        <w:tab w:val="clear" w:pos="1588"/>
        <w:tab w:val="clear" w:pos="1985"/>
        <w:tab w:val="left" w:pos="2127"/>
        <w:tab w:val="left" w:pos="2410"/>
        <w:tab w:val="left" w:pos="2921"/>
        <w:tab w:val="left" w:pos="3261"/>
      </w:tabs>
      <w:overflowPunct/>
      <w:autoSpaceDE/>
      <w:autoSpaceDN/>
      <w:adjustRightInd/>
      <w:spacing w:before="240"/>
      <w:textAlignment w:val="auto"/>
      <w:outlineLvl w:val="9"/>
    </w:pPr>
    <w:rPr>
      <w:rFonts w:ascii="Calibri" w:hAnsi="Calibri"/>
      <w:i w:val="0"/>
    </w:rPr>
  </w:style>
  <w:style w:type="character" w:styleId="FollowedHyperlink">
    <w:name w:val="FollowedHyperlink"/>
    <w:basedOn w:val="DefaultParagraphFont"/>
    <w:rsid w:val="00C35BC0"/>
    <w:rPr>
      <w:color w:val="800080"/>
      <w:u w:val="single"/>
    </w:rPr>
  </w:style>
  <w:style w:type="paragraph" w:customStyle="1" w:styleId="Title1">
    <w:name w:val="Title 1"/>
    <w:basedOn w:val="Source"/>
    <w:next w:val="Title2"/>
    <w:rsid w:val="00C35BC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C35BC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C35BC0"/>
    <w:pPr>
      <w:spacing w:before="240"/>
    </w:pPr>
    <w:rPr>
      <w:caps w:val="0"/>
    </w:rPr>
  </w:style>
  <w:style w:type="paragraph" w:customStyle="1" w:styleId="Title4">
    <w:name w:val="Title 4"/>
    <w:basedOn w:val="Title3"/>
    <w:next w:val="Heading1"/>
    <w:rsid w:val="00C35BC0"/>
    <w:rPr>
      <w:b/>
    </w:rPr>
  </w:style>
  <w:style w:type="paragraph" w:customStyle="1" w:styleId="dnum">
    <w:name w:val="dnum"/>
    <w:basedOn w:val="Normal"/>
    <w:rsid w:val="00C35BC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C35BC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C35BC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C35BC0"/>
    <w:pPr>
      <w:keepNext/>
      <w:keepLines/>
      <w:spacing w:before="480" w:after="80"/>
      <w:jc w:val="center"/>
    </w:pPr>
    <w:rPr>
      <w:caps/>
      <w:sz w:val="26"/>
    </w:rPr>
  </w:style>
  <w:style w:type="paragraph" w:customStyle="1" w:styleId="Annextitle">
    <w:name w:val="Annex_title"/>
    <w:basedOn w:val="Normal"/>
    <w:next w:val="Annexref"/>
    <w:rsid w:val="00C35BC0"/>
    <w:pPr>
      <w:keepNext/>
      <w:keepLines/>
      <w:spacing w:before="240" w:after="280"/>
      <w:jc w:val="center"/>
    </w:pPr>
    <w:rPr>
      <w:b/>
      <w:sz w:val="26"/>
    </w:rPr>
  </w:style>
  <w:style w:type="paragraph" w:customStyle="1" w:styleId="Annexref">
    <w:name w:val="Annex_ref"/>
    <w:basedOn w:val="Normal"/>
    <w:next w:val="Normalaftertitle"/>
    <w:rsid w:val="00C35BC0"/>
    <w:pPr>
      <w:keepNext/>
      <w:keepLines/>
      <w:spacing w:after="280"/>
      <w:jc w:val="center"/>
    </w:pPr>
  </w:style>
  <w:style w:type="paragraph" w:customStyle="1" w:styleId="AppendixNo">
    <w:name w:val="Appendix_No"/>
    <w:basedOn w:val="AnnexNo"/>
    <w:next w:val="Appendixtitle"/>
    <w:rsid w:val="00C35BC0"/>
  </w:style>
  <w:style w:type="paragraph" w:customStyle="1" w:styleId="Appendixtitle">
    <w:name w:val="Appendix_title"/>
    <w:basedOn w:val="Annextitle"/>
    <w:next w:val="Appendixref"/>
    <w:rsid w:val="00C35BC0"/>
  </w:style>
  <w:style w:type="paragraph" w:customStyle="1" w:styleId="Appendixref">
    <w:name w:val="Appendix_ref"/>
    <w:basedOn w:val="Annexref"/>
    <w:next w:val="Normalaftertitle"/>
    <w:rsid w:val="00C35BC0"/>
  </w:style>
  <w:style w:type="paragraph" w:customStyle="1" w:styleId="Call">
    <w:name w:val="Call"/>
    <w:basedOn w:val="Normal"/>
    <w:next w:val="Normal"/>
    <w:rsid w:val="00C35BC0"/>
    <w:pPr>
      <w:keepNext/>
      <w:keepLines/>
      <w:spacing w:before="160"/>
      <w:ind w:left="794"/>
    </w:pPr>
    <w:rPr>
      <w:i/>
    </w:rPr>
  </w:style>
  <w:style w:type="character" w:styleId="EndnoteReference">
    <w:name w:val="endnote reference"/>
    <w:basedOn w:val="DefaultParagraphFont"/>
    <w:rsid w:val="00C35BC0"/>
    <w:rPr>
      <w:vertAlign w:val="superscript"/>
    </w:rPr>
  </w:style>
  <w:style w:type="paragraph" w:customStyle="1" w:styleId="Equationlegend">
    <w:name w:val="Equation_legend"/>
    <w:basedOn w:val="Normal"/>
    <w:rsid w:val="00C35BC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C35BC0"/>
    <w:pPr>
      <w:keepNext/>
      <w:keepLines/>
      <w:spacing w:after="120"/>
      <w:jc w:val="center"/>
    </w:pPr>
  </w:style>
  <w:style w:type="paragraph" w:customStyle="1" w:styleId="Figuretitle">
    <w:name w:val="Figure_title"/>
    <w:basedOn w:val="Tabletitle"/>
    <w:next w:val="Normalaftertitle"/>
    <w:rsid w:val="00C35BC0"/>
    <w:pPr>
      <w:spacing w:before="240" w:after="480"/>
    </w:pPr>
  </w:style>
  <w:style w:type="paragraph" w:customStyle="1" w:styleId="Tabletitle">
    <w:name w:val="Table_title"/>
    <w:basedOn w:val="TableNo"/>
    <w:next w:val="Tabletext"/>
    <w:rsid w:val="00C35BC0"/>
    <w:pPr>
      <w:spacing w:before="0"/>
    </w:pPr>
    <w:rPr>
      <w:b/>
      <w:caps w:val="0"/>
    </w:rPr>
  </w:style>
  <w:style w:type="paragraph" w:customStyle="1" w:styleId="TableNo">
    <w:name w:val="Table_No"/>
    <w:basedOn w:val="Normal"/>
    <w:next w:val="Tabletitle"/>
    <w:rsid w:val="00C35BC0"/>
    <w:pPr>
      <w:keepNext/>
      <w:spacing w:before="360" w:after="120"/>
      <w:jc w:val="center"/>
    </w:pPr>
    <w:rPr>
      <w:caps/>
    </w:rPr>
  </w:style>
  <w:style w:type="paragraph" w:customStyle="1" w:styleId="Tabletext">
    <w:name w:val="Table_text"/>
    <w:basedOn w:val="Normal"/>
    <w:rsid w:val="00C35BC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C35BC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C35BC0"/>
    <w:pPr>
      <w:keepNext/>
      <w:keepLines/>
      <w:spacing w:before="240" w:after="120"/>
      <w:jc w:val="center"/>
    </w:pPr>
    <w:rPr>
      <w:caps/>
    </w:rPr>
  </w:style>
  <w:style w:type="paragraph" w:customStyle="1" w:styleId="Figurewithouttitle">
    <w:name w:val="Figure_without_title"/>
    <w:basedOn w:val="Figure"/>
    <w:next w:val="Normalaftertitle"/>
    <w:rsid w:val="00C35BC0"/>
    <w:pPr>
      <w:keepNext w:val="0"/>
      <w:spacing w:after="240"/>
    </w:pPr>
  </w:style>
  <w:style w:type="paragraph" w:customStyle="1" w:styleId="Headingi">
    <w:name w:val="Heading_i"/>
    <w:basedOn w:val="Heading3"/>
    <w:next w:val="Normal"/>
    <w:rsid w:val="00C31310"/>
    <w:pPr>
      <w:spacing w:before="160"/>
    </w:pPr>
    <w:rPr>
      <w:rFonts w:ascii="Calibri" w:hAnsi="Calibri"/>
      <w:b w:val="0"/>
    </w:rPr>
  </w:style>
  <w:style w:type="character" w:styleId="PageNumber">
    <w:name w:val="page number"/>
    <w:basedOn w:val="DefaultParagraphFont"/>
    <w:uiPriority w:val="99"/>
    <w:rsid w:val="00C35BC0"/>
    <w:rPr>
      <w:rFonts w:ascii="Calibri" w:hAnsi="Calibri"/>
    </w:rPr>
  </w:style>
  <w:style w:type="paragraph" w:customStyle="1" w:styleId="PartNo">
    <w:name w:val="Part_No"/>
    <w:basedOn w:val="AnnexNo"/>
    <w:next w:val="Parttitle"/>
    <w:rsid w:val="00C35BC0"/>
  </w:style>
  <w:style w:type="paragraph" w:customStyle="1" w:styleId="Parttitle">
    <w:name w:val="Part_title"/>
    <w:basedOn w:val="Annextitle"/>
    <w:next w:val="Partref"/>
    <w:rsid w:val="00C35BC0"/>
  </w:style>
  <w:style w:type="paragraph" w:customStyle="1" w:styleId="Partref">
    <w:name w:val="Part_ref"/>
    <w:basedOn w:val="Annexref"/>
    <w:next w:val="Normalaftertitle"/>
    <w:rsid w:val="00C35BC0"/>
  </w:style>
  <w:style w:type="paragraph" w:customStyle="1" w:styleId="RecNo">
    <w:name w:val="Rec_No"/>
    <w:basedOn w:val="Normal"/>
    <w:next w:val="Rectitle"/>
    <w:rsid w:val="00C35BC0"/>
    <w:pPr>
      <w:keepNext/>
      <w:keepLines/>
      <w:spacing w:before="480"/>
      <w:jc w:val="center"/>
    </w:pPr>
    <w:rPr>
      <w:caps/>
      <w:sz w:val="26"/>
    </w:rPr>
  </w:style>
  <w:style w:type="paragraph" w:customStyle="1" w:styleId="Rectitle">
    <w:name w:val="Rec_title"/>
    <w:basedOn w:val="RecNo"/>
    <w:next w:val="Recref"/>
    <w:rsid w:val="00C35BC0"/>
    <w:pPr>
      <w:spacing w:before="240"/>
    </w:pPr>
    <w:rPr>
      <w:b/>
      <w:caps w:val="0"/>
    </w:rPr>
  </w:style>
  <w:style w:type="paragraph" w:customStyle="1" w:styleId="Recref">
    <w:name w:val="Rec_ref"/>
    <w:basedOn w:val="Rectitle"/>
    <w:next w:val="Recdate"/>
    <w:rsid w:val="00C35BC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C35BC0"/>
    <w:pPr>
      <w:jc w:val="right"/>
    </w:pPr>
    <w:rPr>
      <w:sz w:val="22"/>
    </w:rPr>
  </w:style>
  <w:style w:type="paragraph" w:customStyle="1" w:styleId="Questiondate">
    <w:name w:val="Question_date"/>
    <w:basedOn w:val="Recdate"/>
    <w:next w:val="Normalaftertitle"/>
    <w:rsid w:val="00C35BC0"/>
  </w:style>
  <w:style w:type="paragraph" w:customStyle="1" w:styleId="QuestionNo">
    <w:name w:val="Question_No"/>
    <w:basedOn w:val="RecNo"/>
    <w:next w:val="Questiontitle"/>
    <w:rsid w:val="00C35BC0"/>
  </w:style>
  <w:style w:type="paragraph" w:customStyle="1" w:styleId="Questionref">
    <w:name w:val="Question_ref"/>
    <w:basedOn w:val="Recref"/>
    <w:next w:val="Questiondate"/>
    <w:rsid w:val="00C35BC0"/>
  </w:style>
  <w:style w:type="paragraph" w:customStyle="1" w:styleId="Questiontitle">
    <w:name w:val="Question_title"/>
    <w:basedOn w:val="Rectitle"/>
    <w:next w:val="Questionref"/>
    <w:rsid w:val="00C35BC0"/>
  </w:style>
  <w:style w:type="paragraph" w:customStyle="1" w:styleId="Reftext">
    <w:name w:val="Ref_text"/>
    <w:basedOn w:val="Normal"/>
    <w:rsid w:val="00C35BC0"/>
    <w:pPr>
      <w:ind w:left="794" w:hanging="794"/>
    </w:pPr>
  </w:style>
  <w:style w:type="paragraph" w:customStyle="1" w:styleId="Reftitle">
    <w:name w:val="Ref_title"/>
    <w:basedOn w:val="Normal"/>
    <w:next w:val="Reftext"/>
    <w:rsid w:val="00C35BC0"/>
    <w:pPr>
      <w:spacing w:before="480"/>
      <w:jc w:val="center"/>
    </w:pPr>
    <w:rPr>
      <w:caps/>
    </w:rPr>
  </w:style>
  <w:style w:type="paragraph" w:customStyle="1" w:styleId="Repdate">
    <w:name w:val="Rep_date"/>
    <w:basedOn w:val="Recdate"/>
    <w:next w:val="Normalaftertitle"/>
    <w:rsid w:val="00C35BC0"/>
  </w:style>
  <w:style w:type="paragraph" w:customStyle="1" w:styleId="RepNo">
    <w:name w:val="Rep_No"/>
    <w:basedOn w:val="RecNo"/>
    <w:next w:val="Reptitle"/>
    <w:rsid w:val="00C35BC0"/>
  </w:style>
  <w:style w:type="paragraph" w:customStyle="1" w:styleId="Reptitle">
    <w:name w:val="Rep_title"/>
    <w:basedOn w:val="Rectitle"/>
    <w:next w:val="Repref"/>
    <w:rsid w:val="00C35BC0"/>
  </w:style>
  <w:style w:type="paragraph" w:customStyle="1" w:styleId="Repref">
    <w:name w:val="Rep_ref"/>
    <w:basedOn w:val="Recref"/>
    <w:next w:val="Repdate"/>
    <w:rsid w:val="00C35BC0"/>
  </w:style>
  <w:style w:type="paragraph" w:customStyle="1" w:styleId="Resdate">
    <w:name w:val="Res_date"/>
    <w:basedOn w:val="Recdate"/>
    <w:next w:val="Normalaftertitle"/>
    <w:rsid w:val="00C35BC0"/>
  </w:style>
  <w:style w:type="paragraph" w:customStyle="1" w:styleId="ResNo">
    <w:name w:val="Res_No"/>
    <w:basedOn w:val="RecNo"/>
    <w:next w:val="Restitle"/>
    <w:rsid w:val="00C35BC0"/>
  </w:style>
  <w:style w:type="paragraph" w:customStyle="1" w:styleId="Restitle">
    <w:name w:val="Res_title"/>
    <w:basedOn w:val="Rectitle"/>
    <w:next w:val="Resref"/>
    <w:rsid w:val="00C35BC0"/>
  </w:style>
  <w:style w:type="paragraph" w:customStyle="1" w:styleId="Resref">
    <w:name w:val="Res_ref"/>
    <w:basedOn w:val="Recref"/>
    <w:next w:val="Resdate"/>
    <w:rsid w:val="00C35BC0"/>
  </w:style>
  <w:style w:type="paragraph" w:customStyle="1" w:styleId="SectionNo">
    <w:name w:val="Section_No"/>
    <w:basedOn w:val="AnnexNo"/>
    <w:next w:val="Sectiontitle"/>
    <w:rsid w:val="00C35BC0"/>
  </w:style>
  <w:style w:type="paragraph" w:customStyle="1" w:styleId="Sectiontitle">
    <w:name w:val="Section_title"/>
    <w:basedOn w:val="Normal"/>
    <w:next w:val="Normalaftertitle"/>
    <w:rsid w:val="00C35BC0"/>
    <w:rPr>
      <w:sz w:val="26"/>
    </w:rPr>
  </w:style>
  <w:style w:type="paragraph" w:customStyle="1" w:styleId="SpecialFooter">
    <w:name w:val="Special Footer"/>
    <w:basedOn w:val="Footer"/>
    <w:rsid w:val="00C35BC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C35BC0"/>
    <w:pPr>
      <w:keepNext/>
      <w:spacing w:before="80" w:after="80"/>
      <w:jc w:val="center"/>
    </w:pPr>
    <w:rPr>
      <w:b/>
    </w:rPr>
  </w:style>
  <w:style w:type="paragraph" w:customStyle="1" w:styleId="Tablelegend">
    <w:name w:val="Table_legend"/>
    <w:basedOn w:val="Tabletext"/>
    <w:rsid w:val="00C35BC0"/>
    <w:pPr>
      <w:spacing w:before="120"/>
    </w:pPr>
  </w:style>
  <w:style w:type="paragraph" w:customStyle="1" w:styleId="Tableref">
    <w:name w:val="Table_ref"/>
    <w:basedOn w:val="Normal"/>
    <w:next w:val="Tabletitle"/>
    <w:rsid w:val="00C35BC0"/>
    <w:pPr>
      <w:keepNext/>
      <w:spacing w:before="567"/>
      <w:jc w:val="center"/>
    </w:pPr>
  </w:style>
  <w:style w:type="paragraph" w:customStyle="1" w:styleId="Artheading">
    <w:name w:val="Art_heading"/>
    <w:basedOn w:val="Normal"/>
    <w:next w:val="Normalaftertitle"/>
    <w:rsid w:val="00C35BC0"/>
    <w:pPr>
      <w:spacing w:before="480"/>
      <w:jc w:val="center"/>
    </w:pPr>
    <w:rPr>
      <w:rFonts w:ascii="Times New Roman Bold" w:hAnsi="Times New Roman Bold"/>
      <w:b/>
      <w:sz w:val="26"/>
    </w:rPr>
  </w:style>
  <w:style w:type="paragraph" w:customStyle="1" w:styleId="ArtNo">
    <w:name w:val="Art_No"/>
    <w:basedOn w:val="Normal"/>
    <w:next w:val="Normal"/>
    <w:rsid w:val="00C35BC0"/>
    <w:pPr>
      <w:keepNext/>
      <w:keepLines/>
      <w:spacing w:before="480"/>
      <w:jc w:val="center"/>
    </w:pPr>
    <w:rPr>
      <w:caps/>
      <w:sz w:val="26"/>
    </w:rPr>
  </w:style>
  <w:style w:type="paragraph" w:customStyle="1" w:styleId="Arttitle">
    <w:name w:val="Art_title"/>
    <w:basedOn w:val="Normal"/>
    <w:next w:val="Normalaftertitle"/>
    <w:rsid w:val="00C35BC0"/>
    <w:pPr>
      <w:keepNext/>
      <w:keepLines/>
      <w:spacing w:before="240"/>
      <w:jc w:val="center"/>
    </w:pPr>
    <w:rPr>
      <w:b/>
      <w:sz w:val="26"/>
    </w:rPr>
  </w:style>
  <w:style w:type="paragraph" w:customStyle="1" w:styleId="ChapNo">
    <w:name w:val="Chap_No"/>
    <w:basedOn w:val="ArtNo"/>
    <w:next w:val="Chaptitle"/>
    <w:rsid w:val="00C35BC0"/>
    <w:rPr>
      <w:b/>
    </w:rPr>
  </w:style>
  <w:style w:type="paragraph" w:customStyle="1" w:styleId="Chaptitle">
    <w:name w:val="Chap_title"/>
    <w:basedOn w:val="Arttitle"/>
    <w:next w:val="Normalaftertitle"/>
    <w:rsid w:val="00C35BC0"/>
  </w:style>
  <w:style w:type="paragraph" w:customStyle="1" w:styleId="firstfooter0">
    <w:name w:val="firstfooter"/>
    <w:basedOn w:val="Normal"/>
    <w:rsid w:val="00813E5E"/>
    <w:pPr>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6535F1"/>
    <w:pPr>
      <w:keepNext/>
      <w:overflowPunct/>
      <w:autoSpaceDE/>
      <w:autoSpaceDN/>
      <w:adjustRightInd/>
      <w:spacing w:before="560" w:after="120"/>
      <w:jc w:val="center"/>
      <w:textAlignment w:val="auto"/>
    </w:pPr>
    <w:rPr>
      <w:rFonts w:ascii="Times New Roman" w:hAnsi="Times New Roman"/>
      <w:caps/>
    </w:rPr>
  </w:style>
  <w:style w:type="character" w:customStyle="1" w:styleId="NormalaftertitleChar">
    <w:name w:val="Normal after title Char"/>
    <w:basedOn w:val="DefaultParagraphFont"/>
    <w:link w:val="Normalaftertitle"/>
    <w:rsid w:val="00E01FDA"/>
    <w:rPr>
      <w:rFonts w:ascii="Calibri" w:hAnsi="Calibri"/>
      <w:sz w:val="22"/>
      <w:lang w:val="en-GB" w:eastAsia="en-US"/>
    </w:rPr>
  </w:style>
  <w:style w:type="paragraph" w:styleId="ListParagraph">
    <w:name w:val="List Paragraph"/>
    <w:basedOn w:val="Normal"/>
    <w:link w:val="ListParagraphChar"/>
    <w:uiPriority w:val="34"/>
    <w:qFormat/>
    <w:rsid w:val="00E01FDA"/>
    <w:pPr>
      <w:overflowPunct/>
      <w:autoSpaceDE/>
      <w:autoSpaceDN/>
      <w:adjustRightInd/>
      <w:spacing w:before="0" w:after="160" w:line="259" w:lineRule="auto"/>
      <w:ind w:left="720"/>
      <w:contextualSpacing/>
      <w:textAlignment w:val="auto"/>
    </w:pPr>
    <w:rPr>
      <w:rFonts w:asciiTheme="minorHAnsi" w:eastAsiaTheme="minorEastAsia" w:hAnsiTheme="minorHAnsi" w:cstheme="minorBidi"/>
      <w:szCs w:val="22"/>
      <w:lang w:val="en-US" w:eastAsia="zh-CN"/>
    </w:rPr>
  </w:style>
  <w:style w:type="paragraph" w:styleId="BalloonText">
    <w:name w:val="Balloon Text"/>
    <w:basedOn w:val="Normal"/>
    <w:link w:val="BalloonTextChar"/>
    <w:uiPriority w:val="99"/>
    <w:rsid w:val="00C35BC0"/>
    <w:rPr>
      <w:rFonts w:ascii="Tahoma" w:hAnsi="Tahoma" w:cs="Tahoma"/>
      <w:sz w:val="16"/>
      <w:szCs w:val="16"/>
    </w:rPr>
  </w:style>
  <w:style w:type="character" w:customStyle="1" w:styleId="BalloonTextChar">
    <w:name w:val="Balloon Text Char"/>
    <w:basedOn w:val="DefaultParagraphFont"/>
    <w:link w:val="BalloonText"/>
    <w:uiPriority w:val="99"/>
    <w:rsid w:val="001E7C40"/>
    <w:rPr>
      <w:rFonts w:ascii="Tahoma" w:hAnsi="Tahoma" w:cs="Tahoma"/>
      <w:sz w:val="16"/>
      <w:szCs w:val="16"/>
      <w:lang w:val="en-GB" w:eastAsia="en-US"/>
    </w:rPr>
  </w:style>
  <w:style w:type="character" w:customStyle="1" w:styleId="FooterChar">
    <w:name w:val="Footer Char"/>
    <w:basedOn w:val="DefaultParagraphFont"/>
    <w:link w:val="Footer"/>
    <w:uiPriority w:val="99"/>
    <w:rsid w:val="0096383C"/>
    <w:rPr>
      <w:rFonts w:ascii="Calibri" w:hAnsi="Calibri"/>
      <w:caps/>
      <w:noProof/>
      <w:sz w:val="16"/>
      <w:lang w:val="fr-FR" w:eastAsia="en-US"/>
    </w:rPr>
  </w:style>
  <w:style w:type="paragraph" w:customStyle="1" w:styleId="Body">
    <w:name w:val="Body"/>
    <w:rsid w:val="00DD21F7"/>
    <w:rPr>
      <w:rFonts w:ascii="Helvetica" w:eastAsia="ヒラギノ角ゴ Pro W3" w:hAnsi="Helvetica"/>
      <w:color w:val="000000"/>
      <w:sz w:val="24"/>
      <w:lang w:eastAsia="en-US"/>
    </w:rPr>
  </w:style>
  <w:style w:type="paragraph" w:customStyle="1" w:styleId="call0">
    <w:name w:val="call"/>
    <w:basedOn w:val="Normal"/>
    <w:next w:val="Normal"/>
    <w:rsid w:val="00DD21F7"/>
    <w:pPr>
      <w:keepNext/>
      <w:keepLines/>
      <w:tabs>
        <w:tab w:val="clear" w:pos="794"/>
        <w:tab w:val="clear" w:pos="1191"/>
        <w:tab w:val="clear" w:pos="1588"/>
        <w:tab w:val="clear" w:pos="1985"/>
        <w:tab w:val="left" w:pos="567"/>
        <w:tab w:val="left" w:pos="1134"/>
        <w:tab w:val="left" w:pos="1701"/>
        <w:tab w:val="left" w:pos="2268"/>
        <w:tab w:val="left" w:pos="2835"/>
      </w:tabs>
      <w:spacing w:before="160"/>
      <w:ind w:left="794" w:hanging="357"/>
    </w:pPr>
    <w:rPr>
      <w:i/>
      <w:sz w:val="24"/>
    </w:rPr>
  </w:style>
  <w:style w:type="character" w:customStyle="1" w:styleId="A1">
    <w:name w:val="A1"/>
    <w:uiPriority w:val="99"/>
    <w:rsid w:val="00F333EF"/>
    <w:rPr>
      <w:color w:val="000000"/>
      <w:sz w:val="22"/>
      <w:szCs w:val="22"/>
    </w:rPr>
  </w:style>
  <w:style w:type="table" w:styleId="TableGrid">
    <w:name w:val="Table Grid"/>
    <w:basedOn w:val="TableNormal"/>
    <w:rsid w:val="003B73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base">
    <w:name w:val="testo base"/>
    <w:basedOn w:val="ListParagraph"/>
    <w:link w:val="testobaseCarattere"/>
    <w:qFormat/>
    <w:rsid w:val="006547B1"/>
    <w:pPr>
      <w:numPr>
        <w:numId w:val="1"/>
      </w:numPr>
      <w:tabs>
        <w:tab w:val="clear" w:pos="794"/>
        <w:tab w:val="clear" w:pos="1191"/>
        <w:tab w:val="clear" w:pos="1588"/>
        <w:tab w:val="clear" w:pos="1985"/>
      </w:tabs>
      <w:adjustRightInd w:val="0"/>
      <w:spacing w:before="120" w:after="0" w:line="319" w:lineRule="auto"/>
      <w:ind w:left="425" w:hanging="425"/>
      <w:contextualSpacing w:val="0"/>
      <w:jc w:val="both"/>
    </w:pPr>
    <w:rPr>
      <w:rFonts w:ascii="Times New Roman" w:eastAsiaTheme="minorHAnsi" w:hAnsi="Times New Roman" w:cs="Times New Roman"/>
      <w:sz w:val="24"/>
      <w:szCs w:val="24"/>
      <w:lang w:val="en-GB" w:eastAsia="it-IT"/>
    </w:rPr>
  </w:style>
  <w:style w:type="character" w:customStyle="1" w:styleId="testobaseCarattere">
    <w:name w:val="testo base Carattere"/>
    <w:basedOn w:val="DefaultParagraphFont"/>
    <w:link w:val="testobase"/>
    <w:rsid w:val="006547B1"/>
    <w:rPr>
      <w:rFonts w:ascii="Times New Roman" w:eastAsiaTheme="minorHAnsi" w:hAnsi="Times New Roman"/>
      <w:sz w:val="24"/>
      <w:szCs w:val="24"/>
      <w:lang w:val="en-GB" w:eastAsia="it-IT"/>
    </w:rPr>
  </w:style>
  <w:style w:type="paragraph" w:customStyle="1" w:styleId="recesugg">
    <w:name w:val="rec e sugg"/>
    <w:basedOn w:val="testobase"/>
    <w:qFormat/>
    <w:rsid w:val="006547B1"/>
    <w:pPr>
      <w:pBdr>
        <w:top w:val="single" w:sz="4" w:space="1" w:color="auto"/>
        <w:left w:val="single" w:sz="4" w:space="4" w:color="auto"/>
        <w:bottom w:val="single" w:sz="4" w:space="1" w:color="auto"/>
        <w:right w:val="single" w:sz="4" w:space="4" w:color="auto"/>
      </w:pBdr>
    </w:pPr>
  </w:style>
  <w:style w:type="paragraph" w:customStyle="1" w:styleId="titolorecesug">
    <w:name w:val="titolo rec e sug"/>
    <w:basedOn w:val="Normal"/>
    <w:qFormat/>
    <w:rsid w:val="006547B1"/>
    <w:pPr>
      <w:keepNext/>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b/>
      <w:bCs/>
      <w:sz w:val="24"/>
      <w:szCs w:val="24"/>
    </w:rPr>
  </w:style>
  <w:style w:type="paragraph" w:customStyle="1" w:styleId="titcomments">
    <w:name w:val="tit comments"/>
    <w:basedOn w:val="titolorecesug"/>
    <w:qFormat/>
    <w:rsid w:val="008D2060"/>
    <w:rPr>
      <w:u w:val="single"/>
    </w:rPr>
  </w:style>
  <w:style w:type="paragraph" w:customStyle="1" w:styleId="comments">
    <w:name w:val="comments"/>
    <w:basedOn w:val="Normal"/>
    <w:next w:val="Normal"/>
    <w:qFormat/>
    <w:rsid w:val="00C7645B"/>
    <w:pPr>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sz w:val="24"/>
      <w:szCs w:val="24"/>
    </w:rPr>
  </w:style>
  <w:style w:type="character" w:customStyle="1" w:styleId="Heading1Char">
    <w:name w:val="Heading 1 Char"/>
    <w:basedOn w:val="DefaultParagraphFont"/>
    <w:link w:val="Heading1"/>
    <w:uiPriority w:val="9"/>
    <w:rsid w:val="00810A7E"/>
    <w:rPr>
      <w:rFonts w:ascii="Calibri" w:hAnsi="Calibri"/>
      <w:b/>
      <w:sz w:val="22"/>
      <w:lang w:val="en-GB" w:eastAsia="en-US"/>
    </w:rPr>
  </w:style>
  <w:style w:type="character" w:customStyle="1" w:styleId="Heading2Char">
    <w:name w:val="Heading 2 Char"/>
    <w:basedOn w:val="DefaultParagraphFont"/>
    <w:link w:val="Heading2"/>
    <w:uiPriority w:val="9"/>
    <w:rsid w:val="00810A7E"/>
    <w:rPr>
      <w:rFonts w:ascii="Calibri" w:hAnsi="Calibri"/>
      <w:b/>
      <w:sz w:val="22"/>
      <w:lang w:val="en-GB" w:eastAsia="en-US"/>
    </w:rPr>
  </w:style>
  <w:style w:type="character" w:customStyle="1" w:styleId="Heading3Char">
    <w:name w:val="Heading 3 Char"/>
    <w:basedOn w:val="DefaultParagraphFont"/>
    <w:link w:val="Heading3"/>
    <w:uiPriority w:val="9"/>
    <w:rsid w:val="00810A7E"/>
    <w:rPr>
      <w:rFonts w:ascii="Times New Roman Bold" w:hAnsi="Times New Roman Bold"/>
      <w:b/>
      <w:i/>
      <w:sz w:val="22"/>
      <w:lang w:val="en-GB" w:eastAsia="en-US"/>
    </w:rPr>
  </w:style>
  <w:style w:type="character" w:customStyle="1" w:styleId="Heading4Char">
    <w:name w:val="Heading 4 Char"/>
    <w:basedOn w:val="DefaultParagraphFont"/>
    <w:link w:val="Heading4"/>
    <w:rsid w:val="00810A7E"/>
    <w:rPr>
      <w:rFonts w:ascii="Times New Roman Bold" w:hAnsi="Times New Roman Bold"/>
      <w:i/>
      <w:sz w:val="22"/>
      <w:lang w:val="en-GB" w:eastAsia="en-US"/>
    </w:rPr>
  </w:style>
  <w:style w:type="character" w:customStyle="1" w:styleId="Heading5Char">
    <w:name w:val="Heading 5 Char"/>
    <w:basedOn w:val="DefaultParagraphFont"/>
    <w:link w:val="Heading5"/>
    <w:rsid w:val="00810A7E"/>
    <w:rPr>
      <w:rFonts w:ascii="Times New Roman Bold" w:hAnsi="Times New Roman Bold"/>
      <w:i/>
      <w:sz w:val="22"/>
      <w:lang w:val="en-GB" w:eastAsia="en-US"/>
    </w:rPr>
  </w:style>
  <w:style w:type="character" w:customStyle="1" w:styleId="Heading6Char">
    <w:name w:val="Heading 6 Char"/>
    <w:basedOn w:val="DefaultParagraphFont"/>
    <w:link w:val="Heading6"/>
    <w:rsid w:val="00810A7E"/>
    <w:rPr>
      <w:rFonts w:ascii="Times New Roman Bold" w:hAnsi="Times New Roman Bold"/>
      <w:i/>
      <w:sz w:val="22"/>
      <w:lang w:val="en-GB" w:eastAsia="en-US"/>
    </w:rPr>
  </w:style>
  <w:style w:type="character" w:customStyle="1" w:styleId="Heading7Char">
    <w:name w:val="Heading 7 Char"/>
    <w:basedOn w:val="DefaultParagraphFont"/>
    <w:link w:val="Heading7"/>
    <w:rsid w:val="00810A7E"/>
    <w:rPr>
      <w:rFonts w:ascii="Times New Roman Bold" w:hAnsi="Times New Roman Bold"/>
      <w:i/>
      <w:sz w:val="22"/>
      <w:lang w:val="en-GB" w:eastAsia="en-US"/>
    </w:rPr>
  </w:style>
  <w:style w:type="character" w:customStyle="1" w:styleId="Heading8Char">
    <w:name w:val="Heading 8 Char"/>
    <w:basedOn w:val="DefaultParagraphFont"/>
    <w:link w:val="Heading8"/>
    <w:rsid w:val="00810A7E"/>
    <w:rPr>
      <w:rFonts w:ascii="Times New Roman Bold" w:hAnsi="Times New Roman Bold"/>
      <w:i/>
      <w:sz w:val="22"/>
      <w:lang w:val="en-GB" w:eastAsia="en-US"/>
    </w:rPr>
  </w:style>
  <w:style w:type="character" w:customStyle="1" w:styleId="Heading9Char">
    <w:name w:val="Heading 9 Char"/>
    <w:basedOn w:val="DefaultParagraphFont"/>
    <w:link w:val="Heading9"/>
    <w:rsid w:val="00810A7E"/>
    <w:rPr>
      <w:rFonts w:ascii="Times New Roman Bold" w:hAnsi="Times New Roman Bold"/>
      <w:i/>
      <w:sz w:val="22"/>
      <w:lang w:val="en-GB" w:eastAsia="en-US"/>
    </w:rPr>
  </w:style>
  <w:style w:type="character" w:customStyle="1" w:styleId="HeaderChar">
    <w:name w:val="Header Char"/>
    <w:basedOn w:val="DefaultParagraphFont"/>
    <w:link w:val="Header"/>
    <w:uiPriority w:val="99"/>
    <w:rsid w:val="00810A7E"/>
    <w:rPr>
      <w:rFonts w:ascii="Calibri" w:hAnsi="Calibri"/>
      <w:sz w:val="18"/>
      <w:lang w:val="fr-FR" w:eastAsia="en-US"/>
    </w:rPr>
  </w:style>
  <w:style w:type="character" w:customStyle="1" w:styleId="FootnoteTextChar">
    <w:name w:val="Footnote Text Char"/>
    <w:basedOn w:val="DefaultParagraphFont"/>
    <w:link w:val="FootnoteText"/>
    <w:rsid w:val="00810A7E"/>
    <w:rPr>
      <w:rFonts w:ascii="Calibri" w:hAnsi="Calibri"/>
      <w:lang w:val="en-GB" w:eastAsia="en-US"/>
    </w:rPr>
  </w:style>
  <w:style w:type="table" w:customStyle="1" w:styleId="TableGrid1">
    <w:name w:val="Table Grid1"/>
    <w:basedOn w:val="TableNormal"/>
    <w:next w:val="TableGrid"/>
    <w:uiPriority w:val="59"/>
    <w:rsid w:val="00810A7E"/>
    <w:rPr>
      <w:rFonts w:asciiTheme="minorHAnsi" w:eastAsiaTheme="minorHAnsi" w:hAnsiTheme="minorHAnsi" w:cstheme="minorBidi"/>
      <w:sz w:val="22"/>
      <w:szCs w:val="22"/>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ncopuntato1">
    <w:name w:val="elenco puntato 1"/>
    <w:basedOn w:val="ListParagraph"/>
    <w:link w:val="elencopuntato1Carattere"/>
    <w:qFormat/>
    <w:rsid w:val="00810A7E"/>
    <w:pPr>
      <w:numPr>
        <w:numId w:val="2"/>
      </w:numPr>
      <w:tabs>
        <w:tab w:val="clear" w:pos="794"/>
        <w:tab w:val="clear" w:pos="1191"/>
        <w:tab w:val="clear" w:pos="1588"/>
        <w:tab w:val="clear" w:pos="1985"/>
      </w:tabs>
      <w:adjustRightInd w:val="0"/>
      <w:spacing w:before="120" w:after="0" w:line="319" w:lineRule="auto"/>
      <w:ind w:left="709" w:hanging="284"/>
      <w:contextualSpacing w:val="0"/>
      <w:jc w:val="both"/>
    </w:pPr>
    <w:rPr>
      <w:rFonts w:ascii="Times New Roman" w:eastAsiaTheme="minorHAnsi" w:hAnsi="Times New Roman" w:cs="Times New Roman"/>
      <w:sz w:val="24"/>
      <w:szCs w:val="24"/>
      <w:lang w:val="en-GB" w:eastAsia="it-IT"/>
    </w:rPr>
  </w:style>
  <w:style w:type="character" w:customStyle="1" w:styleId="elencopuntato1Carattere">
    <w:name w:val="elenco puntato 1 Carattere"/>
    <w:basedOn w:val="DefaultParagraphFont"/>
    <w:link w:val="elencopuntato1"/>
    <w:rsid w:val="00810A7E"/>
    <w:rPr>
      <w:rFonts w:ascii="Times New Roman" w:eastAsiaTheme="minorHAnsi" w:hAnsi="Times New Roman"/>
      <w:sz w:val="24"/>
      <w:szCs w:val="24"/>
      <w:lang w:val="en-GB" w:eastAsia="it-IT"/>
    </w:rPr>
  </w:style>
  <w:style w:type="paragraph" w:customStyle="1" w:styleId="recesug">
    <w:name w:val="rec e sug"/>
    <w:basedOn w:val="testobase"/>
    <w:next w:val="Normal"/>
    <w:qFormat/>
    <w:rsid w:val="00810A7E"/>
    <w:pPr>
      <w:keepLines/>
      <w:numPr>
        <w:numId w:val="3"/>
      </w:numPr>
      <w:pBdr>
        <w:top w:val="single" w:sz="4" w:space="1" w:color="auto"/>
        <w:left w:val="single" w:sz="4" w:space="4" w:color="auto"/>
        <w:bottom w:val="single" w:sz="4" w:space="1" w:color="auto"/>
        <w:right w:val="single" w:sz="4" w:space="4" w:color="auto"/>
      </w:pBdr>
      <w:ind w:left="425" w:hanging="425"/>
    </w:pPr>
  </w:style>
  <w:style w:type="character" w:customStyle="1" w:styleId="enumlev1Char">
    <w:name w:val="enumlev1 Char"/>
    <w:basedOn w:val="DefaultParagraphFont"/>
    <w:link w:val="enumlev1"/>
    <w:rsid w:val="00810A7E"/>
    <w:rPr>
      <w:rFonts w:ascii="Calibri" w:hAnsi="Calibri"/>
      <w:sz w:val="22"/>
      <w:lang w:val="en-GB" w:eastAsia="en-US"/>
    </w:rPr>
  </w:style>
  <w:style w:type="character" w:customStyle="1" w:styleId="ListParagraphChar">
    <w:name w:val="List Paragraph Char"/>
    <w:basedOn w:val="DefaultParagraphFont"/>
    <w:link w:val="ListParagraph"/>
    <w:uiPriority w:val="34"/>
    <w:rsid w:val="00810A7E"/>
    <w:rPr>
      <w:rFonts w:asciiTheme="minorHAnsi" w:eastAsiaTheme="minorEastAsia" w:hAnsiTheme="minorHAnsi" w:cstheme="minorBidi"/>
      <w:sz w:val="22"/>
      <w:szCs w:val="22"/>
    </w:rPr>
  </w:style>
  <w:style w:type="paragraph" w:styleId="NormalWeb">
    <w:name w:val="Normal (Web)"/>
    <w:basedOn w:val="Normal"/>
    <w:link w:val="NormalWebChar"/>
    <w:uiPriority w:val="99"/>
    <w:unhideWhenUsed/>
    <w:rsid w:val="00810A7E"/>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sz w:val="24"/>
      <w:szCs w:val="24"/>
    </w:rPr>
  </w:style>
  <w:style w:type="character" w:customStyle="1" w:styleId="NormalWebChar">
    <w:name w:val="Normal (Web) Char"/>
    <w:link w:val="NormalWeb"/>
    <w:uiPriority w:val="99"/>
    <w:locked/>
    <w:rsid w:val="00810A7E"/>
    <w:rPr>
      <w:rFonts w:ascii="Times New Roman" w:eastAsia="SimSun" w:hAnsi="Times New Roman"/>
      <w:sz w:val="24"/>
      <w:szCs w:val="24"/>
      <w:lang w:val="en-GB" w:eastAsia="en-US"/>
    </w:rPr>
  </w:style>
  <w:style w:type="paragraph" w:styleId="TOCHeading">
    <w:name w:val="TOC Heading"/>
    <w:basedOn w:val="Heading1"/>
    <w:next w:val="Normal"/>
    <w:uiPriority w:val="39"/>
    <w:unhideWhenUsed/>
    <w:qFormat/>
    <w:rsid w:val="00810A7E"/>
    <w:pPr>
      <w:spacing w:before="240"/>
      <w:ind w:left="0" w:firstLine="0"/>
      <w:outlineLvl w:val="9"/>
    </w:pPr>
    <w:rPr>
      <w:rFonts w:asciiTheme="majorHAnsi" w:eastAsiaTheme="majorEastAsia" w:hAnsiTheme="majorHAnsi" w:cstheme="majorBidi"/>
      <w:b w:val="0"/>
      <w:color w:val="365F91" w:themeColor="accent1" w:themeShade="BF"/>
      <w:sz w:val="32"/>
      <w:szCs w:val="32"/>
    </w:rPr>
  </w:style>
  <w:style w:type="paragraph" w:customStyle="1" w:styleId="Style1">
    <w:name w:val="Style1"/>
    <w:basedOn w:val="Normal"/>
    <w:link w:val="Style1Char"/>
    <w:qFormat/>
    <w:rsid w:val="00810A7E"/>
    <w:pPr>
      <w:tabs>
        <w:tab w:val="clear" w:pos="794"/>
        <w:tab w:val="clear" w:pos="1191"/>
        <w:tab w:val="clear" w:pos="1588"/>
        <w:tab w:val="clear" w:pos="1985"/>
      </w:tabs>
      <w:overflowPunct/>
      <w:autoSpaceDE/>
      <w:autoSpaceDN/>
      <w:spacing w:line="319" w:lineRule="auto"/>
      <w:contextualSpacing/>
      <w:jc w:val="both"/>
      <w:textAlignment w:val="auto"/>
    </w:pPr>
    <w:rPr>
      <w:rFonts w:asciiTheme="majorBidi" w:eastAsiaTheme="minorHAnsi" w:hAnsiTheme="majorBidi" w:cstheme="majorBidi"/>
      <w:b/>
      <w:bCs/>
      <w:sz w:val="24"/>
      <w:szCs w:val="24"/>
      <w:lang w:val="en-US"/>
    </w:rPr>
  </w:style>
  <w:style w:type="character" w:customStyle="1" w:styleId="Style1Char">
    <w:name w:val="Style1 Char"/>
    <w:basedOn w:val="DefaultParagraphFont"/>
    <w:link w:val="Style1"/>
    <w:rsid w:val="00810A7E"/>
    <w:rPr>
      <w:rFonts w:asciiTheme="majorBidi" w:eastAsiaTheme="minorHAnsi" w:hAnsiTheme="majorBidi" w:cstheme="majorBidi"/>
      <w:b/>
      <w:bCs/>
      <w:sz w:val="24"/>
      <w:szCs w:val="24"/>
      <w:lang w:eastAsia="en-US"/>
    </w:rPr>
  </w:style>
  <w:style w:type="character" w:customStyle="1" w:styleId="CharacterStyle17">
    <w:name w:val="Character Style 17"/>
    <w:uiPriority w:val="99"/>
    <w:rsid w:val="00810A7E"/>
    <w:rPr>
      <w:sz w:val="20"/>
    </w:rPr>
  </w:style>
  <w:style w:type="character" w:customStyle="1" w:styleId="hps">
    <w:name w:val="hps"/>
    <w:basedOn w:val="DefaultParagraphFont"/>
    <w:rsid w:val="00810A7E"/>
  </w:style>
  <w:style w:type="character" w:customStyle="1" w:styleId="shorttext">
    <w:name w:val="short_text"/>
    <w:basedOn w:val="DefaultParagraphFont"/>
    <w:rsid w:val="00810A7E"/>
  </w:style>
  <w:style w:type="character" w:styleId="Strong">
    <w:name w:val="Strong"/>
    <w:basedOn w:val="DefaultParagraphFont"/>
    <w:uiPriority w:val="22"/>
    <w:qFormat/>
    <w:rsid w:val="00810A7E"/>
    <w:rPr>
      <w:b/>
      <w:bCs/>
    </w:rPr>
  </w:style>
  <w:style w:type="paragraph" w:customStyle="1" w:styleId="testorientrato">
    <w:name w:val="testo rientrato"/>
    <w:basedOn w:val="testobase"/>
    <w:qFormat/>
    <w:rsid w:val="00810A7E"/>
    <w:pPr>
      <w:numPr>
        <w:numId w:val="0"/>
      </w:numPr>
      <w:ind w:left="425"/>
    </w:pPr>
    <w:rPr>
      <w:iCs/>
    </w:rPr>
  </w:style>
  <w:style w:type="character" w:customStyle="1" w:styleId="CommentTextChar">
    <w:name w:val="Comment Text Char"/>
    <w:basedOn w:val="DefaultParagraphFont"/>
    <w:link w:val="CommentText"/>
    <w:uiPriority w:val="99"/>
    <w:semiHidden/>
    <w:rsid w:val="00810A7E"/>
    <w:rPr>
      <w:rFonts w:asciiTheme="majorBidi" w:eastAsiaTheme="minorHAnsi" w:hAnsiTheme="majorBidi" w:cstheme="majorBidi"/>
      <w:lang w:eastAsia="en-US"/>
    </w:rPr>
  </w:style>
  <w:style w:type="paragraph" w:styleId="CommentText">
    <w:name w:val="annotation text"/>
    <w:basedOn w:val="Normal"/>
    <w:link w:val="CommentTextChar"/>
    <w:uiPriority w:val="99"/>
    <w:semiHidden/>
    <w:unhideWhenUsed/>
    <w:rsid w:val="00810A7E"/>
    <w:pPr>
      <w:tabs>
        <w:tab w:val="clear" w:pos="794"/>
        <w:tab w:val="clear" w:pos="1191"/>
        <w:tab w:val="clear" w:pos="1588"/>
        <w:tab w:val="clear" w:pos="1985"/>
      </w:tabs>
      <w:overflowPunct/>
      <w:autoSpaceDE/>
      <w:autoSpaceDN/>
      <w:jc w:val="both"/>
      <w:textAlignment w:val="auto"/>
    </w:pPr>
    <w:rPr>
      <w:rFonts w:asciiTheme="majorBidi" w:eastAsiaTheme="minorHAnsi" w:hAnsiTheme="majorBidi" w:cstheme="majorBidi"/>
      <w:sz w:val="20"/>
      <w:lang w:val="en-US"/>
    </w:rPr>
  </w:style>
  <w:style w:type="character" w:customStyle="1" w:styleId="CommentTextChar1">
    <w:name w:val="Comment Text Char1"/>
    <w:basedOn w:val="DefaultParagraphFont"/>
    <w:semiHidden/>
    <w:rsid w:val="00810A7E"/>
    <w:rPr>
      <w:rFonts w:ascii="Calibri" w:hAnsi="Calibri"/>
      <w:lang w:val="en-GB" w:eastAsia="en-US"/>
    </w:rPr>
  </w:style>
  <w:style w:type="character" w:customStyle="1" w:styleId="CommentSubjectChar">
    <w:name w:val="Comment Subject Char"/>
    <w:basedOn w:val="CommentTextChar"/>
    <w:link w:val="CommentSubject"/>
    <w:uiPriority w:val="99"/>
    <w:semiHidden/>
    <w:rsid w:val="00810A7E"/>
    <w:rPr>
      <w:rFonts w:asciiTheme="majorBidi" w:eastAsiaTheme="minorHAnsi" w:hAnsiTheme="majorBidi" w:cstheme="majorBidi"/>
      <w:b/>
      <w:bCs/>
      <w:lang w:eastAsia="en-US"/>
    </w:rPr>
  </w:style>
  <w:style w:type="paragraph" w:styleId="CommentSubject">
    <w:name w:val="annotation subject"/>
    <w:basedOn w:val="CommentText"/>
    <w:next w:val="CommentText"/>
    <w:link w:val="CommentSubjectChar"/>
    <w:uiPriority w:val="99"/>
    <w:semiHidden/>
    <w:unhideWhenUsed/>
    <w:rsid w:val="00810A7E"/>
    <w:rPr>
      <w:b/>
      <w:bCs/>
    </w:rPr>
  </w:style>
  <w:style w:type="character" w:customStyle="1" w:styleId="CommentSubjectChar1">
    <w:name w:val="Comment Subject Char1"/>
    <w:basedOn w:val="CommentTextChar1"/>
    <w:semiHidden/>
    <w:rsid w:val="00810A7E"/>
    <w:rPr>
      <w:rFonts w:ascii="Calibri" w:hAnsi="Calibri"/>
      <w:b/>
      <w:bCs/>
      <w:lang w:val="en-GB" w:eastAsia="en-US"/>
    </w:rPr>
  </w:style>
  <w:style w:type="paragraph" w:customStyle="1" w:styleId="elencoconlettere1">
    <w:name w:val="elenco con lettere 1"/>
    <w:basedOn w:val="Normal"/>
    <w:qFormat/>
    <w:rsid w:val="00810A7E"/>
    <w:pPr>
      <w:tabs>
        <w:tab w:val="clear" w:pos="794"/>
        <w:tab w:val="clear" w:pos="1191"/>
        <w:tab w:val="clear" w:pos="1588"/>
        <w:tab w:val="clear" w:pos="1985"/>
      </w:tabs>
      <w:overflowPunct/>
      <w:autoSpaceDE/>
      <w:autoSpaceDN/>
      <w:spacing w:line="319" w:lineRule="auto"/>
      <w:ind w:left="709" w:hanging="284"/>
      <w:jc w:val="both"/>
      <w:textAlignment w:val="auto"/>
    </w:pPr>
    <w:rPr>
      <w:rFonts w:asciiTheme="majorBidi" w:eastAsiaTheme="minorHAnsi" w:hAnsiTheme="majorBidi" w:cstheme="majorBidi"/>
      <w:sz w:val="24"/>
      <w:szCs w:val="24"/>
    </w:rPr>
  </w:style>
  <w:style w:type="paragraph" w:customStyle="1" w:styleId="titolorec">
    <w:name w:val="titolo rec"/>
    <w:basedOn w:val="Normal"/>
    <w:next w:val="recesug"/>
    <w:qFormat/>
    <w:rsid w:val="00810A7E"/>
    <w:pPr>
      <w:keepNext/>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ind w:left="360" w:hanging="360"/>
      <w:jc w:val="both"/>
      <w:textAlignment w:val="auto"/>
    </w:pPr>
    <w:rPr>
      <w:rFonts w:asciiTheme="majorBidi" w:eastAsiaTheme="minorHAnsi" w:hAnsiTheme="majorBidi" w:cstheme="majorBidi"/>
      <w:b/>
      <w:bCs/>
      <w:sz w:val="24"/>
      <w:szCs w:val="24"/>
    </w:rPr>
  </w:style>
  <w:style w:type="paragraph" w:customStyle="1" w:styleId="titolosugg">
    <w:name w:val="titolo sugg"/>
    <w:basedOn w:val="titolorec"/>
    <w:next w:val="recesug"/>
    <w:qFormat/>
    <w:rsid w:val="00810A7E"/>
  </w:style>
  <w:style w:type="table" w:customStyle="1" w:styleId="TableGrid2">
    <w:name w:val="Table Grid2"/>
    <w:basedOn w:val="TableNormal"/>
    <w:next w:val="TableGrid"/>
    <w:rsid w:val="00F3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416727">
      <w:bodyDiv w:val="1"/>
      <w:marLeft w:val="0"/>
      <w:marRight w:val="0"/>
      <w:marTop w:val="0"/>
      <w:marBottom w:val="0"/>
      <w:divBdr>
        <w:top w:val="none" w:sz="0" w:space="0" w:color="auto"/>
        <w:left w:val="none" w:sz="0" w:space="0" w:color="auto"/>
        <w:bottom w:val="none" w:sz="0" w:space="0" w:color="auto"/>
        <w:right w:val="none" w:sz="0" w:space="0" w:color="auto"/>
      </w:divBdr>
    </w:div>
    <w:div w:id="1343701928">
      <w:bodyDiv w:val="1"/>
      <w:marLeft w:val="0"/>
      <w:marRight w:val="0"/>
      <w:marTop w:val="0"/>
      <w:marBottom w:val="0"/>
      <w:divBdr>
        <w:top w:val="none" w:sz="0" w:space="0" w:color="auto"/>
        <w:left w:val="none" w:sz="0" w:space="0" w:color="auto"/>
        <w:bottom w:val="none" w:sz="0" w:space="0" w:color="auto"/>
        <w:right w:val="none" w:sz="0" w:space="0" w:color="auto"/>
      </w:divBdr>
    </w:div>
    <w:div w:id="1480027836">
      <w:bodyDiv w:val="1"/>
      <w:marLeft w:val="0"/>
      <w:marRight w:val="0"/>
      <w:marTop w:val="0"/>
      <w:marBottom w:val="0"/>
      <w:divBdr>
        <w:top w:val="none" w:sz="0" w:space="0" w:color="auto"/>
        <w:left w:val="none" w:sz="0" w:space="0" w:color="auto"/>
        <w:bottom w:val="none" w:sz="0" w:space="0" w:color="auto"/>
        <w:right w:val="none" w:sz="0" w:space="0" w:color="auto"/>
      </w:divBdr>
    </w:div>
    <w:div w:id="207083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map.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tu.int/council/finregs/Regl_Fin_10r.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osova\AppData\Roaming\Microsoft\Templates\POOL%20R%20-%20ITU\PR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33D70-825A-4FA9-A461-44A8CD9D4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PR_C17.dotx</Template>
  <TotalTime>229</TotalTime>
  <Pages>48</Pages>
  <Words>14488</Words>
  <Characters>99449</Characters>
  <Application>Microsoft Office Word</Application>
  <DocSecurity>0</DocSecurity>
  <Lines>828</Lines>
  <Paragraphs>227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113710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2015</dc:subject>
  <dc:creator>Brouard, Ricarda</dc:creator>
  <cp:keywords/>
  <dc:description/>
  <cp:lastModifiedBy>Komissarova, Olga</cp:lastModifiedBy>
  <cp:revision>35</cp:revision>
  <cp:lastPrinted>2017-05-19T09:51:00Z</cp:lastPrinted>
  <dcterms:created xsi:type="dcterms:W3CDTF">2017-05-19T09:54:00Z</dcterms:created>
  <dcterms:modified xsi:type="dcterms:W3CDTF">2017-05-19T20:23:00Z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