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E02EB1" w:rsidRPr="005450F5" w:rsidTr="003B113D">
        <w:trPr>
          <w:cantSplit/>
        </w:trPr>
        <w:tc>
          <w:tcPr>
            <w:tcW w:w="6912" w:type="dxa"/>
          </w:tcPr>
          <w:p w:rsidR="00E02EB1" w:rsidRPr="005450F5" w:rsidRDefault="00E02EB1" w:rsidP="00A961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eastAsia="Times New Roman" w:hAnsi="Calibri" w:cs="Times New Roman"/>
                <w:szCs w:val="20"/>
              </w:rPr>
            </w:pPr>
            <w:bookmarkStart w:id="0" w:name="dc06"/>
            <w:bookmarkEnd w:id="0"/>
            <w:r w:rsidRPr="005450F5">
              <w:rPr>
                <w:rFonts w:ascii="Calibri" w:eastAsia="Times New Roman" w:hAnsi="Calibri" w:cs="Times New Roman"/>
                <w:b/>
                <w:bCs/>
                <w:sz w:val="30"/>
                <w:szCs w:val="30"/>
              </w:rPr>
              <w:t>Conseil 2017</w:t>
            </w:r>
            <w:r w:rsidRPr="005450F5">
              <w:rPr>
                <w:rFonts w:ascii="Verdana" w:eastAsia="Times New Roman" w:hAnsi="Verdana" w:cs="Times New Roman"/>
                <w:b/>
                <w:bCs/>
                <w:sz w:val="26"/>
                <w:szCs w:val="26"/>
              </w:rPr>
              <w:br/>
            </w:r>
            <w:r w:rsidRPr="005450F5">
              <w:rPr>
                <w:rFonts w:ascii="Calibri" w:eastAsia="Times New Roman" w:hAnsi="Calibri" w:cs="Times New Roman"/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E02EB1" w:rsidRPr="005450F5" w:rsidRDefault="00E02EB1" w:rsidP="00A961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</w:rPr>
            </w:pPr>
            <w:bookmarkStart w:id="1" w:name="ditulogo"/>
            <w:bookmarkEnd w:id="1"/>
            <w:r w:rsidRPr="005450F5">
              <w:rPr>
                <w:rFonts w:ascii="Calibri" w:eastAsia="Times New Roman" w:hAnsi="Calibri" w:cstheme="minorHAnsi"/>
                <w:b/>
                <w:bCs/>
                <w:noProof/>
                <w:szCs w:val="20"/>
                <w:lang w:val="en-US" w:eastAsia="zh-CN"/>
              </w:rPr>
              <w:drawing>
                <wp:inline distT="0" distB="0" distL="0" distR="0">
                  <wp:extent cx="1777365" cy="690245"/>
                  <wp:effectExtent l="19050" t="0" r="0" b="0"/>
                  <wp:docPr id="1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EB1" w:rsidRPr="005450F5" w:rsidTr="003B113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E02EB1" w:rsidRPr="005450F5" w:rsidRDefault="00E02EB1" w:rsidP="002A7C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02EB1" w:rsidRPr="005450F5" w:rsidRDefault="00E02EB1" w:rsidP="002A7C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</w:p>
        </w:tc>
      </w:tr>
      <w:tr w:rsidR="00E02EB1" w:rsidRPr="005450F5" w:rsidTr="003B113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02EB1" w:rsidRPr="005450F5" w:rsidRDefault="00E02EB1" w:rsidP="002A7C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smallCaps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02EB1" w:rsidRPr="005450F5" w:rsidRDefault="00E02EB1" w:rsidP="002A7C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</w:p>
        </w:tc>
      </w:tr>
      <w:tr w:rsidR="00E02EB1" w:rsidRPr="005450F5" w:rsidTr="003B113D">
        <w:trPr>
          <w:cantSplit/>
          <w:trHeight w:val="20"/>
        </w:trPr>
        <w:tc>
          <w:tcPr>
            <w:tcW w:w="6912" w:type="dxa"/>
            <w:vMerge w:val="restart"/>
          </w:tcPr>
          <w:p w:rsidR="00E02EB1" w:rsidRPr="005450F5" w:rsidRDefault="00E02EB1" w:rsidP="002A7C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5450F5">
              <w:rPr>
                <w:rFonts w:ascii="Calibri" w:eastAsia="Times New Roman" w:hAnsi="Calibri"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5450F5">
              <w:rPr>
                <w:rFonts w:ascii="Calibri" w:eastAsia="Times New Roman" w:hAnsi="Calibri" w:cs="Times"/>
                <w:b/>
                <w:bCs/>
                <w:szCs w:val="24"/>
              </w:rPr>
              <w:t>jour:</w:t>
            </w:r>
            <w:proofErr w:type="gramEnd"/>
            <w:r w:rsidRPr="005450F5">
              <w:rPr>
                <w:rFonts w:ascii="Calibri" w:eastAsia="Times New Roman" w:hAnsi="Calibri" w:cs="Times"/>
                <w:b/>
                <w:bCs/>
                <w:szCs w:val="24"/>
              </w:rPr>
              <w:t xml:space="preserve"> PL 1.12</w:t>
            </w:r>
          </w:p>
        </w:tc>
        <w:tc>
          <w:tcPr>
            <w:tcW w:w="3261" w:type="dxa"/>
          </w:tcPr>
          <w:p w:rsidR="00E02EB1" w:rsidRPr="005450F5" w:rsidRDefault="00E02EB1" w:rsidP="00CA7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5450F5">
              <w:rPr>
                <w:rFonts w:ascii="Calibri" w:eastAsia="Times New Roman" w:hAnsi="Calibri" w:cs="Times New Roman"/>
                <w:b/>
                <w:bCs/>
                <w:szCs w:val="20"/>
              </w:rPr>
              <w:t>Document C17/39-F</w:t>
            </w:r>
          </w:p>
        </w:tc>
      </w:tr>
      <w:tr w:rsidR="00E02EB1" w:rsidRPr="005450F5" w:rsidTr="003B113D">
        <w:trPr>
          <w:cantSplit/>
          <w:trHeight w:val="20"/>
        </w:trPr>
        <w:tc>
          <w:tcPr>
            <w:tcW w:w="6912" w:type="dxa"/>
            <w:vMerge/>
          </w:tcPr>
          <w:p w:rsidR="00E02EB1" w:rsidRPr="005450F5" w:rsidRDefault="00E02EB1" w:rsidP="00A961A6">
            <w:pPr>
              <w:shd w:val="solid" w:color="FFFFFF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ascii="Calibri" w:eastAsia="Times New Roman" w:hAnsi="Calibri" w:cs="Times New Roman"/>
                <w:smallCaps/>
                <w:szCs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02EB1" w:rsidRPr="005450F5" w:rsidRDefault="00E02EB1" w:rsidP="00CA7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5450F5">
              <w:rPr>
                <w:rFonts w:ascii="Calibri" w:eastAsia="Times New Roman" w:hAnsi="Calibri" w:cs="Times New Roman"/>
                <w:b/>
                <w:bCs/>
                <w:szCs w:val="20"/>
              </w:rPr>
              <w:t>31 mars 2017</w:t>
            </w:r>
          </w:p>
        </w:tc>
      </w:tr>
      <w:tr w:rsidR="00E02EB1" w:rsidRPr="005450F5" w:rsidTr="003B113D">
        <w:trPr>
          <w:cantSplit/>
          <w:trHeight w:val="20"/>
        </w:trPr>
        <w:tc>
          <w:tcPr>
            <w:tcW w:w="6912" w:type="dxa"/>
            <w:vMerge/>
          </w:tcPr>
          <w:p w:rsidR="00E02EB1" w:rsidRPr="005450F5" w:rsidRDefault="00E02EB1" w:rsidP="00A961A6">
            <w:pPr>
              <w:shd w:val="solid" w:color="FFFFFF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ascii="Calibri" w:eastAsia="Times New Roman" w:hAnsi="Calibri" w:cs="Times New Roman"/>
                <w:smallCaps/>
                <w:szCs w:val="20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02EB1" w:rsidRPr="005450F5" w:rsidRDefault="00E02EB1" w:rsidP="00CA7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proofErr w:type="gramStart"/>
            <w:r w:rsidRPr="005450F5">
              <w:rPr>
                <w:rFonts w:ascii="Calibri" w:eastAsia="Times New Roman" w:hAnsi="Calibri" w:cs="Times New Roman"/>
                <w:b/>
                <w:bCs/>
                <w:szCs w:val="20"/>
              </w:rPr>
              <w:t>Original:</w:t>
            </w:r>
            <w:proofErr w:type="gramEnd"/>
            <w:r w:rsidRPr="005450F5">
              <w:rPr>
                <w:rFonts w:ascii="Calibri" w:eastAsia="Times New Roman" w:hAnsi="Calibri" w:cs="Times New Roman"/>
                <w:b/>
                <w:bCs/>
                <w:szCs w:val="20"/>
              </w:rPr>
              <w:t xml:space="preserve"> anglais</w:t>
            </w:r>
          </w:p>
        </w:tc>
      </w:tr>
      <w:tr w:rsidR="00E02EB1" w:rsidRPr="005450F5" w:rsidTr="003B113D">
        <w:trPr>
          <w:cantSplit/>
        </w:trPr>
        <w:tc>
          <w:tcPr>
            <w:tcW w:w="10173" w:type="dxa"/>
            <w:gridSpan w:val="2"/>
          </w:tcPr>
          <w:p w:rsidR="00E02EB1" w:rsidRPr="005450F5" w:rsidRDefault="00E02EB1" w:rsidP="00734CD6">
            <w:pPr>
              <w:pStyle w:val="Source"/>
            </w:pPr>
            <w:bookmarkStart w:id="6" w:name="dsource" w:colFirst="0" w:colLast="0"/>
            <w:bookmarkEnd w:id="5"/>
            <w:r w:rsidRPr="005450F5">
              <w:t>Rapport du Secrétaire général</w:t>
            </w:r>
          </w:p>
        </w:tc>
      </w:tr>
      <w:tr w:rsidR="00E02EB1" w:rsidRPr="005450F5" w:rsidTr="003B113D">
        <w:trPr>
          <w:cantSplit/>
        </w:trPr>
        <w:tc>
          <w:tcPr>
            <w:tcW w:w="10173" w:type="dxa"/>
            <w:gridSpan w:val="2"/>
          </w:tcPr>
          <w:p w:rsidR="00E02EB1" w:rsidRPr="005450F5" w:rsidRDefault="00E02EB1" w:rsidP="00734CD6">
            <w:pPr>
              <w:pStyle w:val="Title1"/>
            </w:pPr>
            <w:bookmarkStart w:id="7" w:name="dtitle1" w:colFirst="0" w:colLast="0"/>
            <w:bookmarkEnd w:id="6"/>
            <w:r w:rsidRPr="005450F5">
              <w:t>Feuille de route pour la mise en OEuvre du programme CONNECT 2020</w:t>
            </w:r>
            <w:r w:rsidR="00734CD6" w:rsidRPr="005450F5">
              <w:t xml:space="preserve"> </w:t>
            </w:r>
            <w:r w:rsidR="00734CD6" w:rsidRPr="005450F5">
              <w:br/>
              <w:t>et progrès réalisés à ce jour</w:t>
            </w:r>
          </w:p>
        </w:tc>
      </w:tr>
      <w:bookmarkEnd w:id="7"/>
    </w:tbl>
    <w:p w:rsidR="00E02EB1" w:rsidRPr="005450F5" w:rsidRDefault="00E02EB1" w:rsidP="00A961A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02EB1" w:rsidRPr="005450F5" w:rsidTr="003B113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EB1" w:rsidRPr="005450F5" w:rsidRDefault="00E02EB1" w:rsidP="00734CD6">
            <w:pPr>
              <w:pStyle w:val="Headingb"/>
            </w:pPr>
            <w:r w:rsidRPr="005450F5">
              <w:t>Résumé</w:t>
            </w:r>
          </w:p>
          <w:p w:rsidR="00E02EB1" w:rsidRPr="005450F5" w:rsidRDefault="00E02EB1" w:rsidP="00A961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Cs w:val="20"/>
              </w:rPr>
            </w:pPr>
            <w:r w:rsidRPr="005450F5">
              <w:rPr>
                <w:rFonts w:ascii="Calibri" w:eastAsia="Times New Roman" w:hAnsi="Calibri" w:cstheme="minorHAnsi"/>
                <w:szCs w:val="24"/>
              </w:rPr>
              <w:t xml:space="preserve">Le présent document expose la feuille de route pour la mise en </w:t>
            </w:r>
            <w:proofErr w:type="spellStart"/>
            <w:r w:rsidRPr="005450F5">
              <w:rPr>
                <w:rFonts w:ascii="Calibri" w:eastAsia="Times New Roman" w:hAnsi="Calibri" w:cstheme="minorHAnsi"/>
                <w:szCs w:val="24"/>
              </w:rPr>
              <w:t>oeuvre</w:t>
            </w:r>
            <w:proofErr w:type="spellEnd"/>
            <w:r w:rsidRPr="005450F5">
              <w:rPr>
                <w:rFonts w:ascii="Calibri" w:eastAsia="Times New Roman" w:hAnsi="Calibri" w:cstheme="minorHAnsi"/>
                <w:szCs w:val="24"/>
              </w:rPr>
              <w:t xml:space="preserve"> du Programme </w:t>
            </w:r>
            <w:proofErr w:type="spellStart"/>
            <w:r w:rsidRPr="005450F5">
              <w:rPr>
                <w:rFonts w:ascii="Calibri" w:eastAsia="Times New Roman" w:hAnsi="Calibri" w:cstheme="minorHAnsi"/>
                <w:szCs w:val="24"/>
              </w:rPr>
              <w:t>Connect</w:t>
            </w:r>
            <w:proofErr w:type="spellEnd"/>
            <w:r w:rsidRPr="005450F5">
              <w:rPr>
                <w:rFonts w:ascii="Calibri" w:eastAsia="Times New Roman" w:hAnsi="Calibri" w:cstheme="minorHAnsi"/>
                <w:szCs w:val="24"/>
              </w:rPr>
              <w:t xml:space="preserve"> 2020 et les progrès réalisés à ce jour.</w:t>
            </w:r>
          </w:p>
          <w:p w:rsidR="00E02EB1" w:rsidRPr="005450F5" w:rsidRDefault="00E02EB1" w:rsidP="00734CD6">
            <w:pPr>
              <w:pStyle w:val="Headingb"/>
            </w:pPr>
            <w:r w:rsidRPr="005450F5">
              <w:t>Suite à donner</w:t>
            </w:r>
          </w:p>
          <w:p w:rsidR="00E02EB1" w:rsidRPr="005450F5" w:rsidRDefault="00E02EB1" w:rsidP="00A961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Cs w:val="20"/>
              </w:rPr>
            </w:pPr>
            <w:r w:rsidRPr="005450F5">
              <w:rPr>
                <w:rFonts w:ascii="Calibri" w:eastAsia="Times New Roman" w:hAnsi="Calibri" w:cs="Times New Roman"/>
                <w:szCs w:val="20"/>
              </w:rPr>
              <w:t>Le Conseil est invité à</w:t>
            </w:r>
            <w:r w:rsidRPr="005450F5">
              <w:rPr>
                <w:rFonts w:ascii="Calibri" w:eastAsia="Times New Roman" w:hAnsi="Calibri" w:cs="Times New Roman"/>
                <w:b/>
                <w:bCs/>
                <w:szCs w:val="20"/>
              </w:rPr>
              <w:t xml:space="preserve"> prendre note </w:t>
            </w:r>
            <w:r w:rsidRPr="005450F5">
              <w:rPr>
                <w:rFonts w:ascii="Calibri" w:eastAsia="Times New Roman" w:hAnsi="Calibri" w:cs="Times New Roman"/>
                <w:szCs w:val="20"/>
              </w:rPr>
              <w:t>du présent rapport.</w:t>
            </w:r>
          </w:p>
          <w:p w:rsidR="00E02EB1" w:rsidRPr="005450F5" w:rsidRDefault="00E02EB1" w:rsidP="00A961A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5450F5">
              <w:rPr>
                <w:rFonts w:ascii="Calibri" w:eastAsia="Times New Roman" w:hAnsi="Calibri" w:cs="Times New Roman"/>
                <w:szCs w:val="20"/>
              </w:rPr>
              <w:t>____________</w:t>
            </w:r>
          </w:p>
          <w:p w:rsidR="00E02EB1" w:rsidRPr="005450F5" w:rsidRDefault="00E02EB1" w:rsidP="00734CD6">
            <w:pPr>
              <w:pStyle w:val="Headingb"/>
            </w:pPr>
            <w:r w:rsidRPr="005450F5">
              <w:t>Références</w:t>
            </w:r>
          </w:p>
          <w:bookmarkStart w:id="8" w:name="lt_pId014"/>
          <w:p w:rsidR="00E02EB1" w:rsidRPr="005450F5" w:rsidRDefault="001530DE" w:rsidP="00CA7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eastAsia="Times New Roman" w:hAnsi="Calibri" w:cs="Times New Roman"/>
                <w:i/>
                <w:iCs/>
                <w:szCs w:val="20"/>
              </w:rPr>
            </w:pPr>
            <w:r w:rsidRPr="005450F5">
              <w:rPr>
                <w:rFonts w:ascii="Calibri" w:eastAsia="Times New Roman" w:hAnsi="Calibri" w:cs="Times New Roman"/>
                <w:szCs w:val="20"/>
              </w:rPr>
              <w:fldChar w:fldCharType="begin"/>
            </w:r>
            <w:r w:rsidR="00E02EB1" w:rsidRPr="005450F5">
              <w:rPr>
                <w:rFonts w:ascii="Calibri" w:eastAsia="Times New Roman" w:hAnsi="Calibri" w:cs="Times New Roman"/>
                <w:szCs w:val="20"/>
              </w:rPr>
              <w:instrText xml:space="preserve"> HYPERLINK "http://www.itu.int/pub/S-CONF-ACTF-2014" </w:instrText>
            </w:r>
            <w:r w:rsidRPr="005450F5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="00E02EB1" w:rsidRPr="005450F5">
              <w:rPr>
                <w:rFonts w:ascii="Calibri" w:eastAsia="Times New Roman" w:hAnsi="Calibri" w:cs="Calibri"/>
                <w:i/>
                <w:iCs/>
                <w:color w:val="0000FF"/>
                <w:u w:val="single"/>
              </w:rPr>
              <w:t>Résolution 200 (Busan, 2014)</w:t>
            </w:r>
            <w:bookmarkEnd w:id="8"/>
            <w:r w:rsidRPr="005450F5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="00E02EB1" w:rsidRPr="005450F5">
              <w:rPr>
                <w:rFonts w:ascii="Calibri" w:eastAsia="Times New Roman" w:hAnsi="Calibri" w:cs="Times New Roman"/>
                <w:szCs w:val="20"/>
              </w:rPr>
              <w:t xml:space="preserve"> </w:t>
            </w:r>
            <w:r w:rsidR="00E02EB1" w:rsidRPr="005450F5">
              <w:rPr>
                <w:rFonts w:ascii="Calibri" w:eastAsia="Times New Roman" w:hAnsi="Calibri" w:cs="Times New Roman"/>
                <w:i/>
                <w:iCs/>
                <w:szCs w:val="20"/>
              </w:rPr>
              <w:t>de la Conférence de plénipotentiaires</w:t>
            </w:r>
          </w:p>
        </w:tc>
      </w:tr>
    </w:tbl>
    <w:p w:rsidR="00E02EB1" w:rsidRPr="005450F5" w:rsidRDefault="00E02EB1" w:rsidP="00734CD6">
      <w:pPr>
        <w:pStyle w:val="Heading1"/>
      </w:pPr>
      <w:r w:rsidRPr="005450F5">
        <w:t>1</w:t>
      </w:r>
      <w:r w:rsidRPr="005450F5">
        <w:tab/>
        <w:t>Rappel</w:t>
      </w:r>
    </w:p>
    <w:p w:rsidR="00E02EB1" w:rsidRPr="005450F5" w:rsidRDefault="00E02EB1" w:rsidP="00A961A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theme="minorHAnsi"/>
          <w:color w:val="000000"/>
          <w:szCs w:val="20"/>
          <w:shd w:val="clear" w:color="auto" w:fill="FFFFFF"/>
        </w:rPr>
      </w:pPr>
      <w:proofErr w:type="gramStart"/>
      <w:r w:rsidRPr="005450F5">
        <w:rPr>
          <w:rFonts w:ascii="Calibri" w:eastAsia="Times New Roman" w:hAnsi="Calibri" w:cs="Times New Roman"/>
          <w:szCs w:val="20"/>
        </w:rPr>
        <w:t>1.1</w:t>
      </w:r>
      <w:r w:rsidRPr="005450F5">
        <w:rPr>
          <w:rFonts w:ascii="Calibri" w:eastAsia="Times New Roman" w:hAnsi="Calibri" w:cs="Times New Roman"/>
          <w:szCs w:val="20"/>
        </w:rPr>
        <w:tab/>
        <w:t>A la Conférence de plénipotentiaires de 2014 (PP-14), les Etats Membres de l'UIT ont adopté la Résolution 200 (Busan, 2014)</w:t>
      </w:r>
      <w:r w:rsidR="00D3504D" w:rsidRPr="005450F5">
        <w:rPr>
          <w:rFonts w:ascii="Calibri" w:eastAsia="Times New Roman" w:hAnsi="Calibri" w:cs="Times New Roman"/>
          <w:szCs w:val="20"/>
        </w:rPr>
        <w:t>,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Pr="005450F5">
        <w:rPr>
          <w:rFonts w:ascii="Calibri" w:eastAsia="Times New Roman" w:hAnsi="Calibri" w:cs="Times New Roman"/>
          <w:szCs w:val="20"/>
        </w:rPr>
        <w:t xml:space="preserve">intitulée "Programme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2020 pour le développement d</w:t>
      </w:r>
      <w:bookmarkStart w:id="9" w:name="_GoBack"/>
      <w:bookmarkEnd w:id="9"/>
      <w:r w:rsidRPr="005450F5">
        <w:rPr>
          <w:rFonts w:ascii="Calibri" w:eastAsia="Times New Roman" w:hAnsi="Calibri" w:cs="Times New Roman"/>
          <w:szCs w:val="20"/>
        </w:rPr>
        <w:t>es télécommunications/technologies de l'information et de la communication dans le monde"</w:t>
      </w:r>
      <w:r w:rsidR="00D3504D" w:rsidRPr="005450F5">
        <w:rPr>
          <w:rFonts w:ascii="Calibri" w:eastAsia="Times New Roman" w:hAnsi="Calibri" w:cs="Times New Roman"/>
          <w:szCs w:val="20"/>
        </w:rPr>
        <w:t>,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D3504D" w:rsidRPr="005450F5">
        <w:rPr>
          <w:rFonts w:ascii="Calibri" w:eastAsia="Times New Roman" w:hAnsi="Calibri" w:cs="Times New Roman"/>
          <w:szCs w:val="24"/>
        </w:rPr>
        <w:t>en</w:t>
      </w:r>
      <w:r w:rsidRPr="005450F5">
        <w:rPr>
          <w:rFonts w:ascii="Calibri" w:eastAsia="Times New Roman" w:hAnsi="Calibri" w:cs="Times New Roman"/>
          <w:szCs w:val="24"/>
        </w:rPr>
        <w:t xml:space="preserve"> fixant une série de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Pr="005450F5">
        <w:rPr>
          <w:rFonts w:ascii="Calibri" w:eastAsia="Times New Roman" w:hAnsi="Calibri" w:cs="Times New Roman"/>
          <w:szCs w:val="24"/>
        </w:rPr>
        <w:t xml:space="preserve">cibles à l'échelle mondiale devant être </w:t>
      </w:r>
      <w:r w:rsidR="00D3504D" w:rsidRPr="005450F5">
        <w:rPr>
          <w:rFonts w:ascii="Calibri" w:eastAsia="Times New Roman" w:hAnsi="Calibri" w:cs="Times New Roman"/>
          <w:szCs w:val="24"/>
        </w:rPr>
        <w:t>réalisées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Pr="005450F5">
        <w:rPr>
          <w:rFonts w:ascii="Calibri" w:eastAsia="Times New Roman" w:hAnsi="Calibri" w:cs="Times New Roman"/>
          <w:szCs w:val="24"/>
        </w:rPr>
        <w:t>par l'ensemble de l'Union d'ici à 2020 dans les domaines de la croissance, de l'inclusion, de la durabilité, et de l'innovation et des partenariats dans le secteur des télécommunications/TIC.</w:t>
      </w:r>
      <w:proofErr w:type="gramEnd"/>
    </w:p>
    <w:p w:rsidR="00E02EB1" w:rsidRPr="005450F5" w:rsidRDefault="00E02EB1" w:rsidP="00A961A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</w:rPr>
      </w:pPr>
      <w:proofErr w:type="gramStart"/>
      <w:r w:rsidRPr="005450F5">
        <w:rPr>
          <w:rFonts w:ascii="Calibri" w:eastAsia="Times New Roman" w:hAnsi="Calibri" w:cs="Times New Roman"/>
          <w:szCs w:val="20"/>
        </w:rPr>
        <w:t>1.2</w:t>
      </w:r>
      <w:r w:rsidRPr="005450F5">
        <w:rPr>
          <w:rFonts w:ascii="Calibri" w:eastAsia="Times New Roman" w:hAnsi="Calibri" w:cs="Times New Roman"/>
          <w:szCs w:val="20"/>
        </w:rPr>
        <w:tab/>
        <w:t xml:space="preserve">Aux termes de </w:t>
      </w:r>
      <w:r w:rsidR="00D3504D" w:rsidRPr="005450F5">
        <w:rPr>
          <w:rFonts w:ascii="Calibri" w:eastAsia="Times New Roman" w:hAnsi="Calibri" w:cs="Times New Roman"/>
          <w:szCs w:val="20"/>
        </w:rPr>
        <w:t xml:space="preserve">la </w:t>
      </w:r>
      <w:r w:rsidRPr="005450F5">
        <w:rPr>
          <w:rFonts w:ascii="Calibri" w:eastAsia="Times New Roman" w:hAnsi="Calibri" w:cs="Times New Roman"/>
          <w:szCs w:val="20"/>
        </w:rPr>
        <w:t>Résolution</w:t>
      </w:r>
      <w:r w:rsidR="00D3504D" w:rsidRPr="005450F5">
        <w:rPr>
          <w:rFonts w:ascii="Calibri" w:eastAsia="Times New Roman" w:hAnsi="Calibri" w:cs="Times New Roman"/>
          <w:szCs w:val="20"/>
        </w:rPr>
        <w:t xml:space="preserve"> 200</w:t>
      </w:r>
      <w:r w:rsidRPr="005450F5">
        <w:rPr>
          <w:rFonts w:ascii="Calibri" w:eastAsia="Times New Roman" w:hAnsi="Calibri" w:cs="Times New Roman"/>
          <w:szCs w:val="20"/>
        </w:rPr>
        <w:t xml:space="preserve">, les Etats Membres de l'UIT sont invités à participer activement à la mise en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oeuvre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du </w:t>
      </w:r>
      <w:hyperlink r:id="rId7" w:history="1">
        <w:r w:rsidRPr="005450F5">
          <w:rPr>
            <w:rFonts w:ascii="Calibri" w:eastAsia="Times New Roman" w:hAnsi="Calibri" w:cs="Times New Roman"/>
            <w:color w:val="0000FF"/>
            <w:szCs w:val="20"/>
            <w:u w:val="single"/>
          </w:rPr>
          <w:t xml:space="preserve">Programme </w:t>
        </w:r>
        <w:proofErr w:type="spellStart"/>
        <w:r w:rsidRPr="005450F5">
          <w:rPr>
            <w:rFonts w:ascii="Calibri" w:eastAsia="Times New Roman" w:hAnsi="Calibri" w:cs="Times New Roman"/>
            <w:color w:val="0000FF"/>
            <w:szCs w:val="20"/>
            <w:u w:val="single"/>
          </w:rPr>
          <w:t>Connect</w:t>
        </w:r>
        <w:proofErr w:type="spellEnd"/>
        <w:r w:rsidRPr="005450F5">
          <w:rPr>
            <w:rFonts w:ascii="Calibri" w:eastAsia="Times New Roman" w:hAnsi="Calibri" w:cs="Times New Roman"/>
            <w:color w:val="0000FF"/>
            <w:szCs w:val="20"/>
            <w:u w:val="single"/>
          </w:rPr>
          <w:t xml:space="preserve"> 2020</w:t>
        </w:r>
      </w:hyperlink>
      <w:r w:rsidRPr="005450F5">
        <w:rPr>
          <w:rFonts w:ascii="Calibri" w:eastAsia="Times New Roman" w:hAnsi="Calibri" w:cs="Times New Roman"/>
          <w:szCs w:val="20"/>
        </w:rPr>
        <w:t xml:space="preserve">; à contribuer à ce Programme dans le cadre d'initiatives nationales, régionales et internationales; à fournir des données et des statistiques, selon qu'il conviendra, pour suivre les progrès accomplis dans la réalisation des buts et des cibles du Programme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2020; et à mobiliser toutes les parties prenantes en encourageant la conclusion de partenariats relatifs au Programme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2020.</w:t>
      </w:r>
      <w:proofErr w:type="gramEnd"/>
    </w:p>
    <w:p w:rsidR="00E02EB1" w:rsidRPr="005450F5" w:rsidRDefault="00E02EB1" w:rsidP="00A961A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4"/>
        </w:rPr>
      </w:pPr>
      <w:r w:rsidRPr="005450F5">
        <w:rPr>
          <w:rFonts w:ascii="Calibri" w:eastAsia="Times New Roman" w:hAnsi="Calibri" w:cs="Times New Roman"/>
          <w:szCs w:val="20"/>
        </w:rPr>
        <w:t>1.3</w:t>
      </w:r>
      <w:r w:rsidRPr="005450F5">
        <w:rPr>
          <w:rFonts w:ascii="Calibri" w:eastAsia="Times New Roman" w:hAnsi="Calibri" w:cs="Times New Roman"/>
          <w:szCs w:val="20"/>
        </w:rPr>
        <w:tab/>
        <w:t>A la PP-14, les Etats Membres de l'UIT ont également adopté la Résolution 71 (Rév. Busan, 2014) intitulée "Plan stratégique de l'Union pour la période 2016</w:t>
      </w:r>
      <w:r w:rsidRPr="005450F5">
        <w:rPr>
          <w:rFonts w:ascii="Calibri" w:eastAsia="Times New Roman" w:hAnsi="Calibri" w:cs="Times New Roman"/>
          <w:szCs w:val="20"/>
        </w:rPr>
        <w:noBreakHyphen/>
        <w:t xml:space="preserve">2019", qui intègre les buts et les cibles du Programme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2020 dans le cadre du plan stratégique </w:t>
      </w:r>
      <w:r w:rsidR="00D3504D" w:rsidRPr="005450F5">
        <w:rPr>
          <w:rFonts w:ascii="Calibri" w:eastAsia="Times New Roman" w:hAnsi="Calibri" w:cs="Times New Roman"/>
          <w:szCs w:val="20"/>
        </w:rPr>
        <w:t>de l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D3504D" w:rsidRPr="005450F5">
        <w:rPr>
          <w:rFonts w:ascii="Calibri" w:eastAsia="Times New Roman" w:hAnsi="Calibri" w:cs="Times New Roman"/>
          <w:szCs w:val="20"/>
        </w:rPr>
        <w:t xml:space="preserve">UIT </w:t>
      </w:r>
      <w:r w:rsidRPr="005450F5">
        <w:rPr>
          <w:rFonts w:ascii="Calibri" w:eastAsia="Times New Roman" w:hAnsi="Calibri" w:cs="Times New Roman"/>
          <w:szCs w:val="20"/>
        </w:rPr>
        <w:t>pour la période 2016</w:t>
      </w:r>
      <w:r w:rsidRPr="005450F5">
        <w:rPr>
          <w:rFonts w:ascii="Calibri" w:eastAsia="Times New Roman" w:hAnsi="Calibri" w:cs="Times New Roman"/>
          <w:szCs w:val="20"/>
        </w:rPr>
        <w:noBreakHyphen/>
        <w:t>2019.</w:t>
      </w:r>
    </w:p>
    <w:p w:rsidR="00E02EB1" w:rsidRPr="005450F5" w:rsidRDefault="00E02EB1" w:rsidP="00734CD6">
      <w:pPr>
        <w:pStyle w:val="Heading1"/>
        <w:rPr>
          <w:rFonts w:cstheme="minorHAnsi"/>
          <w:shd w:val="clear" w:color="auto" w:fill="FFFFFF"/>
        </w:rPr>
      </w:pPr>
      <w:r w:rsidRPr="005450F5">
        <w:lastRenderedPageBreak/>
        <w:t>2</w:t>
      </w:r>
      <w:r w:rsidRPr="005450F5">
        <w:tab/>
        <w:t xml:space="preserve">Progrès accomplis pendant la période </w:t>
      </w:r>
      <w:r w:rsidR="00D3504D" w:rsidRPr="005450F5">
        <w:t>considérée</w:t>
      </w:r>
    </w:p>
    <w:p w:rsidR="00E02EB1" w:rsidRPr="005450F5" w:rsidRDefault="00E02EB1" w:rsidP="00734CD6">
      <w:pPr>
        <w:pStyle w:val="Headingb"/>
      </w:pPr>
      <w:r w:rsidRPr="005450F5">
        <w:t>Méthodes de mesure, suivi et établissement de rapports</w:t>
      </w:r>
    </w:p>
    <w:p w:rsidR="00E02EB1" w:rsidRPr="005450F5" w:rsidRDefault="00E02EB1" w:rsidP="00A961A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4"/>
        </w:rPr>
      </w:pPr>
      <w:r w:rsidRPr="005450F5">
        <w:rPr>
          <w:rFonts w:ascii="Calibri" w:eastAsia="Times New Roman" w:hAnsi="Calibri" w:cs="Times New Roman"/>
          <w:szCs w:val="24"/>
        </w:rPr>
        <w:t>2.1</w:t>
      </w:r>
      <w:r w:rsidRPr="005450F5">
        <w:rPr>
          <w:rFonts w:ascii="Calibri" w:eastAsia="Times New Roman" w:hAnsi="Calibri" w:cs="Times New Roman"/>
          <w:szCs w:val="24"/>
        </w:rPr>
        <w:tab/>
        <w:t xml:space="preserve">Les quatre buts du Programme </w:t>
      </w:r>
      <w:proofErr w:type="spellStart"/>
      <w:r w:rsidRPr="005450F5">
        <w:rPr>
          <w:rFonts w:ascii="Calibri" w:eastAsia="Times New Roman" w:hAnsi="Calibri" w:cs="Times New Roman"/>
          <w:szCs w:val="24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4"/>
        </w:rPr>
        <w:t xml:space="preserve"> 2020 comportent 17 cibles, </w:t>
      </w:r>
      <w:r w:rsidR="00D3504D" w:rsidRPr="005450F5">
        <w:rPr>
          <w:rFonts w:ascii="Calibri" w:eastAsia="Times New Roman" w:hAnsi="Calibri" w:cs="Times New Roman"/>
          <w:szCs w:val="24"/>
        </w:rPr>
        <w:t>destinées à</w:t>
      </w:r>
      <w:r w:rsidRPr="005450F5">
        <w:rPr>
          <w:rFonts w:ascii="Calibri" w:eastAsia="Times New Roman" w:hAnsi="Calibri" w:cs="Times New Roman"/>
          <w:szCs w:val="24"/>
        </w:rPr>
        <w:t xml:space="preserve"> donner une indication des progrès </w:t>
      </w:r>
      <w:r w:rsidR="00D3504D" w:rsidRPr="005450F5">
        <w:rPr>
          <w:rFonts w:ascii="Calibri" w:eastAsia="Times New Roman" w:hAnsi="Calibri" w:cs="Times New Roman"/>
          <w:szCs w:val="24"/>
        </w:rPr>
        <w:t>accomplis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D3504D" w:rsidRPr="005450F5">
        <w:rPr>
          <w:rFonts w:ascii="Calibri" w:eastAsia="Times New Roman" w:hAnsi="Calibri" w:cs="Times New Roman"/>
          <w:szCs w:val="24"/>
        </w:rPr>
        <w:t>dans la réalisation de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Pr="005450F5">
        <w:rPr>
          <w:rFonts w:ascii="Calibri" w:eastAsia="Times New Roman" w:hAnsi="Calibri" w:cs="Times New Roman"/>
          <w:szCs w:val="24"/>
        </w:rPr>
        <w:t>ces buts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Pr="005450F5">
        <w:rPr>
          <w:rFonts w:ascii="Calibri" w:eastAsia="Times New Roman" w:hAnsi="Calibri" w:cs="Times New Roman"/>
          <w:szCs w:val="24"/>
        </w:rPr>
        <w:t>à l'horizon 2020.</w:t>
      </w:r>
    </w:p>
    <w:p w:rsidR="00E02EB1" w:rsidRPr="005450F5" w:rsidRDefault="00E02EB1" w:rsidP="00734CD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</w:rPr>
      </w:pPr>
      <w:r w:rsidRPr="005450F5">
        <w:rPr>
          <w:rFonts w:ascii="Calibri" w:eastAsia="Times New Roman" w:hAnsi="Calibri" w:cs="Times New Roman"/>
          <w:szCs w:val="20"/>
        </w:rPr>
        <w:t>2.2</w:t>
      </w:r>
      <w:r w:rsidRPr="005450F5">
        <w:rPr>
          <w:rFonts w:ascii="Calibri" w:eastAsia="Times New Roman" w:hAnsi="Calibri" w:cs="Times New Roman"/>
          <w:szCs w:val="20"/>
        </w:rPr>
        <w:tab/>
      </w:r>
      <w:r w:rsidR="00D3504D" w:rsidRPr="005450F5">
        <w:rPr>
          <w:rFonts w:ascii="Calibri" w:eastAsia="Times New Roman" w:hAnsi="Calibri" w:cs="Times New Roman"/>
          <w:szCs w:val="20"/>
        </w:rPr>
        <w:t xml:space="preserve">Les </w:t>
      </w:r>
      <w:r w:rsidR="00D3504D" w:rsidRPr="005450F5">
        <w:rPr>
          <w:rFonts w:ascii="Calibri" w:eastAsia="Times New Roman" w:hAnsi="Calibri" w:cs="Times New Roman"/>
          <w:szCs w:val="24"/>
        </w:rPr>
        <w:t>progrès accomplis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D3504D" w:rsidRPr="005450F5">
        <w:rPr>
          <w:rFonts w:ascii="Calibri" w:eastAsia="Times New Roman" w:hAnsi="Calibri" w:cs="Times New Roman"/>
          <w:szCs w:val="24"/>
        </w:rPr>
        <w:t>dans la réalisation des cibles du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D3504D" w:rsidRPr="005450F5">
        <w:t xml:space="preserve">Programme </w:t>
      </w:r>
      <w:proofErr w:type="spellStart"/>
      <w:r w:rsidR="00D3504D" w:rsidRPr="005450F5">
        <w:t>Connect</w:t>
      </w:r>
      <w:proofErr w:type="spellEnd"/>
      <w:r w:rsidR="00D3504D" w:rsidRPr="005450F5">
        <w:t xml:space="preserve"> 2020 pour le développement des télécommunications/TIC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D3504D" w:rsidRPr="005450F5">
        <w:rPr>
          <w:rFonts w:ascii="Calibri" w:eastAsia="Times New Roman" w:hAnsi="Calibri" w:cs="Times New Roman"/>
          <w:szCs w:val="20"/>
        </w:rPr>
        <w:t>sont présentés dans le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Pr="005450F5">
        <w:rPr>
          <w:rFonts w:ascii="Calibri" w:eastAsia="Times New Roman" w:hAnsi="Calibri" w:cs="Times New Roman"/>
          <w:szCs w:val="20"/>
        </w:rPr>
        <w:t xml:space="preserve">Document </w:t>
      </w:r>
      <w:hyperlink r:id="rId8" w:history="1">
        <w:r w:rsidRPr="005450F5">
          <w:rPr>
            <w:rFonts w:ascii="Calibri" w:eastAsia="Times New Roman" w:hAnsi="Calibri" w:cs="Times New Roman"/>
            <w:color w:val="0000FF"/>
            <w:u w:val="single"/>
          </w:rPr>
          <w:t>C17/35</w:t>
        </w:r>
      </w:hyperlink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734CD6" w:rsidRPr="005450F5">
        <w:rPr>
          <w:rFonts w:ascii="Calibri" w:eastAsia="Times New Roman" w:hAnsi="Calibri" w:cs="Times New Roman"/>
          <w:szCs w:val="20"/>
        </w:rPr>
        <w:t>"</w:t>
      </w:r>
      <w:r w:rsidRPr="005450F5">
        <w:rPr>
          <w:rFonts w:ascii="Calibri" w:eastAsia="Times New Roman" w:hAnsi="Calibri" w:cs="Times New Roman"/>
          <w:szCs w:val="20"/>
        </w:rPr>
        <w:t xml:space="preserve">Rapport sur la mise en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oeuvre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du Plan stratégique et sur les activités de l'Union</w:t>
      </w:r>
      <w:r w:rsidR="00734CD6" w:rsidRPr="005450F5">
        <w:rPr>
          <w:rFonts w:ascii="Calibri" w:eastAsia="Times New Roman" w:hAnsi="Calibri" w:cs="Times New Roman"/>
          <w:szCs w:val="20"/>
        </w:rPr>
        <w:t>"</w:t>
      </w:r>
      <w:r w:rsidRPr="005450F5">
        <w:rPr>
          <w:rFonts w:ascii="Calibri" w:eastAsia="Times New Roman" w:hAnsi="Calibri" w:cs="Times New Roman"/>
          <w:szCs w:val="20"/>
        </w:rPr>
        <w:t>.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734CD6" w:rsidRPr="005450F5">
        <w:rPr>
          <w:rFonts w:ascii="Calibri" w:eastAsia="Times New Roman" w:hAnsi="Calibri" w:cs="Times New Roman"/>
          <w:szCs w:val="20"/>
        </w:rPr>
        <w:t>L</w:t>
      </w:r>
      <w:r w:rsidR="00D3504D" w:rsidRPr="005450F5">
        <w:rPr>
          <w:rFonts w:ascii="Calibri" w:eastAsia="Times New Roman" w:hAnsi="Calibri" w:cs="Times New Roman"/>
          <w:szCs w:val="20"/>
        </w:rPr>
        <w:t xml:space="preserve">e </w:t>
      </w:r>
      <w:r w:rsidR="00734CD6" w:rsidRPr="005450F5">
        <w:rPr>
          <w:rFonts w:ascii="Calibri" w:eastAsia="Times New Roman" w:hAnsi="Calibri" w:cs="Times New Roman"/>
          <w:szCs w:val="20"/>
        </w:rPr>
        <w:t>C</w:t>
      </w:r>
      <w:r w:rsidR="00D3504D" w:rsidRPr="005450F5">
        <w:rPr>
          <w:rFonts w:ascii="Calibri" w:eastAsia="Times New Roman" w:hAnsi="Calibri" w:cs="Times New Roman"/>
          <w:szCs w:val="20"/>
        </w:rPr>
        <w:t>hapitre 2 de ce document fournit l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D3504D" w:rsidRPr="005450F5">
        <w:rPr>
          <w:rFonts w:ascii="Calibri" w:eastAsia="Times New Roman" w:hAnsi="Calibri" w:cs="Times New Roman"/>
          <w:szCs w:val="20"/>
        </w:rPr>
        <w:t>analyse la plus récente sur les progrès accomplis, à partir des indicateurs et des statistiques recueillis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734CD6" w:rsidRPr="005450F5">
        <w:rPr>
          <w:rFonts w:ascii="Calibri" w:eastAsia="Times New Roman" w:hAnsi="Calibri" w:cs="Times New Roman"/>
          <w:szCs w:val="20"/>
        </w:rPr>
        <w:t>et communiqué</w:t>
      </w:r>
      <w:r w:rsidR="00D3504D" w:rsidRPr="005450F5">
        <w:rPr>
          <w:rFonts w:ascii="Calibri" w:eastAsia="Times New Roman" w:hAnsi="Calibri" w:cs="Times New Roman"/>
          <w:szCs w:val="20"/>
        </w:rPr>
        <w:t xml:space="preserve">s par le </w:t>
      </w:r>
      <w:r w:rsidR="00734CD6" w:rsidRPr="005450F5">
        <w:rPr>
          <w:rFonts w:ascii="Calibri" w:eastAsia="Times New Roman" w:hAnsi="Calibri" w:cs="Times New Roman"/>
          <w:szCs w:val="20"/>
        </w:rPr>
        <w:t>B</w:t>
      </w:r>
      <w:r w:rsidR="00D3504D" w:rsidRPr="005450F5">
        <w:rPr>
          <w:rFonts w:ascii="Calibri" w:eastAsia="Times New Roman" w:hAnsi="Calibri" w:cs="Times New Roman"/>
          <w:szCs w:val="20"/>
        </w:rPr>
        <w:t>ureau de développement des télécommunications.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</w:p>
    <w:p w:rsidR="00E02EB1" w:rsidRPr="005450F5" w:rsidRDefault="00E02EB1" w:rsidP="00734CD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</w:rPr>
      </w:pPr>
      <w:r w:rsidRPr="005450F5">
        <w:rPr>
          <w:rFonts w:ascii="Calibri" w:eastAsia="Times New Roman" w:hAnsi="Calibri" w:cs="Times New Roman"/>
          <w:szCs w:val="20"/>
        </w:rPr>
        <w:t>2.3</w:t>
      </w:r>
      <w:r w:rsidRPr="005450F5">
        <w:rPr>
          <w:rFonts w:ascii="Calibri" w:eastAsia="Times New Roman" w:hAnsi="Calibri" w:cs="Times New Roman"/>
          <w:szCs w:val="20"/>
        </w:rPr>
        <w:tab/>
      </w:r>
      <w:r w:rsidR="00B37A57" w:rsidRPr="005450F5">
        <w:rPr>
          <w:rFonts w:ascii="Calibri" w:eastAsia="Times New Roman" w:hAnsi="Calibri" w:cs="Times New Roman"/>
          <w:szCs w:val="20"/>
        </w:rPr>
        <w:t>En ce qui concerne plus particulièrement les Cibles 3.2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et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3.3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relatives aux déchets d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B37A57" w:rsidRPr="005450F5">
        <w:rPr>
          <w:rFonts w:ascii="Calibri" w:eastAsia="Times New Roman" w:hAnsi="Calibri" w:cs="Times New Roman"/>
          <w:szCs w:val="20"/>
        </w:rPr>
        <w:t xml:space="preserve">équipements électriques et électroniques et à la </w:t>
      </w:r>
      <w:r w:rsidR="005450F5" w:rsidRPr="005450F5">
        <w:rPr>
          <w:rFonts w:ascii="Calibri" w:eastAsia="Times New Roman" w:hAnsi="Calibri" w:cs="Times New Roman"/>
          <w:szCs w:val="20"/>
        </w:rPr>
        <w:t>réduction</w:t>
      </w:r>
      <w:r w:rsidR="00B37A57" w:rsidRPr="005450F5">
        <w:rPr>
          <w:rFonts w:ascii="Calibri" w:eastAsia="Times New Roman" w:hAnsi="Calibri" w:cs="Times New Roman"/>
          <w:szCs w:val="20"/>
        </w:rPr>
        <w:t xml:space="preserve"> des </w:t>
      </w:r>
      <w:r w:rsidR="005450F5" w:rsidRPr="005450F5">
        <w:rPr>
          <w:rFonts w:ascii="Calibri" w:eastAsia="Times New Roman" w:hAnsi="Calibri" w:cs="Times New Roman"/>
          <w:szCs w:val="20"/>
        </w:rPr>
        <w:t>émissions</w:t>
      </w:r>
      <w:r w:rsidR="00B37A57" w:rsidRPr="005450F5">
        <w:rPr>
          <w:rFonts w:ascii="Calibri" w:eastAsia="Times New Roman" w:hAnsi="Calibri" w:cs="Times New Roman"/>
          <w:szCs w:val="20"/>
        </w:rPr>
        <w:t xml:space="preserve"> de gaz à effet de serre (GES)</w:t>
      </w:r>
      <w:r w:rsidR="00734CD6" w:rsidRPr="005450F5">
        <w:rPr>
          <w:rFonts w:ascii="Calibri" w:eastAsia="Times New Roman" w:hAnsi="Calibri" w:cs="Times New Roman"/>
          <w:szCs w:val="20"/>
        </w:rPr>
        <w:t>, des feuilles de route et des mé</w:t>
      </w:r>
      <w:r w:rsidR="00B37A57" w:rsidRPr="005450F5">
        <w:rPr>
          <w:rFonts w:ascii="Calibri" w:eastAsia="Times New Roman" w:hAnsi="Calibri" w:cs="Times New Roman"/>
          <w:szCs w:val="20"/>
        </w:rPr>
        <w:t>thodologies sont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actuellement élaborées conjointement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avec les membr</w:t>
      </w:r>
      <w:r w:rsidR="00734CD6" w:rsidRPr="005450F5">
        <w:rPr>
          <w:rFonts w:ascii="Calibri" w:eastAsia="Times New Roman" w:hAnsi="Calibri" w:cs="Times New Roman"/>
          <w:szCs w:val="20"/>
        </w:rPr>
        <w:t>e</w:t>
      </w:r>
      <w:r w:rsidR="00B37A57" w:rsidRPr="005450F5">
        <w:rPr>
          <w:rFonts w:ascii="Calibri" w:eastAsia="Times New Roman" w:hAnsi="Calibri" w:cs="Times New Roman"/>
          <w:szCs w:val="20"/>
        </w:rPr>
        <w:t>s de l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B37A57" w:rsidRPr="005450F5">
        <w:rPr>
          <w:rFonts w:ascii="Calibri" w:eastAsia="Times New Roman" w:hAnsi="Calibri" w:cs="Times New Roman"/>
          <w:szCs w:val="20"/>
        </w:rPr>
        <w:t>UIT,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par l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B37A57" w:rsidRPr="005450F5">
        <w:rPr>
          <w:rFonts w:ascii="Calibri" w:eastAsia="Times New Roman" w:hAnsi="Calibri" w:cs="Times New Roman"/>
          <w:szCs w:val="20"/>
        </w:rPr>
        <w:t xml:space="preserve">intermédiaire de la </w:t>
      </w:r>
      <w:r w:rsidR="00734CD6" w:rsidRPr="005450F5">
        <w:rPr>
          <w:rFonts w:ascii="Calibri" w:eastAsia="Times New Roman" w:hAnsi="Calibri" w:cs="Times New Roman"/>
          <w:szCs w:val="20"/>
        </w:rPr>
        <w:t>C</w:t>
      </w:r>
      <w:r w:rsidR="00B37A57" w:rsidRPr="005450F5">
        <w:rPr>
          <w:rFonts w:ascii="Calibri" w:eastAsia="Times New Roman" w:hAnsi="Calibri" w:cs="Times New Roman"/>
          <w:szCs w:val="20"/>
        </w:rPr>
        <w:t>ommission d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B37A57" w:rsidRPr="005450F5">
        <w:rPr>
          <w:rFonts w:ascii="Calibri" w:eastAsia="Times New Roman" w:hAnsi="Calibri" w:cs="Times New Roman"/>
          <w:szCs w:val="20"/>
        </w:rPr>
        <w:t>études 5 de l</w:t>
      </w:r>
      <w:r w:rsidR="00734CD6" w:rsidRPr="005450F5">
        <w:rPr>
          <w:rFonts w:ascii="Calibri" w:eastAsia="Times New Roman" w:hAnsi="Calibri" w:cs="Times New Roman"/>
          <w:szCs w:val="20"/>
        </w:rPr>
        <w:t>'</w:t>
      </w:r>
      <w:r w:rsidR="00B37A57" w:rsidRPr="005450F5">
        <w:rPr>
          <w:rFonts w:ascii="Calibri" w:eastAsia="Times New Roman" w:hAnsi="Calibri" w:cs="Times New Roman"/>
          <w:szCs w:val="20"/>
        </w:rPr>
        <w:t>UIT-T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et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  <w:r w:rsidR="00B37A57" w:rsidRPr="005450F5">
        <w:rPr>
          <w:rFonts w:ascii="Calibri" w:eastAsia="Times New Roman" w:hAnsi="Calibri" w:cs="Times New Roman"/>
          <w:szCs w:val="20"/>
        </w:rPr>
        <w:t>en collaboration avec les organisations concernées.</w:t>
      </w:r>
      <w:r w:rsidR="00A961A6" w:rsidRPr="005450F5">
        <w:rPr>
          <w:rFonts w:ascii="Calibri" w:eastAsia="Times New Roman" w:hAnsi="Calibri" w:cs="Times New Roman"/>
          <w:szCs w:val="20"/>
        </w:rPr>
        <w:t xml:space="preserve"> </w:t>
      </w:r>
    </w:p>
    <w:p w:rsidR="00E02EB1" w:rsidRPr="005450F5" w:rsidRDefault="00E02EB1" w:rsidP="00734CD6">
      <w:pPr>
        <w:pStyle w:val="Headingb"/>
        <w:rPr>
          <w:bCs/>
        </w:rPr>
      </w:pPr>
      <w:r w:rsidRPr="005450F5">
        <w:t xml:space="preserve">Mettre en </w:t>
      </w:r>
      <w:proofErr w:type="spellStart"/>
      <w:r w:rsidRPr="005450F5">
        <w:t>oeuvre</w:t>
      </w:r>
      <w:proofErr w:type="spellEnd"/>
      <w:r w:rsidRPr="005450F5">
        <w:t xml:space="preserve"> le Plan stratégique de l'UIT pour la période 2016-2019</w:t>
      </w:r>
    </w:p>
    <w:p w:rsidR="00E02EB1" w:rsidRPr="005450F5" w:rsidRDefault="00E02EB1" w:rsidP="00373F9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4"/>
        </w:rPr>
      </w:pPr>
      <w:r w:rsidRPr="005450F5">
        <w:rPr>
          <w:rFonts w:ascii="Calibri" w:eastAsia="Times New Roman" w:hAnsi="Calibri" w:cs="Times New Roman"/>
          <w:szCs w:val="24"/>
        </w:rPr>
        <w:t>2.4</w:t>
      </w:r>
      <w:r w:rsidRPr="005450F5">
        <w:rPr>
          <w:rFonts w:ascii="Calibri" w:eastAsia="Times New Roman" w:hAnsi="Calibri" w:cs="Times New Roman"/>
          <w:szCs w:val="24"/>
        </w:rPr>
        <w:tab/>
        <w:t xml:space="preserve">Le </w:t>
      </w:r>
      <w:r w:rsidR="00EF5222" w:rsidRPr="005450F5">
        <w:rPr>
          <w:rFonts w:ascii="Calibri" w:eastAsia="Times New Roman" w:hAnsi="Calibri" w:cs="Times New Roman"/>
          <w:szCs w:val="24"/>
        </w:rPr>
        <w:t>s</w:t>
      </w:r>
      <w:r w:rsidRPr="005450F5">
        <w:rPr>
          <w:rFonts w:ascii="Calibri" w:eastAsia="Times New Roman" w:hAnsi="Calibri" w:cs="Times New Roman"/>
          <w:szCs w:val="24"/>
        </w:rPr>
        <w:t xml:space="preserve">ecrétariat de l'UIT a contribué à faire progresser les travaux en vue de la réalisation du Programme </w:t>
      </w:r>
      <w:proofErr w:type="spellStart"/>
      <w:r w:rsidRPr="005450F5">
        <w:rPr>
          <w:rFonts w:ascii="Calibri" w:eastAsia="Times New Roman" w:hAnsi="Calibri" w:cs="Times New Roman"/>
          <w:szCs w:val="24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4"/>
        </w:rPr>
        <w:t xml:space="preserve"> 2020, en mettant en </w:t>
      </w:r>
      <w:proofErr w:type="spellStart"/>
      <w:r w:rsidRPr="005450F5">
        <w:rPr>
          <w:rFonts w:ascii="Calibri" w:eastAsia="Times New Roman" w:hAnsi="Calibri" w:cs="Times New Roman"/>
          <w:szCs w:val="24"/>
        </w:rPr>
        <w:t>oeuvre</w:t>
      </w:r>
      <w:proofErr w:type="spellEnd"/>
      <w:r w:rsidRPr="005450F5">
        <w:rPr>
          <w:rFonts w:ascii="Calibri" w:eastAsia="Times New Roman" w:hAnsi="Calibri" w:cs="Times New Roman"/>
          <w:szCs w:val="24"/>
        </w:rPr>
        <w:t xml:space="preserve"> les plans opérationnels des trois Secteurs et du Secrétariat général.</w:t>
      </w:r>
      <w:r w:rsidR="00EF5222" w:rsidRPr="005450F5">
        <w:rPr>
          <w:rFonts w:ascii="Calibri" w:eastAsia="Times New Roman" w:hAnsi="Calibri" w:cs="Times New Roman"/>
          <w:szCs w:val="24"/>
        </w:rPr>
        <w:t xml:space="preserve"> Les objectifs et les résultats des travaux de chaque Secteur et du Secrétariat général sont présentés de manière détaillée dans le document </w:t>
      </w:r>
      <w:hyperlink r:id="rId9" w:history="1">
        <w:r w:rsidR="00373F93" w:rsidRPr="005450F5">
          <w:rPr>
            <w:rStyle w:val="Hyperlink"/>
          </w:rPr>
          <w:t>C17/35</w:t>
        </w:r>
      </w:hyperlink>
      <w:r w:rsidR="00734CD6" w:rsidRPr="005450F5">
        <w:rPr>
          <w:rFonts w:ascii="Calibri" w:eastAsia="Times New Roman" w:hAnsi="Calibri" w:cs="Times New Roman"/>
          <w:szCs w:val="24"/>
        </w:rPr>
        <w:t>.</w:t>
      </w:r>
    </w:p>
    <w:p w:rsidR="00E02EB1" w:rsidRPr="005450F5" w:rsidRDefault="00E02EB1" w:rsidP="00734CD6">
      <w:pPr>
        <w:pStyle w:val="Headingb"/>
      </w:pPr>
      <w:r w:rsidRPr="005450F5">
        <w:t xml:space="preserve">Mieux faire connaître le Programme </w:t>
      </w:r>
      <w:proofErr w:type="spellStart"/>
      <w:r w:rsidRPr="005450F5">
        <w:t>Connect</w:t>
      </w:r>
      <w:proofErr w:type="spellEnd"/>
      <w:r w:rsidRPr="005450F5">
        <w:t xml:space="preserve"> 2020</w:t>
      </w:r>
    </w:p>
    <w:p w:rsidR="00E02EB1" w:rsidRPr="005450F5" w:rsidRDefault="00E02EB1" w:rsidP="00734CD6">
      <w:pPr>
        <w:rPr>
          <w:rFonts w:ascii="Calibri" w:eastAsia="Times New Roman" w:hAnsi="Calibri" w:cs="Times New Roman"/>
          <w:szCs w:val="24"/>
        </w:rPr>
      </w:pPr>
      <w:r w:rsidRPr="005450F5">
        <w:rPr>
          <w:rFonts w:ascii="Calibri" w:eastAsia="Times New Roman" w:hAnsi="Calibri" w:cs="Times New Roman"/>
          <w:szCs w:val="24"/>
        </w:rPr>
        <w:t>2.5</w:t>
      </w:r>
      <w:r w:rsidRPr="005450F5">
        <w:rPr>
          <w:rFonts w:ascii="Calibri" w:eastAsia="Times New Roman" w:hAnsi="Calibri" w:cs="Times New Roman"/>
          <w:szCs w:val="24"/>
        </w:rPr>
        <w:tab/>
      </w:r>
      <w:r w:rsidR="00A7583A" w:rsidRPr="005450F5">
        <w:rPr>
          <w:szCs w:val="24"/>
        </w:rPr>
        <w:t>Le secrétariat de l'UIT a continué de</w:t>
      </w:r>
      <w:r w:rsidR="00A961A6" w:rsidRPr="005450F5">
        <w:rPr>
          <w:szCs w:val="24"/>
        </w:rPr>
        <w:t xml:space="preserve"> </w:t>
      </w:r>
      <w:r w:rsidR="00A7583A" w:rsidRPr="005450F5">
        <w:rPr>
          <w:szCs w:val="24"/>
        </w:rPr>
        <w:t xml:space="preserve">sensibiliser tous les acteurs de l'écosystème des TIC au Programme </w:t>
      </w:r>
      <w:proofErr w:type="spellStart"/>
      <w:r w:rsidR="00A7583A" w:rsidRPr="005450F5">
        <w:rPr>
          <w:szCs w:val="24"/>
        </w:rPr>
        <w:t>Connect</w:t>
      </w:r>
      <w:proofErr w:type="spellEnd"/>
      <w:r w:rsidR="00A7583A" w:rsidRPr="005450F5">
        <w:rPr>
          <w:szCs w:val="24"/>
        </w:rPr>
        <w:t xml:space="preserve"> 2020, à mieux faire connaître les cibles de ce programme, à mieux faire comprendre l'intérêt de ce cadre et à l'intégrer</w:t>
      </w:r>
      <w:r w:rsidR="00A961A6" w:rsidRPr="005450F5">
        <w:rPr>
          <w:szCs w:val="24"/>
        </w:rPr>
        <w:t xml:space="preserve"> </w:t>
      </w:r>
      <w:r w:rsidR="00A7583A" w:rsidRPr="005450F5">
        <w:rPr>
          <w:szCs w:val="24"/>
        </w:rPr>
        <w:t>davantage dans les priorités d</w:t>
      </w:r>
      <w:r w:rsidR="00734CD6" w:rsidRPr="005450F5">
        <w:rPr>
          <w:szCs w:val="24"/>
        </w:rPr>
        <w:t>'</w:t>
      </w:r>
      <w:r w:rsidR="00A7583A" w:rsidRPr="005450F5">
        <w:rPr>
          <w:szCs w:val="24"/>
        </w:rPr>
        <w:t>action de la communauté internationale</w:t>
      </w:r>
      <w:r w:rsidRPr="005450F5">
        <w:rPr>
          <w:rFonts w:ascii="Calibri" w:eastAsia="Times New Roman" w:hAnsi="Calibri" w:cs="Times New Roman"/>
          <w:szCs w:val="24"/>
        </w:rPr>
        <w:t>.</w:t>
      </w:r>
    </w:p>
    <w:p w:rsidR="00E02EB1" w:rsidRPr="005450F5" w:rsidRDefault="00E02EB1" w:rsidP="00257052">
      <w:pPr>
        <w:rPr>
          <w:rFonts w:ascii="Calibri" w:eastAsia="Times New Roman" w:hAnsi="Calibri" w:cs="Times New Roman"/>
          <w:szCs w:val="24"/>
        </w:rPr>
      </w:pPr>
      <w:r w:rsidRPr="005450F5">
        <w:rPr>
          <w:rFonts w:ascii="Calibri" w:eastAsia="Times New Roman" w:hAnsi="Calibri" w:cs="Times New Roman"/>
          <w:szCs w:val="24"/>
        </w:rPr>
        <w:t>2.6</w:t>
      </w:r>
      <w:r w:rsidRPr="005450F5">
        <w:rPr>
          <w:rFonts w:ascii="Calibri" w:eastAsia="Times New Roman" w:hAnsi="Calibri" w:cs="Times New Roman"/>
          <w:szCs w:val="24"/>
        </w:rPr>
        <w:tab/>
      </w:r>
      <w:r w:rsidR="00C27022" w:rsidRPr="005450F5">
        <w:rPr>
          <w:rFonts w:ascii="Calibri" w:eastAsia="Times New Roman" w:hAnsi="Calibri" w:cs="Times New Roman"/>
          <w:szCs w:val="24"/>
        </w:rPr>
        <w:t xml:space="preserve">Le </w:t>
      </w:r>
      <w:r w:rsidR="002A7CC4">
        <w:rPr>
          <w:szCs w:val="24"/>
        </w:rPr>
        <w:t>s</w:t>
      </w:r>
      <w:r w:rsidR="00C27022" w:rsidRPr="005450F5">
        <w:rPr>
          <w:szCs w:val="24"/>
        </w:rPr>
        <w:t>ecrétariat de l'UIT</w:t>
      </w:r>
      <w:r w:rsidR="00A961A6" w:rsidRPr="005450F5">
        <w:rPr>
          <w:szCs w:val="24"/>
        </w:rPr>
        <w:t xml:space="preserve"> </w:t>
      </w:r>
      <w:r w:rsidR="00C27022" w:rsidRPr="005450F5">
        <w:rPr>
          <w:szCs w:val="24"/>
        </w:rPr>
        <w:t>a contribué</w:t>
      </w:r>
      <w:r w:rsidR="00A961A6" w:rsidRPr="005450F5">
        <w:rPr>
          <w:szCs w:val="24"/>
        </w:rPr>
        <w:t xml:space="preserve"> </w:t>
      </w:r>
      <w:r w:rsidR="00C27022" w:rsidRPr="005450F5">
        <w:rPr>
          <w:szCs w:val="24"/>
        </w:rPr>
        <w:t xml:space="preserve">en particulier à la session spéciale </w:t>
      </w:r>
      <w:r w:rsidRPr="005450F5">
        <w:rPr>
          <w:rFonts w:ascii="Calibri" w:eastAsia="Times New Roman" w:hAnsi="Calibri" w:cs="Times New Roman"/>
          <w:szCs w:val="24"/>
        </w:rPr>
        <w:t xml:space="preserve">de la Commission sur </w:t>
      </w:r>
      <w:proofErr w:type="gramStart"/>
      <w:r w:rsidRPr="005450F5">
        <w:rPr>
          <w:rFonts w:ascii="Calibri" w:eastAsia="Times New Roman" w:hAnsi="Calibri" w:cs="Times New Roman"/>
          <w:szCs w:val="24"/>
        </w:rPr>
        <w:t>le</w:t>
      </w:r>
      <w:proofErr w:type="gramEnd"/>
      <w:r w:rsidRPr="005450F5">
        <w:rPr>
          <w:rFonts w:ascii="Calibri" w:eastAsia="Times New Roman" w:hAnsi="Calibri" w:cs="Times New Roman"/>
          <w:szCs w:val="24"/>
        </w:rPr>
        <w:t xml:space="preserve"> large bande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 </w:t>
      </w:r>
      <w:r w:rsidRPr="005450F5">
        <w:rPr>
          <w:rFonts w:ascii="Calibri" w:eastAsia="Times New Roman" w:hAnsi="Calibri" w:cs="Times New Roman"/>
          <w:szCs w:val="24"/>
        </w:rPr>
        <w:t xml:space="preserve">organisée dans le cadre du Forum économique mondial de Davos en janvier 2017, </w:t>
      </w:r>
      <w:r w:rsidR="00C27022" w:rsidRPr="005450F5">
        <w:rPr>
          <w:rFonts w:ascii="Calibri" w:eastAsia="Times New Roman" w:hAnsi="Calibri" w:cs="Times New Roman"/>
          <w:szCs w:val="24"/>
        </w:rPr>
        <w:t>en présentant un document de travail indiquant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>dans quels domaines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il </w:t>
      </w:r>
      <w:r w:rsidR="00734CD6" w:rsidRPr="005450F5">
        <w:rPr>
          <w:rFonts w:ascii="Calibri" w:eastAsia="Times New Roman" w:hAnsi="Calibri" w:cs="Times New Roman"/>
          <w:szCs w:val="24"/>
        </w:rPr>
        <w:t>convient de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 faire porter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ou </w:t>
      </w:r>
      <w:r w:rsidR="00734CD6" w:rsidRPr="005450F5">
        <w:rPr>
          <w:rFonts w:ascii="Calibri" w:eastAsia="Times New Roman" w:hAnsi="Calibri" w:cs="Times New Roman"/>
          <w:szCs w:val="24"/>
        </w:rPr>
        <w:t xml:space="preserve">de </w:t>
      </w:r>
      <w:r w:rsidR="00C27022" w:rsidRPr="005450F5">
        <w:rPr>
          <w:rFonts w:ascii="Calibri" w:eastAsia="Times New Roman" w:hAnsi="Calibri" w:cs="Times New Roman"/>
          <w:szCs w:val="24"/>
        </w:rPr>
        <w:t>renforcer les efforts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>au cours des trois prochaines années pour réaliser le programme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proofErr w:type="spellStart"/>
      <w:r w:rsidR="00734CD6" w:rsidRPr="005450F5">
        <w:rPr>
          <w:rFonts w:ascii="Calibri" w:eastAsia="Times New Roman" w:hAnsi="Calibri" w:cs="Times New Roman"/>
          <w:szCs w:val="24"/>
        </w:rPr>
        <w:t>Connect</w:t>
      </w:r>
      <w:proofErr w:type="spellEnd"/>
      <w:r w:rsidR="00734CD6" w:rsidRPr="005450F5">
        <w:rPr>
          <w:rFonts w:ascii="Calibri" w:eastAsia="Times New Roman" w:hAnsi="Calibri" w:cs="Times New Roman"/>
          <w:szCs w:val="24"/>
        </w:rPr>
        <w:t> </w:t>
      </w:r>
      <w:r w:rsidRPr="005450F5">
        <w:rPr>
          <w:rFonts w:ascii="Calibri" w:eastAsia="Times New Roman" w:hAnsi="Calibri" w:cs="Times New Roman"/>
          <w:szCs w:val="24"/>
        </w:rPr>
        <w:t>2020</w:t>
      </w:r>
      <w:r w:rsidR="00734CD6" w:rsidRPr="005450F5">
        <w:rPr>
          <w:rFonts w:ascii="Calibri" w:eastAsia="Times New Roman" w:hAnsi="Calibri" w:cs="Times New Roman"/>
          <w:szCs w:val="24"/>
        </w:rPr>
        <w:t>.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 Ce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>document donn</w:t>
      </w:r>
      <w:r w:rsidR="00892C8A" w:rsidRPr="005450F5">
        <w:rPr>
          <w:rFonts w:ascii="Calibri" w:eastAsia="Times New Roman" w:hAnsi="Calibri" w:cs="Times New Roman"/>
          <w:szCs w:val="24"/>
        </w:rPr>
        <w:t>e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 plus de précisions sur ceux qui ne sont toujours pas connectés aujourd</w:t>
      </w:r>
      <w:r w:rsidR="00734CD6" w:rsidRPr="005450F5">
        <w:rPr>
          <w:rFonts w:ascii="Calibri" w:eastAsia="Times New Roman" w:hAnsi="Calibri" w:cs="Times New Roman"/>
          <w:szCs w:val="24"/>
        </w:rPr>
        <w:t>'</w:t>
      </w:r>
      <w:r w:rsidR="00C27022" w:rsidRPr="005450F5">
        <w:rPr>
          <w:rFonts w:ascii="Calibri" w:eastAsia="Times New Roman" w:hAnsi="Calibri" w:cs="Times New Roman"/>
          <w:szCs w:val="24"/>
        </w:rPr>
        <w:t>hui, et dans quels pays, sur les</w:t>
      </w:r>
      <w:r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>principaux défis à relever</w:t>
      </w:r>
      <w:r w:rsidR="00892C8A" w:rsidRPr="005450F5">
        <w:rPr>
          <w:rFonts w:ascii="Calibri" w:eastAsia="Times New Roman" w:hAnsi="Calibri" w:cs="Times New Roman"/>
          <w:szCs w:val="24"/>
        </w:rPr>
        <w:t xml:space="preserve"> pour atteindre</w:t>
      </w:r>
      <w:r w:rsidR="00C27022" w:rsidRPr="005450F5">
        <w:rPr>
          <w:rFonts w:ascii="Calibri" w:eastAsia="Times New Roman" w:hAnsi="Calibri" w:cs="Times New Roman"/>
          <w:szCs w:val="24"/>
        </w:rPr>
        <w:t xml:space="preserve"> les Cibles 1.2, 2.2.A, 2.2.B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>et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</w:t>
      </w:r>
      <w:r w:rsidR="00C27022" w:rsidRPr="005450F5">
        <w:rPr>
          <w:rFonts w:ascii="Calibri" w:eastAsia="Times New Roman" w:hAnsi="Calibri" w:cs="Times New Roman"/>
          <w:szCs w:val="24"/>
        </w:rPr>
        <w:t>2.5.A</w:t>
      </w:r>
      <w:r w:rsidR="00257052">
        <w:rPr>
          <w:rFonts w:ascii="Calibri" w:eastAsia="Times New Roman" w:hAnsi="Calibri" w:cs="Times New Roman"/>
          <w:szCs w:val="24"/>
        </w:rPr>
        <w:t>,</w:t>
      </w:r>
      <w:r w:rsidR="00257052" w:rsidRPr="00257052">
        <w:rPr>
          <w:rFonts w:ascii="Calibri" w:eastAsia="Times New Roman" w:hAnsi="Calibri" w:cs="Times New Roman"/>
          <w:szCs w:val="24"/>
        </w:rPr>
        <w:t xml:space="preserve"> </w:t>
      </w:r>
      <w:r w:rsidR="00257052" w:rsidRPr="005450F5">
        <w:rPr>
          <w:rFonts w:ascii="Calibri" w:eastAsia="Times New Roman" w:hAnsi="Calibri" w:cs="Times New Roman"/>
          <w:szCs w:val="24"/>
        </w:rPr>
        <w:t>en particulier</w:t>
      </w:r>
      <w:r w:rsidR="00C27022" w:rsidRPr="005450F5">
        <w:rPr>
          <w:rFonts w:ascii="Calibri" w:eastAsia="Times New Roman" w:hAnsi="Calibri" w:cs="Times New Roman"/>
          <w:szCs w:val="24"/>
        </w:rPr>
        <w:t>, et sur les mesures susceptibles d</w:t>
      </w:r>
      <w:r w:rsidR="00734CD6" w:rsidRPr="005450F5">
        <w:rPr>
          <w:rFonts w:ascii="Calibri" w:eastAsia="Times New Roman" w:hAnsi="Calibri" w:cs="Times New Roman"/>
          <w:szCs w:val="24"/>
        </w:rPr>
        <w:t>'</w:t>
      </w:r>
      <w:r w:rsidR="00C27022" w:rsidRPr="005450F5">
        <w:rPr>
          <w:rFonts w:ascii="Calibri" w:eastAsia="Times New Roman" w:hAnsi="Calibri" w:cs="Times New Roman"/>
          <w:szCs w:val="24"/>
        </w:rPr>
        <w:t>être prises pour connecter plus rapidement ceux qui</w:t>
      </w:r>
      <w:r w:rsidR="00A961A6" w:rsidRPr="005450F5">
        <w:rPr>
          <w:rFonts w:ascii="Calibri" w:eastAsia="Times New Roman" w:hAnsi="Calibri" w:cs="Times New Roman"/>
          <w:szCs w:val="24"/>
        </w:rPr>
        <w:t xml:space="preserve"> ne le sont pas encore.</w:t>
      </w:r>
    </w:p>
    <w:p w:rsidR="00E02EB1" w:rsidRPr="005450F5" w:rsidRDefault="00E02EB1" w:rsidP="00734CD6">
      <w:pPr>
        <w:pStyle w:val="Headingb"/>
      </w:pPr>
      <w:r w:rsidRPr="005450F5">
        <w:t>Contribution</w:t>
      </w:r>
      <w:r w:rsidR="00C27022" w:rsidRPr="005450F5">
        <w:t xml:space="preserve"> du</w:t>
      </w:r>
      <w:r w:rsidR="00A961A6" w:rsidRPr="005450F5">
        <w:t xml:space="preserve"> </w:t>
      </w:r>
      <w:r w:rsidR="00734CD6" w:rsidRPr="005450F5">
        <w:t>P</w:t>
      </w:r>
      <w:r w:rsidR="00C27022" w:rsidRPr="005450F5">
        <w:t>rogramme</w:t>
      </w:r>
      <w:r w:rsidR="00A961A6" w:rsidRPr="005450F5">
        <w:t xml:space="preserve"> </w:t>
      </w:r>
      <w:proofErr w:type="spellStart"/>
      <w:r w:rsidRPr="005450F5">
        <w:t>Connect</w:t>
      </w:r>
      <w:proofErr w:type="spellEnd"/>
      <w:r w:rsidRPr="005450F5">
        <w:t xml:space="preserve"> 2020 </w:t>
      </w:r>
      <w:r w:rsidR="00C27022" w:rsidRPr="005450F5">
        <w:t xml:space="preserve">aux </w:t>
      </w:r>
      <w:r w:rsidR="00734CD6" w:rsidRPr="005450F5">
        <w:t>O</w:t>
      </w:r>
      <w:r w:rsidR="00C27022" w:rsidRPr="005450F5">
        <w:t>bjectifs de développement durable</w:t>
      </w:r>
      <w:r w:rsidR="00A961A6" w:rsidRPr="005450F5">
        <w:t xml:space="preserve"> </w:t>
      </w:r>
    </w:p>
    <w:p w:rsidR="00E02EB1" w:rsidRPr="005450F5" w:rsidRDefault="00E02EB1" w:rsidP="00892C8A">
      <w:pPr>
        <w:rPr>
          <w:szCs w:val="20"/>
        </w:rPr>
      </w:pPr>
      <w:r w:rsidRPr="005450F5">
        <w:rPr>
          <w:szCs w:val="20"/>
        </w:rPr>
        <w:t>2.7</w:t>
      </w:r>
      <w:r w:rsidRPr="005450F5">
        <w:rPr>
          <w:szCs w:val="20"/>
        </w:rPr>
        <w:tab/>
      </w:r>
      <w:r w:rsidR="00672D4B" w:rsidRPr="005450F5">
        <w:rPr>
          <w:szCs w:val="20"/>
        </w:rPr>
        <w:t>Afin de</w:t>
      </w:r>
      <w:r w:rsidR="00A961A6" w:rsidRPr="005450F5">
        <w:rPr>
          <w:szCs w:val="20"/>
        </w:rPr>
        <w:t xml:space="preserve"> </w:t>
      </w:r>
      <w:r w:rsidR="00672D4B" w:rsidRPr="005450F5">
        <w:rPr>
          <w:szCs w:val="20"/>
        </w:rPr>
        <w:t>permettre à l</w:t>
      </w:r>
      <w:r w:rsidR="00734CD6" w:rsidRPr="005450F5">
        <w:rPr>
          <w:szCs w:val="20"/>
        </w:rPr>
        <w:t>'</w:t>
      </w:r>
      <w:r w:rsidR="00672D4B" w:rsidRPr="005450F5">
        <w:rPr>
          <w:szCs w:val="20"/>
        </w:rPr>
        <w:t>UIT</w:t>
      </w:r>
      <w:r w:rsidR="00A961A6" w:rsidRPr="005450F5">
        <w:rPr>
          <w:szCs w:val="20"/>
        </w:rPr>
        <w:t xml:space="preserve"> </w:t>
      </w:r>
      <w:r w:rsidR="00672D4B" w:rsidRPr="005450F5">
        <w:rPr>
          <w:szCs w:val="20"/>
        </w:rPr>
        <w:t>de répondre aux attentes</w:t>
      </w:r>
      <w:r w:rsidR="00A961A6" w:rsidRPr="005450F5">
        <w:rPr>
          <w:szCs w:val="20"/>
        </w:rPr>
        <w:t xml:space="preserve"> </w:t>
      </w:r>
      <w:r w:rsidR="00C27022" w:rsidRPr="005450F5">
        <w:t>de ses membres vis-à-vis du Programme</w:t>
      </w:r>
      <w:r w:rsidR="00A961A6" w:rsidRPr="005450F5">
        <w:t xml:space="preserve"> </w:t>
      </w:r>
      <w:r w:rsidR="00672D4B" w:rsidRPr="005450F5">
        <w:t>de développement durable à l</w:t>
      </w:r>
      <w:r w:rsidR="00734CD6" w:rsidRPr="005450F5">
        <w:t>'</w:t>
      </w:r>
      <w:r w:rsidR="00672D4B" w:rsidRPr="005450F5">
        <w:t xml:space="preserve">horizon 2030, le </w:t>
      </w:r>
      <w:r w:rsidR="002A7CC4">
        <w:t>s</w:t>
      </w:r>
      <w:r w:rsidR="00672D4B" w:rsidRPr="005450F5">
        <w:t>ecr</w:t>
      </w:r>
      <w:r w:rsidR="00734CD6" w:rsidRPr="005450F5">
        <w:t>é</w:t>
      </w:r>
      <w:r w:rsidR="00672D4B" w:rsidRPr="005450F5">
        <w:t xml:space="preserve">tariat a </w:t>
      </w:r>
      <w:r w:rsidR="00892C8A" w:rsidRPr="005450F5">
        <w:t>mis au point</w:t>
      </w:r>
      <w:r w:rsidR="00672D4B" w:rsidRPr="005450F5">
        <w:t xml:space="preserve"> </w:t>
      </w:r>
      <w:r w:rsidR="00734CD6" w:rsidRPr="005450F5">
        <w:t>"</w:t>
      </w:r>
      <w:r w:rsidR="00672D4B" w:rsidRPr="005450F5">
        <w:t>l</w:t>
      </w:r>
      <w:r w:rsidR="00734CD6" w:rsidRPr="005450F5">
        <w:t>'</w:t>
      </w:r>
      <w:r w:rsidR="00672D4B" w:rsidRPr="005450F5">
        <w:t xml:space="preserve">outil de mise en correspondance </w:t>
      </w:r>
      <w:r w:rsidR="00122D51" w:rsidRPr="005450F5">
        <w:t xml:space="preserve">de l'UIT </w:t>
      </w:r>
      <w:r w:rsidR="00672D4B" w:rsidRPr="005450F5">
        <w:t>avec les ODD</w:t>
      </w:r>
      <w:r w:rsidR="00734CD6" w:rsidRPr="005450F5">
        <w:t>",</w:t>
      </w:r>
      <w:r w:rsidR="00672D4B" w:rsidRPr="005450F5">
        <w:t xml:space="preserve"> qui vise à</w:t>
      </w:r>
      <w:r w:rsidR="00A961A6" w:rsidRPr="005450F5">
        <w:t xml:space="preserve"> </w:t>
      </w:r>
      <w:r w:rsidR="00122D51" w:rsidRPr="005450F5">
        <w:t>donner</w:t>
      </w:r>
      <w:r w:rsidR="00A961A6" w:rsidRPr="005450F5">
        <w:t xml:space="preserve"> </w:t>
      </w:r>
      <w:r w:rsidR="00122D51" w:rsidRPr="005450F5">
        <w:t>une vue d</w:t>
      </w:r>
      <w:r w:rsidR="00734CD6" w:rsidRPr="005450F5">
        <w:t>'ensemble complè</w:t>
      </w:r>
      <w:r w:rsidR="00122D51" w:rsidRPr="005450F5">
        <w:t>te de la façon dont le cadre stratégique de l</w:t>
      </w:r>
      <w:r w:rsidR="00734CD6" w:rsidRPr="005450F5">
        <w:t>'</w:t>
      </w:r>
      <w:r w:rsidR="00122D51" w:rsidRPr="005450F5">
        <w:t>UIT</w:t>
      </w:r>
      <w:r w:rsidR="00A961A6" w:rsidRPr="005450F5">
        <w:t xml:space="preserve"> </w:t>
      </w:r>
      <w:r w:rsidR="00122D51" w:rsidRPr="005450F5">
        <w:t xml:space="preserve">et le programme </w:t>
      </w:r>
      <w:proofErr w:type="spellStart"/>
      <w:r w:rsidR="00122D51" w:rsidRPr="005450F5">
        <w:t>Connect</w:t>
      </w:r>
      <w:proofErr w:type="spellEnd"/>
      <w:r w:rsidR="00122D51" w:rsidRPr="005450F5">
        <w:t xml:space="preserve"> 2020</w:t>
      </w:r>
      <w:r w:rsidR="00A961A6" w:rsidRPr="005450F5">
        <w:t xml:space="preserve"> </w:t>
      </w:r>
      <w:r w:rsidR="00122D51" w:rsidRPr="005450F5">
        <w:t>contribuent à la r</w:t>
      </w:r>
      <w:r w:rsidR="00734CD6" w:rsidRPr="005450F5">
        <w:t>é</w:t>
      </w:r>
      <w:r w:rsidR="00122D51" w:rsidRPr="005450F5">
        <w:t>alisation des Objectifs</w:t>
      </w:r>
      <w:r w:rsidR="00A961A6" w:rsidRPr="005450F5">
        <w:t xml:space="preserve"> </w:t>
      </w:r>
      <w:r w:rsidR="00122D51" w:rsidRPr="005450F5">
        <w:t xml:space="preserve">de développement durable. </w:t>
      </w:r>
      <w:r w:rsidRPr="005450F5">
        <w:t>(</w:t>
      </w:r>
      <w:r w:rsidR="00122D51" w:rsidRPr="005450F5">
        <w:t>ODD</w:t>
      </w:r>
      <w:r w:rsidRPr="005450F5">
        <w:t xml:space="preserve">). </w:t>
      </w:r>
      <w:r w:rsidR="00122D51" w:rsidRPr="005450F5">
        <w:t>Cet outil permet de visualiser la</w:t>
      </w:r>
      <w:r w:rsidR="00A961A6" w:rsidRPr="005450F5">
        <w:t xml:space="preserve"> </w:t>
      </w:r>
      <w:r w:rsidR="00122D51" w:rsidRPr="005450F5">
        <w:t>correspondance et le lien entre</w:t>
      </w:r>
      <w:r w:rsidR="00A961A6" w:rsidRPr="005450F5">
        <w:t xml:space="preserve"> </w:t>
      </w:r>
      <w:r w:rsidR="00122D51" w:rsidRPr="005450F5">
        <w:t>le cadre stratégique de l</w:t>
      </w:r>
      <w:r w:rsidR="00734CD6" w:rsidRPr="005450F5">
        <w:t>'</w:t>
      </w:r>
      <w:r w:rsidR="00122D51" w:rsidRPr="005450F5">
        <w:t>UIT</w:t>
      </w:r>
      <w:r w:rsidR="00734CD6" w:rsidRPr="005450F5">
        <w:t>,</w:t>
      </w:r>
      <w:r w:rsidR="00122D51" w:rsidRPr="005450F5">
        <w:t xml:space="preserve"> le</w:t>
      </w:r>
      <w:r w:rsidR="00A961A6" w:rsidRPr="005450F5">
        <w:t xml:space="preserve"> </w:t>
      </w:r>
      <w:r w:rsidR="00122D51" w:rsidRPr="005450F5">
        <w:t xml:space="preserve">Programme </w:t>
      </w:r>
      <w:proofErr w:type="spellStart"/>
      <w:r w:rsidR="00122D51" w:rsidRPr="005450F5">
        <w:t>Connect</w:t>
      </w:r>
      <w:proofErr w:type="spellEnd"/>
      <w:r w:rsidR="00122D51" w:rsidRPr="005450F5">
        <w:t xml:space="preserve"> 2020</w:t>
      </w:r>
      <w:r w:rsidR="00734CD6" w:rsidRPr="005450F5">
        <w:t>,</w:t>
      </w:r>
      <w:r w:rsidR="00122D51" w:rsidRPr="005450F5">
        <w:t xml:space="preserve"> les grandes orientations du SMSI</w:t>
      </w:r>
      <w:r w:rsidR="00A961A6" w:rsidRPr="005450F5">
        <w:t xml:space="preserve"> </w:t>
      </w:r>
      <w:r w:rsidR="00122D51" w:rsidRPr="005450F5">
        <w:t>ainsi que les ODD</w:t>
      </w:r>
      <w:r w:rsidR="00A961A6" w:rsidRPr="005450F5">
        <w:t xml:space="preserve"> </w:t>
      </w:r>
      <w:r w:rsidR="00122D51" w:rsidRPr="005450F5">
        <w:t xml:space="preserve">et les </w:t>
      </w:r>
      <w:r w:rsidR="00892C8A" w:rsidRPr="005450F5">
        <w:t>C</w:t>
      </w:r>
      <w:r w:rsidR="00122D51" w:rsidRPr="005450F5">
        <w:t>ibles qui leur sont associées.</w:t>
      </w:r>
      <w:r w:rsidR="00A961A6" w:rsidRPr="005450F5">
        <w:t xml:space="preserve"> </w:t>
      </w:r>
    </w:p>
    <w:p w:rsidR="00E02EB1" w:rsidRPr="005450F5" w:rsidRDefault="00E02EB1" w:rsidP="00734CD6">
      <w:pPr>
        <w:pStyle w:val="Heading1"/>
      </w:pPr>
      <w:r w:rsidRPr="005450F5">
        <w:lastRenderedPageBreak/>
        <w:t>3</w:t>
      </w:r>
      <w:r w:rsidRPr="005450F5">
        <w:tab/>
        <w:t>Feuille de route pour 2017</w:t>
      </w:r>
    </w:p>
    <w:p w:rsidR="00E02EB1" w:rsidRPr="005450F5" w:rsidRDefault="00E02EB1" w:rsidP="00A961A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</w:rPr>
      </w:pPr>
      <w:r w:rsidRPr="005450F5">
        <w:rPr>
          <w:rFonts w:ascii="Calibri" w:eastAsia="Times New Roman" w:hAnsi="Calibri" w:cs="Times New Roman"/>
          <w:szCs w:val="20"/>
        </w:rPr>
        <w:t>3.1</w:t>
      </w:r>
      <w:r w:rsidRPr="005450F5">
        <w:rPr>
          <w:rFonts w:ascii="Calibri" w:eastAsia="Times New Roman" w:hAnsi="Calibri" w:cs="Times New Roman"/>
          <w:szCs w:val="20"/>
        </w:rPr>
        <w:tab/>
        <w:t xml:space="preserve">L'UIT va s'employer à faire progresser, avant la fin de l'année, la mise en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oeuvre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du Programme </w:t>
      </w:r>
      <w:proofErr w:type="spellStart"/>
      <w:r w:rsidRPr="005450F5">
        <w:rPr>
          <w:rFonts w:ascii="Calibri" w:eastAsia="Times New Roman" w:hAnsi="Calibri" w:cs="Times New Roman"/>
          <w:szCs w:val="20"/>
        </w:rPr>
        <w:t>Connect</w:t>
      </w:r>
      <w:proofErr w:type="spellEnd"/>
      <w:r w:rsidRPr="005450F5">
        <w:rPr>
          <w:rFonts w:ascii="Calibri" w:eastAsia="Times New Roman" w:hAnsi="Calibri" w:cs="Times New Roman"/>
          <w:szCs w:val="20"/>
        </w:rPr>
        <w:t xml:space="preserve"> 2020, par les moyens </w:t>
      </w:r>
      <w:proofErr w:type="gramStart"/>
      <w:r w:rsidRPr="005450F5">
        <w:rPr>
          <w:rFonts w:ascii="Calibri" w:eastAsia="Times New Roman" w:hAnsi="Calibri" w:cs="Times New Roman"/>
          <w:szCs w:val="20"/>
        </w:rPr>
        <w:t>suivants:</w:t>
      </w:r>
      <w:proofErr w:type="gramEnd"/>
    </w:p>
    <w:p w:rsidR="00E02EB1" w:rsidRPr="005450F5" w:rsidRDefault="00E02EB1" w:rsidP="006022A9">
      <w:pPr>
        <w:pStyle w:val="enumlev1"/>
      </w:pPr>
      <w:r w:rsidRPr="005450F5">
        <w:rPr>
          <w:iCs/>
        </w:rPr>
        <w:t>a)</w:t>
      </w:r>
      <w:r w:rsidRPr="005450F5">
        <w:rPr>
          <w:iCs/>
        </w:rPr>
        <w:tab/>
      </w:r>
      <w:r w:rsidRPr="005450F5">
        <w:rPr>
          <w:i/>
          <w:iCs/>
        </w:rPr>
        <w:t>Méthodes de mesure</w:t>
      </w:r>
      <w:r w:rsidR="00122D51" w:rsidRPr="005450F5">
        <w:rPr>
          <w:i/>
          <w:iCs/>
        </w:rPr>
        <w:t xml:space="preserve"> et</w:t>
      </w:r>
      <w:r w:rsidR="00A961A6" w:rsidRPr="005450F5">
        <w:rPr>
          <w:i/>
          <w:iCs/>
        </w:rPr>
        <w:t xml:space="preserve"> </w:t>
      </w:r>
      <w:proofErr w:type="gramStart"/>
      <w:r w:rsidRPr="005450F5">
        <w:rPr>
          <w:i/>
          <w:iCs/>
        </w:rPr>
        <w:t>suivi</w:t>
      </w:r>
      <w:r w:rsidR="00122D51" w:rsidRPr="005450F5">
        <w:t>:</w:t>
      </w:r>
      <w:proofErr w:type="gramEnd"/>
      <w:r w:rsidR="00122D51" w:rsidRPr="005450F5">
        <w:t xml:space="preserve"> des méthodes de mesure et d'analyse de données efficaces</w:t>
      </w:r>
      <w:r w:rsidR="00A961A6" w:rsidRPr="005450F5">
        <w:t xml:space="preserve"> </w:t>
      </w:r>
      <w:r w:rsidR="00122D51" w:rsidRPr="005450F5">
        <w:t>sont essentielles</w:t>
      </w:r>
      <w:r w:rsidR="00A961A6" w:rsidRPr="005450F5">
        <w:t xml:space="preserve"> </w:t>
      </w:r>
      <w:r w:rsidR="00122D51" w:rsidRPr="005450F5">
        <w:t>pour répondre aux attentes des décideurs et des personnes sur le terrain.</w:t>
      </w:r>
      <w:r w:rsidR="00A961A6" w:rsidRPr="005450F5">
        <w:t xml:space="preserve"> </w:t>
      </w:r>
      <w:r w:rsidRPr="005450F5">
        <w:t>Les autres travaux requis dans des cas précis pour définir des méthodes de mesure vont se poursuivre.</w:t>
      </w:r>
    </w:p>
    <w:p w:rsidR="00E02EB1" w:rsidRPr="006022A9" w:rsidRDefault="00E02EB1" w:rsidP="00734CD6">
      <w:pPr>
        <w:pStyle w:val="enumlev1"/>
      </w:pPr>
      <w:proofErr w:type="gramStart"/>
      <w:r w:rsidRPr="005450F5">
        <w:t>b)</w:t>
      </w:r>
      <w:r w:rsidRPr="005450F5">
        <w:tab/>
      </w:r>
      <w:r w:rsidR="00122D51" w:rsidRPr="006022A9">
        <w:rPr>
          <w:i/>
          <w:iCs/>
          <w:szCs w:val="24"/>
        </w:rPr>
        <w:t>Examen des</w:t>
      </w:r>
      <w:r w:rsidR="00A961A6" w:rsidRPr="006022A9">
        <w:rPr>
          <w:i/>
          <w:iCs/>
          <w:szCs w:val="24"/>
        </w:rPr>
        <w:t xml:space="preserve"> </w:t>
      </w:r>
      <w:r w:rsidR="00122D51" w:rsidRPr="006022A9">
        <w:rPr>
          <w:i/>
          <w:iCs/>
        </w:rPr>
        <w:t>progrès accomplis dans la réalisation</w:t>
      </w:r>
      <w:r w:rsidR="00A961A6" w:rsidRPr="006022A9">
        <w:rPr>
          <w:i/>
          <w:iCs/>
        </w:rPr>
        <w:t xml:space="preserve"> </w:t>
      </w:r>
      <w:r w:rsidR="00122D51" w:rsidRPr="006022A9">
        <w:rPr>
          <w:i/>
          <w:iCs/>
        </w:rPr>
        <w:t xml:space="preserve">du Programme </w:t>
      </w:r>
      <w:proofErr w:type="spellStart"/>
      <w:r w:rsidR="00122D51" w:rsidRPr="006022A9">
        <w:rPr>
          <w:i/>
          <w:iCs/>
        </w:rPr>
        <w:t>Connect</w:t>
      </w:r>
      <w:proofErr w:type="spellEnd"/>
      <w:r w:rsidR="00122D51" w:rsidRPr="006022A9">
        <w:rPr>
          <w:i/>
          <w:iCs/>
        </w:rPr>
        <w:t xml:space="preserve"> 2020</w:t>
      </w:r>
      <w:r w:rsidR="00A961A6" w:rsidRPr="006022A9">
        <w:rPr>
          <w:i/>
          <w:iCs/>
        </w:rPr>
        <w:t xml:space="preserve"> </w:t>
      </w:r>
      <w:r w:rsidR="00122D51" w:rsidRPr="006022A9">
        <w:rPr>
          <w:i/>
          <w:iCs/>
        </w:rPr>
        <w:t xml:space="preserve">en vue de la </w:t>
      </w:r>
      <w:r w:rsidR="00892C8A" w:rsidRPr="006022A9">
        <w:rPr>
          <w:i/>
          <w:iCs/>
        </w:rPr>
        <w:t>C</w:t>
      </w:r>
      <w:r w:rsidR="00122D51" w:rsidRPr="006022A9">
        <w:rPr>
          <w:i/>
          <w:iCs/>
        </w:rPr>
        <w:t>onférence de plénipotentiaires de 2018</w:t>
      </w:r>
      <w:r w:rsidRPr="006022A9">
        <w:rPr>
          <w:szCs w:val="24"/>
        </w:rPr>
        <w:t>:</w:t>
      </w:r>
      <w:r w:rsidR="00122D51" w:rsidRPr="006022A9">
        <w:rPr>
          <w:szCs w:val="24"/>
        </w:rPr>
        <w:t xml:space="preserve"> il sera</w:t>
      </w:r>
      <w:r w:rsidR="00A961A6" w:rsidRPr="006022A9">
        <w:rPr>
          <w:szCs w:val="24"/>
        </w:rPr>
        <w:t xml:space="preserve"> </w:t>
      </w:r>
      <w:r w:rsidR="00122D51" w:rsidRPr="006022A9">
        <w:rPr>
          <w:szCs w:val="24"/>
        </w:rPr>
        <w:t>procédé à un examen approfondi de l</w:t>
      </w:r>
      <w:r w:rsidR="00734CD6" w:rsidRPr="006022A9">
        <w:rPr>
          <w:szCs w:val="24"/>
        </w:rPr>
        <w:t>'</w:t>
      </w:r>
      <w:r w:rsidR="00122D51" w:rsidRPr="006022A9">
        <w:rPr>
          <w:szCs w:val="24"/>
        </w:rPr>
        <w:t>état d</w:t>
      </w:r>
      <w:r w:rsidR="00734CD6" w:rsidRPr="006022A9">
        <w:rPr>
          <w:szCs w:val="24"/>
        </w:rPr>
        <w:t>'</w:t>
      </w:r>
      <w:r w:rsidR="00122D51" w:rsidRPr="006022A9">
        <w:rPr>
          <w:szCs w:val="24"/>
        </w:rPr>
        <w:t xml:space="preserve">avancement de la mise en </w:t>
      </w:r>
      <w:proofErr w:type="spellStart"/>
      <w:r w:rsidR="00122D51" w:rsidRPr="006022A9">
        <w:rPr>
          <w:szCs w:val="24"/>
        </w:rPr>
        <w:t>oeuvre</w:t>
      </w:r>
      <w:proofErr w:type="spellEnd"/>
      <w:r w:rsidR="00A961A6" w:rsidRPr="006022A9">
        <w:rPr>
          <w:szCs w:val="24"/>
        </w:rPr>
        <w:t xml:space="preserve"> </w:t>
      </w:r>
      <w:r w:rsidR="00122D51" w:rsidRPr="006022A9">
        <w:rPr>
          <w:szCs w:val="24"/>
        </w:rPr>
        <w:t xml:space="preserve">des objectifs et des cibles du </w:t>
      </w:r>
      <w:r w:rsidR="00122D51" w:rsidRPr="006022A9">
        <w:t xml:space="preserve">Programme </w:t>
      </w:r>
      <w:proofErr w:type="spellStart"/>
      <w:r w:rsidR="00122D51" w:rsidRPr="006022A9">
        <w:t>Connect</w:t>
      </w:r>
      <w:proofErr w:type="spellEnd"/>
      <w:r w:rsidR="00122D51" w:rsidRPr="006022A9">
        <w:t xml:space="preserve"> 2020</w:t>
      </w:r>
      <w:r w:rsidR="00A961A6" w:rsidRPr="006022A9">
        <w:t xml:space="preserve"> </w:t>
      </w:r>
      <w:r w:rsidR="00122D51" w:rsidRPr="006022A9">
        <w:rPr>
          <w:szCs w:val="24"/>
        </w:rPr>
        <w:t xml:space="preserve">et des </w:t>
      </w:r>
      <w:r w:rsidR="005450F5" w:rsidRPr="006022A9">
        <w:rPr>
          <w:szCs w:val="24"/>
        </w:rPr>
        <w:t>progrès</w:t>
      </w:r>
      <w:r w:rsidR="00A961A6" w:rsidRPr="006022A9">
        <w:rPr>
          <w:szCs w:val="24"/>
        </w:rPr>
        <w:t xml:space="preserve"> </w:t>
      </w:r>
      <w:r w:rsidR="00C14900" w:rsidRPr="006022A9">
        <w:rPr>
          <w:szCs w:val="24"/>
        </w:rPr>
        <w:t>accomplis</w:t>
      </w:r>
      <w:r w:rsidR="00A961A6" w:rsidRPr="006022A9">
        <w:rPr>
          <w:szCs w:val="24"/>
        </w:rPr>
        <w:t xml:space="preserve"> </w:t>
      </w:r>
      <w:r w:rsidR="00C14900" w:rsidRPr="006022A9">
        <w:rPr>
          <w:szCs w:val="24"/>
        </w:rPr>
        <w:t>en la matière</w:t>
      </w:r>
      <w:r w:rsidR="00734CD6" w:rsidRPr="006022A9">
        <w:rPr>
          <w:szCs w:val="24"/>
        </w:rPr>
        <w:t>,</w:t>
      </w:r>
      <w:r w:rsidR="00122D51" w:rsidRPr="006022A9">
        <w:rPr>
          <w:szCs w:val="24"/>
        </w:rPr>
        <w:t xml:space="preserve"> afin d</w:t>
      </w:r>
      <w:r w:rsidR="00734CD6" w:rsidRPr="006022A9">
        <w:rPr>
          <w:szCs w:val="24"/>
        </w:rPr>
        <w:t>'</w:t>
      </w:r>
      <w:r w:rsidR="00122D51" w:rsidRPr="006022A9">
        <w:rPr>
          <w:szCs w:val="24"/>
        </w:rPr>
        <w:t>analyser de manière stratégi</w:t>
      </w:r>
      <w:r w:rsidR="00C14900" w:rsidRPr="006022A9">
        <w:rPr>
          <w:szCs w:val="24"/>
        </w:rPr>
        <w:t>qu</w:t>
      </w:r>
      <w:r w:rsidR="00122D51" w:rsidRPr="006022A9">
        <w:rPr>
          <w:szCs w:val="24"/>
        </w:rPr>
        <w:t xml:space="preserve">e </w:t>
      </w:r>
      <w:r w:rsidR="00C14900" w:rsidRPr="006022A9">
        <w:rPr>
          <w:szCs w:val="24"/>
        </w:rPr>
        <w:t>les domaines dans lesquels il convient de faire porter les efforts</w:t>
      </w:r>
      <w:r w:rsidR="00A961A6" w:rsidRPr="006022A9">
        <w:rPr>
          <w:szCs w:val="24"/>
        </w:rPr>
        <w:t xml:space="preserve"> </w:t>
      </w:r>
      <w:r w:rsidR="00C14900" w:rsidRPr="006022A9">
        <w:rPr>
          <w:szCs w:val="24"/>
        </w:rPr>
        <w:t>et de préparer l</w:t>
      </w:r>
      <w:r w:rsidR="00734CD6" w:rsidRPr="006022A9">
        <w:rPr>
          <w:szCs w:val="24"/>
        </w:rPr>
        <w:t>'</w:t>
      </w:r>
      <w:r w:rsidR="00C14900" w:rsidRPr="006022A9">
        <w:rPr>
          <w:szCs w:val="24"/>
        </w:rPr>
        <w:t>élaboration des cibles pour le prochain plan stratégique de l</w:t>
      </w:r>
      <w:r w:rsidR="00734CD6" w:rsidRPr="006022A9">
        <w:rPr>
          <w:szCs w:val="24"/>
        </w:rPr>
        <w:t>'</w:t>
      </w:r>
      <w:r w:rsidRPr="006022A9">
        <w:rPr>
          <w:szCs w:val="24"/>
        </w:rPr>
        <w:t>Union.</w:t>
      </w:r>
      <w:proofErr w:type="gramEnd"/>
    </w:p>
    <w:p w:rsidR="00E02EB1" w:rsidRPr="005450F5" w:rsidRDefault="00E02EB1" w:rsidP="00734CD6">
      <w:pPr>
        <w:pStyle w:val="enumlev1"/>
      </w:pPr>
      <w:r w:rsidRPr="005450F5">
        <w:t>c)</w:t>
      </w:r>
      <w:r w:rsidRPr="005450F5">
        <w:tab/>
      </w:r>
      <w:r w:rsidRPr="005450F5">
        <w:rPr>
          <w:i/>
          <w:iCs/>
        </w:rPr>
        <w:t xml:space="preserve">Mise en </w:t>
      </w:r>
      <w:proofErr w:type="spellStart"/>
      <w:r w:rsidRPr="005450F5">
        <w:rPr>
          <w:i/>
          <w:iCs/>
        </w:rPr>
        <w:t>oeuvre</w:t>
      </w:r>
      <w:proofErr w:type="spellEnd"/>
      <w:r w:rsidRPr="005450F5">
        <w:rPr>
          <w:i/>
          <w:iCs/>
        </w:rPr>
        <w:t xml:space="preserve"> coordonnée d</w:t>
      </w:r>
      <w:r w:rsidR="00C14900" w:rsidRPr="005450F5">
        <w:rPr>
          <w:i/>
          <w:iCs/>
        </w:rPr>
        <w:t>es</w:t>
      </w:r>
      <w:r w:rsidRPr="005450F5">
        <w:rPr>
          <w:i/>
          <w:iCs/>
        </w:rPr>
        <w:t xml:space="preserve"> plans stratégiques et des plans opérationnels de </w:t>
      </w:r>
      <w:proofErr w:type="gramStart"/>
      <w:r w:rsidRPr="005450F5">
        <w:rPr>
          <w:i/>
          <w:iCs/>
        </w:rPr>
        <w:t>l'UIT</w:t>
      </w:r>
      <w:r w:rsidRPr="005450F5">
        <w:t>:</w:t>
      </w:r>
      <w:proofErr w:type="gramEnd"/>
      <w:r w:rsidRPr="005450F5">
        <w:t xml:space="preserve"> Pour optimiser les retombées des activités de l'UIT, il faudra assurer</w:t>
      </w:r>
      <w:r w:rsidR="00C14900" w:rsidRPr="005450F5">
        <w:t xml:space="preserve"> une</w:t>
      </w:r>
      <w:r w:rsidR="00A961A6" w:rsidRPr="005450F5">
        <w:t xml:space="preserve"> </w:t>
      </w:r>
      <w:r w:rsidRPr="005450F5">
        <w:t>coordination intersectorielle</w:t>
      </w:r>
      <w:r w:rsidR="00A961A6" w:rsidRPr="005450F5">
        <w:t xml:space="preserve"> </w:t>
      </w:r>
      <w:r w:rsidR="00C14900" w:rsidRPr="005450F5">
        <w:t>entre les</w:t>
      </w:r>
      <w:r w:rsidRPr="005450F5">
        <w:t xml:space="preserve"> domaines thématiques communs à plusieurs secteurs </w:t>
      </w:r>
      <w:r w:rsidR="00C14900" w:rsidRPr="005450F5">
        <w:t>visés</w:t>
      </w:r>
      <w:r w:rsidR="00A961A6" w:rsidRPr="005450F5">
        <w:t xml:space="preserve"> </w:t>
      </w:r>
      <w:r w:rsidRPr="005450F5">
        <w:t xml:space="preserve">par les objectifs et les cibles du Programme </w:t>
      </w:r>
      <w:proofErr w:type="spellStart"/>
      <w:r w:rsidRPr="005450F5">
        <w:t>Connect</w:t>
      </w:r>
      <w:proofErr w:type="spellEnd"/>
      <w:r w:rsidRPr="005450F5">
        <w:t xml:space="preserve"> 2020.</w:t>
      </w:r>
    </w:p>
    <w:p w:rsidR="00E02EB1" w:rsidRPr="005450F5" w:rsidRDefault="00E02EB1" w:rsidP="00892C8A">
      <w:pPr>
        <w:pStyle w:val="Heading1"/>
        <w:spacing w:after="120"/>
      </w:pPr>
      <w:r w:rsidRPr="005450F5">
        <w:t>4</w:t>
      </w:r>
      <w:r w:rsidRPr="005450F5">
        <w:tab/>
        <w:t xml:space="preserve">Prochaines étapes proposées pour rendre compte des progrès accomplis dans la mise en </w:t>
      </w:r>
      <w:proofErr w:type="spellStart"/>
      <w:r w:rsidR="006022A9">
        <w:t>oe</w:t>
      </w:r>
      <w:r w:rsidRPr="005450F5">
        <w:t>uvre</w:t>
      </w:r>
      <w:proofErr w:type="spellEnd"/>
      <w:r w:rsidRPr="005450F5">
        <w:t xml:space="preserve"> des objectifs et des cibles du Programme </w:t>
      </w:r>
      <w:proofErr w:type="spellStart"/>
      <w:r w:rsidRPr="005450F5">
        <w:t>Connect</w:t>
      </w:r>
      <w:proofErr w:type="spellEnd"/>
      <w:r w:rsidRPr="005450F5">
        <w:t xml:space="preserve"> 2020</w:t>
      </w:r>
    </w:p>
    <w:tbl>
      <w:tblPr>
        <w:tblStyle w:val="ListTable3-Accent11"/>
        <w:tblW w:w="0" w:type="auto"/>
        <w:tblLayout w:type="fixed"/>
        <w:tblLook w:val="0420" w:firstRow="1" w:lastRow="0" w:firstColumn="0" w:lastColumn="0" w:noHBand="0" w:noVBand="1"/>
      </w:tblPr>
      <w:tblGrid>
        <w:gridCol w:w="6232"/>
        <w:gridCol w:w="3397"/>
      </w:tblGrid>
      <w:tr w:rsidR="00E02EB1" w:rsidRPr="005450F5" w:rsidTr="0089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2" w:type="dxa"/>
            <w:tcBorders>
              <w:top w:val="single" w:sz="4" w:space="0" w:color="4F81BD" w:themeColor="accent1"/>
            </w:tcBorders>
            <w:vAlign w:val="center"/>
          </w:tcPr>
          <w:p w:rsidR="00E02EB1" w:rsidRPr="005450F5" w:rsidRDefault="00E02EB1" w:rsidP="00892C8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But/cible</w:t>
            </w:r>
          </w:p>
        </w:tc>
        <w:tc>
          <w:tcPr>
            <w:tcW w:w="3397" w:type="dxa"/>
            <w:tcBorders>
              <w:top w:val="single" w:sz="4" w:space="0" w:color="4F81BD" w:themeColor="accent1"/>
            </w:tcBorders>
            <w:vAlign w:val="center"/>
          </w:tcPr>
          <w:p w:rsidR="00E02EB1" w:rsidRPr="005450F5" w:rsidRDefault="00E02EB1" w:rsidP="00892C8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Theme="majorEastAsia" w:hAnsi="Calibri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Cs w:val="22"/>
                <w:lang w:val="fr-FR"/>
              </w:rPr>
              <w:t>Statut</w:t>
            </w:r>
          </w:p>
        </w:tc>
      </w:tr>
      <w:tr w:rsidR="00E02EB1" w:rsidRPr="005450F5" w:rsidTr="0089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tcW w:w="9629" w:type="dxa"/>
            <w:gridSpan w:val="2"/>
            <w:vAlign w:val="center"/>
          </w:tcPr>
          <w:p w:rsidR="00E02EB1" w:rsidRPr="005450F5" w:rsidRDefault="00E02EB1" w:rsidP="00892C8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BUT </w:t>
            </w:r>
            <w:proofErr w:type="gramStart"/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>1:</w:t>
            </w:r>
            <w:proofErr w:type="gramEnd"/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CROISSANCE – Permettre et encourager l'accès aux télécommunications/TIC et leur utilisation accrue</w:t>
            </w:r>
          </w:p>
        </w:tc>
      </w:tr>
      <w:tr w:rsidR="00E02EB1" w:rsidRPr="005450F5" w:rsidTr="00892C8A">
        <w:tc>
          <w:tcPr>
            <w:tcW w:w="6232" w:type="dxa"/>
            <w:vAlign w:val="center"/>
          </w:tcPr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1.1: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A l'échelle mondiale, 55% des ménages devraient avoir accès à l'Internet à l'horizon 2020</w:t>
            </w:r>
          </w:p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1.2: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A l'échelle mondiale, 60% de la population devrait utiliser l'Internet à l'horizon 2020</w:t>
            </w:r>
          </w:p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1.3: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A l'échelle mondiale, le prix des télécommunications/TIC devrait avoir baissé de 40% à l'horizon 2020</w:t>
            </w:r>
          </w:p>
        </w:tc>
        <w:tc>
          <w:tcPr>
            <w:tcW w:w="3397" w:type="dxa"/>
            <w:vAlign w:val="center"/>
          </w:tcPr>
          <w:p w:rsidR="00E02EB1" w:rsidRPr="005450F5" w:rsidRDefault="00892C8A" w:rsidP="00892C8A">
            <w:pPr>
              <w:spacing w:before="40" w:after="40"/>
              <w:ind w:left="357"/>
              <w:jc w:val="center"/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>E</w:t>
            </w:r>
            <w:r w:rsidR="00E02EB1"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 xml:space="preserve">valuation incluse dans le Document </w:t>
            </w:r>
            <w:hyperlink r:id="rId10" w:history="1">
              <w:r w:rsidR="00E02EB1" w:rsidRPr="005450F5">
                <w:rPr>
                  <w:rFonts w:asciiTheme="minorHAnsi" w:eastAsiaTheme="minorEastAsia" w:hAnsiTheme="minorHAnsi"/>
                  <w:color w:val="0000FF"/>
                  <w:sz w:val="22"/>
                  <w:szCs w:val="22"/>
                  <w:u w:val="single"/>
                  <w:lang w:val="fr-FR"/>
                </w:rPr>
                <w:t>C17/35</w:t>
              </w:r>
            </w:hyperlink>
            <w:r w:rsidR="00373F93" w:rsidRPr="005450F5">
              <w:rPr>
                <w:rFonts w:eastAsiaTheme="minorEastAsia"/>
                <w:lang w:val="fr-FR"/>
              </w:rPr>
              <w:t>.</w:t>
            </w:r>
          </w:p>
        </w:tc>
      </w:tr>
      <w:tr w:rsidR="00E02EB1" w:rsidRPr="005450F5" w:rsidTr="0089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9" w:type="dxa"/>
            <w:gridSpan w:val="2"/>
            <w:vAlign w:val="center"/>
          </w:tcPr>
          <w:p w:rsidR="00E02EB1" w:rsidRPr="005450F5" w:rsidRDefault="00E02EB1" w:rsidP="00892C8A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lastRenderedPageBreak/>
              <w:t xml:space="preserve">BUT </w:t>
            </w:r>
            <w:proofErr w:type="gramStart"/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>2:</w:t>
            </w:r>
            <w:proofErr w:type="gramEnd"/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INCLUSION – Réduire la fracture numérique et mettre le large bande à la portée de tous</w:t>
            </w:r>
          </w:p>
        </w:tc>
      </w:tr>
      <w:tr w:rsidR="00E02EB1" w:rsidRPr="005450F5" w:rsidTr="00892C8A">
        <w:tc>
          <w:tcPr>
            <w:tcW w:w="6232" w:type="dxa"/>
            <w:vAlign w:val="center"/>
          </w:tcPr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2.1.A: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Dans les pays en développement, 50% des ménages devraient avoir accès à l'Internet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2.1.B: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Dans les pays les moins avancés (PMA), 15% des ménages devraient avoir accès à l'Internet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2.2.A: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Dans les pays en développement, 50% de la population devrait utiliser l'Internet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2.2.B: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Dans les pays les moins avancés (PMA), 20% de la population devrait utiliser l'Internet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2.3.A: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L'écart en matière d'accessibilité économique entre pays développés et pays en développement devrait être réduit de 40%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2.3.B: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Le prix des services large bande ne devrait pas représenter plus de 5% du revenu mensuel moyen dans les pays en développement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2.4: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A l'échelle mondiale, 90% de la population rurale devrait être desservie par le large bande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2.5.A: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L'égalité hommes/femmes parmi les internautes devrait être assurée à l'horizon 2020</w:t>
            </w:r>
          </w:p>
          <w:p w:rsidR="00E02EB1" w:rsidRPr="005450F5" w:rsidRDefault="00E02EB1" w:rsidP="00892C8A">
            <w:pPr>
              <w:keepNext/>
              <w:keepLines/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2.5.B: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Des environnements propices garantissant l'accessibilité des télécommunications/TIC pour les personnes handicapées devraient être mis en place dans tous les pays à l'horizon 2020</w:t>
            </w:r>
          </w:p>
        </w:tc>
        <w:tc>
          <w:tcPr>
            <w:tcW w:w="3397" w:type="dxa"/>
            <w:vAlign w:val="center"/>
          </w:tcPr>
          <w:p w:rsidR="00E02EB1" w:rsidRPr="005450F5" w:rsidRDefault="00892C8A" w:rsidP="00373F93">
            <w:pPr>
              <w:keepNext/>
              <w:keepLines/>
              <w:spacing w:before="40" w:after="40"/>
              <w:ind w:left="357"/>
              <w:jc w:val="center"/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>E</w:t>
            </w:r>
            <w:r w:rsidR="00E02EB1"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 xml:space="preserve">valuation incluse dans le Document </w:t>
            </w:r>
            <w:hyperlink r:id="rId11" w:history="1">
              <w:r w:rsidR="00E02EB1" w:rsidRPr="005450F5">
                <w:rPr>
                  <w:rFonts w:asciiTheme="minorHAnsi" w:eastAsiaTheme="minorEastAsia" w:hAnsiTheme="minorHAnsi"/>
                  <w:color w:val="0000FF"/>
                  <w:sz w:val="22"/>
                  <w:szCs w:val="22"/>
                  <w:u w:val="single"/>
                  <w:lang w:val="fr-FR"/>
                </w:rPr>
                <w:t>C17/35</w:t>
              </w:r>
            </w:hyperlink>
            <w:r w:rsidR="00373F93" w:rsidRPr="005450F5">
              <w:rPr>
                <w:rFonts w:eastAsiaTheme="minorEastAsia"/>
                <w:lang w:val="fr-FR"/>
              </w:rPr>
              <w:t>.</w:t>
            </w:r>
          </w:p>
        </w:tc>
      </w:tr>
      <w:tr w:rsidR="00E02EB1" w:rsidRPr="005450F5" w:rsidTr="0089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9" w:type="dxa"/>
            <w:gridSpan w:val="2"/>
            <w:vAlign w:val="center"/>
          </w:tcPr>
          <w:p w:rsidR="00E02EB1" w:rsidRPr="005450F5" w:rsidRDefault="00E02EB1" w:rsidP="00892C8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BUT </w:t>
            </w:r>
            <w:proofErr w:type="gramStart"/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>3:</w:t>
            </w:r>
            <w:proofErr w:type="gramEnd"/>
            <w:r w:rsidRPr="005450F5">
              <w:rPr>
                <w:rFonts w:ascii="Calibri" w:eastAsiaTheme="majorEastAsia" w:hAnsi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DURABILITÉ – Gérer les problèmes résultant du développement des télécommunications/TIC</w:t>
            </w:r>
          </w:p>
        </w:tc>
      </w:tr>
      <w:tr w:rsidR="00E02EB1" w:rsidRPr="005450F5" w:rsidTr="00892C8A">
        <w:tc>
          <w:tcPr>
            <w:tcW w:w="6232" w:type="dxa"/>
            <w:vAlign w:val="center"/>
          </w:tcPr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3.1: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L'état de préparation en matière de </w:t>
            </w:r>
            <w:proofErr w:type="spell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cybersécurité</w:t>
            </w:r>
            <w:proofErr w:type="spell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devrait être amélioré de 40% à l'horizon 2020</w:t>
            </w:r>
          </w:p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3.2: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Le volume des déchets d'équipements électriques et électroniques superflus devrait être réduit de 50% à l'horizon 2020</w:t>
            </w:r>
          </w:p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3.3: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Le volume des émissions des gaz à effet de serre produits par le secteur des télécommunications/TIC devrait être réduit de 30% par dispositif à l'horizon 2020</w:t>
            </w:r>
          </w:p>
        </w:tc>
        <w:tc>
          <w:tcPr>
            <w:tcW w:w="3397" w:type="dxa"/>
            <w:vAlign w:val="center"/>
          </w:tcPr>
          <w:p w:rsidR="00E02EB1" w:rsidRPr="005450F5" w:rsidRDefault="00E02EB1" w:rsidP="00892C8A">
            <w:pPr>
              <w:spacing w:before="40" w:after="40"/>
              <w:ind w:left="357"/>
              <w:jc w:val="center"/>
              <w:rPr>
                <w:rFonts w:asciiTheme="minorHAnsi" w:eastAsiaTheme="majorEastAsia" w:hAnsiTheme="minorHAns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 xml:space="preserve">Cible </w:t>
            </w:r>
            <w:proofErr w:type="gramStart"/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>3.1:</w:t>
            </w:r>
            <w:proofErr w:type="gramEnd"/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892C8A"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>I</w:t>
            </w:r>
            <w:r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 xml:space="preserve">nformation incluse dans le Document </w:t>
            </w:r>
            <w:hyperlink r:id="rId12" w:history="1">
              <w:r w:rsidRPr="005450F5">
                <w:rPr>
                  <w:rFonts w:asciiTheme="minorHAnsi" w:eastAsiaTheme="minorEastAsia" w:hAnsiTheme="minorHAnsi"/>
                  <w:color w:val="0000FF"/>
                  <w:sz w:val="22"/>
                  <w:szCs w:val="22"/>
                  <w:u w:val="single"/>
                  <w:lang w:val="fr-FR"/>
                </w:rPr>
                <w:t>C17/35</w:t>
              </w:r>
            </w:hyperlink>
            <w:r w:rsidR="00991066" w:rsidRPr="005450F5">
              <w:rPr>
                <w:rFonts w:eastAsiaTheme="minorEastAsia"/>
                <w:lang w:val="fr-FR"/>
              </w:rPr>
              <w:t>.</w:t>
            </w:r>
          </w:p>
          <w:p w:rsidR="00E02EB1" w:rsidRPr="005450F5" w:rsidRDefault="00E02EB1" w:rsidP="00892C8A">
            <w:pPr>
              <w:spacing w:before="40" w:after="40"/>
              <w:ind w:left="357"/>
              <w:jc w:val="center"/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 xml:space="preserve">La feuille de route pour les cibles 3.2 et 3.3 est en cours d'élaboration, </w:t>
            </w:r>
            <w:r w:rsidRPr="005450F5">
              <w:rPr>
                <w:rFonts w:asciiTheme="minorHAnsi" w:eastAsiaTheme="majorEastAsia" w:hAnsiTheme="minorHAnsi"/>
                <w:sz w:val="22"/>
                <w:szCs w:val="22"/>
                <w:lang w:val="fr-FR"/>
              </w:rPr>
              <w:t>en collaboration avec les membres de l'UIT et les organisations concernées</w:t>
            </w:r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</w:tr>
      <w:tr w:rsidR="00E02EB1" w:rsidRPr="005450F5" w:rsidTr="0089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9" w:type="dxa"/>
            <w:gridSpan w:val="2"/>
            <w:vAlign w:val="center"/>
          </w:tcPr>
          <w:p w:rsidR="00E02EB1" w:rsidRPr="005450F5" w:rsidRDefault="00E02EB1" w:rsidP="00892C8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eastAsiaTheme="majorEastAsia" w:hAnsiTheme="minorHAns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Theme="minorHAnsi" w:eastAsiaTheme="majorEastAsia" w:hAnsiTheme="minorHAnsi"/>
                <w:b/>
                <w:bCs/>
                <w:color w:val="000000" w:themeColor="text1"/>
                <w:sz w:val="22"/>
                <w:szCs w:val="22"/>
                <w:lang w:val="fr-FR"/>
              </w:rPr>
              <w:t>BUT 4: INNOVATION ET PARTENARIATS – Jouer un rôle de premier plan dans l'évolution de l'environnement des télécommunications/TIC, mieux contribuer à cette évolution et s'y adapter</w:t>
            </w:r>
          </w:p>
        </w:tc>
      </w:tr>
      <w:tr w:rsidR="00E02EB1" w:rsidRPr="005450F5" w:rsidTr="00892C8A">
        <w:tc>
          <w:tcPr>
            <w:tcW w:w="6232" w:type="dxa"/>
            <w:tcBorders>
              <w:bottom w:val="single" w:sz="4" w:space="0" w:color="4F81BD" w:themeColor="accent1"/>
            </w:tcBorders>
            <w:vAlign w:val="center"/>
          </w:tcPr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4.1: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Environnement des télécommunications/TIC propice à l'innovation</w:t>
            </w:r>
          </w:p>
          <w:p w:rsidR="00E02EB1" w:rsidRPr="005450F5" w:rsidRDefault="00E02EB1" w:rsidP="00892C8A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4" w:hanging="454"/>
              <w:textAlignment w:val="baseline"/>
              <w:rPr>
                <w:rFonts w:ascii="Calibri" w:eastAsiaTheme="majorEastAsia" w:hAnsi="Calibr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•</w:t>
            </w:r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ab/>
              <w:t xml:space="preserve">Cible </w:t>
            </w:r>
            <w:proofErr w:type="gramStart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>4.2:</w:t>
            </w:r>
            <w:proofErr w:type="gramEnd"/>
            <w:r w:rsidRPr="005450F5">
              <w:rPr>
                <w:rFonts w:ascii="Calibri" w:eastAsiaTheme="majorEastAsia" w:hAnsi="Calibri"/>
                <w:sz w:val="22"/>
                <w:szCs w:val="22"/>
                <w:lang w:val="fr-FR"/>
              </w:rPr>
              <w:t xml:space="preserve"> Partenariats efficaces entre les parties prenantes dans l'environnement des télécommunications/TIC.</w:t>
            </w:r>
          </w:p>
        </w:tc>
        <w:tc>
          <w:tcPr>
            <w:tcW w:w="3397" w:type="dxa"/>
            <w:tcBorders>
              <w:bottom w:val="single" w:sz="4" w:space="0" w:color="4F81BD" w:themeColor="accent1"/>
            </w:tcBorders>
            <w:vAlign w:val="center"/>
          </w:tcPr>
          <w:p w:rsidR="00E02EB1" w:rsidRPr="005450F5" w:rsidRDefault="00E02EB1" w:rsidP="00892C8A">
            <w:pPr>
              <w:spacing w:before="40" w:after="40"/>
              <w:ind w:left="357"/>
              <w:jc w:val="center"/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</w:pPr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>L'UIT collabore avec ses partenaires à l'élaboration d'indicateurs visant à mesurer l</w:t>
            </w:r>
            <w:r w:rsidR="00892C8A"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>es résultats obtenus des Cibles </w:t>
            </w:r>
            <w:r w:rsidRPr="005450F5">
              <w:rPr>
                <w:rFonts w:asciiTheme="minorHAnsi" w:eastAsiaTheme="majorEastAsia" w:hAnsiTheme="minorHAnsi"/>
                <w:color w:val="000000" w:themeColor="text1"/>
                <w:sz w:val="22"/>
                <w:szCs w:val="22"/>
                <w:lang w:val="fr-FR"/>
              </w:rPr>
              <w:t>4.1 et 4.2.</w:t>
            </w:r>
          </w:p>
        </w:tc>
      </w:tr>
    </w:tbl>
    <w:p w:rsidR="00000E6F" w:rsidRPr="005450F5" w:rsidRDefault="00E02EB1" w:rsidP="002A7CC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40"/>
        <w:jc w:val="center"/>
        <w:textAlignment w:val="baseline"/>
      </w:pPr>
      <w:r w:rsidRPr="005450F5">
        <w:rPr>
          <w:rFonts w:ascii="Calibri" w:eastAsia="Times New Roman" w:hAnsi="Calibri" w:cs="Times New Roman"/>
          <w:szCs w:val="20"/>
        </w:rPr>
        <w:t>______________</w:t>
      </w:r>
    </w:p>
    <w:sectPr w:rsidR="00000E6F" w:rsidRPr="005450F5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DE" w:rsidRDefault="001530DE" w:rsidP="001530DE">
      <w:r>
        <w:separator/>
      </w:r>
    </w:p>
  </w:endnote>
  <w:endnote w:type="continuationSeparator" w:id="0">
    <w:p w:rsidR="001530DE" w:rsidRDefault="001530DE" w:rsidP="0015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8A" w:rsidRDefault="00AB069C">
    <w:pPr>
      <w:pStyle w:val="Footer"/>
    </w:pPr>
    <w:fldSimple w:instr=" FILENAME \p \* MERGEFORMAT ">
      <w:r w:rsidR="006022A9">
        <w:t>P:\FRA\SG\CONSEIL\C17\000\039F.docx</w:t>
      </w:r>
    </w:fldSimple>
    <w:r w:rsidR="00C14900">
      <w:tab/>
    </w:r>
    <w:r w:rsidR="001530DE">
      <w:fldChar w:fldCharType="begin"/>
    </w:r>
    <w:r w:rsidR="00C14900">
      <w:instrText xml:space="preserve"> savedate \@ dd.MM.yy </w:instrText>
    </w:r>
    <w:r w:rsidR="001530DE">
      <w:fldChar w:fldCharType="separate"/>
    </w:r>
    <w:r w:rsidR="002A7CC4">
      <w:t>01.05.17</w:t>
    </w:r>
    <w:r w:rsidR="001530DE">
      <w:fldChar w:fldCharType="end"/>
    </w:r>
    <w:r w:rsidR="00C14900">
      <w:tab/>
    </w:r>
    <w:r w:rsidR="001530DE">
      <w:fldChar w:fldCharType="begin"/>
    </w:r>
    <w:r w:rsidR="00C14900">
      <w:instrText xml:space="preserve"> printdate \@ dd.MM.yy </w:instrText>
    </w:r>
    <w:r w:rsidR="001530DE">
      <w:fldChar w:fldCharType="separate"/>
    </w:r>
    <w:r w:rsidR="006022A9">
      <w:t>01.05.17</w:t>
    </w:r>
    <w:r w:rsidR="001530D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8A" w:rsidRPr="002A7CC4" w:rsidRDefault="00AB069C" w:rsidP="00E627D9">
    <w:pPr>
      <w:pStyle w:val="Footer"/>
      <w:rPr>
        <w:color w:val="D9D9D9" w:themeColor="background1" w:themeShade="D9"/>
      </w:rPr>
    </w:pPr>
    <w:r w:rsidRPr="002A7CC4">
      <w:rPr>
        <w:color w:val="D9D9D9" w:themeColor="background1" w:themeShade="D9"/>
      </w:rPr>
      <w:fldChar w:fldCharType="begin"/>
    </w:r>
    <w:r w:rsidRPr="002A7CC4">
      <w:rPr>
        <w:color w:val="D9D9D9" w:themeColor="background1" w:themeShade="D9"/>
      </w:rPr>
      <w:instrText xml:space="preserve"> FILENAME \p  \* MERGEFORMAT </w:instrText>
    </w:r>
    <w:r w:rsidRPr="002A7CC4">
      <w:rPr>
        <w:color w:val="D9D9D9" w:themeColor="background1" w:themeShade="D9"/>
      </w:rPr>
      <w:fldChar w:fldCharType="separate"/>
    </w:r>
    <w:r w:rsidR="006022A9" w:rsidRPr="002A7CC4">
      <w:rPr>
        <w:color w:val="D9D9D9" w:themeColor="background1" w:themeShade="D9"/>
      </w:rPr>
      <w:t>P:\FRA\SG\CONSEIL\C17\000\039F.docx</w:t>
    </w:r>
    <w:r w:rsidRPr="002A7CC4">
      <w:rPr>
        <w:color w:val="D9D9D9" w:themeColor="background1" w:themeShade="D9"/>
      </w:rPr>
      <w:fldChar w:fldCharType="end"/>
    </w:r>
    <w:r w:rsidR="00C14900" w:rsidRPr="002A7CC4">
      <w:rPr>
        <w:color w:val="D9D9D9" w:themeColor="background1" w:themeShade="D9"/>
      </w:rPr>
      <w:t xml:space="preserve"> (409489)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8A" w:rsidRDefault="00C1490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33ACC" w:rsidRPr="002A7CC4" w:rsidRDefault="002A7CC4" w:rsidP="00333ACC">
    <w:pPr>
      <w:pStyle w:val="Footer"/>
      <w:rPr>
        <w:color w:val="D9D9D9" w:themeColor="background1" w:themeShade="D9"/>
      </w:rPr>
    </w:pPr>
    <w:r w:rsidRPr="002A7CC4">
      <w:rPr>
        <w:color w:val="D9D9D9" w:themeColor="background1" w:themeShade="D9"/>
      </w:rPr>
      <w:fldChar w:fldCharType="begin"/>
    </w:r>
    <w:r w:rsidRPr="002A7CC4">
      <w:rPr>
        <w:color w:val="D9D9D9" w:themeColor="background1" w:themeShade="D9"/>
      </w:rPr>
      <w:instrText xml:space="preserve"> FILENAME \p  \* MERGEFORMAT </w:instrText>
    </w:r>
    <w:r w:rsidRPr="002A7CC4">
      <w:rPr>
        <w:color w:val="D9D9D9" w:themeColor="background1" w:themeShade="D9"/>
      </w:rPr>
      <w:fldChar w:fldCharType="separate"/>
    </w:r>
    <w:r w:rsidR="006022A9" w:rsidRPr="002A7CC4">
      <w:rPr>
        <w:color w:val="D9D9D9" w:themeColor="background1" w:themeShade="D9"/>
      </w:rPr>
      <w:t>P:\FRA\SG\CONSEIL\C17\000\039F.docx</w:t>
    </w:r>
    <w:r w:rsidRPr="002A7CC4">
      <w:rPr>
        <w:color w:val="D9D9D9" w:themeColor="background1" w:themeShade="D9"/>
      </w:rPr>
      <w:fldChar w:fldCharType="end"/>
    </w:r>
    <w:r w:rsidR="00333ACC" w:rsidRPr="002A7CC4">
      <w:rPr>
        <w:color w:val="D9D9D9" w:themeColor="background1" w:themeShade="D9"/>
      </w:rPr>
      <w:t xml:space="preserve"> (409489)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DE" w:rsidRDefault="001530DE" w:rsidP="001530DE">
      <w:r>
        <w:separator/>
      </w:r>
    </w:p>
  </w:footnote>
  <w:footnote w:type="continuationSeparator" w:id="0">
    <w:p w:rsidR="001530DE" w:rsidRDefault="001530DE" w:rsidP="0015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8A" w:rsidRDefault="00C14900">
    <w:pPr>
      <w:pStyle w:val="Header"/>
    </w:pPr>
    <w:r>
      <w:t xml:space="preserve">- </w:t>
    </w:r>
    <w:r w:rsidR="001530DE">
      <w:fldChar w:fldCharType="begin"/>
    </w:r>
    <w:r>
      <w:instrText>PAGE</w:instrText>
    </w:r>
    <w:r w:rsidR="001530DE">
      <w:fldChar w:fldCharType="separate"/>
    </w:r>
    <w:r>
      <w:rPr>
        <w:noProof/>
      </w:rPr>
      <w:t>2</w:t>
    </w:r>
    <w:r w:rsidR="001530DE">
      <w:fldChar w:fldCharType="end"/>
    </w:r>
    <w:r>
      <w:t xml:space="preserve"> -</w:t>
    </w:r>
  </w:p>
  <w:p w:rsidR="00373E8A" w:rsidRDefault="00C14900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8A" w:rsidRDefault="00892C8A" w:rsidP="00892C8A">
    <w:pPr>
      <w:pStyle w:val="Header"/>
    </w:pPr>
    <w:r>
      <w:fldChar w:fldCharType="begin"/>
    </w:r>
    <w:r>
      <w:instrText>PAGE</w:instrText>
    </w:r>
    <w:r>
      <w:fldChar w:fldCharType="separate"/>
    </w:r>
    <w:r w:rsidR="002A7CC4">
      <w:rPr>
        <w:noProof/>
      </w:rPr>
      <w:t>2</w:t>
    </w:r>
    <w:r>
      <w:rPr>
        <w:noProof/>
      </w:rPr>
      <w:fldChar w:fldCharType="end"/>
    </w:r>
  </w:p>
  <w:p w:rsidR="00373E8A" w:rsidRPr="00892C8A" w:rsidRDefault="00892C8A" w:rsidP="00892C8A">
    <w:pPr>
      <w:pStyle w:val="Header"/>
      <w:spacing w:before="0"/>
    </w:pPr>
    <w:r>
      <w:t>C17/39</w:t>
    </w:r>
    <w:r w:rsidR="00333ACC"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1"/>
    <w:rsid w:val="00000E6F"/>
    <w:rsid w:val="00122D51"/>
    <w:rsid w:val="00136147"/>
    <w:rsid w:val="001530DE"/>
    <w:rsid w:val="001E3B6A"/>
    <w:rsid w:val="00257052"/>
    <w:rsid w:val="002A7CC4"/>
    <w:rsid w:val="00333ACC"/>
    <w:rsid w:val="00373F93"/>
    <w:rsid w:val="004D65C3"/>
    <w:rsid w:val="005450F5"/>
    <w:rsid w:val="006022A9"/>
    <w:rsid w:val="00672D4B"/>
    <w:rsid w:val="00734CD6"/>
    <w:rsid w:val="00892C8A"/>
    <w:rsid w:val="00991066"/>
    <w:rsid w:val="00A7583A"/>
    <w:rsid w:val="00A961A6"/>
    <w:rsid w:val="00AB069C"/>
    <w:rsid w:val="00B37A57"/>
    <w:rsid w:val="00C14900"/>
    <w:rsid w:val="00C27022"/>
    <w:rsid w:val="00CA79F8"/>
    <w:rsid w:val="00D3504D"/>
    <w:rsid w:val="00E02EB1"/>
    <w:rsid w:val="00ED2D35"/>
    <w:rsid w:val="00E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798A2E-2F55-4284-A47C-47838581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D6"/>
    <w:pPr>
      <w:spacing w:before="120"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EB1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ind w:left="567" w:hanging="567"/>
      <w:textAlignment w:val="baseline"/>
      <w:outlineLvl w:val="0"/>
    </w:pPr>
    <w:rPr>
      <w:rFonts w:ascii="Calibri" w:eastAsia="Times New Roman" w:hAnsi="Calibri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EB1"/>
    <w:rPr>
      <w:rFonts w:ascii="Calibri" w:eastAsia="Times New Roman" w:hAnsi="Calibri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E02EB1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2EB1"/>
    <w:rPr>
      <w:rFonts w:ascii="Calibri" w:eastAsia="Times New Roman" w:hAnsi="Calibri" w:cs="Times New Roman"/>
      <w:caps/>
      <w:noProof/>
      <w:sz w:val="16"/>
      <w:szCs w:val="20"/>
    </w:rPr>
  </w:style>
  <w:style w:type="paragraph" w:styleId="Header">
    <w:name w:val="header"/>
    <w:basedOn w:val="Normal"/>
    <w:link w:val="HeaderChar"/>
    <w:rsid w:val="00E02EB1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2EB1"/>
    <w:rPr>
      <w:rFonts w:ascii="Calibri" w:eastAsia="Times New Roman" w:hAnsi="Calibri" w:cs="Times New Roman"/>
      <w:sz w:val="18"/>
      <w:szCs w:val="20"/>
    </w:rPr>
  </w:style>
  <w:style w:type="paragraph" w:customStyle="1" w:styleId="enumlev1">
    <w:name w:val="enumlev1"/>
    <w:basedOn w:val="Normal"/>
    <w:rsid w:val="00E02EB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/>
      <w:ind w:left="567" w:hanging="567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Reasons">
    <w:name w:val="Reasons"/>
    <w:basedOn w:val="Normal"/>
    <w:qFormat/>
    <w:rsid w:val="00E02EB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Source">
    <w:name w:val="Source"/>
    <w:basedOn w:val="Normal"/>
    <w:next w:val="Title1"/>
    <w:rsid w:val="00E02EB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Times New Roman" w:hAnsi="Calibri" w:cs="Times New Roman"/>
      <w:b/>
      <w:sz w:val="28"/>
      <w:szCs w:val="20"/>
    </w:rPr>
  </w:style>
  <w:style w:type="paragraph" w:customStyle="1" w:styleId="Headingb">
    <w:name w:val="Heading_b"/>
    <w:basedOn w:val="Heading3"/>
    <w:next w:val="Normal"/>
    <w:rsid w:val="00E02EB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Calibri" w:eastAsia="Times New Roman" w:hAnsi="Calibri" w:cs="Times New Roman"/>
      <w:bCs w:val="0"/>
      <w:color w:val="auto"/>
      <w:szCs w:val="20"/>
    </w:rPr>
  </w:style>
  <w:style w:type="paragraph" w:customStyle="1" w:styleId="Title1">
    <w:name w:val="Title 1"/>
    <w:basedOn w:val="Source"/>
    <w:next w:val="Normal"/>
    <w:rsid w:val="00E02EB1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E02EB1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E02EB1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Table">
    <w:name w:val="Table_#"/>
    <w:basedOn w:val="Normal"/>
    <w:next w:val="Normal"/>
    <w:rsid w:val="00E02E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02EB1"/>
    <w:pPr>
      <w:spacing w:after="160" w:line="259" w:lineRule="auto"/>
      <w:ind w:left="720"/>
      <w:contextualSpacing/>
    </w:pPr>
    <w:rPr>
      <w:rFonts w:eastAsiaTheme="minorEastAsia"/>
      <w:lang w:val="en-US" w:eastAsia="zh-CN"/>
    </w:rPr>
  </w:style>
  <w:style w:type="table" w:customStyle="1" w:styleId="ListTable3-Accent11">
    <w:name w:val="List Table 3 - Accent 11"/>
    <w:basedOn w:val="TableNormal"/>
    <w:uiPriority w:val="48"/>
    <w:rsid w:val="00E02EB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02E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35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connect2020" TargetMode="External"/><Relationship Id="rId12" Type="http://schemas.openxmlformats.org/officeDocument/2006/relationships/hyperlink" Target="https://www.itu.int/md/S17-CL-C-0035/en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-C-0035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035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035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8693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route pour la mise en oeuvre du programme Connect 2020 et progrès réalisés à ce jour</dc:title>
  <dc:subject>Council 2017</dc:subject>
  <dc:creator>Anne Marie</dc:creator>
  <cp:keywords>C2017, C17</cp:keywords>
  <cp:lastModifiedBy>Brouard, Ricarda</cp:lastModifiedBy>
  <cp:revision>2</cp:revision>
  <cp:lastPrinted>2017-05-01T12:48:00Z</cp:lastPrinted>
  <dcterms:created xsi:type="dcterms:W3CDTF">2017-05-02T08:24:00Z</dcterms:created>
  <dcterms:modified xsi:type="dcterms:W3CDTF">2017-05-02T08:24:00Z</dcterms:modified>
</cp:coreProperties>
</file>