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C43174">
        <w:trPr>
          <w:cantSplit/>
        </w:trPr>
        <w:tc>
          <w:tcPr>
            <w:tcW w:w="6912" w:type="dxa"/>
          </w:tcPr>
          <w:p w:rsidR="00520F36" w:rsidRPr="00C43174" w:rsidRDefault="00520F36" w:rsidP="00520F36">
            <w:pPr>
              <w:spacing w:before="360"/>
              <w:rPr>
                <w:lang w:val="fr-CH"/>
              </w:rPr>
            </w:pPr>
            <w:bookmarkStart w:id="0" w:name="dc06"/>
            <w:bookmarkEnd w:id="0"/>
            <w:r w:rsidRPr="00C43174">
              <w:rPr>
                <w:b/>
                <w:bCs/>
                <w:sz w:val="30"/>
                <w:szCs w:val="30"/>
                <w:lang w:val="fr-CH"/>
              </w:rPr>
              <w:t>Conseil 2017</w:t>
            </w:r>
            <w:r w:rsidRPr="00C43174">
              <w:rPr>
                <w:rFonts w:ascii="Verdana" w:hAnsi="Verdana"/>
                <w:b/>
                <w:bCs/>
                <w:sz w:val="26"/>
                <w:szCs w:val="26"/>
                <w:lang w:val="fr-CH"/>
              </w:rPr>
              <w:br/>
            </w:r>
            <w:r w:rsidRPr="00C43174">
              <w:rPr>
                <w:b/>
                <w:bCs/>
                <w:szCs w:val="24"/>
                <w:lang w:val="fr-CH"/>
              </w:rPr>
              <w:t>Genève, 15-25 mai 2017</w:t>
            </w:r>
          </w:p>
        </w:tc>
        <w:tc>
          <w:tcPr>
            <w:tcW w:w="3261" w:type="dxa"/>
          </w:tcPr>
          <w:p w:rsidR="00520F36" w:rsidRPr="00C43174" w:rsidRDefault="00520F36" w:rsidP="00520F36">
            <w:pPr>
              <w:spacing w:before="0"/>
              <w:jc w:val="right"/>
              <w:rPr>
                <w:lang w:val="fr-CH"/>
              </w:rPr>
            </w:pPr>
            <w:bookmarkStart w:id="1" w:name="ditulogo"/>
            <w:bookmarkEnd w:id="1"/>
            <w:r w:rsidRPr="00C43174">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C43174" w:rsidTr="00EF41DD">
        <w:trPr>
          <w:cantSplit/>
          <w:trHeight w:val="20"/>
        </w:trPr>
        <w:tc>
          <w:tcPr>
            <w:tcW w:w="6912" w:type="dxa"/>
            <w:tcBorders>
              <w:bottom w:val="single" w:sz="12" w:space="0" w:color="auto"/>
            </w:tcBorders>
            <w:vAlign w:val="center"/>
          </w:tcPr>
          <w:p w:rsidR="00520F36" w:rsidRPr="00C43174" w:rsidRDefault="00520F36" w:rsidP="004C37A9">
            <w:pPr>
              <w:spacing w:before="0"/>
              <w:rPr>
                <w:b/>
                <w:bCs/>
                <w:sz w:val="26"/>
                <w:szCs w:val="26"/>
                <w:lang w:val="fr-CH"/>
              </w:rPr>
            </w:pPr>
          </w:p>
        </w:tc>
        <w:tc>
          <w:tcPr>
            <w:tcW w:w="3261" w:type="dxa"/>
            <w:tcBorders>
              <w:bottom w:val="single" w:sz="12" w:space="0" w:color="auto"/>
            </w:tcBorders>
          </w:tcPr>
          <w:p w:rsidR="00520F36" w:rsidRPr="00C43174" w:rsidRDefault="00520F36" w:rsidP="00DF74DD">
            <w:pPr>
              <w:spacing w:before="0"/>
              <w:rPr>
                <w:b/>
                <w:bCs/>
                <w:lang w:val="fr-CH"/>
              </w:rPr>
            </w:pPr>
          </w:p>
        </w:tc>
      </w:tr>
      <w:tr w:rsidR="00520F36" w:rsidRPr="00C43174">
        <w:trPr>
          <w:cantSplit/>
          <w:trHeight w:val="20"/>
        </w:trPr>
        <w:tc>
          <w:tcPr>
            <w:tcW w:w="6912" w:type="dxa"/>
            <w:tcBorders>
              <w:top w:val="single" w:sz="12" w:space="0" w:color="auto"/>
            </w:tcBorders>
          </w:tcPr>
          <w:p w:rsidR="00520F36" w:rsidRPr="00C43174" w:rsidRDefault="00520F36" w:rsidP="00DF74DD">
            <w:pPr>
              <w:spacing w:before="0"/>
              <w:rPr>
                <w:smallCaps/>
                <w:sz w:val="22"/>
                <w:lang w:val="fr-CH"/>
              </w:rPr>
            </w:pPr>
          </w:p>
        </w:tc>
        <w:tc>
          <w:tcPr>
            <w:tcW w:w="3261" w:type="dxa"/>
            <w:tcBorders>
              <w:top w:val="single" w:sz="12" w:space="0" w:color="auto"/>
            </w:tcBorders>
          </w:tcPr>
          <w:p w:rsidR="00520F36" w:rsidRPr="00C43174" w:rsidRDefault="00520F36" w:rsidP="00DF74DD">
            <w:pPr>
              <w:spacing w:before="0"/>
              <w:rPr>
                <w:b/>
                <w:bCs/>
                <w:lang w:val="fr-CH"/>
              </w:rPr>
            </w:pPr>
          </w:p>
        </w:tc>
      </w:tr>
      <w:tr w:rsidR="00520F36" w:rsidRPr="00C43174">
        <w:trPr>
          <w:cantSplit/>
          <w:trHeight w:val="20"/>
        </w:trPr>
        <w:tc>
          <w:tcPr>
            <w:tcW w:w="6912" w:type="dxa"/>
            <w:vMerge w:val="restart"/>
          </w:tcPr>
          <w:p w:rsidR="00520F36" w:rsidRPr="00C43174" w:rsidRDefault="00600576" w:rsidP="00DF74DD">
            <w:pPr>
              <w:spacing w:before="0"/>
              <w:rPr>
                <w:rFonts w:cs="Times"/>
                <w:b/>
                <w:bCs/>
                <w:szCs w:val="24"/>
                <w:lang w:val="fr-CH"/>
              </w:rPr>
            </w:pPr>
            <w:bookmarkStart w:id="2" w:name="dnum" w:colFirst="1" w:colLast="1"/>
            <w:bookmarkStart w:id="3" w:name="dmeeting" w:colFirst="0" w:colLast="0"/>
            <w:r w:rsidRPr="00C43174">
              <w:rPr>
                <w:rFonts w:cs="Times"/>
                <w:b/>
                <w:bCs/>
                <w:szCs w:val="24"/>
                <w:lang w:val="fr-CH"/>
              </w:rPr>
              <w:t xml:space="preserve">Point de l'ordre du </w:t>
            </w:r>
            <w:proofErr w:type="gramStart"/>
            <w:r w:rsidRPr="00C43174">
              <w:rPr>
                <w:rFonts w:cs="Times"/>
                <w:b/>
                <w:bCs/>
                <w:szCs w:val="24"/>
                <w:lang w:val="fr-CH"/>
              </w:rPr>
              <w:t>jour:</w:t>
            </w:r>
            <w:proofErr w:type="gramEnd"/>
            <w:r w:rsidRPr="00C43174">
              <w:rPr>
                <w:rFonts w:cs="Times"/>
                <w:b/>
                <w:bCs/>
                <w:szCs w:val="24"/>
                <w:lang w:val="fr-CH"/>
              </w:rPr>
              <w:t xml:space="preserve"> ADM 17</w:t>
            </w:r>
          </w:p>
        </w:tc>
        <w:tc>
          <w:tcPr>
            <w:tcW w:w="3261" w:type="dxa"/>
          </w:tcPr>
          <w:p w:rsidR="00520F36" w:rsidRPr="00C43174" w:rsidRDefault="00520F36" w:rsidP="00520F36">
            <w:pPr>
              <w:spacing w:before="0"/>
              <w:rPr>
                <w:b/>
                <w:bCs/>
                <w:lang w:val="fr-CH"/>
              </w:rPr>
            </w:pPr>
            <w:r w:rsidRPr="00C43174">
              <w:rPr>
                <w:b/>
                <w:bCs/>
                <w:lang w:val="fr-CH"/>
              </w:rPr>
              <w:t>Document C17/</w:t>
            </w:r>
            <w:r w:rsidR="00600576" w:rsidRPr="00C43174">
              <w:rPr>
                <w:b/>
                <w:bCs/>
                <w:lang w:val="fr-CH"/>
              </w:rPr>
              <w:t>38</w:t>
            </w:r>
            <w:r w:rsidRPr="00C43174">
              <w:rPr>
                <w:b/>
                <w:bCs/>
                <w:lang w:val="fr-CH"/>
              </w:rPr>
              <w:t>-F</w:t>
            </w:r>
          </w:p>
        </w:tc>
      </w:tr>
      <w:tr w:rsidR="00520F36" w:rsidRPr="00C43174">
        <w:trPr>
          <w:cantSplit/>
          <w:trHeight w:val="20"/>
        </w:trPr>
        <w:tc>
          <w:tcPr>
            <w:tcW w:w="6912" w:type="dxa"/>
            <w:vMerge/>
          </w:tcPr>
          <w:p w:rsidR="00520F36" w:rsidRPr="00C43174"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C43174" w:rsidRDefault="00600576" w:rsidP="00520F36">
            <w:pPr>
              <w:spacing w:before="0"/>
              <w:rPr>
                <w:b/>
                <w:bCs/>
                <w:lang w:val="fr-CH"/>
              </w:rPr>
            </w:pPr>
            <w:r w:rsidRPr="00C43174">
              <w:rPr>
                <w:b/>
                <w:bCs/>
                <w:lang w:val="fr-CH"/>
              </w:rPr>
              <w:t>31 mars</w:t>
            </w:r>
            <w:r w:rsidR="00520F36" w:rsidRPr="00C43174">
              <w:rPr>
                <w:b/>
                <w:bCs/>
                <w:lang w:val="fr-CH"/>
              </w:rPr>
              <w:t xml:space="preserve"> 2017</w:t>
            </w:r>
          </w:p>
        </w:tc>
      </w:tr>
      <w:tr w:rsidR="00520F36" w:rsidRPr="00C43174">
        <w:trPr>
          <w:cantSplit/>
          <w:trHeight w:val="20"/>
        </w:trPr>
        <w:tc>
          <w:tcPr>
            <w:tcW w:w="6912" w:type="dxa"/>
            <w:vMerge/>
          </w:tcPr>
          <w:p w:rsidR="00520F36" w:rsidRPr="00C43174"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C43174" w:rsidRDefault="00520F36" w:rsidP="00520F36">
            <w:pPr>
              <w:spacing w:before="0"/>
              <w:rPr>
                <w:b/>
                <w:bCs/>
                <w:lang w:val="fr-CH"/>
              </w:rPr>
            </w:pPr>
            <w:proofErr w:type="gramStart"/>
            <w:r w:rsidRPr="00C43174">
              <w:rPr>
                <w:b/>
                <w:bCs/>
                <w:lang w:val="fr-CH"/>
              </w:rPr>
              <w:t>Original:</w:t>
            </w:r>
            <w:proofErr w:type="gramEnd"/>
            <w:r w:rsidRPr="00C43174">
              <w:rPr>
                <w:b/>
                <w:bCs/>
                <w:lang w:val="fr-CH"/>
              </w:rPr>
              <w:t xml:space="preserve"> anglais</w:t>
            </w:r>
          </w:p>
        </w:tc>
      </w:tr>
      <w:tr w:rsidR="00520F36" w:rsidRPr="00C43174">
        <w:trPr>
          <w:cantSplit/>
        </w:trPr>
        <w:tc>
          <w:tcPr>
            <w:tcW w:w="10173" w:type="dxa"/>
            <w:gridSpan w:val="2"/>
          </w:tcPr>
          <w:p w:rsidR="00520F36" w:rsidRPr="00C43174" w:rsidRDefault="00600576" w:rsidP="00DF74DD">
            <w:pPr>
              <w:pStyle w:val="Source"/>
              <w:rPr>
                <w:lang w:val="fr-CH"/>
              </w:rPr>
            </w:pPr>
            <w:bookmarkStart w:id="6" w:name="dsource" w:colFirst="0" w:colLast="0"/>
            <w:bookmarkStart w:id="7" w:name="_GoBack"/>
            <w:bookmarkEnd w:id="5"/>
            <w:bookmarkEnd w:id="7"/>
            <w:r w:rsidRPr="00C43174">
              <w:rPr>
                <w:lang w:val="fr-CH"/>
              </w:rPr>
              <w:t>Rapport du Secrétaire général</w:t>
            </w:r>
          </w:p>
        </w:tc>
      </w:tr>
      <w:tr w:rsidR="00520F36" w:rsidRPr="00C43174">
        <w:trPr>
          <w:cantSplit/>
        </w:trPr>
        <w:tc>
          <w:tcPr>
            <w:tcW w:w="10173" w:type="dxa"/>
            <w:gridSpan w:val="2"/>
          </w:tcPr>
          <w:p w:rsidR="00520F36" w:rsidRPr="00C43174" w:rsidRDefault="00600576" w:rsidP="00DF74DD">
            <w:pPr>
              <w:pStyle w:val="Title1"/>
              <w:rPr>
                <w:lang w:val="fr-CH"/>
              </w:rPr>
            </w:pPr>
            <w:bookmarkStart w:id="8" w:name="dtitle1" w:colFirst="0" w:colLast="0"/>
            <w:bookmarkEnd w:id="6"/>
            <w:r w:rsidRPr="00C43174">
              <w:rPr>
                <w:lang w:val="fr-CH"/>
              </w:rPr>
              <w:t>RAPPORT SUR LA MISE EN OEUVRE DE LA RéSOLUTION 191 (bUSAN, 2014)</w:t>
            </w:r>
            <w:r w:rsidRPr="00C43174">
              <w:rPr>
                <w:rFonts w:asciiTheme="minorHAnsi" w:hAnsiTheme="minorHAnsi"/>
                <w:lang w:val="fr-CH"/>
              </w:rPr>
              <w:br/>
              <w:t>"stratégie de coordination des efforts</w:t>
            </w:r>
            <w:r w:rsidRPr="00C43174">
              <w:rPr>
                <w:rFonts w:asciiTheme="minorHAnsi" w:hAnsiTheme="minorHAnsi"/>
                <w:lang w:val="fr-CH"/>
              </w:rPr>
              <w:br/>
              <w:t>entre les trois secteurs de l'union"</w:t>
            </w:r>
          </w:p>
        </w:tc>
      </w:tr>
      <w:bookmarkEnd w:id="8"/>
    </w:tbl>
    <w:p w:rsidR="00520F36" w:rsidRPr="00C43174"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C43174">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C43174" w:rsidRDefault="00520F36">
            <w:pPr>
              <w:pStyle w:val="Headingb"/>
              <w:rPr>
                <w:lang w:val="fr-CH"/>
              </w:rPr>
            </w:pPr>
            <w:r w:rsidRPr="00C43174">
              <w:rPr>
                <w:lang w:val="fr-CH"/>
              </w:rPr>
              <w:t>Résumé</w:t>
            </w:r>
          </w:p>
          <w:p w:rsidR="00520F36" w:rsidRPr="00C43174" w:rsidRDefault="00600576">
            <w:pPr>
              <w:rPr>
                <w:lang w:val="fr-CH"/>
              </w:rPr>
            </w:pPr>
            <w:r w:rsidRPr="00C43174">
              <w:rPr>
                <w:lang w:val="fr-CH"/>
              </w:rPr>
              <w:t>On trouvera dans le présent document un rapport sur la mise en œuvre de la Résolution 191 (Busan, 2014) de la Conférence de plénipotentiaires relative à la stratégie de coordination des efforts entre les trois Secteurs de l'Union.</w:t>
            </w:r>
          </w:p>
          <w:p w:rsidR="00520F36" w:rsidRPr="00C43174" w:rsidRDefault="00520F36">
            <w:pPr>
              <w:pStyle w:val="Headingb"/>
              <w:rPr>
                <w:lang w:val="fr-CH"/>
              </w:rPr>
            </w:pPr>
            <w:r w:rsidRPr="00C43174">
              <w:rPr>
                <w:lang w:val="fr-CH"/>
              </w:rPr>
              <w:t>Suite à donner</w:t>
            </w:r>
          </w:p>
          <w:p w:rsidR="00520F36" w:rsidRPr="00C43174" w:rsidRDefault="00600576">
            <w:pPr>
              <w:rPr>
                <w:lang w:val="fr-CH"/>
              </w:rPr>
            </w:pPr>
            <w:r w:rsidRPr="00C43174">
              <w:rPr>
                <w:rFonts w:asciiTheme="minorHAnsi" w:hAnsiTheme="minorHAnsi"/>
                <w:szCs w:val="24"/>
                <w:lang w:val="fr-CH"/>
              </w:rPr>
              <w:t xml:space="preserve">Le Conseil est invité à </w:t>
            </w:r>
            <w:r w:rsidRPr="00C43174">
              <w:rPr>
                <w:rFonts w:asciiTheme="minorHAnsi" w:hAnsiTheme="minorHAnsi"/>
                <w:b/>
                <w:bCs/>
                <w:szCs w:val="24"/>
                <w:lang w:val="fr-CH"/>
              </w:rPr>
              <w:t>prendre note</w:t>
            </w:r>
            <w:r w:rsidRPr="00C43174">
              <w:rPr>
                <w:rFonts w:asciiTheme="minorHAnsi" w:hAnsiTheme="minorHAnsi"/>
                <w:szCs w:val="24"/>
                <w:lang w:val="fr-CH"/>
              </w:rPr>
              <w:t xml:space="preserve"> du présent rapport.</w:t>
            </w:r>
          </w:p>
          <w:p w:rsidR="00520F36" w:rsidRPr="00C43174" w:rsidRDefault="00520F36">
            <w:pPr>
              <w:pStyle w:val="Table"/>
              <w:keepNext w:val="0"/>
              <w:spacing w:before="0" w:after="0"/>
              <w:rPr>
                <w:rFonts w:ascii="Calibri" w:hAnsi="Calibri"/>
                <w:caps w:val="0"/>
                <w:sz w:val="22"/>
                <w:lang w:val="fr-CH"/>
              </w:rPr>
            </w:pPr>
            <w:r w:rsidRPr="00C43174">
              <w:rPr>
                <w:rFonts w:ascii="Calibri" w:hAnsi="Calibri"/>
                <w:caps w:val="0"/>
                <w:sz w:val="22"/>
                <w:lang w:val="fr-CH"/>
              </w:rPr>
              <w:t>____________</w:t>
            </w:r>
          </w:p>
          <w:p w:rsidR="00520F36" w:rsidRPr="00C43174" w:rsidRDefault="00520F36">
            <w:pPr>
              <w:pStyle w:val="Headingb"/>
              <w:rPr>
                <w:lang w:val="fr-CH"/>
              </w:rPr>
            </w:pPr>
            <w:r w:rsidRPr="00C43174">
              <w:rPr>
                <w:lang w:val="fr-CH"/>
              </w:rPr>
              <w:t>Références</w:t>
            </w:r>
          </w:p>
          <w:p w:rsidR="00520F36" w:rsidRPr="00C43174" w:rsidRDefault="003670B1" w:rsidP="003670B1">
            <w:pPr>
              <w:spacing w:after="120"/>
              <w:rPr>
                <w:i/>
                <w:iCs/>
                <w:lang w:val="fr-CH"/>
              </w:rPr>
            </w:pPr>
            <w:hyperlink r:id="rId8" w:history="1">
              <w:r w:rsidR="00600576" w:rsidRPr="00C43174">
                <w:rPr>
                  <w:rStyle w:val="Hyperlink"/>
                  <w:rFonts w:cstheme="minorHAnsi"/>
                  <w:i/>
                  <w:iCs/>
                  <w:szCs w:val="24"/>
                  <w:lang w:val="fr-CH"/>
                </w:rPr>
                <w:t>Résolution 191 (Busan, 2014)</w:t>
              </w:r>
            </w:hyperlink>
            <w:r w:rsidR="00600576" w:rsidRPr="00A35849">
              <w:rPr>
                <w:rStyle w:val="Hyperlink"/>
                <w:rFonts w:cstheme="minorHAnsi"/>
                <w:szCs w:val="24"/>
                <w:u w:val="none"/>
                <w:lang w:val="fr-CH"/>
              </w:rPr>
              <w:t xml:space="preserve"> </w:t>
            </w:r>
            <w:r w:rsidR="00600576" w:rsidRPr="00A35849">
              <w:rPr>
                <w:i/>
                <w:iCs/>
              </w:rPr>
              <w:t>de la Conférence de plénipotentiaires</w:t>
            </w:r>
          </w:p>
        </w:tc>
      </w:tr>
    </w:tbl>
    <w:p w:rsidR="00600576" w:rsidRPr="00C43174" w:rsidRDefault="00600576" w:rsidP="00600576">
      <w:pPr>
        <w:pStyle w:val="Heading1"/>
        <w:rPr>
          <w:lang w:val="fr-CH"/>
        </w:rPr>
      </w:pPr>
      <w:r w:rsidRPr="00C43174">
        <w:rPr>
          <w:lang w:val="fr-CH"/>
        </w:rPr>
        <w:t>1</w:t>
      </w:r>
      <w:r w:rsidRPr="00C43174">
        <w:rPr>
          <w:lang w:val="fr-CH"/>
        </w:rPr>
        <w:tab/>
        <w:t>Rappel</w:t>
      </w:r>
    </w:p>
    <w:p w:rsidR="00600576" w:rsidRPr="00C43174" w:rsidRDefault="00600576" w:rsidP="00600576">
      <w:pPr>
        <w:rPr>
          <w:lang w:val="fr-CH"/>
        </w:rPr>
      </w:pPr>
      <w:r w:rsidRPr="00C43174">
        <w:rPr>
          <w:lang w:val="fr-CH"/>
        </w:rPr>
        <w:t>1.1</w:t>
      </w:r>
      <w:r w:rsidRPr="00C43174">
        <w:rPr>
          <w:lang w:val="fr-CH"/>
        </w:rPr>
        <w:tab/>
        <w:t>La Conférence de plénipotentiaires de 2014 (PP-14) a adopté la Résolution 191 (Busan, 2014) relative à la "Stratégie de coordination des efforts entre les trois Secteurs de l'Union".</w:t>
      </w:r>
    </w:p>
    <w:p w:rsidR="00600576" w:rsidRPr="00C43174" w:rsidRDefault="00600576" w:rsidP="00600576">
      <w:pPr>
        <w:rPr>
          <w:lang w:val="fr-CH"/>
        </w:rPr>
      </w:pPr>
      <w:r w:rsidRPr="00C43174">
        <w:rPr>
          <w:lang w:val="fr-CH"/>
        </w:rPr>
        <w:t>1.2</w:t>
      </w:r>
      <w:r w:rsidRPr="00C43174">
        <w:rPr>
          <w:lang w:val="fr-CH"/>
        </w:rPr>
        <w:tab/>
        <w:t xml:space="preserve">Aux termes de cette Résolution, le Secrétaire général est </w:t>
      </w:r>
      <w:r w:rsidRPr="00C43174">
        <w:rPr>
          <w:i/>
          <w:iCs/>
          <w:lang w:val="fr-CH"/>
        </w:rPr>
        <w:t>chargé</w:t>
      </w:r>
      <w:r w:rsidRPr="00C43174">
        <w:rPr>
          <w:lang w:val="fr-CH"/>
        </w:rPr>
        <w:t xml:space="preserve"> de veiller à ce qu'une stratégie de coordination et de coopération soit élaborée, afin de garantir l'efficacité et l'efficience des efforts dans les domaines intéressant les trois Secteurs de l'UIT, de manière à éviter tout chevauchement d'activité et à optimiser l'utilisation des ressources; et de veiller à l'élaboration d'une liste actualisée énumérant les domaines intéressant les trois Secteurs, conformément aux attributions de chaque assemblée et conférence de l'UIT.</w:t>
      </w:r>
    </w:p>
    <w:p w:rsidR="00600576" w:rsidRPr="00C43174" w:rsidRDefault="00600576" w:rsidP="00600576">
      <w:pPr>
        <w:rPr>
          <w:lang w:val="fr-CH"/>
        </w:rPr>
      </w:pPr>
      <w:r w:rsidRPr="00C43174">
        <w:rPr>
          <w:lang w:val="fr-CH"/>
        </w:rPr>
        <w:t>1.3</w:t>
      </w:r>
      <w:r w:rsidRPr="00C43174">
        <w:rPr>
          <w:lang w:val="fr-CH"/>
        </w:rPr>
        <w:tab/>
        <w:t xml:space="preserve">Les Directeurs des Bureaux sont en outre </w:t>
      </w:r>
      <w:r w:rsidRPr="00C43174">
        <w:rPr>
          <w:i/>
          <w:iCs/>
          <w:lang w:val="fr-CH"/>
        </w:rPr>
        <w:t>chargés</w:t>
      </w:r>
      <w:r w:rsidRPr="00C43174">
        <w:rPr>
          <w:lang w:val="fr-CH"/>
        </w:rPr>
        <w:t xml:space="preserve"> de veiller à ce que la coordination avec les autres Secteurs soit inscrite à l'ordre du jour des réunions des groupes consultatifs concernés, afin que soient proposées des stratégies et des mesures destinées à optimiser le développement des domaines d'intérêt commun; et de fournir un appui aux groupes consultatifs des Secteurs concernant les activités de coordination intersectorielle dans les domaines présentant un intérêt mutuel.</w:t>
      </w:r>
    </w:p>
    <w:p w:rsidR="00600576" w:rsidRPr="00C43174" w:rsidRDefault="00600576" w:rsidP="00A35849">
      <w:pPr>
        <w:rPr>
          <w:lang w:val="fr-CH"/>
        </w:rPr>
      </w:pPr>
      <w:r w:rsidRPr="00C43174">
        <w:rPr>
          <w:lang w:val="fr-CH"/>
        </w:rPr>
        <w:lastRenderedPageBreak/>
        <w:t>1.4</w:t>
      </w:r>
      <w:r w:rsidRPr="00C43174">
        <w:rPr>
          <w:lang w:val="fr-CH"/>
        </w:rPr>
        <w:tab/>
        <w:t xml:space="preserve">Le Secrétaire général et les Directeurs des Bureaux sont par ailleurs </w:t>
      </w:r>
      <w:r w:rsidRPr="00C43174">
        <w:rPr>
          <w:i/>
          <w:iCs/>
          <w:lang w:val="fr-CH"/>
        </w:rPr>
        <w:t>chargés</w:t>
      </w:r>
      <w:r w:rsidRPr="00C43174">
        <w:rPr>
          <w:lang w:val="fr-CH"/>
        </w:rPr>
        <w:t xml:space="preserve"> de faire en sorte qu'il soit rendu compte des activités de coordination menées entre les différents Secteurs dans chacun de ces domaines, ainsi que des résultats obtenus en la matière.</w:t>
      </w:r>
    </w:p>
    <w:p w:rsidR="00600576" w:rsidRPr="00C43174" w:rsidRDefault="00600576" w:rsidP="00A35849">
      <w:pPr>
        <w:pStyle w:val="Heading1"/>
        <w:rPr>
          <w:lang w:val="fr-CH"/>
        </w:rPr>
      </w:pPr>
      <w:r w:rsidRPr="00C43174">
        <w:rPr>
          <w:lang w:val="fr-CH"/>
        </w:rPr>
        <w:t>2</w:t>
      </w:r>
      <w:r w:rsidRPr="00C43174">
        <w:rPr>
          <w:lang w:val="fr-CH"/>
        </w:rPr>
        <w:tab/>
      </w:r>
      <w:r w:rsidRPr="00A35849">
        <w:t>Coordination</w:t>
      </w:r>
      <w:r w:rsidRPr="00C43174">
        <w:rPr>
          <w:lang w:val="fr-CH"/>
        </w:rPr>
        <w:t xml:space="preserve"> au sein du Secrétariat</w:t>
      </w:r>
    </w:p>
    <w:p w:rsidR="00600576" w:rsidRPr="00C43174" w:rsidRDefault="00600576" w:rsidP="00A35849">
      <w:pPr>
        <w:pStyle w:val="Headingb"/>
        <w:rPr>
          <w:lang w:val="fr-CH"/>
        </w:rPr>
      </w:pPr>
      <w:r w:rsidRPr="00C43174">
        <w:rPr>
          <w:lang w:val="fr-CH"/>
        </w:rPr>
        <w:t xml:space="preserve">Groupe de </w:t>
      </w:r>
      <w:r w:rsidRPr="00A35849">
        <w:t>coordination</w:t>
      </w:r>
      <w:r w:rsidRPr="00C43174">
        <w:rPr>
          <w:lang w:val="fr-CH"/>
        </w:rPr>
        <w:t xml:space="preserve"> intersectorielle (ISC-TF)</w:t>
      </w:r>
    </w:p>
    <w:p w:rsidR="00600576" w:rsidRPr="00C43174" w:rsidRDefault="00600576" w:rsidP="00A35849">
      <w:pPr>
        <w:rPr>
          <w:lang w:val="fr-CH"/>
        </w:rPr>
      </w:pPr>
      <w:r w:rsidRPr="00C43174">
        <w:rPr>
          <w:lang w:val="fr-CH"/>
        </w:rPr>
        <w:t>2.1</w:t>
      </w:r>
      <w:r w:rsidRPr="00C43174">
        <w:rPr>
          <w:lang w:val="fr-CH"/>
        </w:rPr>
        <w:tab/>
        <w:t xml:space="preserve">Comme </w:t>
      </w:r>
      <w:r w:rsidR="00D15B9C">
        <w:rPr>
          <w:lang w:val="fr-CH"/>
        </w:rPr>
        <w:t xml:space="preserve">indiqué précédemment dans un rapport </w:t>
      </w:r>
      <w:r w:rsidRPr="00C43174">
        <w:rPr>
          <w:lang w:val="fr-CH"/>
        </w:rPr>
        <w:t>au Conseil à sa session de 201</w:t>
      </w:r>
      <w:r w:rsidR="00AC768E" w:rsidRPr="00C43174">
        <w:rPr>
          <w:lang w:val="fr-CH"/>
        </w:rPr>
        <w:t>6</w:t>
      </w:r>
      <w:r w:rsidR="00D15B9C">
        <w:rPr>
          <w:lang w:val="fr-CH"/>
        </w:rPr>
        <w:t>,</w:t>
      </w:r>
      <w:r w:rsidRPr="00C43174">
        <w:rPr>
          <w:lang w:val="fr-CH"/>
        </w:rPr>
        <w:t xml:space="preserve"> </w:t>
      </w:r>
      <w:r w:rsidR="00D15B9C">
        <w:rPr>
          <w:lang w:val="fr-CH"/>
        </w:rPr>
        <w:t xml:space="preserve">pour faire avancer </w:t>
      </w:r>
      <w:r w:rsidRPr="00C43174">
        <w:rPr>
          <w:lang w:val="fr-CH"/>
        </w:rPr>
        <w:t>la mise en œuvre de la Résolution 191 (Busan, 2014) de la Conférence de plénipotentiaires (Document </w:t>
      </w:r>
      <w:hyperlink r:id="rId9" w:history="1">
        <w:r w:rsidR="00AC768E" w:rsidRPr="00C43174">
          <w:rPr>
            <w:rStyle w:val="Hyperlink"/>
            <w:lang w:val="fr-CH"/>
          </w:rPr>
          <w:t>C16/38</w:t>
        </w:r>
      </w:hyperlink>
      <w:r w:rsidRPr="00C43174">
        <w:rPr>
          <w:lang w:val="fr-CH"/>
        </w:rPr>
        <w:t>), un Groupe de coordination intersectorielle (ISC-TF)</w:t>
      </w:r>
      <w:r w:rsidR="00F911F6" w:rsidRPr="00C43174">
        <w:rPr>
          <w:lang w:val="fr-CH"/>
        </w:rPr>
        <w:t xml:space="preserve"> a été établi pour renforcer </w:t>
      </w:r>
      <w:r w:rsidRPr="00C43174">
        <w:rPr>
          <w:lang w:val="fr-CH"/>
        </w:rPr>
        <w:t xml:space="preserve">la coordination et la collaboration entre les trois Bureaux et le Secrétariat général, </w:t>
      </w:r>
      <w:r w:rsidR="00F911F6" w:rsidRPr="00C43174">
        <w:rPr>
          <w:lang w:val="fr-CH"/>
        </w:rPr>
        <w:t xml:space="preserve">dans le but </w:t>
      </w:r>
      <w:r w:rsidRPr="00C43174">
        <w:rPr>
          <w:lang w:val="fr-CH"/>
        </w:rPr>
        <w:t xml:space="preserve">d'éviter </w:t>
      </w:r>
      <w:r w:rsidR="00F911F6" w:rsidRPr="00C43174">
        <w:rPr>
          <w:lang w:val="fr-CH"/>
        </w:rPr>
        <w:t>tout chevauchement d'activité</w:t>
      </w:r>
      <w:r w:rsidRPr="00C43174">
        <w:rPr>
          <w:lang w:val="fr-CH"/>
        </w:rPr>
        <w:t xml:space="preserve"> </w:t>
      </w:r>
      <w:r w:rsidR="00F911F6" w:rsidRPr="00C43174">
        <w:rPr>
          <w:lang w:val="fr-CH"/>
        </w:rPr>
        <w:t xml:space="preserve">au niveau interne </w:t>
      </w:r>
      <w:r w:rsidRPr="00C43174">
        <w:rPr>
          <w:lang w:val="fr-CH"/>
        </w:rPr>
        <w:t>et d'optimiser l'utilisation des ressources.</w:t>
      </w:r>
      <w:r w:rsidR="00F911F6" w:rsidRPr="00C43174">
        <w:rPr>
          <w:lang w:val="fr-CH"/>
        </w:rPr>
        <w:t xml:space="preserve"> Le mandat </w:t>
      </w:r>
      <w:r w:rsidR="00D15B9C">
        <w:rPr>
          <w:lang w:val="fr-CH"/>
        </w:rPr>
        <w:t xml:space="preserve">de ce </w:t>
      </w:r>
      <w:r w:rsidR="00F911F6" w:rsidRPr="00C43174">
        <w:rPr>
          <w:lang w:val="fr-CH"/>
        </w:rPr>
        <w:t xml:space="preserve">Groupe a </w:t>
      </w:r>
      <w:r w:rsidR="00D15B9C">
        <w:rPr>
          <w:lang w:val="fr-CH"/>
        </w:rPr>
        <w:t xml:space="preserve">fait l'objet de </w:t>
      </w:r>
      <w:r w:rsidR="00F911F6" w:rsidRPr="00C43174">
        <w:rPr>
          <w:lang w:val="fr-CH"/>
        </w:rPr>
        <w:t>l'Ordre de service N° 16/13.</w:t>
      </w:r>
    </w:p>
    <w:p w:rsidR="00600576" w:rsidRPr="00C43174" w:rsidRDefault="00600576" w:rsidP="00A35849">
      <w:pPr>
        <w:rPr>
          <w:lang w:val="fr-CH"/>
        </w:rPr>
      </w:pPr>
      <w:proofErr w:type="gramStart"/>
      <w:r w:rsidRPr="00C43174">
        <w:rPr>
          <w:lang w:val="fr-CH"/>
        </w:rPr>
        <w:t>2.2</w:t>
      </w:r>
      <w:r w:rsidRPr="00C43174">
        <w:rPr>
          <w:lang w:val="fr-CH"/>
        </w:rPr>
        <w:tab/>
      </w:r>
      <w:r w:rsidR="00F911F6" w:rsidRPr="00C43174">
        <w:rPr>
          <w:lang w:val="fr-CH"/>
        </w:rPr>
        <w:t xml:space="preserve">Le Groupe </w:t>
      </w:r>
      <w:r w:rsidR="00AC768E" w:rsidRPr="00C43174">
        <w:rPr>
          <w:lang w:val="fr-CH"/>
        </w:rPr>
        <w:t xml:space="preserve">ISC-TF, </w:t>
      </w:r>
      <w:r w:rsidR="005770D5" w:rsidRPr="00C43174">
        <w:rPr>
          <w:lang w:val="fr-CH"/>
        </w:rPr>
        <w:t xml:space="preserve">présidé par le Vice-Secrétaire général, a tenu sept réunions en </w:t>
      </w:r>
      <w:r w:rsidR="00AC768E" w:rsidRPr="00C43174">
        <w:rPr>
          <w:lang w:val="fr-CH"/>
        </w:rPr>
        <w:t xml:space="preserve">2016 </w:t>
      </w:r>
      <w:r w:rsidR="005770D5" w:rsidRPr="00C43174">
        <w:rPr>
          <w:lang w:val="fr-CH"/>
        </w:rPr>
        <w:t xml:space="preserve">et une en </w:t>
      </w:r>
      <w:r w:rsidR="00AC768E" w:rsidRPr="00C43174">
        <w:rPr>
          <w:lang w:val="fr-CH"/>
        </w:rPr>
        <w:t>2017 (</w:t>
      </w:r>
      <w:r w:rsidR="005770D5" w:rsidRPr="00C43174">
        <w:rPr>
          <w:lang w:val="fr-CH"/>
        </w:rPr>
        <w:t xml:space="preserve">à la </w:t>
      </w:r>
      <w:r w:rsidR="00AC768E" w:rsidRPr="00C43174">
        <w:rPr>
          <w:lang w:val="fr-CH"/>
        </w:rPr>
        <w:t xml:space="preserve">date </w:t>
      </w:r>
      <w:r w:rsidR="005770D5" w:rsidRPr="00C43174">
        <w:rPr>
          <w:lang w:val="fr-CH"/>
        </w:rPr>
        <w:t>d'é</w:t>
      </w:r>
      <w:r w:rsidR="00AC768E" w:rsidRPr="00C43174">
        <w:rPr>
          <w:lang w:val="fr-CH"/>
        </w:rPr>
        <w:t xml:space="preserve">laboration </w:t>
      </w:r>
      <w:r w:rsidR="005770D5" w:rsidRPr="00C43174">
        <w:rPr>
          <w:lang w:val="fr-CH"/>
        </w:rPr>
        <w:t xml:space="preserve">du présent </w:t>
      </w:r>
      <w:r w:rsidR="00AC768E" w:rsidRPr="00C43174">
        <w:rPr>
          <w:lang w:val="fr-CH"/>
        </w:rPr>
        <w:t xml:space="preserve">document; 16 </w:t>
      </w:r>
      <w:r w:rsidR="005770D5" w:rsidRPr="00C43174">
        <w:rPr>
          <w:lang w:val="fr-CH"/>
        </w:rPr>
        <w:t xml:space="preserve">réunions au </w:t>
      </w:r>
      <w:r w:rsidR="00AC768E" w:rsidRPr="00C43174">
        <w:rPr>
          <w:lang w:val="fr-CH"/>
        </w:rPr>
        <w:t xml:space="preserve">total </w:t>
      </w:r>
      <w:r w:rsidR="005770D5" w:rsidRPr="00C43174">
        <w:rPr>
          <w:lang w:val="fr-CH"/>
        </w:rPr>
        <w:t xml:space="preserve">depuis mars </w:t>
      </w:r>
      <w:r w:rsidR="00AC768E" w:rsidRPr="00C43174">
        <w:rPr>
          <w:lang w:val="fr-CH"/>
        </w:rPr>
        <w:t xml:space="preserve">2015), </w:t>
      </w:r>
      <w:r w:rsidR="005770D5" w:rsidRPr="00C43174">
        <w:rPr>
          <w:lang w:val="fr-CH"/>
        </w:rPr>
        <w:t xml:space="preserve">avec la </w:t>
      </w:r>
      <w:r w:rsidR="00AC768E" w:rsidRPr="00C43174">
        <w:rPr>
          <w:lang w:val="fr-CH"/>
        </w:rPr>
        <w:t xml:space="preserve">participation: </w:t>
      </w:r>
      <w:r w:rsidR="00AC768E" w:rsidRPr="00C43174">
        <w:rPr>
          <w:i/>
          <w:iCs/>
          <w:lang w:val="fr-CH"/>
        </w:rPr>
        <w:t>a)</w:t>
      </w:r>
      <w:r w:rsidR="00AC768E" w:rsidRPr="00C43174">
        <w:rPr>
          <w:lang w:val="fr-CH"/>
        </w:rPr>
        <w:t xml:space="preserve"> </w:t>
      </w:r>
      <w:r w:rsidR="005770D5" w:rsidRPr="00C43174">
        <w:rPr>
          <w:lang w:val="fr-CH"/>
        </w:rPr>
        <w:t xml:space="preserve">des </w:t>
      </w:r>
      <w:r w:rsidRPr="00C43174">
        <w:rPr>
          <w:lang w:val="fr-CH"/>
        </w:rPr>
        <w:t xml:space="preserve">Adjoints aux Directeurs des trois Bureaux et du Chef du Département de la planification stratégique et des </w:t>
      </w:r>
      <w:r w:rsidR="00D15B9C">
        <w:rPr>
          <w:lang w:val="fr-CH"/>
        </w:rPr>
        <w:t>relations avec les membres</w:t>
      </w:r>
      <w:r w:rsidR="005770D5" w:rsidRPr="00C43174">
        <w:rPr>
          <w:lang w:val="fr-CH"/>
        </w:rPr>
        <w:t>,</w:t>
      </w:r>
      <w:r w:rsidR="00AC768E" w:rsidRPr="00C43174">
        <w:rPr>
          <w:lang w:val="fr-CH"/>
        </w:rPr>
        <w:t xml:space="preserve"> </w:t>
      </w:r>
      <w:r w:rsidR="00AC768E" w:rsidRPr="00C43174">
        <w:rPr>
          <w:i/>
          <w:iCs/>
          <w:lang w:val="fr-CH"/>
        </w:rPr>
        <w:t>b)</w:t>
      </w:r>
      <w:r w:rsidR="00AC768E" w:rsidRPr="00C43174">
        <w:rPr>
          <w:lang w:val="fr-CH"/>
        </w:rPr>
        <w:t xml:space="preserve"> </w:t>
      </w:r>
      <w:r w:rsidR="005770D5" w:rsidRPr="00C43174">
        <w:rPr>
          <w:lang w:val="fr-CH"/>
        </w:rPr>
        <w:t>des Coordonnateurs intersectoriels responsables de domaines thématiques précis</w:t>
      </w:r>
      <w:r w:rsidR="00AC768E" w:rsidRPr="00C43174">
        <w:rPr>
          <w:lang w:val="fr-CH"/>
        </w:rPr>
        <w:t xml:space="preserve">, </w:t>
      </w:r>
      <w:r w:rsidR="00AC768E" w:rsidRPr="00C43174">
        <w:rPr>
          <w:i/>
          <w:iCs/>
          <w:lang w:val="fr-CH"/>
        </w:rPr>
        <w:t>c)</w:t>
      </w:r>
      <w:r w:rsidR="00AC768E" w:rsidRPr="00C43174">
        <w:rPr>
          <w:lang w:val="fr-CH"/>
        </w:rPr>
        <w:t xml:space="preserve"> </w:t>
      </w:r>
      <w:r w:rsidR="005770D5" w:rsidRPr="00C43174">
        <w:rPr>
          <w:lang w:val="fr-CH"/>
        </w:rPr>
        <w:t>des Directeurs des Bureaux régionaux</w:t>
      </w:r>
      <w:r w:rsidR="00AC768E" w:rsidRPr="00C43174">
        <w:rPr>
          <w:lang w:val="fr-CH"/>
        </w:rPr>
        <w:t xml:space="preserve">, </w:t>
      </w:r>
      <w:r w:rsidR="00AC768E" w:rsidRPr="00C43174">
        <w:rPr>
          <w:i/>
          <w:iCs/>
          <w:lang w:val="fr-CH"/>
        </w:rPr>
        <w:t>d)</w:t>
      </w:r>
      <w:r w:rsidR="00AC768E" w:rsidRPr="00C43174">
        <w:rPr>
          <w:lang w:val="fr-CH"/>
        </w:rPr>
        <w:t xml:space="preserve"> </w:t>
      </w:r>
      <w:r w:rsidR="005770D5" w:rsidRPr="00C43174">
        <w:rPr>
          <w:lang w:val="fr-CH"/>
        </w:rPr>
        <w:t>des Chefs des Départements du Secrétariat général</w:t>
      </w:r>
      <w:r w:rsidR="00AC768E" w:rsidRPr="00C43174">
        <w:rPr>
          <w:lang w:val="fr-CH"/>
        </w:rPr>
        <w:t xml:space="preserve">, </w:t>
      </w:r>
      <w:r w:rsidR="00AC768E" w:rsidRPr="00C43174">
        <w:rPr>
          <w:i/>
          <w:iCs/>
          <w:lang w:val="fr-CH"/>
        </w:rPr>
        <w:t>e)</w:t>
      </w:r>
      <w:r w:rsidR="00AC768E" w:rsidRPr="00C43174">
        <w:rPr>
          <w:lang w:val="fr-CH"/>
        </w:rPr>
        <w:t xml:space="preserve"> </w:t>
      </w:r>
      <w:r w:rsidR="005770D5" w:rsidRPr="00C43174">
        <w:rPr>
          <w:lang w:val="fr-CH"/>
        </w:rPr>
        <w:t>en qualité d'observateur</w:t>
      </w:r>
      <w:r w:rsidR="00AC768E" w:rsidRPr="00C43174">
        <w:rPr>
          <w:lang w:val="fr-CH"/>
        </w:rPr>
        <w:t xml:space="preserve">, </w:t>
      </w:r>
      <w:r w:rsidR="005770D5" w:rsidRPr="00C43174">
        <w:rPr>
          <w:lang w:val="fr-CH"/>
        </w:rPr>
        <w:t>du Chef de l'Unité de l'audit interne</w:t>
      </w:r>
      <w:r w:rsidR="00AC768E" w:rsidRPr="00C43174">
        <w:rPr>
          <w:lang w:val="fr-CH"/>
        </w:rPr>
        <w:t xml:space="preserve">, </w:t>
      </w:r>
      <w:r w:rsidR="005770D5" w:rsidRPr="00C43174">
        <w:rPr>
          <w:lang w:val="fr-CH"/>
        </w:rPr>
        <w:t>et à l'</w:t>
      </w:r>
      <w:r w:rsidR="00AC768E" w:rsidRPr="00C43174">
        <w:rPr>
          <w:lang w:val="fr-CH"/>
        </w:rPr>
        <w:t xml:space="preserve">invitation </w:t>
      </w:r>
      <w:r w:rsidR="005770D5" w:rsidRPr="00C43174">
        <w:rPr>
          <w:lang w:val="fr-CH"/>
        </w:rPr>
        <w:t>du Président</w:t>
      </w:r>
      <w:r w:rsidR="00AC768E" w:rsidRPr="00C43174">
        <w:rPr>
          <w:lang w:val="fr-CH"/>
        </w:rPr>
        <w:t xml:space="preserve">, </w:t>
      </w:r>
      <w:r w:rsidR="005770D5" w:rsidRPr="00C43174">
        <w:rPr>
          <w:lang w:val="fr-CH"/>
        </w:rPr>
        <w:t xml:space="preserve">des Chefs des </w:t>
      </w:r>
      <w:r w:rsidR="00C43174" w:rsidRPr="00C43174">
        <w:rPr>
          <w:lang w:val="fr-CH"/>
        </w:rPr>
        <w:t>Départements</w:t>
      </w:r>
      <w:r w:rsidR="00AC768E" w:rsidRPr="00C43174">
        <w:rPr>
          <w:lang w:val="fr-CH"/>
        </w:rPr>
        <w:t xml:space="preserve"> </w:t>
      </w:r>
      <w:r w:rsidR="005770D5" w:rsidRPr="00C43174">
        <w:rPr>
          <w:lang w:val="fr-CH"/>
        </w:rPr>
        <w:t xml:space="preserve">des </w:t>
      </w:r>
      <w:r w:rsidR="00AC768E" w:rsidRPr="00C43174">
        <w:rPr>
          <w:lang w:val="fr-CH"/>
        </w:rPr>
        <w:t>Bureaux.</w:t>
      </w:r>
      <w:proofErr w:type="gramEnd"/>
    </w:p>
    <w:p w:rsidR="00600576" w:rsidRPr="00C43174" w:rsidRDefault="00600576" w:rsidP="00A35849">
      <w:pPr>
        <w:rPr>
          <w:lang w:val="fr-CH"/>
        </w:rPr>
      </w:pPr>
      <w:r w:rsidRPr="00C43174">
        <w:rPr>
          <w:lang w:val="fr-CH"/>
        </w:rPr>
        <w:t>2.3</w:t>
      </w:r>
      <w:r w:rsidRPr="00C43174">
        <w:rPr>
          <w:lang w:val="fr-CH"/>
        </w:rPr>
        <w:tab/>
        <w:t xml:space="preserve">Les domaines présentant un intérêt </w:t>
      </w:r>
      <w:r w:rsidR="00D15B9C">
        <w:rPr>
          <w:lang w:val="fr-CH"/>
        </w:rPr>
        <w:t>au niveau intersectoriel</w:t>
      </w:r>
      <w:r w:rsidRPr="00C43174">
        <w:rPr>
          <w:lang w:val="fr-CH"/>
        </w:rPr>
        <w:t xml:space="preserve">, pour lesquels le Groupe ISC-TF assure une coordination, sont les </w:t>
      </w:r>
      <w:proofErr w:type="gramStart"/>
      <w:r w:rsidRPr="00C43174">
        <w:rPr>
          <w:lang w:val="fr-CH"/>
        </w:rPr>
        <w:t>suivants:</w:t>
      </w:r>
      <w:proofErr w:type="gramEnd"/>
      <w:r w:rsidR="00AC768E" w:rsidRPr="00C43174">
        <w:rPr>
          <w:lang w:val="fr-CH"/>
        </w:rPr>
        <w:t xml:space="preserve"> </w:t>
      </w:r>
      <w:r w:rsidR="00D15B9C">
        <w:rPr>
          <w:lang w:val="fr-CH"/>
        </w:rPr>
        <w:t>c</w:t>
      </w:r>
      <w:r w:rsidRPr="00C43174">
        <w:rPr>
          <w:lang w:val="fr-CH"/>
        </w:rPr>
        <w:t>hangements climatiques</w:t>
      </w:r>
      <w:r w:rsidR="00AC768E" w:rsidRPr="00C43174">
        <w:rPr>
          <w:lang w:val="fr-CH"/>
        </w:rPr>
        <w:t xml:space="preserve">, </w:t>
      </w:r>
      <w:r w:rsidR="00D15B9C">
        <w:rPr>
          <w:lang w:val="fr-CH"/>
        </w:rPr>
        <w:t>t</w:t>
      </w:r>
      <w:r w:rsidRPr="00C43174">
        <w:rPr>
          <w:lang w:val="fr-CH"/>
        </w:rPr>
        <w:t>élécommunications d'urgence</w:t>
      </w:r>
      <w:r w:rsidR="00AC768E" w:rsidRPr="00C43174">
        <w:rPr>
          <w:lang w:val="fr-CH"/>
        </w:rPr>
        <w:t xml:space="preserve">, </w:t>
      </w:r>
      <w:r w:rsidR="00D15B9C">
        <w:rPr>
          <w:lang w:val="fr-CH"/>
        </w:rPr>
        <w:t>a</w:t>
      </w:r>
      <w:r w:rsidRPr="00C43174">
        <w:rPr>
          <w:lang w:val="fr-CH"/>
        </w:rPr>
        <w:t>ccessibilité</w:t>
      </w:r>
      <w:r w:rsidR="00AC768E" w:rsidRPr="00C43174">
        <w:rPr>
          <w:lang w:val="fr-CH"/>
        </w:rPr>
        <w:t xml:space="preserve">, </w:t>
      </w:r>
      <w:r w:rsidR="00D15B9C">
        <w:rPr>
          <w:lang w:val="fr-CH"/>
        </w:rPr>
        <w:t>c</w:t>
      </w:r>
      <w:r w:rsidRPr="00C43174">
        <w:rPr>
          <w:lang w:val="fr-CH"/>
        </w:rPr>
        <w:t>ommunications</w:t>
      </w:r>
      <w:r w:rsidR="00AC768E" w:rsidRPr="00C43174">
        <w:rPr>
          <w:lang w:val="fr-CH"/>
        </w:rPr>
        <w:t xml:space="preserve">, </w:t>
      </w:r>
      <w:r w:rsidR="00D15B9C">
        <w:rPr>
          <w:lang w:val="fr-CH"/>
        </w:rPr>
        <w:t>r</w:t>
      </w:r>
      <w:r w:rsidRPr="00C43174">
        <w:rPr>
          <w:lang w:val="fr-CH"/>
        </w:rPr>
        <w:t>édaction du site web</w:t>
      </w:r>
      <w:r w:rsidR="00AC768E" w:rsidRPr="00C43174">
        <w:rPr>
          <w:lang w:val="fr-CH"/>
        </w:rPr>
        <w:t xml:space="preserve">, </w:t>
      </w:r>
      <w:r w:rsidR="00D15B9C">
        <w:rPr>
          <w:lang w:val="fr-CH"/>
        </w:rPr>
        <w:t>m</w:t>
      </w:r>
      <w:r w:rsidRPr="00C43174">
        <w:rPr>
          <w:lang w:val="fr-CH"/>
        </w:rPr>
        <w:t>obilisa</w:t>
      </w:r>
      <w:r w:rsidR="00D15B9C">
        <w:rPr>
          <w:lang w:val="fr-CH"/>
        </w:rPr>
        <w:t>tion de</w:t>
      </w:r>
      <w:r w:rsidRPr="00C43174">
        <w:rPr>
          <w:lang w:val="fr-CH"/>
        </w:rPr>
        <w:t xml:space="preserve"> ressources</w:t>
      </w:r>
      <w:r w:rsidR="00AC768E" w:rsidRPr="00C43174">
        <w:rPr>
          <w:lang w:val="fr-CH"/>
        </w:rPr>
        <w:t xml:space="preserve">, </w:t>
      </w:r>
      <w:r w:rsidR="00D15B9C">
        <w:rPr>
          <w:lang w:val="fr-CH"/>
        </w:rPr>
        <w:t>égalité</w:t>
      </w:r>
      <w:r w:rsidRPr="00C43174">
        <w:rPr>
          <w:lang w:val="fr-CH"/>
        </w:rPr>
        <w:t xml:space="preserve"> hommes/femmes</w:t>
      </w:r>
      <w:r w:rsidR="00AC768E" w:rsidRPr="00C43174">
        <w:rPr>
          <w:lang w:val="fr-CH"/>
        </w:rPr>
        <w:t xml:space="preserve">, </w:t>
      </w:r>
      <w:r w:rsidR="00D15B9C">
        <w:rPr>
          <w:lang w:val="fr-CH"/>
        </w:rPr>
        <w:t>coordination de</w:t>
      </w:r>
      <w:r w:rsidRPr="00C43174">
        <w:rPr>
          <w:lang w:val="fr-CH"/>
        </w:rPr>
        <w:t xml:space="preserve"> manifestations</w:t>
      </w:r>
      <w:r w:rsidR="00D15B9C">
        <w:rPr>
          <w:lang w:val="fr-CH"/>
        </w:rPr>
        <w:t xml:space="preserve"> et</w:t>
      </w:r>
      <w:r w:rsidR="00AC768E" w:rsidRPr="00C43174">
        <w:rPr>
          <w:lang w:val="fr-CH"/>
        </w:rPr>
        <w:t xml:space="preserve"> </w:t>
      </w:r>
      <w:r w:rsidR="00D15B9C">
        <w:rPr>
          <w:lang w:val="fr-CH"/>
        </w:rPr>
        <w:t>r</w:t>
      </w:r>
      <w:r w:rsidRPr="00C43174">
        <w:rPr>
          <w:lang w:val="fr-CH"/>
        </w:rPr>
        <w:t>éduction de l'écart en matière de normalisation.</w:t>
      </w:r>
      <w:r w:rsidR="00B07F8B" w:rsidRPr="00C43174">
        <w:rPr>
          <w:lang w:val="fr-CH"/>
        </w:rPr>
        <w:t xml:space="preserve"> </w:t>
      </w:r>
      <w:r w:rsidRPr="00C43174">
        <w:rPr>
          <w:lang w:val="fr-CH"/>
        </w:rPr>
        <w:t>En 201</w:t>
      </w:r>
      <w:r w:rsidR="00AC768E" w:rsidRPr="00C43174">
        <w:rPr>
          <w:lang w:val="fr-CH"/>
        </w:rPr>
        <w:t>6</w:t>
      </w:r>
      <w:r w:rsidRPr="00C43174">
        <w:rPr>
          <w:lang w:val="fr-CH"/>
        </w:rPr>
        <w:t xml:space="preserve">, le </w:t>
      </w:r>
      <w:proofErr w:type="gramStart"/>
      <w:r w:rsidRPr="00C43174">
        <w:rPr>
          <w:lang w:val="fr-CH"/>
        </w:rPr>
        <w:t>Groupe:</w:t>
      </w:r>
      <w:proofErr w:type="gramEnd"/>
    </w:p>
    <w:p w:rsidR="00600576" w:rsidRPr="00A35849" w:rsidRDefault="00AC768E" w:rsidP="00A35849">
      <w:pPr>
        <w:pStyle w:val="enumlev1"/>
      </w:pPr>
      <w:r w:rsidRPr="00A35849">
        <w:t>–</w:t>
      </w:r>
      <w:r w:rsidR="00600576" w:rsidRPr="00A35849">
        <w:tab/>
        <w:t xml:space="preserve">a facilité les échanges d'informations entre les Secteurs et le Secrétariat général concernant ces domaines thématiques, </w:t>
      </w:r>
      <w:r w:rsidR="00D15B9C" w:rsidRPr="00A35849">
        <w:t>qui ont permis de donner</w:t>
      </w:r>
      <w:r w:rsidR="00600576" w:rsidRPr="00A35849">
        <w:t xml:space="preserve"> au Groupe des informations actualisées et </w:t>
      </w:r>
      <w:r w:rsidR="00D15B9C" w:rsidRPr="00A35849">
        <w:t xml:space="preserve">de </w:t>
      </w:r>
      <w:r w:rsidR="00600576" w:rsidRPr="00A35849">
        <w:t>débatt</w:t>
      </w:r>
      <w:r w:rsidR="00D15B9C" w:rsidRPr="00A35849">
        <w:t xml:space="preserve">re </w:t>
      </w:r>
      <w:r w:rsidR="00600576" w:rsidRPr="00A35849">
        <w:t>des progr</w:t>
      </w:r>
      <w:r w:rsidRPr="00A35849">
        <w:t>ès réalisés</w:t>
      </w:r>
      <w:r w:rsidR="005770D5" w:rsidRPr="00A35849">
        <w:t>.</w:t>
      </w:r>
      <w:r w:rsidRPr="00A35849">
        <w:t xml:space="preserve"> </w:t>
      </w:r>
      <w:r w:rsidR="006739A4" w:rsidRPr="00A35849">
        <w:t xml:space="preserve">En conséquence, les pages web thématiques intersectorielles de l'UIT ont été mises à jour avec les informations les plus pertinentes sur les activités de </w:t>
      </w:r>
      <w:proofErr w:type="gramStart"/>
      <w:r w:rsidR="006739A4" w:rsidRPr="00A35849">
        <w:t>l'UIT</w:t>
      </w:r>
      <w:r w:rsidRPr="00A35849">
        <w:t>;</w:t>
      </w:r>
      <w:proofErr w:type="gramEnd"/>
    </w:p>
    <w:p w:rsidR="006739A4" w:rsidRPr="00A35849" w:rsidRDefault="00AC768E" w:rsidP="00A35849">
      <w:pPr>
        <w:pStyle w:val="enumlev1"/>
      </w:pPr>
      <w:r w:rsidRPr="00A35849">
        <w:t>–</w:t>
      </w:r>
      <w:r w:rsidR="00600576" w:rsidRPr="00A35849">
        <w:tab/>
        <w:t>a examiné et proposé des solutions aux principales questions</w:t>
      </w:r>
      <w:r w:rsidRPr="00A35849">
        <w:t xml:space="preserve"> posées par les coordonnateurs, </w:t>
      </w:r>
      <w:r w:rsidR="006739A4" w:rsidRPr="00A35849">
        <w:t xml:space="preserve">un avantage évident étant </w:t>
      </w:r>
      <w:r w:rsidR="00AA0E22" w:rsidRPr="00A35849">
        <w:t xml:space="preserve">que </w:t>
      </w:r>
      <w:r w:rsidR="006739A4" w:rsidRPr="00A35849">
        <w:t xml:space="preserve">les questions </w:t>
      </w:r>
      <w:r w:rsidR="00D15B9C" w:rsidRPr="00A35849">
        <w:t xml:space="preserve">peuvent </w:t>
      </w:r>
      <w:r w:rsidR="00AA0E22" w:rsidRPr="00A35849">
        <w:t xml:space="preserve">être transmises </w:t>
      </w:r>
      <w:r w:rsidR="006739A4" w:rsidRPr="00A35849">
        <w:t xml:space="preserve">de manière appropriée </w:t>
      </w:r>
      <w:r w:rsidR="00AA0E22" w:rsidRPr="00A35849">
        <w:t xml:space="preserve">au niveau supérieur </w:t>
      </w:r>
      <w:r w:rsidR="006739A4" w:rsidRPr="00A35849">
        <w:t xml:space="preserve">si des décisions ne </w:t>
      </w:r>
      <w:r w:rsidR="00D15B9C" w:rsidRPr="00A35849">
        <w:t xml:space="preserve">peuvent </w:t>
      </w:r>
      <w:r w:rsidR="006739A4" w:rsidRPr="00A35849">
        <w:t xml:space="preserve">pas être prises ou </w:t>
      </w:r>
      <w:r w:rsidR="00D15B9C" w:rsidRPr="00A35849">
        <w:t xml:space="preserve">arrêtées </w:t>
      </w:r>
      <w:r w:rsidR="006739A4" w:rsidRPr="00A35849">
        <w:t>au niveau des coordonnateurs;</w:t>
      </w:r>
    </w:p>
    <w:p w:rsidR="00600576" w:rsidRPr="00A35849" w:rsidRDefault="00AC768E" w:rsidP="00A35849">
      <w:pPr>
        <w:pStyle w:val="enumlev1"/>
      </w:pPr>
      <w:r w:rsidRPr="00A35849">
        <w:t>–</w:t>
      </w:r>
      <w:r w:rsidR="00600576" w:rsidRPr="00A35849">
        <w:tab/>
        <w:t xml:space="preserve">a tiré parti de la participation et de la contribution des Bureaux régionaux, qui ont pris part à distance aux </w:t>
      </w:r>
      <w:r w:rsidR="00AA0E22" w:rsidRPr="00A35849">
        <w:t xml:space="preserve">débats </w:t>
      </w:r>
      <w:r w:rsidR="00600576" w:rsidRPr="00A35849">
        <w:t xml:space="preserve">du </w:t>
      </w:r>
      <w:proofErr w:type="gramStart"/>
      <w:r w:rsidR="00600576" w:rsidRPr="00A35849">
        <w:t>Groupe;</w:t>
      </w:r>
      <w:proofErr w:type="gramEnd"/>
    </w:p>
    <w:p w:rsidR="00600576" w:rsidRPr="00A35849" w:rsidRDefault="00AC768E" w:rsidP="00A35849">
      <w:pPr>
        <w:pStyle w:val="enumlev1"/>
      </w:pPr>
      <w:r w:rsidRPr="00A35849">
        <w:t>–</w:t>
      </w:r>
      <w:r w:rsidR="00600576" w:rsidRPr="00A35849">
        <w:tab/>
        <w:t xml:space="preserve">a coordonné la participation de l'UIT </w:t>
      </w:r>
      <w:r w:rsidR="00AA0E22" w:rsidRPr="00A35849">
        <w:t xml:space="preserve">à des </w:t>
      </w:r>
      <w:r w:rsidR="00600576" w:rsidRPr="00A35849">
        <w:t xml:space="preserve">conférences et </w:t>
      </w:r>
      <w:r w:rsidR="00D15B9C" w:rsidRPr="00A35849">
        <w:t xml:space="preserve">forums </w:t>
      </w:r>
      <w:r w:rsidR="00600576" w:rsidRPr="00A35849">
        <w:t>(par exemple la COP2</w:t>
      </w:r>
      <w:r w:rsidR="00AA0E22" w:rsidRPr="00A35849">
        <w:t>2</w:t>
      </w:r>
      <w:r w:rsidR="00600576" w:rsidRPr="00A35849">
        <w:t xml:space="preserve"> à </w:t>
      </w:r>
      <w:r w:rsidR="00AA0E22" w:rsidRPr="00A35849">
        <w:t>Marrakech, Habitat III à Quito</w:t>
      </w:r>
      <w:r w:rsidR="00600576" w:rsidRPr="00A35849">
        <w:t>)</w:t>
      </w:r>
      <w:r w:rsidR="00AA0E22" w:rsidRPr="00A35849">
        <w:t xml:space="preserve"> afin de réduire le nombre de participants tout en garantissant que les intérêts à l'échelle de l'UIT étaient </w:t>
      </w:r>
      <w:proofErr w:type="gramStart"/>
      <w:r w:rsidR="00AA0E22" w:rsidRPr="00A35849">
        <w:t>représentés</w:t>
      </w:r>
      <w:r w:rsidR="00600576" w:rsidRPr="00A35849">
        <w:t>;</w:t>
      </w:r>
      <w:proofErr w:type="gramEnd"/>
    </w:p>
    <w:p w:rsidR="00AC768E" w:rsidRPr="00A35849" w:rsidRDefault="00AC768E" w:rsidP="00A35849">
      <w:pPr>
        <w:pStyle w:val="enumlev1"/>
      </w:pPr>
      <w:r w:rsidRPr="00A35849">
        <w:t>–</w:t>
      </w:r>
      <w:r w:rsidR="00600576" w:rsidRPr="00A35849">
        <w:tab/>
        <w:t xml:space="preserve">a contribué à mieux coordonner l'organisation </w:t>
      </w:r>
      <w:r w:rsidR="00D15B9C" w:rsidRPr="00A35849">
        <w:t xml:space="preserve">de manifestations </w:t>
      </w:r>
      <w:r w:rsidR="00600576" w:rsidRPr="00A35849">
        <w:t xml:space="preserve">et de réunions de l'UIT, </w:t>
      </w:r>
      <w:r w:rsidR="00F574A8" w:rsidRPr="00A35849">
        <w:t xml:space="preserve">en informant l'ensemble du personnel des projets et </w:t>
      </w:r>
      <w:proofErr w:type="gramStart"/>
      <w:r w:rsidR="00F574A8" w:rsidRPr="00A35849">
        <w:t>intentions;</w:t>
      </w:r>
      <w:proofErr w:type="gramEnd"/>
      <w:r w:rsidR="00F574A8" w:rsidRPr="00A35849">
        <w:t xml:space="preserve"> et</w:t>
      </w:r>
    </w:p>
    <w:p w:rsidR="00F574A8" w:rsidRPr="00A35849" w:rsidRDefault="00F574A8" w:rsidP="00A35849">
      <w:pPr>
        <w:pStyle w:val="enumlev1"/>
      </w:pPr>
      <w:r w:rsidRPr="00A35849">
        <w:t>–</w:t>
      </w:r>
      <w:r w:rsidRPr="00A35849">
        <w:tab/>
        <w:t xml:space="preserve">a passé en revue les recommandations formulées dans les rapports du CCI, et a </w:t>
      </w:r>
      <w:r w:rsidR="00D15B9C" w:rsidRPr="00A35849">
        <w:t xml:space="preserve">désigné </w:t>
      </w:r>
      <w:r w:rsidRPr="00A35849">
        <w:t xml:space="preserve">les coordonnateurs et </w:t>
      </w:r>
      <w:r w:rsidR="00D15B9C" w:rsidRPr="00A35849">
        <w:t xml:space="preserve">recensé </w:t>
      </w:r>
      <w:r w:rsidRPr="00A35849">
        <w:t xml:space="preserve">les mesures </w:t>
      </w:r>
      <w:r w:rsidR="00D15B9C" w:rsidRPr="00A35849">
        <w:t>à prendre</w:t>
      </w:r>
      <w:r w:rsidRPr="00A35849">
        <w:t>.</w:t>
      </w:r>
    </w:p>
    <w:p w:rsidR="00AC768E" w:rsidRPr="00C43174" w:rsidRDefault="00AC768E" w:rsidP="00A35849">
      <w:pPr>
        <w:rPr>
          <w:lang w:val="fr-CH"/>
        </w:rPr>
      </w:pPr>
      <w:r w:rsidRPr="00C43174">
        <w:rPr>
          <w:lang w:val="fr-CH"/>
        </w:rPr>
        <w:lastRenderedPageBreak/>
        <w:t>2.4</w:t>
      </w:r>
      <w:r w:rsidRPr="00C43174">
        <w:rPr>
          <w:lang w:val="fr-CH"/>
        </w:rPr>
        <w:tab/>
      </w:r>
      <w:r w:rsidR="00521AEB" w:rsidRPr="00C43174">
        <w:rPr>
          <w:lang w:val="fr-CH"/>
        </w:rPr>
        <w:t>En outre</w:t>
      </w:r>
      <w:r w:rsidRPr="00C43174">
        <w:rPr>
          <w:lang w:val="fr-CH"/>
        </w:rPr>
        <w:t xml:space="preserve">, </w:t>
      </w:r>
      <w:r w:rsidR="00521AEB" w:rsidRPr="00C43174">
        <w:rPr>
          <w:lang w:val="fr-CH"/>
        </w:rPr>
        <w:t>le G</w:t>
      </w:r>
      <w:r w:rsidRPr="00C43174">
        <w:rPr>
          <w:lang w:val="fr-CH"/>
        </w:rPr>
        <w:t>roup</w:t>
      </w:r>
      <w:r w:rsidR="00521AEB" w:rsidRPr="00C43174">
        <w:rPr>
          <w:lang w:val="fr-CH"/>
        </w:rPr>
        <w:t>e</w:t>
      </w:r>
      <w:r w:rsidRPr="00C43174">
        <w:rPr>
          <w:lang w:val="fr-CH"/>
        </w:rPr>
        <w:t xml:space="preserve"> </w:t>
      </w:r>
      <w:r w:rsidR="00521AEB" w:rsidRPr="00C43174">
        <w:rPr>
          <w:lang w:val="fr-CH"/>
        </w:rPr>
        <w:t xml:space="preserve">a obtenu les résultats concrets </w:t>
      </w:r>
      <w:r w:rsidR="00C43174" w:rsidRPr="00C43174">
        <w:rPr>
          <w:lang w:val="fr-CH"/>
        </w:rPr>
        <w:t>suivants</w:t>
      </w:r>
      <w:r w:rsidR="000D3B6B" w:rsidRPr="00C43174">
        <w:rPr>
          <w:lang w:val="fr-CH"/>
        </w:rPr>
        <w:t xml:space="preserve"> </w:t>
      </w:r>
      <w:r w:rsidR="00521AEB" w:rsidRPr="00C43174">
        <w:rPr>
          <w:lang w:val="fr-CH"/>
        </w:rPr>
        <w:t xml:space="preserve">en </w:t>
      </w:r>
      <w:proofErr w:type="gramStart"/>
      <w:r w:rsidRPr="00C43174">
        <w:rPr>
          <w:lang w:val="fr-CH"/>
        </w:rPr>
        <w:t>2016:</w:t>
      </w:r>
      <w:proofErr w:type="gramEnd"/>
    </w:p>
    <w:p w:rsidR="000D3B6B" w:rsidRPr="00A35849" w:rsidRDefault="00AC768E" w:rsidP="00A35849">
      <w:pPr>
        <w:pStyle w:val="enumlev1"/>
      </w:pPr>
      <w:r w:rsidRPr="00A35849">
        <w:t>–</w:t>
      </w:r>
      <w:r w:rsidRPr="00A35849">
        <w:tab/>
      </w:r>
      <w:r w:rsidR="000D3B6B" w:rsidRPr="00A35849">
        <w:t xml:space="preserve">coordination </w:t>
      </w:r>
      <w:r w:rsidR="00D15B9C" w:rsidRPr="00A35849">
        <w:t xml:space="preserve">et suivi de l'avancement du </w:t>
      </w:r>
      <w:r w:rsidR="000D3B6B" w:rsidRPr="00A35849">
        <w:t xml:space="preserve">plan d'action visant à mettre en œuvre les recommandations du CCI relatives à l'examen de la gestion et de l'administration de </w:t>
      </w:r>
      <w:proofErr w:type="gramStart"/>
      <w:r w:rsidR="000D3B6B" w:rsidRPr="00A35849">
        <w:t>l'UIT;</w:t>
      </w:r>
      <w:proofErr w:type="gramEnd"/>
    </w:p>
    <w:p w:rsidR="000D3B6B" w:rsidRPr="00A35849" w:rsidRDefault="00AC768E" w:rsidP="00A35849">
      <w:pPr>
        <w:pStyle w:val="enumlev1"/>
      </w:pPr>
      <w:r w:rsidRPr="00A35849">
        <w:t>–</w:t>
      </w:r>
      <w:r w:rsidRPr="00A35849">
        <w:tab/>
      </w:r>
      <w:r w:rsidR="000D3B6B" w:rsidRPr="00A35849">
        <w:t xml:space="preserve">coordination de la mise en œuvre des recommandations précédentes du CCI concernant l'ensemble du système des Nations Unies, avec des résultats impressionnants en </w:t>
      </w:r>
      <w:r w:rsidR="005B1B82" w:rsidRPr="00A35849">
        <w:t xml:space="preserve">ce qui </w:t>
      </w:r>
      <w:r w:rsidR="00C43174" w:rsidRPr="00A35849">
        <w:t>concerne</w:t>
      </w:r>
      <w:r w:rsidR="005B1B82" w:rsidRPr="00A35849">
        <w:t xml:space="preserve"> l</w:t>
      </w:r>
      <w:r w:rsidR="000D3B6B" w:rsidRPr="00A35849">
        <w:t xml:space="preserve">'acceptation et </w:t>
      </w:r>
      <w:r w:rsidR="005B1B82" w:rsidRPr="00A35849">
        <w:t>l</w:t>
      </w:r>
      <w:r w:rsidR="000D3B6B" w:rsidRPr="00A35849">
        <w:t xml:space="preserve">'avancement de la mise en œuvre des recommandations </w:t>
      </w:r>
      <w:r w:rsidR="00C43174" w:rsidRPr="00A35849">
        <w:t>précédentes</w:t>
      </w:r>
      <w:r w:rsidR="005B1B82" w:rsidRPr="00A35849">
        <w:t xml:space="preserve"> formulées par le </w:t>
      </w:r>
      <w:r w:rsidR="000D3B6B" w:rsidRPr="00A35849">
        <w:t xml:space="preserve">CCI de 2006 à </w:t>
      </w:r>
      <w:proofErr w:type="gramStart"/>
      <w:r w:rsidR="000D3B6B" w:rsidRPr="00A35849">
        <w:t>2014;</w:t>
      </w:r>
      <w:proofErr w:type="gramEnd"/>
    </w:p>
    <w:p w:rsidR="005B1B82" w:rsidRPr="00A35849" w:rsidRDefault="00AC768E" w:rsidP="00A35849">
      <w:pPr>
        <w:pStyle w:val="enumlev1"/>
      </w:pPr>
      <w:r w:rsidRPr="00A35849">
        <w:t>–</w:t>
      </w:r>
      <w:r w:rsidRPr="00A35849">
        <w:tab/>
      </w:r>
      <w:r w:rsidR="005B1B82" w:rsidRPr="00A35849">
        <w:t xml:space="preserve">élaboration du </w:t>
      </w:r>
      <w:r w:rsidR="00406677" w:rsidRPr="00A35849">
        <w:t xml:space="preserve">projet de politique en matière de gestion des risques et </w:t>
      </w:r>
      <w:r w:rsidR="00D15B9C" w:rsidRPr="00A35849">
        <w:t xml:space="preserve">du projet de </w:t>
      </w:r>
      <w:r w:rsidR="00406677" w:rsidRPr="00A35849">
        <w:t>déclaration relative à la propension au risque</w:t>
      </w:r>
      <w:r w:rsidRPr="00A35849">
        <w:t xml:space="preserve">, </w:t>
      </w:r>
      <w:r w:rsidR="005B1B82" w:rsidRPr="00A35849">
        <w:t xml:space="preserve">dans le cadre d'un groupe de travail </w:t>
      </w:r>
      <w:r w:rsidR="00D15B9C" w:rsidRPr="00A35849">
        <w:t>dédié</w:t>
      </w:r>
      <w:r w:rsidR="005B1B82" w:rsidRPr="00A35849">
        <w:t>. Les projets de document ont été présentés au GTC-FHR et soumis au Conseil</w:t>
      </w:r>
      <w:r w:rsidR="00D15B9C" w:rsidRPr="00A35849">
        <w:t xml:space="preserve"> pour examen et </w:t>
      </w:r>
      <w:proofErr w:type="gramStart"/>
      <w:r w:rsidR="00D15B9C" w:rsidRPr="00A35849">
        <w:t>approbation</w:t>
      </w:r>
      <w:r w:rsidR="005B1B82" w:rsidRPr="00A35849">
        <w:t>;</w:t>
      </w:r>
      <w:proofErr w:type="gramEnd"/>
    </w:p>
    <w:p w:rsidR="005B1B82" w:rsidRPr="00A35849" w:rsidRDefault="00AC768E" w:rsidP="00A35849">
      <w:pPr>
        <w:pStyle w:val="enumlev1"/>
      </w:pPr>
      <w:r w:rsidRPr="00A35849">
        <w:t>–</w:t>
      </w:r>
      <w:r w:rsidRPr="00A35849">
        <w:tab/>
      </w:r>
      <w:r w:rsidR="005B1B82" w:rsidRPr="00A35849">
        <w:t xml:space="preserve">lancement du processus de gestion de la continuité des activités et du rétablissement après une catastrophe, au cas où il serait impossible d'accéder physiquement aux bâtiments du siège de l'UIT et de ses Bureaux </w:t>
      </w:r>
      <w:proofErr w:type="gramStart"/>
      <w:r w:rsidR="005B1B82" w:rsidRPr="00A35849">
        <w:t>régionaux;</w:t>
      </w:r>
      <w:proofErr w:type="gramEnd"/>
    </w:p>
    <w:p w:rsidR="00FB064B" w:rsidRPr="00A35849" w:rsidRDefault="00AC768E" w:rsidP="00A35849">
      <w:pPr>
        <w:pStyle w:val="enumlev1"/>
      </w:pPr>
      <w:r w:rsidRPr="00A35849">
        <w:t>–</w:t>
      </w:r>
      <w:r w:rsidRPr="00A35849">
        <w:tab/>
      </w:r>
      <w:r w:rsidR="00FB064B" w:rsidRPr="00A35849">
        <w:t xml:space="preserve">coordination </w:t>
      </w:r>
      <w:r w:rsidR="00D15B9C" w:rsidRPr="00A35849">
        <w:t xml:space="preserve">de </w:t>
      </w:r>
      <w:r w:rsidR="00FB064B" w:rsidRPr="00A35849">
        <w:t xml:space="preserve">l'élaboration </w:t>
      </w:r>
      <w:r w:rsidR="00D15B9C" w:rsidRPr="00A35849">
        <w:t xml:space="preserve">et adoption </w:t>
      </w:r>
      <w:r w:rsidR="00FB064B" w:rsidRPr="00A35849">
        <w:t xml:space="preserve">de lignes directrices pour les demandes de vidéos et de photos, et </w:t>
      </w:r>
      <w:r w:rsidR="00D15B9C" w:rsidRPr="00A35849">
        <w:t xml:space="preserve">adoption </w:t>
      </w:r>
      <w:r w:rsidR="00FB064B" w:rsidRPr="00A35849">
        <w:t xml:space="preserve">de procédures et de formulaires </w:t>
      </w:r>
      <w:proofErr w:type="gramStart"/>
      <w:r w:rsidR="00FB064B" w:rsidRPr="00A35849">
        <w:t>pertinents;</w:t>
      </w:r>
      <w:proofErr w:type="gramEnd"/>
    </w:p>
    <w:p w:rsidR="00FB064B" w:rsidRPr="00A35849" w:rsidRDefault="00AC768E" w:rsidP="00A35849">
      <w:pPr>
        <w:pStyle w:val="enumlev1"/>
      </w:pPr>
      <w:r w:rsidRPr="00A35849">
        <w:t>–</w:t>
      </w:r>
      <w:r w:rsidRPr="00A35849">
        <w:tab/>
      </w:r>
      <w:r w:rsidR="00FB064B" w:rsidRPr="00A35849">
        <w:t>e</w:t>
      </w:r>
      <w:r w:rsidR="00693170" w:rsidRPr="00A35849">
        <w:t>x</w:t>
      </w:r>
      <w:r w:rsidR="00FB064B" w:rsidRPr="00A35849">
        <w:t xml:space="preserve">amen de l'élaboration </w:t>
      </w:r>
      <w:r w:rsidR="00693170" w:rsidRPr="00A35849">
        <w:t>du t</w:t>
      </w:r>
      <w:r w:rsidR="00FB064B" w:rsidRPr="00A35849">
        <w:t xml:space="preserve">ableau de bord </w:t>
      </w:r>
      <w:r w:rsidR="00693170" w:rsidRPr="00A35849">
        <w:t xml:space="preserve">sur l'égalité </w:t>
      </w:r>
      <w:r w:rsidR="00D15B9C" w:rsidRPr="00A35849">
        <w:t>hommes-</w:t>
      </w:r>
      <w:r w:rsidR="00693170" w:rsidRPr="00A35849">
        <w:t>femmes</w:t>
      </w:r>
      <w:r w:rsidR="00FB064B" w:rsidRPr="00A35849">
        <w:t xml:space="preserve">, </w:t>
      </w:r>
      <w:r w:rsidR="00D15B9C" w:rsidRPr="00A35849">
        <w:t xml:space="preserve">qui donne un aperçu actualisé </w:t>
      </w:r>
      <w:r w:rsidR="00693170" w:rsidRPr="00A35849">
        <w:t xml:space="preserve">en permanence </w:t>
      </w:r>
      <w:r w:rsidR="00FB064B" w:rsidRPr="00A35849">
        <w:t xml:space="preserve">de la situation des femmes </w:t>
      </w:r>
      <w:r w:rsidR="00693170" w:rsidRPr="00A35849">
        <w:t xml:space="preserve">à </w:t>
      </w:r>
      <w:r w:rsidR="00FB064B" w:rsidRPr="00A35849">
        <w:t xml:space="preserve">l'UIT et </w:t>
      </w:r>
      <w:r w:rsidR="00693170" w:rsidRPr="00A35849">
        <w:t>dans le s</w:t>
      </w:r>
      <w:r w:rsidR="00FB064B" w:rsidRPr="00A35849">
        <w:t xml:space="preserve">ecteur des </w:t>
      </w:r>
      <w:proofErr w:type="gramStart"/>
      <w:r w:rsidR="00FB064B" w:rsidRPr="00A35849">
        <w:t>TIC;</w:t>
      </w:r>
      <w:proofErr w:type="gramEnd"/>
    </w:p>
    <w:p w:rsidR="00693170" w:rsidRPr="00A35849" w:rsidRDefault="00AC768E" w:rsidP="00A35849">
      <w:pPr>
        <w:pStyle w:val="enumlev1"/>
      </w:pPr>
      <w:r w:rsidRPr="00A35849">
        <w:t>–</w:t>
      </w:r>
      <w:r w:rsidRPr="00A35849">
        <w:tab/>
      </w:r>
      <w:r w:rsidR="00693170" w:rsidRPr="00A35849">
        <w:t xml:space="preserve">présentation d'une proposition de projet visant à parvenir à l'égalité hommes-femmes dans les </w:t>
      </w:r>
      <w:r w:rsidR="00E33E40" w:rsidRPr="00A35849">
        <w:t xml:space="preserve">groupes d'experts </w:t>
      </w:r>
      <w:r w:rsidR="00693170" w:rsidRPr="00A35849">
        <w:t xml:space="preserve">de l'UIT, en suivant et en </w:t>
      </w:r>
      <w:r w:rsidR="00E33E40" w:rsidRPr="00A35849">
        <w:t xml:space="preserve">encourageant </w:t>
      </w:r>
      <w:r w:rsidR="00693170" w:rsidRPr="00A35849">
        <w:t xml:space="preserve">la participation des </w:t>
      </w:r>
      <w:r w:rsidR="00E33E40" w:rsidRPr="00A35849">
        <w:t>oratrices/</w:t>
      </w:r>
      <w:r w:rsidR="00693170" w:rsidRPr="00A35849">
        <w:t>intervenant</w:t>
      </w:r>
      <w:r w:rsidR="00E33E40" w:rsidRPr="00A35849">
        <w:t>e</w:t>
      </w:r>
      <w:r w:rsidR="00693170" w:rsidRPr="00A35849">
        <w:t xml:space="preserve">s aux </w:t>
      </w:r>
      <w:r w:rsidR="00E33E40" w:rsidRPr="00A35849">
        <w:t xml:space="preserve">manifestations </w:t>
      </w:r>
      <w:r w:rsidR="00693170" w:rsidRPr="00A35849">
        <w:t>de l'UIT;</w:t>
      </w:r>
    </w:p>
    <w:p w:rsidR="00E33E40" w:rsidRPr="00A35849" w:rsidRDefault="00AC768E" w:rsidP="00A35849">
      <w:pPr>
        <w:pStyle w:val="enumlev1"/>
      </w:pPr>
      <w:r w:rsidRPr="00A35849">
        <w:t>–</w:t>
      </w:r>
      <w:r w:rsidRPr="00A35849">
        <w:tab/>
      </w:r>
      <w:r w:rsidR="008B510C" w:rsidRPr="00A35849">
        <w:t>e</w:t>
      </w:r>
      <w:r w:rsidR="00E33E40" w:rsidRPr="00A35849">
        <w:t xml:space="preserve">xamen de la mise en œuvre du Fonds d'accessibilité et approbation d'un deuxième volet de financement pour un projet visant à </w:t>
      </w:r>
      <w:r w:rsidR="00D15B9C" w:rsidRPr="00A35849">
        <w:t xml:space="preserve">accroître </w:t>
      </w:r>
      <w:r w:rsidR="00E33E40" w:rsidRPr="00A35849">
        <w:t xml:space="preserve">la participation d'experts </w:t>
      </w:r>
      <w:r w:rsidR="00D15B9C" w:rsidRPr="00A35849">
        <w:t>en matière d</w:t>
      </w:r>
      <w:r w:rsidR="00E33E40" w:rsidRPr="00A35849">
        <w:t>'accessibilité des TIC à certaines réunions de commissions d'études de l'UIT;</w:t>
      </w:r>
    </w:p>
    <w:p w:rsidR="00E33E40" w:rsidRPr="00A35849" w:rsidRDefault="00AC768E" w:rsidP="00A35849">
      <w:pPr>
        <w:pStyle w:val="enumlev1"/>
      </w:pPr>
      <w:r w:rsidRPr="00A35849">
        <w:t>–</w:t>
      </w:r>
      <w:r w:rsidRPr="00A35849">
        <w:tab/>
      </w:r>
      <w:r w:rsidR="008B510C" w:rsidRPr="00A35849">
        <w:t>c</w:t>
      </w:r>
      <w:r w:rsidR="00E33E40" w:rsidRPr="00A35849">
        <w:t xml:space="preserve">réation d'un sous-groupe de l'équipe du projet </w:t>
      </w:r>
      <w:r w:rsidR="00D15B9C" w:rsidRPr="00A35849">
        <w:t>sur les ODD</w:t>
      </w:r>
      <w:r w:rsidR="00E33E40" w:rsidRPr="00A35849">
        <w:t xml:space="preserve"> qui a ensuite été regroupé avec le Groupe spécial sur le SMSI, à la suite des débats qui ont eu lieu lors de la session de 2016 du </w:t>
      </w:r>
      <w:proofErr w:type="gramStart"/>
      <w:r w:rsidR="00E33E40" w:rsidRPr="00A35849">
        <w:t>Conseil;</w:t>
      </w:r>
      <w:proofErr w:type="gramEnd"/>
    </w:p>
    <w:p w:rsidR="00AC768E" w:rsidRPr="00A35849" w:rsidRDefault="00AC768E" w:rsidP="00A35849">
      <w:pPr>
        <w:pStyle w:val="enumlev1"/>
      </w:pPr>
      <w:r w:rsidRPr="00A35849">
        <w:t>–</w:t>
      </w:r>
      <w:r w:rsidRPr="00A35849">
        <w:tab/>
      </w:r>
      <w:r w:rsidR="008B510C" w:rsidRPr="00A35849">
        <w:t>examen de la stratégie globale de communication</w:t>
      </w:r>
      <w:r w:rsidRPr="00A35849">
        <w:t xml:space="preserve"> </w:t>
      </w:r>
      <w:r w:rsidR="008B510C" w:rsidRPr="00A35849">
        <w:t xml:space="preserve">pour la période </w:t>
      </w:r>
      <w:r w:rsidRPr="00A35849">
        <w:t>2016-</w:t>
      </w:r>
      <w:proofErr w:type="gramStart"/>
      <w:r w:rsidRPr="00A35849">
        <w:t>2019;</w:t>
      </w:r>
      <w:proofErr w:type="gramEnd"/>
    </w:p>
    <w:p w:rsidR="00AC768E" w:rsidRPr="00A35849" w:rsidRDefault="00AC768E" w:rsidP="00A35849">
      <w:pPr>
        <w:pStyle w:val="enumlev1"/>
      </w:pPr>
      <w:r w:rsidRPr="00A35849">
        <w:t>–</w:t>
      </w:r>
      <w:r w:rsidRPr="00A35849">
        <w:tab/>
      </w:r>
      <w:r w:rsidR="00C43174" w:rsidRPr="00A35849">
        <w:t>coordination d</w:t>
      </w:r>
      <w:r w:rsidR="008B510C" w:rsidRPr="00A35849">
        <w:t>e</w:t>
      </w:r>
      <w:r w:rsidR="00C43174" w:rsidRPr="00A35849">
        <w:t xml:space="preserve"> </w:t>
      </w:r>
      <w:r w:rsidR="008B510C" w:rsidRPr="00A35849">
        <w:t xml:space="preserve">l'élaboration de lignes directrices pour la traduction des pages </w:t>
      </w:r>
      <w:r w:rsidRPr="00A35849">
        <w:t xml:space="preserve">web, </w:t>
      </w:r>
      <w:r w:rsidR="008B510C" w:rsidRPr="00A35849">
        <w:t>conformément à la décision prise par le Conseil à sa session de 20</w:t>
      </w:r>
      <w:r w:rsidRPr="00A35849">
        <w:t xml:space="preserve">16. </w:t>
      </w:r>
      <w:r w:rsidR="008B510C" w:rsidRPr="00A35849">
        <w:t xml:space="preserve">Un </w:t>
      </w:r>
      <w:r w:rsidRPr="00A35849">
        <w:t>r</w:t>
      </w:r>
      <w:r w:rsidR="008B510C" w:rsidRPr="00A35849">
        <w:t>ap</w:t>
      </w:r>
      <w:r w:rsidRPr="00A35849">
        <w:t xml:space="preserve">port </w:t>
      </w:r>
      <w:r w:rsidR="008B510C" w:rsidRPr="00A35849">
        <w:t xml:space="preserve">a été présenté à la réunion du GTC sur </w:t>
      </w:r>
      <w:r w:rsidR="00D15B9C" w:rsidRPr="00A35849">
        <w:t xml:space="preserve">l'utilisation des </w:t>
      </w:r>
      <w:r w:rsidR="008B510C" w:rsidRPr="00A35849">
        <w:t xml:space="preserve">langues tenue en </w:t>
      </w:r>
      <w:proofErr w:type="gramStart"/>
      <w:r w:rsidR="008B510C" w:rsidRPr="00A35849">
        <w:t>janvier</w:t>
      </w:r>
      <w:r w:rsidRPr="00A35849">
        <w:t>;</w:t>
      </w:r>
      <w:proofErr w:type="gramEnd"/>
    </w:p>
    <w:p w:rsidR="008B510C" w:rsidRPr="00A35849" w:rsidRDefault="00AC768E" w:rsidP="00A35849">
      <w:pPr>
        <w:pStyle w:val="enumlev1"/>
      </w:pPr>
      <w:r w:rsidRPr="00A35849">
        <w:t>–</w:t>
      </w:r>
      <w:r w:rsidRPr="00A35849">
        <w:tab/>
      </w:r>
      <w:r w:rsidR="008B510C" w:rsidRPr="00A35849">
        <w:t>coordin</w:t>
      </w:r>
      <w:r w:rsidR="00D15B9C" w:rsidRPr="00A35849">
        <w:t>ation du processus de mesure de</w:t>
      </w:r>
      <w:r w:rsidR="008B510C" w:rsidRPr="00A35849">
        <w:t xml:space="preserve"> données pour les indicateurs de résultats </w:t>
      </w:r>
      <w:r w:rsidR="00D15B9C" w:rsidRPr="00A35849">
        <w:t xml:space="preserve">présentés dans </w:t>
      </w:r>
      <w:r w:rsidR="008B510C" w:rsidRPr="00A35849">
        <w:t xml:space="preserve">le Rapport annuel 2016 de l'UIT </w:t>
      </w:r>
      <w:r w:rsidR="00D15B9C" w:rsidRPr="00A35849">
        <w:t>par l'intermédiaire d'</w:t>
      </w:r>
      <w:r w:rsidR="008B510C" w:rsidRPr="00A35849">
        <w:t xml:space="preserve">un site web </w:t>
      </w:r>
      <w:proofErr w:type="gramStart"/>
      <w:r w:rsidR="008B510C" w:rsidRPr="00A35849">
        <w:t>dédié;</w:t>
      </w:r>
      <w:proofErr w:type="gramEnd"/>
    </w:p>
    <w:p w:rsidR="00AC768E" w:rsidRPr="00A35849" w:rsidRDefault="00AC768E" w:rsidP="00A35849">
      <w:pPr>
        <w:pStyle w:val="enumlev1"/>
      </w:pPr>
      <w:r w:rsidRPr="00A35849">
        <w:t>–</w:t>
      </w:r>
      <w:r w:rsidRPr="00A35849">
        <w:tab/>
      </w:r>
      <w:r w:rsidR="008B510C" w:rsidRPr="00A35849">
        <w:t xml:space="preserve">examen de l'élaboration du </w:t>
      </w:r>
      <w:r w:rsidR="00D15B9C" w:rsidRPr="00A35849">
        <w:t>p</w:t>
      </w:r>
      <w:r w:rsidR="008B510C" w:rsidRPr="00A35849">
        <w:t>rojet de cadre de responsabilisation</w:t>
      </w:r>
      <w:r w:rsidRPr="00A35849">
        <w:t xml:space="preserve">, </w:t>
      </w:r>
      <w:r w:rsidR="008B510C" w:rsidRPr="00A35849">
        <w:t xml:space="preserve">en application d'une recommandation du </w:t>
      </w:r>
      <w:proofErr w:type="gramStart"/>
      <w:r w:rsidR="008B510C" w:rsidRPr="00A35849">
        <w:t>CCI</w:t>
      </w:r>
      <w:r w:rsidRPr="00A35849">
        <w:t>;</w:t>
      </w:r>
      <w:proofErr w:type="gramEnd"/>
    </w:p>
    <w:p w:rsidR="00AC768E" w:rsidRPr="00A35849" w:rsidRDefault="00AC768E" w:rsidP="00A35849">
      <w:pPr>
        <w:pStyle w:val="enumlev1"/>
      </w:pPr>
      <w:r w:rsidRPr="00A35849">
        <w:t>–</w:t>
      </w:r>
      <w:r w:rsidRPr="00A35849">
        <w:tab/>
      </w:r>
      <w:r w:rsidR="008B510C" w:rsidRPr="00A35849">
        <w:t xml:space="preserve">examen de l'élaboration du nouveau </w:t>
      </w:r>
      <w:r w:rsidR="00D15B9C" w:rsidRPr="00A35849">
        <w:t>p</w:t>
      </w:r>
      <w:r w:rsidR="008B510C" w:rsidRPr="00A35849">
        <w:t>rojet de lignes directrices relatives au parrainage</w:t>
      </w:r>
      <w:r w:rsidRPr="00A35849">
        <w:t xml:space="preserve">, </w:t>
      </w:r>
      <w:r w:rsidR="008B510C" w:rsidRPr="00A35849">
        <w:t xml:space="preserve">lesquelles ont ensuite été approuvées par le </w:t>
      </w:r>
      <w:r w:rsidRPr="00A35849">
        <w:t xml:space="preserve">MCG </w:t>
      </w:r>
      <w:r w:rsidR="008B510C" w:rsidRPr="00A35849">
        <w:t xml:space="preserve">en </w:t>
      </w:r>
      <w:proofErr w:type="gramStart"/>
      <w:r w:rsidR="008B510C" w:rsidRPr="00A35849">
        <w:t>décembre</w:t>
      </w:r>
      <w:r w:rsidRPr="00A35849">
        <w:t>;</w:t>
      </w:r>
      <w:proofErr w:type="gramEnd"/>
    </w:p>
    <w:p w:rsidR="00AC768E" w:rsidRPr="00A35849" w:rsidRDefault="00AC768E" w:rsidP="00A35849">
      <w:pPr>
        <w:pStyle w:val="enumlev1"/>
      </w:pPr>
      <w:r w:rsidRPr="00A35849">
        <w:t>–</w:t>
      </w:r>
      <w:r w:rsidRPr="00A35849">
        <w:tab/>
      </w:r>
      <w:r w:rsidR="008B510C" w:rsidRPr="00A35849">
        <w:t xml:space="preserve">adoption de nouveaux rapports détaillés sur la situation </w:t>
      </w:r>
      <w:r w:rsidR="00D15B9C" w:rsidRPr="00A35849">
        <w:t>relative aux m</w:t>
      </w:r>
      <w:r w:rsidR="008B510C" w:rsidRPr="00A35849">
        <w:t>embres de</w:t>
      </w:r>
      <w:r w:rsidR="00D15B9C" w:rsidRPr="00A35849">
        <w:t>s</w:t>
      </w:r>
      <w:r w:rsidR="008B510C" w:rsidRPr="00A35849">
        <w:t xml:space="preserve"> Secteur</w:t>
      </w:r>
      <w:r w:rsidR="00D15B9C" w:rsidRPr="00A35849">
        <w:t>s</w:t>
      </w:r>
      <w:r w:rsidR="008B510C" w:rsidRPr="00A35849">
        <w:t xml:space="preserve"> par </w:t>
      </w:r>
      <w:r w:rsidRPr="00A35849">
        <w:t>Sect</w:t>
      </w:r>
      <w:r w:rsidR="008B510C" w:rsidRPr="00A35849">
        <w:t>eu</w:t>
      </w:r>
      <w:r w:rsidRPr="00A35849">
        <w:t xml:space="preserve">r </w:t>
      </w:r>
      <w:r w:rsidR="008B510C" w:rsidRPr="00A35849">
        <w:t>et par région</w:t>
      </w:r>
      <w:r w:rsidRPr="00A35849">
        <w:t>.</w:t>
      </w:r>
    </w:p>
    <w:p w:rsidR="00600576" w:rsidRPr="00C43174" w:rsidRDefault="00600576" w:rsidP="00A35849">
      <w:pPr>
        <w:pStyle w:val="Heading1"/>
        <w:rPr>
          <w:lang w:val="fr-CH"/>
        </w:rPr>
      </w:pPr>
      <w:r w:rsidRPr="00C43174">
        <w:rPr>
          <w:lang w:val="fr-CH"/>
        </w:rPr>
        <w:lastRenderedPageBreak/>
        <w:t>3</w:t>
      </w:r>
      <w:r w:rsidRPr="00C43174">
        <w:rPr>
          <w:lang w:val="fr-CH"/>
        </w:rPr>
        <w:tab/>
      </w:r>
      <w:r w:rsidRPr="00A35849">
        <w:t>Coordination</w:t>
      </w:r>
      <w:r w:rsidRPr="00C43174">
        <w:rPr>
          <w:lang w:val="fr-CH"/>
        </w:rPr>
        <w:t xml:space="preserve"> avec les membres</w:t>
      </w:r>
    </w:p>
    <w:p w:rsidR="00600576" w:rsidRPr="00C43174" w:rsidRDefault="00600576" w:rsidP="00A35849">
      <w:pPr>
        <w:rPr>
          <w:lang w:val="fr-CH"/>
        </w:rPr>
      </w:pPr>
      <w:r w:rsidRPr="00C43174">
        <w:rPr>
          <w:lang w:val="fr-CH"/>
        </w:rPr>
        <w:t>3.1</w:t>
      </w:r>
      <w:r w:rsidRPr="00C43174">
        <w:rPr>
          <w:lang w:val="fr-CH"/>
        </w:rPr>
        <w:tab/>
        <w:t xml:space="preserve">Les participants aux réunions du GCR, du GCNT et du GCDT en 2014 et 2015 </w:t>
      </w:r>
      <w:r w:rsidR="00521AEB" w:rsidRPr="00C43174">
        <w:rPr>
          <w:lang w:val="fr-CH"/>
        </w:rPr>
        <w:t xml:space="preserve">avaient </w:t>
      </w:r>
      <w:r w:rsidRPr="00C43174">
        <w:rPr>
          <w:lang w:val="fr-CH"/>
        </w:rPr>
        <w:t xml:space="preserve">débattu de la création d'une </w:t>
      </w:r>
      <w:r w:rsidR="00C43174" w:rsidRPr="00C43174">
        <w:rPr>
          <w:lang w:val="fr-CH"/>
        </w:rPr>
        <w:t>Équipe</w:t>
      </w:r>
      <w:r w:rsidRPr="00C43174">
        <w:rPr>
          <w:lang w:val="fr-CH"/>
        </w:rPr>
        <w:t xml:space="preserve"> de coordination intersectorielle </w:t>
      </w:r>
      <w:r w:rsidR="00F574A8" w:rsidRPr="00C43174">
        <w:rPr>
          <w:lang w:val="fr-CH"/>
        </w:rPr>
        <w:t xml:space="preserve">(ISCT) </w:t>
      </w:r>
      <w:r w:rsidRPr="00C43174">
        <w:rPr>
          <w:lang w:val="fr-CH"/>
        </w:rPr>
        <w:t xml:space="preserve">chargée d'examiner des questions d'intérêt mutuel et </w:t>
      </w:r>
      <w:r w:rsidR="00521AEB" w:rsidRPr="00C43174">
        <w:rPr>
          <w:lang w:val="fr-CH"/>
        </w:rPr>
        <w:t xml:space="preserve">étaient </w:t>
      </w:r>
      <w:r w:rsidRPr="00C43174">
        <w:rPr>
          <w:lang w:val="fr-CH"/>
        </w:rPr>
        <w:t xml:space="preserve">parvenus à un accord sur ce sujet. Ils </w:t>
      </w:r>
      <w:r w:rsidR="00521AEB" w:rsidRPr="00C43174">
        <w:rPr>
          <w:lang w:val="fr-CH"/>
        </w:rPr>
        <w:t xml:space="preserve">avaient </w:t>
      </w:r>
      <w:r w:rsidRPr="00C43174">
        <w:rPr>
          <w:lang w:val="fr-CH"/>
        </w:rPr>
        <w:t xml:space="preserve">transmis leur avis sur le sujet aux trois Bureaux (des informations de référence </w:t>
      </w:r>
      <w:r w:rsidR="00521AEB" w:rsidRPr="00C43174">
        <w:rPr>
          <w:lang w:val="fr-CH"/>
        </w:rPr>
        <w:t xml:space="preserve">étaient </w:t>
      </w:r>
      <w:r w:rsidRPr="00C43174">
        <w:rPr>
          <w:lang w:val="fr-CH"/>
        </w:rPr>
        <w:t xml:space="preserve">données dans le Document </w:t>
      </w:r>
      <w:hyperlink r:id="rId10" w:history="1">
        <w:r w:rsidRPr="00C43174">
          <w:rPr>
            <w:rStyle w:val="Hyperlink"/>
            <w:lang w:val="fr-CH"/>
          </w:rPr>
          <w:t>C15/38(Rév.1)</w:t>
        </w:r>
      </w:hyperlink>
      <w:r w:rsidRPr="00C43174">
        <w:rPr>
          <w:lang w:val="fr-CH"/>
        </w:rPr>
        <w:t xml:space="preserve">). </w:t>
      </w:r>
      <w:r w:rsidR="00F574A8" w:rsidRPr="00C43174">
        <w:rPr>
          <w:lang w:val="fr-CH"/>
        </w:rPr>
        <w:t xml:space="preserve">Le </w:t>
      </w:r>
      <w:hyperlink r:id="rId11" w:history="1">
        <w:r w:rsidR="00F574A8" w:rsidRPr="00C43174">
          <w:rPr>
            <w:rStyle w:val="Hyperlink"/>
            <w:lang w:val="fr-CH"/>
          </w:rPr>
          <w:t>mandat</w:t>
        </w:r>
      </w:hyperlink>
      <w:r w:rsidR="00F574A8" w:rsidRPr="00C43174">
        <w:rPr>
          <w:lang w:val="fr-CH"/>
        </w:rPr>
        <w:t xml:space="preserve"> de l'ISCT a été établi et approuvé par les trois Secteurs, et une équipe de direction a été nommée.</w:t>
      </w:r>
    </w:p>
    <w:p w:rsidR="00521AEB" w:rsidRPr="00C43174" w:rsidRDefault="00600576" w:rsidP="00A35849">
      <w:pPr>
        <w:rPr>
          <w:lang w:val="fr-CH"/>
        </w:rPr>
      </w:pPr>
      <w:r w:rsidRPr="00C43174">
        <w:rPr>
          <w:lang w:val="fr-CH"/>
        </w:rPr>
        <w:t>3.2</w:t>
      </w:r>
      <w:r w:rsidRPr="00C43174">
        <w:rPr>
          <w:lang w:val="fr-CH"/>
        </w:rPr>
        <w:tab/>
      </w:r>
      <w:r w:rsidR="00521AEB" w:rsidRPr="00C43174">
        <w:rPr>
          <w:lang w:val="fr-CH"/>
        </w:rPr>
        <w:t xml:space="preserve">L'ISCT a travaillé, sur la base des </w:t>
      </w:r>
      <w:r w:rsidR="00D15B9C">
        <w:rPr>
          <w:lang w:val="fr-CH"/>
        </w:rPr>
        <w:t xml:space="preserve">contributions </w:t>
      </w:r>
      <w:r w:rsidR="00521AEB" w:rsidRPr="00C43174">
        <w:rPr>
          <w:lang w:val="fr-CH"/>
        </w:rPr>
        <w:t>reçu</w:t>
      </w:r>
      <w:r w:rsidR="00D15B9C">
        <w:rPr>
          <w:lang w:val="fr-CH"/>
        </w:rPr>
        <w:t>e</w:t>
      </w:r>
      <w:r w:rsidR="00521AEB" w:rsidRPr="00C43174">
        <w:rPr>
          <w:lang w:val="fr-CH"/>
        </w:rPr>
        <w:t>s des groupes consultatifs des trois Secteurs, à l'élaboration d'une liste de sujets communs sur les méthodes de travail pour la coordination intersectorielle à l'UIT.</w:t>
      </w:r>
    </w:p>
    <w:p w:rsidR="00571EEA" w:rsidRPr="00C43174" w:rsidRDefault="00600576" w:rsidP="003670B1">
      <w:pPr>
        <w:spacing w:before="840"/>
        <w:jc w:val="center"/>
        <w:rPr>
          <w:lang w:val="fr-CH"/>
        </w:rPr>
      </w:pPr>
      <w:r w:rsidRPr="00C43174">
        <w:rPr>
          <w:lang w:val="fr-CH"/>
        </w:rPr>
        <w:t>______________</w:t>
      </w:r>
    </w:p>
    <w:sectPr w:rsidR="00571EEA" w:rsidRPr="00C43174" w:rsidSect="005C3890">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576" w:rsidRDefault="00600576">
      <w:r>
        <w:separator/>
      </w:r>
    </w:p>
  </w:endnote>
  <w:endnote w:type="continuationSeparator" w:id="0">
    <w:p w:rsidR="00600576" w:rsidRDefault="0060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A35849" w:rsidRDefault="00A35849">
    <w:pPr>
      <w:pStyle w:val="Footer"/>
      <w:rPr>
        <w:lang w:val="en-GB"/>
      </w:rPr>
    </w:pPr>
    <w:r>
      <w:fldChar w:fldCharType="begin"/>
    </w:r>
    <w:r w:rsidRPr="00A35849">
      <w:rPr>
        <w:lang w:val="en-GB"/>
      </w:rPr>
      <w:instrText xml:space="preserve"> FILENAME \p \* MERGEFORMAT </w:instrText>
    </w:r>
    <w:r>
      <w:fldChar w:fldCharType="separate"/>
    </w:r>
    <w:r w:rsidR="00D15B9C" w:rsidRPr="00A35849">
      <w:rPr>
        <w:lang w:val="en-GB"/>
      </w:rPr>
      <w:t>P:\TRAD\F\LING\Bouchard\409488f_c17-38.docx</w:t>
    </w:r>
    <w:r>
      <w:fldChar w:fldCharType="end"/>
    </w:r>
    <w:r w:rsidR="00732045" w:rsidRPr="00A35849">
      <w:rPr>
        <w:lang w:val="en-GB"/>
      </w:rPr>
      <w:tab/>
    </w:r>
    <w:r w:rsidR="002F1B76">
      <w:fldChar w:fldCharType="begin"/>
    </w:r>
    <w:r w:rsidR="00732045">
      <w:instrText xml:space="preserve"> savedate \@ dd.MM.yy </w:instrText>
    </w:r>
    <w:r w:rsidR="002F1B76">
      <w:fldChar w:fldCharType="separate"/>
    </w:r>
    <w:r w:rsidR="003670B1">
      <w:t>28.04.17</w:t>
    </w:r>
    <w:r w:rsidR="002F1B76">
      <w:fldChar w:fldCharType="end"/>
    </w:r>
    <w:r w:rsidR="00732045" w:rsidRPr="00A35849">
      <w:rPr>
        <w:lang w:val="en-GB"/>
      </w:rPr>
      <w:tab/>
    </w:r>
    <w:r w:rsidR="002F1B76">
      <w:fldChar w:fldCharType="begin"/>
    </w:r>
    <w:r w:rsidR="00732045">
      <w:instrText xml:space="preserve"> printdate \@ dd.MM.yy </w:instrText>
    </w:r>
    <w:r w:rsidR="002F1B76">
      <w:fldChar w:fldCharType="separate"/>
    </w:r>
    <w:r w:rsidR="00D15B9C">
      <w:t>28.04.17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3670B1" w:rsidRDefault="00A35849" w:rsidP="00106D3A">
    <w:pPr>
      <w:pStyle w:val="Footer"/>
      <w:rPr>
        <w:color w:val="D9D9D9" w:themeColor="background1" w:themeShade="D9"/>
        <w:lang w:val="en-GB"/>
      </w:rPr>
    </w:pPr>
    <w:r w:rsidRPr="003670B1">
      <w:rPr>
        <w:color w:val="D9D9D9" w:themeColor="background1" w:themeShade="D9"/>
      </w:rPr>
      <w:fldChar w:fldCharType="begin"/>
    </w:r>
    <w:r w:rsidRPr="003670B1">
      <w:rPr>
        <w:color w:val="D9D9D9" w:themeColor="background1" w:themeShade="D9"/>
        <w:lang w:val="en-GB"/>
      </w:rPr>
      <w:instrText xml:space="preserve"> FILENAME \p  \* MERGEFORMAT </w:instrText>
    </w:r>
    <w:r w:rsidRPr="003670B1">
      <w:rPr>
        <w:color w:val="D9D9D9" w:themeColor="background1" w:themeShade="D9"/>
      </w:rPr>
      <w:fldChar w:fldCharType="separate"/>
    </w:r>
    <w:r w:rsidR="00D15B9C" w:rsidRPr="003670B1">
      <w:rPr>
        <w:color w:val="D9D9D9" w:themeColor="background1" w:themeShade="D9"/>
        <w:lang w:val="en-GB"/>
      </w:rPr>
      <w:t>P:\TRAD\F\LING\Bouchard\409488f_c17-38.docx</w:t>
    </w:r>
    <w:r w:rsidRPr="003670B1">
      <w:rPr>
        <w:color w:val="D9D9D9" w:themeColor="background1" w:themeShade="D9"/>
      </w:rPr>
      <w:fldChar w:fldCharType="end"/>
    </w:r>
    <w:r w:rsidR="00106D3A" w:rsidRPr="003670B1">
      <w:rPr>
        <w:color w:val="D9D9D9" w:themeColor="background1" w:themeShade="D9"/>
        <w:lang w:val="en-GB"/>
      </w:rPr>
      <w:t xml:space="preserve"> (409488)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576" w:rsidRDefault="00600576">
      <w:r>
        <w:t>____________________</w:t>
      </w:r>
    </w:p>
  </w:footnote>
  <w:footnote w:type="continuationSeparator" w:id="0">
    <w:p w:rsidR="00600576" w:rsidRDefault="00600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3670B1">
      <w:rPr>
        <w:noProof/>
      </w:rPr>
      <w:t>2</w:t>
    </w:r>
    <w:r>
      <w:rPr>
        <w:noProof/>
      </w:rPr>
      <w:fldChar w:fldCharType="end"/>
    </w:r>
  </w:p>
  <w:p w:rsidR="00732045" w:rsidRDefault="00732045" w:rsidP="0093234A">
    <w:pPr>
      <w:pStyle w:val="Header"/>
    </w:pPr>
    <w:r>
      <w:t>C1</w:t>
    </w:r>
    <w:r w:rsidR="0093234A">
      <w:t>7</w:t>
    </w:r>
    <w:r w:rsidR="00600576">
      <w:t>/38</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54A1617F"/>
    <w:multiLevelType w:val="hybridMultilevel"/>
    <w:tmpl w:val="45F669EE"/>
    <w:lvl w:ilvl="0" w:tplc="D5BAE092">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576"/>
    <w:rsid w:val="000D0D0A"/>
    <w:rsid w:val="000D3B6B"/>
    <w:rsid w:val="00103163"/>
    <w:rsid w:val="00106D3A"/>
    <w:rsid w:val="00115D93"/>
    <w:rsid w:val="001247A8"/>
    <w:rsid w:val="001378C0"/>
    <w:rsid w:val="0018694A"/>
    <w:rsid w:val="001A3287"/>
    <w:rsid w:val="001A6508"/>
    <w:rsid w:val="001D0B60"/>
    <w:rsid w:val="001D4C31"/>
    <w:rsid w:val="001E4D21"/>
    <w:rsid w:val="00207CD1"/>
    <w:rsid w:val="002477A2"/>
    <w:rsid w:val="00263A51"/>
    <w:rsid w:val="00267E02"/>
    <w:rsid w:val="002A5D44"/>
    <w:rsid w:val="002E0BC4"/>
    <w:rsid w:val="002F1B76"/>
    <w:rsid w:val="00355FF5"/>
    <w:rsid w:val="00361350"/>
    <w:rsid w:val="003670B1"/>
    <w:rsid w:val="004038CB"/>
    <w:rsid w:val="0040546F"/>
    <w:rsid w:val="00406677"/>
    <w:rsid w:val="0042404A"/>
    <w:rsid w:val="0044618F"/>
    <w:rsid w:val="0045340B"/>
    <w:rsid w:val="0046769A"/>
    <w:rsid w:val="00475FB3"/>
    <w:rsid w:val="004C37A9"/>
    <w:rsid w:val="004F259E"/>
    <w:rsid w:val="00511F1D"/>
    <w:rsid w:val="00520F36"/>
    <w:rsid w:val="00521AEB"/>
    <w:rsid w:val="00540615"/>
    <w:rsid w:val="00540A6D"/>
    <w:rsid w:val="00571EEA"/>
    <w:rsid w:val="00575417"/>
    <w:rsid w:val="005768E1"/>
    <w:rsid w:val="005770D5"/>
    <w:rsid w:val="005B1B82"/>
    <w:rsid w:val="005C3890"/>
    <w:rsid w:val="005F7BFE"/>
    <w:rsid w:val="00600017"/>
    <w:rsid w:val="00600576"/>
    <w:rsid w:val="006235CA"/>
    <w:rsid w:val="006643AB"/>
    <w:rsid w:val="006739A4"/>
    <w:rsid w:val="00693170"/>
    <w:rsid w:val="007210CD"/>
    <w:rsid w:val="00732045"/>
    <w:rsid w:val="007369DB"/>
    <w:rsid w:val="007956C2"/>
    <w:rsid w:val="007A187E"/>
    <w:rsid w:val="007C72C2"/>
    <w:rsid w:val="007D4436"/>
    <w:rsid w:val="007F257A"/>
    <w:rsid w:val="007F3665"/>
    <w:rsid w:val="00800037"/>
    <w:rsid w:val="00861D73"/>
    <w:rsid w:val="008A4E87"/>
    <w:rsid w:val="008B510C"/>
    <w:rsid w:val="008D76E6"/>
    <w:rsid w:val="0092392D"/>
    <w:rsid w:val="0093234A"/>
    <w:rsid w:val="009C307F"/>
    <w:rsid w:val="00A2113E"/>
    <w:rsid w:val="00A23A51"/>
    <w:rsid w:val="00A24607"/>
    <w:rsid w:val="00A25CD3"/>
    <w:rsid w:val="00A35849"/>
    <w:rsid w:val="00A82767"/>
    <w:rsid w:val="00AA0E22"/>
    <w:rsid w:val="00AA332F"/>
    <w:rsid w:val="00AA7BBB"/>
    <w:rsid w:val="00AB64A8"/>
    <w:rsid w:val="00AC0266"/>
    <w:rsid w:val="00AC768E"/>
    <w:rsid w:val="00AD24EC"/>
    <w:rsid w:val="00B07F8B"/>
    <w:rsid w:val="00B309F9"/>
    <w:rsid w:val="00B32B60"/>
    <w:rsid w:val="00B61619"/>
    <w:rsid w:val="00BA6D43"/>
    <w:rsid w:val="00BB4545"/>
    <w:rsid w:val="00BD5873"/>
    <w:rsid w:val="00C04BE3"/>
    <w:rsid w:val="00C25D29"/>
    <w:rsid w:val="00C27A7C"/>
    <w:rsid w:val="00C43174"/>
    <w:rsid w:val="00CA08ED"/>
    <w:rsid w:val="00CF183B"/>
    <w:rsid w:val="00D15B9C"/>
    <w:rsid w:val="00D375CD"/>
    <w:rsid w:val="00D553A2"/>
    <w:rsid w:val="00D774D3"/>
    <w:rsid w:val="00D904E8"/>
    <w:rsid w:val="00DA08C3"/>
    <w:rsid w:val="00DB5A3E"/>
    <w:rsid w:val="00DC22AA"/>
    <w:rsid w:val="00DF74DD"/>
    <w:rsid w:val="00E25AD0"/>
    <w:rsid w:val="00E33E40"/>
    <w:rsid w:val="00EB6350"/>
    <w:rsid w:val="00F15B57"/>
    <w:rsid w:val="00F427DB"/>
    <w:rsid w:val="00F574A8"/>
    <w:rsid w:val="00F911F6"/>
    <w:rsid w:val="00FA5EB1"/>
    <w:rsid w:val="00FA7439"/>
    <w:rsid w:val="00FB064B"/>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9D07726-D879-44FD-B935-1FA5AAF8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Style 58,超?级链"/>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600576"/>
    <w:rPr>
      <w:rFonts w:ascii="Calibri" w:hAnsi="Calibri"/>
      <w:b/>
      <w:sz w:val="28"/>
      <w:lang w:val="fr-FR" w:eastAsia="en-US"/>
    </w:rPr>
  </w:style>
  <w:style w:type="table" w:styleId="TableGrid">
    <w:name w:val="Table Grid"/>
    <w:basedOn w:val="TableNormal"/>
    <w:uiPriority w:val="59"/>
    <w:rsid w:val="0060057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C768E"/>
    <w:pPr>
      <w:ind w:left="720"/>
      <w:contextualSpacing/>
    </w:pPr>
    <w:rPr>
      <w:lang w:val="en-GB"/>
    </w:rPr>
  </w:style>
  <w:style w:type="character" w:customStyle="1" w:styleId="ListParagraphChar">
    <w:name w:val="List Paragraph Char"/>
    <w:basedOn w:val="DefaultParagraphFont"/>
    <w:link w:val="ListParagraph"/>
    <w:uiPriority w:val="34"/>
    <w:rsid w:val="00AC768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963686">
      <w:bodyDiv w:val="1"/>
      <w:marLeft w:val="0"/>
      <w:marRight w:val="0"/>
      <w:marTop w:val="0"/>
      <w:marBottom w:val="0"/>
      <w:divBdr>
        <w:top w:val="none" w:sz="0" w:space="0" w:color="auto"/>
        <w:left w:val="none" w:sz="0" w:space="0" w:color="auto"/>
        <w:bottom w:val="none" w:sz="0" w:space="0" w:color="auto"/>
        <w:right w:val="none" w:sz="0" w:space="0" w:color="auto"/>
      </w:divBdr>
    </w:div>
    <w:div w:id="352928144">
      <w:bodyDiv w:val="1"/>
      <w:marLeft w:val="0"/>
      <w:marRight w:val="0"/>
      <w:marTop w:val="0"/>
      <w:marBottom w:val="0"/>
      <w:divBdr>
        <w:top w:val="none" w:sz="0" w:space="0" w:color="auto"/>
        <w:left w:val="none" w:sz="0" w:space="0" w:color="auto"/>
        <w:bottom w:val="none" w:sz="0" w:space="0" w:color="auto"/>
        <w:right w:val="none" w:sz="0" w:space="0" w:color="auto"/>
      </w:divBdr>
    </w:div>
    <w:div w:id="671031431">
      <w:bodyDiv w:val="1"/>
      <w:marLeft w:val="0"/>
      <w:marRight w:val="0"/>
      <w:marTop w:val="0"/>
      <w:marBottom w:val="0"/>
      <w:divBdr>
        <w:top w:val="none" w:sz="0" w:space="0" w:color="auto"/>
        <w:left w:val="none" w:sz="0" w:space="0" w:color="auto"/>
        <w:bottom w:val="none" w:sz="0" w:space="0" w:color="auto"/>
        <w:right w:val="none" w:sz="0" w:space="0" w:color="auto"/>
      </w:divBdr>
    </w:div>
    <w:div w:id="821580393">
      <w:bodyDiv w:val="1"/>
      <w:marLeft w:val="0"/>
      <w:marRight w:val="0"/>
      <w:marTop w:val="0"/>
      <w:marBottom w:val="0"/>
      <w:divBdr>
        <w:top w:val="none" w:sz="0" w:space="0" w:color="auto"/>
        <w:left w:val="none" w:sz="0" w:space="0" w:color="auto"/>
        <w:bottom w:val="none" w:sz="0" w:space="0" w:color="auto"/>
        <w:right w:val="none" w:sz="0" w:space="0" w:color="auto"/>
      </w:divBdr>
    </w:div>
    <w:div w:id="874660081">
      <w:bodyDiv w:val="1"/>
      <w:marLeft w:val="0"/>
      <w:marRight w:val="0"/>
      <w:marTop w:val="0"/>
      <w:marBottom w:val="0"/>
      <w:divBdr>
        <w:top w:val="none" w:sz="0" w:space="0" w:color="auto"/>
        <w:left w:val="none" w:sz="0" w:space="0" w:color="auto"/>
        <w:bottom w:val="none" w:sz="0" w:space="0" w:color="auto"/>
        <w:right w:val="none" w:sz="0" w:space="0" w:color="auto"/>
      </w:divBdr>
    </w:div>
    <w:div w:id="878592284">
      <w:bodyDiv w:val="1"/>
      <w:marLeft w:val="0"/>
      <w:marRight w:val="0"/>
      <w:marTop w:val="0"/>
      <w:marBottom w:val="0"/>
      <w:divBdr>
        <w:top w:val="none" w:sz="0" w:space="0" w:color="auto"/>
        <w:left w:val="none" w:sz="0" w:space="0" w:color="auto"/>
        <w:bottom w:val="none" w:sz="0" w:space="0" w:color="auto"/>
        <w:right w:val="none" w:sz="0" w:space="0" w:color="auto"/>
      </w:divBdr>
    </w:div>
    <w:div w:id="1001392587">
      <w:bodyDiv w:val="1"/>
      <w:marLeft w:val="0"/>
      <w:marRight w:val="0"/>
      <w:marTop w:val="0"/>
      <w:marBottom w:val="0"/>
      <w:divBdr>
        <w:top w:val="none" w:sz="0" w:space="0" w:color="auto"/>
        <w:left w:val="none" w:sz="0" w:space="0" w:color="auto"/>
        <w:bottom w:val="none" w:sz="0" w:space="0" w:color="auto"/>
        <w:right w:val="none" w:sz="0" w:space="0" w:color="auto"/>
      </w:divBdr>
    </w:div>
    <w:div w:id="1033848728">
      <w:bodyDiv w:val="1"/>
      <w:marLeft w:val="0"/>
      <w:marRight w:val="0"/>
      <w:marTop w:val="0"/>
      <w:marBottom w:val="0"/>
      <w:divBdr>
        <w:top w:val="none" w:sz="0" w:space="0" w:color="auto"/>
        <w:left w:val="none" w:sz="0" w:space="0" w:color="auto"/>
        <w:bottom w:val="none" w:sz="0" w:space="0" w:color="auto"/>
        <w:right w:val="none" w:sz="0" w:space="0" w:color="auto"/>
      </w:divBdr>
    </w:div>
    <w:div w:id="1204710163">
      <w:bodyDiv w:val="1"/>
      <w:marLeft w:val="0"/>
      <w:marRight w:val="0"/>
      <w:marTop w:val="0"/>
      <w:marBottom w:val="0"/>
      <w:divBdr>
        <w:top w:val="none" w:sz="0" w:space="0" w:color="auto"/>
        <w:left w:val="none" w:sz="0" w:space="0" w:color="auto"/>
        <w:bottom w:val="none" w:sz="0" w:space="0" w:color="auto"/>
        <w:right w:val="none" w:sz="0" w:space="0" w:color="auto"/>
      </w:divBdr>
    </w:div>
    <w:div w:id="1370296489">
      <w:bodyDiv w:val="1"/>
      <w:marLeft w:val="0"/>
      <w:marRight w:val="0"/>
      <w:marTop w:val="0"/>
      <w:marBottom w:val="0"/>
      <w:divBdr>
        <w:top w:val="none" w:sz="0" w:space="0" w:color="auto"/>
        <w:left w:val="none" w:sz="0" w:space="0" w:color="auto"/>
        <w:bottom w:val="none" w:sz="0" w:space="0" w:color="auto"/>
        <w:right w:val="none" w:sz="0" w:space="0" w:color="auto"/>
      </w:divBdr>
    </w:div>
    <w:div w:id="1846745379">
      <w:bodyDiv w:val="1"/>
      <w:marLeft w:val="0"/>
      <w:marRight w:val="0"/>
      <w:marTop w:val="0"/>
      <w:marBottom w:val="0"/>
      <w:divBdr>
        <w:top w:val="none" w:sz="0" w:space="0" w:color="auto"/>
        <w:left w:val="none" w:sz="0" w:space="0" w:color="auto"/>
        <w:bottom w:val="none" w:sz="0" w:space="0" w:color="auto"/>
        <w:right w:val="none" w:sz="0" w:space="0" w:color="auto"/>
      </w:divBdr>
    </w:div>
    <w:div w:id="1996954510">
      <w:bodyDiv w:val="1"/>
      <w:marLeft w:val="0"/>
      <w:marRight w:val="0"/>
      <w:marTop w:val="0"/>
      <w:marBottom w:val="0"/>
      <w:divBdr>
        <w:top w:val="none" w:sz="0" w:space="0" w:color="auto"/>
        <w:left w:val="none" w:sz="0" w:space="0" w:color="auto"/>
        <w:bottom w:val="none" w:sz="0" w:space="0" w:color="auto"/>
        <w:right w:val="none" w:sz="0" w:space="0" w:color="auto"/>
      </w:divBdr>
    </w:div>
    <w:div w:id="205627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S-CONF-ACTF-2014"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D/Conferences/TDAG/Pages/Terms-of-reference-for-IST.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tu.int/md/S15-CL-C-0038/en" TargetMode="External"/><Relationship Id="rId4" Type="http://schemas.openxmlformats.org/officeDocument/2006/relationships/webSettings" Target="webSettings.xml"/><Relationship Id="rId9" Type="http://schemas.openxmlformats.org/officeDocument/2006/relationships/hyperlink" Target="https://www.itu.int/md/meetingdoc.asp?lang=en&amp;parent=S16-CL-C-0038"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PF_C17.dotx</Template>
  <TotalTime>0</TotalTime>
  <Pages>4</Pages>
  <Words>1384</Words>
  <Characters>7945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9311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la mise en oeuvre de la Résolution 191 (Busan, 2014) "Stratégie de coordination des efforts entre les trois Secteurs de l'Union"</dc:title>
  <dc:subject>Conseil 2017</dc:subject>
  <dc:creator>Gozel, Elsa</dc:creator>
  <cp:keywords>C2017, C17</cp:keywords>
  <dc:description/>
  <cp:lastModifiedBy>Brouard, Ricarda</cp:lastModifiedBy>
  <cp:revision>2</cp:revision>
  <cp:lastPrinted>2017-04-28T06:33:00Z</cp:lastPrinted>
  <dcterms:created xsi:type="dcterms:W3CDTF">2017-04-28T16:13:00Z</dcterms:created>
  <dcterms:modified xsi:type="dcterms:W3CDTF">2017-04-28T16:13:00Z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