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105078" w:rsidRDefault="000E4FF0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0507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A4011E" w:rsidRPr="00105078">
              <w:rPr>
                <w:rFonts w:eastAsiaTheme="minorEastAsia"/>
                <w:b/>
                <w:bCs/>
                <w:lang w:eastAsia="zh-CN" w:bidi="ar-EG"/>
              </w:rPr>
              <w:t>ADM 17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4011E">
              <w:rPr>
                <w:rFonts w:eastAsiaTheme="minorEastAsia"/>
                <w:b/>
                <w:bCs/>
                <w:lang w:eastAsia="zh-CN" w:bidi="ar-SY"/>
              </w:rPr>
              <w:t>38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A4011E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A4011E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4011E" w:rsidP="00A4011E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A4011E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A4011E" w:rsidRPr="00A4011E" w:rsidRDefault="00A4011E" w:rsidP="00A4011E">
            <w:pPr>
              <w:pStyle w:val="Title1"/>
              <w:rPr>
                <w:rFonts w:eastAsiaTheme="minorEastAsia"/>
                <w:rtl/>
                <w:lang w:eastAsia="zh-CN" w:bidi="ar-SA"/>
              </w:rPr>
            </w:pPr>
            <w:r w:rsidRPr="00A4011E">
              <w:rPr>
                <w:rFonts w:eastAsiaTheme="minorEastAsia"/>
                <w:rtl/>
                <w:lang w:eastAsia="zh-CN" w:bidi="ar-SA"/>
              </w:rPr>
              <w:t xml:space="preserve">تقرير عن تنفيذ القرار </w:t>
            </w:r>
            <w:r w:rsidRPr="00A4011E">
              <w:rPr>
                <w:rFonts w:eastAsiaTheme="minorEastAsia"/>
                <w:lang w:eastAsia="zh-CN"/>
              </w:rPr>
              <w:t>191</w:t>
            </w:r>
            <w:r w:rsidRPr="00A4011E">
              <w:rPr>
                <w:rFonts w:eastAsiaTheme="minorEastAsia"/>
                <w:rtl/>
                <w:lang w:eastAsia="zh-CN" w:bidi="ar-SA"/>
              </w:rPr>
              <w:t xml:space="preserve"> (بوسان، </w:t>
            </w:r>
            <w:r w:rsidRPr="00A4011E">
              <w:rPr>
                <w:rFonts w:eastAsiaTheme="minorEastAsia"/>
                <w:lang w:eastAsia="zh-CN"/>
              </w:rPr>
              <w:t>2014</w:t>
            </w:r>
            <w:r w:rsidRPr="00A4011E">
              <w:rPr>
                <w:rFonts w:eastAsiaTheme="minorEastAsia"/>
                <w:rtl/>
                <w:lang w:eastAsia="zh-CN" w:bidi="ar-SA"/>
              </w:rPr>
              <w:t>)</w:t>
            </w:r>
          </w:p>
          <w:p w:rsidR="000E4FF0" w:rsidRPr="000E4FF0" w:rsidRDefault="00A4011E" w:rsidP="00A4011E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A4011E">
              <w:rPr>
                <w:rFonts w:eastAsiaTheme="minorEastAsia"/>
                <w:rtl/>
                <w:lang w:eastAsia="zh-CN" w:bidi="ar-SA"/>
              </w:rPr>
              <w:t>"استراتيجية تنسيق الجهود بين قطاعات الاتحاد الثلاثة"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A4011E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A4011E">
              <w:rPr>
                <w:rFonts w:eastAsiaTheme="minorEastAsia" w:hint="cs"/>
                <w:rtl/>
                <w:lang w:eastAsia="zh-CN"/>
              </w:rPr>
              <w:t>تعرض</w:t>
            </w:r>
            <w:r w:rsidRPr="00A4011E">
              <w:rPr>
                <w:rFonts w:eastAsiaTheme="minorEastAsia" w:hint="cs"/>
                <w:rtl/>
                <w:lang w:eastAsia="zh-CN" w:bidi="ar-LB"/>
              </w:rPr>
              <w:t xml:space="preserve"> هذه الوثيقة تقرير</w:t>
            </w:r>
            <w:r w:rsidRPr="00A4011E"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A4011E">
              <w:rPr>
                <w:rFonts w:eastAsiaTheme="minorEastAsia" w:hint="cs"/>
                <w:rtl/>
                <w:lang w:eastAsia="zh-CN" w:bidi="ar-LB"/>
              </w:rPr>
              <w:t xml:space="preserve"> بشأن تنفيذ القرار </w:t>
            </w:r>
            <w:r w:rsidRPr="00A4011E">
              <w:rPr>
                <w:rFonts w:eastAsiaTheme="minorEastAsia"/>
                <w:lang w:eastAsia="zh-CN" w:bidi="ar-SY"/>
              </w:rPr>
              <w:t>191</w:t>
            </w:r>
            <w:r w:rsidRPr="00A4011E">
              <w:rPr>
                <w:rFonts w:eastAsiaTheme="minorEastAsia" w:hint="cs"/>
                <w:rtl/>
                <w:lang w:eastAsia="zh-CN"/>
              </w:rPr>
              <w:t xml:space="preserve"> (بوسان، </w:t>
            </w:r>
            <w:r w:rsidRPr="00A4011E">
              <w:rPr>
                <w:rFonts w:eastAsiaTheme="minorEastAsia"/>
                <w:lang w:eastAsia="zh-CN" w:bidi="ar-SY"/>
              </w:rPr>
              <w:t>2014</w:t>
            </w:r>
            <w:r w:rsidRPr="00A4011E">
              <w:rPr>
                <w:rFonts w:eastAsiaTheme="minorEastAsia" w:hint="cs"/>
                <w:rtl/>
                <w:lang w:eastAsia="zh-CN"/>
              </w:rPr>
              <w:t>) المتعلق ب</w:t>
            </w:r>
            <w:r w:rsidRPr="00A4011E">
              <w:rPr>
                <w:rFonts w:eastAsiaTheme="minorEastAsia" w:hint="eastAsia"/>
                <w:rtl/>
                <w:lang w:eastAsia="zh-CN"/>
              </w:rPr>
              <w:t>استراتيجية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تنسيق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الجهود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بين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قطاعات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الاتحاد</w:t>
            </w:r>
            <w:r w:rsidRPr="00A4011E">
              <w:rPr>
                <w:rFonts w:eastAsiaTheme="minorEastAsia"/>
                <w:rtl/>
                <w:lang w:eastAsia="zh-CN"/>
              </w:rPr>
              <w:t xml:space="preserve"> </w:t>
            </w:r>
            <w:r w:rsidRPr="00A4011E">
              <w:rPr>
                <w:rFonts w:eastAsiaTheme="minorEastAsia" w:hint="eastAsia"/>
                <w:rtl/>
                <w:lang w:eastAsia="zh-CN"/>
              </w:rPr>
              <w:t>الثلاثة</w:t>
            </w:r>
            <w:r w:rsidRPr="00A4011E">
              <w:rPr>
                <w:rFonts w:eastAsiaTheme="minorEastAsia" w:hint="cs"/>
                <w:rtl/>
                <w:lang w:eastAsia="zh-CN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A4011E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A4011E">
              <w:rPr>
                <w:rFonts w:eastAsiaTheme="minorEastAsia" w:hint="cs"/>
                <w:rtl/>
                <w:lang w:eastAsia="zh-CN"/>
              </w:rPr>
              <w:t xml:space="preserve">يرجى من المجلس </w:t>
            </w:r>
            <w:r w:rsidRPr="00A4011E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Pr="00A4011E">
              <w:rPr>
                <w:rFonts w:eastAsiaTheme="minorEastAsia" w:hint="cs"/>
                <w:rtl/>
                <w:lang w:eastAsia="zh-CN"/>
              </w:rPr>
              <w:t xml:space="preserve"> بهذا التقرير.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E30B8E" w:rsidP="00A401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A4011E" w:rsidRPr="00A4011E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 xml:space="preserve">القرار </w:t>
              </w:r>
              <w:r w:rsidR="00A4011E" w:rsidRPr="00A4011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191</w:t>
              </w:r>
              <w:r w:rsidR="00A4011E" w:rsidRPr="00A4011E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 xml:space="preserve"> (المراجَع في بوسان، </w:t>
              </w:r>
              <w:r w:rsidR="00A4011E" w:rsidRPr="00A4011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2014</w:t>
              </w:r>
              <w:r w:rsidR="00A4011E" w:rsidRPr="00A4011E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>)</w:t>
              </w:r>
            </w:hyperlink>
          </w:p>
        </w:tc>
      </w:tr>
    </w:tbl>
    <w:p w:rsidR="00A4011E" w:rsidRPr="00A63202" w:rsidRDefault="00A4011E" w:rsidP="00A4011E">
      <w:pPr>
        <w:pStyle w:val="Heading1"/>
        <w:rPr>
          <w:rtl/>
        </w:rPr>
      </w:pPr>
      <w:r>
        <w:t>1</w:t>
      </w:r>
      <w:r w:rsidRPr="00A63202">
        <w:rPr>
          <w:rtl/>
        </w:rPr>
        <w:tab/>
      </w:r>
      <w:r>
        <w:rPr>
          <w:rFonts w:hint="cs"/>
          <w:rtl/>
        </w:rPr>
        <w:t>خلفية</w:t>
      </w:r>
    </w:p>
    <w:p w:rsidR="00A4011E" w:rsidRPr="00A63202" w:rsidRDefault="00A4011E" w:rsidP="00A4011E">
      <w:pPr>
        <w:rPr>
          <w:rtl/>
          <w:lang w:val="fr-CH"/>
        </w:rPr>
      </w:pPr>
      <w:r w:rsidRPr="00A63202">
        <w:rPr>
          <w:bCs/>
        </w:rPr>
        <w:t>1</w:t>
      </w:r>
      <w:r w:rsidRPr="00A63202">
        <w:rPr>
          <w:bCs/>
          <w:lang w:val="fr-CH"/>
        </w:rPr>
        <w:t>.1</w:t>
      </w:r>
      <w:r w:rsidRPr="00A63202">
        <w:rPr>
          <w:bCs/>
          <w:rtl/>
          <w:lang w:bidi="ar-LB"/>
        </w:rPr>
        <w:tab/>
      </w:r>
      <w:r w:rsidRPr="00A63202">
        <w:rPr>
          <w:rFonts w:hint="cs"/>
          <w:rtl/>
        </w:rPr>
        <w:t xml:space="preserve">اعتمد مؤتمر المندوبين المفوضين لعام </w:t>
      </w:r>
      <w:r>
        <w:t>(PP-14) 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 xml:space="preserve"> القرار </w:t>
      </w:r>
      <w:r w:rsidRPr="00A63202">
        <w:rPr>
          <w:lang w:val="fr-CH"/>
        </w:rPr>
        <w:t>191</w:t>
      </w:r>
      <w:r w:rsidRPr="00A63202">
        <w:rPr>
          <w:rFonts w:hint="cs"/>
          <w:rtl/>
          <w:lang w:val="fr-CH"/>
        </w:rPr>
        <w:t xml:space="preserve"> (بوسان، 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>) بشأن "</w:t>
      </w:r>
      <w:r w:rsidRPr="00A63202">
        <w:rPr>
          <w:rFonts w:hint="eastAsia"/>
          <w:rtl/>
          <w:lang w:val="fr-CH"/>
        </w:rPr>
        <w:t>استراتيجية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الجهود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الاتحاد</w:t>
      </w:r>
      <w:r>
        <w:rPr>
          <w:rFonts w:hint="cs"/>
          <w:rtl/>
        </w:rPr>
        <w:t> </w:t>
      </w:r>
      <w:r w:rsidRPr="00A63202">
        <w:rPr>
          <w:rFonts w:hint="eastAsia"/>
          <w:rtl/>
          <w:lang w:val="fr-CH"/>
        </w:rPr>
        <w:t>الثلاثة</w:t>
      </w:r>
      <w:r w:rsidRPr="00A63202">
        <w:rPr>
          <w:rFonts w:hint="cs"/>
          <w:rtl/>
          <w:lang w:val="fr-CH"/>
        </w:rPr>
        <w:t>".</w:t>
      </w:r>
    </w:p>
    <w:p w:rsidR="00A4011E" w:rsidRPr="00A63202" w:rsidRDefault="00A4011E" w:rsidP="004A7D1E">
      <w:pPr>
        <w:rPr>
          <w:rtl/>
        </w:rPr>
      </w:pPr>
      <w:r w:rsidRPr="00A63202">
        <w:t>2.1</w:t>
      </w:r>
      <w:r w:rsidRPr="00A63202">
        <w:rPr>
          <w:rFonts w:hint="cs"/>
          <w:rtl/>
        </w:rPr>
        <w:tab/>
      </w:r>
      <w:r w:rsidRPr="00A63202">
        <w:rPr>
          <w:rFonts w:hint="cs"/>
          <w:spacing w:val="2"/>
          <w:rtl/>
          <w:lang w:bidi="ar-SY"/>
        </w:rPr>
        <w:t>و</w:t>
      </w:r>
      <w:r w:rsidRPr="00A63202">
        <w:rPr>
          <w:rFonts w:hint="cs"/>
          <w:i/>
          <w:iCs/>
          <w:spacing w:val="2"/>
          <w:rtl/>
          <w:lang w:bidi="ar-SY"/>
        </w:rPr>
        <w:t>يكلف</w:t>
      </w:r>
      <w:r w:rsidRPr="00A63202">
        <w:rPr>
          <w:rFonts w:hint="cs"/>
          <w:spacing w:val="2"/>
          <w:rtl/>
          <w:lang w:bidi="ar-SY"/>
        </w:rPr>
        <w:t xml:space="preserve"> القرار</w:t>
      </w:r>
      <w:r w:rsidRPr="00A63202">
        <w:rPr>
          <w:rFonts w:hint="cs"/>
          <w:rtl/>
        </w:rPr>
        <w:t xml:space="preserve"> الأمين العام بضمان </w:t>
      </w:r>
      <w:r w:rsidRPr="00A63202">
        <w:rPr>
          <w:rFonts w:hint="eastAsia"/>
          <w:rtl/>
        </w:rPr>
        <w:t>وضع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استراتيجية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والتعاون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توخيا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لفعالية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وكفاءة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="004A7D1E">
        <w:rPr>
          <w:rFonts w:hint="cs"/>
          <w:rtl/>
        </w:rPr>
        <w:t> </w:t>
      </w:r>
      <w:r w:rsidRPr="00A63202">
        <w:rPr>
          <w:rFonts w:hint="eastAsia"/>
          <w:rtl/>
        </w:rPr>
        <w:t>الاهتمام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الاتحاد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بغية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تجنب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ازدواجية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الاستخدام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للموارد؛</w:t>
      </w:r>
      <w:r w:rsidRPr="00A63202">
        <w:rPr>
          <w:rFonts w:hint="cs"/>
          <w:rtl/>
        </w:rPr>
        <w:t xml:space="preserve"> و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إعداد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قائمة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محدثة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تتضمن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وفقا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لولاية 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جمعية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ومؤتمر</w:t>
      </w:r>
      <w:r w:rsidRPr="00A63202">
        <w:rPr>
          <w:rFonts w:hint="cs"/>
          <w:rtl/>
        </w:rPr>
        <w:t> </w:t>
      </w:r>
      <w:r w:rsidRPr="00A63202">
        <w:rPr>
          <w:rFonts w:hint="eastAsia"/>
          <w:rtl/>
        </w:rPr>
        <w:t>للاتحاد</w:t>
      </w:r>
      <w:r w:rsidRPr="00A63202">
        <w:rPr>
          <w:rFonts w:hint="cs"/>
          <w:rtl/>
        </w:rPr>
        <w:t>.</w:t>
      </w:r>
    </w:p>
    <w:p w:rsidR="00A4011E" w:rsidRPr="00A63202" w:rsidRDefault="00A4011E" w:rsidP="00A4011E">
      <w:pPr>
        <w:rPr>
          <w:rtl/>
        </w:rPr>
      </w:pPr>
      <w:r w:rsidRPr="00A63202">
        <w:lastRenderedPageBreak/>
        <w:t>3</w:t>
      </w:r>
      <w:r w:rsidRPr="00A63202">
        <w:rPr>
          <w:lang w:val="fr-CH"/>
        </w:rPr>
        <w:t>.1</w:t>
      </w:r>
      <w:r w:rsidRPr="00A63202">
        <w:rPr>
          <w:rFonts w:hint="cs"/>
          <w:rtl/>
        </w:rPr>
        <w:tab/>
        <w:t xml:space="preserve">وفضلاً عن ذلك،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مديري المكاتب 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إدراج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الآخرين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جداول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أعمال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الأفرقة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الاستشارية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المعنية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بحيث</w:t>
      </w:r>
      <w:r w:rsidRPr="00A63202">
        <w:rPr>
          <w:rFonts w:hint="cs"/>
          <w:rtl/>
        </w:rPr>
        <w:t xml:space="preserve"> ت</w:t>
      </w:r>
      <w:r w:rsidRPr="00A63202">
        <w:rPr>
          <w:rFonts w:hint="eastAsia"/>
          <w:rtl/>
        </w:rPr>
        <w:t>ُقترح</w:t>
      </w:r>
      <w:r w:rsidRPr="00A63202">
        <w:rPr>
          <w:rFonts w:hint="cs"/>
          <w:rtl/>
        </w:rPr>
        <w:t xml:space="preserve"> اس</w:t>
      </w:r>
      <w:r w:rsidRPr="00A63202">
        <w:rPr>
          <w:rFonts w:hint="eastAsia"/>
          <w:rtl/>
        </w:rPr>
        <w:t>تراتيجيات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وإجراءات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التطوير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Fonts w:hint="cs"/>
          <w:rtl/>
        </w:rPr>
        <w:t>؛ وب</w:t>
      </w:r>
      <w:r w:rsidRPr="00A63202">
        <w:rPr>
          <w:rFonts w:hint="eastAsia"/>
          <w:rtl/>
          <w:lang w:val="fr-CH"/>
        </w:rPr>
        <w:t>تقديم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الدعم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إلى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الأفرقة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الاستشارية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للقطاعات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أنشطة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cs"/>
          <w:rtl/>
          <w:lang w:val="fr-CH"/>
        </w:rPr>
        <w:t>المجالات ذات الاهتمام</w:t>
      </w:r>
      <w:r w:rsidRPr="00A63202">
        <w:rPr>
          <w:rFonts w:hint="cs"/>
          <w:rtl/>
        </w:rPr>
        <w:t> </w:t>
      </w:r>
      <w:r w:rsidRPr="00A63202">
        <w:rPr>
          <w:rFonts w:hint="cs"/>
          <w:rtl/>
          <w:lang w:val="fr-CH"/>
        </w:rPr>
        <w:t>المشترك</w:t>
      </w:r>
      <w:r w:rsidRPr="00A63202">
        <w:rPr>
          <w:rFonts w:hint="cs"/>
          <w:rtl/>
        </w:rPr>
        <w:t>.</w:t>
      </w:r>
    </w:p>
    <w:p w:rsidR="00A4011E" w:rsidRPr="00A63202" w:rsidRDefault="00A4011E" w:rsidP="00A4011E">
      <w:pPr>
        <w:rPr>
          <w:rtl/>
        </w:rPr>
      </w:pPr>
      <w:r w:rsidRPr="00A63202">
        <w:t>4.1</w:t>
      </w:r>
      <w:r w:rsidRPr="00A63202">
        <w:rPr>
          <w:rFonts w:hint="cs"/>
          <w:rtl/>
        </w:rPr>
        <w:tab/>
        <w:t xml:space="preserve">كما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الأمين العام ومديري المكاتب ب</w:t>
      </w:r>
      <w:r w:rsidRPr="00A63202">
        <w:rPr>
          <w:rFonts w:hint="eastAsia"/>
          <w:rtl/>
        </w:rPr>
        <w:t>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تقديم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تقارير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إلى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المجلس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>
        <w:rPr>
          <w:rFonts w:hint="cs"/>
          <w:rtl/>
        </w:rPr>
        <w:t>أنشطة 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المنفذة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المختلفة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مجال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من هذه المجالات</w:t>
      </w:r>
      <w:r w:rsidRPr="00A63202">
        <w:rPr>
          <w:rFonts w:hint="eastAsia"/>
          <w:rtl/>
        </w:rPr>
        <w:t>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فضل</w:t>
      </w:r>
      <w:r w:rsidRPr="00A63202">
        <w:rPr>
          <w:rFonts w:hint="cs"/>
          <w:rtl/>
        </w:rPr>
        <w:t xml:space="preserve">اً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النتائج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التي تم التوصل </w:t>
      </w:r>
      <w:r w:rsidRPr="00A63202">
        <w:rPr>
          <w:rFonts w:hint="eastAsia"/>
          <w:rtl/>
        </w:rPr>
        <w:t>إليها</w:t>
      </w:r>
      <w:r w:rsidRPr="00A63202">
        <w:rPr>
          <w:rFonts w:hint="cs"/>
          <w:rtl/>
        </w:rPr>
        <w:t>.</w:t>
      </w:r>
    </w:p>
    <w:p w:rsidR="00A4011E" w:rsidRPr="00A63202" w:rsidRDefault="00A4011E" w:rsidP="00A4011E">
      <w:pPr>
        <w:pStyle w:val="Heading1"/>
        <w:rPr>
          <w:rtl/>
        </w:rPr>
      </w:pPr>
      <w:r w:rsidRPr="00A63202">
        <w:t>2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داخل الأمانة</w:t>
      </w:r>
    </w:p>
    <w:p w:rsidR="00A4011E" w:rsidRPr="00A63202" w:rsidRDefault="00A4011E" w:rsidP="00A4011E">
      <w:pPr>
        <w:pStyle w:val="Headingb0"/>
        <w:rPr>
          <w:rtl/>
        </w:rPr>
      </w:pPr>
      <w:r w:rsidRPr="00A63202">
        <w:rPr>
          <w:rFonts w:hint="cs"/>
          <w:rtl/>
          <w:lang w:bidi="ar-SY"/>
        </w:rPr>
        <w:t>فريق المهام المعني بالتنسيق بين القطاعات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(ISC-TF)</w:t>
      </w:r>
    </w:p>
    <w:p w:rsidR="00A4011E" w:rsidRPr="00EE18EB" w:rsidRDefault="00A4011E" w:rsidP="00471237">
      <w:pPr>
        <w:rPr>
          <w:rtl/>
          <w:lang w:bidi="ar-EG"/>
        </w:rPr>
      </w:pPr>
      <w:r w:rsidRPr="00A63202">
        <w:t>1.2</w:t>
      </w:r>
      <w:r w:rsidRPr="00A63202">
        <w:rPr>
          <w:rFonts w:hint="cs"/>
          <w:rtl/>
        </w:rPr>
        <w:tab/>
      </w:r>
      <w:r w:rsidRPr="0076483A">
        <w:rPr>
          <w:rFonts w:hint="cs"/>
          <w:rtl/>
        </w:rPr>
        <w:t xml:space="preserve">كما ورد سابقاً في التقارير المقدمة إلى دورة المجلس لعام </w:t>
      </w:r>
      <w:r w:rsidRPr="0076483A">
        <w:t>201</w:t>
      </w:r>
      <w:r w:rsidR="0076483A" w:rsidRPr="0076483A">
        <w:t>6</w:t>
      </w:r>
      <w:r w:rsidRPr="0076483A">
        <w:rPr>
          <w:rFonts w:hint="cs"/>
          <w:rtl/>
        </w:rPr>
        <w:t>، بشأن المضي قدماً في</w:t>
      </w:r>
      <w:r w:rsidR="004A7D1E">
        <w:rPr>
          <w:rFonts w:hint="eastAsia"/>
          <w:rtl/>
        </w:rPr>
        <w:t> </w:t>
      </w:r>
      <w:r w:rsidRPr="0076483A">
        <w:rPr>
          <w:rFonts w:hint="cs"/>
          <w:rtl/>
        </w:rPr>
        <w:t>تنفيذ القرار</w:t>
      </w:r>
      <w:r w:rsidRPr="0076483A">
        <w:rPr>
          <w:rFonts w:hint="eastAsia"/>
          <w:rtl/>
        </w:rPr>
        <w:t> </w:t>
      </w:r>
      <w:r w:rsidRPr="0076483A">
        <w:t>191</w:t>
      </w:r>
      <w:r w:rsidR="00105078" w:rsidRPr="0076483A">
        <w:rPr>
          <w:rFonts w:hint="eastAsia"/>
          <w:rtl/>
        </w:rPr>
        <w:t> </w:t>
      </w:r>
      <w:r w:rsidRPr="0076483A">
        <w:rPr>
          <w:rFonts w:hint="cs"/>
          <w:rtl/>
        </w:rPr>
        <w:t>(بوسان،</w:t>
      </w:r>
      <w:r w:rsidRPr="0076483A">
        <w:rPr>
          <w:rFonts w:hint="eastAsia"/>
          <w:rtl/>
        </w:rPr>
        <w:t> </w:t>
      </w:r>
      <w:r w:rsidRPr="0076483A">
        <w:t>2014</w:t>
      </w:r>
      <w:r w:rsidRPr="0076483A">
        <w:rPr>
          <w:rFonts w:hint="cs"/>
          <w:rtl/>
        </w:rPr>
        <w:t>) (الوثيقة</w:t>
      </w:r>
      <w:r w:rsidR="00105078" w:rsidRPr="0076483A">
        <w:rPr>
          <w:rFonts w:hint="cs"/>
          <w:rtl/>
        </w:rPr>
        <w:t xml:space="preserve"> </w:t>
      </w:r>
      <w:hyperlink r:id="rId12" w:history="1">
        <w:r w:rsidR="00105078" w:rsidRPr="0076483A">
          <w:rPr>
            <w:rStyle w:val="Hyperlink"/>
            <w:lang w:val="en-GB"/>
          </w:rPr>
          <w:t>C16/38</w:t>
        </w:r>
      </w:hyperlink>
      <w:proofErr w:type="gramStart"/>
      <w:r w:rsidR="00683918">
        <w:rPr>
          <w:rFonts w:hint="cs"/>
          <w:rtl/>
          <w:lang w:bidi="ar-SY"/>
        </w:rPr>
        <w:t>)</w:t>
      </w:r>
      <w:r w:rsidRPr="0076483A">
        <w:rPr>
          <w:rFonts w:hint="cs"/>
          <w:rtl/>
          <w:lang w:bidi="ar-SY"/>
        </w:rPr>
        <w:t>،</w:t>
      </w:r>
      <w:proofErr w:type="gramEnd"/>
      <w:r w:rsidRPr="0076483A">
        <w:rPr>
          <w:rFonts w:hint="cs"/>
          <w:rtl/>
          <w:lang w:bidi="ar-SY"/>
        </w:rPr>
        <w:t xml:space="preserve"> أنشئ فريق المهام المعني بالتنسيق بين القطاعات</w:t>
      </w:r>
      <w:r w:rsidRPr="0076483A">
        <w:rPr>
          <w:rFonts w:hint="eastAsia"/>
          <w:rtl/>
          <w:lang w:bidi="ar-SY"/>
        </w:rPr>
        <w:t> </w:t>
      </w:r>
      <w:r w:rsidRPr="0076483A">
        <w:rPr>
          <w:lang w:bidi="ar-SY"/>
        </w:rPr>
        <w:t>(ISC</w:t>
      </w:r>
      <w:r w:rsidRPr="0076483A">
        <w:rPr>
          <w:lang w:bidi="ar-SY"/>
        </w:rPr>
        <w:noBreakHyphen/>
        <w:t>TF)</w:t>
      </w:r>
      <w:r w:rsidRPr="0076483A">
        <w:rPr>
          <w:rFonts w:hint="cs"/>
          <w:rtl/>
          <w:lang w:bidi="ar-SY"/>
        </w:rPr>
        <w:t xml:space="preserve"> </w:t>
      </w:r>
      <w:r w:rsidR="00471237">
        <w:rPr>
          <w:rFonts w:hint="cs"/>
          <w:rtl/>
          <w:lang w:bidi="ar-SY"/>
        </w:rPr>
        <w:t>لتعزيز</w:t>
      </w:r>
      <w:r w:rsidRPr="0076483A">
        <w:rPr>
          <w:rFonts w:hint="cs"/>
          <w:rtl/>
          <w:lang w:bidi="ar-SY"/>
        </w:rPr>
        <w:t xml:space="preserve"> التنسيق والتعاون بين مكاتب القطاعات الثلاثة والأمانة العامة بغية </w:t>
      </w:r>
      <w:r w:rsidRPr="0076483A">
        <w:rPr>
          <w:rFonts w:hint="eastAsia"/>
          <w:rtl/>
        </w:rPr>
        <w:t>تجنب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ازدواجية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الجهود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وتحقيق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الاستخدام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الأمثل</w:t>
      </w:r>
      <w:r w:rsidRPr="0076483A">
        <w:rPr>
          <w:rFonts w:hint="cs"/>
          <w:rtl/>
        </w:rPr>
        <w:t> </w:t>
      </w:r>
      <w:r w:rsidRPr="0076483A">
        <w:rPr>
          <w:rFonts w:hint="eastAsia"/>
          <w:rtl/>
        </w:rPr>
        <w:t>للموارد</w:t>
      </w:r>
      <w:r w:rsidRPr="0076483A">
        <w:rPr>
          <w:rFonts w:hint="cs"/>
          <w:rtl/>
          <w:lang w:bidi="ar-SY"/>
        </w:rPr>
        <w:t>.</w:t>
      </w:r>
      <w:r w:rsidR="00105078" w:rsidRPr="0076483A">
        <w:rPr>
          <w:rFonts w:hint="cs"/>
          <w:rtl/>
          <w:lang w:bidi="ar-SY"/>
        </w:rPr>
        <w:t xml:space="preserve"> </w:t>
      </w:r>
      <w:r w:rsidR="00EE18EB" w:rsidRPr="0076483A">
        <w:rPr>
          <w:rFonts w:hint="cs"/>
          <w:rtl/>
          <w:lang w:bidi="ar-EG"/>
        </w:rPr>
        <w:t>و</w:t>
      </w:r>
      <w:r w:rsidR="0076483A" w:rsidRPr="0076483A">
        <w:rPr>
          <w:rFonts w:hint="cs"/>
          <w:rtl/>
          <w:lang w:bidi="ar-EG"/>
        </w:rPr>
        <w:t>حُدِّدت</w:t>
      </w:r>
      <w:r w:rsidR="00EE18EB">
        <w:rPr>
          <w:rFonts w:hint="cs"/>
          <w:rtl/>
          <w:lang w:bidi="ar-EG"/>
        </w:rPr>
        <w:t xml:space="preserve"> اختصاصات فريق المهام المعني بالتنسيق في الأمر الإداري </w:t>
      </w:r>
      <w:hyperlink r:id="rId13" w:history="1">
        <w:r w:rsidR="0076483A" w:rsidRPr="0008632E">
          <w:rPr>
            <w:rStyle w:val="Hyperlink"/>
            <w:lang w:val="fr-CH" w:bidi="ar-EG"/>
          </w:rPr>
          <w:t>16</w:t>
        </w:r>
        <w:r w:rsidR="00EE18EB" w:rsidRPr="0008632E">
          <w:rPr>
            <w:rStyle w:val="Hyperlink"/>
            <w:lang w:val="fr-CH" w:bidi="ar-EG"/>
          </w:rPr>
          <w:t>/</w:t>
        </w:r>
        <w:r w:rsidR="0076483A" w:rsidRPr="0008632E">
          <w:rPr>
            <w:rStyle w:val="Hyperlink"/>
            <w:lang w:val="fr-CH" w:bidi="ar-EG"/>
          </w:rPr>
          <w:t>13</w:t>
        </w:r>
      </w:hyperlink>
      <w:bookmarkStart w:id="1" w:name="_GoBack"/>
      <w:bookmarkEnd w:id="1"/>
      <w:r w:rsidR="00C750D3">
        <w:rPr>
          <w:rFonts w:hint="cs"/>
          <w:rtl/>
          <w:lang w:bidi="ar-EG"/>
        </w:rPr>
        <w:t>.</w:t>
      </w:r>
    </w:p>
    <w:p w:rsidR="00A4011E" w:rsidRPr="00A63202" w:rsidRDefault="00A4011E" w:rsidP="00F252DF">
      <w:pPr>
        <w:rPr>
          <w:rtl/>
        </w:rPr>
      </w:pPr>
      <w:r w:rsidRPr="00A63202">
        <w:t>2.2</w:t>
      </w:r>
      <w:r w:rsidRPr="00A63202">
        <w:rPr>
          <w:rFonts w:hint="cs"/>
          <w:rtl/>
        </w:rPr>
        <w:tab/>
      </w:r>
      <w:r w:rsidR="00EE18EB">
        <w:rPr>
          <w:rFonts w:hint="cs"/>
          <w:rtl/>
        </w:rPr>
        <w:t xml:space="preserve">وعقد فريق المهام المعني بالتنسيق الذي ترأسه نائب الأمين العام سبعة اجتماعات في </w:t>
      </w:r>
      <w:r w:rsidR="00EE18EB">
        <w:rPr>
          <w:lang w:val="fr-CH"/>
        </w:rPr>
        <w:t>2016</w:t>
      </w:r>
      <w:r w:rsidR="00EE18EB">
        <w:rPr>
          <w:rFonts w:hint="cs"/>
          <w:rtl/>
          <w:lang w:bidi="ar-EG"/>
        </w:rPr>
        <w:t xml:space="preserve"> واجتماعاً واحداً في</w:t>
      </w:r>
      <w:r w:rsidR="004A7D1E">
        <w:rPr>
          <w:rFonts w:hint="eastAsia"/>
          <w:rtl/>
          <w:lang w:bidi="ar-EG"/>
        </w:rPr>
        <w:t> </w:t>
      </w:r>
      <w:r w:rsidR="00EE18EB">
        <w:rPr>
          <w:lang w:val="fr-CH" w:bidi="ar-EG"/>
        </w:rPr>
        <w:t>2017</w:t>
      </w:r>
      <w:r w:rsidR="004A7D1E">
        <w:rPr>
          <w:rFonts w:hint="eastAsia"/>
          <w:rtl/>
          <w:lang w:bidi="ar-EG"/>
        </w:rPr>
        <w:t> </w:t>
      </w:r>
      <w:r w:rsidR="00EE18EB">
        <w:rPr>
          <w:rFonts w:hint="cs"/>
          <w:rtl/>
          <w:lang w:bidi="ar-EG"/>
        </w:rPr>
        <w:t xml:space="preserve">(وبلغ إجمالي عددها منذ مارس </w:t>
      </w:r>
      <w:r w:rsidR="00EE18EB">
        <w:rPr>
          <w:lang w:val="fr-CH" w:bidi="ar-EG"/>
        </w:rPr>
        <w:t>2015</w:t>
      </w:r>
      <w:r w:rsidR="00EE18EB">
        <w:rPr>
          <w:rFonts w:hint="cs"/>
          <w:rtl/>
          <w:lang w:val="fr-CH" w:bidi="ar-EG"/>
        </w:rPr>
        <w:t xml:space="preserve"> حتى </w:t>
      </w:r>
      <w:r w:rsidR="00EE18EB">
        <w:rPr>
          <w:rFonts w:hint="cs"/>
          <w:rtl/>
          <w:lang w:bidi="ar-EG"/>
        </w:rPr>
        <w:t xml:space="preserve">تاريخ إعداد هذه الوثيقة </w:t>
      </w:r>
      <w:r w:rsidR="00EE18EB">
        <w:rPr>
          <w:lang w:val="fr-CH" w:bidi="ar-EG"/>
        </w:rPr>
        <w:t>16</w:t>
      </w:r>
      <w:r w:rsidR="00EE18EB">
        <w:rPr>
          <w:rFonts w:hint="cs"/>
          <w:rtl/>
          <w:lang w:bidi="ar-EG"/>
        </w:rPr>
        <w:t xml:space="preserve"> اجتماعاً)، بمشاركة</w:t>
      </w:r>
      <w:r w:rsidR="00105078">
        <w:rPr>
          <w:rFonts w:hint="cs"/>
          <w:rtl/>
        </w:rPr>
        <w:t xml:space="preserve"> ( </w:t>
      </w:r>
      <w:r w:rsidRPr="00105078">
        <w:rPr>
          <w:rFonts w:hint="cs"/>
          <w:i/>
          <w:iCs/>
          <w:rtl/>
        </w:rPr>
        <w:t>أ</w:t>
      </w:r>
      <w:r w:rsidR="00105078">
        <w:rPr>
          <w:rFonts w:hint="eastAsia"/>
          <w:i/>
          <w:iCs/>
          <w:rtl/>
        </w:rPr>
        <w:t> </w:t>
      </w:r>
      <w:r w:rsidRPr="00105078">
        <w:rPr>
          <w:rFonts w:hint="cs"/>
          <w:i/>
          <w:iCs/>
          <w:rtl/>
        </w:rPr>
        <w:t>)</w:t>
      </w:r>
      <w:r w:rsidR="00105078">
        <w:rPr>
          <w:rFonts w:hint="eastAsia"/>
          <w:rtl/>
        </w:rPr>
        <w:t> </w:t>
      </w:r>
      <w:r w:rsidRPr="00A63202">
        <w:rPr>
          <w:rFonts w:hint="cs"/>
          <w:rtl/>
        </w:rPr>
        <w:t>ن</w:t>
      </w:r>
      <w:r>
        <w:rPr>
          <w:rFonts w:hint="cs"/>
          <w:rtl/>
        </w:rPr>
        <w:t>واب</w:t>
      </w:r>
      <w:r w:rsidRPr="00A63202">
        <w:rPr>
          <w:rFonts w:hint="cs"/>
          <w:rtl/>
        </w:rPr>
        <w:t xml:space="preserve"> مديري </w:t>
      </w:r>
      <w:r>
        <w:rPr>
          <w:rFonts w:hint="cs"/>
          <w:rtl/>
        </w:rPr>
        <w:t>ال</w:t>
      </w:r>
      <w:r w:rsidRPr="00A63202">
        <w:rPr>
          <w:rFonts w:hint="cs"/>
          <w:rtl/>
        </w:rPr>
        <w:t>مكاتب الثلاثة و</w:t>
      </w:r>
      <w:r>
        <w:rPr>
          <w:rFonts w:hint="cs"/>
          <w:rtl/>
        </w:rPr>
        <w:t>رئيس</w:t>
      </w:r>
      <w:r w:rsidRPr="00A63202">
        <w:rPr>
          <w:rFonts w:hint="cs"/>
          <w:rtl/>
        </w:rPr>
        <w:t xml:space="preserve"> </w:t>
      </w:r>
      <w:r w:rsidRPr="00A63202">
        <w:rPr>
          <w:rFonts w:hint="cs"/>
          <w:smallCaps/>
          <w:rtl/>
          <w:lang w:bidi="ar-EG"/>
        </w:rPr>
        <w:t>دائرة التخطيط</w:t>
      </w:r>
      <w:r w:rsidR="00BC24C5">
        <w:rPr>
          <w:rFonts w:hint="cs"/>
          <w:smallCaps/>
          <w:rtl/>
          <w:lang w:bidi="ar-EG"/>
        </w:rPr>
        <w:t xml:space="preserve"> </w:t>
      </w:r>
      <w:r w:rsidRPr="00A63202">
        <w:rPr>
          <w:rFonts w:hint="cs"/>
          <w:smallCaps/>
          <w:rtl/>
          <w:lang w:bidi="ar-EG"/>
        </w:rPr>
        <w:t>الاستراتيجي و</w:t>
      </w:r>
      <w:r>
        <w:rPr>
          <w:rFonts w:hint="cs"/>
          <w:smallCaps/>
          <w:rtl/>
          <w:lang w:bidi="ar-EG"/>
        </w:rPr>
        <w:t>شؤون الأعضاء</w:t>
      </w:r>
      <w:r w:rsidR="00F252DF">
        <w:rPr>
          <w:rFonts w:hint="cs"/>
          <w:rtl/>
        </w:rPr>
        <w:t>،</w:t>
      </w:r>
      <w:r w:rsidR="00105078">
        <w:rPr>
          <w:rFonts w:hint="cs"/>
          <w:rtl/>
        </w:rPr>
        <w:t xml:space="preserve"> </w:t>
      </w:r>
      <w:r w:rsidR="00105078" w:rsidRPr="00105078">
        <w:rPr>
          <w:rFonts w:hint="cs"/>
          <w:i/>
          <w:iCs/>
          <w:rtl/>
        </w:rPr>
        <w:t>(</w:t>
      </w:r>
      <w:r w:rsidRPr="00105078">
        <w:rPr>
          <w:rFonts w:hint="cs"/>
          <w:i/>
          <w:iCs/>
          <w:rtl/>
        </w:rPr>
        <w:t>ب)</w:t>
      </w:r>
      <w:r w:rsidR="00105078">
        <w:rPr>
          <w:rFonts w:hint="eastAsia"/>
          <w:rtl/>
        </w:rPr>
        <w:t> </w:t>
      </w:r>
      <w:r w:rsidR="00EE18EB">
        <w:rPr>
          <w:rFonts w:hint="cs"/>
          <w:rtl/>
        </w:rPr>
        <w:t xml:space="preserve">جهات الاتصال </w:t>
      </w:r>
      <w:r w:rsidR="0076483A">
        <w:rPr>
          <w:rFonts w:hint="cs"/>
          <w:rtl/>
          <w:lang w:bidi="ar-EG"/>
        </w:rPr>
        <w:t xml:space="preserve">المشتركة </w:t>
      </w:r>
      <w:r w:rsidR="00EE18EB">
        <w:rPr>
          <w:rFonts w:hint="cs"/>
          <w:rtl/>
        </w:rPr>
        <w:t xml:space="preserve">بين القطاعات </w:t>
      </w:r>
      <w:r w:rsidR="0076483A">
        <w:rPr>
          <w:rFonts w:hint="cs"/>
          <w:rtl/>
        </w:rPr>
        <w:t>و</w:t>
      </w:r>
      <w:r w:rsidR="00EE18EB">
        <w:rPr>
          <w:rFonts w:hint="cs"/>
          <w:rtl/>
        </w:rPr>
        <w:t>المسؤولة عن مجالات مواضيعية محددة</w:t>
      </w:r>
      <w:r w:rsidR="00F252DF">
        <w:rPr>
          <w:rFonts w:hint="cs"/>
          <w:rtl/>
        </w:rPr>
        <w:t>،</w:t>
      </w:r>
      <w:r w:rsidR="00105078">
        <w:rPr>
          <w:rFonts w:hint="cs"/>
          <w:rtl/>
        </w:rPr>
        <w:t xml:space="preserve"> </w:t>
      </w:r>
      <w:r w:rsidR="00105078" w:rsidRPr="00105078">
        <w:rPr>
          <w:rFonts w:hint="cs"/>
          <w:i/>
          <w:iCs/>
          <w:rtl/>
        </w:rPr>
        <w:t>(</w:t>
      </w:r>
      <w:r w:rsidRPr="00105078">
        <w:rPr>
          <w:rFonts w:hint="cs"/>
          <w:i/>
          <w:iCs/>
          <w:rtl/>
        </w:rPr>
        <w:t>ج)</w:t>
      </w:r>
      <w:r w:rsidR="00105078">
        <w:rPr>
          <w:rFonts w:hint="eastAsia"/>
          <w:rtl/>
        </w:rPr>
        <w:t> </w:t>
      </w:r>
      <w:r w:rsidR="00EE18EB">
        <w:rPr>
          <w:rFonts w:hint="cs"/>
          <w:rtl/>
        </w:rPr>
        <w:t>المديرين الإقليميين</w:t>
      </w:r>
      <w:r w:rsidR="00F252DF">
        <w:rPr>
          <w:rFonts w:hint="cs"/>
          <w:rtl/>
        </w:rPr>
        <w:t>،</w:t>
      </w:r>
      <w:r w:rsidR="00105078">
        <w:rPr>
          <w:rFonts w:hint="cs"/>
          <w:rtl/>
        </w:rPr>
        <w:t xml:space="preserve"> </w:t>
      </w:r>
      <w:r w:rsidR="00105078" w:rsidRPr="004A7D1E">
        <w:rPr>
          <w:rFonts w:hint="cs"/>
          <w:i/>
          <w:iCs/>
          <w:rtl/>
        </w:rPr>
        <w:t>(</w:t>
      </w:r>
      <w:r w:rsidRPr="004A7D1E">
        <w:rPr>
          <w:rFonts w:hint="cs"/>
          <w:i/>
          <w:iCs/>
          <w:rtl/>
        </w:rPr>
        <w:t>د</w:t>
      </w:r>
      <w:r w:rsidR="00105078" w:rsidRPr="004A7D1E">
        <w:rPr>
          <w:rFonts w:hint="eastAsia"/>
          <w:i/>
          <w:iCs/>
          <w:rtl/>
        </w:rPr>
        <w:t> </w:t>
      </w:r>
      <w:r w:rsidRPr="004A7D1E">
        <w:rPr>
          <w:rFonts w:hint="cs"/>
          <w:i/>
          <w:iCs/>
          <w:rtl/>
        </w:rPr>
        <w:t>)</w:t>
      </w:r>
      <w:r w:rsidR="00105078">
        <w:rPr>
          <w:rFonts w:hint="eastAsia"/>
          <w:rtl/>
        </w:rPr>
        <w:t> </w:t>
      </w:r>
      <w:r w:rsidR="00EE18EB">
        <w:rPr>
          <w:rFonts w:hint="cs"/>
          <w:rtl/>
        </w:rPr>
        <w:t>رؤساء دوائر الأمانة العام</w:t>
      </w:r>
      <w:r w:rsidR="00F252DF">
        <w:rPr>
          <w:rFonts w:hint="cs"/>
          <w:rtl/>
        </w:rPr>
        <w:t>ة،</w:t>
      </w:r>
      <w:r w:rsidR="00105078">
        <w:rPr>
          <w:rFonts w:hint="cs"/>
          <w:rtl/>
        </w:rPr>
        <w:t xml:space="preserve"> </w:t>
      </w:r>
      <w:r w:rsidR="00105078" w:rsidRPr="004A7D1E">
        <w:rPr>
          <w:rFonts w:hint="cs"/>
          <w:i/>
          <w:iCs/>
          <w:rtl/>
        </w:rPr>
        <w:t>(ه )</w:t>
      </w:r>
      <w:r w:rsidR="00105078">
        <w:rPr>
          <w:rFonts w:hint="cs"/>
          <w:rtl/>
        </w:rPr>
        <w:t> </w:t>
      </w:r>
      <w:r w:rsidR="00EE18EB">
        <w:rPr>
          <w:rFonts w:hint="cs"/>
          <w:rtl/>
        </w:rPr>
        <w:t xml:space="preserve">رئيس وحدة </w:t>
      </w:r>
      <w:r w:rsidR="0076483A">
        <w:rPr>
          <w:rFonts w:hint="cs"/>
          <w:rtl/>
        </w:rPr>
        <w:t xml:space="preserve">المراجعة الداخلية بوصفه </w:t>
      </w:r>
      <w:r w:rsidR="00E42396">
        <w:rPr>
          <w:rFonts w:hint="cs"/>
          <w:rtl/>
        </w:rPr>
        <w:t>مراقباً، ورؤساء الدوائر بالمكاتب</w:t>
      </w:r>
      <w:r w:rsidR="00E42396" w:rsidRPr="00E42396">
        <w:rPr>
          <w:rFonts w:hint="cs"/>
          <w:rtl/>
        </w:rPr>
        <w:t xml:space="preserve"> </w:t>
      </w:r>
      <w:r w:rsidR="00E42396">
        <w:rPr>
          <w:rFonts w:hint="cs"/>
          <w:rtl/>
        </w:rPr>
        <w:t>بدعوة من رئيس الفريق</w:t>
      </w:r>
      <w:r w:rsidRPr="00A63202">
        <w:rPr>
          <w:rFonts w:hint="cs"/>
          <w:rtl/>
        </w:rPr>
        <w:t>.</w:t>
      </w:r>
    </w:p>
    <w:p w:rsidR="00A4011E" w:rsidRPr="00A63202" w:rsidRDefault="00A4011E" w:rsidP="00105078">
      <w:pPr>
        <w:rPr>
          <w:rtl/>
        </w:rPr>
      </w:pPr>
      <w:r w:rsidRPr="00A63202">
        <w:t>3.2</w:t>
      </w:r>
      <w:r w:rsidRPr="00A63202">
        <w:rPr>
          <w:rFonts w:hint="cs"/>
          <w:rtl/>
        </w:rPr>
        <w:tab/>
        <w:t>وتشمل مجالات الاهتمام المشترك بين القطاعات، التي ينسقها فريق المهام المعني بالتنسيق بين القطاعات، المواضيع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التالية:</w:t>
      </w:r>
      <w:r w:rsidR="00105078">
        <w:rPr>
          <w:rFonts w:hint="cs"/>
          <w:rtl/>
        </w:rPr>
        <w:t xml:space="preserve"> </w:t>
      </w:r>
      <w:r w:rsidRPr="00A63202">
        <w:rPr>
          <w:rFonts w:hint="cs"/>
          <w:rtl/>
        </w:rPr>
        <w:t>تغير المناخ</w:t>
      </w:r>
      <w:r w:rsidR="00105078">
        <w:rPr>
          <w:rFonts w:hint="cs"/>
          <w:rtl/>
        </w:rPr>
        <w:t xml:space="preserve"> و</w:t>
      </w:r>
      <w:r w:rsidRPr="00A63202">
        <w:rPr>
          <w:rFonts w:hint="cs"/>
          <w:rtl/>
        </w:rPr>
        <w:t>اتصالات الطوارئ</w:t>
      </w:r>
      <w:r w:rsidR="00105078">
        <w:rPr>
          <w:rFonts w:hint="cs"/>
          <w:rtl/>
        </w:rPr>
        <w:t xml:space="preserve"> و</w:t>
      </w:r>
      <w:r w:rsidRPr="00A63202">
        <w:rPr>
          <w:color w:val="000000"/>
          <w:rtl/>
        </w:rPr>
        <w:t>إمكانية النفاذ</w:t>
      </w:r>
      <w:r w:rsidR="00105078">
        <w:rPr>
          <w:rFonts w:hint="cs"/>
          <w:color w:val="000000"/>
          <w:rtl/>
        </w:rPr>
        <w:t xml:space="preserve"> و</w:t>
      </w:r>
      <w:r w:rsidRPr="00A63202">
        <w:rPr>
          <w:rFonts w:hint="cs"/>
          <w:rtl/>
        </w:rPr>
        <w:t>الاتصالات</w:t>
      </w:r>
      <w:r w:rsidR="00105078">
        <w:rPr>
          <w:rFonts w:hint="cs"/>
          <w:rtl/>
        </w:rPr>
        <w:t xml:space="preserve"> و</w:t>
      </w:r>
      <w:r w:rsidRPr="00A63202">
        <w:rPr>
          <w:color w:val="000000"/>
          <w:rtl/>
        </w:rPr>
        <w:t>هيئة تحرير الموقع الإلكتروني</w:t>
      </w:r>
      <w:r w:rsidR="00105078">
        <w:rPr>
          <w:rFonts w:hint="cs"/>
          <w:rtl/>
          <w:lang w:val="fr-CH"/>
        </w:rPr>
        <w:t xml:space="preserve"> وتعبئة الموارد و</w:t>
      </w:r>
      <w:r w:rsidRPr="00A63202">
        <w:rPr>
          <w:rFonts w:hint="cs"/>
          <w:color w:val="000000"/>
          <w:rtl/>
        </w:rPr>
        <w:t>المساواة بين</w:t>
      </w:r>
      <w:r w:rsidRPr="00A63202">
        <w:rPr>
          <w:color w:val="000000"/>
          <w:rtl/>
        </w:rPr>
        <w:t xml:space="preserve"> الجنسين</w:t>
      </w:r>
      <w:r w:rsidR="00105078">
        <w:rPr>
          <w:rFonts w:hint="cs"/>
          <w:color w:val="000000"/>
          <w:rtl/>
        </w:rPr>
        <w:t xml:space="preserve"> و</w:t>
      </w:r>
      <w:r w:rsidRPr="00A63202">
        <w:rPr>
          <w:color w:val="000000"/>
          <w:rtl/>
        </w:rPr>
        <w:t>تنسيق ال</w:t>
      </w:r>
      <w:r>
        <w:rPr>
          <w:rFonts w:hint="cs"/>
          <w:color w:val="000000"/>
          <w:rtl/>
        </w:rPr>
        <w:t>أحداث</w:t>
      </w:r>
      <w:r w:rsidR="00105078">
        <w:rPr>
          <w:rFonts w:hint="cs"/>
          <w:color w:val="000000"/>
          <w:rtl/>
        </w:rPr>
        <w:t xml:space="preserve"> و</w:t>
      </w:r>
      <w:r w:rsidRPr="00A63202">
        <w:rPr>
          <w:rtl/>
        </w:rPr>
        <w:t>سد الفجوة التقييسية</w:t>
      </w:r>
      <w:r w:rsidRPr="00A63202">
        <w:rPr>
          <w:rFonts w:hint="cs"/>
          <w:rtl/>
          <w:lang w:val="fr-CH"/>
        </w:rPr>
        <w:t>.</w:t>
      </w:r>
      <w:r w:rsidR="00105078">
        <w:rPr>
          <w:rFonts w:hint="cs"/>
          <w:rtl/>
          <w:lang w:val="fr-CH"/>
        </w:rPr>
        <w:t xml:space="preserve"> </w:t>
      </w:r>
      <w:r w:rsidRPr="0076483A">
        <w:rPr>
          <w:rFonts w:hint="cs"/>
          <w:rtl/>
        </w:rPr>
        <w:t xml:space="preserve">واضطلع الفريق في عام </w:t>
      </w:r>
      <w:r w:rsidR="00105078" w:rsidRPr="0076483A">
        <w:t>2016</w:t>
      </w:r>
      <w:r w:rsidRPr="0076483A">
        <w:rPr>
          <w:rFonts w:hint="cs"/>
          <w:rtl/>
        </w:rPr>
        <w:t xml:space="preserve"> بما يلي</w:t>
      </w:r>
      <w:r w:rsidRPr="00A63202">
        <w:rPr>
          <w:rFonts w:hint="cs"/>
          <w:rtl/>
        </w:rPr>
        <w:t>:</w:t>
      </w:r>
    </w:p>
    <w:p w:rsidR="00A4011E" w:rsidRPr="00105078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="00A4011E" w:rsidRPr="00105078">
        <w:rPr>
          <w:rtl/>
        </w:rPr>
        <w:tab/>
      </w:r>
      <w:r w:rsidR="00A4011E" w:rsidRPr="00105078">
        <w:rPr>
          <w:rFonts w:hint="cs"/>
          <w:rtl/>
        </w:rPr>
        <w:t xml:space="preserve">تيسير تبادل المعلومات بين القطاعات والأمانة العامة بشأن مجالات تلك المواضيع من خلال تزويد الفريق بأحدث المعلومات ومناقشة التقدم المحرز في </w:t>
      </w:r>
      <w:r w:rsidRPr="00105078">
        <w:rPr>
          <w:rFonts w:hint="cs"/>
          <w:rtl/>
        </w:rPr>
        <w:t>كل مجال</w:t>
      </w:r>
      <w:r w:rsidR="00E42396">
        <w:rPr>
          <w:rFonts w:hint="cs"/>
          <w:rtl/>
        </w:rPr>
        <w:t>. ونتيجة</w:t>
      </w:r>
      <w:r w:rsidR="00F4079C">
        <w:rPr>
          <w:rFonts w:hint="cs"/>
          <w:rtl/>
        </w:rPr>
        <w:t>ً</w:t>
      </w:r>
      <w:r w:rsidR="00E42396">
        <w:rPr>
          <w:rFonts w:hint="cs"/>
          <w:rtl/>
        </w:rPr>
        <w:t xml:space="preserve"> لذلك، تم تحديث صفحات </w:t>
      </w:r>
      <w:r w:rsidR="0076483A">
        <w:rPr>
          <w:rFonts w:hint="cs"/>
          <w:rtl/>
        </w:rPr>
        <w:t>الموقع الإلكتروني ل</w:t>
      </w:r>
      <w:r w:rsidR="00E42396">
        <w:rPr>
          <w:rFonts w:hint="cs"/>
          <w:rtl/>
        </w:rPr>
        <w:t xml:space="preserve">لاتحاد </w:t>
      </w:r>
      <w:r w:rsidR="0076483A">
        <w:rPr>
          <w:rFonts w:hint="cs"/>
          <w:rtl/>
        </w:rPr>
        <w:t xml:space="preserve">المتعلقة بالمواضيع </w:t>
      </w:r>
      <w:r w:rsidR="00E42396">
        <w:rPr>
          <w:rFonts w:hint="cs"/>
          <w:rtl/>
        </w:rPr>
        <w:t xml:space="preserve">المشتركة بين القطاعات </w:t>
      </w:r>
      <w:r w:rsidR="0076483A">
        <w:rPr>
          <w:rFonts w:hint="cs"/>
          <w:rtl/>
        </w:rPr>
        <w:t>بتزويدها</w:t>
      </w:r>
      <w:r w:rsidR="00E42396">
        <w:rPr>
          <w:rFonts w:hint="cs"/>
          <w:rtl/>
        </w:rPr>
        <w:t xml:space="preserve"> </w:t>
      </w:r>
      <w:r w:rsidR="0076483A">
        <w:rPr>
          <w:rFonts w:hint="cs"/>
          <w:rtl/>
        </w:rPr>
        <w:t>ب</w:t>
      </w:r>
      <w:r w:rsidR="00E42396">
        <w:rPr>
          <w:rFonts w:hint="cs"/>
          <w:rtl/>
        </w:rPr>
        <w:t xml:space="preserve">المعلومات الأكثر أهمية </w:t>
      </w:r>
      <w:r w:rsidR="00A57E4B">
        <w:rPr>
          <w:rFonts w:hint="cs"/>
          <w:rtl/>
        </w:rPr>
        <w:t xml:space="preserve">ذات الصلة </w:t>
      </w:r>
      <w:r w:rsidR="00E42396">
        <w:rPr>
          <w:rFonts w:hint="cs"/>
          <w:rtl/>
        </w:rPr>
        <w:t>بأنشطة الاتحاد</w:t>
      </w:r>
      <w:r w:rsidRPr="00105078">
        <w:rPr>
          <w:rFonts w:hint="cs"/>
          <w:rtl/>
        </w:rPr>
        <w:t>؛</w:t>
      </w:r>
    </w:p>
    <w:p w:rsidR="00A4011E" w:rsidRPr="00105078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="00A4011E" w:rsidRPr="00105078">
        <w:rPr>
          <w:rtl/>
        </w:rPr>
        <w:tab/>
      </w:r>
      <w:r w:rsidR="00A4011E" w:rsidRPr="00105078">
        <w:rPr>
          <w:rFonts w:hint="cs"/>
          <w:rtl/>
        </w:rPr>
        <w:t>مناقشة واقتراح حلول للمسائل الرئيسية</w:t>
      </w:r>
      <w:r w:rsidR="00E42396">
        <w:rPr>
          <w:rFonts w:hint="cs"/>
          <w:rtl/>
        </w:rPr>
        <w:t xml:space="preserve"> التي أثارتها جهات الاتصال، وتتجلي ميزة ذلك في إمكانية </w:t>
      </w:r>
      <w:r w:rsidR="001A0615">
        <w:rPr>
          <w:rFonts w:hint="cs"/>
          <w:rtl/>
        </w:rPr>
        <w:t>طرح المسائل بصورة ملائمة إذا تعذر اتخاذ قرارات بشأنها أو حلها على مستوى جهات الاتصال</w:t>
      </w:r>
      <w:r w:rsidRPr="00105078">
        <w:rPr>
          <w:rFonts w:hint="cs"/>
          <w:rtl/>
        </w:rPr>
        <w:t>؛</w:t>
      </w:r>
    </w:p>
    <w:p w:rsidR="00A4011E" w:rsidRPr="00105078" w:rsidRDefault="00105078" w:rsidP="004A7D1E">
      <w:pPr>
        <w:pStyle w:val="enumlev1"/>
        <w:rPr>
          <w:rtl/>
        </w:rPr>
      </w:pPr>
      <w:r w:rsidRPr="0076483A">
        <w:rPr>
          <w:rFonts w:hint="cs"/>
          <w:rtl/>
        </w:rPr>
        <w:t>-</w:t>
      </w:r>
      <w:r w:rsidR="00A4011E" w:rsidRPr="0076483A">
        <w:rPr>
          <w:rtl/>
        </w:rPr>
        <w:tab/>
      </w:r>
      <w:r w:rsidR="00A4011E" w:rsidRPr="0076483A">
        <w:rPr>
          <w:rFonts w:hint="cs"/>
          <w:rtl/>
        </w:rPr>
        <w:t xml:space="preserve">الاستفادة من مشاركة ومساهمة المكاتب الإقليمية التي </w:t>
      </w:r>
      <w:r w:rsidR="0076483A" w:rsidRPr="0076483A">
        <w:rPr>
          <w:rFonts w:hint="cs"/>
          <w:rtl/>
        </w:rPr>
        <w:t xml:space="preserve">ظلت تشارك عن بُعد في مناقشات </w:t>
      </w:r>
      <w:r w:rsidR="00F867C2">
        <w:rPr>
          <w:rFonts w:hint="cs"/>
          <w:rtl/>
        </w:rPr>
        <w:t>فريق المهام المعني بالتنسيق بين</w:t>
      </w:r>
      <w:r w:rsidR="00F867C2">
        <w:rPr>
          <w:rFonts w:hint="eastAsia"/>
          <w:rtl/>
        </w:rPr>
        <w:t> </w:t>
      </w:r>
      <w:r w:rsidR="00A4011E" w:rsidRPr="0076483A">
        <w:rPr>
          <w:rFonts w:hint="cs"/>
          <w:rtl/>
        </w:rPr>
        <w:t>القطاعات؛</w:t>
      </w:r>
    </w:p>
    <w:p w:rsidR="00A4011E" w:rsidRPr="00105078" w:rsidRDefault="00105078" w:rsidP="00914C6F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="00A4011E" w:rsidRPr="00105078">
        <w:rPr>
          <w:rtl/>
        </w:rPr>
        <w:tab/>
      </w:r>
      <w:r w:rsidR="001A0615">
        <w:rPr>
          <w:rFonts w:hint="cs"/>
          <w:rtl/>
        </w:rPr>
        <w:t>تنسيق مشاركة الاتحاد في المؤتمرات والمنتديات (مثل الاجتماع الثاني والعشرين لمؤتمر الأطراف في مراكش،</w:t>
      </w:r>
      <w:r w:rsidR="00D21341">
        <w:rPr>
          <w:rFonts w:hint="cs"/>
          <w:rtl/>
        </w:rPr>
        <w:t xml:space="preserve"> وبرنامج</w:t>
      </w:r>
      <w:r w:rsidR="001A0615">
        <w:rPr>
          <w:rFonts w:hint="cs"/>
          <w:rtl/>
        </w:rPr>
        <w:t xml:space="preserve"> الأمم المتحدة للمستوطنات البشرية (الموئل) في </w:t>
      </w:r>
      <w:r w:rsidR="00914C6F">
        <w:rPr>
          <w:rFonts w:hint="cs"/>
          <w:rtl/>
        </w:rPr>
        <w:t>كيتو</w:t>
      </w:r>
      <w:r w:rsidR="001A0615">
        <w:rPr>
          <w:rFonts w:hint="cs"/>
          <w:rtl/>
        </w:rPr>
        <w:t>) بهدف خفض المشار</w:t>
      </w:r>
      <w:r w:rsidR="0076483A">
        <w:rPr>
          <w:rFonts w:hint="cs"/>
          <w:rtl/>
        </w:rPr>
        <w:t xml:space="preserve">كة لكن ضمان تمثيل </w:t>
      </w:r>
      <w:r w:rsidR="0076483A" w:rsidRPr="009F1D89">
        <w:rPr>
          <w:rFonts w:hint="cs"/>
          <w:rtl/>
        </w:rPr>
        <w:t>مصالح الاتحاد</w:t>
      </w:r>
      <w:r w:rsidRPr="00105078">
        <w:rPr>
          <w:rFonts w:hint="cs"/>
          <w:rtl/>
        </w:rPr>
        <w:t>؛</w:t>
      </w:r>
    </w:p>
    <w:p w:rsidR="00A4011E" w:rsidRPr="00105078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="00A4011E" w:rsidRPr="00105078">
        <w:rPr>
          <w:rtl/>
        </w:rPr>
        <w:tab/>
      </w:r>
      <w:r w:rsidR="00A4011E" w:rsidRPr="00105078">
        <w:rPr>
          <w:rFonts w:hint="cs"/>
          <w:rtl/>
        </w:rPr>
        <w:t xml:space="preserve">تيسير تنسيق أفضل لتنظيم أحداث الاتحاد واجتماعاته من خلال </w:t>
      </w:r>
      <w:r w:rsidR="00D21341">
        <w:rPr>
          <w:rFonts w:hint="cs"/>
          <w:rtl/>
        </w:rPr>
        <w:t>إطلاع جميع الزملاء بالخطط والنوايا؛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21341">
        <w:rPr>
          <w:rFonts w:hint="cs"/>
          <w:rtl/>
        </w:rPr>
        <w:t xml:space="preserve">استعراض </w:t>
      </w:r>
      <w:r w:rsidR="0076483A">
        <w:rPr>
          <w:rFonts w:hint="cs"/>
          <w:rtl/>
        </w:rPr>
        <w:t>ال</w:t>
      </w:r>
      <w:r w:rsidR="00D21341">
        <w:rPr>
          <w:rFonts w:hint="cs"/>
          <w:rtl/>
        </w:rPr>
        <w:t xml:space="preserve">توصيات </w:t>
      </w:r>
      <w:r w:rsidR="0076483A">
        <w:rPr>
          <w:rFonts w:hint="cs"/>
          <w:rtl/>
        </w:rPr>
        <w:t xml:space="preserve">الواردة في تقارير وحدة التفتيش المشتركة التي تحدد </w:t>
      </w:r>
      <w:r w:rsidR="00C32B91">
        <w:rPr>
          <w:rFonts w:hint="cs"/>
          <w:rtl/>
        </w:rPr>
        <w:t>جهات الاتصال، والإجراء المطلوب.</w:t>
      </w:r>
    </w:p>
    <w:p w:rsidR="00105078" w:rsidRPr="00D21341" w:rsidRDefault="00105078" w:rsidP="00D21341">
      <w:pPr>
        <w:rPr>
          <w:rtl/>
          <w:lang w:bidi="ar-EG"/>
        </w:rPr>
      </w:pPr>
      <w:r>
        <w:t>4.2</w:t>
      </w:r>
      <w:r>
        <w:rPr>
          <w:rtl/>
          <w:lang w:bidi="ar-EG"/>
        </w:rPr>
        <w:tab/>
      </w:r>
      <w:r w:rsidR="00D21341">
        <w:rPr>
          <w:rFonts w:hint="cs"/>
          <w:rtl/>
        </w:rPr>
        <w:t xml:space="preserve">وفضلاً عن ذلك، حقق الفريق النتائج المحددة التالية في </w:t>
      </w:r>
      <w:r w:rsidR="00D21341">
        <w:rPr>
          <w:lang w:val="fr-CH"/>
        </w:rPr>
        <w:t>2016</w:t>
      </w:r>
      <w:r w:rsidR="00D21341">
        <w:rPr>
          <w:rFonts w:hint="cs"/>
          <w:rtl/>
          <w:lang w:bidi="ar-EG"/>
        </w:rPr>
        <w:t>: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21341">
        <w:rPr>
          <w:rFonts w:hint="cs"/>
          <w:rtl/>
        </w:rPr>
        <w:t xml:space="preserve">تنسيق خطة العمل ومتابعة حال تنفيذها بغية تنفيذ توصيات </w:t>
      </w:r>
      <w:r w:rsidR="0076483A">
        <w:rPr>
          <w:rFonts w:hint="cs"/>
          <w:rtl/>
        </w:rPr>
        <w:t xml:space="preserve">المراجعة التي أجرتها </w:t>
      </w:r>
      <w:r w:rsidR="00D21341">
        <w:rPr>
          <w:rFonts w:hint="cs"/>
          <w:rtl/>
        </w:rPr>
        <w:t xml:space="preserve">وحدة التفتيش المشتركة </w:t>
      </w:r>
      <w:r w:rsidR="00B54B3E">
        <w:rPr>
          <w:rFonts w:hint="cs"/>
          <w:rtl/>
        </w:rPr>
        <w:t xml:space="preserve">على </w:t>
      </w:r>
      <w:r w:rsidR="00B54B3E" w:rsidRPr="00B54B3E">
        <w:rPr>
          <w:rFonts w:hint="cs"/>
          <w:rtl/>
        </w:rPr>
        <w:t>مستوى</w:t>
      </w:r>
      <w:r w:rsidR="00C32B91">
        <w:rPr>
          <w:rFonts w:hint="eastAsia"/>
          <w:rtl/>
        </w:rPr>
        <w:t> </w:t>
      </w:r>
      <w:r w:rsidR="00D21341" w:rsidRPr="00B54B3E">
        <w:rPr>
          <w:rFonts w:hint="cs"/>
          <w:rtl/>
        </w:rPr>
        <w:t>الاتحاد؛</w:t>
      </w:r>
    </w:p>
    <w:p w:rsidR="00105078" w:rsidRPr="00D21341" w:rsidRDefault="00105078" w:rsidP="002A5916">
      <w:pPr>
        <w:pStyle w:val="enumlev1"/>
        <w:rPr>
          <w:rtl/>
          <w:lang w:bidi="ar-EG"/>
        </w:rPr>
      </w:pPr>
      <w:r w:rsidRPr="00105078">
        <w:rPr>
          <w:rFonts w:hint="cs"/>
          <w:rtl/>
        </w:rPr>
        <w:lastRenderedPageBreak/>
        <w:t>-</w:t>
      </w:r>
      <w:r w:rsidRPr="00105078">
        <w:rPr>
          <w:rFonts w:hint="cs"/>
          <w:rtl/>
        </w:rPr>
        <w:tab/>
      </w:r>
      <w:r w:rsidR="00D21341">
        <w:rPr>
          <w:rFonts w:hint="cs"/>
          <w:rtl/>
        </w:rPr>
        <w:t xml:space="preserve">تنسيق تنفيذ </w:t>
      </w:r>
      <w:r w:rsidR="0076483A">
        <w:rPr>
          <w:rFonts w:hint="cs"/>
          <w:rtl/>
        </w:rPr>
        <w:t>ال</w:t>
      </w:r>
      <w:r w:rsidR="00D21341">
        <w:rPr>
          <w:rFonts w:hint="cs"/>
          <w:rtl/>
        </w:rPr>
        <w:t xml:space="preserve">توصيات </w:t>
      </w:r>
      <w:r w:rsidR="0076483A">
        <w:rPr>
          <w:rFonts w:hint="cs"/>
          <w:rtl/>
        </w:rPr>
        <w:t>السابقة ل</w:t>
      </w:r>
      <w:r w:rsidR="00D21341">
        <w:rPr>
          <w:rFonts w:hint="cs"/>
          <w:rtl/>
        </w:rPr>
        <w:t xml:space="preserve">وحدة التفتيش المشتركة </w:t>
      </w:r>
      <w:r w:rsidR="00B54B3E">
        <w:rPr>
          <w:color w:val="000000"/>
          <w:rtl/>
        </w:rPr>
        <w:t>على مستوى منظومة الأمم المتحدة،</w:t>
      </w:r>
      <w:r w:rsidR="00B54B3E">
        <w:rPr>
          <w:rFonts w:hint="cs"/>
          <w:color w:val="000000"/>
          <w:rtl/>
        </w:rPr>
        <w:t xml:space="preserve"> </w:t>
      </w:r>
      <w:r w:rsidR="00D21341">
        <w:rPr>
          <w:rFonts w:hint="cs"/>
          <w:rtl/>
        </w:rPr>
        <w:t xml:space="preserve">مع تحقيق نتائج </w:t>
      </w:r>
      <w:r w:rsidR="00B54B3E">
        <w:rPr>
          <w:rFonts w:hint="cs"/>
          <w:rtl/>
        </w:rPr>
        <w:t>مذهلة</w:t>
      </w:r>
      <w:r w:rsidR="00C5012D">
        <w:rPr>
          <w:rFonts w:hint="cs"/>
          <w:rtl/>
        </w:rPr>
        <w:t xml:space="preserve"> فيما</w:t>
      </w:r>
      <w:r w:rsidR="00C5012D">
        <w:rPr>
          <w:rFonts w:hint="eastAsia"/>
          <w:rtl/>
        </w:rPr>
        <w:t> </w:t>
      </w:r>
      <w:r w:rsidR="00D21341">
        <w:rPr>
          <w:rFonts w:hint="cs"/>
          <w:rtl/>
        </w:rPr>
        <w:t xml:space="preserve">يخص قبول </w:t>
      </w:r>
      <w:r w:rsidR="007F30AB">
        <w:rPr>
          <w:rFonts w:hint="cs"/>
          <w:rtl/>
        </w:rPr>
        <w:t>ال</w:t>
      </w:r>
      <w:r w:rsidR="00D21341">
        <w:rPr>
          <w:rFonts w:hint="cs"/>
          <w:rtl/>
        </w:rPr>
        <w:t xml:space="preserve">توصيات </w:t>
      </w:r>
      <w:r w:rsidR="00AD21AA">
        <w:rPr>
          <w:rFonts w:hint="cs"/>
          <w:rtl/>
        </w:rPr>
        <w:t>السابقة للوحدة</w:t>
      </w:r>
      <w:r w:rsidR="002A5916">
        <w:rPr>
          <w:rFonts w:hint="cs"/>
          <w:rtl/>
        </w:rPr>
        <w:t xml:space="preserve"> </w:t>
      </w:r>
      <w:r w:rsidR="002A5916">
        <w:rPr>
          <w:color w:val="000000"/>
          <w:spacing w:val="-6"/>
        </w:rPr>
        <w:t>JIU</w:t>
      </w:r>
      <w:r w:rsidR="00D21341">
        <w:rPr>
          <w:rFonts w:hint="cs"/>
          <w:rtl/>
        </w:rPr>
        <w:t xml:space="preserve"> وحال تنفيذها في الفترة </w:t>
      </w:r>
      <w:r w:rsidR="00D21341">
        <w:t>2014-2006</w:t>
      </w:r>
      <w:r w:rsidR="00D21341">
        <w:rPr>
          <w:rFonts w:hint="cs"/>
          <w:rtl/>
          <w:lang w:bidi="ar-EG"/>
        </w:rPr>
        <w:t>؛</w:t>
      </w:r>
    </w:p>
    <w:p w:rsidR="00105078" w:rsidRPr="00E808D8" w:rsidRDefault="00105078" w:rsidP="004A7D1E">
      <w:pPr>
        <w:pStyle w:val="enumlev1"/>
        <w:rPr>
          <w:rtl/>
        </w:rPr>
      </w:pPr>
      <w:r w:rsidRPr="00E808D8">
        <w:rPr>
          <w:rFonts w:hint="cs"/>
          <w:rtl/>
        </w:rPr>
        <w:t>-</w:t>
      </w:r>
      <w:r w:rsidRPr="00E808D8">
        <w:rPr>
          <w:rFonts w:hint="cs"/>
          <w:rtl/>
        </w:rPr>
        <w:tab/>
      </w:r>
      <w:r w:rsidR="00B54B3E" w:rsidRPr="00E808D8">
        <w:rPr>
          <w:rFonts w:hint="cs"/>
          <w:rtl/>
        </w:rPr>
        <w:t xml:space="preserve">إعداد </w:t>
      </w:r>
      <w:r w:rsidRPr="00E808D8">
        <w:rPr>
          <w:rtl/>
        </w:rPr>
        <w:t>مشروع سياسة إدارة المخاطر ومشروع بيان قابلية المخاطر</w:t>
      </w:r>
      <w:r w:rsidRPr="00E808D8">
        <w:rPr>
          <w:rFonts w:hint="cs"/>
          <w:rtl/>
        </w:rPr>
        <w:t xml:space="preserve"> </w:t>
      </w:r>
      <w:r w:rsidR="0076483A" w:rsidRPr="00E808D8">
        <w:rPr>
          <w:rFonts w:hint="cs"/>
          <w:rtl/>
        </w:rPr>
        <w:t>بواسطة</w:t>
      </w:r>
      <w:r w:rsidR="00B54B3E" w:rsidRPr="00E808D8">
        <w:rPr>
          <w:rFonts w:hint="cs"/>
          <w:rtl/>
        </w:rPr>
        <w:t xml:space="preserve"> فريق عمل مخصص. وعُرض مشروعا الوثيقتين على </w:t>
      </w:r>
      <w:r w:rsidR="00B54B3E" w:rsidRPr="00E808D8">
        <w:rPr>
          <w:color w:val="000000"/>
          <w:rtl/>
        </w:rPr>
        <w:t>فريق العمل التابع للمجلس المعني بالموارد المالية والبشرية</w:t>
      </w:r>
      <w:r w:rsidR="00B54B3E" w:rsidRPr="00E808D8">
        <w:rPr>
          <w:rFonts w:hint="cs"/>
          <w:color w:val="000000"/>
          <w:rtl/>
        </w:rPr>
        <w:t xml:space="preserve"> </w:t>
      </w:r>
      <w:r w:rsidR="00B54B3E" w:rsidRPr="00E808D8">
        <w:rPr>
          <w:color w:val="000000"/>
        </w:rPr>
        <w:t>(CWG-FHR)</w:t>
      </w:r>
      <w:r w:rsidR="00B54B3E" w:rsidRPr="00E808D8">
        <w:rPr>
          <w:rFonts w:hint="cs"/>
          <w:color w:val="000000"/>
          <w:rtl/>
        </w:rPr>
        <w:t xml:space="preserve"> وقُ</w:t>
      </w:r>
      <w:r w:rsidR="00E808D8">
        <w:rPr>
          <w:rFonts w:hint="cs"/>
          <w:color w:val="000000"/>
          <w:rtl/>
        </w:rPr>
        <w:t>دما لكي يستعرضهما المجلس ويوافق</w:t>
      </w:r>
      <w:r w:rsidR="00E808D8">
        <w:rPr>
          <w:rFonts w:hint="eastAsia"/>
          <w:color w:val="000000"/>
          <w:rtl/>
        </w:rPr>
        <w:t> </w:t>
      </w:r>
      <w:r w:rsidR="00B54B3E" w:rsidRPr="00E808D8">
        <w:rPr>
          <w:rFonts w:hint="cs"/>
          <w:color w:val="000000"/>
          <w:rtl/>
        </w:rPr>
        <w:t>عليهما؛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76483A">
        <w:rPr>
          <w:rFonts w:hint="cs"/>
          <w:rtl/>
        </w:rPr>
        <w:t>إطلاق</w:t>
      </w:r>
      <w:r w:rsidR="00B54B3E">
        <w:rPr>
          <w:rFonts w:hint="cs"/>
          <w:rtl/>
        </w:rPr>
        <w:t xml:space="preserve"> عملية لإدارة استمرارية الأعمال والتعافي من الكوارث، في حالة </w:t>
      </w:r>
      <w:r w:rsidR="0076483A">
        <w:rPr>
          <w:rFonts w:hint="cs"/>
          <w:rtl/>
        </w:rPr>
        <w:t>عدم التمكن من</w:t>
      </w:r>
      <w:r w:rsidR="00B54B3E">
        <w:rPr>
          <w:rFonts w:hint="cs"/>
          <w:rtl/>
        </w:rPr>
        <w:t xml:space="preserve"> الدخول الفعلي إلى مقر الاتحاد ومباني المكاتب الإقليمية؛</w:t>
      </w:r>
    </w:p>
    <w:p w:rsidR="00105078" w:rsidRPr="00A63202" w:rsidRDefault="00764A00" w:rsidP="0072311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54B3E">
        <w:rPr>
          <w:rFonts w:hint="cs"/>
          <w:rtl/>
        </w:rPr>
        <w:t xml:space="preserve">تنسيق وتطبيق المبادئ التوجيهية الخاصة بطلبات التصوير </w:t>
      </w:r>
      <w:r w:rsidR="00723111">
        <w:rPr>
          <w:rFonts w:hint="cs"/>
          <w:rtl/>
        </w:rPr>
        <w:t>الفيديوي</w:t>
      </w:r>
      <w:r w:rsidR="00B54B3E">
        <w:rPr>
          <w:rFonts w:hint="cs"/>
          <w:rtl/>
        </w:rPr>
        <w:t xml:space="preserve"> والتصوير </w:t>
      </w:r>
      <w:r w:rsidR="00723111">
        <w:rPr>
          <w:rFonts w:hint="cs"/>
          <w:rtl/>
        </w:rPr>
        <w:t>الفوتوغرافي</w:t>
      </w:r>
      <w:r w:rsidR="00B54B3E">
        <w:rPr>
          <w:rFonts w:hint="cs"/>
          <w:rtl/>
        </w:rPr>
        <w:t>، وتطبيق الإجراءات والاستمارات ذات الصلة؛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B54B3E">
        <w:rPr>
          <w:rFonts w:hint="cs"/>
          <w:rtl/>
        </w:rPr>
        <w:t xml:space="preserve">مراجعة إعداد </w:t>
      </w:r>
      <w:r w:rsidR="00236013">
        <w:rPr>
          <w:rFonts w:hint="cs"/>
          <w:rtl/>
        </w:rPr>
        <w:t>لوحة معلومات خاصة بالمساواة بين الجنسين، وهي لمحة تبرز باستمرار ا</w:t>
      </w:r>
      <w:r w:rsidR="00E54646">
        <w:rPr>
          <w:rFonts w:hint="cs"/>
          <w:rtl/>
        </w:rPr>
        <w:t>لتطور في الوضع الراهن للمرأة في</w:t>
      </w:r>
      <w:r w:rsidR="00E54646">
        <w:rPr>
          <w:rFonts w:hint="eastAsia"/>
          <w:rtl/>
        </w:rPr>
        <w:t> </w:t>
      </w:r>
      <w:r w:rsidR="00236013">
        <w:rPr>
          <w:rFonts w:hint="cs"/>
          <w:rtl/>
        </w:rPr>
        <w:t>الاتحاد وقطاع تكنولوجيا المعلومات والاتصالات؛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236013">
        <w:rPr>
          <w:rFonts w:hint="cs"/>
          <w:rtl/>
        </w:rPr>
        <w:t>تقديم مقترح لمشروع لتحقيق المساواة بين الجنسين في لجان الاتحاد، من خلال رصد مشاركة المتحدثات/عضوات اللجان في أحداث الاتحاد وتعزيزها؛</w:t>
      </w:r>
    </w:p>
    <w:p w:rsidR="00105078" w:rsidRPr="004A7D1E" w:rsidRDefault="00105078" w:rsidP="004A7D1E">
      <w:pPr>
        <w:pStyle w:val="enumlev1"/>
        <w:rPr>
          <w:spacing w:val="-4"/>
          <w:rtl/>
        </w:rPr>
      </w:pPr>
      <w:r w:rsidRPr="004A7D1E">
        <w:rPr>
          <w:rFonts w:hint="cs"/>
          <w:spacing w:val="-4"/>
          <w:rtl/>
        </w:rPr>
        <w:t>-</w:t>
      </w:r>
      <w:r w:rsidRPr="004A7D1E">
        <w:rPr>
          <w:rFonts w:hint="cs"/>
          <w:spacing w:val="-4"/>
          <w:rtl/>
        </w:rPr>
        <w:tab/>
      </w:r>
      <w:r w:rsidR="00236013" w:rsidRPr="004A7D1E">
        <w:rPr>
          <w:rFonts w:hint="cs"/>
          <w:spacing w:val="-4"/>
          <w:rtl/>
        </w:rPr>
        <w:t xml:space="preserve">استعراض تنفيذ صندوق إمكانية النفاذ </w:t>
      </w:r>
      <w:r w:rsidR="00502CBE" w:rsidRPr="004A7D1E">
        <w:rPr>
          <w:rFonts w:hint="cs"/>
          <w:spacing w:val="-4"/>
          <w:rtl/>
        </w:rPr>
        <w:t>والموافقة</w:t>
      </w:r>
      <w:r w:rsidR="00236013" w:rsidRPr="004A7D1E">
        <w:rPr>
          <w:rFonts w:hint="cs"/>
          <w:spacing w:val="-4"/>
          <w:rtl/>
        </w:rPr>
        <w:t xml:space="preserve"> على دورة ثانية لتمويل مشروع من شأنه أن يزيد مشاركة الخبراء المعنيين بإمكانية النفاذ إلى تكنولوجيا المعلومات والاتصالات في اجتماعات منتقاة تعقدها لجان الدراسات التابعة للاتحاد؛</w:t>
      </w:r>
    </w:p>
    <w:p w:rsidR="00105078" w:rsidRPr="00D837AE" w:rsidRDefault="00105078" w:rsidP="004A7D1E">
      <w:pPr>
        <w:pStyle w:val="enumlev1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236013">
        <w:rPr>
          <w:rFonts w:hint="cs"/>
          <w:rtl/>
        </w:rPr>
        <w:t xml:space="preserve">إنشاء فريق فرعي </w:t>
      </w:r>
      <w:r w:rsidR="00502CBE">
        <w:rPr>
          <w:rFonts w:hint="cs"/>
          <w:rtl/>
        </w:rPr>
        <w:t xml:space="preserve">تابع </w:t>
      </w:r>
      <w:r w:rsidR="00236013">
        <w:rPr>
          <w:rFonts w:hint="cs"/>
          <w:rtl/>
        </w:rPr>
        <w:t xml:space="preserve">لفريق المشروع المعني بأهداف التنمية المستدامة الذي دُمج لاحقاً </w:t>
      </w:r>
      <w:r w:rsidR="00502CBE">
        <w:rPr>
          <w:rFonts w:hint="cs"/>
          <w:rtl/>
        </w:rPr>
        <w:t xml:space="preserve">في </w:t>
      </w:r>
      <w:r w:rsidR="00236013">
        <w:rPr>
          <w:color w:val="000000"/>
          <w:rtl/>
        </w:rPr>
        <w:t>فريق المهام المعني بالقمة العالمية لمجتمع المعلومات</w:t>
      </w:r>
      <w:r w:rsidR="00D837AE">
        <w:rPr>
          <w:rFonts w:hint="cs"/>
          <w:color w:val="000000"/>
          <w:rtl/>
        </w:rPr>
        <w:t xml:space="preserve">، على إثر المناقشات التي دارت في دورة المجلس لعام </w:t>
      </w:r>
      <w:r w:rsidR="00D837AE">
        <w:rPr>
          <w:color w:val="000000"/>
          <w:lang w:val="fr-CH"/>
        </w:rPr>
        <w:t>2016</w:t>
      </w:r>
      <w:r w:rsidR="00D837AE">
        <w:rPr>
          <w:rFonts w:hint="cs"/>
          <w:color w:val="000000"/>
          <w:rtl/>
          <w:lang w:bidi="ar-EG"/>
        </w:rPr>
        <w:t>؛</w:t>
      </w:r>
    </w:p>
    <w:p w:rsidR="00105078" w:rsidRPr="00D837AE" w:rsidRDefault="00105078" w:rsidP="004A7D1E">
      <w:pPr>
        <w:pStyle w:val="enumlev1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837AE">
        <w:rPr>
          <w:rFonts w:hint="cs"/>
          <w:rtl/>
        </w:rPr>
        <w:t xml:space="preserve">استعراض الاستراتيجية العالمية للاتصالات للفترة </w:t>
      </w:r>
      <w:r w:rsidR="00D837AE">
        <w:t>2019-2016</w:t>
      </w:r>
      <w:r w:rsidR="00D837AE">
        <w:rPr>
          <w:rFonts w:hint="cs"/>
          <w:rtl/>
          <w:lang w:bidi="ar-EG"/>
        </w:rPr>
        <w:t>؛</w:t>
      </w:r>
    </w:p>
    <w:p w:rsidR="00105078" w:rsidRPr="00D837AE" w:rsidRDefault="00105078" w:rsidP="009F1D89">
      <w:pPr>
        <w:pStyle w:val="enumlev1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837AE">
        <w:rPr>
          <w:rFonts w:hint="cs"/>
          <w:rtl/>
        </w:rPr>
        <w:t xml:space="preserve">تنسيق إعداد المبادئ التوجيهية لترجمة صفحات </w:t>
      </w:r>
      <w:r w:rsidR="00502CBE">
        <w:rPr>
          <w:rFonts w:hint="cs"/>
          <w:rtl/>
        </w:rPr>
        <w:t>الموقع الإلكتروني</w:t>
      </w:r>
      <w:r w:rsidR="00D837AE">
        <w:rPr>
          <w:rFonts w:hint="cs"/>
          <w:rtl/>
        </w:rPr>
        <w:t xml:space="preserve">، </w:t>
      </w:r>
      <w:r w:rsidR="00A57E4B">
        <w:rPr>
          <w:rFonts w:hint="cs"/>
          <w:rtl/>
        </w:rPr>
        <w:t xml:space="preserve">عملاً </w:t>
      </w:r>
      <w:r w:rsidR="00125E57">
        <w:rPr>
          <w:rFonts w:hint="cs"/>
          <w:rtl/>
        </w:rPr>
        <w:t>بقرار</w:t>
      </w:r>
      <w:r w:rsidR="00D837AE">
        <w:rPr>
          <w:rFonts w:hint="cs"/>
          <w:rtl/>
        </w:rPr>
        <w:t xml:space="preserve"> المجلس</w:t>
      </w:r>
      <w:r w:rsidR="00125E57">
        <w:rPr>
          <w:rFonts w:hint="cs"/>
          <w:rtl/>
        </w:rPr>
        <w:t xml:space="preserve"> في دورته لعام</w:t>
      </w:r>
      <w:r w:rsidR="009F1D89">
        <w:rPr>
          <w:rFonts w:hint="eastAsia"/>
          <w:rtl/>
        </w:rPr>
        <w:t> </w:t>
      </w:r>
      <w:r w:rsidR="00125E57">
        <w:rPr>
          <w:lang w:val="fr-CH"/>
        </w:rPr>
        <w:t>2016</w:t>
      </w:r>
      <w:r w:rsidR="00D837AE">
        <w:rPr>
          <w:rFonts w:hint="cs"/>
          <w:rtl/>
          <w:lang w:bidi="ar-EG"/>
        </w:rPr>
        <w:t xml:space="preserve">. وعُرض تقرير على اجتماع فريق </w:t>
      </w:r>
      <w:r w:rsidR="005D7A7F">
        <w:rPr>
          <w:rFonts w:hint="cs"/>
          <w:rtl/>
          <w:lang w:bidi="ar-EG"/>
        </w:rPr>
        <w:t>العمل التابع للمجلس</w:t>
      </w:r>
      <w:r w:rsidR="00D837AE">
        <w:rPr>
          <w:rFonts w:hint="cs"/>
          <w:rtl/>
          <w:lang w:bidi="ar-EG"/>
        </w:rPr>
        <w:t xml:space="preserve"> المعني باللغات في يناير؛</w:t>
      </w:r>
    </w:p>
    <w:p w:rsidR="00105078" w:rsidRPr="00D837AE" w:rsidRDefault="00105078" w:rsidP="009F1D89">
      <w:pPr>
        <w:pStyle w:val="enumlev1"/>
        <w:rPr>
          <w:rtl/>
          <w:lang w:bidi="ar-EG"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837AE">
        <w:rPr>
          <w:rFonts w:hint="cs"/>
          <w:rtl/>
        </w:rPr>
        <w:t xml:space="preserve">تنسيق عملية قياس البيانات </w:t>
      </w:r>
      <w:r w:rsidR="00502CBE">
        <w:rPr>
          <w:rFonts w:hint="cs"/>
          <w:rtl/>
        </w:rPr>
        <w:t>الخاصة</w:t>
      </w:r>
      <w:r w:rsidR="00D837AE">
        <w:rPr>
          <w:rFonts w:hint="cs"/>
          <w:rtl/>
        </w:rPr>
        <w:t xml:space="preserve"> </w:t>
      </w:r>
      <w:r w:rsidR="00502CBE">
        <w:rPr>
          <w:rFonts w:hint="cs"/>
          <w:rtl/>
        </w:rPr>
        <w:t>ب</w:t>
      </w:r>
      <w:r w:rsidR="00D837AE">
        <w:rPr>
          <w:rFonts w:hint="cs"/>
          <w:rtl/>
        </w:rPr>
        <w:t xml:space="preserve">مؤشرات النتائج </w:t>
      </w:r>
      <w:r w:rsidR="00502CBE">
        <w:rPr>
          <w:rFonts w:hint="cs"/>
          <w:rtl/>
        </w:rPr>
        <w:t xml:space="preserve">اللازمة </w:t>
      </w:r>
      <w:r w:rsidR="00D837AE">
        <w:rPr>
          <w:rFonts w:hint="cs"/>
          <w:rtl/>
        </w:rPr>
        <w:t>لإعداد التقرير السنوي للاتحاد لعام</w:t>
      </w:r>
      <w:r w:rsidR="009F1D89">
        <w:rPr>
          <w:rFonts w:hint="eastAsia"/>
          <w:rtl/>
        </w:rPr>
        <w:t> </w:t>
      </w:r>
      <w:r w:rsidR="00D837AE">
        <w:rPr>
          <w:lang w:val="fr-CH"/>
        </w:rPr>
        <w:t>2016</w:t>
      </w:r>
      <w:r w:rsidR="00D837AE">
        <w:rPr>
          <w:rFonts w:hint="cs"/>
          <w:rtl/>
          <w:lang w:bidi="ar-EG"/>
        </w:rPr>
        <w:t xml:space="preserve"> من خلال موقع مخصص على الإنترنت؛</w:t>
      </w:r>
    </w:p>
    <w:p w:rsidR="00105078" w:rsidRPr="00A63202" w:rsidRDefault="00105078" w:rsidP="0029577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837AE">
        <w:rPr>
          <w:rFonts w:hint="cs"/>
          <w:rtl/>
        </w:rPr>
        <w:t xml:space="preserve">استعراض إعداد مشروع إطار </w:t>
      </w:r>
      <w:r w:rsidR="0029577E">
        <w:rPr>
          <w:rFonts w:hint="cs"/>
          <w:rtl/>
        </w:rPr>
        <w:t>للمساءلة</w:t>
      </w:r>
      <w:r w:rsidR="00D837AE">
        <w:rPr>
          <w:rFonts w:hint="cs"/>
          <w:rtl/>
        </w:rPr>
        <w:t>، استجابة</w:t>
      </w:r>
      <w:r w:rsidR="0029577E">
        <w:rPr>
          <w:rFonts w:hint="cs"/>
          <w:rtl/>
        </w:rPr>
        <w:t>ً</w:t>
      </w:r>
      <w:r w:rsidR="00D837AE">
        <w:rPr>
          <w:rFonts w:hint="cs"/>
          <w:rtl/>
        </w:rPr>
        <w:t xml:space="preserve"> للتوصية ذات الصلة الصادرة عن وحدة التفتيش المشتركة؛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D837AE">
        <w:rPr>
          <w:rFonts w:hint="cs"/>
          <w:rtl/>
        </w:rPr>
        <w:t>استعراض إعداد المشروع الجديد للمبادئ التوجيهية للرعاية، التي أقرها لاحقاً فريق تنسيق الإدارة في ديسمبر؛</w:t>
      </w:r>
    </w:p>
    <w:p w:rsidR="00105078" w:rsidRPr="00A63202" w:rsidRDefault="00105078" w:rsidP="004A7D1E">
      <w:pPr>
        <w:pStyle w:val="enumlev1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 w:rsidR="00502CBE">
        <w:rPr>
          <w:rFonts w:hint="cs"/>
          <w:rtl/>
        </w:rPr>
        <w:t>العمل بتقرير مفصَّل جديد بشأن حال عضوية</w:t>
      </w:r>
      <w:r w:rsidR="000B3E25">
        <w:rPr>
          <w:rFonts w:hint="cs"/>
          <w:rtl/>
        </w:rPr>
        <w:t xml:space="preserve"> القطاعات بحسب القطاع والإقليم.</w:t>
      </w:r>
    </w:p>
    <w:p w:rsidR="00A4011E" w:rsidRPr="00A63202" w:rsidRDefault="00A4011E" w:rsidP="00A4011E">
      <w:pPr>
        <w:pStyle w:val="Heading1"/>
        <w:rPr>
          <w:rtl/>
        </w:rPr>
      </w:pPr>
      <w:r w:rsidRPr="00A63202">
        <w:t>3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مع الأعضاء</w:t>
      </w:r>
    </w:p>
    <w:p w:rsidR="00A4011E" w:rsidRPr="00A63202" w:rsidRDefault="00A4011E" w:rsidP="004A7D1E">
      <w:pPr>
        <w:rPr>
          <w:rtl/>
          <w:lang w:val="fr-CH"/>
        </w:rPr>
      </w:pPr>
      <w:r w:rsidRPr="00502CBE">
        <w:t>1.3</w:t>
      </w:r>
      <w:r w:rsidRPr="00502CBE">
        <w:tab/>
      </w:r>
      <w:r w:rsidRPr="00502CBE">
        <w:rPr>
          <w:rFonts w:hint="cs"/>
          <w:rtl/>
          <w:lang w:val="fr-CH"/>
        </w:rPr>
        <w:t>نوقشت في الاجتماعات التي عقدها ال</w:t>
      </w:r>
      <w:r w:rsidRPr="00502CBE">
        <w:rPr>
          <w:rFonts w:hint="eastAsia"/>
          <w:rtl/>
          <w:lang w:val="fr-CH"/>
        </w:rPr>
        <w:t>فريق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الاستشاري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للاتصالات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الراديوية</w:t>
      </w:r>
      <w:r w:rsidRPr="00502CBE">
        <w:rPr>
          <w:rtl/>
          <w:lang w:val="fr-CH"/>
        </w:rPr>
        <w:t xml:space="preserve"> </w:t>
      </w:r>
      <w:r w:rsidRPr="00502CBE">
        <w:rPr>
          <w:rFonts w:hint="cs"/>
          <w:rtl/>
          <w:lang w:val="fr-CH"/>
        </w:rPr>
        <w:t>والفريق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الاستشاري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لتقييس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الاتصالات</w:t>
      </w:r>
      <w:r w:rsidRPr="00502CBE">
        <w:rPr>
          <w:rFonts w:hint="cs"/>
          <w:rtl/>
          <w:lang w:val="fr-CH"/>
        </w:rPr>
        <w:t xml:space="preserve"> وا</w:t>
      </w:r>
      <w:r w:rsidRPr="00502CBE">
        <w:rPr>
          <w:rFonts w:hint="eastAsia"/>
          <w:rtl/>
          <w:lang w:val="fr-CH"/>
        </w:rPr>
        <w:t>لفريق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الاستشاري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لتنمية</w:t>
      </w:r>
      <w:r w:rsidRPr="00502CBE">
        <w:rPr>
          <w:rtl/>
          <w:lang w:val="fr-CH"/>
        </w:rPr>
        <w:t xml:space="preserve"> </w:t>
      </w:r>
      <w:r w:rsidRPr="00502CBE">
        <w:rPr>
          <w:rFonts w:hint="eastAsia"/>
          <w:rtl/>
          <w:lang w:val="fr-CH"/>
        </w:rPr>
        <w:t>الاتصالات</w:t>
      </w:r>
      <w:r w:rsidRPr="00502CBE">
        <w:rPr>
          <w:rFonts w:hint="cs"/>
          <w:rtl/>
          <w:lang w:val="fr-CH"/>
        </w:rPr>
        <w:t xml:space="preserve"> في عامي </w:t>
      </w:r>
      <w:r w:rsidRPr="00502CBE">
        <w:t>2014</w:t>
      </w:r>
      <w:r w:rsidRPr="00502CBE">
        <w:rPr>
          <w:rFonts w:hint="cs"/>
          <w:rtl/>
        </w:rPr>
        <w:t xml:space="preserve"> و</w:t>
      </w:r>
      <w:r w:rsidRPr="00502CBE">
        <w:t>2015</w:t>
      </w:r>
      <w:r w:rsidRPr="00502CBE">
        <w:rPr>
          <w:rFonts w:hint="cs"/>
          <w:rtl/>
        </w:rPr>
        <w:t xml:space="preserve"> </w:t>
      </w:r>
      <w:r w:rsidRPr="00502CBE">
        <w:rPr>
          <w:rFonts w:hint="cs"/>
          <w:rtl/>
          <w:lang w:val="fr-CH"/>
        </w:rPr>
        <w:t>مسألة إنشاء فريق تنسيق بين القطاعات</w:t>
      </w:r>
      <w:r w:rsidRPr="00502CBE">
        <w:rPr>
          <w:rFonts w:hint="eastAsia"/>
          <w:rtl/>
          <w:lang w:val="fr-CH" w:bidi="ar-EG"/>
        </w:rPr>
        <w:t> </w:t>
      </w:r>
      <w:r w:rsidRPr="00502CBE">
        <w:rPr>
          <w:lang w:bidi="ar-EG"/>
        </w:rPr>
        <w:t>(ISCT)</w:t>
      </w:r>
      <w:r w:rsidRPr="00502CBE">
        <w:rPr>
          <w:rFonts w:hint="cs"/>
          <w:rtl/>
          <w:lang w:val="fr-CH"/>
        </w:rPr>
        <w:t xml:space="preserve"> يُعنى بالمسائل ذات</w:t>
      </w:r>
      <w:r w:rsidR="004A7D1E">
        <w:rPr>
          <w:rFonts w:hint="eastAsia"/>
          <w:rtl/>
          <w:lang w:val="fr-CH"/>
        </w:rPr>
        <w:t> </w:t>
      </w:r>
      <w:r w:rsidRPr="00502CBE">
        <w:rPr>
          <w:rFonts w:hint="cs"/>
          <w:rtl/>
          <w:lang w:val="fr-CH"/>
        </w:rPr>
        <w:t>الاهتمام المشترك وتمت الموافقة على ذلك، وقُدِّمت التوجيهات اللازمة في</w:t>
      </w:r>
      <w:r w:rsidRPr="00502CBE">
        <w:rPr>
          <w:rFonts w:hint="eastAsia"/>
          <w:rtl/>
          <w:lang w:val="fr-CH"/>
        </w:rPr>
        <w:t> </w:t>
      </w:r>
      <w:r w:rsidRPr="00502CBE">
        <w:rPr>
          <w:rFonts w:hint="cs"/>
          <w:rtl/>
          <w:lang w:val="fr-CH"/>
        </w:rPr>
        <w:t xml:space="preserve">هذا الصدد إلى المكاتب (وردت معلومات أساسية بهذا الخصوص في </w:t>
      </w:r>
      <w:hyperlink r:id="rId14" w:history="1">
        <w:r w:rsidRPr="00502CBE">
          <w:rPr>
            <w:rStyle w:val="Hyperlink"/>
            <w:rFonts w:hint="cs"/>
            <w:rtl/>
            <w:lang w:val="fr-CH"/>
          </w:rPr>
          <w:t>الوثيقة </w:t>
        </w:r>
        <w:r w:rsidR="00105078" w:rsidRPr="00502CBE">
          <w:rPr>
            <w:rStyle w:val="Hyperlink"/>
          </w:rPr>
          <w:t>C15/38(Rev.1)</w:t>
        </w:r>
      </w:hyperlink>
      <w:r w:rsidRPr="00502CBE">
        <w:rPr>
          <w:rtl/>
          <w:lang w:val="fr-CH"/>
        </w:rPr>
        <w:t>)</w:t>
      </w:r>
      <w:r w:rsidRPr="00502CBE">
        <w:rPr>
          <w:rFonts w:hint="cs"/>
          <w:rtl/>
          <w:lang w:val="fr-CH"/>
        </w:rPr>
        <w:t>.</w:t>
      </w:r>
      <w:r w:rsidR="00105078" w:rsidRPr="00502CBE">
        <w:rPr>
          <w:rFonts w:hint="cs"/>
          <w:rtl/>
          <w:lang w:val="fr-CH"/>
        </w:rPr>
        <w:t xml:space="preserve"> </w:t>
      </w:r>
      <w:r w:rsidR="0089524C" w:rsidRPr="00502CBE">
        <w:rPr>
          <w:rFonts w:hint="cs"/>
          <w:rtl/>
          <w:lang w:val="fr-CH"/>
        </w:rPr>
        <w:t xml:space="preserve">وحُدِّدت </w:t>
      </w:r>
      <w:hyperlink r:id="rId15" w:history="1">
        <w:r w:rsidR="0089524C" w:rsidRPr="00502CBE">
          <w:rPr>
            <w:rStyle w:val="Hyperlink"/>
            <w:rFonts w:hint="cs"/>
            <w:rtl/>
            <w:lang w:val="fr-CH"/>
          </w:rPr>
          <w:t>الاختصاصات</w:t>
        </w:r>
      </w:hyperlink>
      <w:r w:rsidR="0089524C" w:rsidRPr="00502CBE">
        <w:rPr>
          <w:rFonts w:hint="cs"/>
          <w:rtl/>
          <w:lang w:val="fr-CH"/>
        </w:rPr>
        <w:t xml:space="preserve"> واتُّفق عليها فيما بين القطاعات وعُيِّن فريق الإدارة.</w:t>
      </w:r>
    </w:p>
    <w:p w:rsidR="00A4011E" w:rsidRDefault="00A4011E" w:rsidP="00E808D8">
      <w:pPr>
        <w:spacing w:after="120"/>
        <w:rPr>
          <w:rtl/>
        </w:rPr>
      </w:pPr>
      <w:r w:rsidRPr="00A63202">
        <w:t>2.3</w:t>
      </w:r>
      <w:r w:rsidRPr="00A63202">
        <w:tab/>
      </w:r>
      <w:r w:rsidR="00502CBE">
        <w:rPr>
          <w:rFonts w:hint="cs"/>
          <w:rtl/>
        </w:rPr>
        <w:t xml:space="preserve">وبالاستناد إلى المساهمات المستلمة من الأفرقة الاستشارية للقطاعات الثلاثة، </w:t>
      </w:r>
      <w:r w:rsidR="00764A00">
        <w:rPr>
          <w:rFonts w:hint="cs"/>
          <w:rtl/>
        </w:rPr>
        <w:t xml:space="preserve">ظل الفريق يعمل </w:t>
      </w:r>
      <w:r w:rsidR="00502CBE">
        <w:rPr>
          <w:rFonts w:hint="cs"/>
          <w:rtl/>
        </w:rPr>
        <w:t>من أجل إعداد قائمة بالم</w:t>
      </w:r>
      <w:r w:rsidR="00C2675C">
        <w:rPr>
          <w:rFonts w:hint="cs"/>
          <w:rtl/>
        </w:rPr>
        <w:t xml:space="preserve">واضيع </w:t>
      </w:r>
      <w:r w:rsidR="00764A00">
        <w:rPr>
          <w:rFonts w:hint="cs"/>
          <w:rtl/>
        </w:rPr>
        <w:t xml:space="preserve">المشتركة بشأن أساليب العمل من </w:t>
      </w:r>
      <w:r w:rsidR="004A7D1E">
        <w:rPr>
          <w:rFonts w:hint="cs"/>
          <w:rtl/>
        </w:rPr>
        <w:t>أجل التنسيق بين قطاعات الاتحاد.</w:t>
      </w:r>
    </w:p>
    <w:p w:rsidR="00105078" w:rsidRPr="00A63202" w:rsidRDefault="00E54646" w:rsidP="00E808D8">
      <w:pPr>
        <w:spacing w:before="480"/>
        <w:jc w:val="center"/>
        <w:rPr>
          <w:lang w:val="fr-CH"/>
        </w:rPr>
      </w:pPr>
      <w:r>
        <w:rPr>
          <w:rFonts w:hint="cs"/>
          <w:rtl/>
          <w:lang w:val="fr-CH"/>
        </w:rPr>
        <w:t>___________</w:t>
      </w:r>
    </w:p>
    <w:sectPr w:rsidR="00105078" w:rsidRPr="00A63202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8E" w:rsidRDefault="00E30B8E" w:rsidP="00E07379">
      <w:pPr>
        <w:spacing w:before="0" w:line="240" w:lineRule="auto"/>
      </w:pPr>
      <w:r>
        <w:separator/>
      </w:r>
    </w:p>
  </w:endnote>
  <w:endnote w:type="continuationSeparator" w:id="0">
    <w:p w:rsidR="00E30B8E" w:rsidRDefault="00E30B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AD6F78" w:rsidRDefault="000E4FF0" w:rsidP="0024393C">
    <w:pPr>
      <w:pStyle w:val="Footer"/>
      <w:tabs>
        <w:tab w:val="clear" w:pos="5812"/>
        <w:tab w:val="right" w:pos="5670"/>
      </w:tabs>
      <w:rPr>
        <w:color w:val="D9D9D9" w:themeColor="background1" w:themeShade="D9"/>
        <w:lang w:val="fr-CH"/>
      </w:rPr>
    </w:pPr>
    <w:r w:rsidRPr="00AD6F78">
      <w:rPr>
        <w:color w:val="D9D9D9" w:themeColor="background1" w:themeShade="D9"/>
      </w:rPr>
      <w:fldChar w:fldCharType="begin"/>
    </w:r>
    <w:r w:rsidRPr="00AD6F78">
      <w:rPr>
        <w:color w:val="D9D9D9" w:themeColor="background1" w:themeShade="D9"/>
        <w:lang w:val="fr-CH"/>
      </w:rPr>
      <w:instrText xml:space="preserve"> FILENAME \p \* MERGEFORMAT </w:instrText>
    </w:r>
    <w:r w:rsidRPr="00AD6F78">
      <w:rPr>
        <w:color w:val="D9D9D9" w:themeColor="background1" w:themeShade="D9"/>
      </w:rPr>
      <w:fldChar w:fldCharType="separate"/>
    </w:r>
    <w:r w:rsidR="004A7D1E" w:rsidRPr="00AD6F78">
      <w:rPr>
        <w:noProof/>
        <w:color w:val="D9D9D9" w:themeColor="background1" w:themeShade="D9"/>
        <w:lang w:val="fr-CH"/>
      </w:rPr>
      <w:t>P:\ARA\SG\CONSEIL\C17\000\038A.docx</w:t>
    </w:r>
    <w:r w:rsidRPr="00AD6F78">
      <w:rPr>
        <w:noProof/>
        <w:color w:val="D9D9D9" w:themeColor="background1" w:themeShade="D9"/>
      </w:rPr>
      <w:fldChar w:fldCharType="end"/>
    </w:r>
    <w:r w:rsidR="00BD0C50" w:rsidRPr="00AD6F78">
      <w:rPr>
        <w:color w:val="D9D9D9" w:themeColor="background1" w:themeShade="D9"/>
        <w:lang w:val="fr-CH"/>
      </w:rPr>
      <w:t xml:space="preserve">   (</w:t>
    </w:r>
    <w:r w:rsidR="0024393C" w:rsidRPr="00AD6F78">
      <w:rPr>
        <w:color w:val="D9D9D9" w:themeColor="background1" w:themeShade="D9"/>
        <w:lang w:val="fr-CH"/>
      </w:rPr>
      <w:t>409488</w:t>
    </w:r>
    <w:r w:rsidR="00BD0C50" w:rsidRPr="00AD6F78">
      <w:rPr>
        <w:color w:val="D9D9D9" w:themeColor="background1" w:themeShade="D9"/>
        <w:lang w:val="fr-CH"/>
      </w:rPr>
      <w:t>)</w:t>
    </w:r>
    <w:r w:rsidR="00BD0C50" w:rsidRPr="00AD6F78">
      <w:rPr>
        <w:color w:val="D9D9D9" w:themeColor="background1" w:themeShade="D9"/>
        <w:lang w:val="fr-CH"/>
      </w:rPr>
      <w:tab/>
    </w:r>
    <w:r w:rsidR="00BD0C50" w:rsidRPr="00AD6F78">
      <w:rPr>
        <w:color w:val="D9D9D9" w:themeColor="background1" w:themeShade="D9"/>
      </w:rPr>
      <w:fldChar w:fldCharType="begin"/>
    </w:r>
    <w:r w:rsidR="00BD0C50" w:rsidRPr="00AD6F78">
      <w:rPr>
        <w:color w:val="D9D9D9" w:themeColor="background1" w:themeShade="D9"/>
      </w:rPr>
      <w:instrText xml:space="preserve"> savedate \@ dd.MM.yy </w:instrText>
    </w:r>
    <w:r w:rsidR="00BD0C50" w:rsidRPr="00AD6F78">
      <w:rPr>
        <w:color w:val="D9D9D9" w:themeColor="background1" w:themeShade="D9"/>
      </w:rPr>
      <w:fldChar w:fldCharType="separate"/>
    </w:r>
    <w:r w:rsidR="0008632E">
      <w:rPr>
        <w:noProof/>
        <w:color w:val="D9D9D9" w:themeColor="background1" w:themeShade="D9"/>
      </w:rPr>
      <w:t>25.04.17</w:t>
    </w:r>
    <w:r w:rsidR="00BD0C50" w:rsidRPr="00AD6F78">
      <w:rPr>
        <w:color w:val="D9D9D9" w:themeColor="background1" w:themeShade="D9"/>
      </w:rPr>
      <w:fldChar w:fldCharType="end"/>
    </w:r>
    <w:r w:rsidR="00BD0C50" w:rsidRPr="00AD6F78">
      <w:rPr>
        <w:color w:val="D9D9D9" w:themeColor="background1" w:themeShade="D9"/>
        <w:lang w:val="fr-CH"/>
      </w:rPr>
      <w:tab/>
    </w:r>
    <w:r w:rsidR="00BD0C50" w:rsidRPr="00AD6F78">
      <w:rPr>
        <w:color w:val="D9D9D9" w:themeColor="background1" w:themeShade="D9"/>
      </w:rPr>
      <w:fldChar w:fldCharType="begin"/>
    </w:r>
    <w:r w:rsidR="00BD0C50" w:rsidRPr="00AD6F78">
      <w:rPr>
        <w:color w:val="D9D9D9" w:themeColor="background1" w:themeShade="D9"/>
      </w:rPr>
      <w:instrText xml:space="preserve"> printdate \@ dd.MM.yy </w:instrText>
    </w:r>
    <w:r w:rsidR="00BD0C50" w:rsidRPr="00AD6F78">
      <w:rPr>
        <w:color w:val="D9D9D9" w:themeColor="background1" w:themeShade="D9"/>
      </w:rPr>
      <w:fldChar w:fldCharType="separate"/>
    </w:r>
    <w:r w:rsidR="004A7D1E" w:rsidRPr="00AD6F78">
      <w:rPr>
        <w:noProof/>
        <w:color w:val="D9D9D9" w:themeColor="background1" w:themeShade="D9"/>
      </w:rPr>
      <w:t>21.04.17</w:t>
    </w:r>
    <w:r w:rsidR="00BD0C50" w:rsidRPr="00AD6F7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24393C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4A7D1E">
      <w:rPr>
        <w:rFonts w:cs="Calibri"/>
        <w:noProof/>
        <w:vanish/>
        <w:lang w:val="fr-FR"/>
      </w:rPr>
      <w:t>P:\ARA\SG\CONSEIL\C17\000\038A.docx</w:t>
    </w:r>
    <w:r w:rsidRPr="00C66157">
      <w:rPr>
        <w:rFonts w:cs="Calibri"/>
        <w:vanish/>
      </w:rPr>
      <w:fldChar w:fldCharType="end"/>
    </w:r>
    <w:r w:rsidRPr="0024393C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 w:rsidR="0024393C">
      <w:rPr>
        <w:rFonts w:cs="Calibri"/>
        <w:vanish/>
        <w:lang w:val="fr-FR"/>
      </w:rPr>
      <w:t>409488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08632E">
      <w:rPr>
        <w:rFonts w:cs="Calibri"/>
        <w:noProof/>
        <w:vanish/>
        <w:lang w:val="fr-FR"/>
      </w:rPr>
      <w:t>25.04.17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4A7D1E">
      <w:rPr>
        <w:rFonts w:cs="Calibri"/>
        <w:noProof/>
        <w:vanish/>
        <w:lang w:val="fr-FR"/>
      </w:rPr>
      <w:t>21.04.17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8E" w:rsidRDefault="00E30B8E" w:rsidP="00E07379">
      <w:pPr>
        <w:spacing w:before="0" w:line="240" w:lineRule="auto"/>
      </w:pPr>
      <w:r>
        <w:separator/>
      </w:r>
    </w:p>
  </w:footnote>
  <w:footnote w:type="continuationSeparator" w:id="0">
    <w:p w:rsidR="00E30B8E" w:rsidRDefault="00E30B8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30B8E" w:rsidP="00C87D4A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08632E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24393C">
          <w:rPr>
            <w:rFonts w:eastAsiaTheme="minorEastAsia" w:cs="Calibri"/>
            <w:noProof/>
            <w:sz w:val="20"/>
            <w:szCs w:val="20"/>
            <w:lang w:eastAsia="zh-CN"/>
          </w:rPr>
          <w:t>38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1E"/>
    <w:rsid w:val="000124CC"/>
    <w:rsid w:val="00041F8B"/>
    <w:rsid w:val="00046444"/>
    <w:rsid w:val="0006023B"/>
    <w:rsid w:val="0008632E"/>
    <w:rsid w:val="0008638B"/>
    <w:rsid w:val="00090574"/>
    <w:rsid w:val="00092FC2"/>
    <w:rsid w:val="000A1677"/>
    <w:rsid w:val="000B3E25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5078"/>
    <w:rsid w:val="00125E57"/>
    <w:rsid w:val="00173915"/>
    <w:rsid w:val="001A0615"/>
    <w:rsid w:val="0022345D"/>
    <w:rsid w:val="00225854"/>
    <w:rsid w:val="0023283D"/>
    <w:rsid w:val="00236013"/>
    <w:rsid w:val="0024393C"/>
    <w:rsid w:val="00252E0C"/>
    <w:rsid w:val="00276881"/>
    <w:rsid w:val="002916BE"/>
    <w:rsid w:val="0029577E"/>
    <w:rsid w:val="002978F4"/>
    <w:rsid w:val="002A5916"/>
    <w:rsid w:val="002B028D"/>
    <w:rsid w:val="002B435E"/>
    <w:rsid w:val="002C4DAE"/>
    <w:rsid w:val="002D6669"/>
    <w:rsid w:val="002E6541"/>
    <w:rsid w:val="002E73C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686F"/>
    <w:rsid w:val="004367CE"/>
    <w:rsid w:val="00443869"/>
    <w:rsid w:val="00471237"/>
    <w:rsid w:val="004712C6"/>
    <w:rsid w:val="00497703"/>
    <w:rsid w:val="004A7D1E"/>
    <w:rsid w:val="004F0F06"/>
    <w:rsid w:val="00501E0E"/>
    <w:rsid w:val="00502CB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D7A7F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3918"/>
    <w:rsid w:val="006C1556"/>
    <w:rsid w:val="006F267F"/>
    <w:rsid w:val="006F63F7"/>
    <w:rsid w:val="006F6F03"/>
    <w:rsid w:val="00706D7A"/>
    <w:rsid w:val="00723111"/>
    <w:rsid w:val="00726AEC"/>
    <w:rsid w:val="007530CA"/>
    <w:rsid w:val="0076483A"/>
    <w:rsid w:val="00764A00"/>
    <w:rsid w:val="0079553D"/>
    <w:rsid w:val="007B01CC"/>
    <w:rsid w:val="007D4F32"/>
    <w:rsid w:val="007E7C6C"/>
    <w:rsid w:val="007F30AB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10C"/>
    <w:rsid w:val="00874D9C"/>
    <w:rsid w:val="0089524C"/>
    <w:rsid w:val="008A1810"/>
    <w:rsid w:val="008B5B5D"/>
    <w:rsid w:val="00914C6F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9F1D89"/>
    <w:rsid w:val="00A124CB"/>
    <w:rsid w:val="00A2167A"/>
    <w:rsid w:val="00A25A43"/>
    <w:rsid w:val="00A3295B"/>
    <w:rsid w:val="00A4011E"/>
    <w:rsid w:val="00A42AE5"/>
    <w:rsid w:val="00A52B61"/>
    <w:rsid w:val="00A57E4B"/>
    <w:rsid w:val="00A64820"/>
    <w:rsid w:val="00A71DD6"/>
    <w:rsid w:val="00A723C7"/>
    <w:rsid w:val="00A7354D"/>
    <w:rsid w:val="00A80E11"/>
    <w:rsid w:val="00A97F94"/>
    <w:rsid w:val="00AB00D0"/>
    <w:rsid w:val="00AB1309"/>
    <w:rsid w:val="00AC2C52"/>
    <w:rsid w:val="00AD1503"/>
    <w:rsid w:val="00AD21AA"/>
    <w:rsid w:val="00AD6F78"/>
    <w:rsid w:val="00AE7244"/>
    <w:rsid w:val="00AF3FEE"/>
    <w:rsid w:val="00B02F46"/>
    <w:rsid w:val="00B2000C"/>
    <w:rsid w:val="00B20ADE"/>
    <w:rsid w:val="00B23C4B"/>
    <w:rsid w:val="00B54B3E"/>
    <w:rsid w:val="00B66B9A"/>
    <w:rsid w:val="00B82089"/>
    <w:rsid w:val="00B970AE"/>
    <w:rsid w:val="00BA1427"/>
    <w:rsid w:val="00BC24C5"/>
    <w:rsid w:val="00BD0C50"/>
    <w:rsid w:val="00BE49D0"/>
    <w:rsid w:val="00BF2C38"/>
    <w:rsid w:val="00C23331"/>
    <w:rsid w:val="00C265DA"/>
    <w:rsid w:val="00C2675C"/>
    <w:rsid w:val="00C32B91"/>
    <w:rsid w:val="00C442F2"/>
    <w:rsid w:val="00C5012D"/>
    <w:rsid w:val="00C674FE"/>
    <w:rsid w:val="00C7297D"/>
    <w:rsid w:val="00C750D3"/>
    <w:rsid w:val="00C75633"/>
    <w:rsid w:val="00C8242E"/>
    <w:rsid w:val="00C82615"/>
    <w:rsid w:val="00C867DB"/>
    <w:rsid w:val="00C87D4A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341"/>
    <w:rsid w:val="00D21C89"/>
    <w:rsid w:val="00D45542"/>
    <w:rsid w:val="00D77D0F"/>
    <w:rsid w:val="00D837AE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0B8E"/>
    <w:rsid w:val="00E32189"/>
    <w:rsid w:val="00E42396"/>
    <w:rsid w:val="00E45211"/>
    <w:rsid w:val="00E54646"/>
    <w:rsid w:val="00E7380C"/>
    <w:rsid w:val="00E74BE7"/>
    <w:rsid w:val="00E808D8"/>
    <w:rsid w:val="00E86CC9"/>
    <w:rsid w:val="00E96624"/>
    <w:rsid w:val="00EE18EB"/>
    <w:rsid w:val="00F126F1"/>
    <w:rsid w:val="00F2106A"/>
    <w:rsid w:val="00F252DF"/>
    <w:rsid w:val="00F36D8B"/>
    <w:rsid w:val="00F401D0"/>
    <w:rsid w:val="00F4079C"/>
    <w:rsid w:val="00F45F2B"/>
    <w:rsid w:val="00F57AE4"/>
    <w:rsid w:val="00F67150"/>
    <w:rsid w:val="00F84366"/>
    <w:rsid w:val="00F85089"/>
    <w:rsid w:val="00F85564"/>
    <w:rsid w:val="00F867C2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5526F-E8C8-406F-8811-4D1503E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A4011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A4011E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table" w:customStyle="1" w:styleId="TableGrid1">
    <w:name w:val="Table Grid1"/>
    <w:basedOn w:val="TableNormal"/>
    <w:next w:val="TableGrid"/>
    <w:rsid w:val="00A4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6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INF-0019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6-CL-C-0038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Conferences/TDAG/Pages/Terms-of-reference-for-IST.asp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5-CL-C-003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5E9F7-9546-4ED2-9516-ACBBDD11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Resolution 191 (Busan, 2014) "Strategy for the coordination of efforts among the three Sectors of the Union"</vt:lpstr>
    </vt:vector>
  </TitlesOfParts>
  <Company>International Telecommunication Union (ITU)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(Busan, 2014) "Strategy for the coordination of efforts among the three Sectors of the Union"</dc:title>
  <dc:subject>Council 2017</dc:subject>
  <dc:creator>Elbahnassawy, Ganat</dc:creator>
  <cp:keywords>C2017, C17</cp:keywords>
  <dc:description/>
  <cp:lastModifiedBy>Janin</cp:lastModifiedBy>
  <cp:revision>3</cp:revision>
  <cp:lastPrinted>2017-04-21T14:53:00Z</cp:lastPrinted>
  <dcterms:created xsi:type="dcterms:W3CDTF">2017-04-25T09:36:00Z</dcterms:created>
  <dcterms:modified xsi:type="dcterms:W3CDTF">2017-04-26T11:34:00Z</dcterms:modified>
  <cp:category>Conference document</cp:category>
</cp:coreProperties>
</file>