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B40968">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B40968">
              <w:rPr>
                <w:rFonts w:cs="Arial"/>
                <w:b/>
                <w:bCs/>
                <w:sz w:val="26"/>
                <w:szCs w:val="26"/>
                <w:lang w:val="en-US" w:eastAsia="zh-CN"/>
              </w:rPr>
              <w:t>7</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B40968">
              <w:rPr>
                <w:b/>
                <w:bCs/>
                <w:color w:val="000000"/>
                <w:lang w:eastAsia="zh-CN"/>
              </w:rPr>
              <w:t>7</w:t>
            </w:r>
            <w:r w:rsidR="009625D8" w:rsidRPr="009625D8">
              <w:rPr>
                <w:rFonts w:ascii="SimSun" w:hAnsi="SimSun" w:hint="eastAsia"/>
                <w:b/>
                <w:bCs/>
                <w:color w:val="000000"/>
                <w:lang w:eastAsia="zh-CN"/>
              </w:rPr>
              <w:t>年</w:t>
            </w:r>
            <w:r w:rsidR="009625D8" w:rsidRPr="009625D8">
              <w:rPr>
                <w:b/>
                <w:bCs/>
                <w:color w:val="000000"/>
                <w:lang w:eastAsia="zh-CN"/>
              </w:rPr>
              <w:t>5</w:t>
            </w:r>
            <w:r w:rsidR="009625D8" w:rsidRPr="009625D8">
              <w:rPr>
                <w:rFonts w:ascii="SimSun" w:hAnsi="SimSun" w:hint="eastAsia"/>
                <w:b/>
                <w:bCs/>
                <w:color w:val="000000"/>
                <w:lang w:eastAsia="zh-CN"/>
              </w:rPr>
              <w:t>月</w:t>
            </w:r>
            <w:r w:rsidR="00B40968">
              <w:rPr>
                <w:b/>
                <w:bCs/>
                <w:color w:val="000000"/>
                <w:lang w:eastAsia="zh-CN"/>
              </w:rPr>
              <w:t>1</w:t>
            </w:r>
            <w:r w:rsidR="0098459B">
              <w:rPr>
                <w:rFonts w:hint="eastAsia"/>
                <w:b/>
                <w:bCs/>
                <w:color w:val="000000"/>
                <w:lang w:eastAsia="zh-CN"/>
              </w:rPr>
              <w:t>5</w:t>
            </w:r>
            <w:r w:rsidR="0098459B">
              <w:rPr>
                <w:rFonts w:hint="eastAsia"/>
                <w:b/>
                <w:bCs/>
                <w:color w:val="000000"/>
                <w:lang w:eastAsia="zh-CN"/>
              </w:rPr>
              <w:t>日</w:t>
            </w:r>
            <w:r w:rsidR="0098459B" w:rsidRPr="009625D8">
              <w:rPr>
                <w:b/>
                <w:bCs/>
                <w:color w:val="000000"/>
                <w:lang w:eastAsia="zh-CN"/>
              </w:rPr>
              <w:t>-</w:t>
            </w:r>
            <w:r w:rsidR="00B40968">
              <w:rPr>
                <w:b/>
                <w:bCs/>
                <w:color w:val="000000"/>
                <w:lang w:eastAsia="zh-CN"/>
              </w:rPr>
              <w:t>25</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B40968">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EE3E30">
              <w:rPr>
                <w:b/>
              </w:rPr>
              <w:t>1</w:t>
            </w:r>
            <w:r w:rsidR="00B40A53">
              <w:rPr>
                <w:b/>
              </w:rPr>
              <w:t>.</w:t>
            </w:r>
            <w:r w:rsidR="00EE3E30">
              <w:rPr>
                <w:b/>
              </w:rPr>
              <w:t>1</w:t>
            </w:r>
            <w:r w:rsidR="00B40968">
              <w:rPr>
                <w:b/>
                <w:lang w:eastAsia="zh-CN"/>
              </w:rPr>
              <w:t>5</w:t>
            </w:r>
          </w:p>
        </w:tc>
        <w:tc>
          <w:tcPr>
            <w:tcW w:w="3120" w:type="dxa"/>
          </w:tcPr>
          <w:p w:rsidR="00700D1F" w:rsidRPr="00700D1F" w:rsidRDefault="00700D1F" w:rsidP="00B40968">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B40968">
              <w:rPr>
                <w:b/>
                <w:bCs/>
                <w:szCs w:val="24"/>
                <w:lang w:eastAsia="zh-CN"/>
              </w:rPr>
              <w:t>7</w:t>
            </w:r>
            <w:r w:rsidRPr="00FC5386">
              <w:rPr>
                <w:b/>
                <w:bCs/>
                <w:szCs w:val="24"/>
                <w:lang w:eastAsia="zh-CN"/>
              </w:rPr>
              <w:t>/</w:t>
            </w:r>
            <w:r w:rsidR="00B40A53">
              <w:rPr>
                <w:rFonts w:hint="eastAsia"/>
                <w:b/>
                <w:bCs/>
                <w:szCs w:val="24"/>
                <w:lang w:eastAsia="zh-CN"/>
              </w:rPr>
              <w:t>3</w:t>
            </w:r>
            <w:r w:rsidR="00EE3E30">
              <w:rPr>
                <w:b/>
                <w:bCs/>
                <w:szCs w:val="24"/>
                <w:lang w:eastAsia="zh-CN"/>
              </w:rPr>
              <w:t>6</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B40968">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B40968">
              <w:rPr>
                <w:b/>
                <w:bCs/>
                <w:szCs w:val="24"/>
                <w:lang w:eastAsia="zh-CN"/>
              </w:rPr>
              <w:t>7</w:t>
            </w:r>
            <w:r w:rsidRPr="00FC5386">
              <w:rPr>
                <w:rFonts w:hint="eastAsia"/>
                <w:b/>
                <w:bCs/>
                <w:szCs w:val="24"/>
                <w:lang w:eastAsia="zh-CN"/>
              </w:rPr>
              <w:t>年</w:t>
            </w:r>
            <w:r w:rsidR="00EE3E30">
              <w:rPr>
                <w:rFonts w:asciiTheme="minorHAnsi" w:hAnsiTheme="minorHAnsi" w:cstheme="minorHAnsi"/>
                <w:b/>
                <w:bCs/>
                <w:szCs w:val="24"/>
                <w:lang w:eastAsia="zh-CN"/>
              </w:rPr>
              <w:t>3</w:t>
            </w:r>
            <w:r w:rsidRPr="00FC5386">
              <w:rPr>
                <w:rFonts w:hint="eastAsia"/>
                <w:b/>
                <w:bCs/>
                <w:szCs w:val="24"/>
                <w:lang w:eastAsia="zh-CN"/>
              </w:rPr>
              <w:t>月</w:t>
            </w:r>
            <w:r w:rsidR="00B40968">
              <w:rPr>
                <w:rFonts w:asciiTheme="minorHAnsi" w:hAnsiTheme="minorHAnsi" w:cstheme="minorHAnsi"/>
                <w:b/>
                <w:bCs/>
                <w:szCs w:val="24"/>
                <w:lang w:eastAsia="zh-CN"/>
              </w:rPr>
              <w:t>14</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r w:rsidR="00D9259C">
              <w:rPr>
                <w:rFonts w:hint="eastAsia"/>
                <w:b/>
                <w:bCs/>
                <w:szCs w:val="24"/>
                <w:lang w:eastAsia="zh-CN"/>
              </w:rPr>
              <w:t>/</w:t>
            </w:r>
            <w:r w:rsidR="00D9259C">
              <w:rPr>
                <w:rFonts w:hint="eastAsia"/>
                <w:b/>
                <w:bCs/>
                <w:szCs w:val="24"/>
                <w:lang w:eastAsia="zh-CN"/>
              </w:rPr>
              <w:t>法文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EE3E30" w:rsidP="00D9259C">
            <w:pPr>
              <w:pStyle w:val="Title1"/>
              <w:rPr>
                <w:bCs/>
                <w:lang w:eastAsia="zh-CN"/>
              </w:rPr>
            </w:pPr>
            <w:r w:rsidRPr="007D7E89">
              <w:rPr>
                <w:rFonts w:asciiTheme="minorHAnsi" w:hAnsiTheme="minorHAnsi"/>
                <w:lang w:eastAsia="zh-CN"/>
              </w:rPr>
              <w:t>国际电联按照《空间议定书》</w:t>
            </w:r>
            <w:r w:rsidRPr="007D7E89">
              <w:rPr>
                <w:rFonts w:asciiTheme="minorHAnsi" w:hAnsiTheme="minorHAnsi"/>
                <w:lang w:eastAsia="zh-CN"/>
              </w:rPr>
              <w:br/>
            </w:r>
            <w:r w:rsidRPr="007D7E89">
              <w:rPr>
                <w:rFonts w:asciiTheme="minorHAnsi" w:hAnsiTheme="minorHAnsi"/>
                <w:lang w:eastAsia="zh-CN"/>
              </w:rPr>
              <w:t>担任空间资产国际登记系统的监督机构</w:t>
            </w:r>
          </w:p>
        </w:tc>
      </w:tr>
    </w:tbl>
    <w:p w:rsidR="00EE3E30" w:rsidRPr="00D9259C" w:rsidRDefault="00EE3E30" w:rsidP="00EE3E30">
      <w:pPr>
        <w:spacing w:after="240"/>
        <w:textAlignment w:val="auto"/>
        <w:rPr>
          <w:rFonts w:asciiTheme="minorHAnsi" w:hAnsiTheme="minorHAnsi"/>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0"/>
      </w:tblGrid>
      <w:tr w:rsidR="00EE3E30" w:rsidRPr="007D7E89" w:rsidTr="004040F3">
        <w:trPr>
          <w:trHeight w:val="3372"/>
        </w:trPr>
        <w:tc>
          <w:tcPr>
            <w:tcW w:w="8080" w:type="dxa"/>
            <w:tcBorders>
              <w:top w:val="single" w:sz="12" w:space="0" w:color="auto"/>
              <w:left w:val="single" w:sz="12" w:space="0" w:color="auto"/>
              <w:bottom w:val="single" w:sz="12" w:space="0" w:color="auto"/>
              <w:right w:val="single" w:sz="12" w:space="0" w:color="auto"/>
            </w:tcBorders>
          </w:tcPr>
          <w:p w:rsidR="00EE3E30" w:rsidRPr="007D7E89" w:rsidRDefault="00EE3E30" w:rsidP="004040F3">
            <w:pPr>
              <w:pStyle w:val="toc0"/>
              <w:tabs>
                <w:tab w:val="left" w:pos="1191"/>
                <w:tab w:val="left" w:pos="1588"/>
                <w:tab w:val="left" w:pos="1985"/>
              </w:tabs>
              <w:spacing w:before="240"/>
              <w:rPr>
                <w:rFonts w:asciiTheme="minorHAnsi" w:hAnsiTheme="minorHAnsi" w:cstheme="minorBidi"/>
                <w:b w:val="0"/>
                <w:szCs w:val="24"/>
                <w:lang w:val="en-US" w:eastAsia="zh-CN"/>
              </w:rPr>
            </w:pPr>
            <w:r w:rsidRPr="007D7E89">
              <w:rPr>
                <w:rFonts w:asciiTheme="minorHAnsi" w:hAnsiTheme="minorHAnsi"/>
                <w:bCs/>
                <w:szCs w:val="22"/>
                <w:lang w:val="fr-FR" w:eastAsia="zh-CN"/>
              </w:rPr>
              <w:t>概</w:t>
            </w:r>
            <w:r w:rsidRPr="007D7E89">
              <w:rPr>
                <w:rFonts w:asciiTheme="minorHAnsi" w:hAnsiTheme="minorHAnsi"/>
                <w:bCs/>
                <w:szCs w:val="22"/>
                <w:lang w:eastAsia="zh-CN"/>
              </w:rPr>
              <w:t>要</w:t>
            </w:r>
          </w:p>
          <w:p w:rsidR="00EE3E30" w:rsidRPr="007D7E89" w:rsidRDefault="00EE3E30" w:rsidP="00D9259C">
            <w:pPr>
              <w:ind w:firstLineChars="200" w:firstLine="480"/>
              <w:rPr>
                <w:rFonts w:asciiTheme="minorHAnsi" w:hAnsiTheme="minorHAnsi"/>
                <w:szCs w:val="22"/>
                <w:lang w:val="fr-FR" w:eastAsia="zh-CN"/>
              </w:rPr>
            </w:pPr>
            <w:r w:rsidRPr="007D7E89">
              <w:rPr>
                <w:rFonts w:asciiTheme="minorHAnsi" w:hAnsiTheme="minorHAnsi"/>
                <w:szCs w:val="24"/>
                <w:lang w:val="fr-FR" w:eastAsia="zh-CN"/>
              </w:rPr>
              <w:t>本文件是对理事会</w:t>
            </w:r>
            <w:r w:rsidRPr="007D7E89">
              <w:rPr>
                <w:rFonts w:asciiTheme="minorHAnsi" w:hAnsiTheme="minorHAnsi"/>
                <w:szCs w:val="24"/>
                <w:lang w:val="fr-FR" w:eastAsia="zh-CN"/>
              </w:rPr>
              <w:t>201</w:t>
            </w:r>
            <w:r w:rsidR="00B40968">
              <w:rPr>
                <w:rFonts w:asciiTheme="minorHAnsi" w:hAnsiTheme="minorHAnsi"/>
                <w:szCs w:val="24"/>
                <w:lang w:val="fr-FR" w:eastAsia="zh-CN"/>
              </w:rPr>
              <w:t>6</w:t>
            </w:r>
            <w:r w:rsidRPr="007D7E89">
              <w:rPr>
                <w:rFonts w:asciiTheme="minorHAnsi" w:hAnsiTheme="minorHAnsi"/>
                <w:szCs w:val="24"/>
                <w:lang w:val="fr-FR" w:eastAsia="zh-CN"/>
              </w:rPr>
              <w:t>年会议有关国际电联根据《空间议定书》</w:t>
            </w:r>
            <w:r w:rsidR="00454727" w:rsidRPr="007D7E89">
              <w:rPr>
                <w:rFonts w:asciiTheme="minorHAnsi" w:hAnsiTheme="minorHAnsi"/>
                <w:lang w:eastAsia="zh-CN"/>
              </w:rPr>
              <w:t>可能</w:t>
            </w:r>
            <w:r w:rsidRPr="007D7E89">
              <w:rPr>
                <w:rFonts w:asciiTheme="minorHAnsi" w:hAnsiTheme="minorHAnsi"/>
                <w:szCs w:val="24"/>
                <w:lang w:val="fr-FR" w:eastAsia="zh-CN"/>
              </w:rPr>
              <w:t>担任</w:t>
            </w:r>
            <w:r w:rsidRPr="007D7E89">
              <w:rPr>
                <w:rFonts w:asciiTheme="minorHAnsi" w:hAnsiTheme="minorHAnsi"/>
                <w:lang w:eastAsia="zh-CN"/>
              </w:rPr>
              <w:t>空间资产登记系统监督机构</w:t>
            </w:r>
            <w:r>
              <w:rPr>
                <w:rFonts w:asciiTheme="minorHAnsi" w:hAnsiTheme="minorHAnsi" w:hint="eastAsia"/>
                <w:lang w:val="en-US" w:eastAsia="zh-CN"/>
              </w:rPr>
              <w:t>的相关</w:t>
            </w:r>
            <w:r w:rsidRPr="007D7E89">
              <w:rPr>
                <w:rFonts w:asciiTheme="minorHAnsi" w:hAnsiTheme="minorHAnsi"/>
                <w:lang w:eastAsia="zh-CN"/>
              </w:rPr>
              <w:t>讨论</w:t>
            </w:r>
            <w:r>
              <w:rPr>
                <w:rFonts w:asciiTheme="minorHAnsi" w:hAnsiTheme="minorHAnsi" w:hint="eastAsia"/>
                <w:lang w:eastAsia="zh-CN"/>
              </w:rPr>
              <w:t>的跟进</w:t>
            </w:r>
            <w:r w:rsidRPr="007D7E89">
              <w:rPr>
                <w:rFonts w:asciiTheme="minorHAnsi" w:hAnsiTheme="minorHAnsi"/>
                <w:lang w:eastAsia="zh-CN"/>
              </w:rPr>
              <w:t>，并介绍</w:t>
            </w:r>
            <w:r>
              <w:rPr>
                <w:rFonts w:asciiTheme="minorHAnsi" w:hAnsiTheme="minorHAnsi" w:hint="eastAsia"/>
                <w:lang w:eastAsia="zh-CN"/>
              </w:rPr>
              <w:t>了</w:t>
            </w:r>
            <w:r w:rsidRPr="007D7E89">
              <w:rPr>
                <w:rFonts w:asciiTheme="minorHAnsi" w:hAnsiTheme="minorHAnsi"/>
                <w:lang w:eastAsia="zh-CN"/>
              </w:rPr>
              <w:t>筹备委员会的</w:t>
            </w:r>
            <w:r w:rsidR="00D9259C">
              <w:rPr>
                <w:rFonts w:asciiTheme="minorHAnsi" w:hAnsiTheme="minorHAnsi" w:hint="eastAsia"/>
                <w:lang w:eastAsia="zh-CN"/>
              </w:rPr>
              <w:t>工作</w:t>
            </w:r>
            <w:r w:rsidR="00454727">
              <w:rPr>
                <w:rFonts w:asciiTheme="minorHAnsi" w:hAnsiTheme="minorHAnsi" w:hint="eastAsia"/>
                <w:lang w:eastAsia="zh-CN"/>
              </w:rPr>
              <w:t>现状报告</w:t>
            </w:r>
            <w:r w:rsidRPr="007D7E89">
              <w:rPr>
                <w:rFonts w:asciiTheme="minorHAnsi" w:hAnsiTheme="minorHAnsi"/>
                <w:lang w:eastAsia="zh-CN"/>
              </w:rPr>
              <w:t>。</w:t>
            </w:r>
          </w:p>
          <w:p w:rsidR="00EE3E30" w:rsidRPr="007D7E89" w:rsidRDefault="00EE3E30" w:rsidP="004040F3">
            <w:pPr>
              <w:overflowPunct/>
              <w:autoSpaceDE/>
              <w:autoSpaceDN/>
              <w:adjustRightInd/>
              <w:snapToGrid w:val="0"/>
              <w:spacing w:after="120"/>
              <w:jc w:val="both"/>
              <w:textAlignment w:val="auto"/>
              <w:rPr>
                <w:rFonts w:asciiTheme="minorHAnsi" w:hAnsiTheme="minorHAnsi" w:cstheme="minorHAnsi"/>
                <w:szCs w:val="24"/>
                <w:lang w:val="fr-FR" w:eastAsia="zh-CN"/>
              </w:rPr>
            </w:pPr>
          </w:p>
          <w:p w:rsidR="00EE3E30" w:rsidRPr="007D7E89" w:rsidRDefault="00EE3E30" w:rsidP="004040F3">
            <w:pPr>
              <w:pStyle w:val="Index1"/>
              <w:spacing w:before="0"/>
              <w:rPr>
                <w:rFonts w:asciiTheme="minorHAnsi" w:hAnsiTheme="minorHAnsi"/>
                <w:b/>
                <w:bCs/>
                <w:szCs w:val="22"/>
                <w:lang w:val="fr-FR" w:eastAsia="zh-CN"/>
              </w:rPr>
            </w:pPr>
            <w:r w:rsidRPr="007D7E89">
              <w:rPr>
                <w:rFonts w:asciiTheme="minorHAnsi" w:hAnsiTheme="minorHAnsi"/>
                <w:b/>
                <w:bCs/>
                <w:szCs w:val="22"/>
                <w:lang w:eastAsia="zh-CN"/>
              </w:rPr>
              <w:t>需采取的行动</w:t>
            </w:r>
          </w:p>
          <w:p w:rsidR="00EE3E30" w:rsidRPr="007D7E89" w:rsidRDefault="00EE3E30" w:rsidP="007E7E60">
            <w:pPr>
              <w:ind w:firstLineChars="200" w:firstLine="480"/>
              <w:rPr>
                <w:rFonts w:asciiTheme="minorHAnsi" w:hAnsiTheme="minorHAnsi"/>
                <w:lang w:eastAsia="zh-CN"/>
              </w:rPr>
            </w:pPr>
            <w:r w:rsidRPr="007E7E60">
              <w:rPr>
                <w:rFonts w:asciiTheme="minorHAnsi" w:hAnsiTheme="minorHAnsi"/>
                <w:lang w:eastAsia="zh-CN"/>
              </w:rPr>
              <w:t>请</w:t>
            </w:r>
            <w:r w:rsidRPr="007D7E89">
              <w:rPr>
                <w:rFonts w:asciiTheme="minorHAnsi" w:hAnsiTheme="minorHAnsi"/>
                <w:lang w:eastAsia="zh-CN"/>
              </w:rPr>
              <w:t>理事会</w:t>
            </w:r>
            <w:r w:rsidRPr="007E7E60">
              <w:rPr>
                <w:rFonts w:asciiTheme="minorHAnsi" w:hAnsiTheme="minorHAnsi" w:hint="eastAsia"/>
                <w:b/>
                <w:bCs/>
                <w:lang w:eastAsia="zh-CN"/>
              </w:rPr>
              <w:t>批准</w:t>
            </w:r>
            <w:r>
              <w:rPr>
                <w:rFonts w:asciiTheme="minorHAnsi" w:hAnsiTheme="minorHAnsi" w:hint="eastAsia"/>
                <w:lang w:eastAsia="zh-CN"/>
              </w:rPr>
              <w:t>在《议定书》生效之时或之后，国际电联成为</w:t>
            </w:r>
            <w:r>
              <w:rPr>
                <w:rFonts w:asciiTheme="minorHAnsi" w:hAnsiTheme="minorHAnsi"/>
                <w:lang w:eastAsia="zh-CN"/>
              </w:rPr>
              <w:t>监督机构</w:t>
            </w:r>
            <w:r>
              <w:rPr>
                <w:rFonts w:asciiTheme="minorHAnsi" w:hAnsiTheme="minorHAnsi" w:hint="eastAsia"/>
                <w:lang w:eastAsia="zh-CN"/>
              </w:rPr>
              <w:t>一事，</w:t>
            </w:r>
            <w:r w:rsidR="007E7E60">
              <w:rPr>
                <w:rFonts w:asciiTheme="minorHAnsi" w:hAnsiTheme="minorHAnsi" w:hint="eastAsia"/>
                <w:lang w:eastAsia="zh-CN"/>
              </w:rPr>
              <w:t>并向下一届全权代表大会</w:t>
            </w:r>
            <w:r w:rsidR="00D9259C">
              <w:rPr>
                <w:rFonts w:asciiTheme="minorHAnsi" w:hAnsiTheme="minorHAnsi" w:hint="eastAsia"/>
                <w:lang w:eastAsia="zh-CN"/>
              </w:rPr>
              <w:t>（</w:t>
            </w:r>
            <w:r w:rsidR="00D9259C">
              <w:rPr>
                <w:rFonts w:asciiTheme="minorHAnsi" w:hAnsiTheme="minorHAnsi" w:hint="eastAsia"/>
                <w:lang w:eastAsia="zh-CN"/>
              </w:rPr>
              <w:t>PP-18</w:t>
            </w:r>
            <w:r w:rsidR="00D9259C">
              <w:rPr>
                <w:rFonts w:asciiTheme="minorHAnsi" w:hAnsiTheme="minorHAnsi" w:hint="eastAsia"/>
                <w:lang w:eastAsia="zh-CN"/>
              </w:rPr>
              <w:t>）</w:t>
            </w:r>
            <w:r w:rsidR="007E7E60">
              <w:rPr>
                <w:rFonts w:asciiTheme="minorHAnsi" w:hAnsiTheme="minorHAnsi" w:hint="eastAsia"/>
                <w:lang w:eastAsia="zh-CN"/>
              </w:rPr>
              <w:t>建议采取这一做法，</w:t>
            </w:r>
            <w:r>
              <w:rPr>
                <w:rFonts w:asciiTheme="minorHAnsi" w:hAnsiTheme="minorHAnsi" w:hint="eastAsia"/>
                <w:lang w:eastAsia="zh-CN"/>
              </w:rPr>
              <w:t>同时</w:t>
            </w:r>
            <w:r w:rsidR="007E7E60">
              <w:rPr>
                <w:rFonts w:asciiTheme="minorHAnsi" w:hAnsiTheme="minorHAnsi" w:hint="eastAsia"/>
                <w:lang w:eastAsia="zh-CN"/>
              </w:rPr>
              <w:t>注意到</w:t>
            </w:r>
            <w:r>
              <w:rPr>
                <w:rFonts w:asciiTheme="minorHAnsi" w:hAnsiTheme="minorHAnsi" w:hint="eastAsia"/>
                <w:lang w:eastAsia="zh-CN"/>
              </w:rPr>
              <w:t>将在下一届全权代表大会上就</w:t>
            </w:r>
            <w:r w:rsidRPr="007D7E89">
              <w:rPr>
                <w:rFonts w:asciiTheme="minorHAnsi" w:hAnsiTheme="minorHAnsi"/>
                <w:lang w:eastAsia="zh-CN"/>
              </w:rPr>
              <w:t>国际电联是否可以担任监督机构</w:t>
            </w:r>
            <w:r>
              <w:rPr>
                <w:rFonts w:asciiTheme="minorHAnsi" w:hAnsiTheme="minorHAnsi" w:hint="eastAsia"/>
                <w:lang w:eastAsia="zh-CN"/>
              </w:rPr>
              <w:t>一事做出最终的决定</w:t>
            </w:r>
            <w:r w:rsidRPr="007D7E89">
              <w:rPr>
                <w:rFonts w:asciiTheme="minorHAnsi" w:hAnsiTheme="minorHAnsi"/>
                <w:lang w:eastAsia="zh-CN"/>
              </w:rPr>
              <w:t>。</w:t>
            </w:r>
          </w:p>
          <w:p w:rsidR="00EE3E30" w:rsidRPr="007D7E89" w:rsidRDefault="00EE3E30" w:rsidP="004040F3">
            <w:pPr>
              <w:ind w:firstLineChars="200" w:firstLine="480"/>
              <w:rPr>
                <w:rFonts w:asciiTheme="minorHAnsi" w:hAnsiTheme="minorHAnsi"/>
                <w:lang w:eastAsia="zh-CN"/>
              </w:rPr>
            </w:pPr>
            <w:r w:rsidRPr="007D7E89">
              <w:rPr>
                <w:rFonts w:asciiTheme="minorHAnsi" w:hAnsiTheme="minorHAnsi"/>
                <w:lang w:eastAsia="zh-CN"/>
              </w:rPr>
              <w:t>亦请理事会</w:t>
            </w:r>
            <w:r w:rsidRPr="007D7E89">
              <w:rPr>
                <w:rFonts w:asciiTheme="minorHAnsi" w:hAnsiTheme="minorHAnsi"/>
                <w:b/>
                <w:bCs/>
                <w:lang w:eastAsia="zh-CN"/>
              </w:rPr>
              <w:t>授权</w:t>
            </w:r>
            <w:r w:rsidRPr="007D7E89">
              <w:rPr>
                <w:rFonts w:asciiTheme="minorHAnsi" w:hAnsiTheme="minorHAnsi"/>
                <w:lang w:eastAsia="zh-CN"/>
              </w:rPr>
              <w:t>秘书长或其代表作为观察员继续参加筹备委员会及其工作组的工作。</w:t>
            </w:r>
          </w:p>
          <w:p w:rsidR="00EE3E30" w:rsidRPr="007D7E89" w:rsidRDefault="00EE3E30" w:rsidP="004040F3">
            <w:pPr>
              <w:overflowPunct/>
              <w:autoSpaceDE/>
              <w:autoSpaceDN/>
              <w:adjustRightInd/>
              <w:snapToGrid w:val="0"/>
              <w:spacing w:after="120"/>
              <w:jc w:val="center"/>
              <w:textAlignment w:val="auto"/>
              <w:rPr>
                <w:rFonts w:asciiTheme="minorHAnsi" w:hAnsiTheme="minorHAnsi" w:cstheme="minorHAnsi"/>
                <w:bCs/>
                <w:szCs w:val="24"/>
                <w:lang w:val="en-US" w:eastAsia="zh-CN"/>
              </w:rPr>
            </w:pPr>
            <w:r w:rsidRPr="007D7E89">
              <w:rPr>
                <w:rFonts w:asciiTheme="minorHAnsi" w:hAnsiTheme="minorHAnsi" w:cstheme="minorHAnsi"/>
                <w:bCs/>
                <w:szCs w:val="24"/>
                <w:lang w:val="en-US" w:eastAsia="zh-CN"/>
              </w:rPr>
              <w:t>________________</w:t>
            </w:r>
          </w:p>
          <w:p w:rsidR="00EE3E30" w:rsidRPr="006D2B18" w:rsidRDefault="00EE3E30" w:rsidP="004040F3">
            <w:pPr>
              <w:pStyle w:val="toc0"/>
              <w:tabs>
                <w:tab w:val="left" w:pos="1191"/>
                <w:tab w:val="left" w:pos="1588"/>
                <w:tab w:val="left" w:pos="1985"/>
              </w:tabs>
              <w:spacing w:before="0"/>
              <w:rPr>
                <w:rFonts w:asciiTheme="minorHAnsi" w:hAnsiTheme="minorHAnsi"/>
                <w:szCs w:val="22"/>
                <w:lang w:eastAsia="zh-CN"/>
              </w:rPr>
            </w:pPr>
            <w:r w:rsidRPr="007D7E89">
              <w:rPr>
                <w:rFonts w:asciiTheme="minorHAnsi" w:hAnsiTheme="minorHAnsi"/>
                <w:szCs w:val="22"/>
                <w:lang w:eastAsia="zh-CN"/>
              </w:rPr>
              <w:t>参考文件</w:t>
            </w:r>
          </w:p>
          <w:p w:rsidR="00EE3E30" w:rsidRPr="006D2B18" w:rsidRDefault="00C55B22" w:rsidP="00EE3E30">
            <w:pPr>
              <w:pStyle w:val="TOC1"/>
              <w:keepLines w:val="0"/>
              <w:spacing w:before="120"/>
              <w:ind w:left="0" w:firstLineChars="2" w:firstLine="5"/>
              <w:rPr>
                <w:rFonts w:asciiTheme="minorHAnsi" w:eastAsia="STKaiti" w:hAnsiTheme="minorHAnsi" w:cs="Calibri"/>
                <w:sz w:val="22"/>
                <w:lang w:eastAsia="zh-CN"/>
              </w:rPr>
            </w:pPr>
            <w:hyperlink r:id="rId9" w:history="1">
              <w:r w:rsidR="00EE3E30" w:rsidRPr="00A941D9">
                <w:rPr>
                  <w:rStyle w:val="Hyperlink"/>
                  <w:rFonts w:asciiTheme="minorHAnsi" w:eastAsia="STKaiti" w:hAnsiTheme="minorHAnsi"/>
                  <w:lang w:val="en-US"/>
                </w:rPr>
                <w:t>C11/26</w:t>
              </w:r>
            </w:hyperlink>
            <w:r w:rsidR="00EE3E30" w:rsidRPr="00A941D9">
              <w:rPr>
                <w:rFonts w:asciiTheme="minorHAnsi" w:eastAsia="STKaiti" w:hAnsiTheme="minorHAnsi"/>
                <w:lang w:val="en-US"/>
              </w:rPr>
              <w:t>、</w:t>
            </w:r>
            <w:hyperlink r:id="rId10" w:history="1">
              <w:r w:rsidR="00EE3E30" w:rsidRPr="00A941D9">
                <w:rPr>
                  <w:rStyle w:val="Hyperlink"/>
                  <w:rFonts w:asciiTheme="minorHAnsi" w:eastAsia="STKaiti" w:hAnsiTheme="minorHAnsi"/>
                  <w:lang w:val="en-US"/>
                </w:rPr>
                <w:t>C11/100(Rev.1)</w:t>
              </w:r>
            </w:hyperlink>
            <w:r w:rsidR="00EE3E30" w:rsidRPr="00A941D9">
              <w:rPr>
                <w:rFonts w:asciiTheme="minorHAnsi" w:eastAsia="STKaiti" w:hAnsiTheme="minorHAnsi"/>
                <w:lang w:val="en-US"/>
              </w:rPr>
              <w:t>、</w:t>
            </w:r>
            <w:hyperlink r:id="rId11" w:history="1">
              <w:r w:rsidR="00EE3E30" w:rsidRPr="00A941D9">
                <w:rPr>
                  <w:rStyle w:val="Hyperlink"/>
                  <w:rFonts w:asciiTheme="minorHAnsi" w:eastAsia="STKaiti" w:hAnsiTheme="minorHAnsi"/>
                  <w:lang w:val="en-US"/>
                </w:rPr>
                <w:t>C12/36</w:t>
              </w:r>
            </w:hyperlink>
            <w:r w:rsidR="00EE3E30" w:rsidRPr="00A941D9">
              <w:rPr>
                <w:rFonts w:asciiTheme="minorHAnsi" w:eastAsia="STKaiti" w:hAnsiTheme="minorHAnsi"/>
                <w:lang w:val="en-US"/>
              </w:rPr>
              <w:t>、</w:t>
            </w:r>
            <w:hyperlink r:id="rId12" w:history="1">
              <w:r w:rsidR="00EE3E30" w:rsidRPr="00A941D9">
                <w:rPr>
                  <w:rStyle w:val="Hyperlink"/>
                  <w:rFonts w:asciiTheme="minorHAnsi" w:eastAsia="STKaiti" w:hAnsiTheme="minorHAnsi"/>
                  <w:lang w:val="en-US"/>
                </w:rPr>
                <w:t>C12/94</w:t>
              </w:r>
            </w:hyperlink>
            <w:r w:rsidR="00EE3E30" w:rsidRPr="00A941D9">
              <w:rPr>
                <w:rFonts w:asciiTheme="minorHAnsi" w:eastAsia="STKaiti" w:hAnsiTheme="minorHAnsi"/>
                <w:lang w:val="en-US"/>
              </w:rPr>
              <w:t>、</w:t>
            </w:r>
            <w:hyperlink r:id="rId13" w:history="1">
              <w:r w:rsidR="00EE3E30" w:rsidRPr="00A941D9">
                <w:rPr>
                  <w:rStyle w:val="Hyperlink"/>
                  <w:rFonts w:asciiTheme="minorHAnsi" w:eastAsia="STKaiti" w:hAnsiTheme="minorHAnsi"/>
                  <w:lang w:val="en-US"/>
                </w:rPr>
                <w:t>C13/15</w:t>
              </w:r>
            </w:hyperlink>
            <w:r w:rsidR="00EE3E30" w:rsidRPr="00A941D9">
              <w:rPr>
                <w:rFonts w:asciiTheme="minorHAnsi" w:eastAsia="STKaiti" w:hAnsiTheme="minorHAnsi"/>
                <w:lang w:val="en-US"/>
              </w:rPr>
              <w:t>、</w:t>
            </w:r>
            <w:hyperlink r:id="rId14" w:history="1">
              <w:r w:rsidR="00EE3E30" w:rsidRPr="00A941D9">
                <w:rPr>
                  <w:rStyle w:val="Hyperlink"/>
                  <w:rFonts w:asciiTheme="minorHAnsi" w:eastAsia="STKaiti" w:hAnsiTheme="minorHAnsi"/>
                  <w:lang w:val="en-US"/>
                </w:rPr>
                <w:t>C13/19</w:t>
              </w:r>
            </w:hyperlink>
            <w:r w:rsidR="00EE3E30" w:rsidRPr="00A941D9">
              <w:rPr>
                <w:rFonts w:asciiTheme="minorHAnsi" w:eastAsia="STKaiti" w:hAnsiTheme="minorHAnsi"/>
                <w:lang w:val="en-US"/>
              </w:rPr>
              <w:t>、</w:t>
            </w:r>
            <w:hyperlink r:id="rId15" w:history="1">
              <w:r w:rsidR="00EE3E30" w:rsidRPr="00A941D9">
                <w:rPr>
                  <w:rStyle w:val="Hyperlink"/>
                  <w:rFonts w:asciiTheme="minorHAnsi" w:eastAsia="STKaiti" w:hAnsiTheme="minorHAnsi"/>
                  <w:lang w:val="en-US"/>
                </w:rPr>
                <w:t>C13/55</w:t>
              </w:r>
            </w:hyperlink>
            <w:r w:rsidR="00EE3E30" w:rsidRPr="00A941D9">
              <w:rPr>
                <w:rFonts w:asciiTheme="minorHAnsi" w:eastAsia="STKaiti" w:hAnsiTheme="minorHAnsi"/>
                <w:lang w:val="en-US"/>
              </w:rPr>
              <w:t>、</w:t>
            </w:r>
            <w:hyperlink r:id="rId16" w:history="1">
              <w:r w:rsidR="00EE3E30" w:rsidRPr="00A941D9">
                <w:rPr>
                  <w:rStyle w:val="Hyperlink"/>
                  <w:rFonts w:asciiTheme="minorHAnsi" w:eastAsia="STKaiti" w:hAnsiTheme="minorHAnsi"/>
                  <w:lang w:val="en-US"/>
                </w:rPr>
                <w:t>C13/107</w:t>
              </w:r>
            </w:hyperlink>
            <w:r w:rsidR="00EE3E30" w:rsidRPr="00A941D9">
              <w:rPr>
                <w:rFonts w:asciiTheme="minorHAnsi" w:eastAsia="STKaiti" w:hAnsiTheme="minorHAnsi"/>
                <w:lang w:val="en-US"/>
              </w:rPr>
              <w:t>、</w:t>
            </w:r>
            <w:hyperlink r:id="rId17" w:history="1">
              <w:r w:rsidR="00EE3E30" w:rsidRPr="00A941D9">
                <w:rPr>
                  <w:rStyle w:val="Hyperlink"/>
                  <w:rFonts w:asciiTheme="minorHAnsi" w:eastAsia="STKaiti" w:hAnsiTheme="minorHAnsi"/>
                  <w:lang w:val="en-US"/>
                </w:rPr>
                <w:t>C14/13</w:t>
              </w:r>
            </w:hyperlink>
            <w:r w:rsidR="00EE3E30" w:rsidRPr="00A941D9">
              <w:rPr>
                <w:rFonts w:asciiTheme="minorHAnsi" w:eastAsia="STKaiti" w:hAnsiTheme="minorHAnsi"/>
                <w:lang w:val="en-US"/>
              </w:rPr>
              <w:t>、</w:t>
            </w:r>
            <w:hyperlink r:id="rId18" w:history="1">
              <w:r w:rsidR="00EE3E30" w:rsidRPr="00A941D9">
                <w:rPr>
                  <w:rStyle w:val="Hyperlink"/>
                  <w:rFonts w:asciiTheme="minorHAnsi" w:eastAsia="STKaiti" w:hAnsiTheme="minorHAnsi"/>
                  <w:lang w:val="en-US"/>
                </w:rPr>
                <w:t>C14/INF/12</w:t>
              </w:r>
            </w:hyperlink>
            <w:r w:rsidR="00EE3E30" w:rsidRPr="00A941D9">
              <w:rPr>
                <w:rFonts w:asciiTheme="minorHAnsi" w:eastAsia="STKaiti" w:hAnsiTheme="minorHAnsi"/>
                <w:lang w:val="en-US"/>
              </w:rPr>
              <w:t>、</w:t>
            </w:r>
            <w:hyperlink r:id="rId19" w:history="1">
              <w:r w:rsidR="00EE3E30" w:rsidRPr="00A941D9">
                <w:rPr>
                  <w:rStyle w:val="Hyperlink"/>
                  <w:rFonts w:asciiTheme="minorHAnsi" w:eastAsia="STKaiti" w:hAnsiTheme="minorHAnsi"/>
                  <w:lang w:val="en-US"/>
                </w:rPr>
                <w:t>PP-14/62 + Add.1</w:t>
              </w:r>
            </w:hyperlink>
            <w:r w:rsidR="00EE3E30" w:rsidRPr="00A941D9">
              <w:rPr>
                <w:rFonts w:asciiTheme="minorHAnsi" w:eastAsia="STKaiti" w:hAnsiTheme="minorHAnsi"/>
                <w:lang w:val="en-US"/>
              </w:rPr>
              <w:t>、</w:t>
            </w:r>
            <w:hyperlink r:id="rId20" w:history="1">
              <w:r w:rsidR="00EE3E30" w:rsidRPr="00A941D9">
                <w:rPr>
                  <w:rStyle w:val="Hyperlink"/>
                  <w:rFonts w:asciiTheme="minorHAnsi" w:eastAsia="STKaiti" w:hAnsiTheme="minorHAnsi"/>
                  <w:lang w:val="en-US"/>
                </w:rPr>
                <w:t>PP-14/INF/1</w:t>
              </w:r>
            </w:hyperlink>
            <w:r w:rsidR="00EE3E30" w:rsidRPr="00A941D9">
              <w:rPr>
                <w:rFonts w:asciiTheme="minorHAnsi" w:eastAsia="STKaiti" w:hAnsiTheme="minorHAnsi"/>
                <w:lang w:val="en-US"/>
              </w:rPr>
              <w:t>、</w:t>
            </w:r>
            <w:hyperlink r:id="rId21" w:history="1">
              <w:r w:rsidR="00EE3E30" w:rsidRPr="00A941D9">
                <w:rPr>
                  <w:rStyle w:val="Hyperlink"/>
                  <w:rFonts w:asciiTheme="minorHAnsi" w:eastAsia="STKaiti" w:hAnsiTheme="minorHAnsi"/>
                  <w:lang w:val="en-US"/>
                </w:rPr>
                <w:t>C15/26</w:t>
              </w:r>
            </w:hyperlink>
            <w:r w:rsidR="00EE3E30" w:rsidRPr="00A941D9">
              <w:rPr>
                <w:rFonts w:asciiTheme="minorHAnsi" w:eastAsia="STKaiti" w:hAnsiTheme="minorHAnsi"/>
                <w:lang w:val="en-US"/>
              </w:rPr>
              <w:t>、</w:t>
            </w:r>
            <w:hyperlink r:id="rId22" w:history="1">
              <w:r w:rsidR="00EE3E30" w:rsidRPr="00A941D9">
                <w:rPr>
                  <w:rStyle w:val="Hyperlink"/>
                  <w:rFonts w:asciiTheme="minorHAnsi" w:eastAsia="STKaiti" w:hAnsiTheme="minorHAnsi"/>
                  <w:lang w:val="en-US"/>
                </w:rPr>
                <w:t>C15/123</w:t>
              </w:r>
            </w:hyperlink>
            <w:r w:rsidR="00B40968" w:rsidRPr="00A941D9">
              <w:rPr>
                <w:rFonts w:asciiTheme="minorHAnsi" w:eastAsia="STKaiti" w:hAnsiTheme="minorHAnsi"/>
                <w:lang w:val="en-US"/>
              </w:rPr>
              <w:t>、</w:t>
            </w:r>
            <w:hyperlink r:id="rId23" w:history="1">
              <w:r w:rsidR="00B40968" w:rsidRPr="00A941D9">
                <w:rPr>
                  <w:rStyle w:val="Hyperlink"/>
                  <w:rFonts w:asciiTheme="minorHAnsi" w:eastAsia="STKaiti" w:hAnsiTheme="minorHAnsi" w:cstheme="minorBidi"/>
                  <w:szCs w:val="24"/>
                  <w:lang w:eastAsia="zh-CN"/>
                </w:rPr>
                <w:t>C16/36</w:t>
              </w:r>
            </w:hyperlink>
            <w:r w:rsidR="00B40968" w:rsidRPr="00A941D9">
              <w:rPr>
                <w:rFonts w:asciiTheme="minorHAnsi" w:eastAsia="STKaiti" w:hAnsiTheme="minorHAnsi"/>
                <w:lang w:val="en-US"/>
              </w:rPr>
              <w:t>、</w:t>
            </w:r>
            <w:hyperlink r:id="rId24" w:history="1">
              <w:r w:rsidR="00B40968" w:rsidRPr="00A941D9">
                <w:rPr>
                  <w:rStyle w:val="Hyperlink"/>
                  <w:rFonts w:asciiTheme="minorHAnsi" w:eastAsia="STKaiti" w:hAnsiTheme="minorHAnsi" w:cstheme="minorBidi"/>
                  <w:szCs w:val="24"/>
                  <w:lang w:eastAsia="zh-CN"/>
                </w:rPr>
                <w:t>C16/120</w:t>
              </w:r>
            </w:hyperlink>
            <w:r w:rsidR="00EE3E30" w:rsidRPr="00A941D9">
              <w:rPr>
                <w:rFonts w:asciiTheme="minorHAnsi" w:eastAsia="STKaiti" w:hAnsiTheme="minorHAnsi"/>
                <w:szCs w:val="24"/>
                <w:lang w:eastAsia="zh-CN"/>
              </w:rPr>
              <w:t>号文</w:t>
            </w:r>
            <w:r w:rsidR="00EE3E30" w:rsidRPr="007D7E89">
              <w:rPr>
                <w:rFonts w:asciiTheme="minorHAnsi" w:eastAsia="STKaiti" w:hAnsiTheme="minorHAnsi"/>
                <w:szCs w:val="24"/>
                <w:lang w:eastAsia="zh-CN"/>
              </w:rPr>
              <w:t>件</w:t>
            </w:r>
          </w:p>
        </w:tc>
      </w:tr>
    </w:tbl>
    <w:p w:rsidR="00007DA6" w:rsidRDefault="00007DA6" w:rsidP="00A40B6B">
      <w:pPr>
        <w:snapToGrid w:val="0"/>
        <w:spacing w:before="360" w:after="120"/>
        <w:jc w:val="both"/>
        <w:rPr>
          <w:lang w:eastAsia="zh-CN"/>
        </w:rPr>
      </w:pPr>
      <w:r>
        <w:rPr>
          <w:lang w:eastAsia="zh-CN"/>
        </w:rPr>
        <w:br w:type="page"/>
      </w:r>
      <w:bookmarkStart w:id="2" w:name="_GoBack"/>
      <w:bookmarkEnd w:id="2"/>
    </w:p>
    <w:p w:rsidR="0003145E" w:rsidRPr="002C037D" w:rsidRDefault="0003145E" w:rsidP="00007DA6">
      <w:pPr>
        <w:snapToGrid w:val="0"/>
        <w:jc w:val="both"/>
        <w:rPr>
          <w:lang w:eastAsia="zh-CN"/>
        </w:rPr>
      </w:pPr>
      <w:r w:rsidRPr="002C037D">
        <w:rPr>
          <w:lang w:eastAsia="zh-CN"/>
        </w:rPr>
        <w:lastRenderedPageBreak/>
        <w:t>1</w:t>
      </w:r>
      <w:r w:rsidRPr="002C037D">
        <w:rPr>
          <w:lang w:eastAsia="zh-CN"/>
        </w:rPr>
        <w:tab/>
      </w:r>
      <w:bookmarkStart w:id="3" w:name="lt_pId026"/>
      <w:r w:rsidR="007E7E60">
        <w:rPr>
          <w:rFonts w:hint="eastAsia"/>
          <w:lang w:eastAsia="zh-CN"/>
        </w:rPr>
        <w:t>理事会</w:t>
      </w:r>
      <w:r w:rsidR="007E7E60">
        <w:rPr>
          <w:rFonts w:hint="eastAsia"/>
          <w:lang w:eastAsia="zh-CN"/>
        </w:rPr>
        <w:t>2016</w:t>
      </w:r>
      <w:r w:rsidR="007E7E60">
        <w:rPr>
          <w:rFonts w:hint="eastAsia"/>
          <w:lang w:eastAsia="zh-CN"/>
        </w:rPr>
        <w:t>年会议</w:t>
      </w:r>
      <w:r>
        <w:rPr>
          <w:lang w:eastAsia="zh-CN"/>
        </w:rPr>
        <w:t>注意到</w:t>
      </w:r>
      <w:r w:rsidR="00D9259C">
        <w:rPr>
          <w:rFonts w:hint="eastAsia"/>
          <w:lang w:eastAsia="zh-CN"/>
        </w:rPr>
        <w:t>，</w:t>
      </w:r>
      <w:r>
        <w:rPr>
          <w:lang w:eastAsia="zh-CN"/>
        </w:rPr>
        <w:t>对国际电联</w:t>
      </w:r>
      <w:r w:rsidR="007E7E60">
        <w:rPr>
          <w:rFonts w:hint="eastAsia"/>
          <w:lang w:eastAsia="zh-CN"/>
        </w:rPr>
        <w:t>根据</w:t>
      </w:r>
      <w:r w:rsidR="007E7E60" w:rsidRPr="007D7E89">
        <w:rPr>
          <w:rFonts w:asciiTheme="minorHAnsi" w:hAnsiTheme="minorHAnsi"/>
          <w:szCs w:val="24"/>
          <w:lang w:val="fr-FR" w:eastAsia="zh-CN"/>
        </w:rPr>
        <w:t>《空间议定书》</w:t>
      </w:r>
      <w:r>
        <w:rPr>
          <w:lang w:eastAsia="zh-CN"/>
        </w:rPr>
        <w:t>担任监督机构的原则没有反对意见，但理事会的决</w:t>
      </w:r>
      <w:r>
        <w:rPr>
          <w:rFonts w:hint="eastAsia"/>
          <w:lang w:eastAsia="zh-CN"/>
        </w:rPr>
        <w:t>定</w:t>
      </w:r>
      <w:r>
        <w:rPr>
          <w:lang w:eastAsia="zh-CN"/>
        </w:rPr>
        <w:t>不应看上去是对</w:t>
      </w:r>
      <w:r w:rsidR="007E7E60">
        <w:rPr>
          <w:rFonts w:hint="eastAsia"/>
          <w:lang w:eastAsia="zh-CN"/>
        </w:rPr>
        <w:t>2018</w:t>
      </w:r>
      <w:r w:rsidR="007E7E60">
        <w:rPr>
          <w:rFonts w:hint="eastAsia"/>
          <w:lang w:eastAsia="zh-CN"/>
        </w:rPr>
        <w:t>年召开的下一届</w:t>
      </w:r>
      <w:r>
        <w:rPr>
          <w:lang w:eastAsia="zh-CN"/>
        </w:rPr>
        <w:t>全权代表大会</w:t>
      </w:r>
      <w:r w:rsidR="007E7E60">
        <w:rPr>
          <w:rFonts w:hint="eastAsia"/>
          <w:lang w:eastAsia="zh-CN"/>
        </w:rPr>
        <w:t>（</w:t>
      </w:r>
      <w:r w:rsidR="007E7E60">
        <w:rPr>
          <w:rFonts w:hint="eastAsia"/>
          <w:lang w:eastAsia="zh-CN"/>
        </w:rPr>
        <w:t>PP-18</w:t>
      </w:r>
      <w:r w:rsidR="007E7E60">
        <w:rPr>
          <w:rFonts w:hint="eastAsia"/>
          <w:lang w:eastAsia="zh-CN"/>
        </w:rPr>
        <w:t>）所做出</w:t>
      </w:r>
      <w:r>
        <w:rPr>
          <w:lang w:eastAsia="zh-CN"/>
        </w:rPr>
        <w:t>决定的越俎代庖</w:t>
      </w:r>
      <w:r>
        <w:rPr>
          <w:rFonts w:hint="eastAsia"/>
          <w:lang w:eastAsia="zh-CN"/>
        </w:rPr>
        <w:t>。</w:t>
      </w:r>
      <w:r w:rsidR="007E7E60">
        <w:rPr>
          <w:rFonts w:hint="eastAsia"/>
          <w:lang w:eastAsia="zh-CN"/>
        </w:rPr>
        <w:t>理事会</w:t>
      </w:r>
      <w:r w:rsidR="007E7E60">
        <w:rPr>
          <w:rFonts w:hint="eastAsia"/>
          <w:lang w:eastAsia="zh-CN"/>
        </w:rPr>
        <w:t>2016</w:t>
      </w:r>
      <w:r w:rsidR="007E7E60">
        <w:rPr>
          <w:rFonts w:hint="eastAsia"/>
          <w:lang w:eastAsia="zh-CN"/>
        </w:rPr>
        <w:t>年会议也责成秘书长研究理事会</w:t>
      </w:r>
      <w:r w:rsidR="007E7E60">
        <w:rPr>
          <w:rFonts w:hint="eastAsia"/>
          <w:lang w:eastAsia="zh-CN"/>
        </w:rPr>
        <w:t>2016</w:t>
      </w:r>
      <w:r w:rsidR="007E7E60">
        <w:rPr>
          <w:rFonts w:hint="eastAsia"/>
          <w:lang w:eastAsia="zh-CN"/>
        </w:rPr>
        <w:t>年会议期间提出的相关问题，尤其是如果国际电联承担监督机构</w:t>
      </w:r>
      <w:r w:rsidR="00A40B6B">
        <w:rPr>
          <w:rFonts w:hint="eastAsia"/>
          <w:lang w:eastAsia="zh-CN"/>
        </w:rPr>
        <w:t>职能需考虑的条件和限制以及其他需要解决的问题，以便理事会</w:t>
      </w:r>
      <w:r w:rsidR="00A40B6B">
        <w:rPr>
          <w:rFonts w:hint="eastAsia"/>
          <w:lang w:eastAsia="zh-CN"/>
        </w:rPr>
        <w:t>2017</w:t>
      </w:r>
      <w:r w:rsidR="00A40B6B">
        <w:rPr>
          <w:rFonts w:hint="eastAsia"/>
          <w:lang w:eastAsia="zh-CN"/>
        </w:rPr>
        <w:t>年会议就向</w:t>
      </w:r>
      <w:r w:rsidR="00A40B6B">
        <w:rPr>
          <w:rFonts w:hint="eastAsia"/>
          <w:lang w:eastAsia="zh-CN"/>
        </w:rPr>
        <w:t>PP-18</w:t>
      </w:r>
      <w:r w:rsidR="00A40B6B">
        <w:rPr>
          <w:rFonts w:hint="eastAsia"/>
          <w:lang w:eastAsia="zh-CN"/>
        </w:rPr>
        <w:t>建议如何采取行动做出决定。</w:t>
      </w:r>
      <w:bookmarkEnd w:id="3"/>
    </w:p>
    <w:p w:rsidR="0003145E" w:rsidRPr="002C037D" w:rsidRDefault="0003145E" w:rsidP="00007DA6">
      <w:pPr>
        <w:tabs>
          <w:tab w:val="left" w:pos="7230"/>
        </w:tabs>
        <w:snapToGrid w:val="0"/>
        <w:jc w:val="both"/>
        <w:rPr>
          <w:lang w:eastAsia="zh-CN"/>
        </w:rPr>
      </w:pPr>
      <w:r w:rsidRPr="002C037D">
        <w:rPr>
          <w:lang w:eastAsia="zh-CN"/>
        </w:rPr>
        <w:t>2</w:t>
      </w:r>
      <w:r w:rsidRPr="002C037D">
        <w:rPr>
          <w:lang w:eastAsia="zh-CN"/>
        </w:rPr>
        <w:tab/>
      </w:r>
      <w:bookmarkStart w:id="4" w:name="lt_pId028"/>
      <w:r w:rsidR="00A40B6B">
        <w:rPr>
          <w:rFonts w:hint="eastAsia"/>
          <w:lang w:eastAsia="zh-CN"/>
        </w:rPr>
        <w:t>建立</w:t>
      </w:r>
      <w:r w:rsidR="00A40B6B" w:rsidRPr="007D7E89">
        <w:rPr>
          <w:rFonts w:asciiTheme="minorHAnsi" w:hAnsiTheme="minorHAnsi"/>
          <w:szCs w:val="24"/>
          <w:lang w:val="fr-FR" w:eastAsia="zh-CN"/>
        </w:rPr>
        <w:t>《空间议定书》</w:t>
      </w:r>
      <w:r w:rsidR="00A40B6B" w:rsidRPr="007D7E89">
        <w:rPr>
          <w:rFonts w:asciiTheme="minorHAnsi" w:hAnsiTheme="minorHAnsi"/>
          <w:lang w:eastAsia="zh-CN"/>
        </w:rPr>
        <w:t>空间资产</w:t>
      </w:r>
      <w:r w:rsidR="00A40B6B">
        <w:rPr>
          <w:rFonts w:asciiTheme="minorHAnsi" w:hAnsiTheme="minorHAnsi" w:hint="eastAsia"/>
          <w:lang w:eastAsia="zh-CN"/>
        </w:rPr>
        <w:t>国际</w:t>
      </w:r>
      <w:r w:rsidR="00A40B6B" w:rsidRPr="007D7E89">
        <w:rPr>
          <w:rFonts w:asciiTheme="minorHAnsi" w:hAnsiTheme="minorHAnsi"/>
          <w:lang w:eastAsia="zh-CN"/>
        </w:rPr>
        <w:t>登记机构</w:t>
      </w:r>
      <w:r w:rsidR="00A40B6B">
        <w:rPr>
          <w:rFonts w:asciiTheme="minorHAnsi" w:hAnsiTheme="minorHAnsi" w:hint="eastAsia"/>
          <w:lang w:eastAsia="zh-CN"/>
        </w:rPr>
        <w:t>筹备委员会</w:t>
      </w:r>
      <w:r w:rsidR="00B33838">
        <w:rPr>
          <w:rFonts w:asciiTheme="minorHAnsi" w:hAnsiTheme="minorHAnsi" w:hint="eastAsia"/>
          <w:lang w:eastAsia="zh-CN"/>
        </w:rPr>
        <w:t>于</w:t>
      </w:r>
      <w:r w:rsidR="00B33838">
        <w:rPr>
          <w:rFonts w:asciiTheme="minorHAnsi" w:hAnsiTheme="minorHAnsi" w:hint="eastAsia"/>
          <w:lang w:eastAsia="zh-CN"/>
        </w:rPr>
        <w:t>2016</w:t>
      </w:r>
      <w:r w:rsidR="00B33838">
        <w:rPr>
          <w:rFonts w:asciiTheme="minorHAnsi" w:hAnsiTheme="minorHAnsi" w:hint="eastAsia"/>
          <w:lang w:eastAsia="zh-CN"/>
        </w:rPr>
        <w:t>年</w:t>
      </w:r>
      <w:r w:rsidR="00B33838">
        <w:rPr>
          <w:rFonts w:asciiTheme="minorHAnsi" w:hAnsiTheme="minorHAnsi" w:hint="eastAsia"/>
          <w:lang w:eastAsia="zh-CN"/>
        </w:rPr>
        <w:t>12</w:t>
      </w:r>
      <w:r w:rsidR="00B33838">
        <w:rPr>
          <w:rFonts w:asciiTheme="minorHAnsi" w:hAnsiTheme="minorHAnsi" w:hint="eastAsia"/>
          <w:lang w:eastAsia="zh-CN"/>
        </w:rPr>
        <w:t>月</w:t>
      </w:r>
      <w:r w:rsidR="00B33838">
        <w:rPr>
          <w:rFonts w:asciiTheme="minorHAnsi" w:hAnsiTheme="minorHAnsi" w:hint="eastAsia"/>
          <w:lang w:eastAsia="zh-CN"/>
        </w:rPr>
        <w:t>6</w:t>
      </w:r>
      <w:r w:rsidR="00B33838">
        <w:rPr>
          <w:rFonts w:asciiTheme="minorHAnsi" w:hAnsiTheme="minorHAnsi" w:hint="eastAsia"/>
          <w:lang w:eastAsia="zh-CN"/>
        </w:rPr>
        <w:t>日举行了第</w:t>
      </w:r>
      <w:r w:rsidR="00B33838">
        <w:rPr>
          <w:rFonts w:asciiTheme="minorHAnsi" w:hAnsiTheme="minorHAnsi" w:hint="eastAsia"/>
          <w:lang w:eastAsia="zh-CN"/>
        </w:rPr>
        <w:t>5</w:t>
      </w:r>
      <w:r w:rsidR="00B33838">
        <w:rPr>
          <w:rFonts w:asciiTheme="minorHAnsi" w:hAnsiTheme="minorHAnsi" w:hint="eastAsia"/>
          <w:lang w:eastAsia="zh-CN"/>
        </w:rPr>
        <w:t>次会议（</w:t>
      </w:r>
      <w:r w:rsidR="00962986">
        <w:rPr>
          <w:rFonts w:asciiTheme="minorHAnsi" w:hAnsiTheme="minorHAnsi" w:hint="eastAsia"/>
          <w:lang w:eastAsia="zh-CN"/>
        </w:rPr>
        <w:t>电话会议</w:t>
      </w:r>
      <w:r w:rsidR="00B33838">
        <w:rPr>
          <w:rFonts w:asciiTheme="minorHAnsi" w:hAnsiTheme="minorHAnsi" w:hint="eastAsia"/>
          <w:lang w:eastAsia="zh-CN"/>
        </w:rPr>
        <w:t>）。</w:t>
      </w:r>
      <w:bookmarkStart w:id="5" w:name="lt_pId029"/>
      <w:bookmarkEnd w:id="4"/>
      <w:r w:rsidR="00962986">
        <w:rPr>
          <w:rFonts w:asciiTheme="minorHAnsi" w:hAnsiTheme="minorHAnsi" w:hint="eastAsia"/>
          <w:lang w:eastAsia="zh-CN"/>
        </w:rPr>
        <w:t>电话会议侧重于与落实</w:t>
      </w:r>
      <w:r w:rsidR="00C45316">
        <w:rPr>
          <w:rFonts w:asciiTheme="minorHAnsi" w:hAnsiTheme="minorHAnsi" w:hint="eastAsia"/>
          <w:lang w:eastAsia="zh-CN"/>
        </w:rPr>
        <w:t>《开普敦公约》的</w:t>
      </w:r>
      <w:r w:rsidR="00962986">
        <w:rPr>
          <w:rFonts w:asciiTheme="minorHAnsi" w:hAnsiTheme="minorHAnsi" w:hint="eastAsia"/>
          <w:lang w:eastAsia="zh-CN"/>
        </w:rPr>
        <w:t>《空间议定书》</w:t>
      </w:r>
      <w:r w:rsidR="00C45316">
        <w:rPr>
          <w:rFonts w:asciiTheme="minorHAnsi" w:hAnsiTheme="minorHAnsi" w:hint="eastAsia"/>
          <w:lang w:eastAsia="zh-CN"/>
        </w:rPr>
        <w:t>有关的待决问题。</w:t>
      </w:r>
      <w:bookmarkStart w:id="6" w:name="lt_pId030"/>
      <w:bookmarkEnd w:id="5"/>
      <w:r w:rsidR="00C63197">
        <w:rPr>
          <w:rFonts w:asciiTheme="minorHAnsi" w:hAnsiTheme="minorHAnsi" w:hint="eastAsia"/>
          <w:lang w:eastAsia="zh-CN"/>
        </w:rPr>
        <w:t>正如电话会议与会者回忆指出的那样，空间筹备委员会的工作在其履行职能期间大幅推进，最终通过了《登记规则》的</w:t>
      </w:r>
      <w:r w:rsidR="00F162BF">
        <w:rPr>
          <w:rFonts w:asciiTheme="minorHAnsi" w:hAnsiTheme="minorHAnsi" w:hint="eastAsia"/>
          <w:lang w:eastAsia="zh-CN"/>
        </w:rPr>
        <w:t>基本规定及未来空间</w:t>
      </w:r>
      <w:r w:rsidR="00F162BF">
        <w:rPr>
          <w:rFonts w:asciiTheme="minorHAnsi" w:hAnsiTheme="minorHAnsi" w:hint="eastAsia"/>
          <w:lang w:eastAsia="zh-CN"/>
        </w:rPr>
        <w:t>CESAIR</w:t>
      </w:r>
      <w:r w:rsidR="00F162BF">
        <w:rPr>
          <w:rFonts w:asciiTheme="minorHAnsi" w:hAnsiTheme="minorHAnsi" w:hint="eastAsia"/>
          <w:lang w:eastAsia="zh-CN"/>
        </w:rPr>
        <w:t>（专家委员会）的任命</w:t>
      </w:r>
      <w:r w:rsidR="00D9259C">
        <w:rPr>
          <w:rFonts w:asciiTheme="minorHAnsi" w:hAnsiTheme="minorHAnsi" w:hint="eastAsia"/>
          <w:lang w:eastAsia="zh-CN"/>
        </w:rPr>
        <w:t>规则</w:t>
      </w:r>
      <w:r w:rsidR="00F162BF">
        <w:rPr>
          <w:rFonts w:asciiTheme="minorHAnsi" w:hAnsiTheme="minorHAnsi" w:hint="eastAsia"/>
          <w:lang w:eastAsia="zh-CN"/>
        </w:rPr>
        <w:t>和职责。</w:t>
      </w:r>
      <w:bookmarkStart w:id="7" w:name="lt_pId031"/>
      <w:bookmarkEnd w:id="6"/>
      <w:r w:rsidR="00F162BF">
        <w:rPr>
          <w:rFonts w:asciiTheme="minorHAnsi" w:hAnsiTheme="minorHAnsi" w:hint="eastAsia"/>
          <w:lang w:eastAsia="zh-CN"/>
        </w:rPr>
        <w:t>与会者在电话会议中指出，空间行业正在向市场更加开放、参与方规模更小的方向发展，资产总量不断增加，这可在未来增加来自行业的支持力度。</w:t>
      </w:r>
      <w:bookmarkStart w:id="8" w:name="lt_pId032"/>
      <w:bookmarkEnd w:id="7"/>
      <w:r w:rsidR="00F162BF">
        <w:rPr>
          <w:rFonts w:asciiTheme="minorHAnsi" w:hAnsiTheme="minorHAnsi" w:hint="eastAsia"/>
          <w:lang w:eastAsia="zh-CN"/>
        </w:rPr>
        <w:t>尽管许多问题（其中也包括指定登记机构）是相互关联的，但筹备委员会同意，一方面将精力集中于指定监督机构这一短期战略上，另一方面积极争取政府和行业的支持。</w:t>
      </w:r>
      <w:bookmarkEnd w:id="8"/>
    </w:p>
    <w:p w:rsidR="0003145E" w:rsidRPr="006B0633" w:rsidRDefault="0003145E" w:rsidP="00007DA6">
      <w:pPr>
        <w:spacing w:line="240" w:lineRule="atLeast"/>
        <w:rPr>
          <w:lang w:eastAsia="zh-CN"/>
        </w:rPr>
      </w:pPr>
      <w:r w:rsidRPr="002C037D">
        <w:rPr>
          <w:lang w:eastAsia="zh-CN"/>
        </w:rPr>
        <w:t>3</w:t>
      </w:r>
      <w:r w:rsidRPr="006B0633">
        <w:rPr>
          <w:lang w:eastAsia="zh-CN"/>
        </w:rPr>
        <w:tab/>
      </w:r>
      <w:bookmarkStart w:id="9" w:name="lt_pId033"/>
      <w:r w:rsidRPr="006B0633">
        <w:rPr>
          <w:rFonts w:hint="eastAsia"/>
          <w:lang w:val="en-US" w:eastAsia="zh-CN"/>
        </w:rPr>
        <w:t>关于上一届理事会会议期间各主管部门就国际电联可能成为</w:t>
      </w:r>
      <w:r w:rsidRPr="006B0633">
        <w:rPr>
          <w:color w:val="000000"/>
          <w:lang w:eastAsia="zh-CN"/>
        </w:rPr>
        <w:t>空间资产国际登记系统的监督机</w:t>
      </w:r>
      <w:r w:rsidRPr="006B0633">
        <w:rPr>
          <w:rFonts w:cs="SimSun" w:hint="eastAsia"/>
          <w:color w:val="000000"/>
          <w:lang w:eastAsia="zh-CN"/>
        </w:rPr>
        <w:t>构</w:t>
      </w:r>
      <w:r w:rsidR="00F162BF">
        <w:rPr>
          <w:rFonts w:cs="SimSun" w:hint="eastAsia"/>
          <w:color w:val="000000"/>
          <w:lang w:eastAsia="zh-CN"/>
        </w:rPr>
        <w:t>事宜</w:t>
      </w:r>
      <w:r w:rsidRPr="006B0633">
        <w:rPr>
          <w:rFonts w:cs="SimSun" w:hint="eastAsia"/>
          <w:color w:val="000000"/>
          <w:lang w:eastAsia="zh-CN"/>
        </w:rPr>
        <w:t>提出的问题和意见，请注意上述</w:t>
      </w:r>
      <w:r w:rsidR="00566EDC">
        <w:rPr>
          <w:rFonts w:cs="SimSun" w:hint="eastAsia"/>
          <w:color w:val="000000"/>
          <w:lang w:eastAsia="zh-CN"/>
        </w:rPr>
        <w:t>“</w:t>
      </w:r>
      <w:r w:rsidRPr="006B0633">
        <w:rPr>
          <w:rFonts w:cs="SimSun" w:hint="eastAsia"/>
          <w:color w:val="000000"/>
          <w:lang w:eastAsia="zh-CN"/>
        </w:rPr>
        <w:t>参考文件</w:t>
      </w:r>
      <w:r w:rsidR="00566EDC">
        <w:rPr>
          <w:rFonts w:cs="SimSun" w:hint="eastAsia"/>
          <w:color w:val="000000"/>
          <w:lang w:eastAsia="zh-CN"/>
        </w:rPr>
        <w:t>”</w:t>
      </w:r>
      <w:r w:rsidRPr="006B0633">
        <w:rPr>
          <w:rFonts w:cs="SimSun" w:hint="eastAsia"/>
          <w:color w:val="000000"/>
          <w:lang w:eastAsia="zh-CN"/>
        </w:rPr>
        <w:t>部分中的文件清单，尤其是</w:t>
      </w:r>
      <w:r w:rsidRPr="006B0633">
        <w:rPr>
          <w:lang w:eastAsia="zh-CN"/>
        </w:rPr>
        <w:t>C14/13</w:t>
      </w:r>
      <w:r w:rsidRPr="006B0633">
        <w:rPr>
          <w:rFonts w:hint="eastAsia"/>
          <w:lang w:eastAsia="zh-CN"/>
        </w:rPr>
        <w:t>号文件的附件</w:t>
      </w:r>
      <w:r w:rsidRPr="006B0633">
        <w:rPr>
          <w:rFonts w:hint="eastAsia"/>
          <w:lang w:eastAsia="zh-CN"/>
        </w:rPr>
        <w:t>1</w:t>
      </w:r>
      <w:r w:rsidRPr="006B0633">
        <w:rPr>
          <w:rFonts w:hint="eastAsia"/>
          <w:lang w:eastAsia="zh-CN"/>
        </w:rPr>
        <w:t>及</w:t>
      </w:r>
      <w:r w:rsidRPr="006B0633">
        <w:rPr>
          <w:lang w:eastAsia="zh-CN"/>
        </w:rPr>
        <w:t>PP-14</w:t>
      </w:r>
      <w:r w:rsidRPr="006B0633">
        <w:rPr>
          <w:rFonts w:hint="eastAsia"/>
          <w:lang w:eastAsia="zh-CN"/>
        </w:rPr>
        <w:t>的</w:t>
      </w:r>
      <w:r w:rsidRPr="006B0633">
        <w:rPr>
          <w:lang w:eastAsia="zh-CN"/>
        </w:rPr>
        <w:t>62</w:t>
      </w:r>
      <w:r w:rsidRPr="006B0633">
        <w:rPr>
          <w:rFonts w:hint="eastAsia"/>
          <w:lang w:eastAsia="zh-CN"/>
        </w:rPr>
        <w:t>号和</w:t>
      </w:r>
      <w:r w:rsidRPr="006B0633">
        <w:rPr>
          <w:lang w:eastAsia="zh-CN"/>
        </w:rPr>
        <w:t>INF/1</w:t>
      </w:r>
      <w:r w:rsidRPr="006B0633">
        <w:rPr>
          <w:rFonts w:hint="eastAsia"/>
          <w:lang w:eastAsia="zh-CN"/>
        </w:rPr>
        <w:t>号文件，这些文件提供了所有必要的信息、澄清说明和背景情况。</w:t>
      </w:r>
      <w:bookmarkEnd w:id="9"/>
    </w:p>
    <w:p w:rsidR="0003145E" w:rsidRPr="002C037D" w:rsidRDefault="0003145E" w:rsidP="00007DA6">
      <w:pPr>
        <w:snapToGrid w:val="0"/>
        <w:jc w:val="both"/>
        <w:rPr>
          <w:lang w:eastAsia="zh-CN"/>
        </w:rPr>
      </w:pPr>
      <w:r w:rsidRPr="002C037D">
        <w:rPr>
          <w:lang w:eastAsia="zh-CN"/>
        </w:rPr>
        <w:t>4</w:t>
      </w:r>
      <w:r w:rsidRPr="002C037D">
        <w:rPr>
          <w:lang w:eastAsia="zh-CN"/>
        </w:rPr>
        <w:tab/>
      </w:r>
      <w:bookmarkStart w:id="10" w:name="lt_pId036"/>
      <w:r w:rsidR="00566EDC">
        <w:rPr>
          <w:rFonts w:hint="eastAsia"/>
          <w:lang w:eastAsia="zh-CN"/>
        </w:rPr>
        <w:t>有关</w:t>
      </w:r>
      <w:r w:rsidR="00E872CC">
        <w:rPr>
          <w:rFonts w:hint="eastAsia"/>
          <w:lang w:eastAsia="zh-CN"/>
        </w:rPr>
        <w:t>理事会在</w:t>
      </w:r>
      <w:r w:rsidR="00E872CC">
        <w:rPr>
          <w:rFonts w:hint="eastAsia"/>
          <w:lang w:eastAsia="zh-CN"/>
        </w:rPr>
        <w:t>2016</w:t>
      </w:r>
      <w:r w:rsidR="00E872CC">
        <w:rPr>
          <w:rFonts w:hint="eastAsia"/>
          <w:lang w:eastAsia="zh-CN"/>
        </w:rPr>
        <w:t>年会议期间提出的、如果</w:t>
      </w:r>
      <w:r w:rsidR="00E872CC">
        <w:rPr>
          <w:rFonts w:hint="eastAsia"/>
          <w:lang w:eastAsia="zh-CN"/>
        </w:rPr>
        <w:t>2018</w:t>
      </w:r>
      <w:r w:rsidR="00E872CC">
        <w:rPr>
          <w:rFonts w:hint="eastAsia"/>
          <w:lang w:eastAsia="zh-CN"/>
        </w:rPr>
        <w:t>年全权代表大会决定国际电联可成为监督机构，与国际电联达成的协议需适用的条件和限制问题，有必要</w:t>
      </w:r>
      <w:r w:rsidR="00D9259C">
        <w:rPr>
          <w:rFonts w:hint="eastAsia"/>
          <w:lang w:eastAsia="zh-CN"/>
        </w:rPr>
        <w:t>忆及</w:t>
      </w:r>
      <w:r w:rsidR="00E872CC">
        <w:rPr>
          <w:rFonts w:hint="eastAsia"/>
          <w:lang w:eastAsia="zh-CN"/>
        </w:rPr>
        <w:t>某些基本问题。</w:t>
      </w:r>
      <w:bookmarkEnd w:id="10"/>
    </w:p>
    <w:p w:rsidR="0003145E" w:rsidRPr="0030323A" w:rsidRDefault="0003145E" w:rsidP="00007DA6">
      <w:pPr>
        <w:snapToGrid w:val="0"/>
        <w:jc w:val="both"/>
        <w:rPr>
          <w:b/>
          <w:color w:val="800000"/>
          <w:sz w:val="22"/>
          <w:lang w:eastAsia="zh-CN"/>
        </w:rPr>
      </w:pPr>
      <w:r w:rsidRPr="002C037D">
        <w:rPr>
          <w:lang w:eastAsia="zh-CN"/>
        </w:rPr>
        <w:t>5</w:t>
      </w:r>
      <w:r w:rsidRPr="002C037D">
        <w:rPr>
          <w:lang w:eastAsia="zh-CN"/>
        </w:rPr>
        <w:tab/>
      </w:r>
      <w:bookmarkStart w:id="11" w:name="lt_pId038"/>
      <w:r w:rsidR="00E872CC">
        <w:rPr>
          <w:rFonts w:hint="eastAsia"/>
          <w:lang w:eastAsia="zh-CN"/>
        </w:rPr>
        <w:t>首先，应强调国际电联同意承担该职责并不增加国际电联成员国任何（直接或间接的）义务或责任，因为，从法律角度而言，</w:t>
      </w:r>
      <w:bookmarkEnd w:id="11"/>
      <w:r>
        <w:rPr>
          <w:rFonts w:asciiTheme="minorHAnsi" w:hAnsiTheme="minorHAnsi" w:cstheme="minorHAnsi" w:hint="eastAsia"/>
          <w:szCs w:val="24"/>
          <w:lang w:val="en-US" w:eastAsia="zh-CN"/>
        </w:rPr>
        <w:t>只有核准了该议定书的成员国</w:t>
      </w:r>
      <w:r w:rsidR="000920A9">
        <w:rPr>
          <w:rFonts w:asciiTheme="minorHAnsi" w:hAnsiTheme="minorHAnsi" w:cstheme="minorHAnsi" w:hint="eastAsia"/>
          <w:szCs w:val="24"/>
          <w:lang w:val="en-US" w:eastAsia="zh-CN"/>
        </w:rPr>
        <w:t>才</w:t>
      </w:r>
      <w:r>
        <w:rPr>
          <w:rFonts w:asciiTheme="minorHAnsi" w:hAnsiTheme="minorHAnsi" w:cstheme="minorHAnsi" w:hint="eastAsia"/>
          <w:szCs w:val="24"/>
          <w:lang w:val="en-US" w:eastAsia="zh-CN"/>
        </w:rPr>
        <w:t>承担法律义务。</w:t>
      </w:r>
    </w:p>
    <w:p w:rsidR="0003145E" w:rsidRPr="002C037D" w:rsidRDefault="0003145E" w:rsidP="00007DA6">
      <w:pPr>
        <w:snapToGrid w:val="0"/>
        <w:jc w:val="both"/>
        <w:rPr>
          <w:lang w:eastAsia="zh-CN"/>
        </w:rPr>
      </w:pPr>
      <w:r w:rsidRPr="002C037D">
        <w:rPr>
          <w:lang w:eastAsia="zh-CN"/>
        </w:rPr>
        <w:t>6</w:t>
      </w:r>
      <w:r w:rsidRPr="002C037D">
        <w:rPr>
          <w:lang w:eastAsia="zh-CN"/>
        </w:rPr>
        <w:tab/>
      </w:r>
      <w:bookmarkStart w:id="12" w:name="lt_pId040"/>
      <w:r w:rsidR="00726448">
        <w:rPr>
          <w:rFonts w:hint="eastAsia"/>
          <w:lang w:eastAsia="zh-CN"/>
        </w:rPr>
        <w:t>其次，国际电联在《议定书》方面承担的职责将非常有限，因为</w:t>
      </w:r>
      <w:r w:rsidR="00726448">
        <w:rPr>
          <w:color w:val="000000"/>
          <w:lang w:eastAsia="zh-CN"/>
        </w:rPr>
        <w:t>：国际电联不</w:t>
      </w:r>
      <w:r w:rsidR="00726448">
        <w:rPr>
          <w:rFonts w:hint="eastAsia"/>
          <w:color w:val="000000"/>
          <w:lang w:eastAsia="zh-CN"/>
        </w:rPr>
        <w:t>会</w:t>
      </w:r>
      <w:r w:rsidR="00726448">
        <w:rPr>
          <w:color w:val="000000"/>
          <w:lang w:eastAsia="zh-CN"/>
        </w:rPr>
        <w:t>成为</w:t>
      </w:r>
      <w:r w:rsidR="00726448">
        <w:rPr>
          <w:rFonts w:hint="eastAsia"/>
          <w:color w:val="000000"/>
          <w:lang w:eastAsia="zh-CN"/>
        </w:rPr>
        <w:t>《</w:t>
      </w:r>
      <w:r w:rsidR="00726448">
        <w:rPr>
          <w:color w:val="000000"/>
          <w:lang w:eastAsia="zh-CN"/>
        </w:rPr>
        <w:t>议定书</w:t>
      </w:r>
      <w:r w:rsidR="00726448">
        <w:rPr>
          <w:rFonts w:hint="eastAsia"/>
          <w:color w:val="000000"/>
          <w:lang w:eastAsia="zh-CN"/>
        </w:rPr>
        <w:t>》</w:t>
      </w:r>
      <w:r w:rsidR="00726448">
        <w:rPr>
          <w:color w:val="000000"/>
          <w:lang w:eastAsia="zh-CN"/>
        </w:rPr>
        <w:t>的交存机构，也不</w:t>
      </w:r>
      <w:r w:rsidR="00726448">
        <w:rPr>
          <w:rFonts w:hint="eastAsia"/>
          <w:color w:val="000000"/>
          <w:lang w:eastAsia="zh-CN"/>
        </w:rPr>
        <w:t>会</w:t>
      </w:r>
      <w:r w:rsidR="00726448">
        <w:rPr>
          <w:color w:val="000000"/>
          <w:lang w:eastAsia="zh-CN"/>
        </w:rPr>
        <w:t>成为实施</w:t>
      </w:r>
      <w:r w:rsidR="00726448">
        <w:rPr>
          <w:rFonts w:hint="eastAsia"/>
          <w:color w:val="000000"/>
          <w:lang w:eastAsia="zh-CN"/>
        </w:rPr>
        <w:t>、</w:t>
      </w:r>
      <w:r w:rsidR="00726448">
        <w:rPr>
          <w:color w:val="000000"/>
          <w:lang w:eastAsia="zh-CN"/>
        </w:rPr>
        <w:t>执行</w:t>
      </w:r>
      <w:r w:rsidR="00726448">
        <w:rPr>
          <w:rFonts w:hint="eastAsia"/>
          <w:color w:val="000000"/>
          <w:lang w:eastAsia="zh-CN"/>
        </w:rPr>
        <w:t>或解读《议定书》</w:t>
      </w:r>
      <w:r w:rsidR="00726448">
        <w:rPr>
          <w:color w:val="000000"/>
          <w:lang w:eastAsia="zh-CN"/>
        </w:rPr>
        <w:t>的保证人</w:t>
      </w:r>
      <w:r w:rsidR="00726448">
        <w:rPr>
          <w:rFonts w:hint="eastAsia"/>
          <w:color w:val="000000"/>
          <w:lang w:eastAsia="zh-CN"/>
        </w:rPr>
        <w:t>，尤其在《</w:t>
      </w:r>
      <w:r w:rsidR="00726448">
        <w:rPr>
          <w:color w:val="000000"/>
          <w:lang w:eastAsia="zh-CN"/>
        </w:rPr>
        <w:t>移动设备国际利益公</w:t>
      </w:r>
      <w:r w:rsidR="00726448">
        <w:rPr>
          <w:rFonts w:ascii="SimSun" w:hAnsi="SimSun" w:cs="SimSun" w:hint="eastAsia"/>
          <w:color w:val="000000"/>
          <w:lang w:eastAsia="zh-CN"/>
        </w:rPr>
        <w:t>约</w:t>
      </w:r>
      <w:r w:rsidR="00726448">
        <w:rPr>
          <w:rFonts w:hint="eastAsia"/>
          <w:color w:val="000000"/>
          <w:lang w:eastAsia="zh-CN"/>
        </w:rPr>
        <w:t>》方面</w:t>
      </w:r>
      <w:r w:rsidR="009D62C8">
        <w:rPr>
          <w:rFonts w:hint="eastAsia"/>
          <w:color w:val="000000"/>
          <w:lang w:eastAsia="zh-CN"/>
        </w:rPr>
        <w:t>更不会如此</w:t>
      </w:r>
      <w:r w:rsidR="00726448">
        <w:rPr>
          <w:rFonts w:ascii="SimSun" w:hAnsi="SimSun" w:cs="SimSun" w:hint="eastAsia"/>
          <w:color w:val="000000"/>
          <w:lang w:eastAsia="zh-CN"/>
        </w:rPr>
        <w:t>。</w:t>
      </w:r>
      <w:bookmarkStart w:id="13" w:name="lt_pId041"/>
      <w:bookmarkEnd w:id="12"/>
      <w:r w:rsidR="009D62C8">
        <w:rPr>
          <w:rFonts w:ascii="SimSun" w:hAnsi="SimSun" w:cs="SimSun" w:hint="eastAsia"/>
          <w:color w:val="000000"/>
          <w:lang w:eastAsia="zh-CN"/>
        </w:rPr>
        <w:t>另一方面，作为监督机构，如有必要，国际电联可通报国际电联各方的需求并防止《议定书》与国际电联基本法律文件之间出现分歧。</w:t>
      </w:r>
      <w:r w:rsidR="001A2917">
        <w:rPr>
          <w:rFonts w:ascii="SimSun" w:hAnsi="SimSun" w:cs="SimSun" w:hint="eastAsia"/>
          <w:color w:val="000000"/>
          <w:lang w:eastAsia="zh-CN"/>
        </w:rPr>
        <w:t>根据</w:t>
      </w:r>
      <w:r w:rsidR="009D62C8">
        <w:rPr>
          <w:rFonts w:ascii="SimSun" w:hAnsi="SimSun" w:cs="SimSun" w:hint="eastAsia"/>
          <w:color w:val="000000"/>
          <w:lang w:eastAsia="zh-CN"/>
        </w:rPr>
        <w:t>《议定书》第</w:t>
      </w:r>
      <w:r w:rsidR="009D62C8" w:rsidRPr="00007DA6">
        <w:rPr>
          <w:rFonts w:cs="SimSun" w:hint="eastAsia"/>
          <w:color w:val="000000"/>
          <w:lang w:eastAsia="zh-CN"/>
        </w:rPr>
        <w:t>47</w:t>
      </w:r>
      <w:r w:rsidR="009D62C8" w:rsidRPr="00007DA6">
        <w:rPr>
          <w:rFonts w:cs="SimSun" w:hint="eastAsia"/>
          <w:color w:val="000000"/>
          <w:lang w:eastAsia="zh-CN"/>
        </w:rPr>
        <w:t>条</w:t>
      </w:r>
      <w:r w:rsidR="001A2917" w:rsidRPr="00007DA6">
        <w:rPr>
          <w:rFonts w:cs="SimSun" w:hint="eastAsia"/>
          <w:color w:val="000000"/>
          <w:lang w:eastAsia="zh-CN"/>
        </w:rPr>
        <w:t>的规定</w:t>
      </w:r>
      <w:r w:rsidR="001A2917">
        <w:rPr>
          <w:rFonts w:ascii="SimSun" w:hAnsi="SimSun" w:cs="SimSun" w:hint="eastAsia"/>
          <w:color w:val="000000"/>
          <w:lang w:eastAsia="zh-CN"/>
        </w:rPr>
        <w:t>，监督机构在起草由议定书交存机构草拟的年度报告方面发挥着积极的作用，并在负责修正或修订《议定书》的审议大会方面承担着重要的咨询职能。</w:t>
      </w:r>
      <w:bookmarkEnd w:id="13"/>
    </w:p>
    <w:p w:rsidR="0003145E" w:rsidRPr="002C037D" w:rsidRDefault="0003145E" w:rsidP="00007DA6">
      <w:pPr>
        <w:rPr>
          <w:lang w:eastAsia="zh-CN"/>
        </w:rPr>
      </w:pPr>
      <w:r w:rsidRPr="002C037D">
        <w:rPr>
          <w:lang w:eastAsia="zh-CN"/>
        </w:rPr>
        <w:t>7</w:t>
      </w:r>
      <w:r w:rsidRPr="002C037D">
        <w:rPr>
          <w:lang w:eastAsia="zh-CN"/>
        </w:rPr>
        <w:tab/>
      </w:r>
      <w:bookmarkStart w:id="14" w:name="lt_pId043"/>
      <w:r w:rsidR="001A2917">
        <w:rPr>
          <w:rFonts w:hint="eastAsia"/>
          <w:lang w:eastAsia="zh-CN"/>
        </w:rPr>
        <w:t>尽管如此，如果国际电联接受监督机构的职能，</w:t>
      </w:r>
      <w:r w:rsidR="00A43EE5" w:rsidRPr="00A43EE5">
        <w:rPr>
          <w:rFonts w:hint="eastAsia"/>
          <w:b/>
          <w:bCs/>
          <w:lang w:eastAsia="zh-CN"/>
        </w:rPr>
        <w:t>也应将以下内容作为一项接受条件</w:t>
      </w:r>
      <w:r w:rsidR="00A43EE5">
        <w:rPr>
          <w:rFonts w:hint="eastAsia"/>
          <w:lang w:eastAsia="zh-CN"/>
        </w:rPr>
        <w:t>，即如果国际电联认为，由于特别修正了《议定书》，该职能将不符合国际电联的基本法律文件或与其相冲突，则可在任意时刻保留放弃这一职能的</w:t>
      </w:r>
      <w:r w:rsidR="002739B2">
        <w:rPr>
          <w:rFonts w:hint="eastAsia"/>
          <w:lang w:eastAsia="zh-CN"/>
        </w:rPr>
        <w:t>全部权利。</w:t>
      </w:r>
      <w:bookmarkStart w:id="15" w:name="lt_pId044"/>
      <w:bookmarkEnd w:id="14"/>
      <w:r w:rsidR="002739B2">
        <w:rPr>
          <w:rFonts w:hint="eastAsia"/>
          <w:lang w:eastAsia="zh-CN"/>
        </w:rPr>
        <w:t>在此方面，并非《议定书》签署方的国际电联，未来在没有表示同意前不受《议定书》任何修正的约束，强调这一点非常重要。</w:t>
      </w:r>
      <w:bookmarkStart w:id="16" w:name="lt_pId045"/>
      <w:bookmarkEnd w:id="15"/>
      <w:r w:rsidR="002739B2">
        <w:rPr>
          <w:rFonts w:hint="eastAsia"/>
          <w:lang w:eastAsia="zh-CN"/>
        </w:rPr>
        <w:t>同样在这一点上，</w:t>
      </w:r>
      <w:r w:rsidR="002739B2" w:rsidRPr="002739B2">
        <w:rPr>
          <w:rFonts w:hint="eastAsia"/>
          <w:b/>
          <w:bCs/>
          <w:lang w:eastAsia="zh-CN"/>
        </w:rPr>
        <w:t>建议</w:t>
      </w:r>
      <w:r w:rsidR="002739B2">
        <w:rPr>
          <w:rFonts w:hint="eastAsia"/>
          <w:lang w:eastAsia="zh-CN"/>
        </w:rPr>
        <w:t>在国际电联同意担任监督机构的协议中明确阐明这一条件。</w:t>
      </w:r>
      <w:bookmarkEnd w:id="16"/>
    </w:p>
    <w:p w:rsidR="0003145E" w:rsidRPr="002C037D" w:rsidRDefault="0003145E" w:rsidP="00007DA6">
      <w:pPr>
        <w:snapToGrid w:val="0"/>
        <w:jc w:val="both"/>
        <w:rPr>
          <w:lang w:eastAsia="zh-CN"/>
        </w:rPr>
      </w:pPr>
      <w:r w:rsidRPr="002C037D">
        <w:rPr>
          <w:lang w:eastAsia="zh-CN"/>
        </w:rPr>
        <w:t>8</w:t>
      </w:r>
      <w:r w:rsidRPr="002C037D">
        <w:rPr>
          <w:lang w:eastAsia="zh-CN"/>
        </w:rPr>
        <w:tab/>
      </w:r>
      <w:bookmarkStart w:id="17" w:name="lt_pId047"/>
      <w:r w:rsidR="002739B2">
        <w:rPr>
          <w:rFonts w:hint="eastAsia"/>
          <w:lang w:eastAsia="zh-CN"/>
        </w:rPr>
        <w:t>与此类似，即使《议定书》第</w:t>
      </w:r>
      <w:r w:rsidR="002739B2">
        <w:rPr>
          <w:rFonts w:hint="eastAsia"/>
          <w:lang w:eastAsia="zh-CN"/>
        </w:rPr>
        <w:t>35</w:t>
      </w:r>
      <w:r w:rsidR="002739B2">
        <w:rPr>
          <w:rFonts w:hint="eastAsia"/>
          <w:lang w:eastAsia="zh-CN"/>
        </w:rPr>
        <w:t>条规定了</w:t>
      </w:r>
      <w:r w:rsidR="002739B2">
        <w:rPr>
          <w:rFonts w:hint="eastAsia"/>
          <w:color w:val="000000"/>
          <w:lang w:eastAsia="zh-CN"/>
        </w:rPr>
        <w:t>《</w:t>
      </w:r>
      <w:r w:rsidR="002739B2">
        <w:rPr>
          <w:color w:val="000000"/>
          <w:lang w:eastAsia="zh-CN"/>
        </w:rPr>
        <w:t>移动设备国际利益公</w:t>
      </w:r>
      <w:r w:rsidR="002739B2">
        <w:rPr>
          <w:rFonts w:ascii="SimSun" w:hAnsi="SimSun" w:cs="SimSun" w:hint="eastAsia"/>
          <w:color w:val="000000"/>
          <w:lang w:eastAsia="zh-CN"/>
        </w:rPr>
        <w:t>约</w:t>
      </w:r>
      <w:r w:rsidR="002739B2">
        <w:rPr>
          <w:rFonts w:hint="eastAsia"/>
          <w:color w:val="000000"/>
          <w:lang w:eastAsia="zh-CN"/>
        </w:rPr>
        <w:t>》与国际电联自身的法律文件之间的不同等级关系，即发生分歧时，以国际电联的法律文件为准，但国际电联接受这一职能应基于以下条件</w:t>
      </w:r>
      <w:r w:rsidR="002739B2" w:rsidRPr="002739B2">
        <w:rPr>
          <w:rFonts w:hint="eastAsia"/>
          <w:b/>
          <w:bCs/>
          <w:color w:val="000000"/>
          <w:lang w:eastAsia="zh-CN"/>
        </w:rPr>
        <w:t>非常重要</w:t>
      </w:r>
      <w:r w:rsidR="002739B2">
        <w:rPr>
          <w:rFonts w:hint="eastAsia"/>
          <w:color w:val="000000"/>
          <w:lang w:eastAsia="zh-CN"/>
        </w:rPr>
        <w:t>：</w:t>
      </w:r>
      <w:bookmarkEnd w:id="17"/>
    </w:p>
    <w:p w:rsidR="0003145E" w:rsidRPr="002C037D" w:rsidRDefault="0003145E" w:rsidP="002739B2">
      <w:pPr>
        <w:pStyle w:val="enumlev1"/>
        <w:snapToGrid w:val="0"/>
        <w:spacing w:before="120" w:after="120"/>
        <w:jc w:val="both"/>
        <w:rPr>
          <w:lang w:eastAsia="zh-CN"/>
        </w:rPr>
      </w:pPr>
      <w:r w:rsidRPr="002C037D">
        <w:rPr>
          <w:lang w:eastAsia="zh-CN"/>
        </w:rPr>
        <w:t>•</w:t>
      </w:r>
      <w:r w:rsidRPr="002C037D">
        <w:rPr>
          <w:lang w:eastAsia="zh-CN"/>
        </w:rPr>
        <w:tab/>
      </w:r>
      <w:bookmarkStart w:id="18" w:name="lt_pId049"/>
      <w:r w:rsidR="002739B2">
        <w:rPr>
          <w:rFonts w:hint="eastAsia"/>
          <w:lang w:eastAsia="zh-CN"/>
        </w:rPr>
        <w:t>如果《议定书》的条款与国际电联基本法律文件的条款存有分歧，须以后者为准。</w:t>
      </w:r>
      <w:bookmarkEnd w:id="18"/>
    </w:p>
    <w:p w:rsidR="0003145E" w:rsidRPr="002C037D" w:rsidRDefault="0003145E" w:rsidP="0055796A">
      <w:pPr>
        <w:pStyle w:val="enumlev1"/>
        <w:snapToGrid w:val="0"/>
        <w:spacing w:before="120" w:after="120"/>
        <w:jc w:val="both"/>
        <w:rPr>
          <w:lang w:eastAsia="zh-CN"/>
        </w:rPr>
      </w:pPr>
      <w:r w:rsidRPr="002C037D">
        <w:rPr>
          <w:lang w:eastAsia="zh-CN"/>
        </w:rPr>
        <w:t>•</w:t>
      </w:r>
      <w:r w:rsidRPr="002C037D">
        <w:rPr>
          <w:lang w:eastAsia="zh-CN"/>
        </w:rPr>
        <w:tab/>
      </w:r>
      <w:bookmarkStart w:id="19" w:name="lt_pId051"/>
      <w:r w:rsidR="002739B2">
        <w:rPr>
          <w:rFonts w:hint="eastAsia"/>
          <w:lang w:eastAsia="zh-CN"/>
        </w:rPr>
        <w:t>国际电联保留</w:t>
      </w:r>
      <w:r w:rsidR="0055796A">
        <w:rPr>
          <w:rFonts w:hint="eastAsia"/>
          <w:lang w:eastAsia="zh-CN"/>
        </w:rPr>
        <w:t>不作为监督机构采取任何与国际电联基本法律文件相冲突的行动的权利，不承担任何由此产生的责任。</w:t>
      </w:r>
      <w:bookmarkEnd w:id="19"/>
    </w:p>
    <w:p w:rsidR="0003145E" w:rsidRPr="002C037D" w:rsidRDefault="0003145E" w:rsidP="00007DA6">
      <w:pPr>
        <w:snapToGrid w:val="0"/>
        <w:jc w:val="both"/>
        <w:rPr>
          <w:lang w:eastAsia="zh-CN"/>
        </w:rPr>
      </w:pPr>
      <w:r w:rsidRPr="002C037D">
        <w:rPr>
          <w:lang w:eastAsia="zh-CN"/>
        </w:rPr>
        <w:lastRenderedPageBreak/>
        <w:t>9</w:t>
      </w:r>
      <w:r w:rsidRPr="002C037D">
        <w:rPr>
          <w:lang w:eastAsia="zh-CN"/>
        </w:rPr>
        <w:tab/>
      </w:r>
      <w:bookmarkStart w:id="20" w:name="lt_pId053"/>
      <w:r w:rsidR="0055796A">
        <w:rPr>
          <w:rFonts w:hint="eastAsia"/>
          <w:lang w:eastAsia="zh-CN"/>
        </w:rPr>
        <w:t>关于监督机构的实际职能，它局限于建立国际登记机构，指定登记机构并监督后者的活动，批准并修正登记机构的章程并设定登记费和登记机构所需的保险等级，所有这些工作均将在专家委员会的协助下开展。</w:t>
      </w:r>
      <w:bookmarkEnd w:id="20"/>
    </w:p>
    <w:p w:rsidR="0003145E" w:rsidRPr="002C037D" w:rsidRDefault="0003145E" w:rsidP="00007DA6">
      <w:pPr>
        <w:snapToGrid w:val="0"/>
        <w:jc w:val="both"/>
        <w:rPr>
          <w:lang w:eastAsia="zh-CN"/>
        </w:rPr>
      </w:pPr>
      <w:r w:rsidRPr="002C037D">
        <w:rPr>
          <w:lang w:eastAsia="zh-CN"/>
        </w:rPr>
        <w:t>10</w:t>
      </w:r>
      <w:r w:rsidRPr="002C037D">
        <w:rPr>
          <w:lang w:eastAsia="zh-CN"/>
        </w:rPr>
        <w:tab/>
      </w:r>
      <w:bookmarkStart w:id="21" w:name="lt_pId055"/>
      <w:r w:rsidR="0055796A">
        <w:rPr>
          <w:rFonts w:hint="eastAsia"/>
          <w:lang w:eastAsia="zh-CN"/>
        </w:rPr>
        <w:t>如此，国际电联将不会承担登记机构的职能，也不会接受与该职能有关的义务。</w:t>
      </w:r>
      <w:bookmarkStart w:id="22" w:name="lt_pId056"/>
      <w:bookmarkEnd w:id="21"/>
      <w:r w:rsidR="0055796A">
        <w:rPr>
          <w:rFonts w:hint="eastAsia"/>
          <w:lang w:eastAsia="zh-CN"/>
        </w:rPr>
        <w:t>与此相似，国际电联不会管理该登记机构或负责其更新工作。</w:t>
      </w:r>
      <w:bookmarkStart w:id="23" w:name="lt_pId057"/>
      <w:bookmarkEnd w:id="22"/>
      <w:r w:rsidR="0055796A">
        <w:rPr>
          <w:rFonts w:hint="eastAsia"/>
          <w:lang w:eastAsia="zh-CN"/>
        </w:rPr>
        <w:t>因此，该登记机构将</w:t>
      </w:r>
      <w:r w:rsidR="00CD2E84">
        <w:rPr>
          <w:rFonts w:hint="eastAsia"/>
          <w:lang w:eastAsia="zh-CN"/>
        </w:rPr>
        <w:t>承担客观的义务并在必要时负责</w:t>
      </w:r>
      <w:r w:rsidR="00BB76B5">
        <w:rPr>
          <w:rFonts w:hint="eastAsia"/>
          <w:lang w:eastAsia="zh-CN"/>
        </w:rPr>
        <w:t>因登记机构的失误或疏忽，或</w:t>
      </w:r>
      <w:r w:rsidR="002610BD">
        <w:rPr>
          <w:rFonts w:hint="eastAsia"/>
          <w:lang w:eastAsia="zh-CN"/>
        </w:rPr>
        <w:t>因</w:t>
      </w:r>
      <w:r w:rsidR="00BB76B5">
        <w:rPr>
          <w:rFonts w:hint="eastAsia"/>
          <w:lang w:eastAsia="zh-CN"/>
        </w:rPr>
        <w:t>国际登记机构的失职</w:t>
      </w:r>
      <w:r w:rsidR="002610BD">
        <w:rPr>
          <w:rFonts w:hint="eastAsia"/>
          <w:lang w:eastAsia="zh-CN"/>
        </w:rPr>
        <w:t>（将要求登记机构取得适当的保险，防止此类不测事件发生），由（自然或道德意义上）个人直接造成的</w:t>
      </w:r>
      <w:r w:rsidR="00CD2E84">
        <w:rPr>
          <w:rFonts w:hint="eastAsia"/>
          <w:lang w:eastAsia="zh-CN"/>
        </w:rPr>
        <w:t>任何损失</w:t>
      </w:r>
      <w:r w:rsidR="00BB76B5">
        <w:rPr>
          <w:rFonts w:hint="eastAsia"/>
          <w:lang w:eastAsia="zh-CN"/>
        </w:rPr>
        <w:t>支付赔偿金。</w:t>
      </w:r>
      <w:bookmarkEnd w:id="23"/>
    </w:p>
    <w:p w:rsidR="0003145E" w:rsidRPr="002C037D" w:rsidRDefault="0003145E" w:rsidP="00007DA6">
      <w:pPr>
        <w:snapToGrid w:val="0"/>
        <w:jc w:val="both"/>
        <w:rPr>
          <w:lang w:eastAsia="zh-CN"/>
        </w:rPr>
      </w:pPr>
      <w:r w:rsidRPr="002C037D">
        <w:rPr>
          <w:lang w:eastAsia="zh-CN"/>
        </w:rPr>
        <w:t>11</w:t>
      </w:r>
      <w:r w:rsidRPr="002C037D">
        <w:rPr>
          <w:lang w:eastAsia="zh-CN"/>
        </w:rPr>
        <w:tab/>
      </w:r>
      <w:bookmarkStart w:id="24" w:name="lt_pId059"/>
      <w:r w:rsidR="00F56D04">
        <w:rPr>
          <w:rFonts w:hint="eastAsia"/>
          <w:lang w:eastAsia="zh-CN"/>
        </w:rPr>
        <w:t>尽管有上述考虑，</w:t>
      </w:r>
      <w:r w:rsidR="00D9259C">
        <w:rPr>
          <w:rFonts w:hint="eastAsia"/>
          <w:lang w:eastAsia="zh-CN"/>
        </w:rPr>
        <w:t>但</w:t>
      </w:r>
      <w:r w:rsidR="00F56D04">
        <w:rPr>
          <w:rFonts w:hint="eastAsia"/>
          <w:lang w:eastAsia="zh-CN"/>
        </w:rPr>
        <w:t>应指出，根据《议定书》第</w:t>
      </w:r>
      <w:r w:rsidR="00F56D04">
        <w:rPr>
          <w:rFonts w:hint="eastAsia"/>
          <w:lang w:eastAsia="zh-CN"/>
        </w:rPr>
        <w:t>27</w:t>
      </w:r>
      <w:r w:rsidR="00007DA6">
        <w:rPr>
          <w:lang w:eastAsia="zh-CN"/>
        </w:rPr>
        <w:t xml:space="preserve"> </w:t>
      </w:r>
      <w:r w:rsidR="00007DA6">
        <w:rPr>
          <w:rFonts w:hint="eastAsia"/>
          <w:lang w:eastAsia="zh-CN"/>
        </w:rPr>
        <w:t>(</w:t>
      </w:r>
      <w:r w:rsidR="00F56D04">
        <w:rPr>
          <w:rFonts w:hint="eastAsia"/>
          <w:lang w:eastAsia="zh-CN"/>
        </w:rPr>
        <w:t>2</w:t>
      </w:r>
      <w:r w:rsidR="00007DA6">
        <w:rPr>
          <w:rFonts w:hint="eastAsia"/>
          <w:lang w:eastAsia="zh-CN"/>
        </w:rPr>
        <w:t>)</w:t>
      </w:r>
      <w:r w:rsidR="00F56D04">
        <w:rPr>
          <w:rFonts w:hint="eastAsia"/>
          <w:lang w:eastAsia="zh-CN"/>
        </w:rPr>
        <w:t>条，监督机构、其官员和雇员根据可适用于国际实体或其他主体的国际协议的规定，享有任何法律或行政进程的豁免权。</w:t>
      </w:r>
      <w:bookmarkEnd w:id="24"/>
    </w:p>
    <w:p w:rsidR="0003145E" w:rsidRPr="002C037D" w:rsidRDefault="0003145E" w:rsidP="00007DA6">
      <w:pPr>
        <w:snapToGrid w:val="0"/>
        <w:jc w:val="both"/>
        <w:rPr>
          <w:lang w:eastAsia="zh-CN"/>
        </w:rPr>
      </w:pPr>
      <w:r w:rsidRPr="002C037D">
        <w:rPr>
          <w:lang w:eastAsia="zh-CN"/>
        </w:rPr>
        <w:t>12</w:t>
      </w:r>
      <w:r w:rsidRPr="002C037D">
        <w:rPr>
          <w:lang w:eastAsia="zh-CN"/>
        </w:rPr>
        <w:tab/>
      </w:r>
      <w:bookmarkStart w:id="25" w:name="lt_pId061"/>
      <w:r w:rsidR="00F56D04">
        <w:rPr>
          <w:rFonts w:hint="eastAsia"/>
          <w:lang w:eastAsia="zh-CN"/>
        </w:rPr>
        <w:t>尽管如此，国际电联承担监督机构的职能</w:t>
      </w:r>
      <w:r w:rsidR="00F56D04">
        <w:rPr>
          <w:color w:val="000000"/>
          <w:lang w:eastAsia="zh-CN"/>
        </w:rPr>
        <w:t>均不构成、或被理解为对国际电联</w:t>
      </w:r>
      <w:r w:rsidR="00F56D04">
        <w:rPr>
          <w:rFonts w:hint="eastAsia"/>
          <w:color w:val="000000"/>
          <w:lang w:eastAsia="zh-CN"/>
        </w:rPr>
        <w:t>及</w:t>
      </w:r>
      <w:r w:rsidR="00F56D04">
        <w:rPr>
          <w:color w:val="000000"/>
          <w:lang w:eastAsia="zh-CN"/>
        </w:rPr>
        <w:t>其</w:t>
      </w:r>
      <w:r w:rsidR="00F56D04">
        <w:rPr>
          <w:rFonts w:hint="eastAsia"/>
          <w:color w:val="000000"/>
          <w:lang w:eastAsia="zh-CN"/>
        </w:rPr>
        <w:t>职员</w:t>
      </w:r>
      <w:r w:rsidR="00CB0921">
        <w:rPr>
          <w:rFonts w:hint="eastAsia"/>
          <w:color w:val="000000"/>
          <w:lang w:eastAsia="zh-CN"/>
        </w:rPr>
        <w:t>减少</w:t>
      </w:r>
      <w:r w:rsidR="00CB0921">
        <w:rPr>
          <w:rFonts w:ascii="SimSun" w:hAnsi="SimSun" w:cs="SimSun" w:hint="eastAsia"/>
          <w:color w:val="000000"/>
          <w:lang w:eastAsia="zh-CN"/>
        </w:rPr>
        <w:t>或</w:t>
      </w:r>
      <w:r w:rsidR="00CB0921">
        <w:rPr>
          <w:color w:val="000000"/>
          <w:lang w:eastAsia="zh-CN"/>
        </w:rPr>
        <w:t>放</w:t>
      </w:r>
      <w:r w:rsidR="00CB0921">
        <w:rPr>
          <w:rFonts w:ascii="SimSun" w:hAnsi="SimSun" w:cs="SimSun" w:hint="eastAsia"/>
          <w:color w:val="000000"/>
          <w:lang w:eastAsia="zh-CN"/>
        </w:rPr>
        <w:t>弃</w:t>
      </w:r>
      <w:r w:rsidR="00F56D04">
        <w:rPr>
          <w:color w:val="000000"/>
          <w:lang w:eastAsia="zh-CN"/>
        </w:rPr>
        <w:t>根据适用于国际电联的国际协定享有的任何</w:t>
      </w:r>
      <w:r w:rsidR="00CB0921" w:rsidRPr="00CB0921">
        <w:rPr>
          <w:rFonts w:hint="eastAsia"/>
          <w:color w:val="000000"/>
          <w:lang w:eastAsia="zh-CN"/>
        </w:rPr>
        <w:t>明示或默示的</w:t>
      </w:r>
      <w:r w:rsidR="00F56D04">
        <w:rPr>
          <w:color w:val="000000"/>
          <w:lang w:eastAsia="zh-CN"/>
        </w:rPr>
        <w:t>特权、豁免权或便利权</w:t>
      </w:r>
      <w:r w:rsidR="00F56D04">
        <w:rPr>
          <w:rFonts w:ascii="SimSun" w:hAnsi="SimSun" w:cs="SimSun" w:hint="eastAsia"/>
          <w:color w:val="000000"/>
          <w:lang w:eastAsia="zh-CN"/>
        </w:rPr>
        <w:t>，或</w:t>
      </w:r>
      <w:r w:rsidR="009F411C">
        <w:rPr>
          <w:rFonts w:ascii="SimSun" w:hAnsi="SimSun" w:cs="SimSun" w:hint="eastAsia"/>
          <w:color w:val="000000"/>
          <w:lang w:eastAsia="zh-CN"/>
        </w:rPr>
        <w:t>将国际电联置于任何</w:t>
      </w:r>
      <w:r w:rsidR="00F56D04">
        <w:rPr>
          <w:color w:val="000000"/>
          <w:lang w:eastAsia="zh-CN"/>
        </w:rPr>
        <w:t>国家</w:t>
      </w:r>
      <w:r w:rsidR="009F411C">
        <w:rPr>
          <w:rFonts w:hint="eastAsia"/>
          <w:color w:val="000000"/>
          <w:lang w:eastAsia="zh-CN"/>
        </w:rPr>
        <w:t>的</w:t>
      </w:r>
      <w:r w:rsidR="00F56D04">
        <w:rPr>
          <w:color w:val="000000"/>
          <w:lang w:eastAsia="zh-CN"/>
        </w:rPr>
        <w:t>法律</w:t>
      </w:r>
      <w:r w:rsidR="009F411C">
        <w:rPr>
          <w:rFonts w:hint="eastAsia"/>
          <w:color w:val="000000"/>
          <w:lang w:eastAsia="zh-CN"/>
        </w:rPr>
        <w:t>或司法管辖下，将这一点作为一项条件</w:t>
      </w:r>
      <w:r w:rsidR="009F411C" w:rsidRPr="009F411C">
        <w:rPr>
          <w:rFonts w:hint="eastAsia"/>
          <w:b/>
          <w:bCs/>
          <w:color w:val="000000"/>
          <w:lang w:eastAsia="zh-CN"/>
        </w:rPr>
        <w:t>非常重要</w:t>
      </w:r>
      <w:r w:rsidR="009F411C">
        <w:rPr>
          <w:rFonts w:hint="eastAsia"/>
          <w:color w:val="000000"/>
          <w:lang w:eastAsia="zh-CN"/>
        </w:rPr>
        <w:t>。</w:t>
      </w:r>
      <w:bookmarkEnd w:id="25"/>
    </w:p>
    <w:p w:rsidR="0003145E" w:rsidRPr="002C037D" w:rsidRDefault="0003145E" w:rsidP="00007DA6">
      <w:pPr>
        <w:snapToGrid w:val="0"/>
        <w:jc w:val="both"/>
        <w:rPr>
          <w:lang w:eastAsia="zh-CN"/>
        </w:rPr>
      </w:pPr>
      <w:r w:rsidRPr="002C037D">
        <w:rPr>
          <w:lang w:eastAsia="zh-CN"/>
        </w:rPr>
        <w:t>13</w:t>
      </w:r>
      <w:r w:rsidRPr="002C037D">
        <w:rPr>
          <w:lang w:eastAsia="zh-CN"/>
        </w:rPr>
        <w:tab/>
      </w:r>
      <w:bookmarkStart w:id="26" w:name="lt_pId063"/>
      <w:r w:rsidR="009F411C">
        <w:rPr>
          <w:rFonts w:hint="eastAsia"/>
          <w:lang w:eastAsia="zh-CN"/>
        </w:rPr>
        <w:t>最后，由国际电联担任监督机构的任何正式协议</w:t>
      </w:r>
      <w:r w:rsidR="009F411C" w:rsidRPr="009F411C">
        <w:rPr>
          <w:rFonts w:hint="eastAsia"/>
          <w:b/>
          <w:bCs/>
          <w:lang w:eastAsia="zh-CN"/>
        </w:rPr>
        <w:t>应</w:t>
      </w:r>
      <w:r w:rsidR="009F411C">
        <w:rPr>
          <w:rFonts w:hint="eastAsia"/>
          <w:lang w:eastAsia="zh-CN"/>
        </w:rPr>
        <w:t>规定合理且有限的期间（如四年，这也是两届全权代表大会之间的间隔），且不应自动续展，而是仅在国际电联明确同意后才予以续展。</w:t>
      </w:r>
      <w:bookmarkStart w:id="27" w:name="lt_pId064"/>
      <w:bookmarkEnd w:id="26"/>
      <w:r w:rsidR="009F411C">
        <w:rPr>
          <w:rFonts w:hint="eastAsia"/>
          <w:lang w:eastAsia="zh-CN"/>
        </w:rPr>
        <w:t>此举可允许</w:t>
      </w:r>
      <w:r w:rsidR="009F411C">
        <w:rPr>
          <w:rFonts w:hint="eastAsia"/>
          <w:lang w:eastAsia="zh-CN"/>
        </w:rPr>
        <w:t>2022</w:t>
      </w:r>
      <w:r w:rsidR="009F411C">
        <w:rPr>
          <w:rFonts w:hint="eastAsia"/>
          <w:lang w:eastAsia="zh-CN"/>
        </w:rPr>
        <w:t>年全权代表大会在</w:t>
      </w:r>
      <w:r w:rsidR="009124CC">
        <w:rPr>
          <w:rFonts w:hint="eastAsia"/>
          <w:lang w:eastAsia="zh-CN"/>
        </w:rPr>
        <w:t>无需承受</w:t>
      </w:r>
      <w:r w:rsidR="009F411C">
        <w:rPr>
          <w:rFonts w:hint="eastAsia"/>
          <w:lang w:eastAsia="zh-CN"/>
        </w:rPr>
        <w:t>不必要的压力且掌握全面信息的情况下决定</w:t>
      </w:r>
      <w:r w:rsidR="009124CC">
        <w:rPr>
          <w:rFonts w:hint="eastAsia"/>
          <w:lang w:eastAsia="zh-CN"/>
        </w:rPr>
        <w:t>国际电联应否继续开展此项活动。</w:t>
      </w:r>
      <w:bookmarkEnd w:id="27"/>
    </w:p>
    <w:p w:rsidR="0003145E" w:rsidRPr="002C037D" w:rsidRDefault="0003145E" w:rsidP="00007DA6">
      <w:r w:rsidRPr="002C037D">
        <w:t>14</w:t>
      </w:r>
      <w:r w:rsidRPr="002C037D">
        <w:tab/>
      </w:r>
      <w:r w:rsidRPr="006B0633">
        <w:rPr>
          <w:lang w:val="fr-FR" w:eastAsia="zh-CN"/>
        </w:rPr>
        <w:t>为使国际电联秘书长能够完全透明地完成这项任务</w:t>
      </w:r>
      <w:r w:rsidRPr="006B0633">
        <w:rPr>
          <w:lang w:eastAsia="zh-CN"/>
        </w:rPr>
        <w:t>，</w:t>
      </w:r>
      <w:r w:rsidRPr="006B0633">
        <w:rPr>
          <w:lang w:val="fr-FR" w:eastAsia="zh-CN"/>
        </w:rPr>
        <w:t>建立了一个向理事国开放的有关《空间议定书》议程的共用点</w:t>
      </w:r>
      <w:r w:rsidRPr="006B0633">
        <w:rPr>
          <w:lang w:eastAsia="zh-CN"/>
        </w:rPr>
        <w:t>（</w:t>
      </w:r>
      <w:r w:rsidRPr="006B0633">
        <w:rPr>
          <w:lang w:eastAsia="zh-CN"/>
        </w:rPr>
        <w:t>Sharepoint</w:t>
      </w:r>
      <w:r w:rsidRPr="006B0633">
        <w:rPr>
          <w:lang w:eastAsia="zh-CN"/>
        </w:rPr>
        <w:t>），</w:t>
      </w:r>
      <w:r w:rsidRPr="006B0633">
        <w:rPr>
          <w:lang w:val="fr-FR" w:eastAsia="zh-CN"/>
        </w:rPr>
        <w:t>以在线分享信息和意见</w:t>
      </w:r>
      <w:r w:rsidRPr="006B0633">
        <w:rPr>
          <w:lang w:eastAsia="zh-CN"/>
        </w:rPr>
        <w:t>（</w:t>
      </w:r>
      <w:r w:rsidRPr="006B0633">
        <w:rPr>
          <w:lang w:eastAsia="zh-CN"/>
        </w:rPr>
        <w:t>2012</w:t>
      </w:r>
      <w:r w:rsidRPr="006B0633">
        <w:rPr>
          <w:lang w:val="fr-FR" w:eastAsia="zh-CN"/>
        </w:rPr>
        <w:t>年</w:t>
      </w:r>
      <w:r w:rsidRPr="006B0633">
        <w:rPr>
          <w:lang w:eastAsia="zh-CN"/>
        </w:rPr>
        <w:t>10</w:t>
      </w:r>
      <w:r w:rsidRPr="006B0633">
        <w:rPr>
          <w:lang w:val="fr-FR" w:eastAsia="zh-CN"/>
        </w:rPr>
        <w:t>月</w:t>
      </w:r>
      <w:r w:rsidRPr="006B0633">
        <w:rPr>
          <w:lang w:eastAsia="zh-CN"/>
        </w:rPr>
        <w:t>15</w:t>
      </w:r>
      <w:r w:rsidRPr="006B0633">
        <w:rPr>
          <w:lang w:val="fr-FR" w:eastAsia="zh-CN"/>
        </w:rPr>
        <w:t>日</w:t>
      </w:r>
      <w:r w:rsidRPr="006B0633">
        <w:rPr>
          <w:lang w:eastAsia="zh-CN"/>
        </w:rPr>
        <w:t>DM-12/1031</w:t>
      </w:r>
      <w:r w:rsidRPr="006B0633">
        <w:rPr>
          <w:lang w:val="fr-FR" w:eastAsia="zh-CN"/>
        </w:rPr>
        <w:t>号函</w:t>
      </w:r>
      <w:r w:rsidRPr="006B0633">
        <w:rPr>
          <w:lang w:eastAsia="zh-CN"/>
        </w:rPr>
        <w:t>），</w:t>
      </w:r>
      <w:r w:rsidRPr="006B0633">
        <w:rPr>
          <w:lang w:val="fr-FR" w:eastAsia="zh-CN"/>
        </w:rPr>
        <w:t>见</w:t>
      </w:r>
      <w:hyperlink r:id="rId25" w:history="1">
        <w:r w:rsidRPr="006B0633">
          <w:rPr>
            <w:color w:val="0000FF"/>
            <w:szCs w:val="24"/>
            <w:u w:val="single"/>
            <w:lang w:eastAsia="zh-CN"/>
          </w:rPr>
          <w:t>https://extranet.itu.int/ITU-R/space-assets</w:t>
        </w:r>
      </w:hyperlink>
      <w:r w:rsidRPr="006B0633">
        <w:rPr>
          <w:lang w:val="en-US" w:eastAsia="zh-CN"/>
        </w:rPr>
        <w:t>。</w:t>
      </w:r>
    </w:p>
    <w:p w:rsidR="0003145E" w:rsidRPr="006B0633" w:rsidRDefault="0003145E" w:rsidP="00007DA6">
      <w:pPr>
        <w:snapToGrid w:val="0"/>
        <w:jc w:val="both"/>
        <w:rPr>
          <w:lang w:eastAsia="zh-CN"/>
        </w:rPr>
      </w:pPr>
      <w:r w:rsidRPr="002C037D">
        <w:rPr>
          <w:lang w:eastAsia="zh-CN"/>
        </w:rPr>
        <w:t>15</w:t>
      </w:r>
      <w:r w:rsidRPr="002C037D">
        <w:rPr>
          <w:lang w:eastAsia="zh-CN"/>
        </w:rPr>
        <w:tab/>
      </w:r>
      <w:r w:rsidRPr="006B0633">
        <w:rPr>
          <w:rFonts w:cs="Microsoft YaHei" w:hint="eastAsia"/>
          <w:lang w:eastAsia="zh-CN"/>
        </w:rPr>
        <w:t>为了有助于推动成立空间资产国际登记的</w:t>
      </w:r>
      <w:r w:rsidR="00E662B7">
        <w:rPr>
          <w:rFonts w:cs="Microsoft YaHei" w:hint="eastAsia"/>
          <w:lang w:eastAsia="zh-CN"/>
        </w:rPr>
        <w:t>持续</w:t>
      </w:r>
      <w:r w:rsidRPr="006B0633">
        <w:rPr>
          <w:rFonts w:cs="Microsoft YaHei" w:hint="eastAsia"/>
          <w:lang w:eastAsia="zh-CN"/>
        </w:rPr>
        <w:t>进程，请理事会</w:t>
      </w:r>
      <w:r w:rsidRPr="00E662B7">
        <w:rPr>
          <w:rFonts w:cs="Microsoft YaHei" w:hint="eastAsia"/>
          <w:b/>
          <w:bCs/>
          <w:lang w:eastAsia="zh-CN"/>
        </w:rPr>
        <w:t>批准</w:t>
      </w:r>
      <w:r w:rsidRPr="006B0633">
        <w:rPr>
          <w:rFonts w:cs="Microsoft YaHei" w:hint="eastAsia"/>
          <w:lang w:eastAsia="zh-CN"/>
        </w:rPr>
        <w:t>在《议定书》生效之时或之后，国际电联成为监督机构一事，</w:t>
      </w:r>
      <w:r w:rsidR="00E662B7">
        <w:rPr>
          <w:rFonts w:asciiTheme="minorHAnsi" w:hAnsiTheme="minorHAnsi" w:hint="eastAsia"/>
          <w:lang w:eastAsia="zh-CN"/>
        </w:rPr>
        <w:t>并向</w:t>
      </w:r>
      <w:r w:rsidR="00E662B7">
        <w:rPr>
          <w:rFonts w:asciiTheme="minorHAnsi" w:hAnsiTheme="minorHAnsi" w:hint="eastAsia"/>
          <w:lang w:eastAsia="zh-CN"/>
        </w:rPr>
        <w:t>2018</w:t>
      </w:r>
      <w:r w:rsidR="00E662B7">
        <w:rPr>
          <w:rFonts w:asciiTheme="minorHAnsi" w:hAnsiTheme="minorHAnsi" w:hint="eastAsia"/>
          <w:lang w:eastAsia="zh-CN"/>
        </w:rPr>
        <w:t>年全权代表大会建议采取这一做法，</w:t>
      </w:r>
      <w:r w:rsidRPr="006B0633">
        <w:rPr>
          <w:rFonts w:cs="Microsoft YaHei" w:hint="eastAsia"/>
          <w:lang w:eastAsia="zh-CN"/>
        </w:rPr>
        <w:t>同时</w:t>
      </w:r>
      <w:r w:rsidR="00E662B7">
        <w:rPr>
          <w:rFonts w:cs="Microsoft YaHei" w:hint="eastAsia"/>
          <w:lang w:eastAsia="zh-CN"/>
        </w:rPr>
        <w:t>注意到</w:t>
      </w:r>
      <w:r w:rsidRPr="006B0633">
        <w:rPr>
          <w:rFonts w:cs="Microsoft YaHei" w:hint="eastAsia"/>
          <w:lang w:eastAsia="zh-CN"/>
        </w:rPr>
        <w:t>将在下一届全权代表大会上就国际电联是否可以担任监督机构一事做出最终的决定。</w:t>
      </w:r>
    </w:p>
    <w:p w:rsidR="0003145E" w:rsidRPr="006B0633" w:rsidRDefault="0003145E" w:rsidP="00007DA6">
      <w:pPr>
        <w:snapToGrid w:val="0"/>
        <w:jc w:val="both"/>
        <w:rPr>
          <w:lang w:eastAsia="zh-CN"/>
        </w:rPr>
      </w:pPr>
      <w:r w:rsidRPr="002C037D">
        <w:rPr>
          <w:lang w:eastAsia="zh-CN"/>
        </w:rPr>
        <w:t>16</w:t>
      </w:r>
      <w:r w:rsidRPr="002C037D">
        <w:rPr>
          <w:lang w:eastAsia="zh-CN"/>
        </w:rPr>
        <w:tab/>
      </w:r>
      <w:r w:rsidRPr="00E662B7">
        <w:rPr>
          <w:lang w:val="fr-FR" w:eastAsia="zh-CN"/>
        </w:rPr>
        <w:t>亦请</w:t>
      </w:r>
      <w:r w:rsidRPr="006B0633">
        <w:rPr>
          <w:lang w:val="fr-FR" w:eastAsia="zh-CN"/>
        </w:rPr>
        <w:t>理事会</w:t>
      </w:r>
      <w:r w:rsidRPr="00E662B7">
        <w:rPr>
          <w:b/>
          <w:bCs/>
          <w:lang w:val="fr-FR" w:eastAsia="zh-CN"/>
        </w:rPr>
        <w:t>授权</w:t>
      </w:r>
      <w:r w:rsidRPr="006B0633">
        <w:rPr>
          <w:lang w:val="fr-FR" w:eastAsia="zh-CN"/>
        </w:rPr>
        <w:t>秘书长或其代表</w:t>
      </w:r>
      <w:r w:rsidR="009F0A1E">
        <w:rPr>
          <w:rFonts w:hint="eastAsia"/>
          <w:lang w:val="fr-FR" w:eastAsia="zh-CN"/>
        </w:rPr>
        <w:t>作为观察员</w:t>
      </w:r>
      <w:r w:rsidRPr="006B0633">
        <w:rPr>
          <w:lang w:val="fr-FR" w:eastAsia="zh-CN"/>
        </w:rPr>
        <w:t>继续参加筹备委员会及其工作组的工作。</w:t>
      </w:r>
    </w:p>
    <w:p w:rsidR="003B0F84" w:rsidRDefault="003B0F84" w:rsidP="0032202E">
      <w:pPr>
        <w:pStyle w:val="Reasons"/>
        <w:rPr>
          <w:lang w:eastAsia="zh-CN"/>
        </w:rPr>
      </w:pPr>
    </w:p>
    <w:p w:rsidR="003B0F84" w:rsidRDefault="003B0F84">
      <w:pPr>
        <w:jc w:val="center"/>
      </w:pPr>
      <w:r>
        <w:t>______________</w:t>
      </w:r>
    </w:p>
    <w:sectPr w:rsidR="003B0F84" w:rsidSect="006C36CD">
      <w:headerReference w:type="default" r:id="rId26"/>
      <w:footerReference w:type="default" r:id="rId27"/>
      <w:footerReference w:type="first" r:id="rId2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358" w:rsidRDefault="00A24358">
      <w:r>
        <w:separator/>
      </w:r>
    </w:p>
  </w:endnote>
  <w:endnote w:type="continuationSeparator" w:id="0">
    <w:p w:rsidR="00A24358" w:rsidRDefault="00A24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YaHei">
    <w:altName w:val="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E30" w:rsidRPr="00C55B22" w:rsidRDefault="00C55B22" w:rsidP="0003145E">
    <w:pPr>
      <w:pStyle w:val="Footer"/>
      <w:rPr>
        <w:color w:val="D9D9D9" w:themeColor="background1" w:themeShade="D9"/>
      </w:rPr>
    </w:pPr>
    <w:r w:rsidRPr="00C55B22">
      <w:rPr>
        <w:color w:val="D9D9D9" w:themeColor="background1" w:themeShade="D9"/>
      </w:rPr>
      <w:fldChar w:fldCharType="begin"/>
    </w:r>
    <w:r w:rsidRPr="00C55B22">
      <w:rPr>
        <w:color w:val="D9D9D9" w:themeColor="background1" w:themeShade="D9"/>
      </w:rPr>
      <w:instrText xml:space="preserve"> FILENAME \p \* MERGEFORMAT </w:instrText>
    </w:r>
    <w:r w:rsidRPr="00C55B22">
      <w:rPr>
        <w:color w:val="D9D9D9" w:themeColor="background1" w:themeShade="D9"/>
      </w:rPr>
      <w:fldChar w:fldCharType="separate"/>
    </w:r>
    <w:r w:rsidR="00A941D9" w:rsidRPr="00C55B22">
      <w:rPr>
        <w:color w:val="D9D9D9" w:themeColor="background1" w:themeShade="D9"/>
      </w:rPr>
      <w:t>P:\CHI\SG\CONSEIL\C17\000\036C.docx</w:t>
    </w:r>
    <w:r w:rsidRPr="00C55B22">
      <w:rPr>
        <w:color w:val="D9D9D9" w:themeColor="background1" w:themeShade="D9"/>
      </w:rPr>
      <w:fldChar w:fldCharType="end"/>
    </w:r>
    <w:r w:rsidR="00EE3E30" w:rsidRPr="00C55B22">
      <w:rPr>
        <w:color w:val="D9D9D9" w:themeColor="background1" w:themeShade="D9"/>
      </w:rPr>
      <w:t xml:space="preserve"> (</w:t>
    </w:r>
    <w:r w:rsidR="0003145E" w:rsidRPr="00C55B22">
      <w:rPr>
        <w:color w:val="D9D9D9" w:themeColor="background1" w:themeShade="D9"/>
      </w:rPr>
      <w:t>409486</w:t>
    </w:r>
    <w:r w:rsidR="00EE3E30" w:rsidRPr="00C55B22">
      <w:rPr>
        <w:color w:val="D9D9D9" w:themeColor="background1" w:themeShade="D9"/>
      </w:rPr>
      <w:t>)</w:t>
    </w:r>
    <w:r w:rsidR="00EE3E30" w:rsidRPr="00C55B22">
      <w:rPr>
        <w:color w:val="D9D9D9" w:themeColor="background1" w:themeShade="D9"/>
      </w:rPr>
      <w:tab/>
    </w:r>
    <w:r w:rsidR="00EE3E30" w:rsidRPr="00C55B22">
      <w:rPr>
        <w:color w:val="D9D9D9" w:themeColor="background1" w:themeShade="D9"/>
      </w:rPr>
      <w:fldChar w:fldCharType="begin"/>
    </w:r>
    <w:r w:rsidR="00EE3E30" w:rsidRPr="00C55B22">
      <w:rPr>
        <w:color w:val="D9D9D9" w:themeColor="background1" w:themeShade="D9"/>
      </w:rPr>
      <w:instrText xml:space="preserve"> savedate \@ dd.MM.yy </w:instrText>
    </w:r>
    <w:r w:rsidR="00EE3E30" w:rsidRPr="00C55B22">
      <w:rPr>
        <w:color w:val="D9D9D9" w:themeColor="background1" w:themeShade="D9"/>
      </w:rPr>
      <w:fldChar w:fldCharType="separate"/>
    </w:r>
    <w:r w:rsidRPr="00C55B22">
      <w:rPr>
        <w:color w:val="D9D9D9" w:themeColor="background1" w:themeShade="D9"/>
      </w:rPr>
      <w:t>28.03.17</w:t>
    </w:r>
    <w:r w:rsidR="00EE3E30" w:rsidRPr="00C55B22">
      <w:rPr>
        <w:color w:val="D9D9D9" w:themeColor="background1" w:themeShade="D9"/>
      </w:rPr>
      <w:fldChar w:fldCharType="end"/>
    </w:r>
    <w:r w:rsidR="00EE3E30" w:rsidRPr="00C55B22">
      <w:rPr>
        <w:color w:val="D9D9D9" w:themeColor="background1" w:themeShade="D9"/>
      </w:rPr>
      <w:tab/>
    </w:r>
    <w:r w:rsidR="00EE3E30" w:rsidRPr="00C55B22">
      <w:rPr>
        <w:color w:val="D9D9D9" w:themeColor="background1" w:themeShade="D9"/>
      </w:rPr>
      <w:fldChar w:fldCharType="begin"/>
    </w:r>
    <w:r w:rsidR="00EE3E30" w:rsidRPr="00C55B22">
      <w:rPr>
        <w:color w:val="D9D9D9" w:themeColor="background1" w:themeShade="D9"/>
      </w:rPr>
      <w:instrText xml:space="preserve"> printdate \@ dd.MM.yy </w:instrText>
    </w:r>
    <w:r w:rsidR="00EE3E30" w:rsidRPr="00C55B22">
      <w:rPr>
        <w:color w:val="D9D9D9" w:themeColor="background1" w:themeShade="D9"/>
      </w:rPr>
      <w:fldChar w:fldCharType="separate"/>
    </w:r>
    <w:r w:rsidR="00D9259C" w:rsidRPr="00C55B22">
      <w:rPr>
        <w:color w:val="D9D9D9" w:themeColor="background1" w:themeShade="D9"/>
      </w:rPr>
      <w:t>27.03.17</w:t>
    </w:r>
    <w:r w:rsidR="00EE3E30" w:rsidRPr="00C55B22">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EE3E30" w:rsidRPr="00C55B22" w:rsidRDefault="00C55B22" w:rsidP="0003145E">
    <w:pPr>
      <w:pStyle w:val="Footer"/>
      <w:rPr>
        <w:color w:val="D9D9D9" w:themeColor="background1" w:themeShade="D9"/>
      </w:rPr>
    </w:pPr>
    <w:r w:rsidRPr="00C55B22">
      <w:rPr>
        <w:color w:val="D9D9D9" w:themeColor="background1" w:themeShade="D9"/>
      </w:rPr>
      <w:fldChar w:fldCharType="begin"/>
    </w:r>
    <w:r w:rsidRPr="00C55B22">
      <w:rPr>
        <w:color w:val="D9D9D9" w:themeColor="background1" w:themeShade="D9"/>
      </w:rPr>
      <w:instrText xml:space="preserve"> FILENAME \p \* MERGEFORMAT </w:instrText>
    </w:r>
    <w:r w:rsidRPr="00C55B22">
      <w:rPr>
        <w:color w:val="D9D9D9" w:themeColor="background1" w:themeShade="D9"/>
      </w:rPr>
      <w:fldChar w:fldCharType="separate"/>
    </w:r>
    <w:r w:rsidR="00A941D9" w:rsidRPr="00C55B22">
      <w:rPr>
        <w:color w:val="D9D9D9" w:themeColor="background1" w:themeShade="D9"/>
      </w:rPr>
      <w:t>P:\CHI\SG\CONSEIL\C17\000\036C.docx</w:t>
    </w:r>
    <w:r w:rsidRPr="00C55B22">
      <w:rPr>
        <w:color w:val="D9D9D9" w:themeColor="background1" w:themeShade="D9"/>
      </w:rPr>
      <w:fldChar w:fldCharType="end"/>
    </w:r>
    <w:r w:rsidR="00EE3E30" w:rsidRPr="00C55B22">
      <w:rPr>
        <w:color w:val="D9D9D9" w:themeColor="background1" w:themeShade="D9"/>
      </w:rPr>
      <w:t xml:space="preserve"> (</w:t>
    </w:r>
    <w:r w:rsidR="0003145E" w:rsidRPr="00C55B22">
      <w:rPr>
        <w:color w:val="D9D9D9" w:themeColor="background1" w:themeShade="D9"/>
      </w:rPr>
      <w:t>409486</w:t>
    </w:r>
    <w:r w:rsidR="00EE3E30" w:rsidRPr="00C55B22">
      <w:rPr>
        <w:color w:val="D9D9D9" w:themeColor="background1" w:themeShade="D9"/>
      </w:rPr>
      <w:t>)</w:t>
    </w:r>
    <w:r w:rsidR="00EE3E30" w:rsidRPr="00C55B22">
      <w:rPr>
        <w:color w:val="D9D9D9" w:themeColor="background1" w:themeShade="D9"/>
      </w:rPr>
      <w:tab/>
    </w:r>
    <w:r w:rsidR="00EE3E30" w:rsidRPr="00C55B22">
      <w:rPr>
        <w:color w:val="D9D9D9" w:themeColor="background1" w:themeShade="D9"/>
      </w:rPr>
      <w:fldChar w:fldCharType="begin"/>
    </w:r>
    <w:r w:rsidR="00EE3E30" w:rsidRPr="00C55B22">
      <w:rPr>
        <w:color w:val="D9D9D9" w:themeColor="background1" w:themeShade="D9"/>
      </w:rPr>
      <w:instrText xml:space="preserve"> savedate \@ dd.MM.yy </w:instrText>
    </w:r>
    <w:r w:rsidR="00EE3E30" w:rsidRPr="00C55B22">
      <w:rPr>
        <w:color w:val="D9D9D9" w:themeColor="background1" w:themeShade="D9"/>
      </w:rPr>
      <w:fldChar w:fldCharType="separate"/>
    </w:r>
    <w:r w:rsidRPr="00C55B22">
      <w:rPr>
        <w:color w:val="D9D9D9" w:themeColor="background1" w:themeShade="D9"/>
      </w:rPr>
      <w:t>28.03.17</w:t>
    </w:r>
    <w:r w:rsidR="00EE3E30" w:rsidRPr="00C55B22">
      <w:rPr>
        <w:color w:val="D9D9D9" w:themeColor="background1" w:themeShade="D9"/>
      </w:rPr>
      <w:fldChar w:fldCharType="end"/>
    </w:r>
    <w:r w:rsidR="00EE3E30" w:rsidRPr="00C55B22">
      <w:rPr>
        <w:color w:val="D9D9D9" w:themeColor="background1" w:themeShade="D9"/>
      </w:rPr>
      <w:tab/>
    </w:r>
    <w:r w:rsidR="00EE3E30" w:rsidRPr="00C55B22">
      <w:rPr>
        <w:color w:val="D9D9D9" w:themeColor="background1" w:themeShade="D9"/>
      </w:rPr>
      <w:fldChar w:fldCharType="begin"/>
    </w:r>
    <w:r w:rsidR="00EE3E30" w:rsidRPr="00C55B22">
      <w:rPr>
        <w:color w:val="D9D9D9" w:themeColor="background1" w:themeShade="D9"/>
      </w:rPr>
      <w:instrText xml:space="preserve"> printdate \@ dd.MM.yy </w:instrText>
    </w:r>
    <w:r w:rsidR="00EE3E30" w:rsidRPr="00C55B22">
      <w:rPr>
        <w:color w:val="D9D9D9" w:themeColor="background1" w:themeShade="D9"/>
      </w:rPr>
      <w:fldChar w:fldCharType="separate"/>
    </w:r>
    <w:r w:rsidR="00D9259C" w:rsidRPr="00C55B22">
      <w:rPr>
        <w:color w:val="D9D9D9" w:themeColor="background1" w:themeShade="D9"/>
      </w:rPr>
      <w:t>27.03.17</w:t>
    </w:r>
    <w:r w:rsidR="00EE3E30" w:rsidRPr="00C55B22">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358" w:rsidRDefault="00A24358">
      <w:r>
        <w:t>____________________</w:t>
      </w:r>
    </w:p>
  </w:footnote>
  <w:footnote w:type="continuationSeparator" w:id="0">
    <w:p w:rsidR="00A24358" w:rsidRDefault="00A243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C55B22">
      <w:rPr>
        <w:noProof/>
      </w:rPr>
      <w:t>2</w:t>
    </w:r>
    <w:r>
      <w:rPr>
        <w:noProof/>
      </w:rPr>
      <w:fldChar w:fldCharType="end"/>
    </w:r>
  </w:p>
  <w:p w:rsidR="00AC516F" w:rsidRDefault="0098459B" w:rsidP="0003145E">
    <w:pPr>
      <w:pStyle w:val="Header"/>
      <w:rPr>
        <w:lang w:eastAsia="zh-CN"/>
      </w:rPr>
    </w:pPr>
    <w:r>
      <w:t>C1</w:t>
    </w:r>
    <w:r w:rsidR="0003145E">
      <w:rPr>
        <w:lang w:eastAsia="zh-CN"/>
      </w:rPr>
      <w:t>7</w:t>
    </w:r>
    <w:r w:rsidR="004672E6">
      <w:t>/</w:t>
    </w:r>
    <w:r w:rsidR="00195C6C">
      <w:rPr>
        <w:rFonts w:hint="eastAsia"/>
        <w:lang w:eastAsia="zh-CN"/>
      </w:rPr>
      <w:t>3</w:t>
    </w:r>
    <w:r w:rsidR="00EE3E30">
      <w:rPr>
        <w:lang w:eastAsia="zh-CN"/>
      </w:rPr>
      <w:t>6</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1A4"/>
    <w:rsid w:val="00001B77"/>
    <w:rsid w:val="0000517A"/>
    <w:rsid w:val="00007DA6"/>
    <w:rsid w:val="0003145E"/>
    <w:rsid w:val="000404D2"/>
    <w:rsid w:val="00047DCC"/>
    <w:rsid w:val="00051DB6"/>
    <w:rsid w:val="000853C0"/>
    <w:rsid w:val="000920A9"/>
    <w:rsid w:val="000A1C21"/>
    <w:rsid w:val="000D15EA"/>
    <w:rsid w:val="00100D84"/>
    <w:rsid w:val="00124C9D"/>
    <w:rsid w:val="00157773"/>
    <w:rsid w:val="0018251A"/>
    <w:rsid w:val="00190272"/>
    <w:rsid w:val="00193244"/>
    <w:rsid w:val="00195C6C"/>
    <w:rsid w:val="00195FED"/>
    <w:rsid w:val="001A2917"/>
    <w:rsid w:val="001A4BD6"/>
    <w:rsid w:val="001D5A18"/>
    <w:rsid w:val="00253E7A"/>
    <w:rsid w:val="002610BD"/>
    <w:rsid w:val="002739B2"/>
    <w:rsid w:val="00280EB8"/>
    <w:rsid w:val="002A6670"/>
    <w:rsid w:val="00303502"/>
    <w:rsid w:val="00325C25"/>
    <w:rsid w:val="00372C8F"/>
    <w:rsid w:val="00380ECE"/>
    <w:rsid w:val="00393DDF"/>
    <w:rsid w:val="00397F55"/>
    <w:rsid w:val="003B0F84"/>
    <w:rsid w:val="003B4454"/>
    <w:rsid w:val="003F1415"/>
    <w:rsid w:val="003F21A4"/>
    <w:rsid w:val="0040144C"/>
    <w:rsid w:val="00403EB7"/>
    <w:rsid w:val="004265A5"/>
    <w:rsid w:val="00430BF0"/>
    <w:rsid w:val="00454727"/>
    <w:rsid w:val="004672E6"/>
    <w:rsid w:val="00474ED1"/>
    <w:rsid w:val="00493085"/>
    <w:rsid w:val="004A36EC"/>
    <w:rsid w:val="004D163F"/>
    <w:rsid w:val="004E4BFF"/>
    <w:rsid w:val="004F2598"/>
    <w:rsid w:val="005403F7"/>
    <w:rsid w:val="00540632"/>
    <w:rsid w:val="00541CF4"/>
    <w:rsid w:val="005451E8"/>
    <w:rsid w:val="005507F2"/>
    <w:rsid w:val="0055796A"/>
    <w:rsid w:val="00566EDC"/>
    <w:rsid w:val="005759CC"/>
    <w:rsid w:val="005A72E1"/>
    <w:rsid w:val="005C6632"/>
    <w:rsid w:val="005D1C9E"/>
    <w:rsid w:val="00654257"/>
    <w:rsid w:val="0065435A"/>
    <w:rsid w:val="006A2DD3"/>
    <w:rsid w:val="006A5AF8"/>
    <w:rsid w:val="006C36CD"/>
    <w:rsid w:val="00700D1F"/>
    <w:rsid w:val="007205CB"/>
    <w:rsid w:val="00726073"/>
    <w:rsid w:val="00726448"/>
    <w:rsid w:val="00734FE8"/>
    <w:rsid w:val="007360CE"/>
    <w:rsid w:val="00772315"/>
    <w:rsid w:val="00775157"/>
    <w:rsid w:val="007813AE"/>
    <w:rsid w:val="007A37DB"/>
    <w:rsid w:val="007E189D"/>
    <w:rsid w:val="007E7E60"/>
    <w:rsid w:val="00811259"/>
    <w:rsid w:val="00813AA2"/>
    <w:rsid w:val="008173A3"/>
    <w:rsid w:val="0086059C"/>
    <w:rsid w:val="00864589"/>
    <w:rsid w:val="00890AFB"/>
    <w:rsid w:val="00890FC4"/>
    <w:rsid w:val="00895905"/>
    <w:rsid w:val="008A76F0"/>
    <w:rsid w:val="008D6FB4"/>
    <w:rsid w:val="009124CC"/>
    <w:rsid w:val="009164A9"/>
    <w:rsid w:val="009258CB"/>
    <w:rsid w:val="0093362E"/>
    <w:rsid w:val="00944563"/>
    <w:rsid w:val="00953160"/>
    <w:rsid w:val="009625D8"/>
    <w:rsid w:val="00962986"/>
    <w:rsid w:val="0098459B"/>
    <w:rsid w:val="00997185"/>
    <w:rsid w:val="009C2458"/>
    <w:rsid w:val="009C4A7B"/>
    <w:rsid w:val="009C6123"/>
    <w:rsid w:val="009D62C8"/>
    <w:rsid w:val="009F0A1E"/>
    <w:rsid w:val="009F1E3E"/>
    <w:rsid w:val="009F411C"/>
    <w:rsid w:val="00A1213C"/>
    <w:rsid w:val="00A24358"/>
    <w:rsid w:val="00A272FF"/>
    <w:rsid w:val="00A40B6B"/>
    <w:rsid w:val="00A43EE5"/>
    <w:rsid w:val="00A941D9"/>
    <w:rsid w:val="00AB42C1"/>
    <w:rsid w:val="00AC516F"/>
    <w:rsid w:val="00AE2926"/>
    <w:rsid w:val="00B0184B"/>
    <w:rsid w:val="00B035CD"/>
    <w:rsid w:val="00B0769D"/>
    <w:rsid w:val="00B217F8"/>
    <w:rsid w:val="00B332EA"/>
    <w:rsid w:val="00B33838"/>
    <w:rsid w:val="00B40968"/>
    <w:rsid w:val="00B40A53"/>
    <w:rsid w:val="00B45365"/>
    <w:rsid w:val="00B46A65"/>
    <w:rsid w:val="00B60184"/>
    <w:rsid w:val="00B62D20"/>
    <w:rsid w:val="00B81E75"/>
    <w:rsid w:val="00BB76B5"/>
    <w:rsid w:val="00BD1A5A"/>
    <w:rsid w:val="00BD7A9B"/>
    <w:rsid w:val="00BD7BE1"/>
    <w:rsid w:val="00BF416B"/>
    <w:rsid w:val="00C45316"/>
    <w:rsid w:val="00C50126"/>
    <w:rsid w:val="00C55B22"/>
    <w:rsid w:val="00C63197"/>
    <w:rsid w:val="00C64E4E"/>
    <w:rsid w:val="00C66E64"/>
    <w:rsid w:val="00C761A0"/>
    <w:rsid w:val="00C85F7E"/>
    <w:rsid w:val="00CB0921"/>
    <w:rsid w:val="00CD2E84"/>
    <w:rsid w:val="00CD47F0"/>
    <w:rsid w:val="00CD5566"/>
    <w:rsid w:val="00CD64D7"/>
    <w:rsid w:val="00CE6F22"/>
    <w:rsid w:val="00CF41F6"/>
    <w:rsid w:val="00CF7D3E"/>
    <w:rsid w:val="00D02B4E"/>
    <w:rsid w:val="00D36817"/>
    <w:rsid w:val="00D5666C"/>
    <w:rsid w:val="00D666BC"/>
    <w:rsid w:val="00D83542"/>
    <w:rsid w:val="00D9259C"/>
    <w:rsid w:val="00D92F45"/>
    <w:rsid w:val="00D94637"/>
    <w:rsid w:val="00D9725C"/>
    <w:rsid w:val="00DA7006"/>
    <w:rsid w:val="00DC6427"/>
    <w:rsid w:val="00DD66A1"/>
    <w:rsid w:val="00DE196D"/>
    <w:rsid w:val="00DF6B49"/>
    <w:rsid w:val="00E067C5"/>
    <w:rsid w:val="00E265BF"/>
    <w:rsid w:val="00E378D8"/>
    <w:rsid w:val="00E43A12"/>
    <w:rsid w:val="00E662B7"/>
    <w:rsid w:val="00E67C67"/>
    <w:rsid w:val="00E77476"/>
    <w:rsid w:val="00E8228B"/>
    <w:rsid w:val="00E872CC"/>
    <w:rsid w:val="00EE3E30"/>
    <w:rsid w:val="00EE5706"/>
    <w:rsid w:val="00EF373D"/>
    <w:rsid w:val="00F11595"/>
    <w:rsid w:val="00F13BC9"/>
    <w:rsid w:val="00F15411"/>
    <w:rsid w:val="00F162BF"/>
    <w:rsid w:val="00F357B2"/>
    <w:rsid w:val="00F36556"/>
    <w:rsid w:val="00F56D04"/>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D00F4B62-D10D-4F67-8169-9CD5D806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13-CL-C-0015/en" TargetMode="External"/><Relationship Id="rId18" Type="http://schemas.openxmlformats.org/officeDocument/2006/relationships/hyperlink" Target="http://www.itu.int/md/S14-CL-INF-0012/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tu.int/md/S15-CL-C-0026/en" TargetMode="External"/><Relationship Id="rId7" Type="http://schemas.openxmlformats.org/officeDocument/2006/relationships/endnotes" Target="endnotes.xml"/><Relationship Id="rId12" Type="http://schemas.openxmlformats.org/officeDocument/2006/relationships/hyperlink" Target="http://www.itu.int/md/S12-CL-C-0094/en" TargetMode="External"/><Relationship Id="rId17" Type="http://schemas.openxmlformats.org/officeDocument/2006/relationships/hyperlink" Target="http://www.itu.int/md/S14-CL-C-0013/en" TargetMode="External"/><Relationship Id="rId25" Type="http://schemas.openxmlformats.org/officeDocument/2006/relationships/hyperlink" Target="https://extranet.itu.int/ITU-R/space-assets" TargetMode="External"/><Relationship Id="rId2" Type="http://schemas.openxmlformats.org/officeDocument/2006/relationships/numbering" Target="numbering.xml"/><Relationship Id="rId16" Type="http://schemas.openxmlformats.org/officeDocument/2006/relationships/hyperlink" Target="http://www.itu.int/md/S13-CL-C-0107/en" TargetMode="External"/><Relationship Id="rId20" Type="http://schemas.openxmlformats.org/officeDocument/2006/relationships/hyperlink" Target="http://www.itu.int/md/S14-PP-INF-0001/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2-CL-C-0036/en" TargetMode="External"/><Relationship Id="rId24" Type="http://schemas.openxmlformats.org/officeDocument/2006/relationships/hyperlink" Target="http://www.itu.int/md/S16-CL-C-0120/en" TargetMode="External"/><Relationship Id="rId5" Type="http://schemas.openxmlformats.org/officeDocument/2006/relationships/webSettings" Target="webSettings.xml"/><Relationship Id="rId15" Type="http://schemas.openxmlformats.org/officeDocument/2006/relationships/hyperlink" Target="http://www.itu.int/md/S13-CL-C-0055/en" TargetMode="External"/><Relationship Id="rId23" Type="http://schemas.openxmlformats.org/officeDocument/2006/relationships/hyperlink" Target="http://www.itu.int/md/S16-CL-C-0036/en" TargetMode="External"/><Relationship Id="rId28" Type="http://schemas.openxmlformats.org/officeDocument/2006/relationships/footer" Target="footer2.xml"/><Relationship Id="rId10" Type="http://schemas.openxmlformats.org/officeDocument/2006/relationships/hyperlink" Target="http://www.itu.int/md/S11-CL-C-0100/en" TargetMode="External"/><Relationship Id="rId19" Type="http://schemas.openxmlformats.org/officeDocument/2006/relationships/hyperlink" Target="http://www.itu.int/md/S14-PP-C-0062/en" TargetMode="External"/><Relationship Id="rId4" Type="http://schemas.openxmlformats.org/officeDocument/2006/relationships/settings" Target="settings.xml"/><Relationship Id="rId9" Type="http://schemas.openxmlformats.org/officeDocument/2006/relationships/hyperlink" Target="http://www.itu.int/md/S11-CL-C-0026/en" TargetMode="External"/><Relationship Id="rId14" Type="http://schemas.openxmlformats.org/officeDocument/2006/relationships/hyperlink" Target="http://www.itu.int/md/S13-CL-C-0019/en" TargetMode="External"/><Relationship Id="rId22" Type="http://schemas.openxmlformats.org/officeDocument/2006/relationships/hyperlink" Target="http://www.itu.int/md/S15-CL-C-0123/en"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C0B28-4696-428C-9E54-66B427AB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2517</Words>
  <Characters>1327</Characters>
  <Application>Microsoft Office Word</Application>
  <DocSecurity>4</DocSecurity>
  <Lines>11</Lines>
  <Paragraphs>7</Paragraphs>
  <ScaleCrop>false</ScaleCrop>
  <HeadingPairs>
    <vt:vector size="2" baseType="variant">
      <vt:variant>
        <vt:lpstr>Title</vt:lpstr>
      </vt:variant>
      <vt:variant>
        <vt:i4>1</vt:i4>
      </vt:variant>
    </vt:vector>
  </HeadingPairs>
  <TitlesOfParts>
    <vt:vector size="1" baseType="lpstr">
      <vt:lpstr>国际电联按照《空间议定书》</vt:lpstr>
    </vt:vector>
  </TitlesOfParts>
  <Manager>General Secretariat - Pool</Manager>
  <Company>International Telecommunication Union (ITU)</Company>
  <LinksUpToDate>false</LinksUpToDate>
  <CharactersWithSpaces>3837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国际电联按照《空间议定书》</dc:title>
  <dc:subject>Council 2017</dc:subject>
  <dc:creator>Yuan, Tianxiang</dc:creator>
  <cp:keywords>C2017, C17</cp:keywords>
  <dc:description/>
  <cp:lastModifiedBy>Brouard, Ricarda</cp:lastModifiedBy>
  <cp:revision>2</cp:revision>
  <cp:lastPrinted>2017-03-27T12:48:00Z</cp:lastPrinted>
  <dcterms:created xsi:type="dcterms:W3CDTF">2017-03-29T14:24:00Z</dcterms:created>
  <dcterms:modified xsi:type="dcterms:W3CDTF">2017-03-29T14:24:00Z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