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BB45D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sidRPr="00E42944">
              <w:rPr>
                <w:rFonts w:eastAsiaTheme="minorEastAsia" w:hint="cs"/>
                <w:b/>
                <w:bCs/>
                <w:rtl/>
                <w:lang w:eastAsia="zh-CN" w:bidi="ar-EG"/>
              </w:rPr>
              <w:t xml:space="preserve">بند جدول الأعمال: </w:t>
            </w:r>
            <w:bookmarkStart w:id="1" w:name="lt_pId006"/>
            <w:r w:rsidR="00441DE3" w:rsidRPr="00E42944">
              <w:rPr>
                <w:b/>
              </w:rPr>
              <w:t>ADM</w:t>
            </w:r>
            <w:r w:rsidR="00BB45D8">
              <w:rPr>
                <w:b/>
              </w:rPr>
              <w:t> </w:t>
            </w:r>
            <w:r w:rsidR="00441DE3" w:rsidRPr="00E42944">
              <w:rPr>
                <w:b/>
              </w:rPr>
              <w:t>7</w:t>
            </w:r>
            <w:bookmarkEnd w:id="1"/>
          </w:p>
        </w:tc>
        <w:tc>
          <w:tcPr>
            <w:tcW w:w="3052" w:type="dxa"/>
            <w:vAlign w:val="center"/>
          </w:tcPr>
          <w:p w:rsidR="000E4FF0" w:rsidRPr="000E4FF0" w:rsidRDefault="000E4FF0" w:rsidP="00441D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441DE3">
              <w:rPr>
                <w:rFonts w:eastAsiaTheme="minorEastAsia"/>
                <w:b/>
                <w:bCs/>
                <w:lang w:eastAsia="zh-CN" w:bidi="ar-SY"/>
              </w:rPr>
              <w:t>34</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441DE3" w:rsidP="00441D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31</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441D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441DE3">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E42944" w:rsidP="000E4FF0">
            <w:pPr>
              <w:pStyle w:val="Source"/>
              <w:rPr>
                <w:rFonts w:eastAsiaTheme="minorEastAsia"/>
                <w:rtl/>
                <w:lang w:eastAsia="zh-CN"/>
              </w:rPr>
            </w:pPr>
            <w:r w:rsidRPr="00EE2519">
              <w:rPr>
                <w:rFonts w:hint="cs"/>
                <w:rtl/>
                <w:lang w:bidi="ar-SY"/>
              </w:rPr>
              <w:t>تقرير من الأمين العام</w:t>
            </w:r>
          </w:p>
        </w:tc>
      </w:tr>
      <w:tr w:rsidR="000E4FF0" w:rsidRPr="000E4FF0" w:rsidTr="000E4FF0">
        <w:trPr>
          <w:cantSplit/>
          <w:jc w:val="center"/>
        </w:trPr>
        <w:tc>
          <w:tcPr>
            <w:tcW w:w="9672" w:type="dxa"/>
            <w:gridSpan w:val="2"/>
          </w:tcPr>
          <w:p w:rsidR="000E4FF0" w:rsidRPr="000E4FF0" w:rsidRDefault="00AE776D" w:rsidP="000E4FF0">
            <w:pPr>
              <w:pStyle w:val="Title1"/>
              <w:rPr>
                <w:rFonts w:eastAsiaTheme="minorEastAsia"/>
                <w:rtl/>
                <w:lang w:eastAsia="zh-CN"/>
              </w:rPr>
            </w:pPr>
            <w:r w:rsidRPr="00BE7467">
              <w:rPr>
                <w:rFonts w:eastAsiaTheme="minorEastAsia" w:hint="cs"/>
                <w:rtl/>
                <w:lang w:eastAsia="zh-CN" w:bidi="ar-SA"/>
              </w:rPr>
              <w:t xml:space="preserve">صندوق تنمية تكنولوجيا المعلومات والاتصالات </w:t>
            </w:r>
            <w:r w:rsidRPr="00BE7467">
              <w:rPr>
                <w:rFonts w:eastAsiaTheme="minorEastAsia"/>
                <w:lang w:eastAsia="zh-CN"/>
              </w:rPr>
              <w:t>(ICT-DF)</w:t>
            </w:r>
          </w:p>
        </w:tc>
      </w:tr>
      <w:tr w:rsidR="000E4FF0" w:rsidRPr="000E4FF0" w:rsidTr="000E4FF0">
        <w:trPr>
          <w:cantSplit/>
          <w:jc w:val="center"/>
        </w:trPr>
        <w:tc>
          <w:tcPr>
            <w:tcW w:w="9672" w:type="dxa"/>
            <w:gridSpan w:val="2"/>
          </w:tcPr>
          <w:p w:rsidR="000E4FF0" w:rsidRPr="000E4FF0" w:rsidRDefault="000E4FF0" w:rsidP="00EC377D">
            <w:pPr>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AE776D" w:rsidP="004476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D130F">
              <w:rPr>
                <w:rFonts w:hint="cs"/>
                <w:rtl/>
              </w:rPr>
              <w:t>تقدِّم هذه الوثيقة تقريراً عن حالة صندوق تنمية تكنولوجيا المعلومات والاتصالات</w:t>
            </w:r>
            <w:r>
              <w:rPr>
                <w:rFonts w:hint="eastAsia"/>
                <w:rtl/>
              </w:rPr>
              <w:t> </w:t>
            </w:r>
            <w:r w:rsidRPr="002D130F">
              <w:rPr>
                <w:lang w:bidi="ar-SY"/>
              </w:rPr>
              <w:t>(ICT-DF)</w:t>
            </w:r>
            <w:r w:rsidRPr="002D130F">
              <w:rPr>
                <w:rFonts w:hint="cs"/>
                <w:rtl/>
              </w:rPr>
              <w:t xml:space="preserve"> واستعماله في</w:t>
            </w:r>
            <w:r w:rsidRPr="002D130F">
              <w:rPr>
                <w:rFonts w:hint="eastAsia"/>
                <w:rtl/>
              </w:rPr>
              <w:t> </w:t>
            </w:r>
            <w:r w:rsidRPr="002D130F">
              <w:rPr>
                <w:rFonts w:hint="cs"/>
                <w:rtl/>
              </w:rPr>
              <w:t>تنفيذ مشاريع التنمية.</w:t>
            </w:r>
          </w:p>
          <w:p w:rsidR="000E4FF0" w:rsidRPr="000E4FF0" w:rsidRDefault="000E4FF0" w:rsidP="004476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4476C7" w:rsidRDefault="00F00F76" w:rsidP="004476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SY"/>
              </w:rPr>
            </w:pPr>
            <w:r w:rsidRPr="004476C7">
              <w:rPr>
                <w:rFonts w:eastAsiaTheme="minorEastAsia" w:hint="cs"/>
                <w:spacing w:val="-4"/>
                <w:rtl/>
                <w:lang w:eastAsia="zh-CN" w:bidi="ar-SY"/>
              </w:rPr>
              <w:t xml:space="preserve">يُدعى المجلس إلى </w:t>
            </w:r>
            <w:r w:rsidRPr="004476C7">
              <w:rPr>
                <w:rFonts w:eastAsiaTheme="minorEastAsia" w:hint="cs"/>
                <w:b/>
                <w:bCs/>
                <w:spacing w:val="-4"/>
                <w:rtl/>
                <w:lang w:eastAsia="zh-CN" w:bidi="ar-SY"/>
              </w:rPr>
              <w:t>الإحاطة علماً</w:t>
            </w:r>
            <w:r w:rsidRPr="004476C7">
              <w:rPr>
                <w:rFonts w:eastAsiaTheme="minorEastAsia" w:hint="cs"/>
                <w:spacing w:val="-4"/>
                <w:rtl/>
                <w:lang w:eastAsia="zh-CN" w:bidi="ar-SY"/>
              </w:rPr>
              <w:t xml:space="preserve"> بالتقرير و</w:t>
            </w:r>
            <w:r w:rsidRPr="004476C7">
              <w:rPr>
                <w:rFonts w:eastAsiaTheme="minorEastAsia" w:hint="cs"/>
                <w:b/>
                <w:bCs/>
                <w:spacing w:val="-4"/>
                <w:rtl/>
                <w:lang w:eastAsia="zh-CN" w:bidi="ar-SY"/>
              </w:rPr>
              <w:t>الموافقة</w:t>
            </w:r>
            <w:r w:rsidRPr="004476C7">
              <w:rPr>
                <w:rFonts w:eastAsiaTheme="minorEastAsia" w:hint="cs"/>
                <w:spacing w:val="-4"/>
                <w:rtl/>
                <w:lang w:eastAsia="zh-CN" w:bidi="ar-SY"/>
              </w:rPr>
              <w:t xml:space="preserve"> على نقل </w:t>
            </w:r>
            <w:r w:rsidRPr="004476C7">
              <w:rPr>
                <w:rFonts w:eastAsiaTheme="minorEastAsia" w:hint="cs"/>
                <w:spacing w:val="-4"/>
                <w:rtl/>
                <w:lang w:eastAsia="zh-CN" w:bidi="ar-EG"/>
              </w:rPr>
              <w:t>مليوني دولار أمريكي من صندوق رأس المال العامل للمعارض إلى حساب رأس مال صندوق تنمية تكنولوجيا المعلومات والاتصالات.</w:t>
            </w:r>
          </w:p>
          <w:p w:rsidR="000E4FF0" w:rsidRPr="000E4FF0" w:rsidRDefault="000E4FF0" w:rsidP="004476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4476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5B5F5E" w:rsidP="004476C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492324" w:rsidRPr="001A3E9C">
                <w:rPr>
                  <w:rStyle w:val="Hyperlink"/>
                  <w:rFonts w:hint="cs"/>
                  <w:i/>
                  <w:iCs/>
                  <w:rtl/>
                </w:rPr>
                <w:t>القرار </w:t>
              </w:r>
              <w:r w:rsidR="00492324" w:rsidRPr="001A3E9C">
                <w:rPr>
                  <w:rStyle w:val="Hyperlink"/>
                  <w:i/>
                  <w:iCs/>
                </w:rPr>
                <w:t>11</w:t>
              </w:r>
              <w:r w:rsidR="00492324" w:rsidRPr="001A3E9C">
                <w:rPr>
                  <w:rStyle w:val="Hyperlink"/>
                  <w:rFonts w:hint="eastAsia"/>
                  <w:i/>
                  <w:iCs/>
                  <w:rtl/>
                </w:rPr>
                <w:t> </w:t>
              </w:r>
              <w:r w:rsidR="00492324" w:rsidRPr="001A3E9C">
                <w:rPr>
                  <w:rStyle w:val="Hyperlink"/>
                  <w:rFonts w:hint="cs"/>
                  <w:i/>
                  <w:iCs/>
                  <w:rtl/>
                </w:rPr>
                <w:t xml:space="preserve">(المراجَع في بوسان، </w:t>
              </w:r>
              <w:r w:rsidR="00492324" w:rsidRPr="001A3E9C">
                <w:rPr>
                  <w:rStyle w:val="Hyperlink"/>
                  <w:i/>
                  <w:iCs/>
                </w:rPr>
                <w:t>2014</w:t>
              </w:r>
              <w:r w:rsidR="00492324" w:rsidRPr="001A3E9C">
                <w:rPr>
                  <w:rStyle w:val="Hyperlink"/>
                  <w:rFonts w:hint="cs"/>
                  <w:i/>
                  <w:iCs/>
                  <w:rtl/>
                </w:rPr>
                <w:t>)</w:t>
              </w:r>
            </w:hyperlink>
            <w:r w:rsidR="00492324" w:rsidRPr="001A3E9C">
              <w:rPr>
                <w:rStyle w:val="Hyperlink"/>
                <w:rFonts w:hint="cs"/>
                <w:i/>
                <w:iCs/>
                <w:color w:val="auto"/>
                <w:u w:val="none"/>
                <w:rtl/>
                <w:lang w:bidi="ar-EG"/>
              </w:rPr>
              <w:t xml:space="preserve"> لمؤتمر المندوبين المفوضين</w:t>
            </w:r>
            <w:r w:rsidR="00492324" w:rsidRPr="001A3E9C">
              <w:rPr>
                <w:rFonts w:hint="cs"/>
                <w:i/>
                <w:iCs/>
                <w:rtl/>
              </w:rPr>
              <w:t>؛</w:t>
            </w:r>
            <w:r w:rsidR="00492324" w:rsidRPr="001A3E9C">
              <w:rPr>
                <w:i/>
                <w:iCs/>
                <w:rtl/>
              </w:rPr>
              <w:br/>
            </w:r>
            <w:r w:rsidR="00492324" w:rsidRPr="001A3E9C">
              <w:rPr>
                <w:rFonts w:hint="cs"/>
                <w:i/>
                <w:iCs/>
                <w:rtl/>
              </w:rPr>
              <w:t xml:space="preserve">القرارات </w:t>
            </w:r>
            <w:hyperlink r:id="rId12" w:history="1">
              <w:r w:rsidR="00492324" w:rsidRPr="001A3E9C">
                <w:rPr>
                  <w:i/>
                  <w:iCs/>
                  <w:color w:val="0000FF"/>
                  <w:szCs w:val="24"/>
                  <w:u w:val="single"/>
                </w:rPr>
                <w:t>1111</w:t>
              </w:r>
            </w:hyperlink>
            <w:r w:rsidR="00492324" w:rsidRPr="001A3E9C">
              <w:rPr>
                <w:rFonts w:hint="cs"/>
                <w:i/>
                <w:iCs/>
                <w:rtl/>
              </w:rPr>
              <w:t xml:space="preserve"> و</w:t>
            </w:r>
            <w:hyperlink r:id="rId13" w:history="1">
              <w:r w:rsidR="00492324" w:rsidRPr="001A3E9C">
                <w:rPr>
                  <w:rStyle w:val="Hyperlink"/>
                  <w:i/>
                  <w:iCs/>
                  <w:szCs w:val="24"/>
                </w:rPr>
                <w:t>1114</w:t>
              </w:r>
            </w:hyperlink>
            <w:r w:rsidR="00492324" w:rsidRPr="001A3E9C">
              <w:rPr>
                <w:rFonts w:hint="cs"/>
                <w:i/>
                <w:iCs/>
                <w:rtl/>
                <w:lang w:bidi="ar-SY"/>
              </w:rPr>
              <w:t xml:space="preserve"> و</w:t>
            </w:r>
            <w:hyperlink r:id="rId14" w:history="1">
              <w:r w:rsidR="00492324" w:rsidRPr="001A3E9C">
                <w:rPr>
                  <w:rStyle w:val="Hyperlink"/>
                  <w:i/>
                  <w:iCs/>
                  <w:lang w:bidi="ar-SY"/>
                </w:rPr>
                <w:t>1338</w:t>
              </w:r>
            </w:hyperlink>
            <w:r w:rsidR="00492324" w:rsidRPr="001A3E9C">
              <w:rPr>
                <w:rFonts w:hint="cs"/>
                <w:i/>
                <w:iCs/>
                <w:rtl/>
                <w:lang w:bidi="ar-SY"/>
              </w:rPr>
              <w:t xml:space="preserve"> </w:t>
            </w:r>
            <w:r w:rsidR="00492324" w:rsidRPr="001A3E9C">
              <w:rPr>
                <w:rFonts w:hint="cs"/>
                <w:i/>
                <w:iCs/>
                <w:rtl/>
              </w:rPr>
              <w:t>للمجلس</w:t>
            </w:r>
            <w:r w:rsidR="00492324">
              <w:rPr>
                <w:rFonts w:hint="cs"/>
                <w:i/>
                <w:iCs/>
                <w:rtl/>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492324" w:rsidRDefault="00492324" w:rsidP="00492324">
      <w:pPr>
        <w:pStyle w:val="Heading1"/>
        <w:rPr>
          <w:rtl/>
        </w:rPr>
      </w:pPr>
      <w:r>
        <w:rPr>
          <w:rFonts w:eastAsiaTheme="minorEastAsia"/>
          <w:lang w:eastAsia="zh-CN" w:bidi="ar-SY"/>
        </w:rPr>
        <w:lastRenderedPageBreak/>
        <w:t>1</w:t>
      </w:r>
      <w:r>
        <w:rPr>
          <w:rFonts w:eastAsiaTheme="minorEastAsia"/>
          <w:lang w:eastAsia="zh-CN" w:bidi="ar-SY"/>
        </w:rPr>
        <w:tab/>
      </w:r>
      <w:r>
        <w:rPr>
          <w:rFonts w:eastAsiaTheme="minorEastAsia" w:hint="cs"/>
          <w:rtl/>
          <w:lang w:eastAsia="zh-CN"/>
        </w:rPr>
        <w:t>مقدمة</w:t>
      </w:r>
    </w:p>
    <w:p w:rsidR="00492324" w:rsidRPr="00034EAD" w:rsidRDefault="00492324" w:rsidP="00492324">
      <w:r>
        <w:rPr>
          <w:lang w:bidi="ar-SY"/>
        </w:rPr>
        <w:t>1</w:t>
      </w:r>
      <w:r w:rsidRPr="002D130F">
        <w:rPr>
          <w:lang w:bidi="ar-SY"/>
        </w:rPr>
        <w:t>.1</w:t>
      </w:r>
      <w:r w:rsidRPr="002D130F">
        <w:rPr>
          <w:rtl/>
        </w:rPr>
        <w:tab/>
      </w:r>
      <w:r w:rsidRPr="00034EAD">
        <w:rPr>
          <w:color w:val="000000"/>
          <w:rtl/>
        </w:rPr>
        <w:t>تتمثل إحدى وظائف قطاع تنمية الاتصالات</w:t>
      </w:r>
      <w:r w:rsidRPr="00034EAD">
        <w:rPr>
          <w:rFonts w:hint="cs"/>
          <w:color w:val="000000"/>
          <w:rtl/>
        </w:rPr>
        <w:t>،</w:t>
      </w:r>
      <w:r w:rsidRPr="00034EAD">
        <w:rPr>
          <w:color w:val="000000"/>
          <w:rtl/>
        </w:rPr>
        <w:t xml:space="preserve"> </w:t>
      </w:r>
      <w:r w:rsidRPr="00034EAD">
        <w:rPr>
          <w:rFonts w:hint="cs"/>
          <w:color w:val="000000"/>
          <w:rtl/>
        </w:rPr>
        <w:t xml:space="preserve">على نحو ما ينص عليه دستور الاتحاد، </w:t>
      </w:r>
      <w:r w:rsidRPr="00034EAD">
        <w:rPr>
          <w:color w:val="000000"/>
          <w:rtl/>
        </w:rPr>
        <w:t>في النهوض بمسؤولية الاتحاد المزدوجة بوصفه وكالة متخصصة من وكالات الأمم المتحدة ووكالة منفذة تقوم بتنفيذ المشاريع</w:t>
      </w:r>
      <w:r w:rsidRPr="00034EAD">
        <w:rPr>
          <w:rFonts w:hint="cs"/>
          <w:rtl/>
        </w:rPr>
        <w:t>.</w:t>
      </w:r>
    </w:p>
    <w:p w:rsidR="00492324" w:rsidRDefault="00492324" w:rsidP="00793E6C">
      <w:pPr>
        <w:rPr>
          <w:lang w:bidi="ar-EG"/>
        </w:rPr>
      </w:pPr>
      <w:r w:rsidRPr="00034EAD">
        <w:rPr>
          <w:lang w:bidi="ar-SY"/>
        </w:rPr>
        <w:t>2.1</w:t>
      </w:r>
      <w:r w:rsidRPr="00034EAD">
        <w:rPr>
          <w:rtl/>
        </w:rPr>
        <w:tab/>
      </w:r>
      <w:r w:rsidRPr="00034EAD">
        <w:rPr>
          <w:rFonts w:hint="cs"/>
          <w:rtl/>
        </w:rPr>
        <w:t>و</w:t>
      </w:r>
      <w:r>
        <w:rPr>
          <w:rFonts w:hint="cs"/>
          <w:rtl/>
        </w:rPr>
        <w:t>ال</w:t>
      </w:r>
      <w:r w:rsidRPr="00034EAD">
        <w:rPr>
          <w:rFonts w:hint="cs"/>
          <w:rtl/>
        </w:rPr>
        <w:t xml:space="preserve">صندوق </w:t>
      </w:r>
      <w:hyperlink r:id="rId15" w:history="1">
        <w:r w:rsidRPr="00AF1494">
          <w:rPr>
            <w:rStyle w:val="Hyperlink"/>
            <w:lang w:bidi="ar-SY"/>
          </w:rPr>
          <w:t>ICT-DF</w:t>
        </w:r>
      </w:hyperlink>
      <w:r>
        <w:rPr>
          <w:rFonts w:hint="cs"/>
          <w:rtl/>
          <w:lang w:bidi="ar-SY"/>
        </w:rPr>
        <w:t xml:space="preserve"> </w:t>
      </w:r>
      <w:r w:rsidRPr="00034EAD">
        <w:rPr>
          <w:rFonts w:hint="cs"/>
          <w:rtl/>
          <w:lang w:bidi="ar-EG"/>
        </w:rPr>
        <w:t xml:space="preserve">مبادرة خاصة أُطلقت في </w:t>
      </w:r>
      <w:r w:rsidRPr="00034EAD">
        <w:rPr>
          <w:lang w:bidi="ar-EG"/>
        </w:rPr>
        <w:t>1997</w:t>
      </w:r>
      <w:r w:rsidRPr="00034EAD">
        <w:rPr>
          <w:rFonts w:hint="cs"/>
          <w:rtl/>
          <w:lang w:bidi="ar-EG"/>
        </w:rPr>
        <w:t xml:space="preserve"> بهدف إقامة شراكات وإنشاء التزامات (مالية وغيرها) من الدول الأعضاء وأعضاء القطاعات والقطاعين العام والخاص والمنظمات متعددة الأطراف والمؤسسات المالية والوكالات الإنمائية وغيرها، لضمان تنفيذ مشاريع وطنية وإقليمية وعالمية تؤدي إلى تحقيق التنمية المستدامة. ويُستخدم هذا الصندوق كتمويل أولي بهدف تعبئة موارد كبيرة من الأعضاء والشركاء لتلبية الاحتياجات الإجمالية لتمويل المشاريع.</w:t>
      </w:r>
    </w:p>
    <w:p w:rsidR="00492324" w:rsidRDefault="00492324" w:rsidP="002A655D">
      <w:pPr>
        <w:rPr>
          <w:rtl/>
          <w:lang w:bidi="ar-EG"/>
        </w:rPr>
      </w:pPr>
      <w:r>
        <w:rPr>
          <w:lang w:bidi="ar-EG"/>
        </w:rPr>
        <w:t>3.1</w:t>
      </w:r>
      <w:r>
        <w:rPr>
          <w:lang w:bidi="ar-EG"/>
        </w:rPr>
        <w:tab/>
      </w:r>
      <w:r>
        <w:rPr>
          <w:rFonts w:hint="cs"/>
          <w:rtl/>
          <w:lang w:bidi="ar-EG"/>
        </w:rPr>
        <w:t xml:space="preserve">وتهدف لجنة توجيه صندوق تنمية تكنولوجيا المعلومات والاتصالات </w:t>
      </w:r>
      <w:r w:rsidR="00AF1494">
        <w:rPr>
          <w:lang w:bidi="ar-EG"/>
        </w:rPr>
        <w:t>(</w:t>
      </w:r>
      <w:r>
        <w:rPr>
          <w:lang w:val="fr-CH" w:bidi="ar-EG"/>
        </w:rPr>
        <w:t>ICT</w:t>
      </w:r>
      <w:r>
        <w:rPr>
          <w:lang w:bidi="ar-EG"/>
        </w:rPr>
        <w:t>-DF SC</w:t>
      </w:r>
      <w:r w:rsidR="00AF1494">
        <w:rPr>
          <w:lang w:bidi="ar-EG"/>
        </w:rPr>
        <w:t>)</w:t>
      </w:r>
      <w:r>
        <w:rPr>
          <w:rStyle w:val="FootnoteReference"/>
          <w:rtl/>
          <w:lang w:bidi="ar-EG"/>
        </w:rPr>
        <w:footnoteReference w:id="1"/>
      </w:r>
      <w:r>
        <w:rPr>
          <w:rFonts w:hint="cs"/>
          <w:rtl/>
          <w:lang w:bidi="ar-EG"/>
        </w:rPr>
        <w:t xml:space="preserve"> إلى أ)</w:t>
      </w:r>
      <w:r w:rsidRPr="00C80393">
        <w:rPr>
          <w:rFonts w:ascii="Traditional Arabic" w:hAnsi="Traditional Arabic"/>
          <w:sz w:val="30"/>
          <w:lang w:bidi="ar-EG"/>
        </w:rPr>
        <w:t xml:space="preserve"> </w:t>
      </w:r>
      <w:r>
        <w:rPr>
          <w:rFonts w:hint="cs"/>
          <w:rtl/>
          <w:lang w:bidi="ar-EG"/>
        </w:rPr>
        <w:t xml:space="preserve">استعراض المشاريع المقدمة للحصول على تمويل من الصندوق </w:t>
      </w:r>
      <w:r w:rsidRPr="002D130F">
        <w:rPr>
          <w:lang w:bidi="ar-SY"/>
        </w:rPr>
        <w:t>ICT-DF</w:t>
      </w:r>
      <w:r>
        <w:rPr>
          <w:rFonts w:hint="cs"/>
          <w:rtl/>
          <w:lang w:bidi="ar-SY"/>
        </w:rPr>
        <w:t xml:space="preserve"> </w:t>
      </w:r>
      <w:r>
        <w:rPr>
          <w:rFonts w:hint="cs"/>
          <w:rtl/>
          <w:lang w:bidi="ar-EG"/>
        </w:rPr>
        <w:t>والموافقة عليها، ب) الموافقة على مبلغ التمويل المقدم من الصندوق</w:t>
      </w:r>
      <w:r w:rsidR="008A453B">
        <w:rPr>
          <w:rFonts w:hint="eastAsia"/>
          <w:rtl/>
          <w:lang w:bidi="ar-EG"/>
        </w:rPr>
        <w:t> </w:t>
      </w:r>
      <w:r w:rsidRPr="002D130F">
        <w:rPr>
          <w:lang w:bidi="ar-SY"/>
        </w:rPr>
        <w:t>ICT-DF</w:t>
      </w:r>
      <w:r>
        <w:rPr>
          <w:rFonts w:hint="cs"/>
          <w:rtl/>
          <w:lang w:bidi="ar-SY"/>
        </w:rPr>
        <w:t xml:space="preserve"> </w:t>
      </w:r>
      <w:r>
        <w:rPr>
          <w:rFonts w:hint="cs"/>
          <w:rtl/>
          <w:lang w:bidi="ar-EG"/>
        </w:rPr>
        <w:t xml:space="preserve">والذي سيخصص للمشاريع الموافق عليها، ج) مراقبة تنفيذ المشاريع التي يدعمها الصندوق </w:t>
      </w:r>
      <w:r w:rsidRPr="002D130F">
        <w:rPr>
          <w:lang w:bidi="ar-SY"/>
        </w:rPr>
        <w:t>ICT-DF</w:t>
      </w:r>
      <w:r>
        <w:rPr>
          <w:rFonts w:hint="cs"/>
          <w:rtl/>
          <w:lang w:bidi="ar-SY"/>
        </w:rPr>
        <w:t xml:space="preserve"> </w:t>
      </w:r>
      <w:r w:rsidR="009A1543">
        <w:rPr>
          <w:rFonts w:hint="cs"/>
          <w:rtl/>
          <w:lang w:bidi="ar-EG"/>
        </w:rPr>
        <w:t>وأداء ميزانيتها.</w:t>
      </w:r>
    </w:p>
    <w:p w:rsidR="00492324" w:rsidRDefault="00492324" w:rsidP="00492324">
      <w:pPr>
        <w:pStyle w:val="Heading1"/>
        <w:rPr>
          <w:rtl/>
        </w:rPr>
      </w:pPr>
      <w:r>
        <w:t>2</w:t>
      </w:r>
      <w:r>
        <w:tab/>
      </w:r>
      <w:r>
        <w:rPr>
          <w:rFonts w:hint="cs"/>
          <w:rtl/>
        </w:rPr>
        <w:t>أنشطة الصندوق الرئيسية والتقدم المحرز فيه</w:t>
      </w:r>
    </w:p>
    <w:p w:rsidR="00492324" w:rsidRPr="00C819FA" w:rsidRDefault="00492324" w:rsidP="00EB401B">
      <w:pPr>
        <w:rPr>
          <w:rtl/>
          <w:lang w:bidi="ar-EG"/>
        </w:rPr>
      </w:pPr>
      <w:r w:rsidRPr="009A1543">
        <w:rPr>
          <w:spacing w:val="-4"/>
          <w:lang w:bidi="ar-EG"/>
        </w:rPr>
        <w:t>1.2</w:t>
      </w:r>
      <w:r w:rsidRPr="009A1543">
        <w:rPr>
          <w:spacing w:val="-4"/>
          <w:lang w:bidi="ar-EG"/>
        </w:rPr>
        <w:tab/>
      </w:r>
      <w:r w:rsidRPr="009A1543">
        <w:rPr>
          <w:rFonts w:hint="cs"/>
          <w:spacing w:val="-4"/>
          <w:rtl/>
          <w:lang w:bidi="ar-EG"/>
        </w:rPr>
        <w:t xml:space="preserve">اجتمع أعضاء لجنة توجيه الصندوق </w:t>
      </w:r>
      <w:r w:rsidRPr="009A1543">
        <w:rPr>
          <w:spacing w:val="-4"/>
          <w:lang w:bidi="ar-SY"/>
        </w:rPr>
        <w:t>ICT-DF</w:t>
      </w:r>
      <w:r w:rsidRPr="009A1543">
        <w:rPr>
          <w:rFonts w:hint="cs"/>
          <w:spacing w:val="-4"/>
          <w:rtl/>
          <w:lang w:bidi="ar-SY"/>
        </w:rPr>
        <w:t xml:space="preserve"> </w:t>
      </w:r>
      <w:r w:rsidRPr="009A1543">
        <w:rPr>
          <w:rFonts w:hint="cs"/>
          <w:spacing w:val="-4"/>
          <w:rtl/>
          <w:lang w:bidi="ar-EG"/>
        </w:rPr>
        <w:t xml:space="preserve">في </w:t>
      </w:r>
      <w:r w:rsidRPr="009A1543">
        <w:rPr>
          <w:spacing w:val="-4"/>
          <w:lang w:val="fr-CH" w:bidi="ar-EG"/>
        </w:rPr>
        <w:t>1</w:t>
      </w:r>
      <w:r w:rsidRPr="009A1543">
        <w:rPr>
          <w:rFonts w:hint="cs"/>
          <w:spacing w:val="-4"/>
          <w:rtl/>
          <w:lang w:bidi="ar-EG"/>
        </w:rPr>
        <w:t xml:space="preserve"> سبتمبر </w:t>
      </w:r>
      <w:r w:rsidRPr="009A1543">
        <w:rPr>
          <w:spacing w:val="-4"/>
          <w:lang w:val="fr-CH" w:bidi="ar-EG"/>
        </w:rPr>
        <w:t>2016</w:t>
      </w:r>
      <w:r w:rsidRPr="009A1543">
        <w:rPr>
          <w:rFonts w:hint="cs"/>
          <w:spacing w:val="-4"/>
          <w:rtl/>
          <w:lang w:val="fr-CH" w:bidi="ar-EG"/>
        </w:rPr>
        <w:t xml:space="preserve"> (الاجتماع الخمسون للجنة)</w:t>
      </w:r>
      <w:r w:rsidRPr="009A1543">
        <w:rPr>
          <w:rFonts w:hint="cs"/>
          <w:spacing w:val="-4"/>
          <w:rtl/>
          <w:lang w:bidi="ar-EG"/>
        </w:rPr>
        <w:t xml:space="preserve"> وفي</w:t>
      </w:r>
      <w:r w:rsidR="009A1543" w:rsidRPr="009A1543">
        <w:rPr>
          <w:rFonts w:hint="eastAsia"/>
          <w:spacing w:val="-4"/>
          <w:rtl/>
          <w:lang w:bidi="ar-EG"/>
        </w:rPr>
        <w:t> </w:t>
      </w:r>
      <w:r w:rsidRPr="009A1543">
        <w:rPr>
          <w:spacing w:val="-4"/>
          <w:lang w:val="fr-CH" w:bidi="ar-EG"/>
        </w:rPr>
        <w:t>14</w:t>
      </w:r>
      <w:r w:rsidR="009A1543" w:rsidRPr="009A1543">
        <w:rPr>
          <w:rFonts w:hint="eastAsia"/>
          <w:spacing w:val="-4"/>
          <w:rtl/>
          <w:lang w:bidi="ar-EG"/>
        </w:rPr>
        <w:t> </w:t>
      </w:r>
      <w:r w:rsidRPr="009A1543">
        <w:rPr>
          <w:rFonts w:hint="cs"/>
          <w:spacing w:val="-4"/>
          <w:rtl/>
          <w:lang w:bidi="ar-EG"/>
        </w:rPr>
        <w:t>مارس</w:t>
      </w:r>
      <w:r w:rsidR="009A1543" w:rsidRPr="009A1543">
        <w:rPr>
          <w:rFonts w:hint="eastAsia"/>
          <w:spacing w:val="-4"/>
          <w:rtl/>
          <w:lang w:bidi="ar-EG"/>
        </w:rPr>
        <w:t> </w:t>
      </w:r>
      <w:r w:rsidRPr="009A1543">
        <w:rPr>
          <w:spacing w:val="-4"/>
          <w:lang w:val="fr-CH" w:bidi="ar-EG"/>
        </w:rPr>
        <w:t>2017</w:t>
      </w:r>
      <w:r>
        <w:rPr>
          <w:rFonts w:hint="cs"/>
          <w:rtl/>
          <w:lang w:bidi="ar-EG"/>
        </w:rPr>
        <w:t xml:space="preserve"> (ا</w:t>
      </w:r>
      <w:r w:rsidR="007B46E0">
        <w:rPr>
          <w:rFonts w:hint="cs"/>
          <w:rtl/>
          <w:lang w:bidi="ar-EG"/>
        </w:rPr>
        <w:t>لاجتماع الحادي والخمسون للجنة).</w:t>
      </w:r>
    </w:p>
    <w:p w:rsidR="00492324" w:rsidRDefault="00492324" w:rsidP="00492324">
      <w:pPr>
        <w:rPr>
          <w:rtl/>
          <w:lang w:bidi="ar-EG"/>
        </w:rPr>
      </w:pPr>
      <w:r>
        <w:rPr>
          <w:lang w:bidi="ar-EG"/>
        </w:rPr>
        <w:t>2.2</w:t>
      </w:r>
      <w:r>
        <w:rPr>
          <w:rtl/>
          <w:lang w:bidi="ar-EG"/>
        </w:rPr>
        <w:tab/>
      </w:r>
      <w:r>
        <w:rPr>
          <w:rFonts w:hint="cs"/>
          <w:rtl/>
          <w:lang w:bidi="ar-EG"/>
        </w:rPr>
        <w:t>واستعرض الاجتماع الخمسون للجنة أمر تمويل المشروعين التاليين ووافق عليه:</w:t>
      </w:r>
    </w:p>
    <w:p w:rsidR="00492324" w:rsidRDefault="00492324" w:rsidP="009E270F">
      <w:pPr>
        <w:pStyle w:val="enumlev1"/>
        <w:rPr>
          <w:rtl/>
          <w:lang w:bidi="ar-EG"/>
        </w:rPr>
      </w:pPr>
      <w:r>
        <w:rPr>
          <w:rFonts w:hint="cs"/>
          <w:rtl/>
          <w:lang w:bidi="ar-EG"/>
        </w:rPr>
        <w:t>-</w:t>
      </w:r>
      <w:r>
        <w:rPr>
          <w:rFonts w:hint="cs"/>
          <w:rtl/>
          <w:lang w:bidi="ar-EG"/>
        </w:rPr>
        <w:tab/>
      </w:r>
      <w:r>
        <w:rPr>
          <w:rFonts w:hint="cs"/>
          <w:b/>
          <w:bCs/>
          <w:i/>
          <w:iCs/>
          <w:rtl/>
          <w:lang w:bidi="ar-EG"/>
        </w:rPr>
        <w:t>إنشاء مركز عربي إقليمي لتكنولوجيا المعلومات والاتصالات</w:t>
      </w:r>
      <w:r w:rsidR="00EB401B">
        <w:rPr>
          <w:rFonts w:hint="cs"/>
          <w:b/>
          <w:bCs/>
          <w:i/>
          <w:iCs/>
          <w:rtl/>
          <w:lang w:bidi="ar-EG"/>
        </w:rPr>
        <w:t xml:space="preserve"> </w:t>
      </w:r>
      <w:r w:rsidR="00EB401B">
        <w:rPr>
          <w:b/>
          <w:bCs/>
          <w:i/>
          <w:iCs/>
          <w:lang w:bidi="ar-EG"/>
        </w:rPr>
        <w:t>(ICT)</w:t>
      </w:r>
      <w:r>
        <w:rPr>
          <w:rFonts w:hint="cs"/>
          <w:b/>
          <w:bCs/>
          <w:i/>
          <w:iCs/>
          <w:rtl/>
          <w:lang w:bidi="ar-EG"/>
        </w:rPr>
        <w:t xml:space="preserve"> للأشخاص ذوي الإعاقة</w:t>
      </w:r>
      <w:r w:rsidR="00EB401B">
        <w:rPr>
          <w:rFonts w:hint="cs"/>
          <w:b/>
          <w:bCs/>
          <w:i/>
          <w:iCs/>
          <w:rtl/>
          <w:lang w:bidi="ar-EG"/>
        </w:rPr>
        <w:t xml:space="preserve"> </w:t>
      </w:r>
      <w:r w:rsidR="00EB401B">
        <w:rPr>
          <w:b/>
          <w:bCs/>
          <w:i/>
          <w:iCs/>
          <w:lang w:bidi="ar-EG"/>
        </w:rPr>
        <w:t>(</w:t>
      </w:r>
      <w:proofErr w:type="spellStart"/>
      <w:r w:rsidR="00EB401B">
        <w:rPr>
          <w:b/>
          <w:bCs/>
          <w:i/>
          <w:iCs/>
          <w:lang w:bidi="ar-EG"/>
        </w:rPr>
        <w:t>P</w:t>
      </w:r>
      <w:r w:rsidR="00110E25">
        <w:rPr>
          <w:b/>
          <w:bCs/>
          <w:i/>
          <w:iCs/>
          <w:lang w:bidi="ar-EG"/>
        </w:rPr>
        <w:t>w</w:t>
      </w:r>
      <w:r w:rsidR="00EB401B">
        <w:rPr>
          <w:b/>
          <w:bCs/>
          <w:i/>
          <w:iCs/>
          <w:lang w:bidi="ar-EG"/>
        </w:rPr>
        <w:t>D</w:t>
      </w:r>
      <w:proofErr w:type="spellEnd"/>
      <w:r w:rsidR="00EB401B">
        <w:rPr>
          <w:b/>
          <w:bCs/>
          <w:i/>
          <w:iCs/>
          <w:lang w:bidi="ar-EG"/>
        </w:rPr>
        <w:t>)</w:t>
      </w:r>
      <w:r w:rsidRPr="00701D3C">
        <w:rPr>
          <w:rFonts w:hint="cs"/>
          <w:b/>
          <w:bCs/>
          <w:i/>
          <w:iCs/>
          <w:rtl/>
          <w:lang w:bidi="ar-EG"/>
        </w:rPr>
        <w:t>:</w:t>
      </w:r>
      <w:r>
        <w:rPr>
          <w:rFonts w:hint="cs"/>
          <w:rtl/>
          <w:lang w:bidi="ar-EG"/>
        </w:rPr>
        <w:t xml:space="preserve"> يُعنى هذا</w:t>
      </w:r>
      <w:r w:rsidR="00EB401B">
        <w:rPr>
          <w:rFonts w:hint="eastAsia"/>
          <w:rtl/>
          <w:lang w:bidi="ar-EG"/>
        </w:rPr>
        <w:t> </w:t>
      </w:r>
      <w:r>
        <w:rPr>
          <w:rFonts w:hint="cs"/>
          <w:rtl/>
          <w:lang w:bidi="ar-EG"/>
        </w:rPr>
        <w:t xml:space="preserve">المشروع بتنفيذ المبادرة الإقليمية للدول العربية المقدمة إلى المؤتمر العالمي لتنمية الاتصالات لعام </w:t>
      </w:r>
      <w:r>
        <w:rPr>
          <w:lang w:val="fr-CH" w:bidi="ar-EG"/>
        </w:rPr>
        <w:t>2014</w:t>
      </w:r>
      <w:r>
        <w:rPr>
          <w:rFonts w:hint="cs"/>
          <w:rtl/>
          <w:lang w:val="fr-CH" w:bidi="ar-EG"/>
        </w:rPr>
        <w:t xml:space="preserve"> بعنوان "ضمان النفاذ إلى تكنولوجيا المعلومات والاتصالات، ولا</w:t>
      </w:r>
      <w:r w:rsidR="00FC0055">
        <w:rPr>
          <w:rFonts w:hint="eastAsia"/>
          <w:rtl/>
          <w:lang w:val="fr-CH" w:bidi="ar-EG"/>
        </w:rPr>
        <w:t> </w:t>
      </w:r>
      <w:r>
        <w:rPr>
          <w:rFonts w:hint="cs"/>
          <w:rtl/>
          <w:lang w:val="fr-CH" w:bidi="ar-EG"/>
        </w:rPr>
        <w:t>سيما للأشخاص ذوي الإعاقة". ويهدف المشروع إلى إنشاء مركز إقليمي لتكنولوجيا المعلومات والاتصالات للأشخاص ذوي الإعاقة</w:t>
      </w:r>
      <w:r w:rsidR="0003003D">
        <w:rPr>
          <w:rFonts w:hint="cs"/>
          <w:rtl/>
          <w:lang w:val="fr-CH" w:bidi="ar-EG"/>
        </w:rPr>
        <w:t xml:space="preserve"> </w:t>
      </w:r>
      <w:r w:rsidR="0003003D">
        <w:rPr>
          <w:lang w:bidi="ar-EG"/>
        </w:rPr>
        <w:t>(</w:t>
      </w:r>
      <w:proofErr w:type="spellStart"/>
      <w:r w:rsidR="0003003D">
        <w:rPr>
          <w:lang w:bidi="ar-EG"/>
        </w:rPr>
        <w:t>P</w:t>
      </w:r>
      <w:r w:rsidR="00110E25">
        <w:rPr>
          <w:lang w:bidi="ar-EG"/>
        </w:rPr>
        <w:t>w</w:t>
      </w:r>
      <w:r w:rsidR="0003003D">
        <w:rPr>
          <w:lang w:bidi="ar-EG"/>
        </w:rPr>
        <w:t>D</w:t>
      </w:r>
      <w:proofErr w:type="spellEnd"/>
      <w:r w:rsidR="0003003D">
        <w:rPr>
          <w:lang w:bidi="ar-EG"/>
        </w:rPr>
        <w:t>)</w:t>
      </w:r>
      <w:r>
        <w:rPr>
          <w:rFonts w:hint="cs"/>
          <w:rtl/>
          <w:lang w:val="fr-CH" w:bidi="ar-EG"/>
        </w:rPr>
        <w:t xml:space="preserve"> في المنطقة العربية من أجل تعزيز النفاذ إلى تكنولوجيا المعلومات والاتصالات بغية دعم أصحاب المصلحة الإقليميين في جهودهم الرامية إلى استيعاب الأشخاص ذوي الإعاقة من المنطقة العربية وتمكينهم من خلال تصميم وتوفير أدوات لتكنولوجيا المعلومات والاتصالات ميسورة التكلفة ومكيفة بحسب الاحتياجات. ووُقع هذا المشروع الذي يمتد على مدى ثلاثة أعوام في</w:t>
      </w:r>
      <w:r w:rsidR="009E270F">
        <w:rPr>
          <w:rFonts w:hint="eastAsia"/>
          <w:rtl/>
          <w:lang w:val="fr-CH" w:bidi="ar-EG"/>
        </w:rPr>
        <w:t> </w:t>
      </w:r>
      <w:r>
        <w:rPr>
          <w:lang w:val="fr-CH" w:bidi="ar-EG"/>
        </w:rPr>
        <w:t>27</w:t>
      </w:r>
      <w:r>
        <w:rPr>
          <w:rFonts w:hint="cs"/>
          <w:rtl/>
          <w:lang w:bidi="ar-EG"/>
        </w:rPr>
        <w:t xml:space="preserve"> نوفمبر </w:t>
      </w:r>
      <w:r>
        <w:rPr>
          <w:lang w:val="fr-CH" w:bidi="ar-EG"/>
        </w:rPr>
        <w:t>2016</w:t>
      </w:r>
      <w:r>
        <w:rPr>
          <w:rFonts w:hint="cs"/>
          <w:rtl/>
          <w:lang w:bidi="ar-EG"/>
        </w:rPr>
        <w:t xml:space="preserve"> بين الاتحاد ووزارة تكنولوج</w:t>
      </w:r>
      <w:r w:rsidR="00FC0055">
        <w:rPr>
          <w:rFonts w:hint="cs"/>
          <w:rtl/>
          <w:lang w:bidi="ar-EG"/>
        </w:rPr>
        <w:t>يا المعلومات والاتصالات في مصر.</w:t>
      </w:r>
    </w:p>
    <w:p w:rsidR="00492324" w:rsidRPr="009C4A39" w:rsidRDefault="00492324" w:rsidP="00113089">
      <w:pPr>
        <w:pStyle w:val="enumlev1"/>
        <w:rPr>
          <w:rtl/>
        </w:rPr>
      </w:pPr>
      <w:r>
        <w:rPr>
          <w:rFonts w:hint="cs"/>
          <w:rtl/>
        </w:rPr>
        <w:t>-</w:t>
      </w:r>
      <w:r w:rsidR="00D36A09">
        <w:rPr>
          <w:rtl/>
        </w:rPr>
        <w:tab/>
      </w:r>
      <w:r w:rsidRPr="00034EAD">
        <w:rPr>
          <w:rFonts w:hint="cs"/>
          <w:b/>
          <w:bCs/>
          <w:i/>
          <w:iCs/>
          <w:rtl/>
        </w:rPr>
        <w:t>إنشاء شبكة لاسلكية عريضة النطاق في مدغشقر</w:t>
      </w:r>
      <w:r w:rsidRPr="004C73A7">
        <w:rPr>
          <w:rFonts w:hint="cs"/>
          <w:rtl/>
        </w:rPr>
        <w:t>:</w:t>
      </w:r>
      <w:r>
        <w:rPr>
          <w:rFonts w:hint="cs"/>
          <w:rtl/>
        </w:rPr>
        <w:t xml:space="preserve"> يُؤ</w:t>
      </w:r>
      <w:r w:rsidRPr="009C4A39">
        <w:rPr>
          <w:rFonts w:hint="cs"/>
          <w:rtl/>
        </w:rPr>
        <w:t xml:space="preserve">خذ بعين الاعتبار في هذا المشروع القرار </w:t>
      </w:r>
      <w:r w:rsidRPr="009C4A39">
        <w:rPr>
          <w:lang w:val="fr-CH"/>
        </w:rPr>
        <w:t>124</w:t>
      </w:r>
      <w:r w:rsidRPr="009C4A39">
        <w:rPr>
          <w:rFonts w:hint="cs"/>
          <w:rtl/>
        </w:rPr>
        <w:t xml:space="preserve"> لمؤتمر المندوبين المفوضين لعام </w:t>
      </w:r>
      <w:r w:rsidRPr="009C4A39">
        <w:rPr>
          <w:lang w:val="fr-CH"/>
        </w:rPr>
        <w:t>2014</w:t>
      </w:r>
      <w:r w:rsidRPr="009C4A39">
        <w:rPr>
          <w:rFonts w:hint="cs"/>
          <w:rtl/>
          <w:lang w:val="fr-CH"/>
        </w:rPr>
        <w:t xml:space="preserve"> بشأن "</w:t>
      </w:r>
      <w:r w:rsidRPr="009C4A39">
        <w:rPr>
          <w:rtl/>
        </w:rPr>
        <w:t>دعم الشراكة الجديدة من أجل تنمية إفريقيا</w:t>
      </w:r>
      <w:r w:rsidRPr="009C4A39">
        <w:rPr>
          <w:rFonts w:hint="cs"/>
          <w:rtl/>
        </w:rPr>
        <w:t>"، وهو يهدف إلى تحسين التوصيلية من خلال إنشاء شبكة لاسلكية عريضة النطاق لتوصيل المدارس والمستشفيات والمرافق العامة عن طريق إعداد تطبيقات لتكنولوجيا المعلومات والاتصالات وبناء القدرات البشرية. وقد نُفذت مشاريع مماثلة في بلدان إفريقية أخرى مثل بور</w:t>
      </w:r>
      <w:r>
        <w:rPr>
          <w:rFonts w:hint="cs"/>
          <w:rtl/>
        </w:rPr>
        <w:t>و</w:t>
      </w:r>
      <w:r w:rsidRPr="009C4A39">
        <w:rPr>
          <w:rFonts w:hint="cs"/>
          <w:rtl/>
        </w:rPr>
        <w:t>ن</w:t>
      </w:r>
      <w:r>
        <w:rPr>
          <w:rFonts w:hint="cs"/>
          <w:rtl/>
        </w:rPr>
        <w:t>دي، وجيبوتي، ومالي، وبوركينا فا</w:t>
      </w:r>
      <w:r w:rsidR="00113089">
        <w:rPr>
          <w:rFonts w:hint="cs"/>
          <w:rtl/>
        </w:rPr>
        <w:t>ص</w:t>
      </w:r>
      <w:r>
        <w:rPr>
          <w:rFonts w:hint="cs"/>
          <w:rtl/>
        </w:rPr>
        <w:t>و، ورواندا، وليسوتو، وسوازيل</w:t>
      </w:r>
      <w:r w:rsidR="00113089">
        <w:rPr>
          <w:rFonts w:hint="cs"/>
          <w:rtl/>
        </w:rPr>
        <w:t>ا</w:t>
      </w:r>
      <w:r w:rsidR="007B46E0">
        <w:rPr>
          <w:rFonts w:hint="cs"/>
          <w:rtl/>
        </w:rPr>
        <w:t>ند.</w:t>
      </w:r>
    </w:p>
    <w:p w:rsidR="00492324" w:rsidRDefault="00492324" w:rsidP="00492324">
      <w:pPr>
        <w:rPr>
          <w:rtl/>
          <w:lang w:bidi="ar-EG"/>
        </w:rPr>
      </w:pPr>
      <w:r>
        <w:t>3.2</w:t>
      </w:r>
      <w:r>
        <w:tab/>
      </w:r>
      <w:r>
        <w:rPr>
          <w:rFonts w:hint="cs"/>
          <w:rtl/>
          <w:lang w:bidi="ar-EG"/>
        </w:rPr>
        <w:t>واستعرض الاجتماع الحادي والخمسون للجنة أمر تمويل المشاريع الثلاثة التالية ووافق عليه:</w:t>
      </w:r>
    </w:p>
    <w:p w:rsidR="00492324" w:rsidRDefault="00492324" w:rsidP="00C7679F">
      <w:pPr>
        <w:pStyle w:val="enumlev1"/>
        <w:rPr>
          <w:rtl/>
        </w:rPr>
      </w:pPr>
      <w:r>
        <w:rPr>
          <w:rFonts w:hint="cs"/>
          <w:rtl/>
          <w:lang w:bidi="ar-EG"/>
        </w:rPr>
        <w:t>-</w:t>
      </w:r>
      <w:r>
        <w:rPr>
          <w:rFonts w:hint="cs"/>
          <w:rtl/>
          <w:lang w:bidi="ar-EG"/>
        </w:rPr>
        <w:tab/>
      </w:r>
      <w:r>
        <w:rPr>
          <w:rFonts w:hint="cs"/>
          <w:b/>
          <w:bCs/>
          <w:i/>
          <w:iCs/>
          <w:rtl/>
          <w:lang w:bidi="ar-EG"/>
        </w:rPr>
        <w:t xml:space="preserve">دعم تنمية جزر البهاما الذكية </w:t>
      </w:r>
      <w:r>
        <w:rPr>
          <w:b/>
          <w:bCs/>
          <w:i/>
          <w:iCs/>
          <w:rtl/>
          <w:lang w:bidi="ar-EG"/>
        </w:rPr>
        <w:t>–</w:t>
      </w:r>
      <w:r>
        <w:rPr>
          <w:rFonts w:hint="cs"/>
          <w:b/>
          <w:bCs/>
          <w:i/>
          <w:iCs/>
          <w:rtl/>
          <w:lang w:bidi="ar-EG"/>
        </w:rPr>
        <w:t xml:space="preserve"> البهاما الذكية:</w:t>
      </w:r>
      <w:r>
        <w:rPr>
          <w:rFonts w:hint="cs"/>
          <w:rtl/>
        </w:rPr>
        <w:t xml:space="preserve"> يهدف هذا المشروع إلى دعم جزر البهاما، بوصفها نموذجاً للدول النامية الجزرية الصغيرة لإقامة إحدى أول "الجزر الذكية" في منطقة </w:t>
      </w:r>
      <w:proofErr w:type="spellStart"/>
      <w:r>
        <w:rPr>
          <w:rFonts w:hint="cs"/>
          <w:rtl/>
        </w:rPr>
        <w:t>الأمريكتين</w:t>
      </w:r>
      <w:proofErr w:type="spellEnd"/>
      <w:r>
        <w:rPr>
          <w:rFonts w:hint="cs"/>
          <w:rtl/>
        </w:rPr>
        <w:t xml:space="preserve"> من خلال تطوير تكنولوجيا المعلومات والاتصالات والاستفادة منها في تحسين نوعية حياة السكان، وتشجيع الشركات في هذا البلد لتكون أكثر فعالية </w:t>
      </w:r>
      <w:r>
        <w:rPr>
          <w:rFonts w:hint="cs"/>
          <w:rtl/>
        </w:rPr>
        <w:lastRenderedPageBreak/>
        <w:t>وقدرة على المنافسة، وتوفير خدمات عامة أكثر وأفضل بصورة مستدامة. كما أن لها المقدرة على تكرار نجاحها، إذا ما تحقق، في</w:t>
      </w:r>
      <w:r w:rsidR="003D3AF8">
        <w:rPr>
          <w:rFonts w:hint="eastAsia"/>
          <w:rtl/>
        </w:rPr>
        <w:t> </w:t>
      </w:r>
      <w:r>
        <w:rPr>
          <w:rFonts w:hint="cs"/>
          <w:rtl/>
        </w:rPr>
        <w:t>دول جزرية أخرى في منطقة البحر الكاريبي وغيرها.</w:t>
      </w:r>
    </w:p>
    <w:p w:rsidR="00492324" w:rsidRDefault="00492324" w:rsidP="00C7679F">
      <w:pPr>
        <w:pStyle w:val="enumlev1"/>
        <w:rPr>
          <w:rtl/>
          <w:lang w:bidi="ar-EG"/>
        </w:rPr>
      </w:pPr>
      <w:r>
        <w:rPr>
          <w:rFonts w:hint="cs"/>
          <w:rtl/>
          <w:lang w:bidi="ar-EG"/>
        </w:rPr>
        <w:t>-</w:t>
      </w:r>
      <w:r>
        <w:rPr>
          <w:rFonts w:hint="cs"/>
          <w:rtl/>
          <w:lang w:bidi="ar-EG"/>
        </w:rPr>
        <w:tab/>
      </w:r>
      <w:r w:rsidRPr="00F876CC">
        <w:rPr>
          <w:rFonts w:hint="cs"/>
          <w:b/>
          <w:bCs/>
          <w:i/>
          <w:iCs/>
          <w:rtl/>
          <w:lang w:bidi="ar-EG"/>
        </w:rPr>
        <w:t>رصد الطيف الراديوي في كوبا</w:t>
      </w:r>
      <w:r>
        <w:rPr>
          <w:rFonts w:hint="cs"/>
          <w:b/>
          <w:bCs/>
          <w:i/>
          <w:iCs/>
          <w:rtl/>
          <w:lang w:bidi="ar-EG"/>
        </w:rPr>
        <w:t>:</w:t>
      </w:r>
      <w:r>
        <w:rPr>
          <w:rFonts w:hint="cs"/>
          <w:rtl/>
          <w:lang w:bidi="ar-EG"/>
        </w:rPr>
        <w:t xml:space="preserve"> يهدف هذا المشروع إلى تحديث نظام رصد الطيف القائم حالياً في محطة الرصد الثابتة في</w:t>
      </w:r>
      <w:r w:rsidR="003D3AF8">
        <w:rPr>
          <w:rFonts w:hint="eastAsia"/>
          <w:rtl/>
          <w:lang w:bidi="ar-EG"/>
        </w:rPr>
        <w:t> </w:t>
      </w:r>
      <w:r>
        <w:rPr>
          <w:rFonts w:hint="cs"/>
          <w:rtl/>
          <w:lang w:bidi="ar-EG"/>
        </w:rPr>
        <w:t>هافانا، بكوبا، وبالتالي تعزيز رصد الطيف. ويتوقع من محطة الرصد الثابتة بعد تحديثها أن تزيد من قدرة وإمكانية رصد وقياس المعلمات التقنية للمحطات الراديوية، والتحديد الراديوي لزوايا الاتجاه، والكشف عن مصادر التداخل والمحطات الراديوية غير المرخص لها، ولا</w:t>
      </w:r>
      <w:r w:rsidR="003D3AF8">
        <w:rPr>
          <w:rFonts w:hint="eastAsia"/>
          <w:rtl/>
          <w:lang w:bidi="ar-EG"/>
        </w:rPr>
        <w:t> </w:t>
      </w:r>
      <w:r>
        <w:rPr>
          <w:rFonts w:hint="cs"/>
          <w:rtl/>
          <w:lang w:bidi="ar-EG"/>
        </w:rPr>
        <w:t xml:space="preserve">سيما في </w:t>
      </w:r>
      <w:r>
        <w:rPr>
          <w:color w:val="000000"/>
          <w:rtl/>
        </w:rPr>
        <w:t>الموجات المترية</w:t>
      </w:r>
      <w:r w:rsidR="003D3AF8">
        <w:rPr>
          <w:rFonts w:hint="cs"/>
          <w:color w:val="000000"/>
          <w:rtl/>
        </w:rPr>
        <w:t xml:space="preserve"> </w:t>
      </w:r>
      <w:r>
        <w:rPr>
          <w:color w:val="000000"/>
        </w:rPr>
        <w:t>(VHF)</w:t>
      </w:r>
      <w:r w:rsidR="003D3AF8">
        <w:rPr>
          <w:rFonts w:hint="cs"/>
          <w:color w:val="000000"/>
          <w:rtl/>
        </w:rPr>
        <w:t xml:space="preserve"> </w:t>
      </w:r>
      <w:proofErr w:type="spellStart"/>
      <w:r>
        <w:rPr>
          <w:color w:val="000000"/>
          <w:rtl/>
        </w:rPr>
        <w:t>والديسيمترية</w:t>
      </w:r>
      <w:proofErr w:type="spellEnd"/>
      <w:r>
        <w:rPr>
          <w:rFonts w:hint="cs"/>
          <w:color w:val="000000"/>
          <w:rtl/>
        </w:rPr>
        <w:t xml:space="preserve"> </w:t>
      </w:r>
      <w:r>
        <w:rPr>
          <w:color w:val="000000"/>
        </w:rPr>
        <w:t>(UHF)</w:t>
      </w:r>
      <w:r>
        <w:rPr>
          <w:rFonts w:hint="cs"/>
          <w:rtl/>
          <w:lang w:bidi="ar-EG"/>
        </w:rPr>
        <w:t>. وفضلا</w:t>
      </w:r>
      <w:r w:rsidR="001E3D8B">
        <w:rPr>
          <w:rFonts w:hint="cs"/>
          <w:rtl/>
          <w:lang w:bidi="ar-EG"/>
        </w:rPr>
        <w:t>ً</w:t>
      </w:r>
      <w:r>
        <w:rPr>
          <w:rFonts w:hint="cs"/>
          <w:rtl/>
          <w:lang w:bidi="ar-EG"/>
        </w:rPr>
        <w:t xml:space="preserve"> عن ذلك، فهو يرمي إلى تدريب المهنيين المعنيين من الحكومة الكوبية وتحسين معرفتهم ومهاراتهم، ولا</w:t>
      </w:r>
      <w:r w:rsidR="003D3AF8">
        <w:rPr>
          <w:rFonts w:hint="eastAsia"/>
          <w:rtl/>
          <w:lang w:bidi="ar-EG"/>
        </w:rPr>
        <w:t> </w:t>
      </w:r>
      <w:r>
        <w:rPr>
          <w:rFonts w:hint="cs"/>
          <w:rtl/>
          <w:lang w:bidi="ar-EG"/>
        </w:rPr>
        <w:t>سيما في الجوانب المتصلة ب</w:t>
      </w:r>
      <w:r w:rsidR="003D3AF8">
        <w:rPr>
          <w:rFonts w:hint="cs"/>
          <w:rtl/>
          <w:lang w:bidi="ar-EG"/>
        </w:rPr>
        <w:t>إدارة الطيف الكهربائي الراديوي.</w:t>
      </w:r>
    </w:p>
    <w:p w:rsidR="00492324" w:rsidRDefault="00492324" w:rsidP="00C7679F">
      <w:pPr>
        <w:pStyle w:val="enumlev1"/>
        <w:rPr>
          <w:rtl/>
          <w:lang w:bidi="ar-EG"/>
        </w:rPr>
      </w:pPr>
      <w:r>
        <w:rPr>
          <w:rFonts w:hint="cs"/>
          <w:rtl/>
          <w:lang w:bidi="ar-EG"/>
        </w:rPr>
        <w:t>-</w:t>
      </w:r>
      <w:r>
        <w:rPr>
          <w:rFonts w:hint="cs"/>
          <w:rtl/>
          <w:lang w:bidi="ar-EG"/>
        </w:rPr>
        <w:tab/>
      </w:r>
      <w:r>
        <w:rPr>
          <w:rFonts w:hint="cs"/>
          <w:b/>
          <w:bCs/>
          <w:i/>
          <w:iCs/>
          <w:rtl/>
          <w:lang w:bidi="ar-EG"/>
        </w:rPr>
        <w:t>الحصول على المكاسب الرقمية في إفريقيا</w:t>
      </w:r>
      <w:r w:rsidRPr="00F876CC">
        <w:rPr>
          <w:rFonts w:hint="cs"/>
          <w:b/>
          <w:bCs/>
          <w:i/>
          <w:iCs/>
          <w:rtl/>
          <w:lang w:bidi="ar-EG"/>
        </w:rPr>
        <w:t>:</w:t>
      </w:r>
      <w:r>
        <w:rPr>
          <w:rFonts w:hint="cs"/>
          <w:rtl/>
          <w:lang w:bidi="ar-EG"/>
        </w:rPr>
        <w:t xml:space="preserve"> يهدف هذا المشروع بوصفه شراكة يتعدد فيها أصحاب المصلحة بقيادة الاتحاد، والمجلس الأوروبي، ومفوضية الاتحاد الإفريقي، إلى تعزيز نطاق عريض لاسلكي يمكن الوصول إليه وميسور التكلفة وفع</w:t>
      </w:r>
      <w:r w:rsidR="009E270F">
        <w:rPr>
          <w:rFonts w:hint="cs"/>
          <w:rtl/>
          <w:lang w:bidi="ar-EG"/>
        </w:rPr>
        <w:t>ّ</w:t>
      </w:r>
      <w:r>
        <w:rPr>
          <w:rFonts w:hint="cs"/>
          <w:rtl/>
          <w:lang w:bidi="ar-EG"/>
        </w:rPr>
        <w:t>ال في جميع أنحاء القارة الإفريقية من خلال تحسين استعمال الطيف وتنسيقه. ويتوقع تناول مسائل الطيف على الصعد الوطنية والإقليمية وفي عموم إفريقيا حتى يمكن جني فوائد اجتماعية واقتصادية كبيرة للمستفيدين النهائيين (سكان الدول الإفريقية) وتوفير فرص للقطاع الخاص من خلال شراكات بين القطاعين الخاص والعام</w:t>
      </w:r>
      <w:r w:rsidR="001D6D70">
        <w:rPr>
          <w:rFonts w:hint="cs"/>
          <w:rtl/>
          <w:lang w:bidi="ar-EG"/>
        </w:rPr>
        <w:t xml:space="preserve"> </w:t>
      </w:r>
      <w:r w:rsidR="001D6D70">
        <w:rPr>
          <w:lang w:bidi="ar-EG"/>
        </w:rPr>
        <w:t>(PPP)</w:t>
      </w:r>
      <w:r>
        <w:rPr>
          <w:rFonts w:hint="cs"/>
          <w:rtl/>
          <w:lang w:bidi="ar-EG"/>
        </w:rPr>
        <w:t xml:space="preserve"> للمساهمة في تنمية الخدمات و</w:t>
      </w:r>
      <w:r w:rsidR="009D420E">
        <w:rPr>
          <w:rFonts w:hint="cs"/>
          <w:rtl/>
          <w:lang w:bidi="ar-EG"/>
        </w:rPr>
        <w:t>تحقيق النمو المستدام.</w:t>
      </w:r>
    </w:p>
    <w:p w:rsidR="00492324" w:rsidRDefault="00492324" w:rsidP="001D6D70">
      <w:pPr>
        <w:pStyle w:val="enumlev1"/>
        <w:ind w:firstLine="0"/>
        <w:rPr>
          <w:rtl/>
          <w:lang w:bidi="ar-EG"/>
        </w:rPr>
      </w:pPr>
      <w:r w:rsidRPr="001D6D70">
        <w:rPr>
          <w:rFonts w:hint="cs"/>
          <w:rtl/>
        </w:rPr>
        <w:t xml:space="preserve">وقد قرر الاجتماع الحادي والخمسون للجنة توجيه الصندوق </w:t>
      </w:r>
      <w:r w:rsidRPr="001D6D70">
        <w:t>ICT-DF</w:t>
      </w:r>
      <w:r w:rsidRPr="001D6D70">
        <w:rPr>
          <w:rFonts w:hint="cs"/>
          <w:rtl/>
        </w:rPr>
        <w:t xml:space="preserve"> مراجعة حال الأموال المتصلة بالمشاريع الممولة من الصندوق </w:t>
      </w:r>
      <w:r w:rsidRPr="002D130F">
        <w:rPr>
          <w:lang w:bidi="ar-SY"/>
        </w:rPr>
        <w:t>ICT-DF</w:t>
      </w:r>
      <w:r>
        <w:rPr>
          <w:rFonts w:hint="cs"/>
          <w:rtl/>
          <w:lang w:bidi="ar-EG"/>
        </w:rPr>
        <w:t>، مثلاً ما إذا كانت الأموال الموافق عليها قد تم تنفيذها وإنفاقها كاملاً؛ وإذا لم يتم ذلك، فإن</w:t>
      </w:r>
      <w:r w:rsidR="00720D87">
        <w:rPr>
          <w:rFonts w:hint="eastAsia"/>
          <w:rtl/>
          <w:lang w:bidi="ar-EG"/>
        </w:rPr>
        <w:t> </w:t>
      </w:r>
      <w:r>
        <w:rPr>
          <w:rFonts w:hint="cs"/>
          <w:rtl/>
          <w:lang w:bidi="ar-EG"/>
        </w:rPr>
        <w:t xml:space="preserve">الأموال المتبقية ينبغي إعادتها إلى الصندوق ما أمكن ذلك. وستواصل لجنة التوجيه بانتظام استعراض مقترحات المشاريع ودعم مشاريع منتقاة في مختلف مجالات العمل مع إيلاء اهتمام خاص إلى المبادرات الإقليمية التي وافق عليها المؤتمر العالمي لتنمية الاتصالات بالاستناد إلى المعايير والمواضيع التي تحددها قواعد الصندوق </w:t>
      </w:r>
      <w:r w:rsidRPr="002D130F">
        <w:rPr>
          <w:lang w:bidi="ar-SY"/>
        </w:rPr>
        <w:t>ICT-DF</w:t>
      </w:r>
      <w:r>
        <w:rPr>
          <w:rFonts w:hint="cs"/>
          <w:rtl/>
          <w:lang w:bidi="ar-SY"/>
        </w:rPr>
        <w:t xml:space="preserve"> </w:t>
      </w:r>
      <w:r>
        <w:rPr>
          <w:rFonts w:hint="cs"/>
          <w:rtl/>
          <w:lang w:bidi="ar-EG"/>
        </w:rPr>
        <w:t>وإجراءاته في</w:t>
      </w:r>
      <w:r w:rsidR="002E6822">
        <w:rPr>
          <w:rFonts w:hint="eastAsia"/>
          <w:rtl/>
          <w:lang w:bidi="ar-EG"/>
        </w:rPr>
        <w:t> </w:t>
      </w:r>
      <w:r>
        <w:rPr>
          <w:rFonts w:hint="cs"/>
          <w:rtl/>
          <w:lang w:bidi="ar-EG"/>
        </w:rPr>
        <w:t xml:space="preserve">حدود حساب رأس مال الصندوق </w:t>
      </w:r>
      <w:r w:rsidRPr="002D130F">
        <w:rPr>
          <w:lang w:bidi="ar-SY"/>
        </w:rPr>
        <w:t>ICT-DF</w:t>
      </w:r>
      <w:r w:rsidR="002E6822">
        <w:rPr>
          <w:rFonts w:hint="cs"/>
          <w:rtl/>
          <w:lang w:bidi="ar-EG"/>
        </w:rPr>
        <w:t>.</w:t>
      </w:r>
    </w:p>
    <w:p w:rsidR="00492324" w:rsidRDefault="00492324" w:rsidP="00492324">
      <w:pPr>
        <w:pStyle w:val="Heading1"/>
      </w:pPr>
      <w:r>
        <w:t>3</w:t>
      </w:r>
      <w:r>
        <w:tab/>
      </w:r>
      <w:r w:rsidRPr="002D130F">
        <w:rPr>
          <w:rFonts w:hint="cs"/>
          <w:rtl/>
        </w:rPr>
        <w:t>حالة مشاريع صندوق تنمية تكنولوجيا المعلومات والاتصالات</w:t>
      </w:r>
    </w:p>
    <w:p w:rsidR="00492324" w:rsidRDefault="00492324" w:rsidP="00066222">
      <w:pPr>
        <w:rPr>
          <w:rtl/>
          <w:lang w:bidi="ar-EG"/>
        </w:rPr>
      </w:pPr>
      <w:r>
        <w:rPr>
          <w:lang w:bidi="ar-EG"/>
        </w:rPr>
        <w:t>1.3</w:t>
      </w:r>
      <w:r w:rsidR="001D2490">
        <w:rPr>
          <w:rtl/>
          <w:lang w:bidi="ar-EG"/>
        </w:rPr>
        <w:tab/>
      </w:r>
      <w:r>
        <w:rPr>
          <w:rFonts w:hint="cs"/>
          <w:rtl/>
          <w:lang w:bidi="ar-EG"/>
        </w:rPr>
        <w:t xml:space="preserve">بحلول منتصف شهر مارس </w:t>
      </w:r>
      <w:r>
        <w:rPr>
          <w:lang w:val="fr-CH" w:bidi="ar-EG"/>
        </w:rPr>
        <w:t>2017</w:t>
      </w:r>
      <w:r>
        <w:rPr>
          <w:rFonts w:hint="cs"/>
          <w:rtl/>
          <w:lang w:bidi="ar-EG"/>
        </w:rPr>
        <w:t xml:space="preserve">، كانت محفظة الصندوق </w:t>
      </w:r>
      <w:r w:rsidRPr="002D130F">
        <w:rPr>
          <w:lang w:bidi="ar-SY"/>
        </w:rPr>
        <w:t>ICT-DF</w:t>
      </w:r>
      <w:r>
        <w:rPr>
          <w:rFonts w:hint="cs"/>
          <w:rtl/>
          <w:lang w:bidi="ar-EG"/>
        </w:rPr>
        <w:t xml:space="preserve"> تتألف من </w:t>
      </w:r>
      <w:r>
        <w:rPr>
          <w:lang w:val="fr-CH" w:bidi="ar-EG"/>
        </w:rPr>
        <w:t>17</w:t>
      </w:r>
      <w:r>
        <w:rPr>
          <w:rFonts w:hint="cs"/>
          <w:rtl/>
          <w:lang w:bidi="ar-EG"/>
        </w:rPr>
        <w:t xml:space="preserve"> مشروعاً</w:t>
      </w:r>
      <w:r w:rsidR="00066222">
        <w:rPr>
          <w:rFonts w:hint="cs"/>
          <w:rtl/>
          <w:lang w:bidi="ar-EG"/>
        </w:rPr>
        <w:t>؛</w:t>
      </w:r>
      <w:r>
        <w:rPr>
          <w:rFonts w:hint="cs"/>
          <w:rtl/>
          <w:lang w:bidi="ar-EG"/>
        </w:rPr>
        <w:t xml:space="preserve"> </w:t>
      </w:r>
      <w:hyperlink r:id="rId16" w:history="1">
        <w:r w:rsidRPr="00992D31">
          <w:rPr>
            <w:rStyle w:val="Hyperlink"/>
            <w:lang w:val="fr-CH" w:bidi="ar-EG"/>
          </w:rPr>
          <w:t>13</w:t>
        </w:r>
        <w:r w:rsidRPr="00992D31">
          <w:rPr>
            <w:rStyle w:val="Hyperlink"/>
            <w:rFonts w:hint="cs"/>
            <w:rtl/>
            <w:lang w:bidi="ar-EG"/>
          </w:rPr>
          <w:t xml:space="preserve"> مشروعاً جارياً</w:t>
        </w:r>
      </w:hyperlink>
      <w:r>
        <w:rPr>
          <w:rFonts w:hint="cs"/>
          <w:rtl/>
          <w:lang w:bidi="ar-EG"/>
        </w:rPr>
        <w:t xml:space="preserve"> وأربعة مشاريع وافق عليها الاجتماعان الخمسون والحادي والخمسون للصندوق (انظر القسمين </w:t>
      </w:r>
      <w:r w:rsidR="0024237F">
        <w:rPr>
          <w:lang w:val="fr-CH" w:bidi="ar-EG"/>
        </w:rPr>
        <w:t>2.2</w:t>
      </w:r>
      <w:r w:rsidR="0024237F">
        <w:rPr>
          <w:rStyle w:val="FootnoteReference"/>
          <w:rtl/>
          <w:lang w:bidi="ar-EG"/>
        </w:rPr>
        <w:footnoteReference w:id="2"/>
      </w:r>
      <w:r>
        <w:rPr>
          <w:rFonts w:hint="cs"/>
          <w:rtl/>
          <w:lang w:bidi="ar-EG"/>
        </w:rPr>
        <w:t xml:space="preserve"> و</w:t>
      </w:r>
      <w:r>
        <w:rPr>
          <w:lang w:val="fr-CH" w:bidi="ar-EG"/>
        </w:rPr>
        <w:t>3.2</w:t>
      </w:r>
      <w:r>
        <w:rPr>
          <w:rFonts w:hint="cs"/>
          <w:rtl/>
          <w:lang w:bidi="ar-EG"/>
        </w:rPr>
        <w:t xml:space="preserve">) وتتوزع هذه المشاريع بحسب المناطق ومجال العمل على النحو التالي (الشكلان </w:t>
      </w:r>
      <w:r>
        <w:rPr>
          <w:lang w:val="fr-CH" w:bidi="ar-EG"/>
        </w:rPr>
        <w:t>1</w:t>
      </w:r>
      <w:r>
        <w:rPr>
          <w:rFonts w:hint="cs"/>
          <w:rtl/>
          <w:lang w:bidi="ar-EG"/>
        </w:rPr>
        <w:t xml:space="preserve"> و</w:t>
      </w:r>
      <w:r>
        <w:rPr>
          <w:lang w:val="fr-CH" w:bidi="ar-EG"/>
        </w:rPr>
        <w:t>2</w:t>
      </w:r>
      <w:r>
        <w:rPr>
          <w:rFonts w:hint="cs"/>
          <w:rtl/>
          <w:lang w:bidi="ar-EG"/>
        </w:rPr>
        <w:t>).</w:t>
      </w:r>
    </w:p>
    <w:p w:rsidR="00492324" w:rsidRDefault="00492324" w:rsidP="00492324">
      <w:pPr>
        <w:rPr>
          <w:rtl/>
          <w:lang w:bidi="ar-EG"/>
        </w:rPr>
      </w:pPr>
    </w:p>
    <w:p w:rsidR="00492324" w:rsidRDefault="00492324" w:rsidP="00492324">
      <w:pPr>
        <w:jc w:val="center"/>
        <w:rPr>
          <w:rtl/>
          <w:lang w:bidi="ar-EG"/>
        </w:rPr>
      </w:pPr>
      <w:r>
        <w:rPr>
          <w:noProof/>
          <w:lang w:eastAsia="zh-CN"/>
        </w:rPr>
        <w:drawing>
          <wp:inline distT="0" distB="0" distL="0" distR="0" wp14:anchorId="25FA788A" wp14:editId="14EF1675">
            <wp:extent cx="4924425" cy="20574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2324" w:rsidRPr="00366B54" w:rsidRDefault="00492324" w:rsidP="00366B54">
      <w:pPr>
        <w:tabs>
          <w:tab w:val="left" w:pos="567"/>
          <w:tab w:val="left" w:pos="1701"/>
          <w:tab w:val="left" w:pos="2268"/>
          <w:tab w:val="left" w:pos="2835"/>
        </w:tabs>
        <w:overflowPunct w:val="0"/>
        <w:autoSpaceDE w:val="0"/>
        <w:autoSpaceDN w:val="0"/>
        <w:bidi w:val="0"/>
        <w:adjustRightInd w:val="0"/>
        <w:snapToGrid w:val="0"/>
        <w:spacing w:before="100" w:beforeAutospacing="1" w:after="100" w:afterAutospacing="1" w:line="240" w:lineRule="auto"/>
        <w:jc w:val="center"/>
        <w:textAlignment w:val="baseline"/>
        <w:rPr>
          <w:rFonts w:cs="Times New Roman"/>
          <w:color w:val="000000"/>
          <w:sz w:val="24"/>
          <w:szCs w:val="20"/>
          <w:rtl/>
          <w:lang w:val="en-GB"/>
        </w:rPr>
      </w:pPr>
      <w:r w:rsidRPr="005A2AA8">
        <w:rPr>
          <w:rFonts w:cs="Times New Roman"/>
          <w:noProof/>
          <w:sz w:val="24"/>
          <w:szCs w:val="20"/>
          <w:lang w:eastAsia="zh-CN"/>
        </w:rPr>
        <w:lastRenderedPageBreak/>
        <w:drawing>
          <wp:inline distT="0" distB="0" distL="0" distR="0" wp14:anchorId="333D558E" wp14:editId="5307F443">
            <wp:extent cx="5057775" cy="21907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1E5E" w:rsidRPr="00C01E5E" w:rsidRDefault="00492324" w:rsidP="00C058A1">
      <w:pPr>
        <w:spacing w:after="240"/>
        <w:rPr>
          <w:noProof/>
          <w:lang w:eastAsia="zh-CN" w:bidi="ar-EG"/>
        </w:rPr>
      </w:pPr>
      <w:r>
        <w:rPr>
          <w:noProof/>
          <w:lang w:eastAsia="zh-CN"/>
        </w:rPr>
        <w:t>2.3</w:t>
      </w:r>
      <w:r>
        <w:rPr>
          <w:rFonts w:hint="cs"/>
          <w:noProof/>
          <w:rtl/>
          <w:lang w:eastAsia="zh-CN" w:bidi="ar-EG"/>
        </w:rPr>
        <w:tab/>
        <w:t xml:space="preserve">وخلال الفترة نفسها، يجري دعم حوالي </w:t>
      </w:r>
      <w:r w:rsidR="00366B54">
        <w:rPr>
          <w:noProof/>
          <w:lang w:eastAsia="zh-CN" w:bidi="ar-EG"/>
        </w:rPr>
        <w:t>%</w:t>
      </w:r>
      <w:r>
        <w:rPr>
          <w:noProof/>
          <w:lang w:val="fr-CH" w:eastAsia="zh-CN" w:bidi="ar-EG"/>
        </w:rPr>
        <w:t>30</w:t>
      </w:r>
      <w:r w:rsidR="00366B54">
        <w:rPr>
          <w:noProof/>
          <w:lang w:val="fr-CH" w:eastAsia="zh-CN" w:bidi="ar-EG"/>
        </w:rPr>
        <w:t>,</w:t>
      </w:r>
      <w:r>
        <w:rPr>
          <w:noProof/>
          <w:lang w:val="fr-CH" w:eastAsia="zh-CN" w:bidi="ar-EG"/>
        </w:rPr>
        <w:t>7</w:t>
      </w:r>
      <w:r>
        <w:rPr>
          <w:rFonts w:hint="cs"/>
          <w:noProof/>
          <w:rtl/>
          <w:lang w:eastAsia="zh-CN" w:bidi="ar-EG"/>
        </w:rPr>
        <w:t xml:space="preserve"> من محفظة الصندوق </w:t>
      </w:r>
      <w:r w:rsidRPr="002D130F">
        <w:rPr>
          <w:lang w:bidi="ar-SY"/>
        </w:rPr>
        <w:t>ICT-DF</w:t>
      </w:r>
      <w:r>
        <w:rPr>
          <w:rFonts w:hint="cs"/>
          <w:rtl/>
          <w:lang w:bidi="ar-SY"/>
        </w:rPr>
        <w:t xml:space="preserve"> </w:t>
      </w:r>
      <w:r>
        <w:rPr>
          <w:rFonts w:hint="cs"/>
          <w:noProof/>
          <w:rtl/>
          <w:lang w:eastAsia="zh-CN" w:bidi="ar-EG"/>
        </w:rPr>
        <w:t xml:space="preserve">التي يصل مبلغها إلى حوالي </w:t>
      </w:r>
      <w:r>
        <w:rPr>
          <w:noProof/>
          <w:lang w:val="fr-CH" w:eastAsia="zh-CN" w:bidi="ar-EG"/>
        </w:rPr>
        <w:t>19</w:t>
      </w:r>
      <w:r w:rsidR="008D7666">
        <w:rPr>
          <w:noProof/>
          <w:lang w:val="fr-CH" w:eastAsia="zh-CN" w:bidi="ar-EG"/>
        </w:rPr>
        <w:t>,</w:t>
      </w:r>
      <w:r>
        <w:rPr>
          <w:noProof/>
          <w:lang w:val="fr-CH" w:eastAsia="zh-CN" w:bidi="ar-EG"/>
        </w:rPr>
        <w:t>7</w:t>
      </w:r>
      <w:r w:rsidR="008D7666">
        <w:rPr>
          <w:rFonts w:hint="eastAsia"/>
          <w:noProof/>
          <w:rtl/>
          <w:lang w:eastAsia="zh-CN" w:bidi="ar-EG"/>
        </w:rPr>
        <w:t> </w:t>
      </w:r>
      <w:r>
        <w:rPr>
          <w:rFonts w:hint="cs"/>
          <w:noProof/>
          <w:rtl/>
          <w:lang w:eastAsia="zh-CN" w:bidi="ar-EG"/>
        </w:rPr>
        <w:t xml:space="preserve">مليون فرنك سويسري بمساهمات الصندوق </w:t>
      </w:r>
      <w:r w:rsidRPr="002D130F">
        <w:rPr>
          <w:lang w:bidi="ar-SY"/>
        </w:rPr>
        <w:t>ICT-DF</w:t>
      </w:r>
      <w:r>
        <w:rPr>
          <w:rFonts w:hint="cs"/>
          <w:rtl/>
          <w:lang w:bidi="ar-SY"/>
        </w:rPr>
        <w:t xml:space="preserve"> </w:t>
      </w:r>
      <w:r>
        <w:rPr>
          <w:rFonts w:hint="cs"/>
          <w:noProof/>
          <w:rtl/>
          <w:lang w:eastAsia="zh-CN" w:bidi="ar-EG"/>
        </w:rPr>
        <w:t xml:space="preserve">التي تبلغ تقريباً </w:t>
      </w:r>
      <w:r>
        <w:rPr>
          <w:noProof/>
          <w:lang w:val="fr-CH" w:eastAsia="zh-CN" w:bidi="ar-EG"/>
        </w:rPr>
        <w:t>6</w:t>
      </w:r>
      <w:r w:rsidR="001237C0">
        <w:rPr>
          <w:noProof/>
          <w:lang w:val="fr-CH" w:eastAsia="zh-CN" w:bidi="ar-EG"/>
        </w:rPr>
        <w:t>,</w:t>
      </w:r>
      <w:r>
        <w:rPr>
          <w:noProof/>
          <w:lang w:val="fr-CH" w:eastAsia="zh-CN" w:bidi="ar-EG"/>
        </w:rPr>
        <w:t>1</w:t>
      </w:r>
      <w:r>
        <w:rPr>
          <w:rFonts w:hint="cs"/>
          <w:noProof/>
          <w:rtl/>
          <w:lang w:eastAsia="zh-CN" w:bidi="ar-EG"/>
        </w:rPr>
        <w:t xml:space="preserve"> مليون فرنك سويسري. ويبين الشكل</w:t>
      </w:r>
      <w:r w:rsidR="001237C0">
        <w:rPr>
          <w:rFonts w:hint="eastAsia"/>
          <w:noProof/>
          <w:rtl/>
          <w:lang w:eastAsia="zh-CN" w:bidi="ar-EG"/>
        </w:rPr>
        <w:t> </w:t>
      </w:r>
      <w:r>
        <w:rPr>
          <w:noProof/>
          <w:lang w:val="fr-CH" w:eastAsia="zh-CN" w:bidi="ar-EG"/>
        </w:rPr>
        <w:t>3</w:t>
      </w:r>
      <w:r>
        <w:rPr>
          <w:rFonts w:hint="cs"/>
          <w:noProof/>
          <w:rtl/>
          <w:lang w:eastAsia="zh-CN" w:bidi="ar-EG"/>
        </w:rPr>
        <w:t xml:space="preserve"> توزيع المساهمات على محفظة الصندوق بين الصندوق والمساهمات العينية والمساهمات </w:t>
      </w:r>
      <w:r w:rsidR="00035D09">
        <w:rPr>
          <w:rFonts w:hint="cs"/>
          <w:noProof/>
          <w:rtl/>
          <w:lang w:eastAsia="zh-CN" w:bidi="ar-EG"/>
        </w:rPr>
        <w:t>النقدية الأخرى.</w:t>
      </w:r>
    </w:p>
    <w:p w:rsidR="00492324" w:rsidRPr="00035D09" w:rsidRDefault="00056615" w:rsidP="00035D09">
      <w:pPr>
        <w:tabs>
          <w:tab w:val="left" w:pos="567"/>
          <w:tab w:val="left" w:pos="1701"/>
          <w:tab w:val="left" w:pos="2268"/>
          <w:tab w:val="left" w:pos="2835"/>
        </w:tabs>
        <w:overflowPunct w:val="0"/>
        <w:autoSpaceDE w:val="0"/>
        <w:autoSpaceDN w:val="0"/>
        <w:bidi w:val="0"/>
        <w:adjustRightInd w:val="0"/>
        <w:snapToGrid w:val="0"/>
        <w:spacing w:after="120" w:line="240" w:lineRule="auto"/>
        <w:jc w:val="left"/>
        <w:textAlignment w:val="baseline"/>
        <w:rPr>
          <w:rFonts w:cs="Calibri"/>
          <w:sz w:val="24"/>
          <w:szCs w:val="20"/>
          <w:highlight w:val="yellow"/>
          <w:rtl/>
          <w:lang w:val="en-GB"/>
        </w:rPr>
      </w:pPr>
      <w:r>
        <w:rPr>
          <w:rFonts w:cs="Times New Roman"/>
          <w:noProof/>
          <w:sz w:val="24"/>
          <w:szCs w:val="20"/>
          <w:lang w:eastAsia="zh-CN"/>
        </w:rPr>
        <mc:AlternateContent>
          <mc:Choice Requires="wps">
            <w:drawing>
              <wp:anchor distT="0" distB="0" distL="114300" distR="114300" simplePos="0" relativeHeight="251665408" behindDoc="0" locked="0" layoutInCell="1" allowOverlap="1">
                <wp:simplePos x="0" y="0"/>
                <wp:positionH relativeFrom="column">
                  <wp:posOffset>1828165</wp:posOffset>
                </wp:positionH>
                <wp:positionV relativeFrom="paragraph">
                  <wp:posOffset>515599</wp:posOffset>
                </wp:positionV>
                <wp:extent cx="429714" cy="186191"/>
                <wp:effectExtent l="0" t="0" r="8890" b="4445"/>
                <wp:wrapNone/>
                <wp:docPr id="7" name="Text Box 7"/>
                <wp:cNvGraphicFramePr/>
                <a:graphic xmlns:a="http://schemas.openxmlformats.org/drawingml/2006/main">
                  <a:graphicData uri="http://schemas.microsoft.com/office/word/2010/wordprocessingShape">
                    <wps:wsp>
                      <wps:cNvSpPr txBox="1"/>
                      <wps:spPr>
                        <a:xfrm>
                          <a:off x="0" y="0"/>
                          <a:ext cx="429714" cy="186191"/>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6615" w:rsidRPr="00F17692" w:rsidRDefault="00056615" w:rsidP="00F17692">
                            <w:pPr>
                              <w:spacing w:before="0"/>
                              <w:jc w:val="left"/>
                              <w:rPr>
                                <w:color w:val="FFFFFF" w:themeColor="background1"/>
                                <w:sz w:val="16"/>
                                <w:szCs w:val="16"/>
                              </w:rPr>
                            </w:pPr>
                            <w:r w:rsidRPr="00F17692">
                              <w:rPr>
                                <w:color w:val="FFFFFF" w:themeColor="background1"/>
                                <w:sz w:val="16"/>
                                <w:szCs w:val="16"/>
                              </w:rPr>
                              <w:t>%9</w:t>
                            </w:r>
                            <w:proofErr w:type="gramStart"/>
                            <w:r w:rsidRPr="00F17692">
                              <w:rPr>
                                <w:color w:val="FFFFFF" w:themeColor="background1"/>
                                <w:sz w:val="16"/>
                                <w:szCs w:val="16"/>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3.95pt;margin-top:40.6pt;width:33.85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" fillcolor="#404040 [2429]" stroked="f" strokeweight=".5pt">
                <v:textbox>
                  <w:txbxContent>
                    <w:p w:rsidR="00056615" w:rsidRPr="00F17692" w:rsidRDefault="00056615" w:rsidP="00F17692">
                      <w:pPr>
                        <w:spacing w:before="0"/>
                        <w:jc w:val="left"/>
                        <w:rPr>
                          <w:color w:val="FFFFFF" w:themeColor="background1"/>
                          <w:sz w:val="16"/>
                          <w:szCs w:val="16"/>
                        </w:rPr>
                      </w:pPr>
                      <w:r w:rsidRPr="00F17692">
                        <w:rPr>
                          <w:color w:val="FFFFFF" w:themeColor="background1"/>
                          <w:sz w:val="16"/>
                          <w:szCs w:val="16"/>
                        </w:rPr>
                        <w:t>%9,5</w:t>
                      </w:r>
                    </w:p>
                  </w:txbxContent>
                </v:textbox>
              </v:shape>
            </w:pict>
          </mc:Fallback>
        </mc:AlternateContent>
      </w:r>
      <w:r w:rsidR="00C01E5E" w:rsidRPr="00C01E5E">
        <w:rPr>
          <w:rFonts w:cs="Times New Roman"/>
          <w:noProof/>
          <w:sz w:val="24"/>
          <w:szCs w:val="20"/>
          <w:lang w:eastAsia="zh-CN"/>
        </w:rPr>
        <w:drawing>
          <wp:anchor distT="0" distB="0" distL="114300" distR="114300" simplePos="0" relativeHeight="251664384" behindDoc="0" locked="0" layoutInCell="1" allowOverlap="1" wp14:anchorId="2F6B09F7" wp14:editId="386A099F">
            <wp:simplePos x="0" y="0"/>
            <wp:positionH relativeFrom="column">
              <wp:posOffset>722630</wp:posOffset>
            </wp:positionH>
            <wp:positionV relativeFrom="paragraph">
              <wp:posOffset>0</wp:posOffset>
            </wp:positionV>
            <wp:extent cx="4749800" cy="2085975"/>
            <wp:effectExtent l="0" t="0" r="12700" b="952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00C01E5E" w:rsidRPr="00C01E5E">
        <w:rPr>
          <w:rFonts w:cs="Calibri"/>
          <w:sz w:val="24"/>
          <w:szCs w:val="20"/>
          <w:highlight w:val="yellow"/>
          <w:lang w:val="en-GB"/>
        </w:rPr>
        <w:br w:type="textWrapping" w:clear="all"/>
      </w:r>
    </w:p>
    <w:p w:rsidR="00492324" w:rsidRDefault="00492324" w:rsidP="00F52859">
      <w:pPr>
        <w:keepNext/>
        <w:keepLines/>
        <w:widowControl w:val="0"/>
        <w:spacing w:after="120"/>
        <w:rPr>
          <w:noProof/>
          <w:rtl/>
          <w:lang w:eastAsia="zh-CN" w:bidi="ar-EG"/>
        </w:rPr>
      </w:pPr>
      <w:r>
        <w:rPr>
          <w:noProof/>
          <w:lang w:eastAsia="zh-CN" w:bidi="ar-EG"/>
        </w:rPr>
        <w:t>3.3</w:t>
      </w:r>
      <w:r>
        <w:rPr>
          <w:noProof/>
          <w:rtl/>
          <w:lang w:eastAsia="zh-CN" w:bidi="ar-EG"/>
        </w:rPr>
        <w:tab/>
      </w:r>
      <w:r>
        <w:rPr>
          <w:rFonts w:hint="cs"/>
          <w:noProof/>
          <w:rtl/>
          <w:lang w:eastAsia="zh-CN" w:bidi="ar-EG"/>
        </w:rPr>
        <w:t>ومع الأخذ بعين الاعتبار المشاريع التي وافق عليها الاجتماعان الخمسون والحادي والخمسون للجنة توجيه الصندوق</w:t>
      </w:r>
      <w:r w:rsidR="00AB6D72">
        <w:rPr>
          <w:rFonts w:hint="eastAsia"/>
          <w:noProof/>
          <w:rtl/>
          <w:lang w:eastAsia="zh-CN" w:bidi="ar-EG"/>
        </w:rPr>
        <w:t> </w:t>
      </w:r>
      <w:r w:rsidRPr="002D130F">
        <w:rPr>
          <w:lang w:bidi="ar-SY"/>
        </w:rPr>
        <w:t>ICT-DF</w:t>
      </w:r>
      <w:r>
        <w:rPr>
          <w:rFonts w:hint="cs"/>
          <w:noProof/>
          <w:rtl/>
          <w:lang w:eastAsia="zh-CN" w:bidi="ar-EG"/>
        </w:rPr>
        <w:t xml:space="preserve">، بحلول منتصف مارس </w:t>
      </w:r>
      <w:r>
        <w:rPr>
          <w:noProof/>
          <w:lang w:val="fr-CH" w:eastAsia="zh-CN" w:bidi="ar-EG"/>
        </w:rPr>
        <w:t>2017</w:t>
      </w:r>
      <w:r>
        <w:rPr>
          <w:rFonts w:hint="cs"/>
          <w:noProof/>
          <w:rtl/>
          <w:lang w:eastAsia="zh-CN" w:bidi="ar-EG"/>
        </w:rPr>
        <w:t>، يبلغ إجمالي محفظة المشاريع الإنمائية للاتحاد (</w:t>
      </w:r>
      <w:hyperlink r:id="rId20" w:history="1">
        <w:r w:rsidRPr="00C5734E">
          <w:rPr>
            <w:rStyle w:val="Hyperlink"/>
            <w:rFonts w:hint="cs"/>
            <w:noProof/>
            <w:rtl/>
            <w:lang w:eastAsia="zh-CN" w:bidi="ar-EG"/>
          </w:rPr>
          <w:t>هنا</w:t>
        </w:r>
      </w:hyperlink>
      <w:r>
        <w:rPr>
          <w:rFonts w:hint="cs"/>
          <w:noProof/>
          <w:rtl/>
          <w:lang w:eastAsia="zh-CN" w:bidi="ar-EG"/>
        </w:rPr>
        <w:t xml:space="preserve">) </w:t>
      </w:r>
      <w:r>
        <w:rPr>
          <w:noProof/>
          <w:lang w:val="fr-CH" w:eastAsia="zh-CN" w:bidi="ar-EG"/>
        </w:rPr>
        <w:t>59</w:t>
      </w:r>
      <w:r>
        <w:rPr>
          <w:rFonts w:hint="cs"/>
          <w:noProof/>
          <w:rtl/>
          <w:lang w:eastAsia="zh-CN" w:bidi="ar-EG"/>
        </w:rPr>
        <w:t xml:space="preserve"> مشروعا</w:t>
      </w:r>
      <w:r w:rsidR="00F52859">
        <w:rPr>
          <w:rFonts w:hint="cs"/>
          <w:noProof/>
          <w:rtl/>
          <w:lang w:eastAsia="zh-CN" w:bidi="ar-EG"/>
        </w:rPr>
        <w:t>ً</w:t>
      </w:r>
      <w:r>
        <w:rPr>
          <w:rFonts w:hint="cs"/>
          <w:noProof/>
          <w:rtl/>
          <w:lang w:eastAsia="zh-CN" w:bidi="ar-EG"/>
        </w:rPr>
        <w:t xml:space="preserve"> توزع بحسب العدد والمساهمات على النحو التالي (الشكلان </w:t>
      </w:r>
      <w:r>
        <w:rPr>
          <w:noProof/>
          <w:lang w:eastAsia="zh-CN" w:bidi="ar-EG"/>
        </w:rPr>
        <w:t>4</w:t>
      </w:r>
      <w:r>
        <w:rPr>
          <w:rFonts w:hint="cs"/>
          <w:noProof/>
          <w:rtl/>
          <w:lang w:eastAsia="zh-CN" w:bidi="ar-EG"/>
        </w:rPr>
        <w:t xml:space="preserve"> و</w:t>
      </w:r>
      <w:r>
        <w:rPr>
          <w:noProof/>
          <w:lang w:val="fr-CH" w:eastAsia="zh-CN" w:bidi="ar-EG"/>
        </w:rPr>
        <w:t>5</w:t>
      </w:r>
      <w:r>
        <w:rPr>
          <w:rFonts w:hint="cs"/>
          <w:noProof/>
          <w:rtl/>
          <w:lang w:eastAsia="zh-CN" w:bidi="ar-EG"/>
        </w:rPr>
        <w:t>).</w:t>
      </w:r>
    </w:p>
    <w:p w:rsidR="00492324" w:rsidRPr="00A31682" w:rsidRDefault="007011FA" w:rsidP="007011FA">
      <w:pPr>
        <w:tabs>
          <w:tab w:val="left" w:pos="567"/>
          <w:tab w:val="left" w:pos="709"/>
          <w:tab w:val="left" w:pos="1701"/>
          <w:tab w:val="left" w:pos="2268"/>
          <w:tab w:val="left" w:pos="2835"/>
          <w:tab w:val="left" w:pos="4820"/>
        </w:tabs>
        <w:overflowPunct w:val="0"/>
        <w:autoSpaceDE w:val="0"/>
        <w:autoSpaceDN w:val="0"/>
        <w:bidi w:val="0"/>
        <w:adjustRightInd w:val="0"/>
        <w:spacing w:line="240" w:lineRule="auto"/>
        <w:jc w:val="center"/>
        <w:textAlignment w:val="baseline"/>
        <w:rPr>
          <w:rFonts w:cs="Calibri"/>
          <w:sz w:val="24"/>
          <w:szCs w:val="20"/>
          <w:lang w:val="en-GB"/>
        </w:rPr>
      </w:pPr>
      <w:r w:rsidRPr="00A31682">
        <w:rPr>
          <w:rFonts w:cs="Times New Roman"/>
          <w:noProof/>
          <w:sz w:val="24"/>
          <w:szCs w:val="20"/>
          <w:lang w:eastAsia="zh-CN"/>
        </w:rPr>
        <w:drawing>
          <wp:inline distT="0" distB="0" distL="0" distR="0" wp14:anchorId="550010C8" wp14:editId="7E90A869">
            <wp:extent cx="2905125" cy="22479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cs="Calibri" w:hint="cs"/>
          <w:sz w:val="24"/>
          <w:szCs w:val="20"/>
          <w:rtl/>
          <w:lang w:val="en-GB"/>
        </w:rPr>
        <w:t xml:space="preserve">    </w:t>
      </w:r>
      <w:r w:rsidRPr="00A31682">
        <w:rPr>
          <w:rFonts w:cs="Times New Roman"/>
          <w:noProof/>
          <w:sz w:val="24"/>
          <w:szCs w:val="20"/>
          <w:lang w:eastAsia="zh-CN"/>
        </w:rPr>
        <w:drawing>
          <wp:inline distT="0" distB="0" distL="0" distR="0" wp14:anchorId="24C87257" wp14:editId="38D73B76">
            <wp:extent cx="2895600" cy="2247900"/>
            <wp:effectExtent l="3810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92324" w:rsidRDefault="00492324" w:rsidP="00492324">
      <w:pPr>
        <w:pStyle w:val="Heading1"/>
        <w:rPr>
          <w:noProof/>
          <w:rtl/>
          <w:lang w:eastAsia="zh-CN"/>
        </w:rPr>
      </w:pPr>
      <w:r>
        <w:rPr>
          <w:noProof/>
          <w:lang w:eastAsia="zh-CN"/>
        </w:rPr>
        <w:lastRenderedPageBreak/>
        <w:t>4</w:t>
      </w:r>
      <w:r>
        <w:rPr>
          <w:noProof/>
          <w:rtl/>
          <w:lang w:eastAsia="zh-CN"/>
        </w:rPr>
        <w:tab/>
      </w:r>
      <w:r w:rsidRPr="002D130F">
        <w:rPr>
          <w:rFonts w:hint="eastAsia"/>
          <w:rtl/>
        </w:rPr>
        <w:t>تطور</w:t>
      </w:r>
      <w:r w:rsidRPr="002D130F">
        <w:rPr>
          <w:rtl/>
        </w:rPr>
        <w:t xml:space="preserve"> </w:t>
      </w:r>
      <w:r w:rsidRPr="002D130F">
        <w:rPr>
          <w:rFonts w:hint="cs"/>
          <w:rtl/>
        </w:rPr>
        <w:t>حسابات</w:t>
      </w:r>
      <w:r w:rsidRPr="002D130F">
        <w:rPr>
          <w:rtl/>
        </w:rPr>
        <w:t xml:space="preserve"> </w:t>
      </w:r>
      <w:r w:rsidRPr="002D130F">
        <w:rPr>
          <w:rFonts w:hint="eastAsia"/>
          <w:rtl/>
        </w:rPr>
        <w:t>رأس</w:t>
      </w:r>
      <w:r w:rsidRPr="002D130F">
        <w:rPr>
          <w:rFonts w:hint="cs"/>
          <w:rtl/>
        </w:rPr>
        <w:t xml:space="preserve"> </w:t>
      </w:r>
      <w:r w:rsidRPr="002D130F">
        <w:rPr>
          <w:rFonts w:hint="eastAsia"/>
          <w:rtl/>
        </w:rPr>
        <w:t>مال</w:t>
      </w:r>
      <w:r w:rsidRPr="002D130F">
        <w:rPr>
          <w:rtl/>
        </w:rPr>
        <w:t xml:space="preserve"> </w:t>
      </w:r>
      <w:r w:rsidRPr="002D130F">
        <w:rPr>
          <w:rFonts w:hint="eastAsia"/>
          <w:rtl/>
        </w:rPr>
        <w:t>صندوق</w:t>
      </w:r>
      <w:r w:rsidRPr="002D130F">
        <w:rPr>
          <w:rtl/>
        </w:rPr>
        <w:t xml:space="preserve"> </w:t>
      </w:r>
      <w:r w:rsidRPr="002D130F">
        <w:rPr>
          <w:rFonts w:hint="eastAsia"/>
          <w:rtl/>
        </w:rPr>
        <w:t>تنمية</w:t>
      </w:r>
      <w:r w:rsidRPr="002D130F">
        <w:rPr>
          <w:rtl/>
        </w:rPr>
        <w:t xml:space="preserve"> </w:t>
      </w:r>
      <w:r w:rsidRPr="002D130F">
        <w:rPr>
          <w:rFonts w:hint="eastAsia"/>
          <w:rtl/>
        </w:rPr>
        <w:t>تكنولوجيا</w:t>
      </w:r>
      <w:r w:rsidRPr="002D130F">
        <w:rPr>
          <w:rtl/>
        </w:rPr>
        <w:t xml:space="preserve"> </w:t>
      </w:r>
      <w:r w:rsidRPr="002D130F">
        <w:rPr>
          <w:rFonts w:hint="eastAsia"/>
          <w:rtl/>
        </w:rPr>
        <w:t>المعلومات</w:t>
      </w:r>
      <w:r w:rsidRPr="002D130F">
        <w:rPr>
          <w:rtl/>
        </w:rPr>
        <w:t xml:space="preserve"> </w:t>
      </w:r>
      <w:r w:rsidRPr="002D130F">
        <w:rPr>
          <w:rFonts w:hint="eastAsia"/>
          <w:rtl/>
        </w:rPr>
        <w:t>والاتصالات</w:t>
      </w:r>
    </w:p>
    <w:p w:rsidR="00492324" w:rsidRDefault="00492324" w:rsidP="00A22AE9">
      <w:pPr>
        <w:rPr>
          <w:noProof/>
          <w:rtl/>
          <w:lang w:eastAsia="zh-CN" w:bidi="ar-EG"/>
        </w:rPr>
      </w:pPr>
      <w:r>
        <w:rPr>
          <w:noProof/>
          <w:lang w:eastAsia="zh-CN" w:bidi="ar-EG"/>
        </w:rPr>
        <w:t>1.4</w:t>
      </w:r>
      <w:r>
        <w:rPr>
          <w:noProof/>
          <w:lang w:eastAsia="zh-CN" w:bidi="ar-EG"/>
        </w:rPr>
        <w:tab/>
      </w:r>
      <w:r w:rsidRPr="007B40E4">
        <w:rPr>
          <w:rFonts w:hint="cs"/>
          <w:rtl/>
        </w:rPr>
        <w:t xml:space="preserve">وصل مجموع الإيرادات الناشئة عن الفائدة المحقّقة في عام </w:t>
      </w:r>
      <w:r w:rsidRPr="007B40E4">
        <w:rPr>
          <w:lang w:val="fr-CH" w:bidi="ar-SY"/>
        </w:rPr>
        <w:t>2016</w:t>
      </w:r>
      <w:r w:rsidRPr="007B40E4">
        <w:rPr>
          <w:rFonts w:hint="cs"/>
          <w:rtl/>
        </w:rPr>
        <w:t xml:space="preserve"> إلى </w:t>
      </w:r>
      <w:r w:rsidRPr="007B40E4">
        <w:rPr>
          <w:lang w:val="fr-CH" w:bidi="ar-SY"/>
        </w:rPr>
        <w:t>36 507</w:t>
      </w:r>
      <w:r w:rsidRPr="007B40E4">
        <w:rPr>
          <w:rFonts w:hint="cs"/>
          <w:rtl/>
          <w:lang w:bidi="ar-EG"/>
        </w:rPr>
        <w:t xml:space="preserve"> دولاراً أمريكياً وهي تشمل الفوائد المتأتية من رأس مال الصندوق</w:t>
      </w:r>
      <w:r>
        <w:rPr>
          <w:rFonts w:hint="cs"/>
          <w:rtl/>
          <w:lang w:bidi="ar-EG"/>
        </w:rPr>
        <w:t xml:space="preserve"> </w:t>
      </w:r>
      <w:r w:rsidRPr="002D130F">
        <w:rPr>
          <w:lang w:bidi="ar-SY"/>
        </w:rPr>
        <w:t>ICT-DF</w:t>
      </w:r>
      <w:r w:rsidRPr="007B40E4">
        <w:rPr>
          <w:rFonts w:hint="cs"/>
          <w:rtl/>
          <w:lang w:bidi="ar-EG"/>
        </w:rPr>
        <w:t xml:space="preserve"> (</w:t>
      </w:r>
      <w:r w:rsidRPr="007B40E4">
        <w:rPr>
          <w:lang w:val="fr-CH" w:bidi="ar-SY"/>
        </w:rPr>
        <w:t>1 015</w:t>
      </w:r>
      <w:r w:rsidRPr="007B40E4">
        <w:rPr>
          <w:rFonts w:hint="cs"/>
          <w:rtl/>
          <w:lang w:bidi="ar-EG"/>
        </w:rPr>
        <w:t xml:space="preserve"> دولارات أمريكية) ومن المشاريع (</w:t>
      </w:r>
      <w:r w:rsidRPr="007B40E4">
        <w:rPr>
          <w:lang w:val="fr-CH" w:bidi="ar-SY"/>
        </w:rPr>
        <w:t>35 492</w:t>
      </w:r>
      <w:r w:rsidRPr="007B40E4">
        <w:rPr>
          <w:rFonts w:hint="cs"/>
          <w:rtl/>
          <w:lang w:bidi="ar-EG"/>
        </w:rPr>
        <w:t xml:space="preserve"> دولاراً أمريكياً).</w:t>
      </w:r>
    </w:p>
    <w:p w:rsidR="00492324" w:rsidRPr="00DF0D13" w:rsidRDefault="00492324" w:rsidP="00A22AE9">
      <w:pPr>
        <w:rPr>
          <w:spacing w:val="-2"/>
          <w:rtl/>
          <w:lang w:bidi="ar-EG"/>
        </w:rPr>
      </w:pPr>
      <w:r w:rsidRPr="00DF0D13">
        <w:rPr>
          <w:spacing w:val="-2"/>
          <w:lang w:bidi="ar-EG"/>
        </w:rPr>
        <w:t>2.4</w:t>
      </w:r>
      <w:r w:rsidRPr="00DF0D13">
        <w:rPr>
          <w:spacing w:val="-2"/>
          <w:lang w:bidi="ar-EG"/>
        </w:rPr>
        <w:tab/>
      </w:r>
      <w:r w:rsidRPr="00DF0D13">
        <w:rPr>
          <w:rFonts w:hint="cs"/>
          <w:spacing w:val="-2"/>
          <w:rtl/>
          <w:lang w:bidi="ar-EG"/>
        </w:rPr>
        <w:t xml:space="preserve">وبحلول </w:t>
      </w:r>
      <w:r w:rsidRPr="00DF0D13">
        <w:rPr>
          <w:spacing w:val="-2"/>
          <w:lang w:val="fr-CH" w:bidi="ar-EG"/>
        </w:rPr>
        <w:t>31</w:t>
      </w:r>
      <w:r w:rsidRPr="00DF0D13">
        <w:rPr>
          <w:rFonts w:hint="cs"/>
          <w:spacing w:val="-2"/>
          <w:rtl/>
          <w:lang w:bidi="ar-EG"/>
        </w:rPr>
        <w:t xml:space="preserve"> ديسمبر </w:t>
      </w:r>
      <w:r w:rsidRPr="00DF0D13">
        <w:rPr>
          <w:spacing w:val="-2"/>
          <w:lang w:val="fr-CH" w:bidi="ar-EG"/>
        </w:rPr>
        <w:t>2016</w:t>
      </w:r>
      <w:r w:rsidRPr="00DF0D13">
        <w:rPr>
          <w:rFonts w:hint="cs"/>
          <w:spacing w:val="-2"/>
          <w:rtl/>
          <w:lang w:bidi="ar-EG"/>
        </w:rPr>
        <w:t xml:space="preserve">، بعد تمويل المشاريع المعني بها الصندوق </w:t>
      </w:r>
      <w:r w:rsidRPr="00DF0D13">
        <w:rPr>
          <w:spacing w:val="-2"/>
          <w:lang w:bidi="ar-SY"/>
        </w:rPr>
        <w:t>ICT-DF</w:t>
      </w:r>
      <w:r w:rsidRPr="00DF0D13">
        <w:rPr>
          <w:rFonts w:hint="cs"/>
          <w:spacing w:val="-2"/>
          <w:rtl/>
          <w:lang w:bidi="ar-EG"/>
        </w:rPr>
        <w:t>، ظل مبلغ حساب رأس مال الصندوق</w:t>
      </w:r>
      <w:r w:rsidR="00DF0D13" w:rsidRPr="00DF0D13">
        <w:rPr>
          <w:rFonts w:hint="eastAsia"/>
          <w:spacing w:val="-2"/>
          <w:rtl/>
          <w:lang w:bidi="ar-EG"/>
        </w:rPr>
        <w:t> </w:t>
      </w:r>
      <w:r w:rsidRPr="00DF0D13">
        <w:rPr>
          <w:spacing w:val="-2"/>
          <w:lang w:val="fr-CH" w:bidi="ar-EG"/>
        </w:rPr>
        <w:t>2</w:t>
      </w:r>
      <w:r w:rsidR="00DF0D13">
        <w:rPr>
          <w:spacing w:val="-2"/>
          <w:lang w:val="fr-CH" w:bidi="ar-EG"/>
        </w:rPr>
        <w:t> </w:t>
      </w:r>
      <w:r w:rsidRPr="00DF0D13">
        <w:rPr>
          <w:spacing w:val="-2"/>
          <w:lang w:val="fr-CH" w:bidi="ar-EG"/>
        </w:rPr>
        <w:t>587</w:t>
      </w:r>
      <w:r w:rsidR="00DF0D13">
        <w:rPr>
          <w:spacing w:val="-2"/>
          <w:lang w:val="fr-CH" w:bidi="ar-EG"/>
        </w:rPr>
        <w:t> </w:t>
      </w:r>
      <w:r w:rsidRPr="00DF0D13">
        <w:rPr>
          <w:spacing w:val="-2"/>
          <w:lang w:val="fr-CH" w:bidi="ar-EG"/>
        </w:rPr>
        <w:t>177</w:t>
      </w:r>
      <w:r w:rsidRPr="00DF0D13">
        <w:rPr>
          <w:rFonts w:hint="cs"/>
          <w:spacing w:val="-2"/>
          <w:rtl/>
          <w:lang w:val="fr-CH" w:bidi="ar-EG"/>
        </w:rPr>
        <w:t xml:space="preserve"> دولاراً أمريكياً، بينما بلغ صندوق رأس المال العامل للمعارض في التاريخ نفسه </w:t>
      </w:r>
      <w:r w:rsidRPr="00DF0D13">
        <w:rPr>
          <w:spacing w:val="-2"/>
          <w:lang w:val="fr-CH" w:bidi="ar-EG"/>
        </w:rPr>
        <w:t>10</w:t>
      </w:r>
      <w:r w:rsidR="00DF0D13">
        <w:rPr>
          <w:spacing w:val="-2"/>
          <w:lang w:val="fr-CH" w:bidi="ar-EG"/>
        </w:rPr>
        <w:t> </w:t>
      </w:r>
      <w:r w:rsidRPr="00DF0D13">
        <w:rPr>
          <w:spacing w:val="-2"/>
          <w:lang w:val="fr-CH" w:bidi="ar-EG"/>
        </w:rPr>
        <w:t>075</w:t>
      </w:r>
      <w:r w:rsidR="00DF0D13">
        <w:rPr>
          <w:spacing w:val="-2"/>
          <w:lang w:val="fr-CH" w:bidi="ar-EG"/>
        </w:rPr>
        <w:t> </w:t>
      </w:r>
      <w:r w:rsidRPr="00DF0D13">
        <w:rPr>
          <w:spacing w:val="-2"/>
          <w:lang w:val="fr-CH" w:bidi="ar-EG"/>
        </w:rPr>
        <w:t>816</w:t>
      </w:r>
      <w:proofErr w:type="gramStart"/>
      <w:r w:rsidRPr="00DF0D13">
        <w:rPr>
          <w:spacing w:val="-2"/>
          <w:lang w:val="fr-CH" w:bidi="ar-EG"/>
        </w:rPr>
        <w:t>,46</w:t>
      </w:r>
      <w:proofErr w:type="gramEnd"/>
      <w:r w:rsidR="00DF0D13" w:rsidRPr="00DF0D13">
        <w:rPr>
          <w:rFonts w:hint="cs"/>
          <w:spacing w:val="-2"/>
          <w:rtl/>
          <w:lang w:bidi="ar-EG"/>
        </w:rPr>
        <w:t xml:space="preserve"> فرنكاً سويسرياً.</w:t>
      </w:r>
    </w:p>
    <w:p w:rsidR="00492324" w:rsidRPr="007B40E4" w:rsidRDefault="00492324" w:rsidP="009E270F">
      <w:pPr>
        <w:rPr>
          <w:rtl/>
          <w:lang w:bidi="ar-EG"/>
        </w:rPr>
      </w:pPr>
      <w:r>
        <w:rPr>
          <w:lang w:bidi="ar-EG"/>
        </w:rPr>
        <w:t>3.4</w:t>
      </w:r>
      <w:r>
        <w:rPr>
          <w:rtl/>
          <w:lang w:bidi="ar-EG"/>
        </w:rPr>
        <w:tab/>
      </w:r>
      <w:r>
        <w:rPr>
          <w:rFonts w:hint="cs"/>
          <w:rtl/>
          <w:lang w:bidi="ar-EG"/>
        </w:rPr>
        <w:t xml:space="preserve">وكما هو مبيّن في الشكل </w:t>
      </w:r>
      <w:r>
        <w:rPr>
          <w:lang w:val="fr-CH" w:bidi="ar-EG"/>
        </w:rPr>
        <w:t>6</w:t>
      </w:r>
      <w:r>
        <w:rPr>
          <w:rFonts w:hint="cs"/>
          <w:rtl/>
          <w:lang w:bidi="ar-EG"/>
        </w:rPr>
        <w:t xml:space="preserve">، انخفض حساب رأس مال الصندوق </w:t>
      </w:r>
      <w:r w:rsidRPr="002D130F">
        <w:rPr>
          <w:lang w:bidi="ar-SY"/>
        </w:rPr>
        <w:t>ICT-DF</w:t>
      </w:r>
      <w:r>
        <w:rPr>
          <w:rFonts w:hint="cs"/>
          <w:rtl/>
          <w:lang w:bidi="ar-SY"/>
        </w:rPr>
        <w:t xml:space="preserve"> </w:t>
      </w:r>
      <w:r>
        <w:rPr>
          <w:rFonts w:hint="cs"/>
          <w:rtl/>
          <w:lang w:bidi="ar-EG"/>
        </w:rPr>
        <w:t xml:space="preserve">في الفترة بين </w:t>
      </w:r>
      <w:r>
        <w:rPr>
          <w:lang w:val="fr-CH" w:bidi="ar-EG"/>
        </w:rPr>
        <w:t>31</w:t>
      </w:r>
      <w:r w:rsidR="009E270F">
        <w:rPr>
          <w:rFonts w:hint="eastAsia"/>
          <w:rtl/>
          <w:lang w:bidi="ar-EG"/>
        </w:rPr>
        <w:t> </w:t>
      </w:r>
      <w:r>
        <w:rPr>
          <w:rFonts w:hint="cs"/>
          <w:rtl/>
          <w:lang w:bidi="ar-EG"/>
        </w:rPr>
        <w:t>ديسمبر</w:t>
      </w:r>
      <w:r w:rsidR="007649DE">
        <w:rPr>
          <w:rFonts w:hint="eastAsia"/>
          <w:rtl/>
          <w:lang w:bidi="ar-EG"/>
        </w:rPr>
        <w:t> </w:t>
      </w:r>
      <w:r>
        <w:rPr>
          <w:lang w:val="fr-CH" w:bidi="ar-EG"/>
        </w:rPr>
        <w:t>2012</w:t>
      </w:r>
      <w:r>
        <w:rPr>
          <w:rFonts w:hint="cs"/>
          <w:rtl/>
          <w:lang w:bidi="ar-EG"/>
        </w:rPr>
        <w:t xml:space="preserve"> و</w:t>
      </w:r>
      <w:r>
        <w:rPr>
          <w:lang w:val="fr-CH" w:bidi="ar-EG"/>
        </w:rPr>
        <w:t>31</w:t>
      </w:r>
      <w:r w:rsidR="007649DE">
        <w:rPr>
          <w:rFonts w:hint="eastAsia"/>
          <w:rtl/>
          <w:lang w:bidi="ar-EG"/>
        </w:rPr>
        <w:t> </w:t>
      </w:r>
      <w:r>
        <w:rPr>
          <w:rFonts w:hint="cs"/>
          <w:rtl/>
          <w:lang w:bidi="ar-EG"/>
        </w:rPr>
        <w:t xml:space="preserve">ديسمبر </w:t>
      </w:r>
      <w:r>
        <w:rPr>
          <w:lang w:val="fr-CH" w:bidi="ar-EG"/>
        </w:rPr>
        <w:t>2016</w:t>
      </w:r>
      <w:r>
        <w:rPr>
          <w:rFonts w:hint="cs"/>
          <w:rtl/>
          <w:lang w:bidi="ar-EG"/>
        </w:rPr>
        <w:t xml:space="preserve">، من </w:t>
      </w:r>
      <w:r>
        <w:rPr>
          <w:lang w:val="fr-CH" w:bidi="ar-EG"/>
        </w:rPr>
        <w:t>3</w:t>
      </w:r>
      <w:r>
        <w:rPr>
          <w:lang w:bidi="ar-EG"/>
        </w:rPr>
        <w:t>,7</w:t>
      </w:r>
      <w:r>
        <w:rPr>
          <w:rFonts w:hint="cs"/>
          <w:rtl/>
          <w:lang w:bidi="ar-EG"/>
        </w:rPr>
        <w:t xml:space="preserve"> مليون إلى </w:t>
      </w:r>
      <w:r>
        <w:rPr>
          <w:lang w:val="fr-CH" w:bidi="ar-EG"/>
        </w:rPr>
        <w:t>2,6</w:t>
      </w:r>
      <w:r w:rsidR="007649DE">
        <w:rPr>
          <w:rFonts w:hint="cs"/>
          <w:rtl/>
          <w:lang w:bidi="ar-EG"/>
        </w:rPr>
        <w:t xml:space="preserve"> مليون دولاراً أمريكياً.</w:t>
      </w:r>
    </w:p>
    <w:p w:rsidR="00492324" w:rsidRPr="007B40E4" w:rsidRDefault="00492324" w:rsidP="00724BFB">
      <w:pPr>
        <w:rPr>
          <w:rtl/>
          <w:lang w:bidi="ar-EG"/>
        </w:rPr>
      </w:pPr>
      <w:r>
        <w:rPr>
          <w:lang w:bidi="ar-EG"/>
        </w:rPr>
        <w:t>4.4</w:t>
      </w:r>
      <w:r>
        <w:rPr>
          <w:rtl/>
          <w:lang w:bidi="ar-EG"/>
        </w:rPr>
        <w:tab/>
      </w:r>
      <w:r>
        <w:rPr>
          <w:rFonts w:hint="cs"/>
          <w:rtl/>
          <w:lang w:bidi="ar-EG"/>
        </w:rPr>
        <w:t xml:space="preserve">وعلى إثر موافقة الاجتماع الحادي والخمسين للجنة توجيه الصندوق (مارس </w:t>
      </w:r>
      <w:r>
        <w:rPr>
          <w:lang w:val="fr-CH" w:bidi="ar-EG"/>
        </w:rPr>
        <w:t>2017</w:t>
      </w:r>
      <w:r>
        <w:rPr>
          <w:rFonts w:hint="cs"/>
          <w:rtl/>
          <w:lang w:bidi="ar-EG"/>
        </w:rPr>
        <w:t xml:space="preserve">) على المشاريع الثلاثة (انظر القسم </w:t>
      </w:r>
      <w:r>
        <w:rPr>
          <w:lang w:val="fr-CH" w:bidi="ar-EG"/>
        </w:rPr>
        <w:t>3.2</w:t>
      </w:r>
      <w:proofErr w:type="gramStart"/>
      <w:r>
        <w:rPr>
          <w:rFonts w:hint="cs"/>
          <w:rtl/>
          <w:lang w:bidi="ar-EG"/>
        </w:rPr>
        <w:t>)،</w:t>
      </w:r>
      <w:proofErr w:type="gramEnd"/>
      <w:r>
        <w:rPr>
          <w:rFonts w:hint="cs"/>
          <w:rtl/>
          <w:lang w:bidi="ar-EG"/>
        </w:rPr>
        <w:t xml:space="preserve"> يُتوقع أن يبلغ حساب الصندوق </w:t>
      </w:r>
      <w:r w:rsidRPr="002D130F">
        <w:rPr>
          <w:lang w:bidi="ar-SY"/>
        </w:rPr>
        <w:t>ICT-DF</w:t>
      </w:r>
      <w:r>
        <w:rPr>
          <w:rFonts w:hint="cs"/>
          <w:rtl/>
          <w:lang w:bidi="ar-EG"/>
        </w:rPr>
        <w:t xml:space="preserve"> حوالي </w:t>
      </w:r>
      <w:r>
        <w:rPr>
          <w:lang w:val="fr-CH" w:bidi="ar-EG"/>
        </w:rPr>
        <w:t>1,69</w:t>
      </w:r>
      <w:r w:rsidR="00DF0D13">
        <w:rPr>
          <w:rFonts w:hint="cs"/>
          <w:rtl/>
          <w:lang w:bidi="ar-EG"/>
        </w:rPr>
        <w:t xml:space="preserve"> مليون دولاراً أمريكياً.</w:t>
      </w:r>
    </w:p>
    <w:p w:rsidR="00492324" w:rsidRDefault="00492324" w:rsidP="00492324">
      <w:pPr>
        <w:rPr>
          <w:rtl/>
          <w:lang w:bidi="ar-EG"/>
        </w:rPr>
      </w:pPr>
    </w:p>
    <w:p w:rsidR="00492324" w:rsidRDefault="00492324" w:rsidP="00EA162E">
      <w:pPr>
        <w:spacing w:before="0" w:line="240" w:lineRule="auto"/>
        <w:jc w:val="center"/>
        <w:rPr>
          <w:rtl/>
          <w:lang w:bidi="ar-EG"/>
        </w:rPr>
      </w:pPr>
      <w:r>
        <w:rPr>
          <w:noProof/>
          <w:lang w:eastAsia="zh-CN"/>
        </w:rPr>
        <w:drawing>
          <wp:inline distT="0" distB="0" distL="0" distR="0" wp14:anchorId="669768E6" wp14:editId="59A02648">
            <wp:extent cx="5238750" cy="21145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2324" w:rsidRDefault="00492324" w:rsidP="00492324">
      <w:pPr>
        <w:pStyle w:val="Heading1"/>
      </w:pPr>
      <w:r w:rsidRPr="00103CB4">
        <w:rPr>
          <w:szCs w:val="26"/>
        </w:rPr>
        <w:t>5</w:t>
      </w:r>
      <w:r>
        <w:rPr>
          <w:rtl/>
        </w:rPr>
        <w:tab/>
      </w:r>
      <w:r w:rsidRPr="00103CB4">
        <w:rPr>
          <w:rFonts w:hint="cs"/>
          <w:rtl/>
        </w:rPr>
        <w:t>سبل المضي قدماً</w:t>
      </w:r>
    </w:p>
    <w:p w:rsidR="008B5B5D" w:rsidRDefault="00492324" w:rsidP="004B3B21">
      <w:pPr>
        <w:rPr>
          <w:rtl/>
          <w:lang w:bidi="ar-EG"/>
        </w:rPr>
      </w:pPr>
      <w:r>
        <w:rPr>
          <w:rFonts w:hint="cs"/>
          <w:rtl/>
          <w:lang w:bidi="ar-EG"/>
        </w:rPr>
        <w:t xml:space="preserve">بالنظر إلى مطالب الأعضاء الداعية إلى دعم مختلف المشاريع، والمستوى العالي للمساهمات المقدمة من الشركاء/المانحين، ومستوى حساب رأس مال الصندوق </w:t>
      </w:r>
      <w:r w:rsidRPr="002D130F">
        <w:rPr>
          <w:lang w:bidi="ar-SY"/>
        </w:rPr>
        <w:t>ICT-DF</w:t>
      </w:r>
      <w:r>
        <w:rPr>
          <w:rFonts w:hint="cs"/>
          <w:rtl/>
          <w:lang w:bidi="ar-SY"/>
        </w:rPr>
        <w:t xml:space="preserve"> </w:t>
      </w:r>
      <w:r>
        <w:rPr>
          <w:rFonts w:hint="cs"/>
          <w:rtl/>
          <w:lang w:bidi="ar-EG"/>
        </w:rPr>
        <w:t xml:space="preserve">الذي يبلغ حوالي </w:t>
      </w:r>
      <w:r>
        <w:rPr>
          <w:lang w:val="fr-CH" w:bidi="ar-EG"/>
        </w:rPr>
        <w:t>1,69</w:t>
      </w:r>
      <w:r>
        <w:rPr>
          <w:rFonts w:hint="cs"/>
          <w:rtl/>
          <w:lang w:bidi="ar-EG"/>
        </w:rPr>
        <w:t xml:space="preserve"> مليون دولاراً أمريكياً (بحلول مارس </w:t>
      </w:r>
      <w:r>
        <w:rPr>
          <w:lang w:val="fr-CH" w:bidi="ar-EG"/>
        </w:rPr>
        <w:t>2017</w:t>
      </w:r>
      <w:r>
        <w:rPr>
          <w:rFonts w:hint="cs"/>
          <w:rtl/>
          <w:lang w:bidi="ar-EG"/>
        </w:rPr>
        <w:t>)، يوصي الأمين العام أن</w:t>
      </w:r>
      <w:r w:rsidR="00206BD6">
        <w:rPr>
          <w:rFonts w:hint="eastAsia"/>
          <w:rtl/>
          <w:lang w:bidi="ar-EG"/>
        </w:rPr>
        <w:t> </w:t>
      </w:r>
      <w:r>
        <w:rPr>
          <w:rFonts w:hint="cs"/>
          <w:rtl/>
          <w:lang w:bidi="ar-EG"/>
        </w:rPr>
        <w:t xml:space="preserve">يوافق المجلس في دورته لعام </w:t>
      </w:r>
      <w:r>
        <w:rPr>
          <w:lang w:val="fr-CH" w:bidi="ar-EG"/>
        </w:rPr>
        <w:t>2017</w:t>
      </w:r>
      <w:r>
        <w:rPr>
          <w:rFonts w:hint="cs"/>
          <w:rtl/>
          <w:lang w:bidi="ar-EG"/>
        </w:rPr>
        <w:t xml:space="preserve"> نقل مبلغ مليوني دولار أمريكي من صندوق رأس المال العامل للمعارض إلى حساب رأس مال الصندوق </w:t>
      </w:r>
      <w:r w:rsidRPr="002D130F">
        <w:rPr>
          <w:lang w:bidi="ar-SY"/>
        </w:rPr>
        <w:t>ICT-DF</w:t>
      </w:r>
      <w:r>
        <w:rPr>
          <w:rFonts w:hint="cs"/>
          <w:rtl/>
          <w:lang w:bidi="ar-SY"/>
        </w:rPr>
        <w:t xml:space="preserve"> </w:t>
      </w:r>
      <w:r>
        <w:rPr>
          <w:rFonts w:hint="cs"/>
          <w:rtl/>
          <w:lang w:bidi="ar-EG"/>
        </w:rPr>
        <w:t>مع مواصلة الجهود لتعبئة الموارد.</w:t>
      </w:r>
    </w:p>
    <w:p w:rsidR="000E4FF0" w:rsidRDefault="00206BD6" w:rsidP="00206BD6">
      <w:pPr>
        <w:spacing w:before="600"/>
        <w:jc w:val="center"/>
        <w:rPr>
          <w:rtl/>
          <w:lang w:bidi="ar-EG"/>
        </w:rPr>
      </w:pPr>
      <w:r>
        <w:rPr>
          <w:rFonts w:hint="cs"/>
          <w:rtl/>
          <w:lang w:bidi="ar-EG"/>
        </w:rPr>
        <w:t>___________</w:t>
      </w:r>
    </w:p>
    <w:sectPr w:rsidR="000E4FF0" w:rsidSect="008B5B5D">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671" w:rsidRDefault="00814671" w:rsidP="00E07379">
      <w:pPr>
        <w:spacing w:before="0" w:line="240" w:lineRule="auto"/>
      </w:pPr>
      <w:r>
        <w:separator/>
      </w:r>
    </w:p>
  </w:endnote>
  <w:endnote w:type="continuationSeparator" w:id="0">
    <w:p w:rsidR="00814671" w:rsidRDefault="0081467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5B5F5E" w:rsidRDefault="000E4FF0" w:rsidP="00BB45D8">
    <w:pPr>
      <w:pStyle w:val="Footer"/>
      <w:tabs>
        <w:tab w:val="clear" w:pos="5812"/>
        <w:tab w:val="right" w:pos="5670"/>
      </w:tabs>
      <w:rPr>
        <w:color w:val="D9D9D9" w:themeColor="background1" w:themeShade="D9"/>
        <w:lang w:val="fr-CH"/>
      </w:rPr>
    </w:pPr>
    <w:r w:rsidRPr="005B5F5E">
      <w:rPr>
        <w:color w:val="D9D9D9" w:themeColor="background1" w:themeShade="D9"/>
      </w:rPr>
      <w:fldChar w:fldCharType="begin"/>
    </w:r>
    <w:r w:rsidRPr="005B5F5E">
      <w:rPr>
        <w:color w:val="D9D9D9" w:themeColor="background1" w:themeShade="D9"/>
        <w:lang w:val="fr-CH"/>
      </w:rPr>
      <w:instrText xml:space="preserve"> FILENAME \p \* MERGEFORMAT </w:instrText>
    </w:r>
    <w:r w:rsidRPr="005B5F5E">
      <w:rPr>
        <w:color w:val="D9D9D9" w:themeColor="background1" w:themeShade="D9"/>
      </w:rPr>
      <w:fldChar w:fldCharType="separate"/>
    </w:r>
    <w:r w:rsidR="00441DE3" w:rsidRPr="005B5F5E">
      <w:rPr>
        <w:noProof/>
        <w:color w:val="D9D9D9" w:themeColor="background1" w:themeShade="D9"/>
        <w:lang w:val="fr-CH"/>
      </w:rPr>
      <w:t>P:\ARA\SG\CONSEIL\C17\000\034A.docx</w:t>
    </w:r>
    <w:r w:rsidRPr="005B5F5E">
      <w:rPr>
        <w:noProof/>
        <w:color w:val="D9D9D9" w:themeColor="background1" w:themeShade="D9"/>
      </w:rPr>
      <w:fldChar w:fldCharType="end"/>
    </w:r>
    <w:r w:rsidR="00BB45D8" w:rsidRPr="005B5F5E">
      <w:rPr>
        <w:color w:val="D9D9D9" w:themeColor="background1" w:themeShade="D9"/>
        <w:lang w:val="fr-CH"/>
      </w:rPr>
      <w:t>   </w:t>
    </w:r>
    <w:r w:rsidR="00BD0C50" w:rsidRPr="005B5F5E">
      <w:rPr>
        <w:color w:val="D9D9D9" w:themeColor="background1" w:themeShade="D9"/>
        <w:lang w:val="fr-CH"/>
      </w:rPr>
      <w:t>(</w:t>
    </w:r>
    <w:r w:rsidR="00441DE3" w:rsidRPr="005B5F5E">
      <w:rPr>
        <w:color w:val="D9D9D9" w:themeColor="background1" w:themeShade="D9"/>
        <w:lang w:val="fr-CH"/>
      </w:rPr>
      <w:t>409484</w:t>
    </w:r>
    <w:r w:rsidR="00BD0C50" w:rsidRPr="005B5F5E">
      <w:rPr>
        <w:color w:val="D9D9D9" w:themeColor="background1" w:themeShade="D9"/>
        <w:lang w:val="fr-CH"/>
      </w:rPr>
      <w:t>)</w:t>
    </w:r>
    <w:r w:rsidR="00BD0C50" w:rsidRPr="005B5F5E">
      <w:rPr>
        <w:color w:val="D9D9D9" w:themeColor="background1" w:themeShade="D9"/>
        <w:lang w:val="fr-CH"/>
      </w:rPr>
      <w:tab/>
    </w:r>
    <w:r w:rsidR="00BD0C50" w:rsidRPr="005B5F5E">
      <w:rPr>
        <w:color w:val="D9D9D9" w:themeColor="background1" w:themeShade="D9"/>
      </w:rPr>
      <w:fldChar w:fldCharType="begin"/>
    </w:r>
    <w:r w:rsidR="00BD0C50" w:rsidRPr="005B5F5E">
      <w:rPr>
        <w:color w:val="D9D9D9" w:themeColor="background1" w:themeShade="D9"/>
      </w:rPr>
      <w:instrText xml:space="preserve"> savedate \@ dd.MM.yy </w:instrText>
    </w:r>
    <w:r w:rsidR="00BD0C50" w:rsidRPr="005B5F5E">
      <w:rPr>
        <w:color w:val="D9D9D9" w:themeColor="background1" w:themeShade="D9"/>
      </w:rPr>
      <w:fldChar w:fldCharType="separate"/>
    </w:r>
    <w:r w:rsidR="005B5F5E" w:rsidRPr="005B5F5E">
      <w:rPr>
        <w:noProof/>
        <w:color w:val="D9D9D9" w:themeColor="background1" w:themeShade="D9"/>
      </w:rPr>
      <w:t>25.04.17</w:t>
    </w:r>
    <w:r w:rsidR="00BD0C50" w:rsidRPr="005B5F5E">
      <w:rPr>
        <w:color w:val="D9D9D9" w:themeColor="background1" w:themeShade="D9"/>
      </w:rPr>
      <w:fldChar w:fldCharType="end"/>
    </w:r>
    <w:r w:rsidR="00BD0C50" w:rsidRPr="005B5F5E">
      <w:rPr>
        <w:color w:val="D9D9D9" w:themeColor="background1" w:themeShade="D9"/>
        <w:lang w:val="fr-CH"/>
      </w:rPr>
      <w:tab/>
    </w:r>
    <w:r w:rsidR="00BD0C50" w:rsidRPr="005B5F5E">
      <w:rPr>
        <w:color w:val="D9D9D9" w:themeColor="background1" w:themeShade="D9"/>
      </w:rPr>
      <w:fldChar w:fldCharType="begin"/>
    </w:r>
    <w:r w:rsidR="00BD0C50" w:rsidRPr="005B5F5E">
      <w:rPr>
        <w:color w:val="D9D9D9" w:themeColor="background1" w:themeShade="D9"/>
      </w:rPr>
      <w:instrText xml:space="preserve"> printdate \@ dd.MM.yy </w:instrText>
    </w:r>
    <w:r w:rsidR="00BD0C50" w:rsidRPr="005B5F5E">
      <w:rPr>
        <w:color w:val="D9D9D9" w:themeColor="background1" w:themeShade="D9"/>
      </w:rPr>
      <w:fldChar w:fldCharType="separate"/>
    </w:r>
    <w:r w:rsidR="00441DE3" w:rsidRPr="005B5F5E">
      <w:rPr>
        <w:noProof/>
        <w:color w:val="D9D9D9" w:themeColor="background1" w:themeShade="D9"/>
      </w:rPr>
      <w:t>07.06.16</w:t>
    </w:r>
    <w:r w:rsidR="00BD0C50" w:rsidRPr="005B5F5E">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BB45D8">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441DE3">
      <w:rPr>
        <w:rFonts w:cs="Calibri"/>
        <w:noProof/>
        <w:vanish/>
        <w:lang w:val="fr-FR"/>
      </w:rPr>
      <w:t>P:\ARA\SG\CONSEIL\C17\000\034A.docx</w:t>
    </w:r>
    <w:r w:rsidRPr="00C66157">
      <w:rPr>
        <w:rFonts w:cs="Calibri"/>
        <w:vanish/>
      </w:rPr>
      <w:fldChar w:fldCharType="end"/>
    </w:r>
    <w:r w:rsidR="00BB45D8">
      <w:rPr>
        <w:rFonts w:cs="Calibri"/>
        <w:vanish/>
        <w:lang w:val="fr-CH"/>
      </w:rPr>
      <w:t>   </w:t>
    </w:r>
    <w:r w:rsidRPr="00C66157">
      <w:rPr>
        <w:rFonts w:cs="Calibri"/>
        <w:vanish/>
        <w:lang w:val="fr-FR"/>
      </w:rPr>
      <w:t>(</w:t>
    </w:r>
    <w:r w:rsidR="00441DE3">
      <w:rPr>
        <w:rFonts w:cs="Calibri"/>
        <w:vanish/>
        <w:lang w:val="fr-FR"/>
      </w:rPr>
      <w:t>409484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5B5F5E">
      <w:rPr>
        <w:rFonts w:cs="Calibri"/>
        <w:noProof/>
        <w:vanish/>
        <w:lang w:val="fr-FR"/>
      </w:rPr>
      <w:t>25.04.17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441DE3">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671" w:rsidRDefault="00814671" w:rsidP="00E07379">
      <w:pPr>
        <w:spacing w:before="0" w:line="240" w:lineRule="auto"/>
      </w:pPr>
      <w:r>
        <w:separator/>
      </w:r>
    </w:p>
  </w:footnote>
  <w:footnote w:type="continuationSeparator" w:id="0">
    <w:p w:rsidR="00814671" w:rsidRDefault="00814671" w:rsidP="00E07379">
      <w:pPr>
        <w:spacing w:before="0" w:line="240" w:lineRule="auto"/>
      </w:pPr>
      <w:r>
        <w:continuationSeparator/>
      </w:r>
    </w:p>
  </w:footnote>
  <w:footnote w:id="1">
    <w:p w:rsidR="00492324" w:rsidRPr="00CE17FD" w:rsidRDefault="00492324" w:rsidP="00332A48">
      <w:pPr>
        <w:pStyle w:val="FootnoteText"/>
        <w:tabs>
          <w:tab w:val="clear" w:pos="372"/>
          <w:tab w:val="left" w:pos="283"/>
        </w:tabs>
        <w:ind w:left="283" w:hanging="283"/>
      </w:pPr>
      <w:r w:rsidRPr="00CF26F6">
        <w:rPr>
          <w:rStyle w:val="FootnoteReference"/>
        </w:rPr>
        <w:footnoteRef/>
      </w:r>
      <w:r w:rsidR="00F32032">
        <w:rPr>
          <w:rtl/>
        </w:rPr>
        <w:tab/>
      </w:r>
      <w:r w:rsidRPr="00CF26F6">
        <w:rPr>
          <w:rFonts w:hint="cs"/>
          <w:spacing w:val="-4"/>
          <w:rtl/>
        </w:rPr>
        <w:t xml:space="preserve">تتألف لجنة توجيه الصندوق </w:t>
      </w:r>
      <w:r w:rsidRPr="00CF26F6">
        <w:rPr>
          <w:spacing w:val="-4"/>
          <w:szCs w:val="24"/>
        </w:rPr>
        <w:t>ICT-DF SC</w:t>
      </w:r>
      <w:r w:rsidRPr="00CF26F6">
        <w:rPr>
          <w:rFonts w:hint="cs"/>
          <w:spacing w:val="-4"/>
          <w:rtl/>
        </w:rPr>
        <w:t xml:space="preserve"> من الأمين العام للاتحاد (الرئيس) ونائب الأمين العام للاتحاد ومدير مكتب تنمية الاتصالات. ويعمل مدير الصندوق بوصفه أمين لجنة توجيه</w:t>
      </w:r>
      <w:r w:rsidRPr="00CF26F6">
        <w:rPr>
          <w:rFonts w:hint="eastAsia"/>
          <w:spacing w:val="-4"/>
          <w:rtl/>
        </w:rPr>
        <w:t> </w:t>
      </w:r>
      <w:r w:rsidRPr="00CF26F6">
        <w:rPr>
          <w:rFonts w:hint="cs"/>
          <w:spacing w:val="-4"/>
          <w:rtl/>
        </w:rPr>
        <w:t>الصندوق.</w:t>
      </w:r>
      <w:bookmarkStart w:id="2" w:name="_GoBack"/>
      <w:bookmarkEnd w:id="2"/>
    </w:p>
  </w:footnote>
  <w:footnote w:id="2">
    <w:p w:rsidR="0024237F" w:rsidRPr="00F0088A" w:rsidRDefault="0024237F" w:rsidP="005002B0">
      <w:pPr>
        <w:pStyle w:val="FootnoteText"/>
        <w:rPr>
          <w:rtl/>
        </w:rPr>
      </w:pPr>
      <w:r>
        <w:rPr>
          <w:rStyle w:val="FootnoteReference"/>
        </w:rPr>
        <w:footnoteRef/>
      </w:r>
      <w:r w:rsidR="00173654">
        <w:rPr>
          <w:rtl/>
        </w:rPr>
        <w:tab/>
      </w:r>
      <w:r>
        <w:rPr>
          <w:rFonts w:hint="cs"/>
          <w:rtl/>
        </w:rPr>
        <w:t>يعد إنشاء المركز العربي الإقليمي لتكنولوجيا المعلومات والاتصالات</w:t>
      </w:r>
      <w:r w:rsidR="00173654">
        <w:rPr>
          <w:rFonts w:hint="cs"/>
          <w:rtl/>
        </w:rPr>
        <w:t xml:space="preserve"> </w:t>
      </w:r>
      <w:r w:rsidR="00173654" w:rsidRPr="0002768B">
        <w:rPr>
          <w:color w:val="000000"/>
        </w:rPr>
        <w:t>(ICT)</w:t>
      </w:r>
      <w:r>
        <w:rPr>
          <w:rFonts w:hint="cs"/>
          <w:rtl/>
        </w:rPr>
        <w:t xml:space="preserve"> للأشخاص ذوي الإعاقة</w:t>
      </w:r>
      <w:r w:rsidR="00173654">
        <w:rPr>
          <w:rFonts w:hint="cs"/>
          <w:rtl/>
        </w:rPr>
        <w:t xml:space="preserve"> </w:t>
      </w:r>
      <w:r w:rsidR="00173654">
        <w:t>(</w:t>
      </w:r>
      <w:proofErr w:type="spellStart"/>
      <w:r w:rsidR="00173654">
        <w:t>PwD</w:t>
      </w:r>
      <w:proofErr w:type="spellEnd"/>
      <w:r w:rsidR="00173654" w:rsidRPr="0002768B">
        <w:t>)</w:t>
      </w:r>
      <w:r>
        <w:rPr>
          <w:rFonts w:hint="cs"/>
          <w:rtl/>
        </w:rPr>
        <w:t xml:space="preserve"> الذي وُقع في نوفمبر </w:t>
      </w:r>
      <w:r>
        <w:rPr>
          <w:lang w:val="fr-CH"/>
        </w:rPr>
        <w:t>2016</w:t>
      </w:r>
      <w:r>
        <w:rPr>
          <w:rFonts w:hint="cs"/>
          <w:rtl/>
        </w:rPr>
        <w:t xml:space="preserve"> جزءاً لا</w:t>
      </w:r>
      <w:r w:rsidR="005002B0">
        <w:rPr>
          <w:rFonts w:hint="eastAsia"/>
          <w:rtl/>
        </w:rPr>
        <w:t> </w:t>
      </w:r>
      <w:r w:rsidR="005002B0">
        <w:rPr>
          <w:rFonts w:hint="cs"/>
          <w:rtl/>
        </w:rPr>
        <w:t>يتجزأ من المشاريع الجارية.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B5F5E" w:rsidP="00BB45D8">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441DE3">
          <w:rPr>
            <w:rFonts w:eastAsiaTheme="minorEastAsia" w:cs="Calibri"/>
            <w:noProof/>
            <w:sz w:val="20"/>
            <w:szCs w:val="20"/>
            <w:lang w:eastAsia="zh-CN"/>
          </w:rPr>
          <w:t>34</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71"/>
    <w:rsid w:val="00002872"/>
    <w:rsid w:val="00004991"/>
    <w:rsid w:val="000124CC"/>
    <w:rsid w:val="000178FF"/>
    <w:rsid w:val="0003003D"/>
    <w:rsid w:val="00032C07"/>
    <w:rsid w:val="00035D09"/>
    <w:rsid w:val="00041F8B"/>
    <w:rsid w:val="00046444"/>
    <w:rsid w:val="00050AAA"/>
    <w:rsid w:val="00056615"/>
    <w:rsid w:val="0006023B"/>
    <w:rsid w:val="00066222"/>
    <w:rsid w:val="00071711"/>
    <w:rsid w:val="0008638B"/>
    <w:rsid w:val="00090574"/>
    <w:rsid w:val="00092FC2"/>
    <w:rsid w:val="000A1677"/>
    <w:rsid w:val="000B407F"/>
    <w:rsid w:val="000C13C2"/>
    <w:rsid w:val="000D4C64"/>
    <w:rsid w:val="000E2A2D"/>
    <w:rsid w:val="000E4FF0"/>
    <w:rsid w:val="000F0B1C"/>
    <w:rsid w:val="000F1D42"/>
    <w:rsid w:val="000F4D07"/>
    <w:rsid w:val="001025DC"/>
    <w:rsid w:val="00102A03"/>
    <w:rsid w:val="001040A3"/>
    <w:rsid w:val="00110E25"/>
    <w:rsid w:val="00113089"/>
    <w:rsid w:val="00117BB2"/>
    <w:rsid w:val="001237C0"/>
    <w:rsid w:val="00173654"/>
    <w:rsid w:val="00173915"/>
    <w:rsid w:val="0017494A"/>
    <w:rsid w:val="001A3E9C"/>
    <w:rsid w:val="001D2490"/>
    <w:rsid w:val="001D6D70"/>
    <w:rsid w:val="001E3D8B"/>
    <w:rsid w:val="001F73B2"/>
    <w:rsid w:val="00206BD6"/>
    <w:rsid w:val="0022345D"/>
    <w:rsid w:val="00225854"/>
    <w:rsid w:val="0023283D"/>
    <w:rsid w:val="0024237F"/>
    <w:rsid w:val="00252E0C"/>
    <w:rsid w:val="00276881"/>
    <w:rsid w:val="002916BE"/>
    <w:rsid w:val="00295680"/>
    <w:rsid w:val="002978F4"/>
    <w:rsid w:val="002A655D"/>
    <w:rsid w:val="002B028D"/>
    <w:rsid w:val="002B435E"/>
    <w:rsid w:val="002C4DAE"/>
    <w:rsid w:val="002D05D7"/>
    <w:rsid w:val="002D6669"/>
    <w:rsid w:val="002E6541"/>
    <w:rsid w:val="002E6822"/>
    <w:rsid w:val="002F5560"/>
    <w:rsid w:val="0030486B"/>
    <w:rsid w:val="0030608E"/>
    <w:rsid w:val="003207C0"/>
    <w:rsid w:val="003231B9"/>
    <w:rsid w:val="003275AC"/>
    <w:rsid w:val="00332A48"/>
    <w:rsid w:val="00333D29"/>
    <w:rsid w:val="003409F4"/>
    <w:rsid w:val="00357185"/>
    <w:rsid w:val="00364F13"/>
    <w:rsid w:val="00366B54"/>
    <w:rsid w:val="003C106D"/>
    <w:rsid w:val="003C475F"/>
    <w:rsid w:val="003D3AF8"/>
    <w:rsid w:val="003E4132"/>
    <w:rsid w:val="003E74E0"/>
    <w:rsid w:val="003F678F"/>
    <w:rsid w:val="0042686F"/>
    <w:rsid w:val="004321F8"/>
    <w:rsid w:val="004367CE"/>
    <w:rsid w:val="00441DE3"/>
    <w:rsid w:val="00443869"/>
    <w:rsid w:val="00444DD7"/>
    <w:rsid w:val="004476C7"/>
    <w:rsid w:val="004712C6"/>
    <w:rsid w:val="00474ADB"/>
    <w:rsid w:val="00492324"/>
    <w:rsid w:val="00494351"/>
    <w:rsid w:val="00497703"/>
    <w:rsid w:val="004B3B21"/>
    <w:rsid w:val="004F0F06"/>
    <w:rsid w:val="005002B0"/>
    <w:rsid w:val="00501E0E"/>
    <w:rsid w:val="005204D7"/>
    <w:rsid w:val="00530420"/>
    <w:rsid w:val="00530CD7"/>
    <w:rsid w:val="00552BC5"/>
    <w:rsid w:val="0055516A"/>
    <w:rsid w:val="0056374C"/>
    <w:rsid w:val="0056614F"/>
    <w:rsid w:val="00571156"/>
    <w:rsid w:val="0057656F"/>
    <w:rsid w:val="00576731"/>
    <w:rsid w:val="00587E8E"/>
    <w:rsid w:val="0059285F"/>
    <w:rsid w:val="00595796"/>
    <w:rsid w:val="005A24B1"/>
    <w:rsid w:val="005B5F5E"/>
    <w:rsid w:val="005B7B8A"/>
    <w:rsid w:val="005D408B"/>
    <w:rsid w:val="005D6476"/>
    <w:rsid w:val="005D6C0D"/>
    <w:rsid w:val="005E5283"/>
    <w:rsid w:val="005E58F5"/>
    <w:rsid w:val="00606660"/>
    <w:rsid w:val="00612F86"/>
    <w:rsid w:val="006157A3"/>
    <w:rsid w:val="00620E60"/>
    <w:rsid w:val="0063315A"/>
    <w:rsid w:val="0065591D"/>
    <w:rsid w:val="00662C5A"/>
    <w:rsid w:val="00670AF5"/>
    <w:rsid w:val="006823FC"/>
    <w:rsid w:val="006C1556"/>
    <w:rsid w:val="006F267F"/>
    <w:rsid w:val="006F63F7"/>
    <w:rsid w:val="006F6F03"/>
    <w:rsid w:val="007011FA"/>
    <w:rsid w:val="00706D7A"/>
    <w:rsid w:val="00720D87"/>
    <w:rsid w:val="00724BFB"/>
    <w:rsid w:val="00726AEC"/>
    <w:rsid w:val="0073164C"/>
    <w:rsid w:val="007530CA"/>
    <w:rsid w:val="007649DE"/>
    <w:rsid w:val="00783DFC"/>
    <w:rsid w:val="00793E6C"/>
    <w:rsid w:val="0079553D"/>
    <w:rsid w:val="007B01CC"/>
    <w:rsid w:val="007B46E0"/>
    <w:rsid w:val="007D4F32"/>
    <w:rsid w:val="007E7C6C"/>
    <w:rsid w:val="007F6238"/>
    <w:rsid w:val="007F646C"/>
    <w:rsid w:val="00801FCD"/>
    <w:rsid w:val="00803036"/>
    <w:rsid w:val="00803D7E"/>
    <w:rsid w:val="00803F08"/>
    <w:rsid w:val="00814671"/>
    <w:rsid w:val="008228E8"/>
    <w:rsid w:val="008235CD"/>
    <w:rsid w:val="00823A07"/>
    <w:rsid w:val="00834603"/>
    <w:rsid w:val="00835FEC"/>
    <w:rsid w:val="00841F59"/>
    <w:rsid w:val="008513CB"/>
    <w:rsid w:val="00874D9C"/>
    <w:rsid w:val="00892792"/>
    <w:rsid w:val="008A1810"/>
    <w:rsid w:val="008A453B"/>
    <w:rsid w:val="008B5B5D"/>
    <w:rsid w:val="008D7666"/>
    <w:rsid w:val="008F29FB"/>
    <w:rsid w:val="00917694"/>
    <w:rsid w:val="009263CD"/>
    <w:rsid w:val="00930E6D"/>
    <w:rsid w:val="00972CA2"/>
    <w:rsid w:val="00982B28"/>
    <w:rsid w:val="00984EA5"/>
    <w:rsid w:val="00992593"/>
    <w:rsid w:val="00992D31"/>
    <w:rsid w:val="009A1543"/>
    <w:rsid w:val="009C17E1"/>
    <w:rsid w:val="009C35ED"/>
    <w:rsid w:val="009D420E"/>
    <w:rsid w:val="009E270F"/>
    <w:rsid w:val="009F1C12"/>
    <w:rsid w:val="00A124CB"/>
    <w:rsid w:val="00A14379"/>
    <w:rsid w:val="00A2167A"/>
    <w:rsid w:val="00A22AE9"/>
    <w:rsid w:val="00A25A43"/>
    <w:rsid w:val="00A3295B"/>
    <w:rsid w:val="00A33D72"/>
    <w:rsid w:val="00A42AE5"/>
    <w:rsid w:val="00A51F55"/>
    <w:rsid w:val="00A52B61"/>
    <w:rsid w:val="00A57FBB"/>
    <w:rsid w:val="00A64820"/>
    <w:rsid w:val="00A71DD6"/>
    <w:rsid w:val="00A723C7"/>
    <w:rsid w:val="00A80E11"/>
    <w:rsid w:val="00A90D3C"/>
    <w:rsid w:val="00A97F94"/>
    <w:rsid w:val="00AB1309"/>
    <w:rsid w:val="00AB6D72"/>
    <w:rsid w:val="00AC2C52"/>
    <w:rsid w:val="00AD1503"/>
    <w:rsid w:val="00AE7244"/>
    <w:rsid w:val="00AE776D"/>
    <w:rsid w:val="00AF1494"/>
    <w:rsid w:val="00AF3FEE"/>
    <w:rsid w:val="00B02F46"/>
    <w:rsid w:val="00B2000C"/>
    <w:rsid w:val="00B20ADE"/>
    <w:rsid w:val="00B23C4B"/>
    <w:rsid w:val="00B66B9A"/>
    <w:rsid w:val="00B82089"/>
    <w:rsid w:val="00B8300B"/>
    <w:rsid w:val="00B93BAC"/>
    <w:rsid w:val="00B94D26"/>
    <w:rsid w:val="00B970AE"/>
    <w:rsid w:val="00BA1427"/>
    <w:rsid w:val="00BB45D8"/>
    <w:rsid w:val="00BD0C50"/>
    <w:rsid w:val="00BE49D0"/>
    <w:rsid w:val="00BF2C38"/>
    <w:rsid w:val="00BF4105"/>
    <w:rsid w:val="00C01E5E"/>
    <w:rsid w:val="00C058A1"/>
    <w:rsid w:val="00C23331"/>
    <w:rsid w:val="00C265DA"/>
    <w:rsid w:val="00C442F2"/>
    <w:rsid w:val="00C665A4"/>
    <w:rsid w:val="00C674FE"/>
    <w:rsid w:val="00C7297D"/>
    <w:rsid w:val="00C75633"/>
    <w:rsid w:val="00C7679F"/>
    <w:rsid w:val="00C80393"/>
    <w:rsid w:val="00C820B7"/>
    <w:rsid w:val="00C8242E"/>
    <w:rsid w:val="00C82615"/>
    <w:rsid w:val="00C867DB"/>
    <w:rsid w:val="00C975C3"/>
    <w:rsid w:val="00CA2A38"/>
    <w:rsid w:val="00CA50FF"/>
    <w:rsid w:val="00CA5CDD"/>
    <w:rsid w:val="00CC3CD2"/>
    <w:rsid w:val="00CC43BE"/>
    <w:rsid w:val="00CD123C"/>
    <w:rsid w:val="00CD2085"/>
    <w:rsid w:val="00CE2EE1"/>
    <w:rsid w:val="00CF3FFD"/>
    <w:rsid w:val="00CF5ED3"/>
    <w:rsid w:val="00D0494C"/>
    <w:rsid w:val="00D04B39"/>
    <w:rsid w:val="00D14BEB"/>
    <w:rsid w:val="00D21C89"/>
    <w:rsid w:val="00D36A09"/>
    <w:rsid w:val="00D45542"/>
    <w:rsid w:val="00D46F74"/>
    <w:rsid w:val="00D77D0F"/>
    <w:rsid w:val="00DA1CF0"/>
    <w:rsid w:val="00DB2271"/>
    <w:rsid w:val="00DB5659"/>
    <w:rsid w:val="00DC24B4"/>
    <w:rsid w:val="00DD7A05"/>
    <w:rsid w:val="00DF0D13"/>
    <w:rsid w:val="00DF16DC"/>
    <w:rsid w:val="00DF1C7C"/>
    <w:rsid w:val="00DF5361"/>
    <w:rsid w:val="00E009A1"/>
    <w:rsid w:val="00E00D15"/>
    <w:rsid w:val="00E04593"/>
    <w:rsid w:val="00E071BE"/>
    <w:rsid w:val="00E07379"/>
    <w:rsid w:val="00E1419C"/>
    <w:rsid w:val="00E14494"/>
    <w:rsid w:val="00E17033"/>
    <w:rsid w:val="00E22744"/>
    <w:rsid w:val="00E32189"/>
    <w:rsid w:val="00E42944"/>
    <w:rsid w:val="00E45211"/>
    <w:rsid w:val="00E7380C"/>
    <w:rsid w:val="00E74BE7"/>
    <w:rsid w:val="00E86CC9"/>
    <w:rsid w:val="00E96624"/>
    <w:rsid w:val="00EA162E"/>
    <w:rsid w:val="00EB401B"/>
    <w:rsid w:val="00EB50EC"/>
    <w:rsid w:val="00EC377D"/>
    <w:rsid w:val="00EC4566"/>
    <w:rsid w:val="00EF5C82"/>
    <w:rsid w:val="00F00F76"/>
    <w:rsid w:val="00F126F1"/>
    <w:rsid w:val="00F17692"/>
    <w:rsid w:val="00F2106A"/>
    <w:rsid w:val="00F32032"/>
    <w:rsid w:val="00F34C0B"/>
    <w:rsid w:val="00F36D8B"/>
    <w:rsid w:val="00F401D0"/>
    <w:rsid w:val="00F45F2B"/>
    <w:rsid w:val="00F46BDE"/>
    <w:rsid w:val="00F52859"/>
    <w:rsid w:val="00F5548D"/>
    <w:rsid w:val="00F57AE4"/>
    <w:rsid w:val="00F67150"/>
    <w:rsid w:val="00F84366"/>
    <w:rsid w:val="00F85089"/>
    <w:rsid w:val="00F85564"/>
    <w:rsid w:val="00F86CFA"/>
    <w:rsid w:val="00FC0055"/>
    <w:rsid w:val="00FD2867"/>
    <w:rsid w:val="00FD58BD"/>
    <w:rsid w:val="00FD7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A55A5CE-A784-4558-A638-94C3A86D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C7C"/>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council/index97/1997/134/134.html" TargetMode="External"/><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hyperlink" Target="http://www.itu.int/council/index97/1997/131/131.html" TargetMode="External"/><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en/ITU-D/Projects/Pages/Portfolio.aspx?Status=Ongoing&amp;Theme=&amp;Region=&amp;Country=&amp;ICTDF=1&amp;Keyword=" TargetMode="External"/><Relationship Id="rId20" Type="http://schemas.openxmlformats.org/officeDocument/2006/relationships/hyperlink" Target="http://www.itu.int/en/ITU-D/Projects/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dms_pub/itu-s/opb/conf/S-CONF-ACTF-2014-PDF-E.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en/ITU-D/Partners/Pages/ICT-DF/default.aspx" TargetMode="Externa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1-CL-C-0106/en" TargetMode="External"/><Relationship Id="rId22" Type="http://schemas.openxmlformats.org/officeDocument/2006/relationships/chart" Target="charts/chart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uyots\Desktop\ICT-DF\CONSEIL\C-2017\ICTDF_extractPRJdatabase17Mar2017.htm"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guyots\Desktop\ICT-DF\CONSEIL\C-2017\ICTDF_extractPRJdatabase17Mar2017.htm"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3.xml"/><Relationship Id="rId4" Type="http://schemas.openxmlformats.org/officeDocument/2006/relationships/oleObject" Target="file:///C:\Users\guyots\Desktop\ICT-DF\CONSEIL\C-2017\ICTDF_extractPRJdatabase17Mar2017.htm"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guyots\Desktop\ICT-DF\CONSEIL\C-2017\ICTDF_extractPRJdatabase17Mar2017.htm"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guyots\Desktop\ICT-DF\CONSEIL\C-2017\ICTDF_extractPRJdatabase17Mar2017.htm"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guyots\Desktop\ICT-DF\CONSEIL\C-2017\ICTDF_extractPRJdatabase17Mar2017.htm"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lnSpc>
                <a:spcPct val="60000"/>
              </a:lnSpc>
              <a:defRPr sz="950" b="1" i="0" u="none" strike="noStrike" kern="1200" spc="0" baseline="0">
                <a:solidFill>
                  <a:schemeClr val="tx1">
                    <a:lumMod val="65000"/>
                    <a:lumOff val="35000"/>
                  </a:schemeClr>
                </a:solidFill>
                <a:latin typeface="+mn-lt"/>
                <a:ea typeface="+mn-ea"/>
                <a:cs typeface="+mn-cs"/>
              </a:defRPr>
            </a:pPr>
            <a:r>
              <a:rPr lang="ar-EG" sz="1300" b="1" baseline="0">
                <a:latin typeface="Calibri" panose="020F0502020204030204" pitchFamily="34" charset="0"/>
                <a:ea typeface="SimSun" panose="02010600030101010101" pitchFamily="2" charset="-122"/>
                <a:cs typeface="Traditional Arabic" panose="02020603050405020304" pitchFamily="18" charset="-78"/>
              </a:rPr>
              <a:t>الشكل</a:t>
            </a:r>
            <a:r>
              <a:rPr lang="ar-EG" sz="900" b="1" baseline="0">
                <a:latin typeface="Calibri" panose="020F0502020204030204" pitchFamily="34" charset="0"/>
                <a:ea typeface="SimSun" panose="02010600030101010101" pitchFamily="2" charset="-122"/>
                <a:cs typeface="Traditional Arabic" panose="02020603050405020304" pitchFamily="18" charset="-78"/>
              </a:rPr>
              <a:t> </a:t>
            </a:r>
            <a:r>
              <a:rPr lang="en-US" sz="1000" b="1" baseline="0">
                <a:latin typeface="Calibri" panose="020F0502020204030204" pitchFamily="34" charset="0"/>
                <a:ea typeface="SimSun" panose="02010600030101010101" pitchFamily="2" charset="-122"/>
                <a:cs typeface="Traditional Arabic" panose="02020603050405020304" pitchFamily="18" charset="-78"/>
              </a:rPr>
              <a:t>1</a:t>
            </a:r>
            <a:r>
              <a:rPr lang="ar-EG" sz="900" b="1" baseline="0">
                <a:latin typeface="Calibri" panose="020F0502020204030204" pitchFamily="34" charset="0"/>
                <a:ea typeface="SimSun" panose="02010600030101010101" pitchFamily="2" charset="-122"/>
                <a:cs typeface="Traditional Arabic" panose="02020603050405020304" pitchFamily="18" charset="-78"/>
              </a:rPr>
              <a:t> </a:t>
            </a:r>
            <a:r>
              <a:rPr lang="ar-EG" sz="1300" b="1" baseline="0">
                <a:latin typeface="Calibri" panose="020F0502020204030204" pitchFamily="34" charset="0"/>
                <a:ea typeface="SimSun" panose="02010600030101010101" pitchFamily="2" charset="-122"/>
                <a:cs typeface="Traditional Arabic" panose="02020603050405020304" pitchFamily="18" charset="-78"/>
              </a:rPr>
              <a:t>- محفظة الصندوق بحسب المنطقة</a:t>
            </a:r>
            <a:br>
              <a:rPr lang="ar-EG" sz="1300" b="1" baseline="0">
                <a:latin typeface="Calibri" panose="020F0502020204030204" pitchFamily="34" charset="0"/>
                <a:ea typeface="SimSun" panose="02010600030101010101" pitchFamily="2" charset="-122"/>
                <a:cs typeface="Traditional Arabic" panose="02020603050405020304" pitchFamily="18" charset="-78"/>
              </a:rPr>
            </a:br>
            <a:r>
              <a:rPr lang="ar-EG" sz="1300" b="1" baseline="0">
                <a:latin typeface="Calibri" panose="020F0502020204030204" pitchFamily="34" charset="0"/>
                <a:ea typeface="SimSun" panose="02010600030101010101" pitchFamily="2" charset="-122"/>
                <a:cs typeface="Traditional Arabic" panose="02020603050405020304" pitchFamily="18" charset="-78"/>
              </a:rPr>
              <a:t>(منتصف مارس </a:t>
            </a:r>
            <a:r>
              <a:rPr lang="en-US" sz="1000" b="1" baseline="0">
                <a:latin typeface="Calibri" panose="020F0502020204030204" pitchFamily="34" charset="0"/>
                <a:ea typeface="SimSun" panose="02010600030101010101" pitchFamily="2" charset="-122"/>
                <a:cs typeface="Traditional Arabic" panose="02020603050405020304" pitchFamily="18" charset="-78"/>
              </a:rPr>
              <a:t>2017</a:t>
            </a:r>
            <a:r>
              <a:rPr lang="ar-EG" sz="1300" b="1" baseline="0">
                <a:latin typeface="Calibri" panose="020F0502020204030204" pitchFamily="34" charset="0"/>
                <a:ea typeface="SimSun" panose="02010600030101010101" pitchFamily="2" charset="-122"/>
                <a:cs typeface="Traditional Arabic" panose="02020603050405020304" pitchFamily="18" charset="-78"/>
              </a:rPr>
              <a:t>)</a:t>
            </a:r>
            <a:endParaRPr lang="en-US" sz="1300" b="1" baseline="0">
              <a:latin typeface="Calibri" panose="020F0502020204030204" pitchFamily="34" charset="0"/>
              <a:ea typeface="SimSun" panose="02010600030101010101" pitchFamily="2" charset="-122"/>
              <a:cs typeface="Traditional Arabic" panose="02020603050405020304" pitchFamily="18" charset="-78"/>
            </a:endParaRPr>
          </a:p>
        </c:rich>
      </c:tx>
      <c:layout>
        <c:manualLayout>
          <c:xMode val="edge"/>
          <c:yMode val="edge"/>
          <c:x val="0.37791803103915683"/>
          <c:y val="4.9786623894235445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Sheet1!$B$72:$B$78</c:f>
              <c:strCache>
                <c:ptCount val="7"/>
                <c:pt idx="0">
                  <c:v>Africa</c:v>
                </c:pt>
                <c:pt idx="1">
                  <c:v>Arab States</c:v>
                </c:pt>
                <c:pt idx="2">
                  <c:v>Asia &amp; Pacific</c:v>
                </c:pt>
                <c:pt idx="3">
                  <c:v>Americas</c:v>
                </c:pt>
                <c:pt idx="4">
                  <c:v>CIS</c:v>
                </c:pt>
                <c:pt idx="5">
                  <c:v>Europe</c:v>
                </c:pt>
                <c:pt idx="6">
                  <c:v>Global</c:v>
                </c:pt>
              </c:strCache>
            </c:strRef>
          </c:cat>
          <c:val>
            <c:numRef>
              <c:f>Sheet1!$C$72:$C$78</c:f>
              <c:numCache>
                <c:formatCode>General</c:formatCode>
                <c:ptCount val="7"/>
                <c:pt idx="0">
                  <c:v>9.5</c:v>
                </c:pt>
                <c:pt idx="1">
                  <c:v>3.5</c:v>
                </c:pt>
                <c:pt idx="2">
                  <c:v>1</c:v>
                </c:pt>
                <c:pt idx="3">
                  <c:v>2</c:v>
                </c:pt>
                <c:pt idx="6">
                  <c:v>1</c:v>
                </c:pt>
              </c:numCache>
            </c:numRef>
          </c:val>
        </c:ser>
        <c:dLbls>
          <c:showLegendKey val="0"/>
          <c:showVal val="0"/>
          <c:showCatName val="0"/>
          <c:showSerName val="0"/>
          <c:showPercent val="0"/>
          <c:showBubbleSize val="0"/>
        </c:dLbls>
        <c:gapWidth val="150"/>
        <c:shape val="box"/>
        <c:axId val="495087072"/>
        <c:axId val="495087464"/>
        <c:axId val="427185840"/>
      </c:bar3DChart>
      <c:catAx>
        <c:axId val="49508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087464"/>
        <c:crosses val="autoZero"/>
        <c:auto val="1"/>
        <c:lblAlgn val="ctr"/>
        <c:lblOffset val="100"/>
        <c:noMultiLvlLbl val="0"/>
      </c:catAx>
      <c:valAx>
        <c:axId val="49508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087072"/>
        <c:crosses val="autoZero"/>
        <c:crossBetween val="between"/>
      </c:valAx>
      <c:serAx>
        <c:axId val="427185840"/>
        <c:scaling>
          <c:orientation val="minMax"/>
        </c:scaling>
        <c:delete val="1"/>
        <c:axPos val="b"/>
        <c:majorTickMark val="none"/>
        <c:minorTickMark val="none"/>
        <c:tickLblPos val="nextTo"/>
        <c:crossAx val="49508746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lnSpc>
                <a:spcPct val="60000"/>
              </a:lnSpc>
              <a:defRPr sz="950" b="1" i="0" u="none" strike="noStrike" kern="1200" spc="0" baseline="0">
                <a:solidFill>
                  <a:schemeClr val="tx1">
                    <a:lumMod val="65000"/>
                    <a:lumOff val="35000"/>
                  </a:schemeClr>
                </a:solidFill>
                <a:latin typeface="+mn-lt"/>
                <a:ea typeface="+mn-ea"/>
                <a:cs typeface="+mn-cs"/>
              </a:defRPr>
            </a:pPr>
            <a:r>
              <a:rPr lang="ar-EG" sz="1300" b="1" baseline="0">
                <a:latin typeface="Calibri" panose="020F0502020204030204" pitchFamily="34" charset="0"/>
                <a:ea typeface="SimSun" panose="02010600030101010101" pitchFamily="2" charset="-122"/>
                <a:cs typeface="Traditional Arabic" panose="02020603050405020304" pitchFamily="18" charset="-78"/>
              </a:rPr>
              <a:t>الشكل</a:t>
            </a:r>
            <a:r>
              <a:rPr lang="ar-EG" sz="900" b="1" baseline="0">
                <a:latin typeface="Calibri" panose="020F0502020204030204" pitchFamily="34" charset="0"/>
                <a:ea typeface="SimSun" panose="02010600030101010101" pitchFamily="2" charset="-122"/>
                <a:cs typeface="Traditional Arabic" panose="02020603050405020304" pitchFamily="18" charset="-78"/>
              </a:rPr>
              <a:t> </a:t>
            </a:r>
            <a:r>
              <a:rPr lang="en-US" sz="1000" b="1" baseline="0">
                <a:latin typeface="Calibri" panose="020F0502020204030204" pitchFamily="34" charset="0"/>
                <a:ea typeface="SimSun" panose="02010600030101010101" pitchFamily="2" charset="-122"/>
                <a:cs typeface="Traditional Arabic" panose="02020603050405020304" pitchFamily="18" charset="-78"/>
              </a:rPr>
              <a:t>2</a:t>
            </a:r>
            <a:r>
              <a:rPr lang="ar-EG" sz="1300" b="1" baseline="0">
                <a:latin typeface="Calibri" panose="020F0502020204030204" pitchFamily="34" charset="0"/>
                <a:ea typeface="SimSun" panose="02010600030101010101" pitchFamily="2" charset="-122"/>
                <a:cs typeface="Traditional Arabic" panose="02020603050405020304" pitchFamily="18" charset="-78"/>
              </a:rPr>
              <a:t> - محفظة الصندوق بحسب مجال العمل</a:t>
            </a:r>
            <a:br>
              <a:rPr lang="ar-EG" sz="1300" b="1" baseline="0">
                <a:latin typeface="Calibri" panose="020F0502020204030204" pitchFamily="34" charset="0"/>
                <a:ea typeface="SimSun" panose="02010600030101010101" pitchFamily="2" charset="-122"/>
                <a:cs typeface="Traditional Arabic" panose="02020603050405020304" pitchFamily="18" charset="-78"/>
              </a:rPr>
            </a:br>
            <a:r>
              <a:rPr lang="ar-EG" sz="1300" b="1" baseline="0">
                <a:latin typeface="Calibri" panose="020F0502020204030204" pitchFamily="34" charset="0"/>
                <a:ea typeface="SimSun" panose="02010600030101010101" pitchFamily="2" charset="-122"/>
                <a:cs typeface="Traditional Arabic" panose="02020603050405020304" pitchFamily="18" charset="-78"/>
              </a:rPr>
              <a:t>(منتصف مارس </a:t>
            </a:r>
            <a:r>
              <a:rPr lang="en-US" sz="1000" b="1" baseline="0">
                <a:latin typeface="Calibri" panose="020F0502020204030204" pitchFamily="34" charset="0"/>
                <a:ea typeface="SimSun" panose="02010600030101010101" pitchFamily="2" charset="-122"/>
                <a:cs typeface="Traditional Arabic" panose="02020603050405020304" pitchFamily="18" charset="-78"/>
              </a:rPr>
              <a:t>2017</a:t>
            </a:r>
            <a:r>
              <a:rPr lang="ar-EG" sz="1300" b="1" baseline="0">
                <a:latin typeface="Calibri" panose="020F0502020204030204" pitchFamily="34" charset="0"/>
                <a:ea typeface="SimSun" panose="02010600030101010101" pitchFamily="2" charset="-122"/>
                <a:cs typeface="Traditional Arabic" panose="02020603050405020304" pitchFamily="18" charset="-78"/>
              </a:rPr>
              <a:t>)</a:t>
            </a:r>
          </a:p>
        </c:rich>
      </c:tx>
      <c:layout>
        <c:manualLayout>
          <c:xMode val="edge"/>
          <c:yMode val="edge"/>
          <c:x val="0.368223097112861"/>
          <c:y val="4.479901714413359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55080614923098E-2"/>
          <c:y val="0.24504964539007101"/>
          <c:w val="0.76317472815898002"/>
          <c:h val="0.31056100966102601"/>
        </c:manualLayout>
      </c:layout>
      <c:bar3DChart>
        <c:barDir val="bar"/>
        <c:grouping val="percentStacked"/>
        <c:varyColors val="0"/>
        <c:ser>
          <c:idx val="0"/>
          <c:order val="0"/>
          <c:tx>
            <c:strRef>
              <c:f>Sheet1!$B$82</c:f>
              <c:strCache>
                <c:ptCount val="1"/>
                <c:pt idx="0">
                  <c:v>Technology &amp; Network Development</c:v>
                </c:pt>
              </c:strCache>
            </c:strRef>
          </c:tx>
          <c:spPr>
            <a:solidFill>
              <a:schemeClr val="accent6"/>
            </a:solidFill>
            <a:ln>
              <a:noFill/>
            </a:ln>
            <a:effectLst/>
            <a:sp3d/>
          </c:spPr>
          <c:invertIfNegative val="0"/>
          <c:val>
            <c:numRef>
              <c:f>Sheet1!$C$82</c:f>
              <c:numCache>
                <c:formatCode>General</c:formatCode>
                <c:ptCount val="1"/>
                <c:pt idx="0">
                  <c:v>9</c:v>
                </c:pt>
              </c:numCache>
            </c:numRef>
          </c:val>
        </c:ser>
        <c:ser>
          <c:idx val="1"/>
          <c:order val="1"/>
          <c:tx>
            <c:strRef>
              <c:f>Sheet1!$B$83</c:f>
              <c:strCache>
                <c:ptCount val="1"/>
                <c:pt idx="0">
                  <c:v>ICT Applications</c:v>
                </c:pt>
              </c:strCache>
            </c:strRef>
          </c:tx>
          <c:spPr>
            <a:solidFill>
              <a:schemeClr val="accent5"/>
            </a:solidFill>
            <a:ln>
              <a:noFill/>
            </a:ln>
            <a:effectLst/>
            <a:sp3d/>
          </c:spPr>
          <c:invertIfNegative val="0"/>
          <c:val>
            <c:numRef>
              <c:f>Sheet1!$C$83</c:f>
              <c:numCache>
                <c:formatCode>General</c:formatCode>
                <c:ptCount val="1"/>
                <c:pt idx="0">
                  <c:v>3</c:v>
                </c:pt>
              </c:numCache>
            </c:numRef>
          </c:val>
        </c:ser>
        <c:ser>
          <c:idx val="2"/>
          <c:order val="2"/>
          <c:tx>
            <c:strRef>
              <c:f>Sheet1!$B$84</c:f>
              <c:strCache>
                <c:ptCount val="1"/>
                <c:pt idx="0">
                  <c:v>Emergency Telecom, LDCs &amp; SIDS</c:v>
                </c:pt>
              </c:strCache>
            </c:strRef>
          </c:tx>
          <c:spPr>
            <a:solidFill>
              <a:schemeClr val="accent4"/>
            </a:solidFill>
            <a:ln>
              <a:noFill/>
            </a:ln>
            <a:effectLst/>
            <a:sp3d/>
          </c:spPr>
          <c:invertIfNegative val="0"/>
          <c:val>
            <c:numRef>
              <c:f>Sheet1!$C$84</c:f>
              <c:numCache>
                <c:formatCode>General</c:formatCode>
                <c:ptCount val="1"/>
                <c:pt idx="0">
                  <c:v>2</c:v>
                </c:pt>
              </c:numCache>
            </c:numRef>
          </c:val>
        </c:ser>
        <c:ser>
          <c:idx val="3"/>
          <c:order val="3"/>
          <c:tx>
            <c:strRef>
              <c:f>Sheet1!$B$85</c:f>
              <c:strCache>
                <c:ptCount val="1"/>
                <c:pt idx="0">
                  <c:v>Digital Inclusion</c:v>
                </c:pt>
              </c:strCache>
            </c:strRef>
          </c:tx>
          <c:spPr>
            <a:solidFill>
              <a:schemeClr val="accent6">
                <a:lumMod val="60000"/>
              </a:schemeClr>
            </a:solidFill>
            <a:ln>
              <a:noFill/>
            </a:ln>
            <a:effectLst/>
            <a:sp3d/>
          </c:spPr>
          <c:invertIfNegative val="0"/>
          <c:val>
            <c:numRef>
              <c:f>Sheet1!$C$85</c:f>
              <c:numCache>
                <c:formatCode>General</c:formatCode>
                <c:ptCount val="1"/>
                <c:pt idx="0">
                  <c:v>1</c:v>
                </c:pt>
              </c:numCache>
            </c:numRef>
          </c:val>
        </c:ser>
        <c:ser>
          <c:idx val="4"/>
          <c:order val="4"/>
          <c:tx>
            <c:strRef>
              <c:f>Sheet1!$B$86</c:f>
              <c:strCache>
                <c:ptCount val="1"/>
                <c:pt idx="0">
                  <c:v>Spectrum Management &amp; Digital Broadcasting</c:v>
                </c:pt>
              </c:strCache>
            </c:strRef>
          </c:tx>
          <c:spPr>
            <a:solidFill>
              <a:schemeClr val="accent5">
                <a:lumMod val="60000"/>
              </a:schemeClr>
            </a:solidFill>
            <a:ln>
              <a:noFill/>
            </a:ln>
            <a:effectLst/>
            <a:sp3d/>
          </c:spPr>
          <c:invertIfNegative val="0"/>
          <c:val>
            <c:numRef>
              <c:f>Sheet1!$C$86</c:f>
              <c:numCache>
                <c:formatCode>General</c:formatCode>
                <c:ptCount val="1"/>
                <c:pt idx="0">
                  <c:v>2</c:v>
                </c:pt>
              </c:numCache>
            </c:numRef>
          </c:val>
        </c:ser>
        <c:dLbls>
          <c:showLegendKey val="0"/>
          <c:showVal val="0"/>
          <c:showCatName val="0"/>
          <c:showSerName val="0"/>
          <c:showPercent val="0"/>
          <c:showBubbleSize val="0"/>
        </c:dLbls>
        <c:gapWidth val="150"/>
        <c:shape val="box"/>
        <c:axId val="415019136"/>
        <c:axId val="415018744"/>
        <c:axId val="0"/>
      </c:bar3DChart>
      <c:catAx>
        <c:axId val="415019136"/>
        <c:scaling>
          <c:orientation val="minMax"/>
        </c:scaling>
        <c:delete val="1"/>
        <c:axPos val="l"/>
        <c:numFmt formatCode="General" sourceLinked="1"/>
        <c:majorTickMark val="none"/>
        <c:minorTickMark val="none"/>
        <c:tickLblPos val="nextTo"/>
        <c:crossAx val="415018744"/>
        <c:crosses val="autoZero"/>
        <c:auto val="1"/>
        <c:lblAlgn val="ctr"/>
        <c:lblOffset val="100"/>
        <c:noMultiLvlLbl val="0"/>
      </c:catAx>
      <c:valAx>
        <c:axId val="415018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019136"/>
        <c:crosses val="autoZero"/>
        <c:crossBetween val="between"/>
      </c:valAx>
      <c:spPr>
        <a:noFill/>
        <a:ln>
          <a:noFill/>
        </a:ln>
        <a:effectLst/>
      </c:spPr>
    </c:plotArea>
    <c:legend>
      <c:legendPos val="b"/>
      <c:layout>
        <c:manualLayout>
          <c:xMode val="edge"/>
          <c:yMode val="edge"/>
          <c:x val="0.59216216616990669"/>
          <c:y val="0.68754855643044621"/>
          <c:w val="0.405357892763405"/>
          <c:h val="0.253186798458703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lnSpc>
                <a:spcPct val="80000"/>
              </a:lnSpc>
              <a:defRPr sz="950" b="1" i="0" u="none" strike="noStrike" kern="1200" baseline="0">
                <a:solidFill>
                  <a:schemeClr val="dk1">
                    <a:lumMod val="75000"/>
                    <a:lumOff val="25000"/>
                  </a:schemeClr>
                </a:solidFill>
                <a:latin typeface="+mn-lt"/>
                <a:ea typeface="+mn-ea"/>
                <a:cs typeface="+mn-cs"/>
              </a:defRPr>
            </a:pPr>
            <a:r>
              <a:rPr lang="ar-EG" sz="1300" b="1" i="0" u="none" strike="noStrike" baseline="0">
                <a:effectLst/>
                <a:latin typeface="Calibri" panose="020F0502020204030204" pitchFamily="34" charset="0"/>
                <a:ea typeface="SimSun" panose="02010600030101010101" pitchFamily="2" charset="-122"/>
                <a:cs typeface="Traditional Arabic" panose="02020603050405020304" pitchFamily="18" charset="-78"/>
              </a:rPr>
              <a:t>الشكل</a:t>
            </a:r>
            <a:r>
              <a:rPr lang="ar-EG" sz="950" b="1" i="0" u="none" strike="noStrike" baseline="0">
                <a:effectLst/>
                <a:latin typeface="Calibri" panose="020F0502020204030204" pitchFamily="34" charset="0"/>
                <a:ea typeface="SimSun" panose="02010600030101010101" pitchFamily="2" charset="-122"/>
                <a:cs typeface="Traditional Arabic" panose="02020603050405020304" pitchFamily="18" charset="-78"/>
              </a:rPr>
              <a:t> </a:t>
            </a:r>
            <a:r>
              <a:rPr lang="en-US" sz="1000" b="1" i="0" u="none" strike="noStrike" baseline="0">
                <a:effectLst/>
                <a:latin typeface="Calibri" panose="020F0502020204030204" pitchFamily="34" charset="0"/>
                <a:ea typeface="SimSun" panose="02010600030101010101" pitchFamily="2" charset="-122"/>
                <a:cs typeface="Traditional Arabic" panose="02020603050405020304" pitchFamily="18" charset="-78"/>
              </a:rPr>
              <a:t>3</a:t>
            </a:r>
            <a:r>
              <a:rPr lang="ar-EG" sz="900" b="1" i="0" u="none" strike="noStrike" baseline="0">
                <a:effectLst/>
                <a:latin typeface="Calibri" panose="020F0502020204030204" pitchFamily="34" charset="0"/>
                <a:ea typeface="SimSun" panose="02010600030101010101" pitchFamily="2" charset="-122"/>
                <a:cs typeface="Traditional Arabic" panose="02020603050405020304" pitchFamily="18" charset="-78"/>
              </a:rPr>
              <a:t> </a:t>
            </a:r>
            <a:r>
              <a:rPr lang="ar-EG" sz="1300" b="1" i="0" u="none" strike="noStrike" baseline="0">
                <a:effectLst/>
                <a:latin typeface="Calibri" panose="020F0502020204030204" pitchFamily="34" charset="0"/>
                <a:ea typeface="SimSun" panose="02010600030101010101" pitchFamily="2" charset="-122"/>
                <a:cs typeface="Traditional Arabic" panose="02020603050405020304" pitchFamily="18" charset="-78"/>
              </a:rPr>
              <a:t>- توزيع المساهامات على محفظة الصندوق (منتصف مارس </a:t>
            </a:r>
            <a:r>
              <a:rPr lang="en-US" sz="1000" b="1" i="0" u="none" strike="noStrike" baseline="0">
                <a:effectLst/>
                <a:latin typeface="Calibri" panose="020F0502020204030204" pitchFamily="34" charset="0"/>
                <a:ea typeface="SimSun" panose="02010600030101010101" pitchFamily="2" charset="-122"/>
                <a:cs typeface="Traditional Arabic" panose="02020603050405020304" pitchFamily="18" charset="-78"/>
              </a:rPr>
              <a:t>2017</a:t>
            </a:r>
            <a:r>
              <a:rPr lang="ar-EG" sz="1300" b="1" i="0" u="none" strike="noStrike" baseline="0">
                <a:effectLst/>
                <a:latin typeface="Traditional Arabic" panose="02020603050405020304" pitchFamily="18" charset="-78"/>
                <a:cs typeface="Traditional Arabic" panose="02020603050405020304" pitchFamily="18" charset="-78"/>
              </a:rPr>
              <a:t>)</a:t>
            </a:r>
            <a:endParaRPr lang="en-US" sz="1300">
              <a:latin typeface="Traditional Arabic" panose="02020603050405020304" pitchFamily="18" charset="-78"/>
              <a:cs typeface="Traditional Arabic" panose="02020603050405020304" pitchFamily="18" charset="-78"/>
            </a:endParaRPr>
          </a:p>
        </c:rich>
      </c:tx>
      <c:layout>
        <c:manualLayout>
          <c:xMode val="edge"/>
          <c:yMode val="edge"/>
          <c:x val="0.164165498730135"/>
          <c:y val="3.7186521039708702E-2"/>
        </c:manualLayout>
      </c:layout>
      <c:overlay val="0"/>
      <c:spPr>
        <a:noFill/>
        <a:ln>
          <a:noFill/>
        </a:ln>
        <a:effectLst/>
      </c:spPr>
      <c:txPr>
        <a:bodyPr rot="0" spcFirstLastPara="1" vertOverflow="ellipsis" vert="horz" wrap="square" anchor="ctr" anchorCtr="1"/>
        <a:lstStyle/>
        <a:p>
          <a:pPr rtl="1">
            <a:lnSpc>
              <a:spcPct val="80000"/>
            </a:lnSpc>
            <a:defRPr sz="95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7024807382948102"/>
          <c:w val="1"/>
          <c:h val="0.68373507747015505"/>
        </c:manualLayout>
      </c:layout>
      <c:pie3DChart>
        <c:varyColors val="1"/>
        <c:ser>
          <c:idx val="0"/>
          <c:order val="0"/>
          <c:dPt>
            <c:idx val="0"/>
            <c:bubble3D val="0"/>
            <c:explosion val="14"/>
            <c:spPr>
              <a:solidFill>
                <a:schemeClr val="accent1"/>
              </a:solidFill>
              <a:ln>
                <a:noFill/>
              </a:ln>
              <a:effectLst>
                <a:outerShdw blurRad="254000" sx="102000" sy="102000" algn="ctr" rotWithShape="0">
                  <a:prstClr val="black">
                    <a:alpha val="20000"/>
                  </a:prstClr>
                </a:outerShdw>
              </a:effectLst>
              <a:sp3d/>
            </c:spPr>
          </c:dPt>
          <c:dPt>
            <c:idx val="1"/>
            <c:bubble3D val="0"/>
            <c:explosion val="3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manualLayout>
                  <c:x val="-7.0193182373942495E-2"/>
                  <c:y val="4.3147489628312601E-2"/>
                </c:manualLayout>
              </c:layout>
              <c:tx>
                <c:rich>
                  <a:bodyPr rot="0" spcFirstLastPara="1" vertOverflow="ellipsis" vert="horz" wrap="square" lIns="38100" tIns="19050" rIns="38100" bIns="19050" anchor="ctr" anchorCtr="1">
                    <a:noAutofit/>
                  </a:bodyPr>
                  <a:lstStyle/>
                  <a:p>
                    <a:pPr>
                      <a:lnSpc>
                        <a:spcPct val="80000"/>
                      </a:lnSpc>
                      <a:defRPr sz="900" b="1" i="0" u="none" strike="noStrike" kern="1200" baseline="0">
                        <a:solidFill>
                          <a:schemeClr val="bg1"/>
                        </a:solidFill>
                        <a:latin typeface="+mn-lt"/>
                        <a:ea typeface="+mn-ea"/>
                        <a:cs typeface="+mn-cs"/>
                      </a:defRPr>
                    </a:pPr>
                    <a:r>
                      <a:rPr lang="ar-SA" sz="1000" b="1" i="0" u="none" strike="noStrike" baseline="0">
                        <a:solidFill>
                          <a:schemeClr val="bg1"/>
                        </a:solidFill>
                        <a:effectLst/>
                        <a:latin typeface="Traditional Arabic" panose="02020603050405020304" pitchFamily="18" charset="-78"/>
                        <a:cs typeface="Traditional Arabic" panose="02020603050405020304" pitchFamily="18" charset="-78"/>
                      </a:rPr>
                      <a:t>الصندوق: </a:t>
                    </a:r>
                    <a:r>
                      <a:rPr lang="ar-SA" sz="800" b="1" i="0" u="none" strike="noStrike" baseline="0">
                        <a:solidFill>
                          <a:schemeClr val="bg1"/>
                        </a:solidFill>
                        <a:effectLst/>
                      </a:rPr>
                      <a:t>30,7</a:t>
                    </a:r>
                    <a:r>
                      <a:rPr lang="ar-SA" sz="800" b="1" i="0" u="none" strike="noStrike" baseline="0">
                        <a:solidFill>
                          <a:schemeClr val="bg1"/>
                        </a:solidFill>
                        <a:effectLst/>
                        <a:latin typeface="+mn-lt"/>
                      </a:rPr>
                      <a:t>%</a:t>
                    </a:r>
                    <a:endParaRPr lang="ar-SA" sz="800" baseline="0">
                      <a:solidFill>
                        <a:schemeClr val="bg1"/>
                      </a:solidFill>
                      <a:latin typeface="+mn-lt"/>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lnSpc>
                      <a:spcPct val="80000"/>
                    </a:lnSpc>
                    <a:defRPr sz="900" b="1"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5931660716323501"/>
                      <c:h val="8.2849462365591403E-2"/>
                    </c:manualLayout>
                  </c15:layout>
                </c:ext>
              </c:extLst>
            </c:dLbl>
            <c:dLbl>
              <c:idx val="1"/>
              <c:layout>
                <c:manualLayout>
                  <c:x val="4.3534359341445956E-2"/>
                  <c:y val="-6.5873272690228787E-2"/>
                </c:manualLayout>
              </c:layout>
              <c:tx>
                <c:rich>
                  <a:bodyPr rot="0" spcFirstLastPara="1" vertOverflow="ellipsis" vert="horz" wrap="square" lIns="38100" tIns="19050" rIns="38100" bIns="19050" anchor="ctr" anchorCtr="1">
                    <a:noAutofit/>
                  </a:bodyPr>
                  <a:lstStyle/>
                  <a:p>
                    <a:pPr>
                      <a:lnSpc>
                        <a:spcPct val="80000"/>
                      </a:lnSpc>
                      <a:defRPr sz="900" b="1" i="0" u="none" strike="noStrike" kern="1200" baseline="0">
                        <a:solidFill>
                          <a:schemeClr val="bg1"/>
                        </a:solidFill>
                        <a:latin typeface="+mn-lt"/>
                        <a:ea typeface="+mn-ea"/>
                        <a:cs typeface="+mn-cs"/>
                      </a:defRPr>
                    </a:pPr>
                    <a:r>
                      <a:rPr lang="ar-SA" sz="1000" b="1" i="0" u="none" strike="noStrike" baseline="0">
                        <a:solidFill>
                          <a:schemeClr val="bg1"/>
                        </a:solidFill>
                        <a:effectLst/>
                        <a:latin typeface="Traditional Arabic" panose="02020603050405020304" pitchFamily="18" charset="-78"/>
                        <a:cs typeface="Traditional Arabic" panose="02020603050405020304" pitchFamily="18" charset="-78"/>
                      </a:rPr>
                      <a:t>النقدية الأخرى: </a:t>
                    </a:r>
                    <a:r>
                      <a:rPr lang="ar-SA" sz="800" b="1" i="0" u="none" strike="noStrike" baseline="0">
                        <a:solidFill>
                          <a:schemeClr val="bg1"/>
                        </a:solidFill>
                        <a:effectLst/>
                      </a:rPr>
                      <a:t>59,8%</a:t>
                    </a:r>
                    <a:endParaRPr lang="ar-SA" sz="800" baseline="0">
                      <a:solidFill>
                        <a:schemeClr val="bg1"/>
                      </a:solidFill>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lnSpc>
                      <a:spcPct val="80000"/>
                    </a:lnSpc>
                    <a:defRPr sz="900" b="1"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41227726968911499"/>
                      <c:h val="8.3951824570315803E-2"/>
                    </c:manualLayout>
                  </c15:layout>
                </c:ext>
              </c:extLst>
            </c:dLbl>
            <c:dLbl>
              <c:idx val="2"/>
              <c:layout>
                <c:manualLayout>
                  <c:x val="1.6498140664874393E-2"/>
                  <c:y val="1.5412012406977602E-3"/>
                </c:manualLayout>
              </c:layout>
              <c:tx>
                <c:rich>
                  <a:bodyPr rot="0" spcFirstLastPara="1" vertOverflow="ellipsis" vert="horz" wrap="square" lIns="38100" tIns="19050" rIns="38100" bIns="19050" anchor="ctr" anchorCtr="1">
                    <a:noAutofit/>
                  </a:bodyPr>
                  <a:lstStyle/>
                  <a:p>
                    <a:pPr>
                      <a:lnSpc>
                        <a:spcPct val="80000"/>
                      </a:lnSpc>
                      <a:defRPr sz="900" b="1" i="0" u="none" strike="noStrike" kern="1200" baseline="0">
                        <a:solidFill>
                          <a:schemeClr val="bg1"/>
                        </a:solidFill>
                        <a:latin typeface="+mn-lt"/>
                        <a:ea typeface="+mn-ea"/>
                        <a:cs typeface="+mn-cs"/>
                      </a:defRPr>
                    </a:pPr>
                    <a:r>
                      <a:rPr lang="ar-SA" sz="1000" b="1" i="0" u="none" strike="noStrike" baseline="0">
                        <a:solidFill>
                          <a:schemeClr val="bg1"/>
                        </a:solidFill>
                        <a:effectLst/>
                        <a:latin typeface="Calibri" panose="020F0502020204030204" pitchFamily="34" charset="0"/>
                        <a:ea typeface="SimSun" panose="02010600030101010101" pitchFamily="2" charset="-122"/>
                        <a:cs typeface="Traditional Arabic" panose="02020603050405020304" pitchFamily="18" charset="-78"/>
                      </a:rPr>
                      <a:t>العينية:</a:t>
                    </a:r>
                    <a:r>
                      <a:rPr lang="ar-SA" sz="1100" b="1" i="0" u="none" strike="noStrike" baseline="0">
                        <a:solidFill>
                          <a:schemeClr val="bg1"/>
                        </a:solidFill>
                        <a:effectLst/>
                        <a:latin typeface="Calibri" panose="020F0502020204030204" pitchFamily="34" charset="0"/>
                        <a:ea typeface="SimSun" panose="02010600030101010101" pitchFamily="2" charset="-122"/>
                        <a:cs typeface="Traditional Arabic" panose="02020603050405020304" pitchFamily="18" charset="-78"/>
                      </a:rPr>
                      <a:t> </a:t>
                    </a:r>
                    <a:r>
                      <a:rPr lang="ar-SA" sz="800" b="1" i="0" u="none" strike="noStrike" baseline="0">
                        <a:solidFill>
                          <a:schemeClr val="bg1"/>
                        </a:solidFill>
                        <a:effectLst/>
                        <a:latin typeface="Calibri" panose="020F0502020204030204" pitchFamily="34" charset="0"/>
                        <a:ea typeface="SimSun" panose="02010600030101010101" pitchFamily="2" charset="-122"/>
                        <a:cs typeface="+mn-cs"/>
                      </a:rPr>
                      <a:t>9,5%</a:t>
                    </a:r>
                    <a:endParaRPr lang="ar-SA" sz="800" baseline="0">
                      <a:solidFill>
                        <a:schemeClr val="bg1"/>
                      </a:solidFill>
                      <a:latin typeface="Calibri" panose="020F0502020204030204" pitchFamily="34" charset="0"/>
                      <a:ea typeface="SimSun" panose="02010600030101010101" pitchFamily="2" charset="-122"/>
                      <a:cs typeface="+mn-cs"/>
                    </a:endParaRP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lnSpc>
                      <a:spcPct val="80000"/>
                    </a:lnSpc>
                    <a:defRPr sz="900" b="1"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9957282411891029"/>
                      <c:h val="0.1027495535660782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Sheet1!$M$72:$M$74</c:f>
              <c:strCache>
                <c:ptCount val="3"/>
                <c:pt idx="0">
                  <c:v>ICT-DF</c:v>
                </c:pt>
                <c:pt idx="1">
                  <c:v>In-cash other</c:v>
                </c:pt>
                <c:pt idx="2">
                  <c:v>In-kind</c:v>
                </c:pt>
              </c:strCache>
            </c:strRef>
          </c:cat>
          <c:val>
            <c:numRef>
              <c:f>Sheet1!$N$72:$N$74</c:f>
              <c:numCache>
                <c:formatCode>0</c:formatCode>
                <c:ptCount val="3"/>
                <c:pt idx="0">
                  <c:v>30.996877377912309</c:v>
                </c:pt>
                <c:pt idx="1">
                  <c:v>59.334964501407093</c:v>
                </c:pt>
                <c:pt idx="2">
                  <c:v>9.6681581206805607</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lnSpc>
                <a:spcPct val="60000"/>
              </a:lnSpc>
              <a:spcBef>
                <a:spcPts val="0"/>
              </a:spcBef>
              <a:defRPr sz="950" b="1" i="0" u="none" strike="noStrike" kern="1200" baseline="0">
                <a:solidFill>
                  <a:schemeClr val="dk1">
                    <a:lumMod val="75000"/>
                    <a:lumOff val="25000"/>
                  </a:schemeClr>
                </a:solidFill>
                <a:latin typeface="+mn-lt"/>
                <a:ea typeface="+mn-ea"/>
                <a:cs typeface="+mn-cs"/>
              </a:defRPr>
            </a:pPr>
            <a:r>
              <a:rPr lang="ar-EG" sz="1100" baseline="0">
                <a:latin typeface="Calibri" panose="020F0502020204030204" pitchFamily="34" charset="0"/>
                <a:ea typeface="SimSun" panose="02010600030101010101" pitchFamily="2" charset="-122"/>
                <a:cs typeface="Traditional Arabic" panose="02020603050405020304" pitchFamily="18" charset="-78"/>
              </a:rPr>
              <a:t>الشكل </a:t>
            </a:r>
            <a:r>
              <a:rPr lang="en-US" sz="1000" baseline="0">
                <a:latin typeface="Calibri" panose="020F0502020204030204" pitchFamily="34" charset="0"/>
                <a:ea typeface="SimSun" panose="02010600030101010101" pitchFamily="2" charset="-122"/>
                <a:cs typeface="Traditional Arabic" panose="02020603050405020304" pitchFamily="18" charset="-78"/>
              </a:rPr>
              <a:t>5</a:t>
            </a:r>
            <a:r>
              <a:rPr lang="ar-EG" sz="950" baseline="0">
                <a:latin typeface="Calibri" panose="020F0502020204030204" pitchFamily="34" charset="0"/>
                <a:ea typeface="SimSun" panose="02010600030101010101" pitchFamily="2" charset="-122"/>
                <a:cs typeface="Traditional Arabic" panose="02020603050405020304" pitchFamily="18" charset="-78"/>
              </a:rPr>
              <a:t> </a:t>
            </a:r>
            <a:r>
              <a:rPr lang="ar-EG" sz="1300" baseline="0">
                <a:latin typeface="Calibri" panose="020F0502020204030204" pitchFamily="34" charset="0"/>
                <a:ea typeface="SimSun" panose="02010600030101010101" pitchFamily="2" charset="-122"/>
                <a:cs typeface="Traditional Arabic" panose="02020603050405020304" pitchFamily="18" charset="-78"/>
              </a:rPr>
              <a:t>- توزيع المساهمات على محفظة المشاريع الإنمائية للاتحاد (منتصف مارس </a:t>
            </a:r>
            <a:r>
              <a:rPr lang="en-US" sz="1000" baseline="0">
                <a:latin typeface="Calibri" panose="020F0502020204030204" pitchFamily="34" charset="0"/>
                <a:ea typeface="SimSun" panose="02010600030101010101" pitchFamily="2" charset="-122"/>
                <a:cs typeface="Traditional Arabic" panose="02020603050405020304" pitchFamily="18" charset="-78"/>
              </a:rPr>
              <a:t>2017</a:t>
            </a:r>
            <a:r>
              <a:rPr lang="ar-EG" sz="1300" baseline="0">
                <a:latin typeface="Calibri" panose="020F0502020204030204" pitchFamily="34" charset="0"/>
                <a:ea typeface="SimSun" panose="02010600030101010101" pitchFamily="2" charset="-122"/>
                <a:cs typeface="Traditional Arabic" panose="02020603050405020304" pitchFamily="18" charset="-78"/>
              </a:rPr>
              <a:t>)</a:t>
            </a:r>
            <a:endParaRPr lang="en-US" sz="1300" baseline="0">
              <a:latin typeface="Calibri" panose="020F0502020204030204" pitchFamily="34" charset="0"/>
              <a:ea typeface="SimSun" panose="02010600030101010101" pitchFamily="2" charset="-122"/>
              <a:cs typeface="Traditional Arabic" panose="02020603050405020304" pitchFamily="18" charset="-78"/>
            </a:endParaRPr>
          </a:p>
        </c:rich>
      </c:tx>
      <c:layout>
        <c:manualLayout>
          <c:xMode val="edge"/>
          <c:yMode val="edge"/>
          <c:x val="0.13273576868465212"/>
          <c:y val="1.3965034031762981E-2"/>
        </c:manualLayout>
      </c:layout>
      <c:overlay val="0"/>
      <c:spPr>
        <a:noFill/>
        <a:ln>
          <a:noFill/>
        </a:ln>
        <a:effectLst/>
      </c:spPr>
    </c:title>
    <c:autoTitleDeleted val="0"/>
    <c:plotArea>
      <c:layout>
        <c:manualLayout>
          <c:layoutTarget val="inner"/>
          <c:xMode val="edge"/>
          <c:yMode val="edge"/>
          <c:x val="0.304962546348373"/>
          <c:y val="0.27822792312251299"/>
          <c:w val="0.53981085697621101"/>
          <c:h val="0.685646854627043"/>
        </c:manualLayout>
      </c:layout>
      <c:doughnutChart>
        <c:varyColors val="1"/>
        <c:ser>
          <c:idx val="0"/>
          <c:order val="0"/>
          <c:explosion val="7"/>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3.3862433862433899E-2"/>
                  <c:y val="-8.0645161290322606E-2"/>
                </c:manualLayout>
              </c:layout>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%88</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6931216931216998E-2"/>
                  <c:y val="-0.10752688172043"/>
                </c:manualLayout>
              </c:layout>
              <c:tx>
                <c:rich>
                  <a:bodyPr/>
                  <a:lstStyle/>
                  <a:p>
                    <a:r>
                      <a:rPr lang="en-US"/>
                      <a:t>%3</a:t>
                    </a:r>
                  </a:p>
                </c:rich>
              </c:tx>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Sheet1!$M$77:$M$79</c:f>
              <c:strCache>
                <c:ptCount val="3"/>
                <c:pt idx="0">
                  <c:v>ICT-DF</c:v>
                </c:pt>
                <c:pt idx="1">
                  <c:v>In-cash other</c:v>
                </c:pt>
                <c:pt idx="2">
                  <c:v>In-kind</c:v>
                </c:pt>
              </c:strCache>
            </c:strRef>
          </c:cat>
          <c:val>
            <c:numRef>
              <c:f>Sheet1!$N$77:$N$79</c:f>
              <c:numCache>
                <c:formatCode>0</c:formatCode>
                <c:ptCount val="3"/>
                <c:pt idx="0">
                  <c:v>9</c:v>
                </c:pt>
                <c:pt idx="1">
                  <c:v>88</c:v>
                </c:pt>
                <c:pt idx="2">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2.9923615317316101E-2"/>
          <c:y val="0.70109896182005604"/>
          <c:w val="0.27537224513602498"/>
          <c:h val="0.2721793243586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lnSpc>
                <a:spcPct val="60000"/>
              </a:lnSpc>
              <a:defRPr sz="950" b="1" i="0" u="none" strike="noStrike" kern="1200" baseline="0">
                <a:solidFill>
                  <a:schemeClr val="tx1">
                    <a:lumMod val="65000"/>
                    <a:lumOff val="35000"/>
                  </a:schemeClr>
                </a:solidFill>
                <a:latin typeface="+mn-lt"/>
                <a:ea typeface="+mn-ea"/>
                <a:cs typeface="+mn-cs"/>
              </a:defRPr>
            </a:pPr>
            <a:r>
              <a:rPr lang="ar-EG" sz="1300" baseline="0">
                <a:latin typeface="Calibri" panose="020F0502020204030204" pitchFamily="34" charset="0"/>
                <a:ea typeface="SimSun" panose="02010600030101010101" pitchFamily="2" charset="-122"/>
                <a:cs typeface="Traditional Arabic" panose="02020603050405020304" pitchFamily="18" charset="-78"/>
              </a:rPr>
              <a:t>الشكل</a:t>
            </a:r>
            <a:r>
              <a:rPr lang="ar-EG" sz="950" baseline="0">
                <a:latin typeface="Calibri" panose="020F0502020204030204" pitchFamily="34" charset="0"/>
                <a:ea typeface="SimSun" panose="02010600030101010101" pitchFamily="2" charset="-122"/>
                <a:cs typeface="Traditional Arabic" panose="02020603050405020304" pitchFamily="18" charset="-78"/>
              </a:rPr>
              <a:t> </a:t>
            </a:r>
            <a:r>
              <a:rPr lang="en-US" sz="1000" baseline="0">
                <a:latin typeface="Calibri" panose="020F0502020204030204" pitchFamily="34" charset="0"/>
                <a:ea typeface="SimSun" panose="02010600030101010101" pitchFamily="2" charset="-122"/>
                <a:cs typeface="Traditional Arabic" panose="02020603050405020304" pitchFamily="18" charset="-78"/>
              </a:rPr>
              <a:t>4</a:t>
            </a:r>
            <a:r>
              <a:rPr lang="ar-EG" sz="950" baseline="0">
                <a:latin typeface="Calibri" panose="020F0502020204030204" pitchFamily="34" charset="0"/>
                <a:ea typeface="SimSun" panose="02010600030101010101" pitchFamily="2" charset="-122"/>
                <a:cs typeface="Traditional Arabic" panose="02020603050405020304" pitchFamily="18" charset="-78"/>
              </a:rPr>
              <a:t> </a:t>
            </a:r>
            <a:r>
              <a:rPr lang="ar-EG" sz="1300" baseline="0">
                <a:latin typeface="Calibri" panose="020F0502020204030204" pitchFamily="34" charset="0"/>
                <a:ea typeface="SimSun" panose="02010600030101010101" pitchFamily="2" charset="-122"/>
                <a:cs typeface="Traditional Arabic" panose="02020603050405020304" pitchFamily="18" charset="-78"/>
              </a:rPr>
              <a:t>- محفظة المشاريع الإنمائية للاتحاد</a:t>
            </a:r>
            <a:br>
              <a:rPr lang="ar-EG" sz="1300" baseline="0">
                <a:latin typeface="Calibri" panose="020F0502020204030204" pitchFamily="34" charset="0"/>
                <a:ea typeface="SimSun" panose="02010600030101010101" pitchFamily="2" charset="-122"/>
                <a:cs typeface="Traditional Arabic" panose="02020603050405020304" pitchFamily="18" charset="-78"/>
              </a:rPr>
            </a:br>
            <a:r>
              <a:rPr lang="ar-EG" sz="1300" baseline="0">
                <a:latin typeface="Calibri" panose="020F0502020204030204" pitchFamily="34" charset="0"/>
                <a:ea typeface="SimSun" panose="02010600030101010101" pitchFamily="2" charset="-122"/>
                <a:cs typeface="Traditional Arabic" panose="02020603050405020304" pitchFamily="18" charset="-78"/>
              </a:rPr>
              <a:t>(منتصف مارس </a:t>
            </a:r>
            <a:r>
              <a:rPr lang="en-US" sz="1000" baseline="0">
                <a:latin typeface="Calibri" panose="020F0502020204030204" pitchFamily="34" charset="0"/>
                <a:ea typeface="SimSun" panose="02010600030101010101" pitchFamily="2" charset="-122"/>
                <a:cs typeface="Traditional Arabic" panose="02020603050405020304" pitchFamily="18" charset="-78"/>
              </a:rPr>
              <a:t>2017</a:t>
            </a:r>
            <a:r>
              <a:rPr lang="ar-EG" sz="1300" baseline="0">
                <a:latin typeface="Calibri" panose="020F0502020204030204" pitchFamily="34" charset="0"/>
                <a:ea typeface="SimSun" panose="02010600030101010101" pitchFamily="2" charset="-122"/>
                <a:cs typeface="Traditional Arabic" panose="02020603050405020304" pitchFamily="18" charset="-78"/>
              </a:rPr>
              <a:t>)</a:t>
            </a:r>
            <a:endParaRPr lang="en-US" sz="1300" baseline="0">
              <a:latin typeface="Calibri" panose="020F0502020204030204" pitchFamily="34" charset="0"/>
              <a:ea typeface="SimSun" panose="02010600030101010101" pitchFamily="2" charset="-122"/>
              <a:cs typeface="Traditional Arabic" panose="02020603050405020304" pitchFamily="18" charset="-78"/>
            </a:endParaRPr>
          </a:p>
        </c:rich>
      </c:tx>
      <c:layout>
        <c:manualLayout>
          <c:xMode val="edge"/>
          <c:yMode val="edge"/>
          <c:x val="0.156313291964332"/>
          <c:y val="2.7432130685156899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342105263157902E-2"/>
          <c:y val="0.31711717005523599"/>
          <c:w val="0.77850877192982504"/>
          <c:h val="0.62541740118306099"/>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Sheet1!$B$126:$B$128</c:f>
              <c:strCache>
                <c:ptCount val="3"/>
                <c:pt idx="0">
                  <c:v>ICT-DF on-going projects</c:v>
                </c:pt>
                <c:pt idx="1">
                  <c:v>ICT-DF approved projects</c:v>
                </c:pt>
                <c:pt idx="2">
                  <c:v>Other on-going projects</c:v>
                </c:pt>
              </c:strCache>
            </c:strRef>
          </c:cat>
          <c:val>
            <c:numRef>
              <c:f>Sheet1!$C$126:$C$128</c:f>
              <c:numCache>
                <c:formatCode>0</c:formatCode>
                <c:ptCount val="3"/>
                <c:pt idx="0">
                  <c:v>22.033898305084751</c:v>
                </c:pt>
                <c:pt idx="1">
                  <c:v>6.7796610169491531</c:v>
                </c:pt>
                <c:pt idx="2" formatCode="General">
                  <c:v>71.186440677966075</c:v>
                </c:pt>
              </c:numCache>
            </c:numRef>
          </c:val>
        </c:ser>
        <c:dLbls>
          <c:dLblPos val="out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lnSpc>
                <a:spcPct val="60000"/>
              </a:lnSpc>
              <a:defRPr sz="950" b="1" i="0" u="none" strike="noStrike" kern="1200" spc="0" baseline="0">
                <a:solidFill>
                  <a:schemeClr val="tx1">
                    <a:lumMod val="65000"/>
                    <a:lumOff val="35000"/>
                  </a:schemeClr>
                </a:solidFill>
                <a:latin typeface="+mn-lt"/>
                <a:ea typeface="+mn-ea"/>
                <a:cs typeface="+mn-cs"/>
              </a:defRPr>
            </a:pPr>
            <a:r>
              <a:rPr lang="ar-EG" sz="1300" b="1" baseline="0">
                <a:latin typeface="Calibri" panose="020F0502020204030204" pitchFamily="34" charset="0"/>
                <a:ea typeface="SimSun" panose="02010600030101010101" pitchFamily="2" charset="-122"/>
                <a:cs typeface="Traditional Arabic" panose="02020603050405020304" pitchFamily="18" charset="-78"/>
              </a:rPr>
              <a:t>الشكل</a:t>
            </a:r>
            <a:r>
              <a:rPr lang="ar-EG" sz="1100" b="1" baseline="0">
                <a:latin typeface="Calibri" panose="020F0502020204030204" pitchFamily="34" charset="0"/>
                <a:ea typeface="SimSun" panose="02010600030101010101" pitchFamily="2" charset="-122"/>
                <a:cs typeface="Traditional Arabic" panose="02020603050405020304" pitchFamily="18" charset="-78"/>
              </a:rPr>
              <a:t> </a:t>
            </a:r>
            <a:r>
              <a:rPr lang="en-US" sz="1000" b="1" baseline="0">
                <a:latin typeface="Calibri" panose="020F0502020204030204" pitchFamily="34" charset="0"/>
                <a:ea typeface="SimSun" panose="02010600030101010101" pitchFamily="2" charset="-122"/>
                <a:cs typeface="Traditional Arabic" panose="02020603050405020304" pitchFamily="18" charset="-78"/>
              </a:rPr>
              <a:t>6</a:t>
            </a:r>
            <a:r>
              <a:rPr lang="ar-EG" sz="1100" b="1" baseline="0">
                <a:latin typeface="Calibri" panose="020F0502020204030204" pitchFamily="34" charset="0"/>
                <a:ea typeface="SimSun" panose="02010600030101010101" pitchFamily="2" charset="-122"/>
                <a:cs typeface="Traditional Arabic" panose="02020603050405020304" pitchFamily="18" charset="-78"/>
              </a:rPr>
              <a:t> </a:t>
            </a:r>
            <a:r>
              <a:rPr lang="ar-EG" sz="1300" b="1" baseline="0">
                <a:latin typeface="Calibri" panose="020F0502020204030204" pitchFamily="34" charset="0"/>
                <a:ea typeface="SimSun" panose="02010600030101010101" pitchFamily="2" charset="-122"/>
                <a:cs typeface="Traditional Arabic" panose="02020603050405020304" pitchFamily="18" charset="-78"/>
              </a:rPr>
              <a:t>- تطور حساب رأس مال الصندوق</a:t>
            </a:r>
            <a:br>
              <a:rPr lang="ar-EG" sz="1300" b="1" baseline="0">
                <a:latin typeface="Calibri" panose="020F0502020204030204" pitchFamily="34" charset="0"/>
                <a:ea typeface="SimSun" panose="02010600030101010101" pitchFamily="2" charset="-122"/>
                <a:cs typeface="Traditional Arabic" panose="02020603050405020304" pitchFamily="18" charset="-78"/>
              </a:rPr>
            </a:br>
            <a:r>
              <a:rPr lang="ar-EG" sz="1300" b="1" baseline="0">
                <a:latin typeface="Calibri" panose="020F0502020204030204" pitchFamily="34" charset="0"/>
                <a:ea typeface="SimSun" panose="02010600030101010101" pitchFamily="2" charset="-122"/>
                <a:cs typeface="Traditional Arabic" panose="02020603050405020304" pitchFamily="18" charset="-78"/>
              </a:rPr>
              <a:t>(ملايين الدولارات)</a:t>
            </a:r>
            <a:endParaRPr lang="en-US" sz="1300" b="1" baseline="0">
              <a:latin typeface="Calibri" panose="020F0502020204030204" pitchFamily="34" charset="0"/>
              <a:ea typeface="SimSun" panose="02010600030101010101" pitchFamily="2" charset="-122"/>
              <a:cs typeface="Traditional Arabic" panose="02020603050405020304" pitchFamily="18" charset="-78"/>
            </a:endParaRPr>
          </a:p>
        </c:rich>
      </c:tx>
      <c:layout>
        <c:manualLayout>
          <c:xMode val="edge"/>
          <c:yMode val="edge"/>
          <c:x val="0.30491154514776603"/>
          <c:y val="4.1666666666666699E-2"/>
        </c:manualLayout>
      </c:layout>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504618740839202E-2"/>
          <c:y val="0.22620370370370399"/>
          <c:w val="0.93417936394314405"/>
          <c:h val="0.67565616797900296"/>
        </c:manualLayout>
      </c:layout>
      <c:line3DChart>
        <c:grouping val="standard"/>
        <c:varyColors val="0"/>
        <c:ser>
          <c:idx val="0"/>
          <c:order val="0"/>
          <c:spPr>
            <a:solidFill>
              <a:schemeClr val="accent1"/>
            </a:solidFill>
            <a:ln>
              <a:noFill/>
            </a:ln>
            <a:effectLst/>
            <a:sp3d/>
          </c:spPr>
          <c:dPt>
            <c:idx val="5"/>
            <c:bubble3D val="0"/>
            <c:spPr>
              <a:noFill/>
              <a:ln>
                <a:solidFill>
                  <a:schemeClr val="accent2"/>
                </a:solidFill>
              </a:ln>
              <a:effectLst/>
              <a:sp3d>
                <a:contourClr>
                  <a:schemeClr val="accent2"/>
                </a:contourClr>
              </a:sp3d>
            </c:spPr>
          </c:dPt>
          <c:dLbls>
            <c:dLbl>
              <c:idx val="0"/>
              <c:layout>
                <c:manualLayout>
                  <c:x val="-8.3333333333333297E-3"/>
                  <c:y val="-5.5555555555555601E-2"/>
                </c:manualLayout>
              </c:layout>
              <c:tx>
                <c:rich>
                  <a:bodyPr/>
                  <a:lstStyle/>
                  <a:p>
                    <a:r>
                      <a:rPr lang="en-US"/>
                      <a:t>3,74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497E-3"/>
                  <c:y val="2.3148148148148098E-2"/>
                </c:manualLayout>
              </c:layout>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297E-3"/>
                  <c:y val="-4.1666666666666699E-2"/>
                </c:manualLayout>
              </c:layout>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2291E-3"/>
                  <c:y val="-4.1666666666666699E-2"/>
                </c:manualLayout>
              </c:layout>
              <c:tx>
                <c:rich>
                  <a:bodyPr/>
                  <a:lstStyle/>
                  <a:p>
                    <a:r>
                      <a:rPr lang="en-US"/>
                      <a:t>2,70</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185067526416E-16"/>
                  <c:y val="-6.9444444444444503E-2"/>
                </c:manualLayout>
              </c:layout>
              <c:tx>
                <c:rich>
                  <a:bodyPr/>
                  <a:lstStyle/>
                  <a:p>
                    <a:r>
                      <a:rPr lang="en-US"/>
                      <a:t>2,59</a:t>
                    </a:r>
                  </a:p>
                </c:rich>
              </c:tx>
              <c:showLegendKey val="0"/>
              <c:showVal val="1"/>
              <c:showCatName val="0"/>
              <c:showSerName val="0"/>
              <c:showPercent val="0"/>
              <c:showBubbleSize val="0"/>
              <c:extLst>
                <c:ext xmlns:c15="http://schemas.microsoft.com/office/drawing/2012/chart" uri="{CE6537A1-D6FC-4f65-9D91-7224C49458BB}">
                  <c15:layout/>
                </c:ext>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Sheet1!$B$110:$B$115</c:f>
              <c:strCache>
                <c:ptCount val="6"/>
                <c:pt idx="0">
                  <c:v>31.12.2012</c:v>
                </c:pt>
                <c:pt idx="1">
                  <c:v>31.12.2013</c:v>
                </c:pt>
                <c:pt idx="2">
                  <c:v>31.12.2014</c:v>
                </c:pt>
                <c:pt idx="3">
                  <c:v>31.12.2015</c:v>
                </c:pt>
                <c:pt idx="4">
                  <c:v>31.12.2016</c:v>
                </c:pt>
                <c:pt idx="5">
                  <c:v>31.03.2017</c:v>
                </c:pt>
              </c:strCache>
            </c:strRef>
          </c:cat>
          <c:val>
            <c:numRef>
              <c:f>Sheet1!$C$110:$C$115</c:f>
              <c:numCache>
                <c:formatCode>General</c:formatCode>
                <c:ptCount val="6"/>
                <c:pt idx="0">
                  <c:v>3.74</c:v>
                </c:pt>
                <c:pt idx="1">
                  <c:v>1.67</c:v>
                </c:pt>
                <c:pt idx="2">
                  <c:v>2.77</c:v>
                </c:pt>
                <c:pt idx="3">
                  <c:v>2.7</c:v>
                </c:pt>
                <c:pt idx="4">
                  <c:v>2.59</c:v>
                </c:pt>
                <c:pt idx="5">
                  <c:v>1.69</c:v>
                </c:pt>
              </c:numCache>
            </c:numRef>
          </c:val>
          <c:smooth val="0"/>
        </c:ser>
        <c:dLbls>
          <c:showLegendKey val="0"/>
          <c:showVal val="1"/>
          <c:showCatName val="0"/>
          <c:showSerName val="0"/>
          <c:showPercent val="0"/>
          <c:showBubbleSize val="0"/>
        </c:dLbls>
        <c:axId val="147905112"/>
        <c:axId val="502604456"/>
        <c:axId val="497512904"/>
      </c:line3DChart>
      <c:catAx>
        <c:axId val="147905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4456"/>
        <c:crosses val="autoZero"/>
        <c:auto val="1"/>
        <c:lblAlgn val="ctr"/>
        <c:lblOffset val="100"/>
        <c:noMultiLvlLbl val="0"/>
      </c:catAx>
      <c:valAx>
        <c:axId val="502604456"/>
        <c:scaling>
          <c:orientation val="minMax"/>
        </c:scaling>
        <c:delete val="0"/>
        <c:axPos val="l"/>
        <c:majorGridlines>
          <c:spPr>
            <a:ln w="190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05112"/>
        <c:crosses val="autoZero"/>
        <c:crossBetween val="between"/>
      </c:valAx>
      <c:serAx>
        <c:axId val="497512904"/>
        <c:scaling>
          <c:orientation val="minMax"/>
        </c:scaling>
        <c:delete val="1"/>
        <c:axPos val="b"/>
        <c:majorTickMark val="out"/>
        <c:minorTickMark val="none"/>
        <c:tickLblPos val="nextTo"/>
        <c:crossAx val="50260445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0.76879</cdr:x>
      <cdr:y>0.7461</cdr:y>
    </cdr:from>
    <cdr:to>
      <cdr:x>0.95784</cdr:x>
      <cdr:y>0.94721</cdr:y>
    </cdr:to>
    <cdr:sp macro="" textlink="">
      <cdr:nvSpPr>
        <cdr:cNvPr id="2" name="Text Box 1"/>
        <cdr:cNvSpPr txBox="1"/>
      </cdr:nvSpPr>
      <cdr:spPr>
        <a:xfrm xmlns:a="http://schemas.openxmlformats.org/drawingml/2006/main">
          <a:off x="3785865" y="1535033"/>
          <a:ext cx="930950" cy="41375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200">
              <a:latin typeface="Traditional Arabic" panose="02020603050405020304" pitchFamily="18" charset="-78"/>
              <a:cs typeface="Traditional Arabic" panose="02020603050405020304" pitchFamily="18" charset="-78"/>
            </a:rPr>
            <a:t>سائر أنحاء العالم</a:t>
          </a:r>
          <a:endParaRPr lang="en-US" sz="12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0.67301</cdr:x>
      <cdr:y>0.75415</cdr:y>
    </cdr:from>
    <cdr:to>
      <cdr:x>0.78056</cdr:x>
      <cdr:y>0.96129</cdr:y>
    </cdr:to>
    <cdr:sp macro="" textlink="">
      <cdr:nvSpPr>
        <cdr:cNvPr id="3" name="Text Box 2"/>
        <cdr:cNvSpPr txBox="1"/>
      </cdr:nvSpPr>
      <cdr:spPr>
        <a:xfrm xmlns:a="http://schemas.openxmlformats.org/drawingml/2006/main">
          <a:off x="3314183" y="1551584"/>
          <a:ext cx="529607" cy="42616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200">
              <a:latin typeface="Traditional Arabic" panose="02020603050405020304" pitchFamily="18" charset="-78"/>
              <a:cs typeface="Traditional Arabic" panose="02020603050405020304" pitchFamily="18" charset="-78"/>
            </a:rPr>
            <a:t>أوروبا</a:t>
          </a:r>
          <a:endParaRPr lang="en-US" sz="12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0.54866</cdr:x>
      <cdr:y>0.71192</cdr:y>
    </cdr:from>
    <cdr:to>
      <cdr:x>0.68561</cdr:x>
      <cdr:y>0.96129</cdr:y>
    </cdr:to>
    <cdr:sp macro="" textlink="">
      <cdr:nvSpPr>
        <cdr:cNvPr id="4" name="Text Box 3"/>
        <cdr:cNvSpPr txBox="1"/>
      </cdr:nvSpPr>
      <cdr:spPr>
        <a:xfrm xmlns:a="http://schemas.openxmlformats.org/drawingml/2006/main">
          <a:off x="2701825" y="1464695"/>
          <a:ext cx="674422" cy="51305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200">
              <a:latin typeface="Traditional Arabic" panose="02020603050405020304" pitchFamily="18" charset="-78"/>
              <a:cs typeface="Traditional Arabic" panose="02020603050405020304" pitchFamily="18" charset="-78"/>
            </a:rPr>
            <a:t>كومنولث</a:t>
          </a:r>
          <a:r>
            <a:rPr lang="ar-EG" sz="1200" baseline="0">
              <a:latin typeface="Traditional Arabic" panose="02020603050405020304" pitchFamily="18" charset="-78"/>
              <a:cs typeface="Traditional Arabic" panose="02020603050405020304" pitchFamily="18" charset="-78"/>
            </a:rPr>
            <a:t> الدول المستقلة</a:t>
          </a:r>
          <a:endParaRPr lang="en-US" sz="12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0.42095</cdr:x>
      <cdr:y>0.74208</cdr:y>
    </cdr:from>
    <cdr:to>
      <cdr:x>0.56714</cdr:x>
      <cdr:y>0.97939</cdr:y>
    </cdr:to>
    <cdr:sp macro="" textlink="">
      <cdr:nvSpPr>
        <cdr:cNvPr id="5" name="Text Box 4"/>
        <cdr:cNvSpPr txBox="1"/>
      </cdr:nvSpPr>
      <cdr:spPr>
        <a:xfrm xmlns:a="http://schemas.openxmlformats.org/drawingml/2006/main">
          <a:off x="2072916" y="1526758"/>
          <a:ext cx="719935" cy="48823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ar-EG" sz="1200">
              <a:latin typeface="Traditional Arabic" panose="02020603050405020304" pitchFamily="18" charset="-78"/>
              <a:cs typeface="Traditional Arabic" panose="02020603050405020304" pitchFamily="18" charset="-78"/>
            </a:rPr>
            <a:t>الأمريكتان</a:t>
          </a:r>
          <a:endParaRPr lang="en-US" sz="12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0.31844</cdr:x>
      <cdr:y>0.73203</cdr:y>
    </cdr:from>
    <cdr:to>
      <cdr:x>0.43271</cdr:x>
      <cdr:y>0.98341</cdr:y>
    </cdr:to>
    <cdr:sp macro="" textlink="">
      <cdr:nvSpPr>
        <cdr:cNvPr id="6" name="Text Box 5"/>
        <cdr:cNvSpPr txBox="1"/>
      </cdr:nvSpPr>
      <cdr:spPr>
        <a:xfrm xmlns:a="http://schemas.openxmlformats.org/drawingml/2006/main">
          <a:off x="1568135" y="1506071"/>
          <a:ext cx="562707" cy="51719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200">
              <a:latin typeface="Traditional Arabic" panose="02020603050405020304" pitchFamily="18" charset="-78"/>
              <a:cs typeface="Traditional Arabic" panose="02020603050405020304" pitchFamily="18" charset="-78"/>
            </a:rPr>
            <a:t>آسيا</a:t>
          </a:r>
          <a:r>
            <a:rPr lang="ar-EG" sz="1200" baseline="0">
              <a:latin typeface="Traditional Arabic" panose="02020603050405020304" pitchFamily="18" charset="-78"/>
              <a:cs typeface="Traditional Arabic" panose="02020603050405020304" pitchFamily="18" charset="-78"/>
            </a:rPr>
            <a:t> والمحيط الهادئ</a:t>
          </a:r>
          <a:endParaRPr lang="en-US" sz="12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0.17644</cdr:x>
      <cdr:y>0.73001</cdr:y>
    </cdr:from>
    <cdr:to>
      <cdr:x>0.30836</cdr:x>
      <cdr:y>0.96179</cdr:y>
    </cdr:to>
    <cdr:sp macro="" textlink="">
      <cdr:nvSpPr>
        <cdr:cNvPr id="7" name="Text Box 6"/>
        <cdr:cNvSpPr txBox="1"/>
      </cdr:nvSpPr>
      <cdr:spPr>
        <a:xfrm xmlns:a="http://schemas.openxmlformats.org/drawingml/2006/main">
          <a:off x="868887" y="1501932"/>
          <a:ext cx="649596" cy="47685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200">
              <a:latin typeface="Traditional Arabic" panose="02020603050405020304" pitchFamily="18" charset="-78"/>
              <a:cs typeface="Traditional Arabic" panose="02020603050405020304" pitchFamily="18" charset="-78"/>
            </a:rPr>
            <a:t>الدول العربية</a:t>
          </a:r>
          <a:endParaRPr lang="en-US" sz="12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0.0605</cdr:x>
      <cdr:y>0.74409</cdr:y>
    </cdr:from>
    <cdr:to>
      <cdr:x>0.18569</cdr:x>
      <cdr:y>0.94922</cdr:y>
    </cdr:to>
    <cdr:sp macro="" textlink="">
      <cdr:nvSpPr>
        <cdr:cNvPr id="8" name="Text Box 7"/>
        <cdr:cNvSpPr txBox="1"/>
      </cdr:nvSpPr>
      <cdr:spPr>
        <a:xfrm xmlns:a="http://schemas.openxmlformats.org/drawingml/2006/main">
          <a:off x="297905" y="1530896"/>
          <a:ext cx="616495" cy="42203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200">
              <a:latin typeface="Traditional Arabic" panose="02020603050405020304" pitchFamily="18" charset="-78"/>
              <a:cs typeface="Traditional Arabic" panose="02020603050405020304" pitchFamily="18" charset="-78"/>
            </a:rPr>
            <a:t>إفريقيا</a:t>
          </a:r>
          <a:endParaRPr lang="en-US" sz="1200">
            <a:latin typeface="Traditional Arabic" panose="02020603050405020304" pitchFamily="18" charset="-78"/>
            <a:cs typeface="Traditional Arabic" panose="02020603050405020304" pitchFamily="18"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0.6479</cdr:x>
      <cdr:y>0.55715</cdr:y>
    </cdr:from>
    <cdr:to>
      <cdr:x>0.73625</cdr:x>
      <cdr:y>0.64781</cdr:y>
    </cdr:to>
    <cdr:sp macro="" textlink="">
      <cdr:nvSpPr>
        <cdr:cNvPr id="2" name="Text Box 1"/>
        <cdr:cNvSpPr txBox="1"/>
      </cdr:nvSpPr>
      <cdr:spPr>
        <a:xfrm xmlns:a="http://schemas.openxmlformats.org/drawingml/2006/main">
          <a:off x="3276945" y="1220579"/>
          <a:ext cx="446856" cy="19860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en-US" sz="900"/>
            <a:t>%100</a:t>
          </a:r>
        </a:p>
      </cdr:txBody>
    </cdr:sp>
  </cdr:relSizeAnchor>
  <cdr:relSizeAnchor xmlns:cdr="http://schemas.openxmlformats.org/drawingml/2006/chartDrawing">
    <cdr:from>
      <cdr:x>0.49493</cdr:x>
      <cdr:y>0.55904</cdr:y>
    </cdr:from>
    <cdr:to>
      <cdr:x>0.62418</cdr:x>
      <cdr:y>0.64592</cdr:y>
    </cdr:to>
    <cdr:sp macro="" textlink="">
      <cdr:nvSpPr>
        <cdr:cNvPr id="3" name="Text Box 2"/>
        <cdr:cNvSpPr txBox="1"/>
      </cdr:nvSpPr>
      <cdr:spPr>
        <a:xfrm xmlns:a="http://schemas.openxmlformats.org/drawingml/2006/main">
          <a:off x="2503222" y="1224716"/>
          <a:ext cx="653734" cy="19032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en-US" sz="900"/>
            <a:t>%80</a:t>
          </a:r>
        </a:p>
      </cdr:txBody>
    </cdr:sp>
  </cdr:relSizeAnchor>
  <cdr:relSizeAnchor xmlns:cdr="http://schemas.openxmlformats.org/drawingml/2006/chartDrawing">
    <cdr:from>
      <cdr:x>0.39512</cdr:x>
      <cdr:y>0.56282</cdr:y>
    </cdr:from>
    <cdr:to>
      <cdr:x>0.51129</cdr:x>
      <cdr:y>0.66103</cdr:y>
    </cdr:to>
    <cdr:sp macro="" textlink="">
      <cdr:nvSpPr>
        <cdr:cNvPr id="4" name="Text Box 3"/>
        <cdr:cNvSpPr txBox="1"/>
      </cdr:nvSpPr>
      <cdr:spPr>
        <a:xfrm xmlns:a="http://schemas.openxmlformats.org/drawingml/2006/main">
          <a:off x="1998439" y="1232991"/>
          <a:ext cx="587533" cy="21515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en-US" sz="900"/>
            <a:t>%60</a:t>
          </a:r>
        </a:p>
      </cdr:txBody>
    </cdr:sp>
  </cdr:relSizeAnchor>
  <cdr:relSizeAnchor xmlns:cdr="http://schemas.openxmlformats.org/drawingml/2006/chartDrawing">
    <cdr:from>
      <cdr:x>0.28223</cdr:x>
      <cdr:y>0.55526</cdr:y>
    </cdr:from>
    <cdr:to>
      <cdr:x>0.39921</cdr:x>
      <cdr:y>0.71013</cdr:y>
    </cdr:to>
    <cdr:sp macro="" textlink="">
      <cdr:nvSpPr>
        <cdr:cNvPr id="6" name="Text Box 5"/>
        <cdr:cNvSpPr txBox="1"/>
      </cdr:nvSpPr>
      <cdr:spPr>
        <a:xfrm xmlns:a="http://schemas.openxmlformats.org/drawingml/2006/main">
          <a:off x="1427456" y="1216442"/>
          <a:ext cx="591671" cy="3392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en-US" sz="900"/>
            <a:t>%40</a:t>
          </a:r>
        </a:p>
      </cdr:txBody>
    </cdr:sp>
  </cdr:relSizeAnchor>
  <cdr:relSizeAnchor xmlns:cdr="http://schemas.openxmlformats.org/drawingml/2006/chartDrawing">
    <cdr:from>
      <cdr:x>0.1767</cdr:x>
      <cdr:y>0.56282</cdr:y>
    </cdr:from>
    <cdr:to>
      <cdr:x>0.2855</cdr:x>
      <cdr:y>0.70258</cdr:y>
    </cdr:to>
    <cdr:sp macro="" textlink="">
      <cdr:nvSpPr>
        <cdr:cNvPr id="7" name="Text Box 6"/>
        <cdr:cNvSpPr txBox="1"/>
      </cdr:nvSpPr>
      <cdr:spPr>
        <a:xfrm xmlns:a="http://schemas.openxmlformats.org/drawingml/2006/main">
          <a:off x="893711" y="1232991"/>
          <a:ext cx="550295" cy="3061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en-US" sz="900"/>
            <a:t>%20</a:t>
          </a:r>
        </a:p>
      </cdr:txBody>
    </cdr:sp>
  </cdr:relSizeAnchor>
  <cdr:relSizeAnchor xmlns:cdr="http://schemas.openxmlformats.org/drawingml/2006/chartDrawing">
    <cdr:from>
      <cdr:x>0.09162</cdr:x>
      <cdr:y>0.55904</cdr:y>
    </cdr:from>
    <cdr:to>
      <cdr:x>0.16525</cdr:x>
      <cdr:y>0.68558</cdr:y>
    </cdr:to>
    <cdr:sp macro="" textlink="">
      <cdr:nvSpPr>
        <cdr:cNvPr id="8" name="Text Box 7"/>
        <cdr:cNvSpPr txBox="1"/>
      </cdr:nvSpPr>
      <cdr:spPr>
        <a:xfrm xmlns:a="http://schemas.openxmlformats.org/drawingml/2006/main">
          <a:off x="463405" y="1224717"/>
          <a:ext cx="372380" cy="27721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r>
            <a:rPr lang="en-US" sz="900"/>
            <a:t>%0</a:t>
          </a:r>
        </a:p>
      </cdr:txBody>
    </cdr:sp>
  </cdr:relSizeAnchor>
  <cdr:relSizeAnchor xmlns:cdr="http://schemas.openxmlformats.org/drawingml/2006/chartDrawing">
    <cdr:from>
      <cdr:x>0.61763</cdr:x>
      <cdr:y>0.67802</cdr:y>
    </cdr:from>
    <cdr:to>
      <cdr:x>0.92277</cdr:x>
      <cdr:y>0.75735</cdr:y>
    </cdr:to>
    <cdr:sp macro="" textlink="">
      <cdr:nvSpPr>
        <cdr:cNvPr id="9" name="Text Box 8"/>
        <cdr:cNvSpPr txBox="1"/>
      </cdr:nvSpPr>
      <cdr:spPr>
        <a:xfrm xmlns:a="http://schemas.openxmlformats.org/drawingml/2006/main">
          <a:off x="3123855" y="1485383"/>
          <a:ext cx="1543308" cy="17377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lnSpc>
              <a:spcPct val="50000"/>
            </a:lnSpc>
          </a:pPr>
          <a:r>
            <a:rPr lang="ar-EG" sz="800">
              <a:latin typeface="Traditional Arabic" panose="02020603050405020304" pitchFamily="18" charset="-78"/>
              <a:cs typeface="Traditional Arabic" panose="02020603050405020304" pitchFamily="18" charset="-78"/>
            </a:rPr>
            <a:t>تنمية</a:t>
          </a:r>
          <a:r>
            <a:rPr lang="ar-EG" sz="800" baseline="0">
              <a:latin typeface="Traditional Arabic" panose="02020603050405020304" pitchFamily="18" charset="-78"/>
              <a:cs typeface="Traditional Arabic" panose="02020603050405020304" pitchFamily="18" charset="-78"/>
            </a:rPr>
            <a:t> التكنولوجيا والشبكات</a:t>
          </a:r>
          <a:endParaRPr lang="en-US" sz="8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0.61682</cdr:x>
      <cdr:y>0.7328</cdr:y>
    </cdr:from>
    <cdr:to>
      <cdr:x>0.92686</cdr:x>
      <cdr:y>0.79134</cdr:y>
    </cdr:to>
    <cdr:sp macro="" textlink="">
      <cdr:nvSpPr>
        <cdr:cNvPr id="10" name="Text Box 9"/>
        <cdr:cNvSpPr txBox="1"/>
      </cdr:nvSpPr>
      <cdr:spPr>
        <a:xfrm xmlns:a="http://schemas.openxmlformats.org/drawingml/2006/main">
          <a:off x="3119717" y="1605372"/>
          <a:ext cx="1568133" cy="12826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lnSpc>
              <a:spcPct val="50000"/>
            </a:lnSpc>
            <a:spcBef>
              <a:spcPts val="100"/>
            </a:spcBef>
          </a:pPr>
          <a:r>
            <a:rPr lang="ar-EG" sz="800">
              <a:latin typeface="Traditional Arabic" panose="02020603050405020304" pitchFamily="18" charset="-78"/>
              <a:cs typeface="Traditional Arabic" panose="02020603050405020304" pitchFamily="18" charset="-78"/>
            </a:rPr>
            <a:t>تطبيقات تكنولوجيا المعلومات والاتصالات</a:t>
          </a:r>
          <a:endParaRPr lang="en-US" sz="8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0.61682</cdr:x>
      <cdr:y>0.7819</cdr:y>
    </cdr:from>
    <cdr:to>
      <cdr:x>0.99591</cdr:x>
      <cdr:y>0.865</cdr:y>
    </cdr:to>
    <cdr:sp macro="" textlink="">
      <cdr:nvSpPr>
        <cdr:cNvPr id="11" name="Text Box 10"/>
        <cdr:cNvSpPr txBox="1"/>
      </cdr:nvSpPr>
      <cdr:spPr>
        <a:xfrm xmlns:a="http://schemas.openxmlformats.org/drawingml/2006/main">
          <a:off x="3119717" y="1712949"/>
          <a:ext cx="1917370" cy="18205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lnSpc>
              <a:spcPct val="50000"/>
            </a:lnSpc>
          </a:pPr>
          <a:r>
            <a:rPr lang="ar-EG" sz="800">
              <a:latin typeface="Traditional Arabic" panose="02020603050405020304" pitchFamily="18" charset="-78"/>
              <a:cs typeface="Traditional Arabic" panose="02020603050405020304" pitchFamily="18" charset="-78"/>
            </a:rPr>
            <a:t>اتصالات الطوارئ في البلدان الأقل نمواً والدول الجزرية الصغيرة</a:t>
          </a:r>
          <a:endParaRPr lang="en-US" sz="8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0.616</cdr:x>
      <cdr:y>0.83289</cdr:y>
    </cdr:from>
    <cdr:to>
      <cdr:x>0.96591</cdr:x>
      <cdr:y>0.91411</cdr:y>
    </cdr:to>
    <cdr:sp macro="" textlink="">
      <cdr:nvSpPr>
        <cdr:cNvPr id="12" name="Text Box 11"/>
        <cdr:cNvSpPr txBox="1"/>
      </cdr:nvSpPr>
      <cdr:spPr>
        <a:xfrm xmlns:a="http://schemas.openxmlformats.org/drawingml/2006/main">
          <a:off x="3115580" y="1824662"/>
          <a:ext cx="1769776" cy="17791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lnSpc>
              <a:spcPct val="50000"/>
            </a:lnSpc>
          </a:pPr>
          <a:r>
            <a:rPr lang="ar-EG" sz="800">
              <a:latin typeface="Traditional Arabic" panose="02020603050405020304" pitchFamily="18" charset="-78"/>
              <a:cs typeface="Traditional Arabic" panose="02020603050405020304" pitchFamily="18" charset="-78"/>
            </a:rPr>
            <a:t>الشمول الرقمي</a:t>
          </a:r>
          <a:endParaRPr lang="en-US" sz="8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0.61436</cdr:x>
      <cdr:y>0.88955</cdr:y>
    </cdr:from>
    <cdr:to>
      <cdr:x>0.98821</cdr:x>
      <cdr:y>0.96888</cdr:y>
    </cdr:to>
    <cdr:sp macro="" textlink="">
      <cdr:nvSpPr>
        <cdr:cNvPr id="14" name="Text Box 13"/>
        <cdr:cNvSpPr txBox="1"/>
      </cdr:nvSpPr>
      <cdr:spPr>
        <a:xfrm xmlns:a="http://schemas.openxmlformats.org/drawingml/2006/main">
          <a:off x="3107304" y="1948789"/>
          <a:ext cx="1890864" cy="17377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lnSpc>
              <a:spcPct val="50000"/>
            </a:lnSpc>
          </a:pPr>
          <a:r>
            <a:rPr lang="ar-EG" sz="800">
              <a:latin typeface="Traditional Arabic" panose="02020603050405020304" pitchFamily="18" charset="-78"/>
              <a:cs typeface="Traditional Arabic" panose="02020603050405020304" pitchFamily="18" charset="-78"/>
            </a:rPr>
            <a:t>إدارة الطيف والإذاعة الرقمية</a:t>
          </a:r>
          <a:endParaRPr lang="en-US" sz="800">
            <a:latin typeface="Traditional Arabic" panose="02020603050405020304" pitchFamily="18" charset="-78"/>
            <a:cs typeface="Traditional Arabic" panose="02020603050405020304" pitchFamily="18"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0.5819</cdr:x>
      <cdr:y>0.3967</cdr:y>
    </cdr:from>
    <cdr:to>
      <cdr:x>0.68381</cdr:x>
      <cdr:y>0.47208</cdr:y>
    </cdr:to>
    <cdr:sp macro="" textlink="">
      <cdr:nvSpPr>
        <cdr:cNvPr id="3" name="Text Box 2"/>
        <cdr:cNvSpPr txBox="1"/>
      </cdr:nvSpPr>
      <cdr:spPr>
        <a:xfrm xmlns:a="http://schemas.openxmlformats.org/drawingml/2006/main">
          <a:off x="2763888" y="827511"/>
          <a:ext cx="484095" cy="157227"/>
        </a:xfrm>
        <a:prstGeom xmlns:a="http://schemas.openxmlformats.org/drawingml/2006/main" prst="rect">
          <a:avLst/>
        </a:prstGeom>
        <a:solidFill xmlns:a="http://schemas.openxmlformats.org/drawingml/2006/main">
          <a:schemeClr val="tx1">
            <a:lumMod val="75000"/>
            <a:lumOff val="25000"/>
          </a:schemeClr>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r">
            <a:lnSpc>
              <a:spcPct val="60000"/>
            </a:lnSpc>
          </a:pPr>
          <a:r>
            <a:rPr lang="en-US" sz="800">
              <a:solidFill>
                <a:schemeClr val="bg1"/>
              </a:solidFill>
            </a:rPr>
            <a:t>%30,7</a:t>
          </a:r>
        </a:p>
      </cdr:txBody>
    </cdr:sp>
  </cdr:relSizeAnchor>
  <cdr:relSizeAnchor xmlns:cdr="http://schemas.openxmlformats.org/drawingml/2006/chartDrawing">
    <cdr:from>
      <cdr:x>0.12108</cdr:x>
      <cdr:y>0.78944</cdr:y>
    </cdr:from>
    <cdr:to>
      <cdr:x>0.21952</cdr:x>
      <cdr:y>0.86878</cdr:y>
    </cdr:to>
    <cdr:sp macro="" textlink="">
      <cdr:nvSpPr>
        <cdr:cNvPr id="4" name="Text Box 3"/>
        <cdr:cNvSpPr txBox="1"/>
      </cdr:nvSpPr>
      <cdr:spPr>
        <a:xfrm xmlns:a="http://schemas.openxmlformats.org/drawingml/2006/main">
          <a:off x="575121" y="1646747"/>
          <a:ext cx="467543" cy="165503"/>
        </a:xfrm>
        <a:prstGeom xmlns:a="http://schemas.openxmlformats.org/drawingml/2006/main" prst="rect">
          <a:avLst/>
        </a:prstGeom>
        <a:solidFill xmlns:a="http://schemas.openxmlformats.org/drawingml/2006/main">
          <a:schemeClr val="tx1">
            <a:lumMod val="75000"/>
            <a:lumOff val="25000"/>
          </a:schemeClr>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r">
            <a:lnSpc>
              <a:spcPct val="80000"/>
            </a:lnSpc>
          </a:pPr>
          <a:r>
            <a:rPr lang="en-US" sz="800">
              <a:solidFill>
                <a:schemeClr val="bg1"/>
              </a:solidFill>
            </a:rPr>
            <a:t>%59,8</a:t>
          </a:r>
        </a:p>
      </cdr:txBody>
    </cdr:sp>
  </cdr:relSizeAnchor>
</c:userShapes>
</file>

<file path=word/drawings/drawing4.xml><?xml version="1.0" encoding="utf-8"?>
<c:userShapes xmlns:c="http://schemas.openxmlformats.org/drawingml/2006/chart">
  <cdr:relSizeAnchor xmlns:cdr="http://schemas.openxmlformats.org/drawingml/2006/chartDrawing">
    <cdr:from>
      <cdr:x>0.07264</cdr:x>
      <cdr:y>0.71416</cdr:y>
    </cdr:from>
    <cdr:to>
      <cdr:x>0.24782</cdr:x>
      <cdr:y>0.77675</cdr:y>
    </cdr:to>
    <cdr:sp macro="" textlink="">
      <cdr:nvSpPr>
        <cdr:cNvPr id="2" name="Text Box 1"/>
        <cdr:cNvSpPr txBox="1"/>
      </cdr:nvSpPr>
      <cdr:spPr>
        <a:xfrm xmlns:a="http://schemas.openxmlformats.org/drawingml/2006/main">
          <a:off x="211016" y="1605371"/>
          <a:ext cx="508919" cy="140677"/>
        </a:xfrm>
        <a:prstGeom xmlns:a="http://schemas.openxmlformats.org/drawingml/2006/main" prst="rect">
          <a:avLst/>
        </a:prstGeom>
        <a:solidFill xmlns:a="http://schemas.openxmlformats.org/drawingml/2006/main">
          <a:srgbClr val="DDDDDD"/>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marL="0" indent="-144000" algn="l" rtl="1">
            <a:lnSpc>
              <a:spcPct val="40000"/>
            </a:lnSpc>
            <a:spcBef>
              <a:spcPts val="500"/>
            </a:spcBef>
          </a:pPr>
          <a:r>
            <a:rPr lang="ar-EG" sz="1100">
              <a:latin typeface="Traditional Arabic" panose="02020603050405020304" pitchFamily="18" charset="-78"/>
              <a:cs typeface="Traditional Arabic" panose="02020603050405020304" pitchFamily="18" charset="-78"/>
            </a:rPr>
            <a:t>الصندوق</a:t>
          </a:r>
          <a:endParaRPr lang="en-US" sz="1100">
            <a:latin typeface="Traditional Arabic" panose="02020603050405020304" pitchFamily="18" charset="-78"/>
            <a:cs typeface="Traditional Arabic" panose="02020603050405020304" pitchFamily="18" charset="-78"/>
          </a:endParaRPr>
        </a:p>
      </cdr:txBody>
    </cdr:sp>
  </cdr:relSizeAnchor>
  <cdr:relSizeAnchor xmlns:cdr="http://schemas.openxmlformats.org/drawingml/2006/chartDrawing">
    <cdr:from>
      <cdr:x>0.07264</cdr:x>
      <cdr:y>0.79515</cdr:y>
    </cdr:from>
    <cdr:to>
      <cdr:x>0.30906</cdr:x>
      <cdr:y>0.86694</cdr:y>
    </cdr:to>
    <cdr:sp macro="" textlink="">
      <cdr:nvSpPr>
        <cdr:cNvPr id="3" name="Text Box 2"/>
        <cdr:cNvSpPr txBox="1"/>
      </cdr:nvSpPr>
      <cdr:spPr>
        <a:xfrm xmlns:a="http://schemas.openxmlformats.org/drawingml/2006/main">
          <a:off x="211017" y="1787427"/>
          <a:ext cx="686834" cy="161364"/>
        </a:xfrm>
        <a:prstGeom xmlns:a="http://schemas.openxmlformats.org/drawingml/2006/main" prst="rect">
          <a:avLst/>
        </a:prstGeom>
        <a:solidFill xmlns:a="http://schemas.openxmlformats.org/drawingml/2006/main">
          <a:srgbClr val="DDDDDD"/>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l">
            <a:lnSpc>
              <a:spcPct val="60000"/>
            </a:lnSpc>
          </a:pPr>
          <a:r>
            <a:rPr lang="ar-EG" sz="1050">
              <a:latin typeface="Calibri" panose="020F0502020204030204" pitchFamily="34" charset="0"/>
              <a:ea typeface="SimSun" panose="02010600030101010101" pitchFamily="2" charset="-122"/>
              <a:cs typeface="Traditional Arabic" panose="02020603050405020304" pitchFamily="18" charset="-78"/>
            </a:rPr>
            <a:t>النقدية</a:t>
          </a:r>
          <a:r>
            <a:rPr lang="ar-EG" sz="1050" baseline="0">
              <a:latin typeface="Calibri" panose="020F0502020204030204" pitchFamily="34" charset="0"/>
              <a:ea typeface="SimSun" panose="02010600030101010101" pitchFamily="2" charset="-122"/>
              <a:cs typeface="Traditional Arabic" panose="02020603050405020304" pitchFamily="18" charset="-78"/>
            </a:rPr>
            <a:t> الأخرى</a:t>
          </a:r>
          <a:endParaRPr lang="en-US" sz="1050">
            <a:latin typeface="Calibri" panose="020F0502020204030204" pitchFamily="34" charset="0"/>
            <a:ea typeface="SimSun" panose="02010600030101010101" pitchFamily="2" charset="-122"/>
            <a:cs typeface="Traditional Arabic" panose="02020603050405020304" pitchFamily="18" charset="-78"/>
          </a:endParaRPr>
        </a:p>
      </cdr:txBody>
    </cdr:sp>
  </cdr:relSizeAnchor>
  <cdr:relSizeAnchor xmlns:cdr="http://schemas.openxmlformats.org/drawingml/2006/chartDrawing">
    <cdr:from>
      <cdr:x>0.07548</cdr:x>
      <cdr:y>0.88534</cdr:y>
    </cdr:from>
    <cdr:to>
      <cdr:x>0.26918</cdr:x>
      <cdr:y>0.96265</cdr:y>
    </cdr:to>
    <cdr:sp macro="" textlink="">
      <cdr:nvSpPr>
        <cdr:cNvPr id="4" name="Text Box 3"/>
        <cdr:cNvSpPr txBox="1"/>
      </cdr:nvSpPr>
      <cdr:spPr>
        <a:xfrm xmlns:a="http://schemas.openxmlformats.org/drawingml/2006/main">
          <a:off x="219291" y="1990165"/>
          <a:ext cx="562708" cy="173777"/>
        </a:xfrm>
        <a:prstGeom xmlns:a="http://schemas.openxmlformats.org/drawingml/2006/main" prst="rect">
          <a:avLst/>
        </a:prstGeom>
        <a:solidFill xmlns:a="http://schemas.openxmlformats.org/drawingml/2006/main">
          <a:srgbClr val="DDDDDD"/>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algn="l">
            <a:lnSpc>
              <a:spcPct val="60000"/>
            </a:lnSpc>
          </a:pPr>
          <a:r>
            <a:rPr lang="ar-EG" sz="1050" baseline="0">
              <a:latin typeface="Calibri" panose="020F0502020204030204" pitchFamily="34" charset="0"/>
              <a:ea typeface="SimSun" panose="02010600030101010101" pitchFamily="2" charset="-122"/>
              <a:cs typeface="Traditional Arabic" panose="02020603050405020304" pitchFamily="18" charset="-78"/>
            </a:rPr>
            <a:t>العينية</a:t>
          </a:r>
          <a:endParaRPr lang="en-US" sz="1050" baseline="0">
            <a:latin typeface="Calibri" panose="020F0502020204030204" pitchFamily="34" charset="0"/>
            <a:ea typeface="SimSun" panose="02010600030101010101" pitchFamily="2" charset="-122"/>
            <a:cs typeface="Traditional Arabic" panose="02020603050405020304" pitchFamily="18"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0.5287</cdr:x>
      <cdr:y>0.21351</cdr:y>
    </cdr:from>
    <cdr:to>
      <cdr:x>0.79733</cdr:x>
      <cdr:y>0.39758</cdr:y>
    </cdr:to>
    <cdr:sp macro="" textlink="">
      <cdr:nvSpPr>
        <cdr:cNvPr id="2" name="Text Box 1"/>
        <cdr:cNvSpPr txBox="1"/>
      </cdr:nvSpPr>
      <cdr:spPr>
        <a:xfrm xmlns:a="http://schemas.openxmlformats.org/drawingml/2006/main">
          <a:off x="1530896" y="479957"/>
          <a:ext cx="777860" cy="4137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0.50298</cdr:x>
      <cdr:y>0.26505</cdr:y>
    </cdr:from>
    <cdr:to>
      <cdr:x>0.85449</cdr:x>
      <cdr:y>0.42703</cdr:y>
    </cdr:to>
    <cdr:sp macro="" textlink="">
      <cdr:nvSpPr>
        <cdr:cNvPr id="3" name="Text Box 2"/>
        <cdr:cNvSpPr txBox="1"/>
      </cdr:nvSpPr>
      <cdr:spPr>
        <a:xfrm xmlns:a="http://schemas.openxmlformats.org/drawingml/2006/main">
          <a:off x="1456420" y="595808"/>
          <a:ext cx="1017840" cy="364105"/>
        </a:xfrm>
        <a:prstGeom xmlns:a="http://schemas.openxmlformats.org/drawingml/2006/main" prst="rect">
          <a:avLst/>
        </a:prstGeom>
        <a:solidFill xmlns:a="http://schemas.openxmlformats.org/drawingml/2006/main">
          <a:schemeClr val="bg1"/>
        </a:solidFill>
        <a:ln xmlns:a="http://schemas.openxmlformats.org/drawingml/2006/main">
          <a:solidFill>
            <a:schemeClr val="bg1">
              <a:lumMod val="75000"/>
            </a:schemeClr>
          </a:solidFill>
        </a:ln>
      </cdr:spPr>
      <cdr:txBody>
        <a:bodyPr xmlns:a="http://schemas.openxmlformats.org/drawingml/2006/main" vertOverflow="clip" wrap="square" rtlCol="0"/>
        <a:lstStyle xmlns:a="http://schemas.openxmlformats.org/drawingml/2006/main"/>
        <a:p xmlns:a="http://schemas.openxmlformats.org/drawingml/2006/main">
          <a:pPr algn="ctr" rtl="1">
            <a:lnSpc>
              <a:spcPct val="60000"/>
            </a:lnSpc>
          </a:pPr>
          <a:r>
            <a:rPr lang="ar-EG" sz="1100" baseline="0">
              <a:latin typeface="Calibri" panose="020F0502020204030204" pitchFamily="34" charset="0"/>
              <a:ea typeface="SimSun" panose="02010600030101010101" pitchFamily="2" charset="-122"/>
              <a:cs typeface="Traditional Arabic" panose="02020603050405020304" pitchFamily="18" charset="-78"/>
            </a:rPr>
            <a:t>مشاريع الصندوق الجارية: </a:t>
          </a:r>
          <a:r>
            <a:rPr lang="en-US" sz="900" baseline="0">
              <a:latin typeface="Calibri" panose="020F0502020204030204" pitchFamily="34" charset="0"/>
              <a:ea typeface="SimSun" panose="02010600030101010101" pitchFamily="2" charset="-122"/>
              <a:cs typeface="Traditional Arabic" panose="02020603050405020304" pitchFamily="18" charset="-78"/>
            </a:rPr>
            <a:t>13</a:t>
          </a:r>
          <a:r>
            <a:rPr lang="ar-EG" sz="1100" baseline="0">
              <a:latin typeface="Calibri" panose="020F0502020204030204" pitchFamily="34" charset="0"/>
              <a:ea typeface="SimSun" panose="02010600030101010101" pitchFamily="2" charset="-122"/>
              <a:cs typeface="Traditional Arabic" panose="02020603050405020304" pitchFamily="18" charset="-78"/>
            </a:rPr>
            <a:t> </a:t>
          </a:r>
          <a:endParaRPr lang="en-US" sz="1100" baseline="0"/>
        </a:p>
      </cdr:txBody>
    </cdr:sp>
  </cdr:relSizeAnchor>
  <cdr:relSizeAnchor xmlns:cdr="http://schemas.openxmlformats.org/drawingml/2006/chartDrawing">
    <cdr:from>
      <cdr:x>0.79447</cdr:x>
      <cdr:y>0.46936</cdr:y>
    </cdr:from>
    <cdr:to>
      <cdr:x>0.99024</cdr:x>
      <cdr:y>0.7565</cdr:y>
    </cdr:to>
    <cdr:sp macro="" textlink="">
      <cdr:nvSpPr>
        <cdr:cNvPr id="7" name="Text Box 6"/>
        <cdr:cNvSpPr txBox="1"/>
      </cdr:nvSpPr>
      <cdr:spPr>
        <a:xfrm xmlns:a="http://schemas.openxmlformats.org/drawingml/2006/main">
          <a:off x="2300481" y="1055077"/>
          <a:ext cx="566846" cy="645459"/>
        </a:xfrm>
        <a:prstGeom xmlns:a="http://schemas.openxmlformats.org/drawingml/2006/main" prst="rect">
          <a:avLst/>
        </a:prstGeom>
        <a:solidFill xmlns:a="http://schemas.openxmlformats.org/drawingml/2006/main">
          <a:schemeClr val="bg1"/>
        </a:solidFill>
        <a:ln xmlns:a="http://schemas.openxmlformats.org/drawingml/2006/main">
          <a:solidFill>
            <a:schemeClr val="bg1">
              <a:lumMod val="75000"/>
            </a:schemeClr>
          </a:solidFill>
        </a:ln>
      </cdr:spPr>
      <cdr:txBody>
        <a:bodyPr xmlns:a="http://schemas.openxmlformats.org/drawingml/2006/main" vertOverflow="clip" wrap="square" rtlCol="0"/>
        <a:lstStyle xmlns:a="http://schemas.openxmlformats.org/drawingml/2006/main"/>
        <a:p xmlns:a="http://schemas.openxmlformats.org/drawingml/2006/main">
          <a:pPr algn="ctr" rtl="1">
            <a:lnSpc>
              <a:spcPct val="60000"/>
            </a:lnSpc>
          </a:pPr>
          <a:r>
            <a:rPr lang="ar-EG" sz="1100" baseline="0">
              <a:effectLst/>
              <a:latin typeface="Calibri" panose="020F0502020204030204" pitchFamily="34" charset="0"/>
              <a:ea typeface="SimSun" panose="02010600030101010101" pitchFamily="2" charset="-122"/>
              <a:cs typeface="Traditional Arabic" panose="02020603050405020304" pitchFamily="18" charset="-78"/>
            </a:rPr>
            <a:t>مشاريع الصندوق الموافق عليها: </a:t>
          </a:r>
          <a:r>
            <a:rPr lang="en-US" sz="900" baseline="0">
              <a:effectLst/>
              <a:latin typeface="Calibri" panose="020F0502020204030204" pitchFamily="34" charset="0"/>
              <a:ea typeface="SimSun" panose="02010600030101010101" pitchFamily="2" charset="-122"/>
              <a:cs typeface="Traditional Arabic" panose="02020603050405020304" pitchFamily="18" charset="-78"/>
            </a:rPr>
            <a:t>4</a:t>
          </a:r>
          <a:endParaRPr lang="en-US" sz="900" baseline="0">
            <a:latin typeface="Calibri" panose="020F0502020204030204" pitchFamily="34" charset="0"/>
            <a:ea typeface="SimSun" panose="02010600030101010101" pitchFamily="2" charset="-122"/>
            <a:cs typeface="Traditional Arabic" panose="02020603050405020304" pitchFamily="18" charset="-78"/>
          </a:endParaRPr>
        </a:p>
      </cdr:txBody>
    </cdr:sp>
  </cdr:relSizeAnchor>
  <cdr:relSizeAnchor xmlns:cdr="http://schemas.openxmlformats.org/drawingml/2006/chartDrawing">
    <cdr:from>
      <cdr:x>0.12574</cdr:x>
      <cdr:y>0.65711</cdr:y>
    </cdr:from>
    <cdr:to>
      <cdr:x>0.46011</cdr:x>
      <cdr:y>0.82828</cdr:y>
    </cdr:to>
    <cdr:sp macro="" textlink="">
      <cdr:nvSpPr>
        <cdr:cNvPr id="8" name="Text Box 7"/>
        <cdr:cNvSpPr txBox="1"/>
      </cdr:nvSpPr>
      <cdr:spPr>
        <a:xfrm xmlns:a="http://schemas.openxmlformats.org/drawingml/2006/main">
          <a:off x="364105" y="1477108"/>
          <a:ext cx="968189" cy="384793"/>
        </a:xfrm>
        <a:prstGeom xmlns:a="http://schemas.openxmlformats.org/drawingml/2006/main" prst="rect">
          <a:avLst/>
        </a:prstGeom>
        <a:solidFill xmlns:a="http://schemas.openxmlformats.org/drawingml/2006/main">
          <a:schemeClr val="bg1"/>
        </a:solidFill>
        <a:ln xmlns:a="http://schemas.openxmlformats.org/drawingml/2006/main">
          <a:solidFill>
            <a:schemeClr val="bg1">
              <a:lumMod val="75000"/>
            </a:schemeClr>
          </a:solidFill>
        </a:ln>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1" eaLnBrk="1" fontAlgn="auto" latinLnBrk="0" hangingPunct="1">
            <a:lnSpc>
              <a:spcPct val="60000"/>
            </a:lnSpc>
            <a:spcBef>
              <a:spcPts val="0"/>
            </a:spcBef>
            <a:spcAft>
              <a:spcPts val="0"/>
            </a:spcAft>
            <a:buClrTx/>
            <a:buSzTx/>
            <a:buFontTx/>
            <a:buNone/>
            <a:tabLst/>
            <a:defRPr/>
          </a:pPr>
          <a:r>
            <a:rPr lang="ar-EG" baseline="0">
              <a:latin typeface="Calibri" panose="020F0502020204030204" pitchFamily="34" charset="0"/>
              <a:ea typeface="SimSun" panose="02010600030101010101" pitchFamily="2" charset="-122"/>
              <a:cs typeface="Traditional Arabic" panose="02020603050405020304" pitchFamily="18" charset="-78"/>
            </a:rPr>
            <a:t>سائر المشاريع</a:t>
          </a:r>
          <a:br>
            <a:rPr lang="ar-EG" baseline="0">
              <a:latin typeface="Calibri" panose="020F0502020204030204" pitchFamily="34" charset="0"/>
              <a:ea typeface="SimSun" panose="02010600030101010101" pitchFamily="2" charset="-122"/>
              <a:cs typeface="Traditional Arabic" panose="02020603050405020304" pitchFamily="18" charset="-78"/>
            </a:rPr>
          </a:br>
          <a:r>
            <a:rPr lang="ar-EG" baseline="0">
              <a:latin typeface="Calibri" panose="020F0502020204030204" pitchFamily="34" charset="0"/>
              <a:ea typeface="SimSun" panose="02010600030101010101" pitchFamily="2" charset="-122"/>
              <a:cs typeface="Traditional Arabic" panose="02020603050405020304" pitchFamily="18" charset="-78"/>
            </a:rPr>
            <a:t>الجارية: </a:t>
          </a:r>
          <a:r>
            <a:rPr lang="en-US" sz="900" baseline="0">
              <a:latin typeface="Calibri" panose="020F0502020204030204" pitchFamily="34" charset="0"/>
              <a:ea typeface="SimSun" panose="02010600030101010101" pitchFamily="2" charset="-122"/>
              <a:cs typeface="Traditional Arabic" panose="02020603050405020304" pitchFamily="18" charset="-78"/>
            </a:rPr>
            <a:t>42</a:t>
          </a:r>
          <a:endParaRPr lang="ar-EG" sz="900" baseline="0">
            <a:latin typeface="Calibri" panose="020F0502020204030204" pitchFamily="34" charset="0"/>
            <a:ea typeface="SimSun" panose="02010600030101010101" pitchFamily="2" charset="-122"/>
            <a:cs typeface="Traditional Arabic" panose="02020603050405020304" pitchFamily="18" charset="-78"/>
          </a:endParaRPr>
        </a:p>
        <a:p xmlns:a="http://schemas.openxmlformats.org/drawingml/2006/main">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0.78348</cdr:x>
      <cdr:y>0.61832</cdr:y>
    </cdr:from>
    <cdr:to>
      <cdr:x>0.95092</cdr:x>
      <cdr:y>0.71616</cdr:y>
    </cdr:to>
    <cdr:sp macro="" textlink="">
      <cdr:nvSpPr>
        <cdr:cNvPr id="2" name="Text Box 1"/>
        <cdr:cNvSpPr txBox="1"/>
      </cdr:nvSpPr>
      <cdr:spPr>
        <a:xfrm xmlns:a="http://schemas.openxmlformats.org/drawingml/2006/main">
          <a:off x="4104456" y="1307468"/>
          <a:ext cx="877162" cy="206878"/>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rtl="1">
            <a:lnSpc>
              <a:spcPct val="60000"/>
            </a:lnSpc>
          </a:pPr>
          <a:r>
            <a:rPr lang="ar-EG" sz="1100" b="1">
              <a:latin typeface="Traditional Arabic" panose="02020603050405020304" pitchFamily="18" charset="-78"/>
              <a:cs typeface="Traditional Arabic" panose="02020603050405020304" pitchFamily="18" charset="-78"/>
            </a:rPr>
            <a:t>حوالي</a:t>
          </a:r>
          <a:r>
            <a:rPr lang="ar-EG" sz="1100"/>
            <a:t> </a:t>
          </a:r>
          <a:r>
            <a:rPr lang="en-US" sz="900" b="1"/>
            <a:t>1,69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de10a323-94a9-4e93-88b4-ea964576960d"/>
    <ds:schemaRef ds:uri="996b2e75-67fd-4955-a3b0-5ab9934cb50b"/>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4D680-FE98-4EC2-9DA6-2DEC4FC0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6889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2017</dc:subject>
  <dc:creator>Gergis, Mina</dc:creator>
  <cp:keywords>C2017, C17</cp:keywords>
  <dc:description/>
  <cp:lastModifiedBy>Brouard, Ricarda</cp:lastModifiedBy>
  <cp:revision>2</cp:revision>
  <cp:lastPrinted>2016-06-07T13:25:00Z</cp:lastPrinted>
  <dcterms:created xsi:type="dcterms:W3CDTF">2017-04-25T15:39:00Z</dcterms:created>
  <dcterms:modified xsi:type="dcterms:W3CDTF">2017-04-25T15:39:00Z</dcterms:modified>
  <cp:category>Conference document</cp:category>
</cp:coreProperties>
</file>