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9B46A9" w:rsidRPr="00A83750">
        <w:trPr>
          <w:cantSplit/>
        </w:trPr>
        <w:tc>
          <w:tcPr>
            <w:tcW w:w="6912" w:type="dxa"/>
          </w:tcPr>
          <w:p w:rsidR="009B46A9" w:rsidRDefault="009B46A9" w:rsidP="009B46A9">
            <w:pPr>
              <w:spacing w:before="360"/>
              <w:rPr>
                <w:b/>
                <w:bCs/>
                <w:szCs w:val="24"/>
              </w:rPr>
            </w:pPr>
            <w:bookmarkStart w:id="0" w:name="dc06"/>
            <w:bookmarkStart w:id="1" w:name="_GoBack"/>
            <w:bookmarkEnd w:id="0"/>
            <w:bookmarkEnd w:id="1"/>
            <w:r w:rsidRPr="00A83750">
              <w:rPr>
                <w:b/>
                <w:bCs/>
                <w:sz w:val="30"/>
                <w:szCs w:val="30"/>
              </w:rPr>
              <w:t>Conseil 2017</w:t>
            </w:r>
            <w:r w:rsidRPr="00A83750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Pr="00A83750">
              <w:rPr>
                <w:b/>
                <w:bCs/>
                <w:szCs w:val="24"/>
              </w:rPr>
              <w:t>Genève, 15-25 mai 2017</w:t>
            </w:r>
          </w:p>
          <w:p w:rsidR="00F17C10" w:rsidRPr="00A83750" w:rsidRDefault="00F17C10" w:rsidP="009B46A9">
            <w:pPr>
              <w:spacing w:before="360"/>
            </w:pPr>
            <w:r w:rsidRPr="00413A9C">
              <w:rPr>
                <w:b/>
                <w:smallCaps/>
                <w:szCs w:val="24"/>
              </w:rPr>
              <w:t>UNION</w:t>
            </w:r>
            <w:r w:rsidR="00B175E7" w:rsidRPr="00413A9C">
              <w:rPr>
                <w:b/>
                <w:smallCaps/>
                <w:szCs w:val="24"/>
              </w:rPr>
              <w:t xml:space="preserve"> </w:t>
            </w:r>
            <w:r w:rsidR="00B175E7">
              <w:rPr>
                <w:b/>
                <w:smallCaps/>
                <w:szCs w:val="24"/>
              </w:rPr>
              <w:t xml:space="preserve">INTERNATIONALE DES </w:t>
            </w:r>
            <w:r w:rsidR="00B175E7" w:rsidRPr="00413A9C">
              <w:rPr>
                <w:b/>
                <w:smallCaps/>
                <w:szCs w:val="24"/>
              </w:rPr>
              <w:t>TELECOMMUNICATION</w:t>
            </w:r>
            <w:r w:rsidR="00B175E7">
              <w:rPr>
                <w:b/>
                <w:smallCaps/>
                <w:szCs w:val="24"/>
              </w:rPr>
              <w:t>S</w:t>
            </w:r>
          </w:p>
        </w:tc>
        <w:tc>
          <w:tcPr>
            <w:tcW w:w="3261" w:type="dxa"/>
          </w:tcPr>
          <w:p w:rsidR="009B46A9" w:rsidRPr="00A83750" w:rsidRDefault="009B46A9" w:rsidP="009B46A9">
            <w:pPr>
              <w:spacing w:before="0"/>
              <w:jc w:val="right"/>
            </w:pPr>
            <w:bookmarkStart w:id="2" w:name="ditulogo"/>
            <w:bookmarkEnd w:id="2"/>
            <w:r w:rsidRPr="00A83750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6A9" w:rsidRPr="00A83750" w:rsidTr="00B4000F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9B46A9" w:rsidRPr="00A83750" w:rsidRDefault="009B46A9" w:rsidP="004C37A9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9B46A9" w:rsidRPr="00A83750" w:rsidRDefault="009B46A9" w:rsidP="00DF74DD">
            <w:pPr>
              <w:spacing w:before="0"/>
              <w:rPr>
                <w:b/>
                <w:bCs/>
              </w:rPr>
            </w:pPr>
          </w:p>
        </w:tc>
      </w:tr>
      <w:tr w:rsidR="009B46A9" w:rsidRPr="00A8375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9B46A9" w:rsidRPr="00A83750" w:rsidRDefault="009B46A9" w:rsidP="00DF74DD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9B46A9" w:rsidRPr="00A83750" w:rsidRDefault="009B46A9" w:rsidP="00DF74DD">
            <w:pPr>
              <w:spacing w:before="0"/>
              <w:rPr>
                <w:b/>
                <w:bCs/>
              </w:rPr>
            </w:pPr>
          </w:p>
        </w:tc>
      </w:tr>
      <w:tr w:rsidR="009B46A9" w:rsidRPr="00A83750">
        <w:trPr>
          <w:cantSplit/>
          <w:trHeight w:val="20"/>
        </w:trPr>
        <w:tc>
          <w:tcPr>
            <w:tcW w:w="6912" w:type="dxa"/>
            <w:vMerge w:val="restart"/>
          </w:tcPr>
          <w:p w:rsidR="009B46A9" w:rsidRPr="00A83750" w:rsidRDefault="006E35CE" w:rsidP="00B61983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3" w:name="dnum" w:colFirst="1" w:colLast="1"/>
            <w:bookmarkStart w:id="4" w:name="dmeeting" w:colFirst="0" w:colLast="0"/>
            <w:r>
              <w:rPr>
                <w:rFonts w:cs="Times"/>
                <w:b/>
                <w:bCs/>
                <w:szCs w:val="24"/>
              </w:rPr>
              <w:t xml:space="preserve">Point de l'ordre du jour: </w:t>
            </w:r>
            <w:r w:rsidR="00B61983">
              <w:rPr>
                <w:rFonts w:cs="Times"/>
                <w:b/>
                <w:bCs/>
                <w:szCs w:val="24"/>
              </w:rPr>
              <w:t>PL 1.16</w:t>
            </w:r>
          </w:p>
        </w:tc>
        <w:tc>
          <w:tcPr>
            <w:tcW w:w="3261" w:type="dxa"/>
          </w:tcPr>
          <w:p w:rsidR="009B46A9" w:rsidRPr="00A83750" w:rsidRDefault="009B46A9" w:rsidP="00B61983">
            <w:pPr>
              <w:spacing w:before="0"/>
              <w:rPr>
                <w:b/>
                <w:bCs/>
              </w:rPr>
            </w:pPr>
            <w:r w:rsidRPr="00A83750">
              <w:rPr>
                <w:b/>
                <w:bCs/>
              </w:rPr>
              <w:t>Document C17/</w:t>
            </w:r>
            <w:r w:rsidR="00B61983">
              <w:rPr>
                <w:b/>
                <w:bCs/>
              </w:rPr>
              <w:t>32</w:t>
            </w:r>
            <w:r w:rsidRPr="00A83750">
              <w:rPr>
                <w:b/>
                <w:bCs/>
              </w:rPr>
              <w:t>-F</w:t>
            </w:r>
          </w:p>
        </w:tc>
      </w:tr>
      <w:tr w:rsidR="009B46A9" w:rsidRPr="00A83750">
        <w:trPr>
          <w:cantSplit/>
          <w:trHeight w:val="20"/>
        </w:trPr>
        <w:tc>
          <w:tcPr>
            <w:tcW w:w="6912" w:type="dxa"/>
            <w:vMerge/>
          </w:tcPr>
          <w:p w:rsidR="009B46A9" w:rsidRPr="00A83750" w:rsidRDefault="009B46A9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9B46A9" w:rsidRPr="00A83750" w:rsidRDefault="0038261A" w:rsidP="009D274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B61983">
              <w:rPr>
                <w:b/>
                <w:bCs/>
              </w:rPr>
              <w:t xml:space="preserve"> mars</w:t>
            </w:r>
            <w:r w:rsidR="009B46A9" w:rsidRPr="00A83750">
              <w:rPr>
                <w:b/>
                <w:bCs/>
              </w:rPr>
              <w:t xml:space="preserve"> 2017</w:t>
            </w:r>
          </w:p>
        </w:tc>
      </w:tr>
      <w:tr w:rsidR="009B46A9" w:rsidRPr="00A83750">
        <w:trPr>
          <w:cantSplit/>
          <w:trHeight w:val="20"/>
        </w:trPr>
        <w:tc>
          <w:tcPr>
            <w:tcW w:w="6912" w:type="dxa"/>
            <w:vMerge/>
          </w:tcPr>
          <w:p w:rsidR="009B46A9" w:rsidRPr="00A83750" w:rsidRDefault="009B46A9" w:rsidP="00DF74DD">
            <w:pPr>
              <w:shd w:val="solid" w:color="FFFFFF" w:fill="FFFFFF"/>
              <w:spacing w:before="180"/>
              <w:rPr>
                <w:smallCaps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9B46A9" w:rsidRPr="00A83750" w:rsidRDefault="009B46A9" w:rsidP="009B46A9">
            <w:pPr>
              <w:spacing w:before="0"/>
              <w:rPr>
                <w:b/>
                <w:bCs/>
              </w:rPr>
            </w:pPr>
            <w:r w:rsidRPr="00A83750">
              <w:rPr>
                <w:b/>
                <w:bCs/>
              </w:rPr>
              <w:t>Original: anglais</w:t>
            </w:r>
          </w:p>
        </w:tc>
      </w:tr>
      <w:tr w:rsidR="00814F49" w:rsidRPr="0092392D" w:rsidTr="00745A28">
        <w:trPr>
          <w:cantSplit/>
        </w:trPr>
        <w:tc>
          <w:tcPr>
            <w:tcW w:w="10173" w:type="dxa"/>
            <w:gridSpan w:val="2"/>
          </w:tcPr>
          <w:p w:rsidR="00814F49" w:rsidRPr="0092392D" w:rsidRDefault="00814F49" w:rsidP="00814F49">
            <w:pPr>
              <w:pStyle w:val="Source"/>
            </w:pPr>
            <w:bookmarkStart w:id="7" w:name="dsource" w:colFirst="0" w:colLast="0"/>
            <w:bookmarkEnd w:id="6"/>
            <w:r w:rsidRPr="00EA21C5">
              <w:t>Rapport du Secrétaire général</w:t>
            </w:r>
          </w:p>
        </w:tc>
      </w:tr>
      <w:tr w:rsidR="00814F49" w:rsidRPr="0092392D" w:rsidTr="00745A28">
        <w:trPr>
          <w:cantSplit/>
        </w:trPr>
        <w:tc>
          <w:tcPr>
            <w:tcW w:w="10173" w:type="dxa"/>
            <w:gridSpan w:val="2"/>
          </w:tcPr>
          <w:p w:rsidR="00814F49" w:rsidRPr="00EA21C5" w:rsidRDefault="00814F49" w:rsidP="00814F49">
            <w:pPr>
              <w:spacing w:before="240"/>
              <w:jc w:val="center"/>
              <w:rPr>
                <w:caps/>
                <w:sz w:val="28"/>
                <w:szCs w:val="28"/>
              </w:rPr>
            </w:pPr>
            <w:bookmarkStart w:id="8" w:name="dtitle1" w:colFirst="0" w:colLast="0"/>
            <w:bookmarkEnd w:id="7"/>
            <w:r w:rsidRPr="00EA21C5">
              <w:rPr>
                <w:rFonts w:cstheme="minorHAnsi"/>
                <w:caps/>
                <w:sz w:val="28"/>
                <w:szCs w:val="28"/>
              </w:rPr>
              <w:t>PROJETS DE PLAN OPÉRATIONNEL QUADRIENNAL GLISSANT DE L</w:t>
            </w:r>
            <w:r>
              <w:rPr>
                <w:rFonts w:cstheme="minorHAnsi"/>
                <w:caps/>
                <w:sz w:val="28"/>
                <w:szCs w:val="28"/>
              </w:rPr>
              <w:t>'UIT-R, DE L'UIT-T, de </w:t>
            </w:r>
            <w:r w:rsidRPr="00EA21C5">
              <w:rPr>
                <w:rFonts w:cstheme="minorHAnsi"/>
                <w:caps/>
                <w:sz w:val="28"/>
                <w:szCs w:val="28"/>
              </w:rPr>
              <w:t>l</w:t>
            </w:r>
            <w:r>
              <w:rPr>
                <w:rFonts w:cstheme="minorHAnsi"/>
                <w:caps/>
                <w:sz w:val="28"/>
                <w:szCs w:val="28"/>
              </w:rPr>
              <w:t>'</w:t>
            </w:r>
            <w:r w:rsidRPr="00EA21C5">
              <w:rPr>
                <w:rFonts w:cstheme="minorHAnsi"/>
                <w:caps/>
                <w:sz w:val="28"/>
                <w:szCs w:val="28"/>
              </w:rPr>
              <w:t xml:space="preserve">UIT-D ET DU SECRÉTARIAT GÉNÉRAL POUR LA PÉRIODE </w:t>
            </w:r>
            <w:r w:rsidR="00B61983">
              <w:rPr>
                <w:rFonts w:cstheme="minorHAnsi"/>
                <w:caps/>
                <w:sz w:val="28"/>
                <w:szCs w:val="28"/>
              </w:rPr>
              <w:t>2018-2021</w:t>
            </w:r>
          </w:p>
        </w:tc>
      </w:tr>
      <w:bookmarkEnd w:id="8"/>
    </w:tbl>
    <w:p w:rsidR="00814F49" w:rsidRPr="0092392D" w:rsidRDefault="00814F49" w:rsidP="00814F49">
      <w:pPr>
        <w:rPr>
          <w:lang w:val="fr-CH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814F49" w:rsidRPr="0092392D" w:rsidTr="00B241BA">
        <w:trPr>
          <w:trHeight w:val="3372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F49" w:rsidRPr="0092392D" w:rsidRDefault="00814F49" w:rsidP="00814F49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814F49" w:rsidRPr="00EA21C5" w:rsidRDefault="00814F49" w:rsidP="00814F49">
            <w:pPr>
              <w:rPr>
                <w:rFonts w:cstheme="minorHAnsi"/>
                <w:szCs w:val="24"/>
              </w:rPr>
            </w:pPr>
            <w:r w:rsidRPr="00EA21C5">
              <w:t>Les projets de Plan opérationnel quadriennal glissant de l</w:t>
            </w:r>
            <w:r>
              <w:t>'</w:t>
            </w:r>
            <w:r w:rsidRPr="00EA21C5">
              <w:t>UIT-R, de l</w:t>
            </w:r>
            <w:r>
              <w:t>'UIT-T, de </w:t>
            </w:r>
            <w:r w:rsidRPr="00EA21C5">
              <w:t>l</w:t>
            </w:r>
            <w:r>
              <w:t>'</w:t>
            </w:r>
            <w:r w:rsidRPr="00EA21C5">
              <w:t xml:space="preserve">UIT-D et du Secrétariat général pour la période </w:t>
            </w:r>
            <w:r w:rsidR="00B61983">
              <w:rPr>
                <w:rFonts w:cstheme="minorHAnsi"/>
                <w:szCs w:val="24"/>
              </w:rPr>
              <w:t>2018-2021</w:t>
            </w:r>
            <w:r w:rsidRPr="00EA21C5">
              <w:rPr>
                <w:rFonts w:cstheme="minorHAnsi"/>
                <w:szCs w:val="24"/>
              </w:rPr>
              <w:t xml:space="preserve"> sont présentés dans les documents suivants:</w:t>
            </w:r>
          </w:p>
          <w:p w:rsidR="00814F49" w:rsidRPr="00EA21C5" w:rsidRDefault="00814F49" w:rsidP="00814F49">
            <w:pPr>
              <w:pStyle w:val="enumlev1"/>
              <w:rPr>
                <w:rFonts w:cstheme="minorHAnsi"/>
                <w:szCs w:val="24"/>
              </w:rPr>
            </w:pPr>
            <w:r>
              <w:t>–</w:t>
            </w:r>
            <w:r>
              <w:tab/>
            </w:r>
            <w:r w:rsidRPr="00EA21C5">
              <w:t>Projet de Plan opérationnel quadriennal glissant de l</w:t>
            </w:r>
            <w:r>
              <w:t>'</w:t>
            </w:r>
            <w:r w:rsidRPr="00EA21C5">
              <w:t>UIT-R:</w:t>
            </w:r>
            <w:r w:rsidRPr="00EA21C5">
              <w:rPr>
                <w:rFonts w:cstheme="minorHAnsi"/>
                <w:szCs w:val="24"/>
              </w:rPr>
              <w:t xml:space="preserve"> </w:t>
            </w:r>
            <w:hyperlink r:id="rId9" w:history="1"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Document</w:t>
              </w:r>
              <w:r>
                <w:rPr>
                  <w:rStyle w:val="Hyperlink"/>
                  <w:rFonts w:cstheme="minorHAnsi"/>
                  <w:b/>
                  <w:bCs/>
                  <w:szCs w:val="24"/>
                </w:rPr>
                <w:t> </w:t>
              </w:r>
              <w:r w:rsidR="00D24D8E">
                <w:rPr>
                  <w:rStyle w:val="Hyperlink"/>
                  <w:rFonts w:cstheme="minorHAnsi"/>
                  <w:b/>
                  <w:bCs/>
                  <w:szCs w:val="24"/>
                </w:rPr>
                <w:t>C17</w:t>
              </w:r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/28</w:t>
              </w:r>
            </w:hyperlink>
            <w:r w:rsidRPr="00EA21C5">
              <w:rPr>
                <w:rFonts w:cstheme="minorHAnsi"/>
                <w:szCs w:val="24"/>
              </w:rPr>
              <w:t>;</w:t>
            </w:r>
          </w:p>
          <w:p w:rsidR="00814F49" w:rsidRPr="00EA21C5" w:rsidRDefault="00814F49" w:rsidP="00814F49">
            <w:pPr>
              <w:pStyle w:val="enumlev1"/>
              <w:rPr>
                <w:rFonts w:cstheme="minorHAnsi"/>
                <w:szCs w:val="24"/>
              </w:rPr>
            </w:pPr>
            <w:r>
              <w:t>–</w:t>
            </w:r>
            <w:r>
              <w:tab/>
            </w:r>
            <w:r w:rsidRPr="00EA21C5">
              <w:t>Projet de Plan opérationnel quadriennal glissant de l</w:t>
            </w:r>
            <w:r>
              <w:t>'</w:t>
            </w:r>
            <w:r w:rsidRPr="00EA21C5">
              <w:t>UIT-T:</w:t>
            </w:r>
            <w:r w:rsidRPr="00EA21C5">
              <w:rPr>
                <w:rFonts w:cstheme="minorHAnsi"/>
                <w:szCs w:val="24"/>
              </w:rPr>
              <w:t xml:space="preserve"> </w:t>
            </w:r>
            <w:hyperlink r:id="rId10" w:history="1"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Document</w:t>
              </w:r>
              <w:r>
                <w:rPr>
                  <w:rStyle w:val="Hyperlink"/>
                  <w:rFonts w:cstheme="minorHAnsi"/>
                  <w:b/>
                  <w:bCs/>
                  <w:szCs w:val="24"/>
                </w:rPr>
                <w:t> </w:t>
              </w:r>
              <w:r w:rsidR="00D24D8E">
                <w:rPr>
                  <w:rStyle w:val="Hyperlink"/>
                  <w:rFonts w:cstheme="minorHAnsi"/>
                  <w:b/>
                  <w:bCs/>
                  <w:szCs w:val="24"/>
                </w:rPr>
                <w:t>C17</w:t>
              </w:r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/29</w:t>
              </w:r>
            </w:hyperlink>
            <w:r w:rsidRPr="00EA21C5">
              <w:rPr>
                <w:rFonts w:cstheme="minorHAnsi"/>
                <w:szCs w:val="24"/>
              </w:rPr>
              <w:t>;</w:t>
            </w:r>
          </w:p>
          <w:p w:rsidR="00814F49" w:rsidRPr="00EA21C5" w:rsidRDefault="00814F49" w:rsidP="00814F49">
            <w:pPr>
              <w:pStyle w:val="enumlev1"/>
              <w:rPr>
                <w:rFonts w:cstheme="minorHAnsi"/>
                <w:szCs w:val="24"/>
              </w:rPr>
            </w:pPr>
            <w:r>
              <w:t>–</w:t>
            </w:r>
            <w:r>
              <w:tab/>
            </w:r>
            <w:r w:rsidRPr="00EA21C5">
              <w:t>Projet de Plan opérationnel quadriennal glissant de l</w:t>
            </w:r>
            <w:r>
              <w:t>'</w:t>
            </w:r>
            <w:r w:rsidRPr="00EA21C5">
              <w:t>UIT-D:</w:t>
            </w:r>
            <w:r w:rsidRPr="00EA21C5">
              <w:rPr>
                <w:rFonts w:cstheme="minorHAnsi"/>
                <w:szCs w:val="24"/>
              </w:rPr>
              <w:t xml:space="preserve"> </w:t>
            </w:r>
            <w:hyperlink r:id="rId11" w:history="1"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Document</w:t>
              </w:r>
              <w:r>
                <w:rPr>
                  <w:rStyle w:val="Hyperlink"/>
                  <w:rFonts w:cstheme="minorHAnsi"/>
                  <w:b/>
                  <w:bCs/>
                  <w:szCs w:val="24"/>
                </w:rPr>
                <w:t> </w:t>
              </w:r>
              <w:r w:rsidR="00D24D8E">
                <w:rPr>
                  <w:rStyle w:val="Hyperlink"/>
                  <w:rFonts w:cstheme="minorHAnsi"/>
                  <w:b/>
                  <w:bCs/>
                  <w:szCs w:val="24"/>
                </w:rPr>
                <w:t>C17</w:t>
              </w:r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/30</w:t>
              </w:r>
            </w:hyperlink>
            <w:r w:rsidRPr="00EA21C5">
              <w:rPr>
                <w:rFonts w:cstheme="minorHAnsi"/>
                <w:szCs w:val="24"/>
              </w:rPr>
              <w:t>;</w:t>
            </w:r>
          </w:p>
          <w:p w:rsidR="00814F49" w:rsidRPr="0092392D" w:rsidRDefault="00814F49" w:rsidP="00814F49">
            <w:pPr>
              <w:pStyle w:val="enumlev1"/>
              <w:rPr>
                <w:lang w:val="fr-CH"/>
              </w:rPr>
            </w:pPr>
            <w:r>
              <w:t>–</w:t>
            </w:r>
            <w:r>
              <w:tab/>
            </w:r>
            <w:r w:rsidRPr="00EA21C5">
              <w:t>Projet de Plan opérationnel quadriennal glissant du Secrétariat général:</w:t>
            </w:r>
            <w:r w:rsidRPr="00EA21C5">
              <w:rPr>
                <w:rFonts w:cstheme="minorHAnsi"/>
                <w:szCs w:val="24"/>
              </w:rPr>
              <w:t xml:space="preserve"> </w:t>
            </w:r>
            <w:hyperlink r:id="rId12" w:history="1"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Document </w:t>
              </w:r>
              <w:r w:rsidR="00D24D8E">
                <w:rPr>
                  <w:rStyle w:val="Hyperlink"/>
                  <w:rFonts w:cstheme="minorHAnsi"/>
                  <w:b/>
                  <w:bCs/>
                  <w:szCs w:val="24"/>
                </w:rPr>
                <w:t>C17</w:t>
              </w:r>
              <w:r w:rsidRPr="00EA21C5">
                <w:rPr>
                  <w:rStyle w:val="Hyperlink"/>
                  <w:rFonts w:cstheme="minorHAnsi"/>
                  <w:b/>
                  <w:bCs/>
                  <w:szCs w:val="24"/>
                </w:rPr>
                <w:t>/31</w:t>
              </w:r>
            </w:hyperlink>
            <w:r w:rsidRPr="00EA21C5">
              <w:rPr>
                <w:rFonts w:cstheme="minorHAnsi"/>
                <w:szCs w:val="24"/>
              </w:rPr>
              <w:t>;</w:t>
            </w:r>
          </w:p>
          <w:p w:rsidR="00814F49" w:rsidRPr="0092392D" w:rsidRDefault="00814F49" w:rsidP="00814F49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814F49" w:rsidRPr="0092392D" w:rsidRDefault="00814F49" w:rsidP="00814F49">
            <w:pPr>
              <w:rPr>
                <w:lang w:val="fr-CH"/>
              </w:rPr>
            </w:pPr>
            <w:r w:rsidRPr="00EA21C5">
              <w:t xml:space="preserve">Le Conseil est invité à </w:t>
            </w:r>
            <w:r w:rsidRPr="00EA21C5">
              <w:rPr>
                <w:b/>
                <w:bCs/>
              </w:rPr>
              <w:t>examiner</w:t>
            </w:r>
            <w:r w:rsidRPr="00EA21C5">
              <w:t xml:space="preserve"> et à </w:t>
            </w:r>
            <w:r w:rsidRPr="00EA21C5">
              <w:rPr>
                <w:b/>
                <w:bCs/>
              </w:rPr>
              <w:t>approuver</w:t>
            </w:r>
            <w:r w:rsidRPr="00EA21C5">
              <w:t xml:space="preserve"> les projets de Plan opérationnel quadriennal glissant de l</w:t>
            </w:r>
            <w:r>
              <w:t>'</w:t>
            </w:r>
            <w:r w:rsidRPr="00EA21C5">
              <w:t>UIT-R, de l</w:t>
            </w:r>
            <w:r>
              <w:t>'</w:t>
            </w:r>
            <w:r w:rsidRPr="00EA21C5">
              <w:t>UIT-T, de l</w:t>
            </w:r>
            <w:r>
              <w:t>'</w:t>
            </w:r>
            <w:r w:rsidRPr="00EA21C5">
              <w:t xml:space="preserve">UIT-D et du Secrétariat général pour la période </w:t>
            </w:r>
            <w:r w:rsidR="00B61983">
              <w:rPr>
                <w:rFonts w:cstheme="minorHAnsi"/>
                <w:szCs w:val="24"/>
              </w:rPr>
              <w:t>2018-2021</w:t>
            </w:r>
            <w:r w:rsidRPr="00EA21C5">
              <w:rPr>
                <w:rFonts w:cstheme="minorHAnsi"/>
                <w:szCs w:val="24"/>
              </w:rPr>
              <w:t xml:space="preserve"> </w:t>
            </w:r>
            <w:r w:rsidRPr="00EA21C5">
              <w:t xml:space="preserve">et à </w:t>
            </w:r>
            <w:r w:rsidRPr="00EA21C5">
              <w:rPr>
                <w:b/>
                <w:bCs/>
              </w:rPr>
              <w:t>adopter</w:t>
            </w:r>
            <w:r w:rsidRPr="00EA21C5">
              <w:t xml:space="preserve"> le projet de Résolution figurant dans le présent document.</w:t>
            </w:r>
          </w:p>
          <w:p w:rsidR="00814F49" w:rsidRPr="0092392D" w:rsidRDefault="00814F49" w:rsidP="00814F49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814F49" w:rsidRPr="0092392D" w:rsidRDefault="00814F49" w:rsidP="00814F49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814F49" w:rsidRPr="0092392D" w:rsidRDefault="00BD79F1" w:rsidP="00814F49">
            <w:pPr>
              <w:spacing w:after="120"/>
              <w:rPr>
                <w:i/>
                <w:iCs/>
                <w:lang w:val="fr-CH"/>
              </w:rPr>
            </w:pPr>
            <w:hyperlink r:id="rId13" w:history="1"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Ar</w:t>
              </w:r>
              <w:r w:rsidR="00814F49">
                <w:rPr>
                  <w:rStyle w:val="Hyperlink"/>
                  <w:rFonts w:cstheme="minorHAnsi"/>
                  <w:i/>
                  <w:iCs/>
                  <w:szCs w:val="24"/>
                </w:rPr>
                <w:t>t</w:t>
              </w:r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icles 5, 11A, 12, 14A, 15 et 18</w:t>
              </w:r>
            </w:hyperlink>
            <w:r w:rsidR="00814F49" w:rsidRPr="00B241BA">
              <w:rPr>
                <w:rStyle w:val="Hyperlink"/>
                <w:rFonts w:cstheme="minorHAnsi"/>
                <w:i/>
                <w:iCs/>
                <w:color w:val="auto"/>
                <w:szCs w:val="24"/>
                <w:u w:val="none"/>
              </w:rPr>
              <w:t xml:space="preserve"> de la Convention</w:t>
            </w:r>
            <w:r w:rsidR="00814F49" w:rsidRPr="007B32F0">
              <w:t>;</w:t>
            </w:r>
            <w:r w:rsidR="00814F49" w:rsidRPr="00EA21C5">
              <w:rPr>
                <w:rFonts w:cstheme="minorHAnsi"/>
                <w:i/>
                <w:iCs/>
                <w:szCs w:val="24"/>
              </w:rPr>
              <w:br/>
            </w:r>
            <w:hyperlink r:id="rId14" w:history="1"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Résolution 71 (</w:t>
              </w:r>
              <w:proofErr w:type="spellStart"/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Rév</w:t>
              </w:r>
              <w:proofErr w:type="spellEnd"/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. Busan, 2014)</w:t>
              </w:r>
            </w:hyperlink>
            <w:r w:rsidR="00814F49" w:rsidRPr="00EA21C5">
              <w:rPr>
                <w:i/>
                <w:iCs/>
              </w:rPr>
              <w:t xml:space="preserve"> de la Conférence de plénipotentiaires; </w:t>
            </w:r>
            <w:r w:rsidR="00814F49" w:rsidRPr="00EA21C5">
              <w:rPr>
                <w:rFonts w:cstheme="minorHAnsi"/>
                <w:i/>
                <w:iCs/>
                <w:szCs w:val="24"/>
              </w:rPr>
              <w:br/>
            </w:r>
            <w:hyperlink r:id="rId15" w:history="1"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Résolution 72 (</w:t>
              </w:r>
              <w:proofErr w:type="spellStart"/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Rév</w:t>
              </w:r>
              <w:proofErr w:type="spellEnd"/>
              <w:r w:rsidR="00814F49" w:rsidRPr="00EA21C5">
                <w:rPr>
                  <w:rStyle w:val="Hyperlink"/>
                  <w:rFonts w:cstheme="minorHAnsi"/>
                  <w:i/>
                  <w:iCs/>
                  <w:szCs w:val="24"/>
                </w:rPr>
                <w:t>. Busan, 2014)</w:t>
              </w:r>
            </w:hyperlink>
            <w:r w:rsidR="00814F49" w:rsidRPr="00EA21C5">
              <w:rPr>
                <w:i/>
                <w:iCs/>
              </w:rPr>
              <w:t xml:space="preserve"> de la Conférence de plénipotentiaires.</w:t>
            </w:r>
          </w:p>
        </w:tc>
      </w:tr>
    </w:tbl>
    <w:p w:rsidR="00814F49" w:rsidRPr="00CA08ED" w:rsidRDefault="00814F49" w:rsidP="00814F49"/>
    <w:p w:rsidR="00814F49" w:rsidRDefault="00814F49" w:rsidP="00814F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814F49" w:rsidRPr="00EA21C5" w:rsidRDefault="00F5470D" w:rsidP="00814F49">
      <w:pPr>
        <w:pStyle w:val="ResNo"/>
        <w:spacing w:before="0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PROJET DE RÉSOLUTION XXX</w:t>
      </w:r>
    </w:p>
    <w:p w:rsidR="00814F49" w:rsidRPr="00EA21C5" w:rsidRDefault="00814F49" w:rsidP="00814F49">
      <w:pPr>
        <w:pStyle w:val="Restitle"/>
      </w:pPr>
      <w:r w:rsidRPr="00EA21C5">
        <w:t>Plans opérationnels quadriennaux glissants de l</w:t>
      </w:r>
      <w:r>
        <w:t>'</w:t>
      </w:r>
      <w:r w:rsidRPr="00EA21C5">
        <w:t>UIT</w:t>
      </w:r>
      <w:r w:rsidRPr="00EA21C5">
        <w:noBreakHyphen/>
        <w:t>R, de l</w:t>
      </w:r>
      <w:r>
        <w:t>'</w:t>
      </w:r>
      <w:r w:rsidRPr="00EA21C5">
        <w:t>UIT</w:t>
      </w:r>
      <w:r w:rsidRPr="00EA21C5">
        <w:noBreakHyphen/>
        <w:t>T, de l</w:t>
      </w:r>
      <w:r>
        <w:t>'</w:t>
      </w:r>
      <w:r w:rsidRPr="00EA21C5">
        <w:t>UIT</w:t>
      </w:r>
      <w:r w:rsidRPr="00EA21C5">
        <w:noBreakHyphen/>
        <w:t xml:space="preserve">D </w:t>
      </w:r>
      <w:r w:rsidRPr="00EA21C5">
        <w:br/>
        <w:t xml:space="preserve">et du Secrétariat général pour la période </w:t>
      </w:r>
      <w:r w:rsidR="00B61983">
        <w:t>2018-2021</w:t>
      </w:r>
    </w:p>
    <w:p w:rsidR="00814F49" w:rsidRPr="00EA21C5" w:rsidRDefault="00814F49" w:rsidP="00814F49">
      <w:pPr>
        <w:pStyle w:val="Normalaftertitle"/>
        <w:jc w:val="both"/>
        <w:rPr>
          <w:rFonts w:cstheme="minorHAnsi"/>
          <w:szCs w:val="24"/>
        </w:rPr>
      </w:pPr>
      <w:r w:rsidRPr="00EA21C5">
        <w:rPr>
          <w:rFonts w:cstheme="minorHAnsi"/>
          <w:szCs w:val="24"/>
        </w:rPr>
        <w:t>Le Conseil,</w:t>
      </w:r>
    </w:p>
    <w:p w:rsidR="00814F49" w:rsidRPr="00EA21C5" w:rsidRDefault="00814F49" w:rsidP="00814F49">
      <w:pPr>
        <w:pStyle w:val="Call"/>
      </w:pPr>
      <w:proofErr w:type="gramStart"/>
      <w:r w:rsidRPr="00EA21C5">
        <w:t>reconnaissant</w:t>
      </w:r>
      <w:proofErr w:type="gramEnd"/>
    </w:p>
    <w:p w:rsidR="00814F49" w:rsidRPr="00EA21C5" w:rsidRDefault="00814F49" w:rsidP="00814F49">
      <w:proofErr w:type="gramStart"/>
      <w:r w:rsidRPr="00EA21C5">
        <w:t>les</w:t>
      </w:r>
      <w:proofErr w:type="gramEnd"/>
      <w:r w:rsidRPr="00EA21C5">
        <w:t xml:space="preserve"> dispositions des articles 5, 11A, 12, 14A, 15 et 18 de la Convention de l</w:t>
      </w:r>
      <w:r>
        <w:t>'</w:t>
      </w:r>
      <w:r w:rsidRPr="00EA21C5">
        <w:t>UIT,</w:t>
      </w:r>
    </w:p>
    <w:p w:rsidR="00814F49" w:rsidRPr="00EA21C5" w:rsidRDefault="00814F49" w:rsidP="00814F49">
      <w:pPr>
        <w:pStyle w:val="Call"/>
      </w:pPr>
      <w:proofErr w:type="gramStart"/>
      <w:r w:rsidRPr="00EA21C5">
        <w:t>rappelant</w:t>
      </w:r>
      <w:proofErr w:type="gramEnd"/>
    </w:p>
    <w:p w:rsidR="00814F49" w:rsidRPr="00EA21C5" w:rsidRDefault="00814F49" w:rsidP="00814F49">
      <w:pPr>
        <w:rPr>
          <w:rFonts w:cstheme="minorHAnsi"/>
          <w:szCs w:val="24"/>
        </w:rPr>
      </w:pPr>
      <w:proofErr w:type="gramStart"/>
      <w:r w:rsidRPr="00EA21C5">
        <w:rPr>
          <w:rFonts w:cstheme="minorHAnsi"/>
          <w:szCs w:val="24"/>
        </w:rPr>
        <w:t>la</w:t>
      </w:r>
      <w:proofErr w:type="gramEnd"/>
      <w:r w:rsidRPr="00EA21C5">
        <w:rPr>
          <w:rFonts w:cstheme="minorHAnsi"/>
          <w:szCs w:val="24"/>
        </w:rPr>
        <w:t xml:space="preserve"> Résolution 72 (</w:t>
      </w:r>
      <w:proofErr w:type="spellStart"/>
      <w:r w:rsidRPr="00EA21C5">
        <w:rPr>
          <w:rFonts w:cstheme="minorHAnsi"/>
          <w:szCs w:val="24"/>
        </w:rPr>
        <w:t>Rév</w:t>
      </w:r>
      <w:proofErr w:type="spellEnd"/>
      <w:r w:rsidRPr="00EA21C5">
        <w:rPr>
          <w:rFonts w:cstheme="minorHAnsi"/>
          <w:szCs w:val="24"/>
        </w:rPr>
        <w:t>. Busan, 2014) de la Conférence de plénipotentiaires, relative à la coordination des planifications stratégique</w:t>
      </w:r>
      <w:r>
        <w:rPr>
          <w:rFonts w:cstheme="minorHAnsi"/>
          <w:szCs w:val="24"/>
        </w:rPr>
        <w:t>s</w:t>
      </w:r>
      <w:r w:rsidRPr="00EA21C5">
        <w:rPr>
          <w:rFonts w:cstheme="minorHAnsi"/>
          <w:szCs w:val="24"/>
        </w:rPr>
        <w:t>, financière</w:t>
      </w:r>
      <w:r>
        <w:rPr>
          <w:rFonts w:cstheme="minorHAnsi"/>
          <w:szCs w:val="24"/>
        </w:rPr>
        <w:t>s</w:t>
      </w:r>
      <w:r w:rsidRPr="00EA21C5">
        <w:rPr>
          <w:rFonts w:cstheme="minorHAnsi"/>
          <w:szCs w:val="24"/>
        </w:rPr>
        <w:t xml:space="preserve"> et opérationnelle</w:t>
      </w:r>
      <w:r>
        <w:rPr>
          <w:rFonts w:cstheme="minorHAnsi"/>
          <w:szCs w:val="24"/>
        </w:rPr>
        <w:t>s</w:t>
      </w:r>
      <w:r w:rsidRPr="00EA21C5">
        <w:rPr>
          <w:rFonts w:cstheme="minorHAnsi"/>
          <w:szCs w:val="24"/>
        </w:rPr>
        <w:t xml:space="preserve"> à l</w:t>
      </w:r>
      <w:r>
        <w:rPr>
          <w:rFonts w:cstheme="minorHAnsi"/>
          <w:szCs w:val="24"/>
        </w:rPr>
        <w:t>'</w:t>
      </w:r>
      <w:r w:rsidRPr="00EA21C5">
        <w:rPr>
          <w:rFonts w:cstheme="minorHAnsi"/>
          <w:szCs w:val="24"/>
        </w:rPr>
        <w:t>UIT,</w:t>
      </w:r>
    </w:p>
    <w:p w:rsidR="00814F49" w:rsidRPr="00EA21C5" w:rsidRDefault="00814F49" w:rsidP="00814F49">
      <w:pPr>
        <w:pStyle w:val="Call"/>
      </w:pPr>
      <w:proofErr w:type="gramStart"/>
      <w:r w:rsidRPr="00EA21C5">
        <w:t>ayant</w:t>
      </w:r>
      <w:proofErr w:type="gramEnd"/>
      <w:r w:rsidRPr="00EA21C5">
        <w:t xml:space="preserve"> considéré</w:t>
      </w:r>
    </w:p>
    <w:p w:rsidR="00814F49" w:rsidRPr="005E4198" w:rsidRDefault="00814F49" w:rsidP="00814F49">
      <w:r w:rsidRPr="005E4198">
        <w:t xml:space="preserve">les projets de </w:t>
      </w:r>
      <w:r w:rsidRPr="00EA21C5">
        <w:t xml:space="preserve">Plan opérationnel quadriennal glissant pour la période </w:t>
      </w:r>
      <w:r w:rsidR="00B61983">
        <w:t>2018-2021</w:t>
      </w:r>
      <w:r w:rsidRPr="005E4198">
        <w:t xml:space="preserve"> </w:t>
      </w:r>
      <w:r w:rsidRPr="00EA21C5">
        <w:t xml:space="preserve">du Secteur des radiocommunications </w:t>
      </w:r>
      <w:r w:rsidRPr="00EA21C5">
        <w:rPr>
          <w:rFonts w:cstheme="minorHAnsi"/>
          <w:szCs w:val="24"/>
        </w:rPr>
        <w:t>(</w:t>
      </w:r>
      <w:hyperlink r:id="rId16" w:history="1">
        <w:r w:rsidRPr="00EA21C5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EA21C5">
          <w:rPr>
            <w:rStyle w:val="Hyperlink"/>
            <w:rFonts w:cstheme="minorHAnsi"/>
            <w:b/>
            <w:bCs/>
            <w:szCs w:val="24"/>
          </w:rPr>
          <w:t>/28</w:t>
        </w:r>
      </w:hyperlink>
      <w:hyperlink r:id="rId17" w:history="1"/>
      <w:r w:rsidRPr="00EA21C5">
        <w:rPr>
          <w:rFonts w:cstheme="minorHAnsi"/>
          <w:szCs w:val="24"/>
        </w:rPr>
        <w:t xml:space="preserve">), </w:t>
      </w:r>
      <w:r w:rsidRPr="005E4198">
        <w:t>du Secteur de la normalisation des télécommunications (</w:t>
      </w:r>
      <w:hyperlink r:id="rId18" w:history="1">
        <w:r w:rsidRPr="00EA21C5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EA21C5">
          <w:rPr>
            <w:rStyle w:val="Hyperlink"/>
            <w:rFonts w:cstheme="minorHAnsi"/>
            <w:b/>
            <w:bCs/>
            <w:szCs w:val="24"/>
          </w:rPr>
          <w:t>/29</w:t>
        </w:r>
      </w:hyperlink>
      <w:hyperlink r:id="rId19" w:history="1"/>
      <w:r w:rsidRPr="00EA21C5">
        <w:rPr>
          <w:rFonts w:cstheme="minorHAnsi"/>
          <w:szCs w:val="24"/>
        </w:rPr>
        <w:t xml:space="preserve">), </w:t>
      </w:r>
      <w:r w:rsidRPr="005E4198">
        <w:t>du Secteur du développement des télécommunications</w:t>
      </w:r>
      <w:r w:rsidRPr="00EA21C5">
        <w:rPr>
          <w:rFonts w:cstheme="minorHAnsi"/>
          <w:szCs w:val="24"/>
        </w:rPr>
        <w:t xml:space="preserve"> (</w:t>
      </w:r>
      <w:hyperlink r:id="rId20" w:history="1">
        <w:r w:rsidRPr="00EA21C5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EA21C5">
          <w:rPr>
            <w:rStyle w:val="Hyperlink"/>
            <w:rFonts w:cstheme="minorHAnsi"/>
            <w:b/>
            <w:bCs/>
            <w:szCs w:val="24"/>
          </w:rPr>
          <w:t>/30</w:t>
        </w:r>
      </w:hyperlink>
      <w:hyperlink r:id="rId21" w:history="1"/>
      <w:r w:rsidRPr="005E4198">
        <w:t>), et du Secrétariat général</w:t>
      </w:r>
      <w:r w:rsidRPr="00EA21C5">
        <w:rPr>
          <w:rFonts w:cstheme="minorHAnsi"/>
          <w:szCs w:val="24"/>
        </w:rPr>
        <w:t xml:space="preserve"> (</w:t>
      </w:r>
      <w:hyperlink r:id="rId22" w:history="1">
        <w:r w:rsidRPr="00EA21C5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EA21C5">
          <w:rPr>
            <w:rStyle w:val="Hyperlink"/>
            <w:rFonts w:cstheme="minorHAnsi"/>
            <w:b/>
            <w:bCs/>
            <w:szCs w:val="24"/>
          </w:rPr>
          <w:t>/31</w:t>
        </w:r>
      </w:hyperlink>
      <w:r w:rsidRPr="00EA21C5">
        <w:rPr>
          <w:rFonts w:cstheme="minorHAnsi"/>
          <w:szCs w:val="24"/>
        </w:rPr>
        <w:t>)</w:t>
      </w:r>
      <w:r w:rsidRPr="005E4198">
        <w:t>,</w:t>
      </w:r>
    </w:p>
    <w:p w:rsidR="00814F49" w:rsidRPr="00EA21C5" w:rsidRDefault="00814F49" w:rsidP="00814F49">
      <w:pPr>
        <w:pStyle w:val="Call"/>
      </w:pPr>
      <w:proofErr w:type="gramStart"/>
      <w:r w:rsidRPr="00EA21C5">
        <w:t>ayant</w:t>
      </w:r>
      <w:proofErr w:type="gramEnd"/>
      <w:r w:rsidRPr="00EA21C5">
        <w:t xml:space="preserve"> considéré en outre</w:t>
      </w:r>
    </w:p>
    <w:p w:rsidR="00814F49" w:rsidRPr="00EA21C5" w:rsidRDefault="00814F49" w:rsidP="00814F49">
      <w:pPr>
        <w:rPr>
          <w:rFonts w:cstheme="minorHAnsi"/>
          <w:szCs w:val="24"/>
        </w:rPr>
      </w:pPr>
      <w:proofErr w:type="gramStart"/>
      <w:r w:rsidRPr="00EA21C5">
        <w:t>la</w:t>
      </w:r>
      <w:proofErr w:type="gramEnd"/>
      <w:r w:rsidRPr="00EA21C5">
        <w:t xml:space="preserve"> nécessité pour le Secrétaire général et les Directeurs des Bureaux de disposer d</w:t>
      </w:r>
      <w:r>
        <w:t>'</w:t>
      </w:r>
      <w:r w:rsidRPr="00EA21C5">
        <w:t xml:space="preserve">une certaine souplesse dans la mise en </w:t>
      </w:r>
      <w:proofErr w:type="spellStart"/>
      <w:r>
        <w:t>oe</w:t>
      </w:r>
      <w:r w:rsidRPr="00EA21C5">
        <w:t>uvre</w:t>
      </w:r>
      <w:proofErr w:type="spellEnd"/>
      <w:r w:rsidRPr="00EA21C5">
        <w:t xml:space="preserve"> des plans opérationnels quadriennaux glissants dont ils sont respectivement responsables, afin de tenir compte des changements qui pourraient avoir lieu entre deux sessions du Conseil</w:t>
      </w:r>
      <w:r w:rsidRPr="00EA21C5">
        <w:rPr>
          <w:rFonts w:cstheme="minorHAnsi"/>
          <w:szCs w:val="24"/>
        </w:rPr>
        <w:t>,</w:t>
      </w:r>
    </w:p>
    <w:p w:rsidR="00814F49" w:rsidRPr="00EA21C5" w:rsidRDefault="00814F49" w:rsidP="00814F49">
      <w:pPr>
        <w:pStyle w:val="Call"/>
      </w:pPr>
      <w:proofErr w:type="gramStart"/>
      <w:r w:rsidRPr="00EA21C5">
        <w:t>décide</w:t>
      </w:r>
      <w:proofErr w:type="gramEnd"/>
    </w:p>
    <w:p w:rsidR="00814F49" w:rsidRPr="00EA21C5" w:rsidRDefault="00814F49" w:rsidP="00814F49">
      <w:pPr>
        <w:rPr>
          <w:rFonts w:cstheme="minorHAnsi"/>
          <w:szCs w:val="24"/>
        </w:rPr>
      </w:pPr>
      <w:r w:rsidRPr="00EA21C5">
        <w:rPr>
          <w:rFonts w:cstheme="minorHAnsi"/>
          <w:szCs w:val="24"/>
        </w:rPr>
        <w:t>1</w:t>
      </w:r>
      <w:r w:rsidRPr="00EA21C5">
        <w:rPr>
          <w:rFonts w:cstheme="minorHAnsi"/>
          <w:szCs w:val="24"/>
        </w:rPr>
        <w:tab/>
        <w:t>d</w:t>
      </w:r>
      <w:r>
        <w:rPr>
          <w:rFonts w:cstheme="minorHAnsi"/>
          <w:szCs w:val="24"/>
        </w:rPr>
        <w:t>'</w:t>
      </w:r>
      <w:r w:rsidRPr="00EA21C5">
        <w:rPr>
          <w:rFonts w:cstheme="minorHAnsi"/>
          <w:szCs w:val="24"/>
        </w:rPr>
        <w:t xml:space="preserve">approuver les plans opérationnels quadriennaux glissants pour </w:t>
      </w:r>
      <w:r w:rsidRPr="00EA21C5">
        <w:t xml:space="preserve">la période </w:t>
      </w:r>
      <w:r w:rsidR="00B61983">
        <w:rPr>
          <w:rFonts w:cstheme="minorHAnsi"/>
          <w:szCs w:val="24"/>
        </w:rPr>
        <w:t>2018-2021</w:t>
      </w:r>
      <w:r w:rsidRPr="00EA21C5">
        <w:rPr>
          <w:rFonts w:cstheme="minorHAnsi"/>
          <w:szCs w:val="24"/>
        </w:rPr>
        <w:t xml:space="preserve"> </w:t>
      </w:r>
      <w:r w:rsidRPr="00EA21C5">
        <w:t>du Secteur des radiocommunications (</w:t>
      </w:r>
      <w:hyperlink r:id="rId23" w:history="1">
        <w:r w:rsidRPr="007B32F0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7B32F0">
          <w:rPr>
            <w:rStyle w:val="Hyperlink"/>
            <w:rFonts w:cstheme="minorHAnsi"/>
            <w:b/>
            <w:bCs/>
            <w:szCs w:val="24"/>
          </w:rPr>
          <w:t>/28</w:t>
        </w:r>
      </w:hyperlink>
      <w:hyperlink r:id="rId24" w:history="1"/>
      <w:r w:rsidRPr="00EA21C5">
        <w:rPr>
          <w:rFonts w:cstheme="minorHAnsi"/>
          <w:szCs w:val="24"/>
        </w:rPr>
        <w:t xml:space="preserve">), du Secteur de la normalisation des télécommunications </w:t>
      </w:r>
      <w:r w:rsidRPr="00EA21C5">
        <w:t>(</w:t>
      </w:r>
      <w:hyperlink r:id="rId25" w:history="1">
        <w:r w:rsidRPr="007B32F0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7B32F0">
          <w:rPr>
            <w:rStyle w:val="Hyperlink"/>
            <w:rFonts w:cstheme="minorHAnsi"/>
            <w:b/>
            <w:bCs/>
            <w:szCs w:val="24"/>
          </w:rPr>
          <w:t>/29</w:t>
        </w:r>
      </w:hyperlink>
      <w:r w:rsidRPr="00EA21C5">
        <w:rPr>
          <w:rFonts w:cstheme="minorHAnsi"/>
          <w:szCs w:val="24"/>
        </w:rPr>
        <w:t>)</w:t>
      </w:r>
      <w:hyperlink r:id="rId26" w:history="1"/>
      <w:r w:rsidRPr="00EA21C5">
        <w:rPr>
          <w:rFonts w:cstheme="minorHAnsi"/>
          <w:szCs w:val="24"/>
        </w:rPr>
        <w:t xml:space="preserve">, du Secteur du développement des télécommunications </w:t>
      </w:r>
      <w:r w:rsidRPr="00EA21C5">
        <w:t>(</w:t>
      </w:r>
      <w:hyperlink r:id="rId27" w:history="1">
        <w:r w:rsidRPr="007B32F0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7B32F0">
          <w:rPr>
            <w:rStyle w:val="Hyperlink"/>
            <w:rFonts w:cstheme="minorHAnsi"/>
            <w:b/>
            <w:bCs/>
            <w:szCs w:val="24"/>
          </w:rPr>
          <w:t>/30</w:t>
        </w:r>
      </w:hyperlink>
      <w:r w:rsidRPr="00EA21C5">
        <w:rPr>
          <w:rFonts w:cstheme="minorHAnsi"/>
          <w:szCs w:val="24"/>
        </w:rPr>
        <w:t>)</w:t>
      </w:r>
      <w:hyperlink r:id="rId28" w:history="1"/>
      <w:r w:rsidRPr="00EA21C5">
        <w:rPr>
          <w:rFonts w:cstheme="minorHAnsi"/>
          <w:szCs w:val="24"/>
        </w:rPr>
        <w:t xml:space="preserve"> et du Secrétariat général </w:t>
      </w:r>
      <w:r w:rsidRPr="00EA21C5">
        <w:t>(</w:t>
      </w:r>
      <w:hyperlink r:id="rId29" w:history="1">
        <w:r w:rsidRPr="007B32F0">
          <w:rPr>
            <w:rStyle w:val="Hyperlink"/>
            <w:rFonts w:cstheme="minorHAnsi"/>
            <w:b/>
            <w:bCs/>
            <w:szCs w:val="24"/>
          </w:rPr>
          <w:t xml:space="preserve">Document </w:t>
        </w:r>
        <w:r w:rsidR="00D24D8E">
          <w:rPr>
            <w:rStyle w:val="Hyperlink"/>
            <w:rFonts w:cstheme="minorHAnsi"/>
            <w:b/>
            <w:bCs/>
            <w:szCs w:val="24"/>
          </w:rPr>
          <w:t>C17</w:t>
        </w:r>
        <w:r w:rsidRPr="007B32F0">
          <w:rPr>
            <w:rStyle w:val="Hyperlink"/>
            <w:rFonts w:cstheme="minorHAnsi"/>
            <w:b/>
            <w:bCs/>
            <w:szCs w:val="24"/>
          </w:rPr>
          <w:t>/31</w:t>
        </w:r>
      </w:hyperlink>
      <w:r w:rsidRPr="00EA21C5">
        <w:rPr>
          <w:rFonts w:cstheme="minorHAnsi"/>
          <w:szCs w:val="24"/>
        </w:rPr>
        <w:t>), et de s</w:t>
      </w:r>
      <w:r>
        <w:rPr>
          <w:rFonts w:cstheme="minorHAnsi"/>
          <w:szCs w:val="24"/>
        </w:rPr>
        <w:t>'</w:t>
      </w:r>
      <w:r w:rsidRPr="00EA21C5">
        <w:rPr>
          <w:rFonts w:cstheme="minorHAnsi"/>
          <w:szCs w:val="24"/>
        </w:rPr>
        <w:t xml:space="preserve">engager à mettre en </w:t>
      </w:r>
      <w:proofErr w:type="spellStart"/>
      <w:r>
        <w:rPr>
          <w:rFonts w:cstheme="minorHAnsi"/>
          <w:szCs w:val="24"/>
        </w:rPr>
        <w:t>oe</w:t>
      </w:r>
      <w:r w:rsidRPr="00EA21C5">
        <w:rPr>
          <w:rFonts w:cstheme="minorHAnsi"/>
          <w:szCs w:val="24"/>
        </w:rPr>
        <w:t>uvre</w:t>
      </w:r>
      <w:proofErr w:type="spellEnd"/>
      <w:r w:rsidRPr="00EA21C5">
        <w:rPr>
          <w:rFonts w:cstheme="minorHAnsi"/>
          <w:szCs w:val="24"/>
        </w:rPr>
        <w:t xml:space="preserve"> les produits et activités des Secteurs et du Secrétariat général; </w:t>
      </w:r>
      <w:r>
        <w:rPr>
          <w:rFonts w:cstheme="minorHAnsi"/>
          <w:szCs w:val="24"/>
        </w:rPr>
        <w:t>et</w:t>
      </w:r>
    </w:p>
    <w:p w:rsidR="00814F49" w:rsidRPr="00EA21C5" w:rsidRDefault="00814F49" w:rsidP="00814F49">
      <w:r w:rsidRPr="00EA21C5">
        <w:t>2</w:t>
      </w:r>
      <w:r w:rsidRPr="00EA21C5">
        <w:tab/>
        <w:t>d</w:t>
      </w:r>
      <w:r>
        <w:t>'</w:t>
      </w:r>
      <w:r w:rsidRPr="00EA21C5">
        <w:t xml:space="preserve">octroyer au Secrétaire général et aux Directeurs des Bureaux la souplesse nécessaire dans la mise en </w:t>
      </w:r>
      <w:proofErr w:type="spellStart"/>
      <w:r>
        <w:t>oe</w:t>
      </w:r>
      <w:r w:rsidRPr="00EA21C5">
        <w:t>uvre</w:t>
      </w:r>
      <w:proofErr w:type="spellEnd"/>
      <w:r w:rsidRPr="00EA21C5">
        <w:t xml:space="preserve"> des plans opérationnels quadriennaux glissants dont ils sont respectivement responsables pour la période </w:t>
      </w:r>
      <w:r w:rsidR="00B61983">
        <w:t>2018-2021</w:t>
      </w:r>
      <w:r w:rsidRPr="00EA21C5">
        <w:t>.</w:t>
      </w:r>
    </w:p>
    <w:p w:rsidR="00814F49" w:rsidRDefault="00814F49" w:rsidP="00814F49">
      <w:pPr>
        <w:spacing w:after="120"/>
        <w:rPr>
          <w:rFonts w:cstheme="minorHAnsi"/>
          <w:szCs w:val="24"/>
        </w:rPr>
      </w:pPr>
    </w:p>
    <w:p w:rsidR="00814F49" w:rsidRDefault="00814F49" w:rsidP="00814F49">
      <w:pPr>
        <w:pStyle w:val="Reasons"/>
      </w:pPr>
    </w:p>
    <w:p w:rsidR="00814F49" w:rsidRDefault="00814F49" w:rsidP="00814F49">
      <w:pPr>
        <w:jc w:val="center"/>
      </w:pPr>
      <w:r>
        <w:t>______________</w:t>
      </w:r>
    </w:p>
    <w:p w:rsidR="007E7828" w:rsidRPr="004D1D35" w:rsidRDefault="007E7828" w:rsidP="007E7828">
      <w:pPr>
        <w:jc w:val="center"/>
        <w:rPr>
          <w:szCs w:val="24"/>
          <w:lang w:val="fr-CH"/>
        </w:rPr>
      </w:pPr>
    </w:p>
    <w:sectPr w:rsidR="007E7828" w:rsidRPr="004D1D35" w:rsidSect="005C3890">
      <w:headerReference w:type="even" r:id="rId30"/>
      <w:headerReference w:type="default" r:id="rId31"/>
      <w:footerReference w:type="even" r:id="rId32"/>
      <w:footerReference w:type="default" r:id="rId33"/>
      <w:footerReference w:type="first" r:id="rId34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E3" w:rsidRDefault="004F37E3">
      <w:r>
        <w:separator/>
      </w:r>
    </w:p>
  </w:endnote>
  <w:endnote w:type="continuationSeparator" w:id="0">
    <w:p w:rsidR="004F37E3" w:rsidRDefault="004F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E3" w:rsidRPr="00B241BA" w:rsidRDefault="004F37E3">
    <w:pPr>
      <w:pStyle w:val="Footer"/>
      <w:rPr>
        <w:lang w:val="fr-CH"/>
      </w:rPr>
    </w:pPr>
    <w:r>
      <w:fldChar w:fldCharType="begin"/>
    </w:r>
    <w:r w:rsidRPr="00B241BA">
      <w:rPr>
        <w:lang w:val="fr-CH"/>
      </w:rPr>
      <w:instrText xml:space="preserve"> FILENAME \p \* MERGEFORMAT </w:instrText>
    </w:r>
    <w:r>
      <w:fldChar w:fldCharType="separate"/>
    </w:r>
    <w:r w:rsidR="00E579F8" w:rsidRPr="00B241BA">
      <w:rPr>
        <w:lang w:val="fr-CH"/>
      </w:rPr>
      <w:t>P:\TRAD\F\LING\Fleur\Conseil\409482-F.docx</w:t>
    </w:r>
    <w:r>
      <w:fldChar w:fldCharType="end"/>
    </w:r>
    <w:r w:rsidRPr="00B241B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D79F1">
      <w:t>19.04.17</w:t>
    </w:r>
    <w:r>
      <w:fldChar w:fldCharType="end"/>
    </w:r>
    <w:r w:rsidRPr="00B241B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579F8">
      <w:t>19.04.17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E3" w:rsidRPr="00B241BA" w:rsidRDefault="004F37E3" w:rsidP="00B241BA">
    <w:pPr>
      <w:pStyle w:val="Footer"/>
      <w:rPr>
        <w:lang w:val="fr-CH"/>
      </w:rPr>
    </w:pPr>
    <w:r>
      <w:fldChar w:fldCharType="begin"/>
    </w:r>
    <w:r w:rsidRPr="00B241BA">
      <w:rPr>
        <w:lang w:val="fr-CH"/>
      </w:rPr>
      <w:instrText xml:space="preserve"> FILENAME \p \* MERGEFORMAT </w:instrText>
    </w:r>
    <w:r>
      <w:fldChar w:fldCharType="separate"/>
    </w:r>
    <w:r w:rsidR="00B241BA" w:rsidRPr="00B241BA">
      <w:rPr>
        <w:lang w:val="fr-CH"/>
      </w:rPr>
      <w:t>P:\FRA\SG\CONSEIL\C17\000\032F.docx</w:t>
    </w:r>
    <w:r>
      <w:fldChar w:fldCharType="end"/>
    </w:r>
    <w:r w:rsidRPr="00B241BA">
      <w:rPr>
        <w:lang w:val="fr-CH"/>
      </w:rPr>
      <w:t xml:space="preserve"> (40</w:t>
    </w:r>
    <w:r w:rsidR="00B241BA" w:rsidRPr="00B241BA">
      <w:rPr>
        <w:lang w:val="fr-CH"/>
      </w:rPr>
      <w:t>9482</w:t>
    </w:r>
    <w:r w:rsidRPr="00B241BA">
      <w:rPr>
        <w:lang w:val="fr-CH"/>
      </w:rPr>
      <w:t>)</w:t>
    </w:r>
    <w:r w:rsidRPr="00B241B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D79F1">
      <w:t>19.04.17</w:t>
    </w:r>
    <w:r>
      <w:fldChar w:fldCharType="end"/>
    </w:r>
    <w:r w:rsidRPr="00B241B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579F8">
      <w:t>19.04.17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E3" w:rsidRDefault="004F37E3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4F37E3" w:rsidRPr="00B241BA" w:rsidRDefault="004F37E3" w:rsidP="00B241BA">
    <w:pPr>
      <w:pStyle w:val="Footer"/>
      <w:rPr>
        <w:lang w:val="fr-CH"/>
      </w:rPr>
    </w:pPr>
    <w:r>
      <w:fldChar w:fldCharType="begin"/>
    </w:r>
    <w:r w:rsidRPr="00B241BA">
      <w:rPr>
        <w:lang w:val="fr-CH"/>
      </w:rPr>
      <w:instrText xml:space="preserve"> FILENAME \p \* MERGEFORMAT </w:instrText>
    </w:r>
    <w:r>
      <w:fldChar w:fldCharType="separate"/>
    </w:r>
    <w:r w:rsidR="00B241BA" w:rsidRPr="00B241BA">
      <w:rPr>
        <w:lang w:val="fr-CH"/>
      </w:rPr>
      <w:t>P:\FRA\SG\CONSEIL\C17\000\032F.docx</w:t>
    </w:r>
    <w:r>
      <w:fldChar w:fldCharType="end"/>
    </w:r>
    <w:r w:rsidRPr="00B241BA">
      <w:rPr>
        <w:lang w:val="fr-CH"/>
      </w:rPr>
      <w:t xml:space="preserve"> (40</w:t>
    </w:r>
    <w:r w:rsidR="00B241BA" w:rsidRPr="00B241BA">
      <w:rPr>
        <w:lang w:val="fr-CH"/>
      </w:rPr>
      <w:t>9482</w:t>
    </w:r>
    <w:r w:rsidRPr="00B241BA">
      <w:rPr>
        <w:lang w:val="fr-CH"/>
      </w:rPr>
      <w:t>)</w:t>
    </w:r>
    <w:r w:rsidRPr="00B241B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D79F1">
      <w:t>19.04.17</w:t>
    </w:r>
    <w:r>
      <w:fldChar w:fldCharType="end"/>
    </w:r>
    <w:r w:rsidRPr="00B241B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579F8">
      <w:t>19.04.17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E3" w:rsidRDefault="004F37E3">
      <w:r>
        <w:t>____________________</w:t>
      </w:r>
    </w:p>
  </w:footnote>
  <w:footnote w:type="continuationSeparator" w:id="0">
    <w:p w:rsidR="004F37E3" w:rsidRDefault="004F3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E3" w:rsidRDefault="004F37E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:rsidR="004F37E3" w:rsidRDefault="004F37E3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E3" w:rsidRDefault="004F37E3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BD79F1">
      <w:rPr>
        <w:noProof/>
      </w:rPr>
      <w:t>2</w:t>
    </w:r>
    <w:r>
      <w:rPr>
        <w:noProof/>
      </w:rPr>
      <w:fldChar w:fldCharType="end"/>
    </w:r>
  </w:p>
  <w:p w:rsidR="004F37E3" w:rsidRDefault="004F37E3" w:rsidP="00B241BA">
    <w:pPr>
      <w:pStyle w:val="Header"/>
    </w:pPr>
    <w:r>
      <w:t>C17/</w:t>
    </w:r>
    <w:r w:rsidR="00B241BA">
      <w:t>32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AB0A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69613A"/>
    <w:multiLevelType w:val="hybridMultilevel"/>
    <w:tmpl w:val="E59C3EF8"/>
    <w:lvl w:ilvl="0" w:tplc="FABC8DC2">
      <w:start w:val="1"/>
      <w:numFmt w:val="decimal"/>
      <w:lvlText w:val="Table %1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A9"/>
    <w:rsid w:val="00034C09"/>
    <w:rsid w:val="00055158"/>
    <w:rsid w:val="00074916"/>
    <w:rsid w:val="000D0D0A"/>
    <w:rsid w:val="00103163"/>
    <w:rsid w:val="00115D93"/>
    <w:rsid w:val="001247A8"/>
    <w:rsid w:val="001378C0"/>
    <w:rsid w:val="00176E43"/>
    <w:rsid w:val="0018694A"/>
    <w:rsid w:val="001A3287"/>
    <w:rsid w:val="001D4C31"/>
    <w:rsid w:val="001D76D9"/>
    <w:rsid w:val="001E4D21"/>
    <w:rsid w:val="00207CD1"/>
    <w:rsid w:val="00220786"/>
    <w:rsid w:val="002477A2"/>
    <w:rsid w:val="00263A51"/>
    <w:rsid w:val="00267E02"/>
    <w:rsid w:val="002A5D44"/>
    <w:rsid w:val="002D37AF"/>
    <w:rsid w:val="002E0BC4"/>
    <w:rsid w:val="002E3F28"/>
    <w:rsid w:val="002F1B76"/>
    <w:rsid w:val="002F1F00"/>
    <w:rsid w:val="00305A18"/>
    <w:rsid w:val="00312367"/>
    <w:rsid w:val="0035086E"/>
    <w:rsid w:val="00355FF5"/>
    <w:rsid w:val="00361350"/>
    <w:rsid w:val="0038261A"/>
    <w:rsid w:val="00387D49"/>
    <w:rsid w:val="00396A91"/>
    <w:rsid w:val="003A13ED"/>
    <w:rsid w:val="003B3168"/>
    <w:rsid w:val="003E6A68"/>
    <w:rsid w:val="004038CB"/>
    <w:rsid w:val="0040546F"/>
    <w:rsid w:val="0042404A"/>
    <w:rsid w:val="0044618F"/>
    <w:rsid w:val="00465E82"/>
    <w:rsid w:val="0046769A"/>
    <w:rsid w:val="00475FB3"/>
    <w:rsid w:val="00495A24"/>
    <w:rsid w:val="004B635F"/>
    <w:rsid w:val="004C37A9"/>
    <w:rsid w:val="004F259E"/>
    <w:rsid w:val="004F37E3"/>
    <w:rsid w:val="00500A58"/>
    <w:rsid w:val="00511F1D"/>
    <w:rsid w:val="00540615"/>
    <w:rsid w:val="00540A6D"/>
    <w:rsid w:val="005663DA"/>
    <w:rsid w:val="00571EEA"/>
    <w:rsid w:val="00575417"/>
    <w:rsid w:val="005768E1"/>
    <w:rsid w:val="00585F42"/>
    <w:rsid w:val="00595BB8"/>
    <w:rsid w:val="005B52F3"/>
    <w:rsid w:val="005B662A"/>
    <w:rsid w:val="005C3890"/>
    <w:rsid w:val="005F7BFE"/>
    <w:rsid w:val="00600017"/>
    <w:rsid w:val="00611BD1"/>
    <w:rsid w:val="006235CA"/>
    <w:rsid w:val="0064230E"/>
    <w:rsid w:val="006550A1"/>
    <w:rsid w:val="006643AB"/>
    <w:rsid w:val="0067025C"/>
    <w:rsid w:val="00692862"/>
    <w:rsid w:val="006C7811"/>
    <w:rsid w:val="006E35CE"/>
    <w:rsid w:val="007210CD"/>
    <w:rsid w:val="00722DE7"/>
    <w:rsid w:val="00732045"/>
    <w:rsid w:val="007369DB"/>
    <w:rsid w:val="00736F38"/>
    <w:rsid w:val="00791CD2"/>
    <w:rsid w:val="007929F6"/>
    <w:rsid w:val="007956C2"/>
    <w:rsid w:val="007A187E"/>
    <w:rsid w:val="007C72C2"/>
    <w:rsid w:val="007D4436"/>
    <w:rsid w:val="007E50DE"/>
    <w:rsid w:val="007E7828"/>
    <w:rsid w:val="007F257A"/>
    <w:rsid w:val="007F3665"/>
    <w:rsid w:val="00800037"/>
    <w:rsid w:val="00800BC4"/>
    <w:rsid w:val="00806707"/>
    <w:rsid w:val="00814F49"/>
    <w:rsid w:val="008254B0"/>
    <w:rsid w:val="00861D73"/>
    <w:rsid w:val="00894C79"/>
    <w:rsid w:val="008A4E87"/>
    <w:rsid w:val="008A58DD"/>
    <w:rsid w:val="008C44A4"/>
    <w:rsid w:val="008D76E6"/>
    <w:rsid w:val="00915921"/>
    <w:rsid w:val="0092392D"/>
    <w:rsid w:val="0093234A"/>
    <w:rsid w:val="009478B9"/>
    <w:rsid w:val="009635F6"/>
    <w:rsid w:val="00965078"/>
    <w:rsid w:val="00977283"/>
    <w:rsid w:val="009A36E5"/>
    <w:rsid w:val="009B46A9"/>
    <w:rsid w:val="009C307F"/>
    <w:rsid w:val="009C7754"/>
    <w:rsid w:val="009D274C"/>
    <w:rsid w:val="00A2113E"/>
    <w:rsid w:val="00A23A51"/>
    <w:rsid w:val="00A24607"/>
    <w:rsid w:val="00A25CD3"/>
    <w:rsid w:val="00A35B42"/>
    <w:rsid w:val="00A6394A"/>
    <w:rsid w:val="00A82767"/>
    <w:rsid w:val="00A83750"/>
    <w:rsid w:val="00AA332F"/>
    <w:rsid w:val="00AA7BBB"/>
    <w:rsid w:val="00AB64A8"/>
    <w:rsid w:val="00AC0266"/>
    <w:rsid w:val="00AD24EC"/>
    <w:rsid w:val="00AF48E2"/>
    <w:rsid w:val="00B175E7"/>
    <w:rsid w:val="00B241BA"/>
    <w:rsid w:val="00B309F9"/>
    <w:rsid w:val="00B32B60"/>
    <w:rsid w:val="00B4000F"/>
    <w:rsid w:val="00B51EFD"/>
    <w:rsid w:val="00B61619"/>
    <w:rsid w:val="00B61983"/>
    <w:rsid w:val="00B6635B"/>
    <w:rsid w:val="00B7417D"/>
    <w:rsid w:val="00B84828"/>
    <w:rsid w:val="00BB4545"/>
    <w:rsid w:val="00BC51A8"/>
    <w:rsid w:val="00BD5873"/>
    <w:rsid w:val="00BD7130"/>
    <w:rsid w:val="00BD79F1"/>
    <w:rsid w:val="00BF31CE"/>
    <w:rsid w:val="00C04BE3"/>
    <w:rsid w:val="00C25D29"/>
    <w:rsid w:val="00C27A7C"/>
    <w:rsid w:val="00C7256B"/>
    <w:rsid w:val="00C831E9"/>
    <w:rsid w:val="00C85783"/>
    <w:rsid w:val="00C879E9"/>
    <w:rsid w:val="00CA08ED"/>
    <w:rsid w:val="00CA2D83"/>
    <w:rsid w:val="00CB2774"/>
    <w:rsid w:val="00CF0749"/>
    <w:rsid w:val="00CF183B"/>
    <w:rsid w:val="00D22152"/>
    <w:rsid w:val="00D24D8E"/>
    <w:rsid w:val="00D375CD"/>
    <w:rsid w:val="00D553A2"/>
    <w:rsid w:val="00D63FB6"/>
    <w:rsid w:val="00D774D3"/>
    <w:rsid w:val="00D87ED3"/>
    <w:rsid w:val="00D904E8"/>
    <w:rsid w:val="00DA08C3"/>
    <w:rsid w:val="00DB5A3E"/>
    <w:rsid w:val="00DC22AA"/>
    <w:rsid w:val="00DE5430"/>
    <w:rsid w:val="00DF74DD"/>
    <w:rsid w:val="00E12577"/>
    <w:rsid w:val="00E25AD0"/>
    <w:rsid w:val="00E579F8"/>
    <w:rsid w:val="00EB6350"/>
    <w:rsid w:val="00ED5D15"/>
    <w:rsid w:val="00EF1EF6"/>
    <w:rsid w:val="00F15B57"/>
    <w:rsid w:val="00F17C10"/>
    <w:rsid w:val="00F427DB"/>
    <w:rsid w:val="00F458CD"/>
    <w:rsid w:val="00F5470D"/>
    <w:rsid w:val="00FA5EB1"/>
    <w:rsid w:val="00FA7439"/>
    <w:rsid w:val="00FC4EC0"/>
    <w:rsid w:val="00FF0181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F429365-5A1B-487A-8978-20AA4ADE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link w:val="NormalaftertitleChar"/>
    <w:rsid w:val="00732045"/>
    <w:pPr>
      <w:spacing w:before="240"/>
    </w:pPr>
  </w:style>
  <w:style w:type="paragraph" w:customStyle="1" w:styleId="Call">
    <w:name w:val="Call"/>
    <w:basedOn w:val="Normal"/>
    <w:next w:val="Normal"/>
    <w:link w:val="CallChar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link w:val="RestitleChar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9B46A9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Body">
    <w:name w:val="Body"/>
    <w:rsid w:val="00CF0749"/>
    <w:rPr>
      <w:rFonts w:ascii="Helvetica" w:eastAsia="ヒラギノ角ゴ Pro W3" w:hAnsi="Helvetica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87ED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7ED3"/>
    <w:rPr>
      <w:rFonts w:ascii="Segoe UI" w:hAnsi="Segoe UI" w:cs="Segoe UI"/>
      <w:sz w:val="18"/>
      <w:szCs w:val="18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FF6D66"/>
    <w:rPr>
      <w:rFonts w:ascii="Calibri" w:hAnsi="Calibri"/>
      <w:sz w:val="24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034C09"/>
    <w:rPr>
      <w:rFonts w:ascii="Calibri" w:hAnsi="Calibri"/>
      <w:b/>
      <w:sz w:val="28"/>
      <w:lang w:val="fr-FR" w:eastAsia="en-US"/>
    </w:rPr>
  </w:style>
  <w:style w:type="table" w:styleId="TableGrid">
    <w:name w:val="Table Grid"/>
    <w:basedOn w:val="TableNormal"/>
    <w:rsid w:val="00034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60" w:line="259" w:lineRule="auto"/>
      <w:textAlignment w:val="baseline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EF1EF6"/>
    <w:pPr>
      <w:numPr>
        <w:numId w:val="2"/>
      </w:numPr>
      <w:contextualSpacing/>
    </w:pPr>
  </w:style>
  <w:style w:type="character" w:customStyle="1" w:styleId="CallChar">
    <w:name w:val="Call Char"/>
    <w:basedOn w:val="DefaultParagraphFont"/>
    <w:link w:val="Call"/>
    <w:rsid w:val="00814F49"/>
    <w:rPr>
      <w:rFonts w:ascii="Calibri" w:hAnsi="Calibri"/>
      <w:i/>
      <w:sz w:val="24"/>
      <w:lang w:val="fr-FR" w:eastAsia="en-US"/>
    </w:rPr>
  </w:style>
  <w:style w:type="character" w:customStyle="1" w:styleId="RestitleChar">
    <w:name w:val="Res_title Char"/>
    <w:basedOn w:val="DefaultParagraphFont"/>
    <w:link w:val="Restitle"/>
    <w:locked/>
    <w:rsid w:val="00814F49"/>
    <w:rPr>
      <w:rFonts w:ascii="Calibri" w:hAnsi="Calibri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pub/S-CONF-PLEN-2015" TargetMode="External"/><Relationship Id="rId18" Type="http://schemas.openxmlformats.org/officeDocument/2006/relationships/hyperlink" Target="http://www.itu.int/md/S17-CL-C-0029/en" TargetMode="External"/><Relationship Id="rId26" Type="http://schemas.openxmlformats.org/officeDocument/2006/relationships/hyperlink" Target="http://www.itu.int/oth/T2401000011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en/ITU-D/TIES_Protected/OP2015-2018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u.int/md/S17-CL-C-0031/en" TargetMode="External"/><Relationship Id="rId17" Type="http://schemas.openxmlformats.org/officeDocument/2006/relationships/hyperlink" Target="http://www.itu.int/oth/R0B05000017/en" TargetMode="External"/><Relationship Id="rId25" Type="http://schemas.openxmlformats.org/officeDocument/2006/relationships/hyperlink" Target="http://www.itu.int/md/S17-CL-C-0029/en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S17-CL-C-0028/en" TargetMode="External"/><Relationship Id="rId20" Type="http://schemas.openxmlformats.org/officeDocument/2006/relationships/hyperlink" Target="http://www.itu.int/md/S17-CL-C-0030/en" TargetMode="External"/><Relationship Id="rId29" Type="http://schemas.openxmlformats.org/officeDocument/2006/relationships/hyperlink" Target="http://www.itu.int/md/S17-CL-C-003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7-CL-C-0030/en" TargetMode="External"/><Relationship Id="rId24" Type="http://schemas.openxmlformats.org/officeDocument/2006/relationships/hyperlink" Target="http://www.itu.int/oth/R0B05000017/en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pub/S-CONF-PLEN-2015" TargetMode="External"/><Relationship Id="rId23" Type="http://schemas.openxmlformats.org/officeDocument/2006/relationships/hyperlink" Target="http://www.itu.int/md/S17-CL-C-0028/en" TargetMode="External"/><Relationship Id="rId28" Type="http://schemas.openxmlformats.org/officeDocument/2006/relationships/hyperlink" Target="https://www.itu.int/en/ITU-D/TIES_Protected/OP2015-2018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tu.int/md/S17-CL-C-0029/en" TargetMode="External"/><Relationship Id="rId19" Type="http://schemas.openxmlformats.org/officeDocument/2006/relationships/hyperlink" Target="http://www.itu.int/oth/T2401000011/en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S17-CL-C-0028/en" TargetMode="External"/><Relationship Id="rId14" Type="http://schemas.openxmlformats.org/officeDocument/2006/relationships/hyperlink" Target="http://www.itu.int/pub/S-CONF-PLEN-2015" TargetMode="External"/><Relationship Id="rId22" Type="http://schemas.openxmlformats.org/officeDocument/2006/relationships/hyperlink" Target="http://www.itu.int/md/S17-CL-C-0031/en" TargetMode="External"/><Relationship Id="rId27" Type="http://schemas.openxmlformats.org/officeDocument/2006/relationships/hyperlink" Target="http://www.itu.int/md/S17-CL-C-0030/en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1205-79FF-40E5-91D7-9420CD73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3938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DATES ET DURÉE PROPOSÉES POUR LES SESSIONS DE 2018, 2019 ET 2020 DU CONSEIL</vt:lpstr>
    </vt:vector>
  </TitlesOfParts>
  <Manager>Secrétariat général - Pool</Manager>
  <Company>Union internationale des télécommunications (UIT)</Company>
  <LinksUpToDate>false</LinksUpToDate>
  <CharactersWithSpaces>4374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ET DURÉE PROPOSÉES POUR LES SESSIONS DE 2018, 2019 ET 2020 DU CONSEIL</dc:title>
  <dc:subject>Conseil 2010</dc:subject>
  <dc:creator>Rapport du Secrétaire général</dc:creator>
  <cp:keywords>C2010, C10</cp:keywords>
  <dc:description>Document C17/2-F  Pour: Point de l'ordre du jour: PL 2.3_x000d_Date du document: 24 janvier 2017_x000d_Enregistré par ITU51009313 à 14:22:32 le 09/02/2017</dc:description>
  <cp:lastModifiedBy>Janin</cp:lastModifiedBy>
  <cp:revision>2</cp:revision>
  <cp:lastPrinted>2017-04-19T13:00:00Z</cp:lastPrinted>
  <dcterms:created xsi:type="dcterms:W3CDTF">2017-04-20T08:11:00Z</dcterms:created>
  <dcterms:modified xsi:type="dcterms:W3CDTF">2017-04-20T08:11:00Z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C17/2-F</vt:lpwstr>
  </property>
  <property fmtid="{D5CDD505-2E9C-101B-9397-08002B2CF9AE}" pid="3" name="Docdate">
    <vt:lpwstr>24 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>Point de l'ordre du jour: PL 2.3</vt:lpwstr>
  </property>
  <property fmtid="{D5CDD505-2E9C-101B-9397-08002B2CF9AE}" pid="7" name="Docauthor">
    <vt:lpwstr>Rapport du Secrétaire général</vt:lpwstr>
  </property>
</Properties>
</file>