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635A6">
        <w:trPr>
          <w:cantSplit/>
        </w:trPr>
        <w:tc>
          <w:tcPr>
            <w:tcW w:w="6912" w:type="dxa"/>
          </w:tcPr>
          <w:p w:rsidR="00520F36" w:rsidRPr="00D635A6" w:rsidRDefault="00520F36" w:rsidP="00520F36">
            <w:pPr>
              <w:spacing w:before="360"/>
              <w:rPr>
                <w:rFonts w:asciiTheme="minorHAnsi" w:hAnsiTheme="minorHAnsi"/>
              </w:rPr>
            </w:pPr>
            <w:bookmarkStart w:id="0" w:name="dc06"/>
            <w:bookmarkStart w:id="1" w:name="_GoBack"/>
            <w:bookmarkEnd w:id="0"/>
            <w:bookmarkEnd w:id="1"/>
            <w:r w:rsidRPr="00D635A6">
              <w:rPr>
                <w:rFonts w:asciiTheme="minorHAnsi" w:hAnsiTheme="minorHAnsi"/>
                <w:b/>
                <w:bCs/>
                <w:sz w:val="30"/>
                <w:szCs w:val="30"/>
              </w:rPr>
              <w:t>Conseil 2017</w:t>
            </w:r>
            <w:r w:rsidRPr="00D635A6">
              <w:rPr>
                <w:rFonts w:asciiTheme="minorHAnsi" w:hAnsiTheme="minorHAnsi"/>
                <w:b/>
                <w:bCs/>
                <w:sz w:val="26"/>
                <w:szCs w:val="26"/>
              </w:rPr>
              <w:br/>
            </w:r>
            <w:r w:rsidRPr="00D635A6">
              <w:rPr>
                <w:rFonts w:asciiTheme="minorHAnsi" w:hAnsiTheme="minorHAnsi"/>
                <w:b/>
                <w:bCs/>
                <w:szCs w:val="24"/>
              </w:rPr>
              <w:t>Genève, 15-25 mai 2017</w:t>
            </w:r>
          </w:p>
        </w:tc>
        <w:tc>
          <w:tcPr>
            <w:tcW w:w="3261" w:type="dxa"/>
          </w:tcPr>
          <w:p w:rsidR="00520F36" w:rsidRPr="00D635A6" w:rsidRDefault="00520F36" w:rsidP="00520F36">
            <w:pPr>
              <w:spacing w:before="0"/>
              <w:jc w:val="right"/>
              <w:rPr>
                <w:rFonts w:asciiTheme="minorHAnsi" w:hAnsiTheme="minorHAnsi"/>
              </w:rPr>
            </w:pPr>
            <w:bookmarkStart w:id="2" w:name="ditulogo"/>
            <w:bookmarkEnd w:id="2"/>
            <w:r w:rsidRPr="00D635A6">
              <w:rPr>
                <w:rFonts w:asciiTheme="minorHAnsi" w:hAnsiTheme="minorHAnsi"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635A6" w:rsidTr="00FC2C2D">
        <w:trPr>
          <w:cantSplit/>
          <w:trHeight w:val="20"/>
        </w:trPr>
        <w:tc>
          <w:tcPr>
            <w:tcW w:w="6912" w:type="dxa"/>
            <w:tcBorders>
              <w:bottom w:val="single" w:sz="12" w:space="0" w:color="auto"/>
            </w:tcBorders>
            <w:vAlign w:val="center"/>
          </w:tcPr>
          <w:p w:rsidR="00520F36" w:rsidRPr="00D635A6" w:rsidRDefault="00520F36" w:rsidP="004C37A9">
            <w:pPr>
              <w:spacing w:before="0"/>
              <w:rPr>
                <w:rFonts w:asciiTheme="minorHAnsi" w:hAnsiTheme="minorHAnsi"/>
                <w:b/>
                <w:bCs/>
                <w:sz w:val="26"/>
                <w:szCs w:val="26"/>
              </w:rPr>
            </w:pPr>
          </w:p>
        </w:tc>
        <w:tc>
          <w:tcPr>
            <w:tcW w:w="3261" w:type="dxa"/>
            <w:tcBorders>
              <w:bottom w:val="single" w:sz="12" w:space="0" w:color="auto"/>
            </w:tcBorders>
          </w:tcPr>
          <w:p w:rsidR="00520F36" w:rsidRPr="00D635A6" w:rsidRDefault="00520F36" w:rsidP="00DF74DD">
            <w:pPr>
              <w:spacing w:before="0"/>
              <w:rPr>
                <w:rFonts w:asciiTheme="minorHAnsi" w:hAnsiTheme="minorHAnsi"/>
                <w:b/>
                <w:bCs/>
              </w:rPr>
            </w:pPr>
          </w:p>
        </w:tc>
      </w:tr>
      <w:tr w:rsidR="00520F36" w:rsidRPr="00D635A6">
        <w:trPr>
          <w:cantSplit/>
          <w:trHeight w:val="20"/>
        </w:trPr>
        <w:tc>
          <w:tcPr>
            <w:tcW w:w="6912" w:type="dxa"/>
            <w:tcBorders>
              <w:top w:val="single" w:sz="12" w:space="0" w:color="auto"/>
            </w:tcBorders>
          </w:tcPr>
          <w:p w:rsidR="00520F36" w:rsidRPr="00D635A6" w:rsidRDefault="00520F36" w:rsidP="00DF74DD">
            <w:pPr>
              <w:spacing w:before="0"/>
              <w:rPr>
                <w:rFonts w:asciiTheme="minorHAnsi" w:hAnsiTheme="minorHAnsi"/>
                <w:smallCaps/>
                <w:sz w:val="22"/>
              </w:rPr>
            </w:pPr>
          </w:p>
        </w:tc>
        <w:tc>
          <w:tcPr>
            <w:tcW w:w="3261" w:type="dxa"/>
            <w:tcBorders>
              <w:top w:val="single" w:sz="12" w:space="0" w:color="auto"/>
            </w:tcBorders>
          </w:tcPr>
          <w:p w:rsidR="00520F36" w:rsidRPr="00D635A6" w:rsidRDefault="00520F36" w:rsidP="00DF74DD">
            <w:pPr>
              <w:spacing w:before="0"/>
              <w:rPr>
                <w:rFonts w:asciiTheme="minorHAnsi" w:hAnsiTheme="minorHAnsi"/>
                <w:b/>
                <w:bCs/>
              </w:rPr>
            </w:pPr>
          </w:p>
        </w:tc>
      </w:tr>
      <w:tr w:rsidR="00520F36" w:rsidRPr="00D635A6">
        <w:trPr>
          <w:cantSplit/>
          <w:trHeight w:val="20"/>
        </w:trPr>
        <w:tc>
          <w:tcPr>
            <w:tcW w:w="6912" w:type="dxa"/>
            <w:vMerge w:val="restart"/>
          </w:tcPr>
          <w:p w:rsidR="00520F36" w:rsidRPr="00D635A6" w:rsidRDefault="00E921C5" w:rsidP="00DF74DD">
            <w:pPr>
              <w:spacing w:before="0"/>
              <w:rPr>
                <w:rFonts w:asciiTheme="minorHAnsi" w:hAnsiTheme="minorHAnsi" w:cs="Times"/>
                <w:b/>
                <w:bCs/>
                <w:szCs w:val="24"/>
              </w:rPr>
            </w:pPr>
            <w:bookmarkStart w:id="3" w:name="dnum" w:colFirst="1" w:colLast="1"/>
            <w:bookmarkStart w:id="4" w:name="dmeeting" w:colFirst="0" w:colLast="0"/>
            <w:r w:rsidRPr="00D635A6">
              <w:rPr>
                <w:rFonts w:asciiTheme="minorHAnsi" w:hAnsiTheme="minorHAnsi" w:cs="Times"/>
                <w:b/>
                <w:bCs/>
                <w:szCs w:val="24"/>
              </w:rPr>
              <w:t>Point de l'ordre du jour: PL 1.16</w:t>
            </w:r>
          </w:p>
        </w:tc>
        <w:tc>
          <w:tcPr>
            <w:tcW w:w="3261" w:type="dxa"/>
          </w:tcPr>
          <w:p w:rsidR="00520F36" w:rsidRPr="00D635A6" w:rsidRDefault="00520F36" w:rsidP="00520F36">
            <w:pPr>
              <w:spacing w:before="0"/>
              <w:rPr>
                <w:rFonts w:asciiTheme="minorHAnsi" w:hAnsiTheme="minorHAnsi"/>
                <w:b/>
                <w:bCs/>
              </w:rPr>
            </w:pPr>
            <w:r w:rsidRPr="00D635A6">
              <w:rPr>
                <w:rFonts w:asciiTheme="minorHAnsi" w:hAnsiTheme="minorHAnsi"/>
                <w:b/>
                <w:bCs/>
              </w:rPr>
              <w:t>Document C17/</w:t>
            </w:r>
            <w:r w:rsidR="00E921C5" w:rsidRPr="00D635A6">
              <w:rPr>
                <w:rFonts w:asciiTheme="minorHAnsi" w:hAnsiTheme="minorHAnsi"/>
                <w:b/>
                <w:bCs/>
              </w:rPr>
              <w:t>29</w:t>
            </w:r>
            <w:r w:rsidRPr="00D635A6">
              <w:rPr>
                <w:rFonts w:asciiTheme="minorHAnsi" w:hAnsiTheme="minorHAnsi"/>
                <w:b/>
                <w:bCs/>
              </w:rPr>
              <w:t>-F</w:t>
            </w:r>
          </w:p>
        </w:tc>
      </w:tr>
      <w:tr w:rsidR="00520F36" w:rsidRPr="00D635A6">
        <w:trPr>
          <w:cantSplit/>
          <w:trHeight w:val="20"/>
        </w:trPr>
        <w:tc>
          <w:tcPr>
            <w:tcW w:w="6912" w:type="dxa"/>
            <w:vMerge/>
          </w:tcPr>
          <w:p w:rsidR="00520F36" w:rsidRPr="00D635A6" w:rsidRDefault="00520F36" w:rsidP="00DF74DD">
            <w:pPr>
              <w:shd w:val="solid" w:color="FFFFFF" w:fill="FFFFFF"/>
              <w:spacing w:before="180"/>
              <w:rPr>
                <w:rFonts w:asciiTheme="minorHAnsi" w:hAnsiTheme="minorHAnsi"/>
                <w:smallCaps/>
              </w:rPr>
            </w:pPr>
            <w:bookmarkStart w:id="5" w:name="ddate" w:colFirst="1" w:colLast="1"/>
            <w:bookmarkEnd w:id="3"/>
            <w:bookmarkEnd w:id="4"/>
          </w:p>
        </w:tc>
        <w:tc>
          <w:tcPr>
            <w:tcW w:w="3261" w:type="dxa"/>
          </w:tcPr>
          <w:p w:rsidR="00520F36" w:rsidRPr="00D635A6" w:rsidRDefault="00E921C5" w:rsidP="00520F36">
            <w:pPr>
              <w:spacing w:before="0"/>
              <w:rPr>
                <w:rFonts w:asciiTheme="minorHAnsi" w:hAnsiTheme="minorHAnsi"/>
                <w:b/>
                <w:bCs/>
              </w:rPr>
            </w:pPr>
            <w:r w:rsidRPr="00D635A6">
              <w:rPr>
                <w:rFonts w:asciiTheme="minorHAnsi" w:hAnsiTheme="minorHAnsi"/>
                <w:b/>
                <w:bCs/>
              </w:rPr>
              <w:t>31 mars</w:t>
            </w:r>
            <w:r w:rsidR="00520F36" w:rsidRPr="00D635A6">
              <w:rPr>
                <w:rFonts w:asciiTheme="minorHAnsi" w:hAnsiTheme="minorHAnsi"/>
                <w:b/>
                <w:bCs/>
              </w:rPr>
              <w:t xml:space="preserve"> 2017</w:t>
            </w:r>
          </w:p>
        </w:tc>
      </w:tr>
      <w:tr w:rsidR="00520F36" w:rsidRPr="00D635A6">
        <w:trPr>
          <w:cantSplit/>
          <w:trHeight w:val="20"/>
        </w:trPr>
        <w:tc>
          <w:tcPr>
            <w:tcW w:w="6912" w:type="dxa"/>
            <w:vMerge/>
          </w:tcPr>
          <w:p w:rsidR="00520F36" w:rsidRPr="00D635A6" w:rsidRDefault="00520F36" w:rsidP="00DF74DD">
            <w:pPr>
              <w:shd w:val="solid" w:color="FFFFFF" w:fill="FFFFFF"/>
              <w:spacing w:before="180"/>
              <w:rPr>
                <w:rFonts w:asciiTheme="minorHAnsi" w:hAnsiTheme="minorHAnsi"/>
                <w:smallCaps/>
              </w:rPr>
            </w:pPr>
            <w:bookmarkStart w:id="6" w:name="dorlang" w:colFirst="1" w:colLast="1"/>
            <w:bookmarkEnd w:id="5"/>
          </w:p>
        </w:tc>
        <w:tc>
          <w:tcPr>
            <w:tcW w:w="3261" w:type="dxa"/>
          </w:tcPr>
          <w:p w:rsidR="00520F36" w:rsidRPr="00D635A6" w:rsidRDefault="00520F36" w:rsidP="00520F36">
            <w:pPr>
              <w:spacing w:before="0"/>
              <w:rPr>
                <w:rFonts w:asciiTheme="minorHAnsi" w:hAnsiTheme="minorHAnsi"/>
                <w:b/>
                <w:bCs/>
              </w:rPr>
            </w:pPr>
            <w:r w:rsidRPr="00D635A6">
              <w:rPr>
                <w:rFonts w:asciiTheme="minorHAnsi" w:hAnsiTheme="minorHAnsi"/>
                <w:b/>
                <w:bCs/>
              </w:rPr>
              <w:t>Original: anglais</w:t>
            </w:r>
          </w:p>
        </w:tc>
      </w:tr>
      <w:tr w:rsidR="00520F36" w:rsidRPr="00D635A6">
        <w:trPr>
          <w:cantSplit/>
        </w:trPr>
        <w:tc>
          <w:tcPr>
            <w:tcW w:w="10173" w:type="dxa"/>
            <w:gridSpan w:val="2"/>
          </w:tcPr>
          <w:p w:rsidR="00520F36" w:rsidRPr="00D635A6" w:rsidRDefault="00E921C5" w:rsidP="00DF74DD">
            <w:pPr>
              <w:pStyle w:val="Source"/>
              <w:rPr>
                <w:rFonts w:asciiTheme="minorHAnsi" w:hAnsiTheme="minorHAnsi"/>
              </w:rPr>
            </w:pPr>
            <w:bookmarkStart w:id="7" w:name="dsource" w:colFirst="0" w:colLast="0"/>
            <w:bookmarkEnd w:id="6"/>
            <w:r w:rsidRPr="00D635A6">
              <w:rPr>
                <w:rFonts w:asciiTheme="minorHAnsi" w:hAnsiTheme="minorHAnsi"/>
              </w:rPr>
              <w:t>Rapport du Secrétaire général</w:t>
            </w:r>
          </w:p>
        </w:tc>
      </w:tr>
      <w:tr w:rsidR="00520F36" w:rsidRPr="00D635A6">
        <w:trPr>
          <w:cantSplit/>
        </w:trPr>
        <w:tc>
          <w:tcPr>
            <w:tcW w:w="10173" w:type="dxa"/>
            <w:gridSpan w:val="2"/>
          </w:tcPr>
          <w:p w:rsidR="00520F36" w:rsidRPr="00D635A6" w:rsidRDefault="00E921C5" w:rsidP="00DF74DD">
            <w:pPr>
              <w:pStyle w:val="Title1"/>
              <w:rPr>
                <w:rFonts w:asciiTheme="minorHAnsi" w:hAnsiTheme="minorHAnsi"/>
              </w:rPr>
            </w:pPr>
            <w:bookmarkStart w:id="8" w:name="dtitle1" w:colFirst="0" w:colLast="0"/>
            <w:bookmarkEnd w:id="7"/>
            <w:r w:rsidRPr="00D635A6">
              <w:rPr>
                <w:rFonts w:asciiTheme="minorHAnsi" w:hAnsiTheme="minorHAnsi"/>
                <w:szCs w:val="28"/>
              </w:rPr>
              <w:t xml:space="preserve">PROJET DE PLAN OPÉRATIONNEL QUADRIENNAL GLISSANT du SECTEUR </w:t>
            </w:r>
            <w:r w:rsidRPr="00D635A6">
              <w:rPr>
                <w:rFonts w:asciiTheme="minorHAnsi" w:hAnsiTheme="minorHAnsi"/>
                <w:szCs w:val="28"/>
              </w:rPr>
              <w:br/>
              <w:t>DE LA NORMALISATION DES TÉLÉCOMMUNICATIONS</w:t>
            </w:r>
            <w:r w:rsidRPr="00D635A6">
              <w:rPr>
                <w:rFonts w:asciiTheme="minorHAnsi" w:hAnsiTheme="minorHAnsi"/>
                <w:szCs w:val="28"/>
              </w:rPr>
              <w:br/>
              <w:t>POUR LA PÉRIODE 2018-2021</w:t>
            </w:r>
          </w:p>
        </w:tc>
      </w:tr>
      <w:bookmarkEnd w:id="8"/>
    </w:tbl>
    <w:p w:rsidR="00520F36" w:rsidRPr="00D635A6" w:rsidRDefault="00520F36">
      <w:pPr>
        <w:rPr>
          <w:rFonts w:asciiTheme="minorHAnsi" w:hAnsiTheme="minorHAnsi"/>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635A6">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635A6" w:rsidRDefault="00520F36">
            <w:pPr>
              <w:pStyle w:val="Headingb"/>
              <w:rPr>
                <w:rFonts w:asciiTheme="minorHAnsi" w:hAnsiTheme="minorHAnsi"/>
              </w:rPr>
            </w:pPr>
            <w:r w:rsidRPr="00D635A6">
              <w:rPr>
                <w:rFonts w:asciiTheme="minorHAnsi" w:hAnsiTheme="minorHAnsi"/>
              </w:rPr>
              <w:t>Résumé</w:t>
            </w:r>
          </w:p>
          <w:p w:rsidR="00E921C5" w:rsidRPr="00D635A6" w:rsidRDefault="00E921C5" w:rsidP="00E921C5">
            <w:pPr>
              <w:rPr>
                <w:rFonts w:asciiTheme="minorHAnsi" w:hAnsiTheme="minorHAnsi"/>
                <w:bCs/>
              </w:rPr>
            </w:pPr>
            <w:r w:rsidRPr="00D635A6">
              <w:rPr>
                <w:rFonts w:asciiTheme="minorHAnsi" w:hAnsiTheme="minorHAnsi"/>
              </w:rPr>
              <w:t xml:space="preserve">Le présent document contient un </w:t>
            </w:r>
            <w:r w:rsidRPr="00D635A6">
              <w:rPr>
                <w:rFonts w:asciiTheme="minorHAnsi" w:hAnsiTheme="minorHAnsi"/>
                <w:bCs/>
              </w:rPr>
              <w:t>résumé</w:t>
            </w:r>
            <w:r w:rsidRPr="00D635A6">
              <w:rPr>
                <w:rFonts w:asciiTheme="minorHAnsi" w:hAnsiTheme="minorHAnsi"/>
              </w:rPr>
              <w:t xml:space="preserve"> et les principaux éléments du projet de Plan opérationnel quadriennal glissant du Secteur de la normalisation des télécommunications (UIT-T) pour la période 2018-2021.</w:t>
            </w:r>
          </w:p>
          <w:p w:rsidR="00520F36" w:rsidRPr="00D635A6" w:rsidRDefault="00E921C5" w:rsidP="00597463">
            <w:pPr>
              <w:rPr>
                <w:rFonts w:asciiTheme="minorHAnsi" w:hAnsiTheme="minorHAnsi"/>
              </w:rPr>
            </w:pPr>
            <w:r w:rsidRPr="00D635A6">
              <w:rPr>
                <w:rFonts w:asciiTheme="minorHAnsi" w:hAnsiTheme="minorHAnsi"/>
              </w:rPr>
              <w:t>Ce Plan est publié conformément au numéro 205A de l'article 15 de la Convention de l'UIT, aux termes duquel</w:t>
            </w:r>
            <w:r w:rsidR="00597463" w:rsidRPr="00D635A6">
              <w:rPr>
                <w:rFonts w:asciiTheme="minorHAnsi" w:hAnsiTheme="minorHAnsi"/>
              </w:rPr>
              <w:t xml:space="preserve"> </w:t>
            </w:r>
            <w:r w:rsidRPr="00D635A6">
              <w:rPr>
                <w:rFonts w:asciiTheme="minorHAnsi" w:hAnsiTheme="minorHAnsi"/>
              </w:rPr>
              <w:t>le Plan opérationnel de quatre ans couvrant les activités que doit entreprendre le Bureau de la normalisation des télécommunications est établi chaque année.</w:t>
            </w:r>
          </w:p>
          <w:p w:rsidR="00520F36" w:rsidRPr="00D635A6" w:rsidRDefault="00520F36">
            <w:pPr>
              <w:pStyle w:val="Headingb"/>
              <w:rPr>
                <w:rFonts w:asciiTheme="minorHAnsi" w:hAnsiTheme="minorHAnsi"/>
              </w:rPr>
            </w:pPr>
            <w:r w:rsidRPr="00D635A6">
              <w:rPr>
                <w:rFonts w:asciiTheme="minorHAnsi" w:hAnsiTheme="minorHAnsi"/>
              </w:rPr>
              <w:t>Suite à donner</w:t>
            </w:r>
          </w:p>
          <w:p w:rsidR="00520F36" w:rsidRPr="00D635A6" w:rsidRDefault="00E921C5">
            <w:pPr>
              <w:rPr>
                <w:rFonts w:asciiTheme="minorHAnsi" w:hAnsiTheme="minorHAnsi"/>
              </w:rPr>
            </w:pPr>
            <w:r w:rsidRPr="00D635A6">
              <w:rPr>
                <w:rFonts w:asciiTheme="minorHAnsi" w:hAnsiTheme="minorHAnsi"/>
              </w:rPr>
              <w:t xml:space="preserve">Le Conseil est invité à </w:t>
            </w:r>
            <w:r w:rsidRPr="00D635A6">
              <w:rPr>
                <w:rFonts w:asciiTheme="minorHAnsi" w:hAnsiTheme="minorHAnsi"/>
                <w:bCs/>
              </w:rPr>
              <w:t xml:space="preserve">examiner </w:t>
            </w:r>
            <w:r w:rsidRPr="00D635A6">
              <w:rPr>
                <w:rFonts w:asciiTheme="minorHAnsi" w:hAnsiTheme="minorHAnsi"/>
              </w:rPr>
              <w:t>et à</w:t>
            </w:r>
            <w:r w:rsidRPr="00D635A6">
              <w:rPr>
                <w:rFonts w:asciiTheme="minorHAnsi" w:hAnsiTheme="minorHAnsi"/>
                <w:bCs/>
              </w:rPr>
              <w:t xml:space="preserve"> approuver</w:t>
            </w:r>
            <w:r w:rsidRPr="00D635A6">
              <w:rPr>
                <w:rFonts w:asciiTheme="minorHAnsi" w:hAnsiTheme="minorHAnsi"/>
              </w:rPr>
              <w:t xml:space="preserve"> le projet de Plan opérationnel quadriennal glissant de l'UIT-T pour la période 2018-2021 et à </w:t>
            </w:r>
            <w:r w:rsidRPr="00D635A6">
              <w:rPr>
                <w:rFonts w:asciiTheme="minorHAnsi" w:hAnsiTheme="minorHAnsi"/>
                <w:bCs/>
              </w:rPr>
              <w:t>adopter</w:t>
            </w:r>
            <w:r w:rsidRPr="00D635A6">
              <w:rPr>
                <w:rFonts w:asciiTheme="minorHAnsi" w:hAnsiTheme="minorHAnsi"/>
              </w:rPr>
              <w:t xml:space="preserve"> le projet de Résolution présenté dans le Document </w:t>
            </w:r>
            <w:hyperlink r:id="rId8" w:history="1">
              <w:r w:rsidRPr="00D635A6">
                <w:rPr>
                  <w:rStyle w:val="Hyperlink"/>
                  <w:rFonts w:asciiTheme="minorHAnsi" w:hAnsiTheme="minorHAnsi"/>
                </w:rPr>
                <w:t>C17/32</w:t>
              </w:r>
            </w:hyperlink>
            <w:r w:rsidRPr="00D635A6">
              <w:rPr>
                <w:rFonts w:asciiTheme="minorHAnsi" w:hAnsiTheme="minorHAnsi"/>
              </w:rPr>
              <w:t>.</w:t>
            </w:r>
          </w:p>
          <w:p w:rsidR="00520F36" w:rsidRPr="00D635A6" w:rsidRDefault="00520F36">
            <w:pPr>
              <w:pStyle w:val="Table"/>
              <w:keepNext w:val="0"/>
              <w:spacing w:before="0" w:after="0"/>
              <w:rPr>
                <w:rFonts w:asciiTheme="minorHAnsi" w:hAnsiTheme="minorHAnsi"/>
                <w:caps w:val="0"/>
                <w:sz w:val="22"/>
                <w:lang w:val="fr-FR"/>
              </w:rPr>
            </w:pPr>
            <w:r w:rsidRPr="00D635A6">
              <w:rPr>
                <w:rFonts w:asciiTheme="minorHAnsi" w:hAnsiTheme="minorHAnsi"/>
                <w:caps w:val="0"/>
                <w:sz w:val="22"/>
                <w:lang w:val="fr-FR"/>
              </w:rPr>
              <w:t>____________</w:t>
            </w:r>
          </w:p>
          <w:p w:rsidR="00520F36" w:rsidRPr="00D635A6" w:rsidRDefault="00520F36">
            <w:pPr>
              <w:pStyle w:val="Headingb"/>
              <w:rPr>
                <w:rFonts w:asciiTheme="minorHAnsi" w:hAnsiTheme="minorHAnsi"/>
              </w:rPr>
            </w:pPr>
            <w:r w:rsidRPr="00D635A6">
              <w:rPr>
                <w:rFonts w:asciiTheme="minorHAnsi" w:hAnsiTheme="minorHAnsi"/>
              </w:rPr>
              <w:t>Références</w:t>
            </w:r>
          </w:p>
          <w:p w:rsidR="00520F36" w:rsidRPr="00D635A6" w:rsidRDefault="00F94A39" w:rsidP="00597463">
            <w:pPr>
              <w:spacing w:after="120"/>
              <w:rPr>
                <w:rFonts w:asciiTheme="minorHAnsi" w:hAnsiTheme="minorHAnsi"/>
                <w:i/>
                <w:iCs/>
              </w:rPr>
            </w:pPr>
            <w:hyperlink r:id="rId9" w:history="1">
              <w:r w:rsidR="00E921C5" w:rsidRPr="00D635A6">
                <w:rPr>
                  <w:rStyle w:val="Hyperlink"/>
                  <w:rFonts w:asciiTheme="minorHAnsi" w:hAnsiTheme="minorHAnsi"/>
                  <w:i/>
                  <w:iCs/>
                </w:rPr>
                <w:t>Article 15, numéro 205A de la Convention</w:t>
              </w:r>
            </w:hyperlink>
            <w:r w:rsidR="00E921C5" w:rsidRPr="00D635A6">
              <w:rPr>
                <w:rStyle w:val="Hyperlink"/>
                <w:rFonts w:asciiTheme="minorHAnsi" w:hAnsiTheme="minorHAnsi"/>
                <w:i/>
                <w:iCs/>
              </w:rPr>
              <w:br/>
            </w:r>
            <w:hyperlink r:id="rId10" w:history="1">
              <w:r w:rsidR="00E921C5" w:rsidRPr="00D635A6">
                <w:rPr>
                  <w:rStyle w:val="Hyperlink"/>
                  <w:rFonts w:asciiTheme="minorHAnsi" w:hAnsiTheme="minorHAnsi"/>
                  <w:i/>
                  <w:iCs/>
                </w:rPr>
                <w:t>Résolution 71 (Rév. Busan, 2014)</w:t>
              </w:r>
            </w:hyperlink>
            <w:r w:rsidR="00E921C5" w:rsidRPr="00D635A6">
              <w:rPr>
                <w:rFonts w:asciiTheme="minorHAnsi" w:hAnsiTheme="minorHAnsi"/>
                <w:i/>
                <w:iCs/>
              </w:rPr>
              <w:t xml:space="preserve">; </w:t>
            </w:r>
            <w:hyperlink r:id="rId11" w:history="1">
              <w:r w:rsidR="00E921C5" w:rsidRPr="00D635A6">
                <w:rPr>
                  <w:rStyle w:val="Hyperlink"/>
                  <w:rFonts w:asciiTheme="minorHAnsi" w:hAnsiTheme="minorHAnsi"/>
                  <w:i/>
                  <w:iCs/>
                </w:rPr>
                <w:t>Résolution 72 (Rév. Busan, 2014)</w:t>
              </w:r>
            </w:hyperlink>
          </w:p>
        </w:tc>
      </w:tr>
    </w:tbl>
    <w:p w:rsidR="00E921C5" w:rsidRPr="00D635A6" w:rsidRDefault="00E921C5" w:rsidP="00CA08ED">
      <w:pPr>
        <w:rPr>
          <w:rFonts w:asciiTheme="minorHAnsi" w:hAnsiTheme="minorHAnsi"/>
        </w:rPr>
        <w:sectPr w:rsidR="00E921C5" w:rsidRPr="00D635A6" w:rsidSect="005C3890">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sectPr>
      </w:pPr>
    </w:p>
    <w:p w:rsidR="00E921C5" w:rsidRPr="00D635A6" w:rsidRDefault="00E921C5" w:rsidP="006F5A3B">
      <w:pPr>
        <w:pStyle w:val="Heading1"/>
        <w:spacing w:before="240"/>
        <w:rPr>
          <w:rFonts w:eastAsiaTheme="majorEastAsia"/>
        </w:rPr>
      </w:pPr>
      <w:r w:rsidRPr="00D635A6">
        <w:rPr>
          <w:rFonts w:eastAsiaTheme="majorEastAsia"/>
        </w:rPr>
        <w:lastRenderedPageBreak/>
        <w:t>1</w:t>
      </w:r>
      <w:r w:rsidRPr="00D635A6">
        <w:rPr>
          <w:rFonts w:eastAsiaTheme="majorEastAsia"/>
        </w:rPr>
        <w:tab/>
        <w:t>Introduction</w:t>
      </w:r>
    </w:p>
    <w:p w:rsidR="00E921C5" w:rsidRPr="00D635A6" w:rsidRDefault="00E921C5" w:rsidP="00E921C5">
      <w:pPr>
        <w:spacing w:after="120"/>
        <w:jc w:val="both"/>
        <w:rPr>
          <w:rFonts w:asciiTheme="minorHAnsi" w:hAnsiTheme="minorHAnsi"/>
        </w:rPr>
      </w:pPr>
      <w:r w:rsidRPr="00D635A6">
        <w:rPr>
          <w:rFonts w:asciiTheme="minorHAnsi" w:hAnsiTheme="minorHAnsi"/>
        </w:rPr>
        <w:t>Le Plan opérationnel quadriennal glissant du Secteur de la normalisation des télécommunications de l'UIT (UIT-T) est établi dans le strict respect du Plan stratégique de l'UIT pour la période 2016-2019, dans les limites fixées dans le Plan financier pour la période 2016 2019 et dans les budgets biennaux correspondants. La structure du Plan est conforme au cadre de présentation des résultats de l'UIT-T, qui consiste à décrire les objectifs de l'UIT-T, les résultats associés et les indicateurs servant à mesurer les progrès accomplis en vue d'obtenir ces résultats, ainsi que les produits (produits et services) résultant des activités du Secteur.</w:t>
      </w:r>
    </w:p>
    <w:p w:rsidR="00E921C5" w:rsidRPr="00D635A6" w:rsidRDefault="00E921C5" w:rsidP="00E921C5">
      <w:pPr>
        <w:spacing w:after="120"/>
        <w:jc w:val="both"/>
        <w:rPr>
          <w:rFonts w:asciiTheme="minorHAnsi" w:hAnsiTheme="minorHAnsi"/>
        </w:rPr>
      </w:pPr>
      <w:r w:rsidRPr="00D635A6">
        <w:rPr>
          <w:rFonts w:asciiTheme="minorHAnsi" w:hAnsiTheme="minorHAnsi"/>
        </w:rPr>
        <w:t>La planification, la mise en oeuvre et le processus de suivi et d'évaluation pour le Bureau de la normalisation des télécommunications (TSB) seront effectués par les mécanismes internes suivants:</w:t>
      </w:r>
    </w:p>
    <w:p w:rsidR="00E921C5" w:rsidRPr="00D635A6" w:rsidRDefault="00E921C5" w:rsidP="00E921C5">
      <w:pPr>
        <w:pStyle w:val="enumlev1"/>
        <w:rPr>
          <w:rFonts w:asciiTheme="minorHAnsi" w:hAnsiTheme="minorHAnsi"/>
          <w:i/>
          <w:iCs/>
        </w:rPr>
      </w:pPr>
      <w:r w:rsidRPr="00D635A6">
        <w:rPr>
          <w:rFonts w:asciiTheme="minorHAnsi" w:hAnsiTheme="minorHAnsi"/>
          <w:i/>
          <w:iCs/>
        </w:rPr>
        <w:t>i)</w:t>
      </w:r>
      <w:r w:rsidRPr="00D635A6">
        <w:rPr>
          <w:rFonts w:asciiTheme="minorHAnsi" w:hAnsiTheme="minorHAnsi"/>
          <w:i/>
          <w:iCs/>
        </w:rPr>
        <w:tab/>
        <w:t xml:space="preserve">les programmes de travail des départements et divisions du Bureau de la normalisation des télécommunications; et </w:t>
      </w:r>
    </w:p>
    <w:p w:rsidR="00E921C5" w:rsidRPr="00D635A6" w:rsidRDefault="00E921C5" w:rsidP="00E921C5">
      <w:pPr>
        <w:pStyle w:val="enumlev1"/>
        <w:rPr>
          <w:rFonts w:asciiTheme="minorHAnsi" w:hAnsiTheme="minorHAnsi"/>
          <w:i/>
          <w:iCs/>
          <w:noProof/>
          <w:lang w:eastAsia="zh-CN"/>
        </w:rPr>
      </w:pPr>
      <w:r w:rsidRPr="00D635A6">
        <w:rPr>
          <w:rFonts w:asciiTheme="minorHAnsi" w:hAnsiTheme="minorHAnsi"/>
          <w:i/>
          <w:iCs/>
        </w:rPr>
        <w:t>ii)</w:t>
      </w:r>
      <w:r w:rsidRPr="00D635A6">
        <w:rPr>
          <w:rFonts w:asciiTheme="minorHAnsi" w:hAnsiTheme="minorHAnsi"/>
          <w:i/>
          <w:iCs/>
        </w:rPr>
        <w:tab/>
        <w:t>les accords de niveau de service (SLA) pour la planification, le suivi et l'évaluation des services d'appui.</w:t>
      </w:r>
      <w:r w:rsidRPr="00D635A6">
        <w:rPr>
          <w:rFonts w:asciiTheme="minorHAnsi" w:hAnsiTheme="minorHAnsi"/>
          <w:i/>
          <w:iCs/>
          <w:noProof/>
          <w:lang w:eastAsia="zh-CN"/>
        </w:rPr>
        <w:t xml:space="preserve"> </w:t>
      </w:r>
    </w:p>
    <w:p w:rsidR="00E921C5" w:rsidRPr="00D635A6" w:rsidRDefault="00FC2C2D" w:rsidP="00FC2C2D">
      <w:pPr>
        <w:jc w:val="center"/>
        <w:rPr>
          <w:rFonts w:asciiTheme="minorHAnsi" w:hAnsiTheme="minorHAnsi"/>
        </w:rPr>
      </w:pPr>
      <w:r w:rsidRPr="00D635A6">
        <w:rPr>
          <w:rFonts w:asciiTheme="minorHAnsi" w:hAnsiTheme="minorHAnsi"/>
        </w:rPr>
        <w:object w:dxaOrig="7155" w:dyaOrig="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59.5pt" o:ole="">
            <v:imagedata r:id="rId17" o:title="" croptop="13833f"/>
          </v:shape>
          <o:OLEObject Type="Embed" ProgID="PowerPoint.Slide.12" ShapeID="_x0000_i1025" DrawAspect="Content" ObjectID="_1554094642" r:id="rId18"/>
        </w:object>
      </w:r>
    </w:p>
    <w:p w:rsidR="00E921C5" w:rsidRPr="00D635A6" w:rsidRDefault="00E921C5" w:rsidP="00FC2C2D">
      <w:pPr>
        <w:pStyle w:val="Figuretitle"/>
        <w:keepNext w:val="0"/>
        <w:spacing w:before="0" w:after="240"/>
        <w:rPr>
          <w:i/>
          <w:iCs/>
        </w:rPr>
      </w:pPr>
      <w:bookmarkStart w:id="9" w:name="_Ref404966541"/>
      <w:r w:rsidRPr="00D635A6">
        <w:t xml:space="preserve">Figure </w:t>
      </w:r>
      <w:bookmarkEnd w:id="9"/>
      <w:r w:rsidRPr="00D635A6">
        <w:t>1 – Plan opérationnel de l'UIT-T et cadre stratégique de l'UIT pour la période 2018-2021</w:t>
      </w:r>
    </w:p>
    <w:p w:rsidR="00E921C5" w:rsidRPr="00D635A6" w:rsidRDefault="00E921C5" w:rsidP="00FC2C2D">
      <w:pPr>
        <w:pStyle w:val="Heading1"/>
        <w:rPr>
          <w:rFonts w:eastAsiaTheme="majorEastAsia"/>
        </w:rPr>
      </w:pPr>
      <w:r w:rsidRPr="00D635A6">
        <w:rPr>
          <w:rFonts w:eastAsiaTheme="majorEastAsia"/>
        </w:rPr>
        <w:lastRenderedPageBreak/>
        <w:t>2</w:t>
      </w:r>
      <w:r w:rsidRPr="00D635A6">
        <w:rPr>
          <w:rFonts w:eastAsiaTheme="majorEastAsia"/>
        </w:rPr>
        <w:tab/>
        <w:t>Contexte et priorités essentielles pour le Secteur de l'UIT-T</w:t>
      </w:r>
    </w:p>
    <w:p w:rsidR="00E921C5" w:rsidRPr="00D635A6" w:rsidRDefault="00E921C5" w:rsidP="00E921C5">
      <w:pPr>
        <w:rPr>
          <w:rFonts w:asciiTheme="minorHAnsi" w:hAnsiTheme="minorHAnsi"/>
        </w:rPr>
      </w:pPr>
      <w:r w:rsidRPr="00D635A6">
        <w:rPr>
          <w:rFonts w:asciiTheme="minorHAnsi" w:hAnsiTheme="minorHAnsi"/>
        </w:rPr>
        <w:t>Le Secteur de la normalisation des télécommunications de l'UIT (UIT-T) exerce ses activités dans un environnement et un écosystème concurrentiels, complexes et en évolution rapide.</w:t>
      </w:r>
    </w:p>
    <w:p w:rsidR="00E921C5" w:rsidRPr="00D635A6" w:rsidRDefault="00E921C5" w:rsidP="00E921C5">
      <w:pPr>
        <w:rPr>
          <w:rFonts w:asciiTheme="minorHAnsi" w:hAnsiTheme="minorHAnsi"/>
        </w:rPr>
      </w:pPr>
      <w:r w:rsidRPr="00D635A6">
        <w:rPr>
          <w:rFonts w:asciiTheme="minorHAnsi" w:hAnsiTheme="minorHAnsi"/>
        </w:rPr>
        <w:t>Il faut des normes internationales de grande qualité et répondant à la demande, qui devraient être élaborées rapidement suivant les principes de connectivité mondiale, d'ouverture, d'accessibilité financière, de fiabilité, d'interopérabilité et de sûreté. Des technologies clés, permettant de nouveaux services et de nouvelles applications et favorisant l'édification de la société de l'information, voient le jour et devraient être prises en compte dans les activités de l'UIT-T.</w:t>
      </w:r>
    </w:p>
    <w:p w:rsidR="00E921C5" w:rsidRPr="00D635A6" w:rsidRDefault="00E921C5" w:rsidP="00E921C5">
      <w:pPr>
        <w:rPr>
          <w:rFonts w:asciiTheme="minorHAnsi" w:hAnsiTheme="minorHAnsi"/>
        </w:rPr>
      </w:pPr>
      <w:r w:rsidRPr="00D635A6">
        <w:rPr>
          <w:rFonts w:asciiTheme="minorHAnsi" w:hAnsiTheme="minorHAnsi"/>
        </w:rPr>
        <w:t>Indépendamment des membres actuels de l'UIT-T, qu'il convient de garder, il faut attirer et encourager de nouveaux membres de l'industrie et du monde universitaire et promouvoir la participation des pays en développement au processus de normalisation ("Réduire l'écart en matière de normalisation").</w:t>
      </w:r>
    </w:p>
    <w:p w:rsidR="00E921C5" w:rsidRPr="00D635A6" w:rsidRDefault="00E921C5" w:rsidP="00E921C5">
      <w:pPr>
        <w:rPr>
          <w:rFonts w:asciiTheme="minorHAnsi" w:hAnsiTheme="minorHAnsi"/>
        </w:rPr>
      </w:pPr>
      <w:r w:rsidRPr="00D635A6">
        <w:rPr>
          <w:rFonts w:asciiTheme="minorHAnsi" w:hAnsiTheme="minorHAnsi"/>
        </w:rPr>
        <w:t>La coopération et la collaboration avec d'autres organismes de normalisation ainsi que les consortiums et forums compétents sont indispensables pour éviter au maximum les incompatibilités entre les travaux, parvenir à une utilisation efficace des ressources et intégrer des compétences extérieures à l'UIT.</w:t>
      </w:r>
    </w:p>
    <w:p w:rsidR="00E921C5" w:rsidRPr="00D635A6" w:rsidRDefault="00E921C5" w:rsidP="00E921C5">
      <w:pPr>
        <w:rPr>
          <w:rFonts w:asciiTheme="minorHAnsi" w:hAnsiTheme="minorHAnsi"/>
        </w:rPr>
      </w:pPr>
      <w:r w:rsidRPr="00D635A6">
        <w:rPr>
          <w:rFonts w:asciiTheme="minorHAnsi" w:hAnsiTheme="minorHAnsi"/>
        </w:rPr>
        <w:t>La révision du Règlement des télécommunications internationales (RTI) établira un cadre mondial réaménagé pour les activités de l'UIT-T.</w:t>
      </w:r>
    </w:p>
    <w:p w:rsidR="00E921C5" w:rsidRPr="00D635A6" w:rsidRDefault="00E921C5" w:rsidP="00FC2C2D">
      <w:pPr>
        <w:pStyle w:val="Heading1"/>
        <w:rPr>
          <w:rFonts w:eastAsiaTheme="majorEastAsia"/>
        </w:rPr>
      </w:pPr>
      <w:r w:rsidRPr="00D635A6">
        <w:rPr>
          <w:rFonts w:eastAsiaTheme="majorEastAsia"/>
        </w:rPr>
        <w:lastRenderedPageBreak/>
        <w:t>3</w:t>
      </w:r>
      <w:r w:rsidRPr="00D635A6">
        <w:rPr>
          <w:rFonts w:eastAsiaTheme="majorEastAsia"/>
        </w:rPr>
        <w:tab/>
        <w:t>Cadre de présentation des résultats de l'UIT-T pour la période 2018-2021</w:t>
      </w:r>
    </w:p>
    <w:p w:rsidR="00E921C5" w:rsidRPr="00D635A6" w:rsidRDefault="00E921C5" w:rsidP="00FC2C2D">
      <w:pPr>
        <w:pStyle w:val="Heading2"/>
        <w:spacing w:after="120"/>
        <w:rPr>
          <w:rFonts w:eastAsiaTheme="majorEastAsia"/>
        </w:rPr>
      </w:pPr>
      <w:r w:rsidRPr="00D635A6">
        <w:rPr>
          <w:rFonts w:eastAsiaTheme="majorEastAsia"/>
        </w:rPr>
        <w:t>3.1</w:t>
      </w:r>
      <w:r w:rsidRPr="00D635A6">
        <w:rPr>
          <w:rFonts w:eastAsiaTheme="majorEastAsia"/>
        </w:rPr>
        <w:tab/>
        <w:t>Lien avec les buts stratégiques de l'UIT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650"/>
        <w:gridCol w:w="1559"/>
        <w:gridCol w:w="1842"/>
        <w:gridCol w:w="1843"/>
        <w:gridCol w:w="1843"/>
      </w:tblGrid>
      <w:tr w:rsidR="00E921C5" w:rsidRPr="00D635A6" w:rsidTr="00FC2C2D">
        <w:trPr>
          <w:trHeight w:val="72"/>
        </w:trPr>
        <w:tc>
          <w:tcPr>
            <w:tcW w:w="7650" w:type="dxa"/>
            <w:shd w:val="clear" w:color="auto" w:fill="4F81BD" w:themeFill="accent1"/>
            <w:vAlign w:val="center"/>
            <w:hideMark/>
          </w:tcPr>
          <w:p w:rsidR="00E921C5" w:rsidRPr="00D635A6" w:rsidRDefault="00E921C5" w:rsidP="00FC2C2D">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Objectifs de l'UIT-T</w:t>
            </w:r>
          </w:p>
        </w:tc>
        <w:tc>
          <w:tcPr>
            <w:tcW w:w="1559" w:type="dxa"/>
            <w:shd w:val="clear" w:color="auto" w:fill="4F81BD" w:themeFill="accent1"/>
            <w:vAlign w:val="center"/>
          </w:tcPr>
          <w:p w:rsidR="00E921C5" w:rsidRPr="00D635A6" w:rsidRDefault="00E921C5" w:rsidP="00FC2C2D">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1: Croissance</w:t>
            </w:r>
          </w:p>
        </w:tc>
        <w:tc>
          <w:tcPr>
            <w:tcW w:w="1842" w:type="dxa"/>
            <w:shd w:val="clear" w:color="auto" w:fill="4F81BD" w:themeFill="accent1"/>
            <w:vAlign w:val="center"/>
          </w:tcPr>
          <w:p w:rsidR="00E921C5" w:rsidRPr="00D635A6" w:rsidRDefault="00E921C5" w:rsidP="00FC2C2D">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2: Inclusion</w:t>
            </w:r>
          </w:p>
        </w:tc>
        <w:tc>
          <w:tcPr>
            <w:tcW w:w="1843" w:type="dxa"/>
            <w:shd w:val="clear" w:color="auto" w:fill="4F81BD" w:themeFill="accent1"/>
            <w:vAlign w:val="center"/>
          </w:tcPr>
          <w:p w:rsidR="00E921C5" w:rsidRPr="00D635A6" w:rsidRDefault="00E921C5" w:rsidP="00FC2C2D">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3: Durabilité</w:t>
            </w:r>
          </w:p>
        </w:tc>
        <w:tc>
          <w:tcPr>
            <w:tcW w:w="1843" w:type="dxa"/>
            <w:shd w:val="clear" w:color="auto" w:fill="4F81BD" w:themeFill="accent1"/>
            <w:vAlign w:val="center"/>
          </w:tcPr>
          <w:p w:rsidR="00E921C5" w:rsidRPr="00D635A6" w:rsidRDefault="00E921C5" w:rsidP="00FC2C2D">
            <w:pPr>
              <w:pStyle w:val="Tablehead"/>
              <w:keepNext/>
              <w:keepLines/>
              <w:rPr>
                <w:rFonts w:asciiTheme="minorHAnsi" w:eastAsia="Calibri" w:hAnsiTheme="minorHAnsi" w:cs="Times New Roman Bold"/>
                <w:color w:val="FFFFFF" w:themeColor="background1"/>
                <w:sz w:val="20"/>
                <w:szCs w:val="18"/>
              </w:rPr>
            </w:pPr>
            <w:r w:rsidRPr="00D635A6">
              <w:rPr>
                <w:rFonts w:asciiTheme="minorHAnsi" w:hAnsiTheme="minorHAnsi" w:cs="Times New Roman Bold"/>
                <w:color w:val="FFFFFF" w:themeColor="background1"/>
                <w:sz w:val="20"/>
                <w:szCs w:val="18"/>
              </w:rPr>
              <w:t>But 4: Innovation et partenariats</w:t>
            </w:r>
          </w:p>
        </w:tc>
      </w:tr>
      <w:tr w:rsidR="00E921C5" w:rsidRPr="00D635A6" w:rsidTr="00FC2C2D">
        <w:trPr>
          <w:trHeight w:val="72"/>
        </w:trPr>
        <w:tc>
          <w:tcPr>
            <w:tcW w:w="7650" w:type="dxa"/>
            <w:hideMark/>
          </w:tcPr>
          <w:p w:rsidR="00E921C5" w:rsidRPr="00D635A6" w:rsidRDefault="00E921C5" w:rsidP="00FC2C2D">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T.1 </w:t>
            </w:r>
            <w:r w:rsidRPr="00D635A6">
              <w:rPr>
                <w:rFonts w:asciiTheme="minorHAnsi" w:eastAsia="Calibri" w:hAnsiTheme="minorHAnsi"/>
                <w:sz w:val="20"/>
                <w:szCs w:val="18"/>
              </w:rPr>
              <w:t>Elaborer dans les meilleurs délais des normes internationales non discriminatoires (recommandations UIT-T) et promouvoir l'interopérabilité et l'amélioration de la qualité de fonctionnement des équipements, des réseaux, des services et des applications</w:t>
            </w:r>
          </w:p>
        </w:tc>
        <w:tc>
          <w:tcPr>
            <w:tcW w:w="1559"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2"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E921C5" w:rsidRPr="00D635A6" w:rsidTr="00FC2C2D">
        <w:trPr>
          <w:trHeight w:val="72"/>
        </w:trPr>
        <w:tc>
          <w:tcPr>
            <w:tcW w:w="7650" w:type="dxa"/>
            <w:hideMark/>
          </w:tcPr>
          <w:p w:rsidR="00E921C5" w:rsidRPr="00D635A6" w:rsidRDefault="00E921C5" w:rsidP="00FC2C2D">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T.2 </w:t>
            </w:r>
            <w:r w:rsidRPr="00D635A6">
              <w:rPr>
                <w:rFonts w:asciiTheme="minorHAnsi" w:eastAsia="Calibri" w:hAnsiTheme="minorHAnsi"/>
                <w:sz w:val="20"/>
                <w:szCs w:val="18"/>
              </w:rPr>
              <w:t>Encourager la participation active des membres, en particulier ceux des pays en développement, à la définition et à l'adoption de normes internationales non discriminatoires (recommandations UIT-T) en vue de réduire l'écart en matière de normalisation</w:t>
            </w:r>
          </w:p>
        </w:tc>
        <w:tc>
          <w:tcPr>
            <w:tcW w:w="1559" w:type="dxa"/>
            <w:vAlign w:val="center"/>
          </w:tcPr>
          <w:p w:rsidR="00E921C5" w:rsidRPr="00D635A6" w:rsidRDefault="00E921C5" w:rsidP="00FC2C2D">
            <w:pPr>
              <w:pStyle w:val="Tabletext"/>
              <w:keepNext/>
              <w:keepLines/>
              <w:jc w:val="center"/>
              <w:rPr>
                <w:rFonts w:asciiTheme="minorHAnsi" w:eastAsia="Calibri" w:hAnsiTheme="minorHAnsi"/>
                <w:sz w:val="20"/>
                <w:szCs w:val="18"/>
              </w:rPr>
            </w:pPr>
          </w:p>
        </w:tc>
        <w:tc>
          <w:tcPr>
            <w:tcW w:w="1842"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3" w:type="dxa"/>
            <w:vAlign w:val="center"/>
          </w:tcPr>
          <w:p w:rsidR="00E921C5" w:rsidRPr="00D635A6" w:rsidRDefault="00E921C5" w:rsidP="00FC2C2D">
            <w:pPr>
              <w:pStyle w:val="Tabletext"/>
              <w:keepNext/>
              <w:keepLines/>
              <w:jc w:val="center"/>
              <w:rPr>
                <w:rFonts w:asciiTheme="minorHAnsi" w:eastAsia="Calibri" w:hAnsiTheme="minorHAnsi"/>
                <w:sz w:val="20"/>
                <w:szCs w:val="18"/>
              </w:rPr>
            </w:pPr>
          </w:p>
        </w:tc>
        <w:tc>
          <w:tcPr>
            <w:tcW w:w="1843" w:type="dxa"/>
            <w:vAlign w:val="center"/>
          </w:tcPr>
          <w:p w:rsidR="00E921C5" w:rsidRPr="00D635A6" w:rsidRDefault="00E921C5" w:rsidP="00FC2C2D">
            <w:pPr>
              <w:pStyle w:val="Tabletext"/>
              <w:keepNext/>
              <w:keepLines/>
              <w:jc w:val="center"/>
              <w:rPr>
                <w:rFonts w:asciiTheme="minorHAnsi" w:eastAsia="Calibri" w:hAnsiTheme="minorHAnsi"/>
                <w:sz w:val="20"/>
                <w:szCs w:val="18"/>
              </w:rPr>
            </w:pPr>
          </w:p>
        </w:tc>
      </w:tr>
      <w:tr w:rsidR="00E921C5" w:rsidRPr="00D635A6" w:rsidTr="00FC2C2D">
        <w:trPr>
          <w:trHeight w:val="231"/>
        </w:trPr>
        <w:tc>
          <w:tcPr>
            <w:tcW w:w="7650" w:type="dxa"/>
            <w:hideMark/>
          </w:tcPr>
          <w:p w:rsidR="00E921C5" w:rsidRPr="00D635A6" w:rsidRDefault="00E921C5" w:rsidP="00FC2C2D">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T.3 </w:t>
            </w:r>
            <w:r w:rsidRPr="00D635A6">
              <w:rPr>
                <w:rFonts w:asciiTheme="minorHAnsi" w:eastAsia="Calibri" w:hAnsiTheme="minorHAnsi"/>
                <w:sz w:val="20"/>
                <w:szCs w:val="18"/>
              </w:rPr>
              <w:t>Garantir l'attribution et la gestion efficaces des ressources de numérotage, de nommage, d'adressage et d'identification utilisées dans les télécommunications internationales, conformément aux procédures et recommandations de l'UIT-T</w:t>
            </w:r>
          </w:p>
        </w:tc>
        <w:tc>
          <w:tcPr>
            <w:tcW w:w="1559"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2"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E921C5" w:rsidRPr="00D635A6" w:rsidTr="00FC2C2D">
        <w:trPr>
          <w:trHeight w:val="231"/>
        </w:trPr>
        <w:tc>
          <w:tcPr>
            <w:tcW w:w="7650" w:type="dxa"/>
            <w:hideMark/>
          </w:tcPr>
          <w:p w:rsidR="00E921C5" w:rsidRPr="00D635A6" w:rsidRDefault="00E921C5" w:rsidP="00FC2C2D">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T.4 </w:t>
            </w:r>
            <w:r w:rsidRPr="00D635A6">
              <w:rPr>
                <w:rFonts w:asciiTheme="minorHAnsi" w:eastAsia="Calibri" w:hAnsiTheme="minorHAnsi"/>
                <w:sz w:val="20"/>
                <w:szCs w:val="18"/>
              </w:rPr>
              <w:t>Encourager l'acquisition et l'échange de connaissances et de savoir-faire concernant les activités de normalisation à l'UIT-T</w:t>
            </w:r>
          </w:p>
        </w:tc>
        <w:tc>
          <w:tcPr>
            <w:tcW w:w="1559"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2"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r>
      <w:tr w:rsidR="00E921C5" w:rsidRPr="00D635A6" w:rsidTr="00FC2C2D">
        <w:trPr>
          <w:trHeight w:val="231"/>
        </w:trPr>
        <w:tc>
          <w:tcPr>
            <w:tcW w:w="7650" w:type="dxa"/>
            <w:hideMark/>
          </w:tcPr>
          <w:p w:rsidR="00E921C5" w:rsidRPr="00D635A6" w:rsidRDefault="00E921C5" w:rsidP="00FC2C2D">
            <w:pPr>
              <w:pStyle w:val="Tabletext"/>
              <w:keepNext/>
              <w:keepLines/>
              <w:rPr>
                <w:rFonts w:asciiTheme="minorHAnsi" w:eastAsia="Calibri" w:hAnsiTheme="minorHAnsi"/>
                <w:sz w:val="20"/>
                <w:szCs w:val="18"/>
              </w:rPr>
            </w:pPr>
            <w:r w:rsidRPr="00D635A6">
              <w:rPr>
                <w:rFonts w:asciiTheme="minorHAnsi" w:eastAsia="Calibri" w:hAnsiTheme="minorHAnsi"/>
                <w:b/>
                <w:bCs/>
                <w:color w:val="4F81BD" w:themeColor="accent1"/>
                <w:sz w:val="20"/>
                <w:szCs w:val="18"/>
              </w:rPr>
              <w:t xml:space="preserve">T.5 </w:t>
            </w:r>
            <w:r w:rsidRPr="00D635A6">
              <w:rPr>
                <w:rFonts w:asciiTheme="minorHAnsi" w:eastAsia="Calibri" w:hAnsiTheme="minorHAnsi"/>
                <w:sz w:val="20"/>
                <w:szCs w:val="18"/>
              </w:rPr>
              <w:t>Elargir et faciliter la coopération avec les organismes internationaux, régionaux et nationaux de normalisation</w:t>
            </w:r>
          </w:p>
        </w:tc>
        <w:tc>
          <w:tcPr>
            <w:tcW w:w="1559"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2"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0"/>
            </w:r>
          </w:p>
        </w:tc>
        <w:tc>
          <w:tcPr>
            <w:tcW w:w="1843" w:type="dxa"/>
            <w:vAlign w:val="center"/>
            <w:hideMark/>
          </w:tcPr>
          <w:p w:rsidR="00E921C5" w:rsidRPr="00D635A6" w:rsidRDefault="00E921C5" w:rsidP="00FC2C2D">
            <w:pPr>
              <w:pStyle w:val="Tabletext"/>
              <w:keepNext/>
              <w:keepLines/>
              <w:jc w:val="center"/>
              <w:rPr>
                <w:rFonts w:asciiTheme="minorHAnsi" w:eastAsia="Calibri" w:hAnsiTheme="minorHAnsi"/>
                <w:sz w:val="20"/>
                <w:szCs w:val="18"/>
              </w:rPr>
            </w:pPr>
            <w:r w:rsidRPr="00D635A6">
              <w:rPr>
                <w:rFonts w:asciiTheme="minorHAnsi" w:eastAsia="Calibri" w:hAnsiTheme="minorHAnsi"/>
                <w:sz w:val="20"/>
                <w:szCs w:val="18"/>
              </w:rPr>
              <w:sym w:font="Wingdings 2" w:char="F052"/>
            </w:r>
          </w:p>
        </w:tc>
      </w:tr>
    </w:tbl>
    <w:p w:rsidR="00E921C5" w:rsidRPr="00D635A6" w:rsidRDefault="00E921C5" w:rsidP="00E921C5">
      <w:pPr>
        <w:pStyle w:val="Heading2"/>
        <w:spacing w:before="60" w:after="60"/>
        <w:ind w:left="578" w:hanging="578"/>
        <w:rPr>
          <w:rFonts w:asciiTheme="minorHAnsi" w:eastAsiaTheme="majorEastAsia" w:hAnsiTheme="minorHAnsi" w:cstheme="majorBidi"/>
          <w:b w:val="0"/>
          <w:color w:val="365F91" w:themeColor="accent1" w:themeShade="BF"/>
          <w:szCs w:val="24"/>
        </w:rPr>
      </w:pPr>
    </w:p>
    <w:p w:rsidR="00E921C5" w:rsidRPr="00D635A6" w:rsidRDefault="00E921C5" w:rsidP="00E921C5">
      <w:pPr>
        <w:rPr>
          <w:rFonts w:asciiTheme="minorHAnsi" w:eastAsiaTheme="majorEastAsia" w:hAnsiTheme="minorHAnsi"/>
        </w:rPr>
      </w:pPr>
    </w:p>
    <w:p w:rsidR="00E921C5" w:rsidRPr="00D635A6" w:rsidRDefault="00E921C5" w:rsidP="00FC2C2D">
      <w:pPr>
        <w:pStyle w:val="Heading2"/>
        <w:spacing w:after="120"/>
        <w:rPr>
          <w:rFonts w:eastAsiaTheme="majorEastAsia"/>
        </w:rPr>
      </w:pPr>
      <w:r w:rsidRPr="00D635A6">
        <w:rPr>
          <w:rFonts w:eastAsiaTheme="majorEastAsia"/>
        </w:rPr>
        <w:lastRenderedPageBreak/>
        <w:t>3.2</w:t>
      </w:r>
      <w:r w:rsidRPr="00D635A6">
        <w:rPr>
          <w:rFonts w:eastAsiaTheme="majorEastAsia"/>
        </w:rPr>
        <w:tab/>
        <w:t>Objectifs, résultats et produits de l'UIT-T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21"/>
        <w:gridCol w:w="3118"/>
        <w:gridCol w:w="3119"/>
        <w:gridCol w:w="2976"/>
        <w:gridCol w:w="2339"/>
        <w:gridCol w:w="2764"/>
      </w:tblGrid>
      <w:tr w:rsidR="00E921C5" w:rsidRPr="00D635A6" w:rsidTr="00FC2C2D">
        <w:trPr>
          <w:cantSplit/>
          <w:trHeight w:val="1134"/>
          <w:tblHeader/>
        </w:trPr>
        <w:tc>
          <w:tcPr>
            <w:tcW w:w="421" w:type="dxa"/>
            <w:shd w:val="clear" w:color="auto" w:fill="4F81BD" w:themeFill="accent1"/>
            <w:textDirection w:val="btLr"/>
          </w:tcPr>
          <w:p w:rsidR="00E921C5" w:rsidRPr="00D635A6" w:rsidRDefault="00E921C5" w:rsidP="00FC2C2D">
            <w:pPr>
              <w:spacing w:before="0"/>
              <w:ind w:left="113" w:right="113"/>
              <w:jc w:val="center"/>
              <w:rPr>
                <w:rFonts w:asciiTheme="minorHAnsi" w:eastAsia="Calibri" w:hAnsiTheme="minorHAnsi" w:cs="Arial"/>
                <w:color w:val="FFFFFF" w:themeColor="background1"/>
                <w:sz w:val="20"/>
              </w:rPr>
            </w:pPr>
            <w:r w:rsidRPr="00D635A6">
              <w:rPr>
                <w:rFonts w:asciiTheme="minorHAnsi" w:eastAsia="Calibri" w:hAnsiTheme="minorHAnsi" w:cs="Arial"/>
                <w:b/>
                <w:bCs/>
                <w:color w:val="FFFFFF" w:themeColor="background1"/>
                <w:sz w:val="20"/>
              </w:rPr>
              <w:t>Objectifs</w:t>
            </w:r>
          </w:p>
        </w:tc>
        <w:tc>
          <w:tcPr>
            <w:tcW w:w="3118" w:type="dxa"/>
            <w:shd w:val="clear" w:color="auto" w:fill="4F81BD" w:themeFill="accent1"/>
          </w:tcPr>
          <w:p w:rsidR="00E921C5" w:rsidRPr="00D635A6" w:rsidRDefault="00E921C5" w:rsidP="00FC2C2D">
            <w:pPr>
              <w:pStyle w:val="Tablehead"/>
              <w:jc w:val="left"/>
              <w:rPr>
                <w:rFonts w:eastAsia="Calibri"/>
                <w:color w:val="FFFFFF" w:themeColor="background1"/>
                <w:sz w:val="20"/>
                <w:szCs w:val="18"/>
              </w:rPr>
            </w:pPr>
            <w:r w:rsidRPr="00D635A6">
              <w:rPr>
                <w:rFonts w:eastAsia="Calibri"/>
                <w:color w:val="FFFFFF" w:themeColor="background1"/>
                <w:sz w:val="20"/>
                <w:szCs w:val="18"/>
              </w:rPr>
              <w:t>T.1 Elaborer dans les meilleurs délais des normes internationales non discriminatoires (recommandations UIT</w:t>
            </w:r>
            <w:r w:rsidRPr="00D635A6">
              <w:rPr>
                <w:rFonts w:eastAsia="Calibri"/>
                <w:color w:val="FFFFFF" w:themeColor="background1"/>
                <w:sz w:val="20"/>
                <w:szCs w:val="18"/>
              </w:rPr>
              <w:noBreakHyphen/>
              <w:t>T) et promouvoir l'interopérabilité et l'amélioration de la qualité de fonctionnement des équipements, des réseaux, des services et des applications</w:t>
            </w:r>
          </w:p>
        </w:tc>
        <w:tc>
          <w:tcPr>
            <w:tcW w:w="3119" w:type="dxa"/>
            <w:shd w:val="clear" w:color="auto" w:fill="4F81BD" w:themeFill="accent1"/>
          </w:tcPr>
          <w:p w:rsidR="00E921C5" w:rsidRPr="00D635A6" w:rsidRDefault="00E921C5" w:rsidP="00FC2C2D">
            <w:pPr>
              <w:pStyle w:val="Tablehead"/>
              <w:jc w:val="left"/>
              <w:rPr>
                <w:rFonts w:eastAsia="Calibri"/>
                <w:color w:val="FFFFFF" w:themeColor="background1"/>
                <w:sz w:val="20"/>
                <w:szCs w:val="18"/>
              </w:rPr>
            </w:pPr>
            <w:r w:rsidRPr="00D635A6">
              <w:rPr>
                <w:rFonts w:eastAsia="Calibri"/>
                <w:color w:val="FFFFFF" w:themeColor="background1"/>
                <w:sz w:val="20"/>
                <w:szCs w:val="18"/>
              </w:rPr>
              <w:t>T.2 Encourager la participation active des membres, en particulier ceux des pays en développement, à la définition et à l'adoption de normes internationales non discriminatoires (recommandations UIT-T) en vue de réduire l'écart en matière de normalisation</w:t>
            </w:r>
          </w:p>
        </w:tc>
        <w:tc>
          <w:tcPr>
            <w:tcW w:w="2976" w:type="dxa"/>
            <w:shd w:val="clear" w:color="auto" w:fill="4F81BD" w:themeFill="accent1"/>
          </w:tcPr>
          <w:p w:rsidR="00E921C5" w:rsidRPr="00D635A6" w:rsidRDefault="00E921C5" w:rsidP="00FC2C2D">
            <w:pPr>
              <w:pStyle w:val="Tablehead"/>
              <w:jc w:val="left"/>
              <w:rPr>
                <w:rFonts w:eastAsia="Calibri"/>
                <w:color w:val="FFFFFF" w:themeColor="background1"/>
                <w:sz w:val="20"/>
                <w:szCs w:val="18"/>
              </w:rPr>
            </w:pPr>
            <w:r w:rsidRPr="00D635A6">
              <w:rPr>
                <w:rFonts w:eastAsia="Calibri"/>
                <w:color w:val="FFFFFF" w:themeColor="background1"/>
                <w:sz w:val="20"/>
                <w:szCs w:val="18"/>
              </w:rPr>
              <w:t>T.3 Garantir l'attribution et la gestion efficaces des ressources de numérotage, de nommage, d'adressage et d'identification utilisées dans les télécommunications internationales, conformément aux procédures et aux Recommandations de l'UIT</w:t>
            </w:r>
            <w:r w:rsidRPr="00D635A6">
              <w:rPr>
                <w:rFonts w:eastAsia="Calibri"/>
                <w:color w:val="FFFFFF" w:themeColor="background1"/>
                <w:sz w:val="20"/>
                <w:szCs w:val="18"/>
              </w:rPr>
              <w:noBreakHyphen/>
              <w:t>T</w:t>
            </w:r>
          </w:p>
        </w:tc>
        <w:tc>
          <w:tcPr>
            <w:tcW w:w="2339" w:type="dxa"/>
            <w:shd w:val="clear" w:color="auto" w:fill="4F81BD" w:themeFill="accent1"/>
          </w:tcPr>
          <w:p w:rsidR="00E921C5" w:rsidRPr="00D635A6" w:rsidRDefault="00E921C5" w:rsidP="00FC2C2D">
            <w:pPr>
              <w:pStyle w:val="Tablehead"/>
              <w:jc w:val="left"/>
              <w:rPr>
                <w:rFonts w:eastAsia="Calibri"/>
                <w:color w:val="FFFFFF" w:themeColor="background1"/>
                <w:sz w:val="20"/>
                <w:szCs w:val="18"/>
              </w:rPr>
            </w:pPr>
            <w:r w:rsidRPr="00D635A6">
              <w:rPr>
                <w:rFonts w:eastAsia="Calibri"/>
                <w:color w:val="FFFFFF" w:themeColor="background1"/>
                <w:sz w:val="20"/>
                <w:szCs w:val="18"/>
              </w:rPr>
              <w:t>T.4 Encourager l'acquisition et l'échange de connaissances et de savoir</w:t>
            </w:r>
            <w:r w:rsidRPr="00D635A6">
              <w:rPr>
                <w:rFonts w:eastAsia="Calibri"/>
                <w:color w:val="FFFFFF" w:themeColor="background1"/>
                <w:sz w:val="20"/>
                <w:szCs w:val="18"/>
              </w:rPr>
              <w:noBreakHyphen/>
              <w:t>faire concernant les activités de normalisation de l'UIT-T</w:t>
            </w:r>
          </w:p>
        </w:tc>
        <w:tc>
          <w:tcPr>
            <w:tcW w:w="2764" w:type="dxa"/>
            <w:shd w:val="clear" w:color="auto" w:fill="4F81BD" w:themeFill="accent1"/>
          </w:tcPr>
          <w:p w:rsidR="00E921C5" w:rsidRPr="00D635A6" w:rsidRDefault="00E921C5" w:rsidP="00FC2C2D">
            <w:pPr>
              <w:pStyle w:val="Tablehead"/>
              <w:jc w:val="left"/>
              <w:rPr>
                <w:rFonts w:eastAsia="Calibri"/>
                <w:color w:val="FFFFFF" w:themeColor="background1"/>
                <w:sz w:val="20"/>
                <w:szCs w:val="18"/>
              </w:rPr>
            </w:pPr>
            <w:r w:rsidRPr="00D635A6">
              <w:rPr>
                <w:rFonts w:eastAsia="Calibri"/>
                <w:color w:val="FFFFFF" w:themeColor="background1"/>
                <w:sz w:val="20"/>
                <w:szCs w:val="18"/>
              </w:rPr>
              <w:t>T.5 Elargir et faciliter la coopération avec les organismes internationaux, régionaux et nationaux de normalisation</w:t>
            </w:r>
          </w:p>
        </w:tc>
      </w:tr>
      <w:tr w:rsidR="00E921C5" w:rsidRPr="00D635A6" w:rsidTr="00FC2C2D">
        <w:trPr>
          <w:cantSplit/>
          <w:trHeight w:val="1134"/>
        </w:trPr>
        <w:tc>
          <w:tcPr>
            <w:tcW w:w="421" w:type="dxa"/>
            <w:textDirection w:val="btLr"/>
          </w:tcPr>
          <w:p w:rsidR="00E921C5" w:rsidRPr="00D635A6" w:rsidRDefault="00E921C5" w:rsidP="00FC2C2D">
            <w:pPr>
              <w:spacing w:before="0"/>
              <w:ind w:left="113" w:right="113"/>
              <w:jc w:val="center"/>
              <w:rPr>
                <w:rFonts w:asciiTheme="minorHAnsi" w:eastAsia="Calibri" w:hAnsiTheme="minorHAnsi" w:cs="Arial"/>
                <w:b/>
                <w:bCs/>
                <w:color w:val="4F81BD" w:themeColor="accent1"/>
                <w:sz w:val="18"/>
              </w:rPr>
            </w:pPr>
            <w:r w:rsidRPr="00D635A6">
              <w:rPr>
                <w:rFonts w:asciiTheme="minorHAnsi" w:eastAsia="Calibri" w:hAnsiTheme="minorHAnsi" w:cs="Arial"/>
                <w:b/>
                <w:bCs/>
                <w:color w:val="4F81BD" w:themeColor="accent1"/>
                <w:sz w:val="18"/>
              </w:rPr>
              <w:t>Résultats</w:t>
            </w:r>
          </w:p>
        </w:tc>
        <w:tc>
          <w:tcPr>
            <w:tcW w:w="3118" w:type="dxa"/>
          </w:tcPr>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T.1-1: </w:t>
            </w:r>
            <w:r w:rsidRPr="00D635A6">
              <w:rPr>
                <w:rFonts w:eastAsia="Calibri"/>
                <w:sz w:val="18"/>
                <w:szCs w:val="18"/>
              </w:rPr>
              <w:t>Utilisation accrue des recommandations UIT-T</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T.1-2:</w:t>
            </w:r>
            <w:r w:rsidRPr="00D635A6">
              <w:rPr>
                <w:rFonts w:eastAsia="Calibri"/>
                <w:sz w:val="18"/>
                <w:szCs w:val="18"/>
              </w:rPr>
              <w:t xml:space="preserve"> Amélioration de la conformité aux recommandations UIT</w:t>
            </w:r>
            <w:r w:rsidRPr="00D635A6">
              <w:rPr>
                <w:rFonts w:eastAsia="Calibri"/>
                <w:sz w:val="18"/>
                <w:szCs w:val="18"/>
              </w:rPr>
              <w:noBreakHyphen/>
              <w:t>T</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T.1-3:</w:t>
            </w:r>
            <w:r w:rsidRPr="00D635A6">
              <w:rPr>
                <w:rFonts w:eastAsia="Calibri"/>
                <w:sz w:val="18"/>
                <w:szCs w:val="18"/>
              </w:rPr>
              <w:t xml:space="preserve"> Amélioration des normes applicables aux nouvelles technologies et aux nouveaux services</w:t>
            </w:r>
          </w:p>
        </w:tc>
        <w:tc>
          <w:tcPr>
            <w:tcW w:w="3119" w:type="dxa"/>
          </w:tcPr>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T.2-1: </w:t>
            </w:r>
            <w:r w:rsidRPr="00D635A6">
              <w:rPr>
                <w:rFonts w:eastAsia="Calibri"/>
                <w:sz w:val="18"/>
                <w:szCs w:val="18"/>
              </w:rPr>
              <w:t>Participation accrue, en particulier des pays en développement, aux travaux de normalisation de l'UIT</w:t>
            </w:r>
            <w:r w:rsidR="00FC2C2D" w:rsidRPr="00D635A6">
              <w:rPr>
                <w:rFonts w:eastAsia="Calibri"/>
                <w:sz w:val="18"/>
                <w:szCs w:val="18"/>
              </w:rPr>
              <w:noBreakHyphen/>
            </w:r>
            <w:r w:rsidRPr="00D635A6">
              <w:rPr>
                <w:rFonts w:eastAsia="Calibri"/>
                <w:sz w:val="18"/>
                <w:szCs w:val="18"/>
              </w:rPr>
              <w:t>T, notamment en ce qui concerne la participation aux réunions, la soumission de contributions, l'exercice de fonctions à des postes à responsabilité, et l'organisation de réunions ou d'ateliers</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T.2-2: </w:t>
            </w:r>
            <w:r w:rsidRPr="00D635A6">
              <w:rPr>
                <w:rFonts w:eastAsia="Calibri"/>
                <w:sz w:val="18"/>
                <w:szCs w:val="18"/>
              </w:rPr>
              <w:t>Augmentation du nombre de membres de l'UIT</w:t>
            </w:r>
            <w:r w:rsidRPr="00D635A6">
              <w:rPr>
                <w:rFonts w:eastAsia="Calibri"/>
                <w:sz w:val="18"/>
                <w:szCs w:val="18"/>
              </w:rPr>
              <w:noBreakHyphen/>
              <w:t>T, notamment de Membres de Secteur, d'Associés et d'établissements universitaires</w:t>
            </w:r>
          </w:p>
        </w:tc>
        <w:tc>
          <w:tcPr>
            <w:tcW w:w="2976" w:type="dxa"/>
          </w:tcPr>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T.3-1: </w:t>
            </w:r>
            <w:r w:rsidRPr="00D635A6">
              <w:rPr>
                <w:rFonts w:eastAsia="Calibri"/>
                <w:sz w:val="18"/>
                <w:szCs w:val="18"/>
              </w:rPr>
              <w:t>Attribution rapide et correcte des ressources de numérotage, de nommage, d'adressage et d'identification utilisées dans les télécommunications internationales, conformément aux recommandations pertinentes</w:t>
            </w:r>
          </w:p>
        </w:tc>
        <w:tc>
          <w:tcPr>
            <w:tcW w:w="2339" w:type="dxa"/>
          </w:tcPr>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T.4-1: </w:t>
            </w:r>
            <w:r w:rsidRPr="00D635A6">
              <w:rPr>
                <w:rFonts w:eastAsia="Calibri"/>
                <w:sz w:val="18"/>
                <w:szCs w:val="18"/>
              </w:rPr>
              <w:t xml:space="preserve">Renforcement des connaissances relatives aux normes UIT-T et aux bonnes pratiques concernant leur mise en oeuvre </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T.4-2: </w:t>
            </w:r>
            <w:r w:rsidRPr="00D635A6">
              <w:rPr>
                <w:rFonts w:eastAsia="Calibri"/>
                <w:sz w:val="18"/>
                <w:szCs w:val="18"/>
              </w:rPr>
              <w:t>Renforcement de la participation aux activités de normalisation de l'UIT-T et prise de conscience accrue de l'importance des normes UIT</w:t>
            </w:r>
            <w:r w:rsidRPr="00D635A6">
              <w:rPr>
                <w:rFonts w:eastAsia="Calibri"/>
                <w:sz w:val="18"/>
                <w:szCs w:val="18"/>
              </w:rPr>
              <w:noBreakHyphen/>
              <w:t>T</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 xml:space="preserve">T.4-3: </w:t>
            </w:r>
            <w:r w:rsidRPr="00D635A6">
              <w:rPr>
                <w:rFonts w:eastAsia="Calibri"/>
                <w:sz w:val="18"/>
                <w:szCs w:val="18"/>
              </w:rPr>
              <w:t>Visibilité accrue du Secteur</w:t>
            </w:r>
          </w:p>
        </w:tc>
        <w:tc>
          <w:tcPr>
            <w:tcW w:w="2764" w:type="dxa"/>
          </w:tcPr>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T.5-1:</w:t>
            </w:r>
            <w:r w:rsidRPr="00D635A6">
              <w:rPr>
                <w:rFonts w:eastAsia="Calibri"/>
                <w:sz w:val="18"/>
                <w:szCs w:val="18"/>
              </w:rPr>
              <w:t xml:space="preserve"> Renforcement de la communication avec d'autres organismes de normalisation</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T.5-2:</w:t>
            </w:r>
            <w:r w:rsidRPr="00D635A6">
              <w:rPr>
                <w:rFonts w:eastAsia="Calibri"/>
                <w:sz w:val="18"/>
                <w:szCs w:val="18"/>
              </w:rPr>
              <w:t xml:space="preserve"> Diminution du nombre de normes incompatibles entre elles</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T.5-3:</w:t>
            </w:r>
            <w:r w:rsidRPr="00D635A6">
              <w:rPr>
                <w:rFonts w:eastAsia="Calibri"/>
                <w:sz w:val="18"/>
                <w:szCs w:val="18"/>
              </w:rPr>
              <w:t xml:space="preserve"> Nombre accru de mémorandums d'accord/d'accords de collaboration conclus avec d'autres organisations </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T.5-4:</w:t>
            </w:r>
            <w:r w:rsidRPr="00D635A6">
              <w:rPr>
                <w:rFonts w:eastAsia="Calibri"/>
                <w:sz w:val="18"/>
                <w:szCs w:val="18"/>
              </w:rPr>
              <w:t xml:space="preserve"> Nombre accru d'organisations habilitées conformément aux recommandations UIT-T A.4, A.5 et A.6</w:t>
            </w:r>
          </w:p>
          <w:p w:rsidR="00E921C5" w:rsidRPr="00D635A6" w:rsidRDefault="00E921C5" w:rsidP="00FC2C2D">
            <w:pPr>
              <w:pStyle w:val="Tabletext"/>
              <w:spacing w:before="0" w:after="0"/>
              <w:rPr>
                <w:rFonts w:eastAsia="Calibri"/>
                <w:sz w:val="18"/>
                <w:szCs w:val="18"/>
              </w:rPr>
            </w:pPr>
            <w:r w:rsidRPr="00D635A6">
              <w:rPr>
                <w:rFonts w:eastAsia="Calibri"/>
                <w:b/>
                <w:bCs/>
                <w:color w:val="4F81BD" w:themeColor="accent1"/>
                <w:sz w:val="18"/>
                <w:szCs w:val="18"/>
              </w:rPr>
              <w:t>T.5-5:</w:t>
            </w:r>
            <w:r w:rsidRPr="00D635A6">
              <w:rPr>
                <w:rFonts w:eastAsia="Calibri"/>
                <w:sz w:val="18"/>
                <w:szCs w:val="18"/>
              </w:rPr>
              <w:t xml:space="preserve"> Nombre accru d'ateliers ou de réunions organisés conjointement avec d'autres organisations</w:t>
            </w:r>
          </w:p>
        </w:tc>
      </w:tr>
      <w:tr w:rsidR="00E921C5" w:rsidRPr="00D635A6" w:rsidTr="00FC2C2D">
        <w:trPr>
          <w:cantSplit/>
          <w:trHeight w:val="1134"/>
        </w:trPr>
        <w:tc>
          <w:tcPr>
            <w:tcW w:w="421" w:type="dxa"/>
            <w:vMerge w:val="restart"/>
            <w:textDirection w:val="btLr"/>
          </w:tcPr>
          <w:p w:rsidR="00E921C5" w:rsidRPr="00D635A6" w:rsidRDefault="00E921C5" w:rsidP="00FC2C2D">
            <w:pPr>
              <w:spacing w:before="0" w:line="216" w:lineRule="auto"/>
              <w:ind w:left="283" w:right="113" w:hanging="170"/>
              <w:jc w:val="center"/>
              <w:rPr>
                <w:rFonts w:asciiTheme="minorHAnsi" w:eastAsia="Calibri" w:hAnsiTheme="minorHAnsi" w:cs="Arial"/>
                <w:b/>
                <w:bCs/>
                <w:color w:val="4F81BD" w:themeColor="accent1"/>
                <w:sz w:val="18"/>
              </w:rPr>
            </w:pPr>
            <w:r w:rsidRPr="00D635A6">
              <w:rPr>
                <w:rFonts w:asciiTheme="minorHAnsi" w:eastAsia="Calibri" w:hAnsiTheme="minorHAnsi" w:cs="Arial"/>
                <w:b/>
                <w:bCs/>
                <w:color w:val="4F81BD" w:themeColor="accent1"/>
                <w:sz w:val="18"/>
              </w:rPr>
              <w:lastRenderedPageBreak/>
              <w:t>Produits</w:t>
            </w:r>
          </w:p>
        </w:tc>
        <w:tc>
          <w:tcPr>
            <w:tcW w:w="3118" w:type="dxa"/>
          </w:tcPr>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Résolutions, recommandations et voeux de l'Assemblée mondiale de normalisation des télécommunications (AMNT)</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Sessions régionales de consultation en vue de l'AMNT</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Avis et décisions du Groupe consultatif de la normalisation des télécommunications (GCNT)</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recommandations UIT-T et résultats connexes des travaux des commissions d'études de l'UIT</w:t>
            </w:r>
            <w:r w:rsidRPr="00D635A6">
              <w:rPr>
                <w:rFonts w:eastAsia="Calibri"/>
                <w:sz w:val="18"/>
                <w:szCs w:val="18"/>
              </w:rPr>
              <w:noBreakHyphen/>
              <w:t>T</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Assistance générale et coopération fournies par l'UIT-T</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Base de données sur la conformité</w:t>
            </w:r>
          </w:p>
          <w:p w:rsidR="00E921C5" w:rsidRPr="00D635A6" w:rsidRDefault="00E921C5" w:rsidP="00597463">
            <w:pPr>
              <w:pStyle w:val="Tabletext"/>
              <w:tabs>
                <w:tab w:val="left" w:pos="380"/>
              </w:tabs>
              <w:spacing w:before="0" w:after="0"/>
              <w:ind w:left="380" w:hanging="380"/>
              <w:rPr>
                <w:rFonts w:eastAsia="Calibri"/>
                <w:sz w:val="18"/>
                <w:szCs w:val="18"/>
              </w:rPr>
            </w:pPr>
            <w:r w:rsidRPr="00D635A6">
              <w:rPr>
                <w:rFonts w:eastAsia="Calibri"/>
                <w:sz w:val="18"/>
                <w:szCs w:val="18"/>
              </w:rPr>
              <w:t>–</w:t>
            </w:r>
            <w:r w:rsidRPr="00D635A6">
              <w:rPr>
                <w:rFonts w:eastAsia="Calibri"/>
                <w:sz w:val="18"/>
                <w:szCs w:val="18"/>
              </w:rPr>
              <w:tab/>
              <w:t>Centres de tests et réunions sur les tests d'interopérabilité</w:t>
            </w:r>
          </w:p>
          <w:p w:rsidR="00E921C5" w:rsidRPr="00D635A6" w:rsidRDefault="00E921C5" w:rsidP="00597463">
            <w:pPr>
              <w:pStyle w:val="Tabletext"/>
              <w:tabs>
                <w:tab w:val="left" w:pos="380"/>
              </w:tabs>
              <w:spacing w:before="0" w:after="0"/>
              <w:rPr>
                <w:rFonts w:eastAsia="Calibri"/>
                <w:sz w:val="18"/>
                <w:szCs w:val="18"/>
              </w:rPr>
            </w:pPr>
            <w:r w:rsidRPr="00D635A6">
              <w:rPr>
                <w:rFonts w:eastAsia="Calibri"/>
                <w:sz w:val="18"/>
                <w:szCs w:val="18"/>
              </w:rPr>
              <w:t>–</w:t>
            </w:r>
            <w:r w:rsidRPr="00D635A6">
              <w:rPr>
                <w:rFonts w:eastAsia="Calibri"/>
                <w:sz w:val="18"/>
                <w:szCs w:val="18"/>
              </w:rPr>
              <w:tab/>
              <w:t>Elaboration de suites de tests</w:t>
            </w:r>
          </w:p>
        </w:tc>
        <w:tc>
          <w:tcPr>
            <w:tcW w:w="3119" w:type="dxa"/>
          </w:tcPr>
          <w:p w:rsidR="00E921C5" w:rsidRPr="00D635A6" w:rsidRDefault="00E921C5" w:rsidP="00597463">
            <w:pPr>
              <w:pStyle w:val="Tabletext"/>
              <w:tabs>
                <w:tab w:val="left" w:pos="392"/>
              </w:tabs>
              <w:spacing w:before="0" w:after="0"/>
              <w:ind w:left="392" w:hanging="392"/>
              <w:rPr>
                <w:rFonts w:eastAsia="Calibri"/>
                <w:sz w:val="18"/>
                <w:szCs w:val="18"/>
              </w:rPr>
            </w:pPr>
            <w:r w:rsidRPr="00D635A6">
              <w:rPr>
                <w:rFonts w:eastAsia="Calibri"/>
                <w:sz w:val="18"/>
                <w:szCs w:val="18"/>
              </w:rPr>
              <w:t>–</w:t>
            </w:r>
            <w:r w:rsidRPr="00D635A6">
              <w:rPr>
                <w:rFonts w:eastAsia="Calibri"/>
                <w:sz w:val="18"/>
                <w:szCs w:val="18"/>
              </w:rPr>
              <w:tab/>
              <w:t>Réduction de l'écart en matière de normalisation (participation à distance, bourses d'études, création de commissions d'études régionales, par exemple)</w:t>
            </w:r>
          </w:p>
          <w:p w:rsidR="00E921C5" w:rsidRPr="00D635A6" w:rsidRDefault="00E921C5" w:rsidP="00597463">
            <w:pPr>
              <w:pStyle w:val="Tabletext"/>
              <w:tabs>
                <w:tab w:val="left" w:pos="392"/>
              </w:tabs>
              <w:spacing w:before="0" w:after="0"/>
              <w:ind w:left="392" w:hanging="392"/>
              <w:rPr>
                <w:rFonts w:eastAsia="Calibri"/>
                <w:sz w:val="18"/>
                <w:szCs w:val="18"/>
              </w:rPr>
            </w:pPr>
            <w:r w:rsidRPr="00D635A6">
              <w:rPr>
                <w:rFonts w:eastAsia="Calibri"/>
                <w:sz w:val="18"/>
                <w:szCs w:val="18"/>
              </w:rPr>
              <w:t>–</w:t>
            </w:r>
            <w:r w:rsidRPr="00D635A6">
              <w:rPr>
                <w:rFonts w:eastAsia="Calibri"/>
                <w:sz w:val="18"/>
                <w:szCs w:val="18"/>
              </w:rPr>
              <w:tab/>
              <w:t>Ateliers et séminaires, y compris activités de formation en ligne et hors ligne, complétant les activités de renforcement des capacités entreprises par l'UIT-D en vue de réduire l'écart en matière de normalisation</w:t>
            </w:r>
          </w:p>
          <w:p w:rsidR="00E921C5" w:rsidRPr="00D635A6" w:rsidRDefault="00E921C5" w:rsidP="00597463">
            <w:pPr>
              <w:pStyle w:val="Tabletext"/>
              <w:tabs>
                <w:tab w:val="left" w:pos="392"/>
              </w:tabs>
              <w:spacing w:before="0" w:after="0"/>
              <w:rPr>
                <w:rFonts w:eastAsia="Calibri"/>
                <w:sz w:val="18"/>
                <w:szCs w:val="18"/>
              </w:rPr>
            </w:pPr>
            <w:r w:rsidRPr="00D635A6">
              <w:rPr>
                <w:rFonts w:eastAsia="Calibri"/>
                <w:sz w:val="18"/>
                <w:szCs w:val="18"/>
              </w:rPr>
              <w:t>–</w:t>
            </w:r>
            <w:r w:rsidRPr="00D635A6">
              <w:rPr>
                <w:rFonts w:eastAsia="Calibri"/>
                <w:sz w:val="18"/>
                <w:szCs w:val="18"/>
              </w:rPr>
              <w:tab/>
              <w:t>Sensibilisation et promotion</w:t>
            </w:r>
          </w:p>
        </w:tc>
        <w:tc>
          <w:tcPr>
            <w:tcW w:w="2976" w:type="dxa"/>
          </w:tcPr>
          <w:p w:rsidR="00E921C5" w:rsidRPr="00D635A6" w:rsidRDefault="00E921C5" w:rsidP="00597463">
            <w:pPr>
              <w:pStyle w:val="Tabletext"/>
              <w:tabs>
                <w:tab w:val="left" w:pos="416"/>
              </w:tabs>
              <w:spacing w:before="0" w:after="0"/>
              <w:ind w:left="416" w:hanging="416"/>
              <w:rPr>
                <w:rFonts w:eastAsia="Calibri"/>
                <w:sz w:val="18"/>
                <w:szCs w:val="18"/>
              </w:rPr>
            </w:pPr>
            <w:r w:rsidRPr="00D635A6">
              <w:rPr>
                <w:rFonts w:eastAsia="Calibri"/>
                <w:sz w:val="18"/>
                <w:szCs w:val="18"/>
              </w:rPr>
              <w:t>–</w:t>
            </w:r>
            <w:r w:rsidRPr="00D635A6">
              <w:rPr>
                <w:rFonts w:eastAsia="Calibri"/>
                <w:sz w:val="18"/>
                <w:szCs w:val="18"/>
              </w:rPr>
              <w:tab/>
              <w:t>Bases de données pertinentes du TSB</w:t>
            </w:r>
          </w:p>
          <w:p w:rsidR="00E921C5" w:rsidRPr="00D635A6" w:rsidRDefault="00E921C5" w:rsidP="00597463">
            <w:pPr>
              <w:pStyle w:val="Tabletext"/>
              <w:tabs>
                <w:tab w:val="left" w:pos="416"/>
              </w:tabs>
              <w:spacing w:before="0" w:after="0"/>
              <w:ind w:left="416" w:hanging="416"/>
              <w:rPr>
                <w:rFonts w:eastAsia="Calibri"/>
                <w:sz w:val="18"/>
                <w:szCs w:val="18"/>
              </w:rPr>
            </w:pPr>
            <w:r w:rsidRPr="00D635A6">
              <w:rPr>
                <w:rFonts w:eastAsia="Calibri"/>
                <w:sz w:val="18"/>
                <w:szCs w:val="18"/>
              </w:rPr>
              <w:t>–</w:t>
            </w:r>
            <w:r w:rsidRPr="00D635A6">
              <w:rPr>
                <w:rFonts w:eastAsia="Calibri"/>
                <w:sz w:val="18"/>
                <w:szCs w:val="18"/>
              </w:rPr>
              <w:tab/>
              <w:t>Attribution et gestion des ressources de numérotage, de nommage, d'adressage et d'identification utilisées dans les télécommunications internationales, conformément aux recommandations et procédures de l'UIT-T</w:t>
            </w:r>
          </w:p>
        </w:tc>
        <w:tc>
          <w:tcPr>
            <w:tcW w:w="2339" w:type="dxa"/>
          </w:tcPr>
          <w:p w:rsidR="00E921C5" w:rsidRPr="00D635A6" w:rsidRDefault="00E921C5" w:rsidP="00597463">
            <w:pPr>
              <w:pStyle w:val="Tabletext"/>
              <w:tabs>
                <w:tab w:val="left" w:pos="421"/>
              </w:tabs>
              <w:spacing w:before="0" w:after="0"/>
              <w:rPr>
                <w:rFonts w:eastAsia="Calibri"/>
                <w:sz w:val="18"/>
                <w:szCs w:val="18"/>
              </w:rPr>
            </w:pPr>
            <w:r w:rsidRPr="00D635A6">
              <w:rPr>
                <w:rFonts w:eastAsia="Calibri"/>
                <w:sz w:val="18"/>
                <w:szCs w:val="18"/>
              </w:rPr>
              <w:t>–</w:t>
            </w:r>
            <w:r w:rsidRPr="00D635A6">
              <w:rPr>
                <w:rFonts w:eastAsia="Calibri"/>
                <w:sz w:val="18"/>
                <w:szCs w:val="18"/>
              </w:rPr>
              <w:tab/>
              <w:t>Publications UIT-T</w:t>
            </w:r>
          </w:p>
          <w:p w:rsidR="00E921C5" w:rsidRPr="00D635A6" w:rsidRDefault="00E921C5" w:rsidP="00597463">
            <w:pPr>
              <w:pStyle w:val="Tabletext"/>
              <w:tabs>
                <w:tab w:val="left" w:pos="421"/>
              </w:tabs>
              <w:spacing w:before="0" w:after="0"/>
              <w:ind w:left="421" w:hanging="421"/>
              <w:rPr>
                <w:rFonts w:eastAsia="Calibri"/>
                <w:sz w:val="18"/>
                <w:szCs w:val="18"/>
              </w:rPr>
            </w:pPr>
            <w:r w:rsidRPr="00D635A6">
              <w:rPr>
                <w:rFonts w:eastAsia="Calibri"/>
                <w:sz w:val="18"/>
                <w:szCs w:val="18"/>
              </w:rPr>
              <w:t>–</w:t>
            </w:r>
            <w:r w:rsidRPr="00D635A6">
              <w:rPr>
                <w:rFonts w:eastAsia="Calibri"/>
                <w:sz w:val="18"/>
                <w:szCs w:val="18"/>
              </w:rPr>
              <w:tab/>
              <w:t>Publications de bases de données</w:t>
            </w:r>
          </w:p>
          <w:p w:rsidR="00E921C5" w:rsidRPr="00D635A6" w:rsidRDefault="00E921C5" w:rsidP="00597463">
            <w:pPr>
              <w:pStyle w:val="Tabletext"/>
              <w:tabs>
                <w:tab w:val="left" w:pos="421"/>
              </w:tabs>
              <w:spacing w:before="0" w:after="0"/>
              <w:ind w:left="421" w:hanging="421"/>
              <w:rPr>
                <w:rFonts w:eastAsia="Calibri"/>
                <w:sz w:val="18"/>
                <w:szCs w:val="18"/>
              </w:rPr>
            </w:pPr>
            <w:r w:rsidRPr="00D635A6">
              <w:rPr>
                <w:rFonts w:eastAsia="Calibri"/>
                <w:sz w:val="18"/>
                <w:szCs w:val="18"/>
              </w:rPr>
              <w:t>–</w:t>
            </w:r>
            <w:r w:rsidRPr="00D635A6">
              <w:rPr>
                <w:rFonts w:eastAsia="Calibri"/>
                <w:sz w:val="18"/>
                <w:szCs w:val="18"/>
              </w:rPr>
              <w:tab/>
              <w:t>Sensibilisation et promotion</w:t>
            </w:r>
          </w:p>
          <w:p w:rsidR="00E921C5" w:rsidRPr="00D635A6" w:rsidRDefault="00E921C5" w:rsidP="00597463">
            <w:pPr>
              <w:pStyle w:val="Tabletext"/>
              <w:tabs>
                <w:tab w:val="left" w:pos="421"/>
              </w:tabs>
              <w:spacing w:before="0" w:after="0"/>
              <w:ind w:left="421" w:hanging="421"/>
              <w:rPr>
                <w:sz w:val="18"/>
                <w:szCs w:val="18"/>
              </w:rPr>
            </w:pPr>
            <w:r w:rsidRPr="00D635A6">
              <w:rPr>
                <w:rFonts w:eastAsia="Calibri"/>
                <w:sz w:val="18"/>
                <w:szCs w:val="18"/>
              </w:rPr>
              <w:t>–</w:t>
            </w:r>
            <w:r w:rsidRPr="00D635A6">
              <w:rPr>
                <w:rFonts w:eastAsia="Calibri"/>
                <w:sz w:val="18"/>
                <w:szCs w:val="18"/>
              </w:rPr>
              <w:tab/>
              <w:t>Bulletin d'exploitation de l'UIT</w:t>
            </w:r>
          </w:p>
        </w:tc>
        <w:tc>
          <w:tcPr>
            <w:tcW w:w="2764" w:type="dxa"/>
          </w:tcPr>
          <w:p w:rsidR="00E921C5" w:rsidRPr="00D635A6" w:rsidRDefault="00E921C5" w:rsidP="00597463">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Mémorandums d'accord et accords de collaboration</w:t>
            </w:r>
          </w:p>
          <w:p w:rsidR="00E921C5" w:rsidRPr="00D635A6" w:rsidRDefault="00E921C5" w:rsidP="00597463">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Habilitations conformément aux recommandations UIT-T A.4, A.5 et A.6</w:t>
            </w:r>
          </w:p>
          <w:p w:rsidR="00E921C5" w:rsidRPr="00D635A6" w:rsidRDefault="00E921C5" w:rsidP="00597463">
            <w:pPr>
              <w:pStyle w:val="Tabletext"/>
              <w:tabs>
                <w:tab w:val="left" w:pos="486"/>
              </w:tabs>
              <w:spacing w:before="0" w:after="0"/>
              <w:ind w:left="486" w:hanging="486"/>
              <w:rPr>
                <w:rFonts w:eastAsia="Calibri"/>
                <w:sz w:val="18"/>
                <w:szCs w:val="18"/>
              </w:rPr>
            </w:pPr>
            <w:r w:rsidRPr="00D635A6">
              <w:rPr>
                <w:rFonts w:eastAsia="Calibri"/>
                <w:sz w:val="18"/>
                <w:szCs w:val="18"/>
              </w:rPr>
              <w:t>–</w:t>
            </w:r>
            <w:r w:rsidRPr="00D635A6">
              <w:rPr>
                <w:rFonts w:eastAsia="Calibri"/>
                <w:sz w:val="18"/>
                <w:szCs w:val="18"/>
              </w:rPr>
              <w:tab/>
              <w:t>Ateliers ou réunions organisés conjointement</w:t>
            </w:r>
          </w:p>
        </w:tc>
      </w:tr>
      <w:tr w:rsidR="00E921C5" w:rsidRPr="00D635A6" w:rsidTr="00FC2C2D">
        <w:trPr>
          <w:cantSplit/>
          <w:trHeight w:val="416"/>
        </w:trPr>
        <w:tc>
          <w:tcPr>
            <w:tcW w:w="421" w:type="dxa"/>
            <w:vMerge/>
            <w:textDirection w:val="btLr"/>
          </w:tcPr>
          <w:p w:rsidR="00E921C5" w:rsidRPr="00D635A6" w:rsidRDefault="00E921C5" w:rsidP="00FC2C2D">
            <w:pPr>
              <w:spacing w:before="0" w:line="216" w:lineRule="auto"/>
              <w:ind w:left="283" w:right="113" w:hanging="170"/>
              <w:jc w:val="center"/>
              <w:rPr>
                <w:rFonts w:asciiTheme="minorHAnsi" w:eastAsia="Calibri" w:hAnsiTheme="minorHAnsi" w:cs="Arial"/>
                <w:color w:val="4F81BD" w:themeColor="accent1"/>
                <w:sz w:val="18"/>
              </w:rPr>
            </w:pPr>
          </w:p>
        </w:tc>
        <w:tc>
          <w:tcPr>
            <w:tcW w:w="14316" w:type="dxa"/>
            <w:gridSpan w:val="5"/>
          </w:tcPr>
          <w:p w:rsidR="00E921C5" w:rsidRPr="00D635A6" w:rsidRDefault="00E921C5" w:rsidP="00FC2C2D">
            <w:pPr>
              <w:pStyle w:val="Tabletext"/>
              <w:spacing w:before="0" w:after="0"/>
              <w:rPr>
                <w:rFonts w:eastAsia="Calibri"/>
                <w:sz w:val="18"/>
                <w:szCs w:val="18"/>
              </w:rPr>
            </w:pPr>
            <w:r w:rsidRPr="00D635A6">
              <w:rPr>
                <w:rFonts w:eastAsia="Calibri"/>
                <w:sz w:val="18"/>
                <w:szCs w:val="18"/>
              </w:rPr>
              <w:t>Les produits ci-après résultant des activités des organes directeurs de l'UIT contribuent à la réalisation de tous les objectifs de l'Union:</w:t>
            </w:r>
          </w:p>
          <w:p w:rsidR="00E921C5" w:rsidRPr="00D635A6" w:rsidRDefault="00E921C5" w:rsidP="00FC2C2D">
            <w:pPr>
              <w:pStyle w:val="Tabletext"/>
              <w:spacing w:before="0" w:after="0"/>
              <w:rPr>
                <w:rFonts w:eastAsia="Calibri"/>
                <w:sz w:val="18"/>
                <w:szCs w:val="18"/>
              </w:rPr>
            </w:pPr>
            <w:r w:rsidRPr="00D635A6">
              <w:rPr>
                <w:rFonts w:eastAsia="Calibri"/>
                <w:sz w:val="18"/>
                <w:szCs w:val="18"/>
              </w:rPr>
              <w:t>–</w:t>
            </w:r>
            <w:r w:rsidRPr="00D635A6">
              <w:rPr>
                <w:rFonts w:eastAsia="Calibri"/>
                <w:sz w:val="18"/>
                <w:szCs w:val="18"/>
              </w:rPr>
              <w:tab/>
              <w:t>Décisions, résolutions, recommandations et autres résultats des travaux de la Conférence de plénipotentiaires</w:t>
            </w:r>
          </w:p>
          <w:p w:rsidR="00E921C5" w:rsidRPr="00D635A6" w:rsidRDefault="00E921C5" w:rsidP="00FC2C2D">
            <w:pPr>
              <w:pStyle w:val="Tabletext"/>
              <w:spacing w:before="0" w:after="0"/>
              <w:rPr>
                <w:rFonts w:eastAsia="Calibri"/>
                <w:sz w:val="18"/>
                <w:szCs w:val="18"/>
              </w:rPr>
            </w:pPr>
            <w:r w:rsidRPr="00D635A6">
              <w:rPr>
                <w:rFonts w:eastAsia="Calibri"/>
                <w:sz w:val="18"/>
                <w:szCs w:val="18"/>
              </w:rPr>
              <w:t>–</w:t>
            </w:r>
            <w:r w:rsidRPr="00D635A6">
              <w:rPr>
                <w:rFonts w:eastAsia="Calibri"/>
                <w:sz w:val="18"/>
                <w:szCs w:val="18"/>
              </w:rPr>
              <w:tab/>
              <w:t>Décisions et résolutions du Conseil et résultats des travaux des groupes de travail du Conseil</w:t>
            </w:r>
          </w:p>
        </w:tc>
      </w:tr>
    </w:tbl>
    <w:p w:rsidR="00E921C5" w:rsidRPr="00D635A6" w:rsidRDefault="00E921C5" w:rsidP="006F5A3B">
      <w:pPr>
        <w:pStyle w:val="Heading2"/>
        <w:spacing w:before="120"/>
        <w:rPr>
          <w:rFonts w:eastAsiaTheme="majorEastAsia"/>
        </w:rPr>
      </w:pPr>
      <w:r w:rsidRPr="00D635A6">
        <w:rPr>
          <w:rFonts w:eastAsiaTheme="majorEastAsia"/>
        </w:rPr>
        <w:lastRenderedPageBreak/>
        <w:t>3.3</w:t>
      </w:r>
      <w:r w:rsidRPr="00D635A6">
        <w:rPr>
          <w:rFonts w:eastAsiaTheme="majorEastAsia"/>
        </w:rPr>
        <w:tab/>
        <w:t>Ventilation des ressources entre les objectifs et les produits de l'UIT-T pour la période 2018-2021</w:t>
      </w:r>
    </w:p>
    <w:tbl>
      <w:tblPr>
        <w:tblW w:w="14709" w:type="dxa"/>
        <w:tblLook w:val="0480" w:firstRow="0" w:lastRow="0" w:firstColumn="1" w:lastColumn="0" w:noHBand="0" w:noVBand="1"/>
      </w:tblPr>
      <w:tblGrid>
        <w:gridCol w:w="6623"/>
        <w:gridCol w:w="993"/>
        <w:gridCol w:w="5250"/>
        <w:gridCol w:w="875"/>
        <w:gridCol w:w="968"/>
      </w:tblGrid>
      <w:tr w:rsidR="00E921C5" w:rsidRPr="00D635A6" w:rsidTr="006F5A3B">
        <w:trPr>
          <w:trHeight w:val="4503"/>
        </w:trPr>
        <w:tc>
          <w:tcPr>
            <w:tcW w:w="7384" w:type="dxa"/>
            <w:gridSpan w:val="2"/>
          </w:tcPr>
          <w:p w:rsidR="00E921C5" w:rsidRPr="00D635A6" w:rsidRDefault="00E921C5" w:rsidP="00FC2C2D">
            <w:pPr>
              <w:keepNext/>
              <w:keepLines/>
              <w:spacing w:before="0"/>
              <w:rPr>
                <w:rFonts w:asciiTheme="minorHAnsi" w:hAnsiTheme="minorHAnsi"/>
                <w:noProof/>
                <w:lang w:eastAsia="zh-CN"/>
              </w:rPr>
            </w:pPr>
            <w:r w:rsidRPr="00D635A6">
              <w:rPr>
                <w:rFonts w:asciiTheme="minorHAnsi" w:eastAsia="SimSun" w:hAnsiTheme="minorHAnsi"/>
                <w:noProof/>
                <w:sz w:val="22"/>
                <w:lang w:val="en-US" w:eastAsia="zh-CN"/>
              </w:rPr>
              <w:drawing>
                <wp:inline distT="0" distB="0" distL="0" distR="0" wp14:anchorId="73CF17C1" wp14:editId="6ACF3B6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21C5" w:rsidRPr="00D635A6" w:rsidRDefault="00E921C5" w:rsidP="00FC2C2D">
            <w:pPr>
              <w:keepNext/>
              <w:keepLines/>
              <w:spacing w:before="0"/>
              <w:rPr>
                <w:rFonts w:asciiTheme="minorHAnsi" w:hAnsiTheme="minorHAnsi"/>
              </w:rPr>
            </w:pPr>
          </w:p>
        </w:tc>
        <w:tc>
          <w:tcPr>
            <w:tcW w:w="5460" w:type="dxa"/>
            <w:vMerge w:val="restart"/>
          </w:tcPr>
          <w:p w:rsidR="00E921C5" w:rsidRPr="00D635A6" w:rsidRDefault="00E921C5" w:rsidP="00FC2C2D">
            <w:pPr>
              <w:keepNext/>
              <w:keepLines/>
              <w:spacing w:before="0"/>
              <w:rPr>
                <w:rFonts w:asciiTheme="minorHAnsi" w:hAnsiTheme="minorHAnsi"/>
                <w:noProof/>
                <w:color w:val="4F81BD" w:themeColor="accent1"/>
                <w:sz w:val="16"/>
                <w:szCs w:val="16"/>
                <w:lang w:eastAsia="zh-CN"/>
              </w:rPr>
            </w:pPr>
          </w:p>
          <w:p w:rsidR="00E921C5" w:rsidRPr="00D635A6" w:rsidRDefault="00E921C5" w:rsidP="00FC2C2D">
            <w:pPr>
              <w:keepNext/>
              <w:keepLines/>
              <w:spacing w:before="0"/>
              <w:rPr>
                <w:rFonts w:asciiTheme="minorHAnsi" w:hAnsiTheme="minorHAnsi"/>
                <w:b/>
                <w:bCs/>
                <w:noProof/>
                <w:color w:val="4F81BD" w:themeColor="accent1"/>
                <w:sz w:val="20"/>
                <w:lang w:eastAsia="zh-CN"/>
              </w:rPr>
            </w:pPr>
            <w:r w:rsidRPr="00D635A6">
              <w:rPr>
                <w:rFonts w:asciiTheme="minorHAnsi" w:hAnsiTheme="minorHAnsi"/>
                <w:noProof/>
                <w:color w:val="0070C0"/>
                <w:lang w:eastAsia="zh-CN"/>
              </w:rPr>
              <w:t>Ventilation prévisionnelle des ressources par produit</w:t>
            </w:r>
            <w:r w:rsidRPr="00D635A6">
              <w:rPr>
                <w:rFonts w:asciiTheme="minorHAnsi" w:hAnsiTheme="minorHAnsi"/>
                <w:b/>
                <w:bCs/>
                <w:noProof/>
                <w:color w:val="4F81BD" w:themeColor="accent1"/>
                <w:sz w:val="20"/>
                <w:lang w:eastAsia="zh-CN"/>
              </w:rPr>
              <w:br/>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T.1-1</w:t>
            </w:r>
            <w:r w:rsidRPr="00D635A6">
              <w:rPr>
                <w:rFonts w:asciiTheme="minorHAnsi" w:hAnsiTheme="minorHAnsi"/>
                <w:noProof/>
                <w:sz w:val="17"/>
                <w:szCs w:val="17"/>
                <w:lang w:eastAsia="zh-CN"/>
              </w:rPr>
              <w:t xml:space="preserve"> Résolutions, recommandations et voeux de l'Assemblée mondiale de normalisation des télécommunications (AMNT)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T.1-2 </w:t>
            </w:r>
            <w:r w:rsidRPr="00D635A6">
              <w:rPr>
                <w:rFonts w:asciiTheme="minorHAnsi" w:hAnsiTheme="minorHAnsi"/>
                <w:noProof/>
                <w:sz w:val="17"/>
                <w:szCs w:val="17"/>
                <w:lang w:eastAsia="zh-CN"/>
              </w:rPr>
              <w:t>Sessions régionales de consultation en vue de l'AMNT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T.1-3 </w:t>
            </w:r>
            <w:r w:rsidRPr="00D635A6">
              <w:rPr>
                <w:rFonts w:asciiTheme="minorHAnsi" w:hAnsiTheme="minorHAnsi"/>
                <w:noProof/>
                <w:sz w:val="17"/>
                <w:szCs w:val="17"/>
                <w:lang w:eastAsia="zh-CN"/>
              </w:rPr>
              <w:t>Avis et décisions du Groupe consultatif de la normalisation des télécommunications (GCNT)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T.1-4 </w:t>
            </w:r>
            <w:r w:rsidRPr="00D635A6">
              <w:rPr>
                <w:rFonts w:asciiTheme="minorHAnsi" w:hAnsiTheme="minorHAnsi"/>
                <w:noProof/>
                <w:sz w:val="17"/>
                <w:szCs w:val="17"/>
                <w:lang w:eastAsia="zh-CN"/>
              </w:rPr>
              <w:t>Recommandations UIT-T et résultats connexes des travaux des commissions d'études de l'UIT</w:t>
            </w:r>
            <w:r w:rsidRPr="00D635A6">
              <w:rPr>
                <w:rFonts w:asciiTheme="minorHAnsi" w:hAnsiTheme="minorHAnsi"/>
                <w:noProof/>
                <w:sz w:val="17"/>
                <w:szCs w:val="17"/>
                <w:lang w:eastAsia="zh-CN"/>
              </w:rPr>
              <w:noBreakHyphen/>
              <w:t>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T.1-5 </w:t>
            </w:r>
            <w:r w:rsidRPr="00D635A6">
              <w:rPr>
                <w:rFonts w:asciiTheme="minorHAnsi" w:hAnsiTheme="minorHAnsi"/>
                <w:noProof/>
                <w:sz w:val="17"/>
                <w:szCs w:val="17"/>
                <w:lang w:eastAsia="zh-CN"/>
              </w:rPr>
              <w:t>Assistance générale et coopération fournies par l'UIT-T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T.1-6 </w:t>
            </w:r>
            <w:r w:rsidRPr="00D635A6">
              <w:rPr>
                <w:rFonts w:asciiTheme="minorHAnsi" w:hAnsiTheme="minorHAnsi"/>
                <w:noProof/>
                <w:sz w:val="17"/>
                <w:szCs w:val="17"/>
                <w:lang w:eastAsia="zh-CN"/>
              </w:rPr>
              <w:t>Base de données sur la conformité</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T.1-7 </w:t>
            </w:r>
            <w:r w:rsidRPr="00D635A6">
              <w:rPr>
                <w:rFonts w:asciiTheme="minorHAnsi" w:hAnsiTheme="minorHAnsi"/>
                <w:noProof/>
                <w:sz w:val="17"/>
                <w:szCs w:val="17"/>
                <w:lang w:eastAsia="zh-CN"/>
              </w:rPr>
              <w:t>Centres de tests et réunions sur les tests d'interopérabilité</w:t>
            </w:r>
          </w:p>
          <w:p w:rsidR="00E921C5" w:rsidRPr="00D635A6" w:rsidRDefault="00E921C5" w:rsidP="00FC2C2D">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T.1-8 </w:t>
            </w:r>
            <w:r w:rsidRPr="00D635A6">
              <w:rPr>
                <w:rFonts w:asciiTheme="minorHAnsi" w:hAnsiTheme="minorHAnsi"/>
                <w:noProof/>
                <w:sz w:val="17"/>
                <w:szCs w:val="17"/>
                <w:lang w:eastAsia="zh-CN"/>
              </w:rPr>
              <w:t>Elaboration de suites de tests</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T.2-1 </w:t>
            </w:r>
            <w:r w:rsidRPr="00D635A6">
              <w:rPr>
                <w:rFonts w:asciiTheme="minorHAnsi" w:hAnsiTheme="minorHAnsi"/>
                <w:noProof/>
                <w:sz w:val="17"/>
                <w:szCs w:val="17"/>
                <w:lang w:eastAsia="zh-CN"/>
              </w:rPr>
              <w:t>Réduction de l'écart en matière de normalisation (participation à distance, bourses d'études, création de commissions d'études régionales, par exemple)</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T.2-2 </w:t>
            </w:r>
            <w:r w:rsidRPr="00D635A6">
              <w:rPr>
                <w:rFonts w:asciiTheme="minorHAnsi" w:hAnsiTheme="minorHAnsi"/>
                <w:noProof/>
                <w:sz w:val="17"/>
                <w:szCs w:val="17"/>
                <w:lang w:eastAsia="zh-CN"/>
              </w:rPr>
              <w:t>Ateliers et séminaires, y compris activités de formation en ligne et hors ligne, (…)</w:t>
            </w:r>
          </w:p>
          <w:p w:rsidR="00E921C5" w:rsidRPr="00D635A6" w:rsidRDefault="00E921C5" w:rsidP="00FC2C2D">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T.2-3 </w:t>
            </w:r>
            <w:r w:rsidRPr="00D635A6">
              <w:rPr>
                <w:rFonts w:asciiTheme="minorHAnsi" w:hAnsiTheme="minorHAnsi"/>
                <w:noProof/>
                <w:sz w:val="17"/>
                <w:szCs w:val="17"/>
                <w:lang w:eastAsia="zh-CN"/>
              </w:rPr>
              <w:t>Sensibilisation et promotion</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T.3-1 </w:t>
            </w:r>
            <w:r w:rsidRPr="00D635A6">
              <w:rPr>
                <w:rFonts w:asciiTheme="minorHAnsi" w:hAnsiTheme="minorHAnsi"/>
                <w:noProof/>
                <w:sz w:val="17"/>
                <w:szCs w:val="17"/>
                <w:lang w:eastAsia="zh-CN"/>
              </w:rPr>
              <w:t>Bases de données pertinentes du TSB</w:t>
            </w:r>
          </w:p>
          <w:p w:rsidR="00E921C5" w:rsidRPr="00D635A6" w:rsidRDefault="00E921C5" w:rsidP="00FC2C2D">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T.3-2 </w:t>
            </w:r>
            <w:r w:rsidRPr="00D635A6">
              <w:rPr>
                <w:rFonts w:asciiTheme="minorHAnsi" w:hAnsiTheme="minorHAnsi"/>
                <w:noProof/>
                <w:sz w:val="17"/>
                <w:szCs w:val="17"/>
                <w:lang w:eastAsia="zh-CN"/>
              </w:rPr>
              <w:t>Attribution et gestion des ressources de numérotage, de nommage, d'adressage et d'identification utilisées dans les télécommunications internationales, conformément aux recommandations et procédures de l'UIT-T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T.4-1 </w:t>
            </w:r>
            <w:r w:rsidRPr="00D635A6">
              <w:rPr>
                <w:rFonts w:asciiTheme="minorHAnsi" w:hAnsiTheme="minorHAnsi"/>
                <w:noProof/>
                <w:sz w:val="17"/>
                <w:szCs w:val="17"/>
                <w:lang w:eastAsia="zh-CN"/>
              </w:rPr>
              <w:t>Publications UIT-T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T.4-2 </w:t>
            </w:r>
            <w:r w:rsidRPr="00D635A6">
              <w:rPr>
                <w:rFonts w:asciiTheme="minorHAnsi" w:hAnsiTheme="minorHAnsi"/>
                <w:noProof/>
                <w:sz w:val="17"/>
                <w:szCs w:val="17"/>
                <w:lang w:eastAsia="zh-CN"/>
              </w:rPr>
              <w:t>Publications de bases de données</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T.4-3 </w:t>
            </w:r>
            <w:r w:rsidRPr="00D635A6">
              <w:rPr>
                <w:rFonts w:asciiTheme="minorHAnsi" w:hAnsiTheme="minorHAnsi"/>
                <w:noProof/>
                <w:sz w:val="17"/>
                <w:szCs w:val="17"/>
                <w:lang w:eastAsia="zh-CN"/>
              </w:rPr>
              <w:t>Sensibilisation et promotion</w:t>
            </w:r>
          </w:p>
          <w:p w:rsidR="00E921C5" w:rsidRPr="00D635A6" w:rsidRDefault="00E921C5" w:rsidP="00FC2C2D">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T.4-4 </w:t>
            </w:r>
            <w:r w:rsidRPr="00D635A6">
              <w:rPr>
                <w:rFonts w:asciiTheme="minorHAnsi" w:hAnsiTheme="minorHAnsi"/>
                <w:noProof/>
                <w:sz w:val="17"/>
                <w:szCs w:val="17"/>
                <w:lang w:eastAsia="zh-CN"/>
              </w:rPr>
              <w:t>Bulletin d'exploitation de l'UIT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T.5-1 </w:t>
            </w:r>
            <w:r w:rsidRPr="00D635A6">
              <w:rPr>
                <w:rFonts w:asciiTheme="minorHAnsi" w:hAnsiTheme="minorHAnsi"/>
                <w:noProof/>
                <w:sz w:val="17"/>
                <w:szCs w:val="17"/>
                <w:lang w:eastAsia="zh-CN"/>
              </w:rPr>
              <w:t>Mémorandums d'accord et accords de collaboration</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T.5-2 </w:t>
            </w:r>
            <w:r w:rsidRPr="00D635A6">
              <w:rPr>
                <w:rFonts w:asciiTheme="minorHAnsi" w:hAnsiTheme="minorHAnsi"/>
                <w:noProof/>
                <w:sz w:val="17"/>
                <w:szCs w:val="17"/>
                <w:lang w:eastAsia="zh-CN"/>
              </w:rPr>
              <w:t>Habilitations conformément aux recommandations UIT-T A.4, A.5 et A.6</w:t>
            </w:r>
          </w:p>
          <w:p w:rsidR="00E921C5" w:rsidRPr="00D635A6" w:rsidRDefault="00E921C5" w:rsidP="00FC2C2D">
            <w:pPr>
              <w:keepNext/>
              <w:keepLines/>
              <w:pBdr>
                <w:bottom w:val="single" w:sz="6" w:space="1" w:color="auto"/>
              </w:pBdr>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 xml:space="preserve">T.5-3 </w:t>
            </w:r>
            <w:r w:rsidRPr="00D635A6">
              <w:rPr>
                <w:rFonts w:asciiTheme="minorHAnsi" w:hAnsiTheme="minorHAnsi"/>
                <w:noProof/>
                <w:sz w:val="17"/>
                <w:szCs w:val="17"/>
                <w:lang w:eastAsia="zh-CN"/>
              </w:rPr>
              <w:t>Ateliers ou réunions organisés conjointement</w:t>
            </w:r>
          </w:p>
          <w:p w:rsidR="00E921C5" w:rsidRPr="00D635A6" w:rsidRDefault="00E921C5" w:rsidP="00FC2C2D">
            <w:pPr>
              <w:keepNext/>
              <w:keepLines/>
              <w:spacing w:before="0"/>
              <w:rPr>
                <w:rFonts w:asciiTheme="minorHAnsi" w:hAnsiTheme="minorHAnsi"/>
                <w:noProof/>
                <w:sz w:val="17"/>
                <w:szCs w:val="17"/>
                <w:lang w:eastAsia="zh-CN"/>
              </w:rPr>
            </w:pPr>
            <w:r w:rsidRPr="00D635A6">
              <w:rPr>
                <w:rFonts w:asciiTheme="minorHAnsi" w:hAnsiTheme="minorHAnsi"/>
                <w:b/>
                <w:bCs/>
                <w:noProof/>
                <w:color w:val="4F81BD" w:themeColor="accent1"/>
                <w:sz w:val="17"/>
                <w:szCs w:val="17"/>
                <w:lang w:eastAsia="zh-CN"/>
              </w:rPr>
              <w:t>PP</w:t>
            </w:r>
            <w:r w:rsidRPr="00D635A6">
              <w:rPr>
                <w:rFonts w:asciiTheme="minorHAnsi" w:hAnsiTheme="minorHAnsi"/>
                <w:noProof/>
                <w:sz w:val="17"/>
                <w:szCs w:val="17"/>
                <w:lang w:eastAsia="zh-CN"/>
              </w:rPr>
              <w:t>: Décisions, résolutions, recommandations et autres résultats des travaux de la Conférence de plénipotentiaires *</w:t>
            </w:r>
          </w:p>
          <w:p w:rsidR="00E921C5" w:rsidRPr="00D635A6" w:rsidRDefault="00E921C5" w:rsidP="00FC2C2D">
            <w:pPr>
              <w:keepNext/>
              <w:keepLines/>
              <w:spacing w:before="0"/>
              <w:rPr>
                <w:rFonts w:asciiTheme="minorHAnsi" w:hAnsiTheme="minorHAnsi"/>
                <w:b/>
                <w:bCs/>
              </w:rPr>
            </w:pPr>
            <w:r w:rsidRPr="00D635A6">
              <w:rPr>
                <w:rFonts w:asciiTheme="minorHAnsi" w:hAnsiTheme="minorHAnsi"/>
                <w:b/>
                <w:bCs/>
                <w:noProof/>
                <w:color w:val="4F81BD" w:themeColor="accent1"/>
                <w:sz w:val="17"/>
                <w:szCs w:val="17"/>
                <w:lang w:eastAsia="zh-CN"/>
              </w:rPr>
              <w:t>Council/CWGs</w:t>
            </w:r>
            <w:r w:rsidRPr="00D635A6">
              <w:rPr>
                <w:rFonts w:asciiTheme="minorHAnsi" w:hAnsiTheme="minorHAnsi"/>
                <w:noProof/>
                <w:sz w:val="17"/>
                <w:szCs w:val="17"/>
                <w:lang w:eastAsia="zh-CN"/>
              </w:rPr>
              <w:t>: Décisions et résolutions du Conseil et résultats des travaux des groupes de travail du Conseil *</w:t>
            </w:r>
          </w:p>
        </w:tc>
        <w:tc>
          <w:tcPr>
            <w:tcW w:w="889" w:type="dxa"/>
            <w:vMerge w:val="restart"/>
          </w:tcPr>
          <w:p w:rsidR="00E921C5" w:rsidRPr="00D635A6" w:rsidRDefault="00E921C5" w:rsidP="00FC2C2D">
            <w:pPr>
              <w:keepNext/>
              <w:keepLines/>
              <w:spacing w:before="0"/>
              <w:jc w:val="right"/>
              <w:rPr>
                <w:rFonts w:asciiTheme="minorHAnsi" w:hAnsiTheme="minorHAnsi"/>
                <w:noProof/>
                <w:color w:val="4F81BD" w:themeColor="accent1"/>
                <w:sz w:val="17"/>
                <w:szCs w:val="17"/>
                <w:lang w:eastAsia="zh-CN"/>
              </w:rPr>
            </w:pPr>
          </w:p>
          <w:p w:rsidR="00E921C5" w:rsidRPr="00D635A6" w:rsidRDefault="00E921C5" w:rsidP="00FC2C2D">
            <w:pPr>
              <w:keepNext/>
              <w:keepLines/>
              <w:spacing w:before="0"/>
              <w:ind w:right="340"/>
              <w:rPr>
                <w:rFonts w:asciiTheme="minorHAnsi" w:hAnsiTheme="minorHAnsi"/>
                <w:noProof/>
                <w:color w:val="4F81BD" w:themeColor="accent1"/>
                <w:sz w:val="17"/>
                <w:szCs w:val="17"/>
                <w:lang w:eastAsia="zh-CN"/>
              </w:rPr>
            </w:pPr>
          </w:p>
          <w:p w:rsidR="00E921C5" w:rsidRPr="00D635A6" w:rsidRDefault="00E921C5" w:rsidP="00FC2C2D">
            <w:pPr>
              <w:keepNext/>
              <w:keepLines/>
              <w:spacing w:before="0"/>
              <w:jc w:val="right"/>
              <w:rPr>
                <w:rFonts w:asciiTheme="minorHAnsi" w:hAnsiTheme="minorHAnsi"/>
                <w:noProof/>
                <w:color w:val="4F81BD" w:themeColor="accent1"/>
                <w:sz w:val="17"/>
                <w:szCs w:val="17"/>
                <w:lang w:eastAsia="zh-CN"/>
              </w:rPr>
            </w:pPr>
            <w:r w:rsidRPr="00D635A6">
              <w:rPr>
                <w:rFonts w:asciiTheme="minorHAnsi" w:hAnsiTheme="minorHAnsi"/>
                <w:noProof/>
                <w:color w:val="4F81BD" w:themeColor="accent1"/>
                <w:sz w:val="17"/>
                <w:szCs w:val="17"/>
                <w:lang w:eastAsia="zh-CN"/>
              </w:rPr>
              <w:t>% du total</w:t>
            </w:r>
          </w:p>
          <w:p w:rsidR="00E921C5" w:rsidRPr="00D635A6" w:rsidRDefault="00E921C5" w:rsidP="00FC2C2D">
            <w:pPr>
              <w:keepNext/>
              <w:keepLines/>
              <w:spacing w:before="0"/>
              <w:jc w:val="right"/>
              <w:rPr>
                <w:rFonts w:asciiTheme="minorHAnsi" w:hAnsiTheme="minorHAnsi"/>
                <w:noProof/>
                <w:color w:val="4F81BD" w:themeColor="accent1"/>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3,3%</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1,0%</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2,2%</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35,6%</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3,2%</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1,2%</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0,9%</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0,3%</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6,3%</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8,4%</w:t>
            </w:r>
          </w:p>
          <w:p w:rsidR="00E921C5" w:rsidRPr="00D635A6" w:rsidRDefault="00E921C5" w:rsidP="00FC2C2D">
            <w:pPr>
              <w:keepNext/>
              <w:keepLines/>
              <w:spacing w:before="0"/>
              <w:ind w:right="340"/>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6,8%</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4,5%</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8,7%</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0,8%</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4,8%</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0,4%</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0,5%</w:t>
            </w:r>
            <w:r w:rsidRPr="00D635A6">
              <w:rPr>
                <w:rFonts w:asciiTheme="minorHAnsi" w:hAnsiTheme="minorHAnsi"/>
                <w:noProof/>
                <w:sz w:val="17"/>
                <w:szCs w:val="17"/>
                <w:lang w:eastAsia="zh-CN"/>
              </w:rPr>
              <w:br/>
              <w:t>0,2%</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2,3%</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1,5%</w:t>
            </w:r>
            <w:r w:rsidRPr="00D635A6">
              <w:rPr>
                <w:rFonts w:asciiTheme="minorHAnsi" w:hAnsiTheme="minorHAnsi"/>
                <w:noProof/>
                <w:sz w:val="17"/>
                <w:szCs w:val="17"/>
                <w:lang w:eastAsia="zh-CN"/>
              </w:rPr>
              <w:br/>
            </w:r>
          </w:p>
          <w:p w:rsidR="00E921C5" w:rsidRPr="00D635A6" w:rsidRDefault="00E921C5" w:rsidP="00FC2C2D">
            <w:pPr>
              <w:keepNext/>
              <w:keepLines/>
              <w:spacing w:before="0"/>
              <w:jc w:val="right"/>
              <w:rPr>
                <w:rFonts w:asciiTheme="minorHAnsi" w:hAnsiTheme="minorHAnsi"/>
                <w:noProof/>
                <w:color w:val="948A54" w:themeColor="background2" w:themeShade="80"/>
                <w:sz w:val="17"/>
                <w:szCs w:val="17"/>
                <w:lang w:eastAsia="zh-CN"/>
              </w:rPr>
            </w:pPr>
            <w:r w:rsidRPr="00D635A6">
              <w:rPr>
                <w:rFonts w:asciiTheme="minorHAnsi" w:hAnsiTheme="minorHAnsi"/>
                <w:noProof/>
                <w:sz w:val="17"/>
                <w:szCs w:val="17"/>
                <w:lang w:eastAsia="zh-CN"/>
              </w:rPr>
              <w:t>2,2%</w:t>
            </w:r>
          </w:p>
        </w:tc>
        <w:tc>
          <w:tcPr>
            <w:tcW w:w="976" w:type="dxa"/>
            <w:vMerge w:val="restart"/>
          </w:tcPr>
          <w:p w:rsidR="00E921C5" w:rsidRPr="00D635A6" w:rsidRDefault="00E921C5" w:rsidP="00FC2C2D">
            <w:pPr>
              <w:keepNext/>
              <w:keepLines/>
              <w:spacing w:before="0"/>
              <w:jc w:val="right"/>
              <w:rPr>
                <w:rFonts w:asciiTheme="minorHAnsi" w:hAnsiTheme="minorHAnsi"/>
                <w:noProof/>
                <w:color w:val="4F81BD" w:themeColor="accent1"/>
                <w:sz w:val="17"/>
                <w:szCs w:val="17"/>
                <w:lang w:eastAsia="zh-CN"/>
              </w:rPr>
            </w:pPr>
          </w:p>
          <w:p w:rsidR="00E921C5" w:rsidRPr="00D635A6" w:rsidRDefault="00E921C5" w:rsidP="00FC2C2D">
            <w:pPr>
              <w:keepNext/>
              <w:keepLines/>
              <w:spacing w:before="0"/>
              <w:jc w:val="right"/>
              <w:rPr>
                <w:rFonts w:asciiTheme="minorHAnsi" w:hAnsiTheme="minorHAnsi"/>
                <w:noProof/>
                <w:color w:val="4F81BD" w:themeColor="accent1"/>
                <w:sz w:val="17"/>
                <w:szCs w:val="17"/>
                <w:lang w:eastAsia="zh-CN"/>
              </w:rPr>
            </w:pPr>
          </w:p>
          <w:p w:rsidR="00E921C5" w:rsidRPr="00D635A6" w:rsidRDefault="00E921C5" w:rsidP="00FC2C2D">
            <w:pPr>
              <w:keepNext/>
              <w:keepLines/>
              <w:spacing w:before="0"/>
              <w:jc w:val="right"/>
              <w:rPr>
                <w:rFonts w:asciiTheme="minorHAnsi" w:hAnsiTheme="minorHAnsi"/>
                <w:b/>
                <w:bCs/>
                <w:noProof/>
                <w:color w:val="4F81BD" w:themeColor="accent1"/>
                <w:sz w:val="17"/>
                <w:szCs w:val="17"/>
                <w:lang w:eastAsia="zh-CN"/>
              </w:rPr>
            </w:pPr>
            <w:r w:rsidRPr="00D635A6">
              <w:rPr>
                <w:rFonts w:asciiTheme="minorHAnsi" w:hAnsiTheme="minorHAnsi"/>
                <w:b/>
                <w:bCs/>
                <w:noProof/>
                <w:color w:val="4F81BD" w:themeColor="accent1"/>
                <w:sz w:val="17"/>
                <w:szCs w:val="17"/>
                <w:lang w:eastAsia="zh-CN"/>
              </w:rPr>
              <w:t>% de l'objectif</w:t>
            </w:r>
          </w:p>
          <w:p w:rsidR="00E921C5" w:rsidRPr="00D635A6" w:rsidRDefault="00E921C5" w:rsidP="00FC2C2D">
            <w:pPr>
              <w:keepNext/>
              <w:keepLines/>
              <w:spacing w:before="0"/>
              <w:jc w:val="right"/>
              <w:rPr>
                <w:rFonts w:asciiTheme="minorHAnsi" w:hAnsiTheme="minorHAnsi"/>
                <w:b/>
                <w:bCs/>
                <w:noProof/>
                <w:color w:val="4F81BD" w:themeColor="accent1"/>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6,6%</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4,4%</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72,1%</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6.5%</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2,5%</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1,7%</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0,6%</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28,2%</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37,5%</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30,6%</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50,4%</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45,9%</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56,9%</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5,4%</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31.3%</w:t>
            </w: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2.6%</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16.4%</w:t>
            </w:r>
            <w:r w:rsidRPr="00D635A6">
              <w:rPr>
                <w:rFonts w:asciiTheme="minorHAnsi" w:hAnsiTheme="minorHAnsi"/>
                <w:noProof/>
                <w:sz w:val="17"/>
                <w:szCs w:val="17"/>
                <w:lang w:eastAsia="zh-CN"/>
              </w:rPr>
              <w:br/>
              <w:t>5,8%</w:t>
            </w:r>
          </w:p>
          <w:p w:rsidR="00E921C5" w:rsidRPr="00D635A6" w:rsidRDefault="00E921C5" w:rsidP="00FC2C2D">
            <w:pPr>
              <w:keepNext/>
              <w:keepLines/>
              <w:spacing w:before="0"/>
              <w:jc w:val="right"/>
              <w:rPr>
                <w:rFonts w:asciiTheme="minorHAnsi" w:hAnsiTheme="minorHAnsi"/>
                <w:noProof/>
                <w:sz w:val="17"/>
                <w:szCs w:val="17"/>
                <w:lang w:eastAsia="zh-CN"/>
              </w:rPr>
            </w:pPr>
          </w:p>
          <w:p w:rsidR="00E921C5" w:rsidRPr="00D635A6" w:rsidRDefault="00E921C5" w:rsidP="00FC2C2D">
            <w:pPr>
              <w:keepNext/>
              <w:keepLines/>
              <w:pBdr>
                <w:bottom w:val="single" w:sz="6" w:space="1" w:color="auto"/>
              </w:pBdr>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74,1%</w:t>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1,5%</w:t>
            </w:r>
            <w:r w:rsidRPr="00D635A6">
              <w:rPr>
                <w:rFonts w:asciiTheme="minorHAnsi" w:hAnsiTheme="minorHAnsi"/>
                <w:noProof/>
                <w:sz w:val="17"/>
                <w:szCs w:val="17"/>
                <w:lang w:eastAsia="zh-CN"/>
              </w:rPr>
              <w:br/>
            </w:r>
          </w:p>
          <w:p w:rsidR="00E921C5" w:rsidRPr="00D635A6" w:rsidRDefault="00E921C5" w:rsidP="00FC2C2D">
            <w:pPr>
              <w:keepNext/>
              <w:keepLines/>
              <w:spacing w:before="0"/>
              <w:jc w:val="right"/>
              <w:rPr>
                <w:rFonts w:asciiTheme="minorHAnsi" w:hAnsiTheme="minorHAnsi"/>
                <w:noProof/>
                <w:sz w:val="17"/>
                <w:szCs w:val="17"/>
                <w:lang w:eastAsia="zh-CN"/>
              </w:rPr>
            </w:pPr>
            <w:r w:rsidRPr="00D635A6">
              <w:rPr>
                <w:rFonts w:asciiTheme="minorHAnsi" w:hAnsiTheme="minorHAnsi"/>
                <w:noProof/>
                <w:sz w:val="17"/>
                <w:szCs w:val="17"/>
                <w:lang w:eastAsia="zh-CN"/>
              </w:rPr>
              <w:t>2,2%</w:t>
            </w:r>
          </w:p>
        </w:tc>
      </w:tr>
      <w:tr w:rsidR="00E921C5" w:rsidRPr="00D635A6" w:rsidTr="006F5A3B">
        <w:trPr>
          <w:trHeight w:val="4046"/>
        </w:trPr>
        <w:tc>
          <w:tcPr>
            <w:tcW w:w="6634" w:type="dxa"/>
          </w:tcPr>
          <w:p w:rsidR="00E921C5" w:rsidRPr="00D635A6" w:rsidRDefault="00E921C5" w:rsidP="00FC2C2D">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T.1 </w:t>
            </w:r>
            <w:r w:rsidRPr="00D635A6">
              <w:rPr>
                <w:rFonts w:asciiTheme="minorHAnsi" w:hAnsiTheme="minorHAnsi"/>
                <w:noProof/>
                <w:sz w:val="20"/>
                <w:lang w:eastAsia="zh-CN"/>
              </w:rPr>
              <w:t>Elaborer dans les meilleurs délais des normes internationales non discriminatoires (recommandations UIT-T) et promouvoir l'interopérabilité et l'amélioration de la qualité de fonctionnement des équipements, des réseaux, des services et des applications</w:t>
            </w:r>
          </w:p>
          <w:p w:rsidR="00E921C5" w:rsidRPr="00D635A6" w:rsidRDefault="00E921C5" w:rsidP="00FC2C2D">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T.2 </w:t>
            </w:r>
            <w:r w:rsidRPr="00D635A6">
              <w:rPr>
                <w:rFonts w:asciiTheme="minorHAnsi" w:hAnsiTheme="minorHAnsi"/>
                <w:noProof/>
                <w:sz w:val="20"/>
                <w:lang w:eastAsia="zh-CN"/>
              </w:rPr>
              <w:t>Encourager la participation active des membres, en particulier ceux des pays en développement, à la définition et à l'adoption de normes internationales non discriminatoires (recommandations UIT-T) en vue de réduire l'écart en matière de normalisation</w:t>
            </w:r>
          </w:p>
          <w:p w:rsidR="00E921C5" w:rsidRPr="00D635A6" w:rsidRDefault="00E921C5" w:rsidP="00FC2C2D">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T.3 </w:t>
            </w:r>
            <w:r w:rsidRPr="00D635A6">
              <w:rPr>
                <w:rFonts w:asciiTheme="minorHAnsi" w:hAnsiTheme="minorHAnsi"/>
                <w:noProof/>
                <w:sz w:val="20"/>
                <w:lang w:eastAsia="zh-CN"/>
              </w:rPr>
              <w:t>Garantir l'attribution et la gestion efficaces des ressources de numérotage, de nommage, d'adressage et d'identification utilisées dans les télécommunications internationales, conformément aux procédures et aux Recommandations de l'UIT</w:t>
            </w:r>
            <w:r w:rsidRPr="00D635A6">
              <w:rPr>
                <w:rFonts w:asciiTheme="minorHAnsi" w:hAnsiTheme="minorHAnsi"/>
                <w:noProof/>
                <w:sz w:val="20"/>
                <w:lang w:eastAsia="zh-CN"/>
              </w:rPr>
              <w:noBreakHyphen/>
              <w:t>T</w:t>
            </w:r>
          </w:p>
          <w:p w:rsidR="00E921C5" w:rsidRPr="00D635A6" w:rsidRDefault="00E921C5" w:rsidP="00FC2C2D">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T.4 </w:t>
            </w:r>
            <w:r w:rsidRPr="00D635A6">
              <w:rPr>
                <w:rFonts w:asciiTheme="minorHAnsi" w:hAnsiTheme="minorHAnsi"/>
                <w:noProof/>
                <w:sz w:val="20"/>
                <w:lang w:eastAsia="zh-CN"/>
              </w:rPr>
              <w:t>Encourager l'acquisition et l'échange de connaissances et de savoir</w:t>
            </w:r>
            <w:r w:rsidRPr="00D635A6">
              <w:rPr>
                <w:rFonts w:asciiTheme="minorHAnsi" w:hAnsiTheme="minorHAnsi"/>
                <w:noProof/>
                <w:sz w:val="20"/>
                <w:lang w:eastAsia="zh-CN"/>
              </w:rPr>
              <w:noBreakHyphen/>
              <w:t>faire concernant les activités de normalisation de l'UIT-T</w:t>
            </w:r>
          </w:p>
          <w:p w:rsidR="00E921C5" w:rsidRPr="00D635A6" w:rsidRDefault="00E921C5" w:rsidP="00FC2C2D">
            <w:pPr>
              <w:keepNext/>
              <w:keepLines/>
              <w:spacing w:before="60"/>
              <w:rPr>
                <w:rFonts w:asciiTheme="minorHAnsi" w:hAnsiTheme="minorHAnsi"/>
                <w:noProof/>
                <w:sz w:val="20"/>
                <w:lang w:eastAsia="zh-CN"/>
              </w:rPr>
            </w:pPr>
            <w:r w:rsidRPr="00D635A6">
              <w:rPr>
                <w:rFonts w:asciiTheme="minorHAnsi" w:hAnsiTheme="minorHAnsi"/>
                <w:noProof/>
                <w:color w:val="4F81BD" w:themeColor="accent1"/>
                <w:sz w:val="20"/>
                <w:lang w:eastAsia="zh-CN"/>
              </w:rPr>
              <w:t xml:space="preserve">T.5 </w:t>
            </w:r>
            <w:r w:rsidRPr="00D635A6">
              <w:rPr>
                <w:rFonts w:asciiTheme="minorHAnsi" w:hAnsiTheme="minorHAnsi"/>
                <w:noProof/>
                <w:sz w:val="20"/>
                <w:lang w:eastAsia="zh-CN"/>
              </w:rPr>
              <w:t>Elargir et faciliter la coopération avec les organismes internationaux, régionaux et nationaux de normalisation</w:t>
            </w:r>
          </w:p>
        </w:tc>
        <w:tc>
          <w:tcPr>
            <w:tcW w:w="749" w:type="dxa"/>
          </w:tcPr>
          <w:p w:rsidR="00E921C5" w:rsidRPr="00D635A6" w:rsidRDefault="00E921C5" w:rsidP="00FC2C2D">
            <w:pPr>
              <w:keepNext/>
              <w:keepLines/>
              <w:spacing w:before="60"/>
              <w:jc w:val="right"/>
              <w:rPr>
                <w:rFonts w:asciiTheme="minorHAnsi" w:hAnsiTheme="minorHAnsi"/>
                <w:b/>
                <w:bCs/>
                <w:noProof/>
                <w:sz w:val="20"/>
                <w:lang w:eastAsia="zh-CN"/>
              </w:rPr>
            </w:pPr>
            <w:r w:rsidRPr="00D635A6">
              <w:rPr>
                <w:rFonts w:asciiTheme="minorHAnsi" w:hAnsiTheme="minorHAnsi"/>
                <w:b/>
                <w:bCs/>
                <w:noProof/>
                <w:sz w:val="20"/>
                <w:lang w:eastAsia="zh-CN"/>
              </w:rPr>
              <w:t>50%</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E921C5" w:rsidRPr="00D635A6" w:rsidRDefault="00E921C5" w:rsidP="00FC2C2D">
            <w:pPr>
              <w:keepNext/>
              <w:keepLines/>
              <w:spacing w:before="60"/>
              <w:jc w:val="right"/>
              <w:rPr>
                <w:rFonts w:asciiTheme="minorHAnsi" w:hAnsiTheme="minorHAnsi"/>
                <w:b/>
                <w:bCs/>
                <w:noProof/>
                <w:sz w:val="20"/>
                <w:lang w:eastAsia="zh-CN"/>
              </w:rPr>
            </w:pPr>
            <w:r w:rsidRPr="00D635A6">
              <w:rPr>
                <w:rFonts w:asciiTheme="minorHAnsi" w:hAnsiTheme="minorHAnsi"/>
                <w:b/>
                <w:bCs/>
                <w:noProof/>
                <w:sz w:val="20"/>
                <w:lang w:eastAsia="zh-CN"/>
              </w:rPr>
              <w:t>22%</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E921C5" w:rsidRPr="00D635A6" w:rsidRDefault="00E921C5" w:rsidP="00FC2C2D">
            <w:pPr>
              <w:keepNext/>
              <w:keepLines/>
              <w:spacing w:before="60"/>
              <w:jc w:val="right"/>
              <w:rPr>
                <w:rFonts w:asciiTheme="minorHAnsi" w:hAnsiTheme="minorHAnsi"/>
                <w:b/>
                <w:bCs/>
                <w:noProof/>
                <w:sz w:val="20"/>
                <w:lang w:eastAsia="zh-CN"/>
              </w:rPr>
            </w:pPr>
            <w:r w:rsidRPr="00D635A6">
              <w:rPr>
                <w:rFonts w:asciiTheme="minorHAnsi" w:hAnsiTheme="minorHAnsi"/>
                <w:b/>
                <w:bCs/>
                <w:noProof/>
                <w:sz w:val="20"/>
                <w:lang w:eastAsia="zh-CN"/>
              </w:rPr>
              <w:t>10%</w:t>
            </w:r>
            <w:r w:rsidRPr="00D635A6">
              <w:rPr>
                <w:rFonts w:asciiTheme="minorHAnsi" w:hAnsiTheme="minorHAnsi"/>
                <w:b/>
                <w:bCs/>
                <w:noProof/>
                <w:sz w:val="20"/>
                <w:lang w:eastAsia="zh-CN"/>
              </w:rPr>
              <w:br/>
            </w:r>
            <w:r w:rsidRPr="00D635A6">
              <w:rPr>
                <w:rFonts w:asciiTheme="minorHAnsi" w:hAnsiTheme="minorHAnsi"/>
                <w:b/>
                <w:bCs/>
                <w:noProof/>
                <w:sz w:val="20"/>
                <w:lang w:eastAsia="zh-CN"/>
              </w:rPr>
              <w:br/>
            </w:r>
            <w:r w:rsidRPr="00D635A6">
              <w:rPr>
                <w:rFonts w:asciiTheme="minorHAnsi" w:hAnsiTheme="minorHAnsi"/>
                <w:b/>
                <w:bCs/>
                <w:noProof/>
                <w:sz w:val="20"/>
                <w:lang w:eastAsia="zh-CN"/>
              </w:rPr>
              <w:br/>
            </w:r>
          </w:p>
          <w:p w:rsidR="00E921C5" w:rsidRPr="00D635A6" w:rsidRDefault="00E921C5" w:rsidP="00FC2C2D">
            <w:pPr>
              <w:keepNext/>
              <w:keepLines/>
              <w:spacing w:before="60"/>
              <w:jc w:val="right"/>
              <w:rPr>
                <w:rFonts w:asciiTheme="minorHAnsi" w:hAnsiTheme="minorHAnsi"/>
                <w:b/>
                <w:bCs/>
                <w:noProof/>
                <w:sz w:val="20"/>
                <w:lang w:eastAsia="zh-CN"/>
              </w:rPr>
            </w:pPr>
            <w:r w:rsidRPr="00D635A6">
              <w:rPr>
                <w:rFonts w:asciiTheme="minorHAnsi" w:hAnsiTheme="minorHAnsi"/>
                <w:b/>
                <w:bCs/>
                <w:noProof/>
                <w:sz w:val="20"/>
                <w:lang w:eastAsia="zh-CN"/>
              </w:rPr>
              <w:t>15%</w:t>
            </w:r>
            <w:r w:rsidRPr="00D635A6">
              <w:rPr>
                <w:rFonts w:asciiTheme="minorHAnsi" w:hAnsiTheme="minorHAnsi"/>
                <w:b/>
                <w:bCs/>
                <w:noProof/>
                <w:sz w:val="20"/>
                <w:lang w:eastAsia="zh-CN"/>
              </w:rPr>
              <w:br/>
            </w:r>
            <w:r w:rsidRPr="00D635A6">
              <w:rPr>
                <w:rFonts w:asciiTheme="minorHAnsi" w:hAnsiTheme="minorHAnsi"/>
                <w:b/>
                <w:bCs/>
                <w:noProof/>
                <w:sz w:val="20"/>
                <w:lang w:eastAsia="zh-CN"/>
              </w:rPr>
              <w:br/>
              <w:t>3%</w:t>
            </w:r>
          </w:p>
        </w:tc>
        <w:tc>
          <w:tcPr>
            <w:tcW w:w="5460" w:type="dxa"/>
            <w:vMerge/>
          </w:tcPr>
          <w:p w:rsidR="00E921C5" w:rsidRPr="00D635A6" w:rsidRDefault="00E921C5" w:rsidP="00FC2C2D">
            <w:pPr>
              <w:keepNext/>
              <w:keepLines/>
              <w:spacing w:before="0"/>
              <w:rPr>
                <w:rFonts w:asciiTheme="minorHAnsi" w:hAnsiTheme="minorHAnsi"/>
                <w:noProof/>
                <w:sz w:val="20"/>
                <w:lang w:eastAsia="zh-CN"/>
              </w:rPr>
            </w:pPr>
          </w:p>
        </w:tc>
        <w:tc>
          <w:tcPr>
            <w:tcW w:w="889" w:type="dxa"/>
            <w:vMerge/>
          </w:tcPr>
          <w:p w:rsidR="00E921C5" w:rsidRPr="00D635A6" w:rsidRDefault="00E921C5" w:rsidP="00FC2C2D">
            <w:pPr>
              <w:keepNext/>
              <w:keepLines/>
              <w:spacing w:before="0"/>
              <w:rPr>
                <w:rFonts w:asciiTheme="minorHAnsi" w:hAnsiTheme="minorHAnsi"/>
                <w:noProof/>
                <w:sz w:val="20"/>
                <w:lang w:eastAsia="zh-CN"/>
              </w:rPr>
            </w:pPr>
          </w:p>
        </w:tc>
        <w:tc>
          <w:tcPr>
            <w:tcW w:w="976" w:type="dxa"/>
            <w:vMerge/>
          </w:tcPr>
          <w:p w:rsidR="00E921C5" w:rsidRPr="00D635A6" w:rsidRDefault="00E921C5" w:rsidP="00FC2C2D">
            <w:pPr>
              <w:keepNext/>
              <w:keepLines/>
              <w:spacing w:before="0"/>
              <w:rPr>
                <w:rFonts w:asciiTheme="minorHAnsi" w:hAnsiTheme="minorHAnsi"/>
                <w:noProof/>
                <w:sz w:val="20"/>
                <w:lang w:eastAsia="zh-CN"/>
              </w:rPr>
            </w:pPr>
          </w:p>
        </w:tc>
      </w:tr>
    </w:tbl>
    <w:p w:rsidR="00E921C5" w:rsidRPr="00D635A6" w:rsidRDefault="00E921C5" w:rsidP="006F5A3B">
      <w:pPr>
        <w:tabs>
          <w:tab w:val="clear" w:pos="567"/>
          <w:tab w:val="clear" w:pos="1134"/>
          <w:tab w:val="clear" w:pos="1701"/>
          <w:tab w:val="clear" w:pos="2268"/>
          <w:tab w:val="clear" w:pos="2835"/>
          <w:tab w:val="left" w:pos="7655"/>
        </w:tabs>
        <w:spacing w:before="0"/>
        <w:rPr>
          <w:rFonts w:asciiTheme="minorHAnsi" w:hAnsiTheme="minorHAnsi"/>
          <w:noProof/>
          <w:sz w:val="20"/>
          <w:lang w:eastAsia="zh-CN"/>
        </w:rPr>
      </w:pPr>
      <w:r w:rsidRPr="00D635A6">
        <w:rPr>
          <w:rFonts w:asciiTheme="minorHAnsi" w:hAnsiTheme="minorHAnsi"/>
          <w:noProof/>
          <w:sz w:val="20"/>
          <w:lang w:eastAsia="zh-CN"/>
        </w:rPr>
        <w:tab/>
        <w:t>* Le coût de ces produits est imputé à tous les objectifs de l'Union.</w:t>
      </w:r>
    </w:p>
    <w:p w:rsidR="00E921C5" w:rsidRPr="00D635A6" w:rsidRDefault="00E921C5" w:rsidP="00FC2C2D">
      <w:pPr>
        <w:pStyle w:val="Heading1"/>
        <w:rPr>
          <w:rFonts w:eastAsiaTheme="majorEastAsia"/>
        </w:rPr>
      </w:pPr>
      <w:r w:rsidRPr="00D635A6">
        <w:rPr>
          <w:rFonts w:eastAsiaTheme="majorEastAsia"/>
        </w:rPr>
        <w:lastRenderedPageBreak/>
        <w:t>4</w:t>
      </w:r>
      <w:r w:rsidRPr="00D635A6">
        <w:rPr>
          <w:rFonts w:eastAsiaTheme="majorEastAsia"/>
        </w:rPr>
        <w:tab/>
        <w:t>Analyse des risques</w:t>
      </w:r>
    </w:p>
    <w:p w:rsidR="00E921C5" w:rsidRPr="00D635A6" w:rsidRDefault="00E921C5" w:rsidP="00E921C5">
      <w:pPr>
        <w:spacing w:after="120"/>
        <w:jc w:val="both"/>
        <w:rPr>
          <w:rFonts w:asciiTheme="minorHAnsi" w:hAnsiTheme="minorHAnsi"/>
        </w:rPr>
      </w:pPr>
      <w:r w:rsidRPr="00D635A6">
        <w:rPr>
          <w:rFonts w:asciiTheme="minorHAnsi" w:hAnsiTheme="minorHAnsi"/>
        </w:rPr>
        <w:t>Dans l'optique du passage de la stratégie à la mise en oeuvre, les risques opérationnels de premier niveau présentés dans le tableau suivant ont été identifiés, analysés et évalués. Les bureaux et chaque département gèreront l'ensemble des risques associés aux produits correspondants.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00"/>
        <w:gridCol w:w="4999"/>
        <w:gridCol w:w="1418"/>
        <w:gridCol w:w="1515"/>
        <w:gridCol w:w="4262"/>
      </w:tblGrid>
      <w:tr w:rsidR="00E921C5" w:rsidRPr="00D635A6" w:rsidTr="00FC2C2D">
        <w:trPr>
          <w:trHeight w:val="491"/>
        </w:trPr>
        <w:tc>
          <w:tcPr>
            <w:tcW w:w="1800" w:type="dxa"/>
            <w:shd w:val="clear" w:color="auto" w:fill="4F81BD" w:themeFill="accent1"/>
          </w:tcPr>
          <w:p w:rsidR="00E921C5" w:rsidRPr="00D635A6" w:rsidRDefault="00E921C5" w:rsidP="00FC2C2D">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Perspective</w:t>
            </w:r>
          </w:p>
        </w:tc>
        <w:tc>
          <w:tcPr>
            <w:tcW w:w="4999" w:type="dxa"/>
            <w:shd w:val="clear" w:color="auto" w:fill="4F81BD" w:themeFill="accent1"/>
          </w:tcPr>
          <w:p w:rsidR="00E921C5" w:rsidRPr="00D635A6" w:rsidRDefault="00E921C5" w:rsidP="00FC2C2D">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Description des risques</w:t>
            </w:r>
          </w:p>
        </w:tc>
        <w:tc>
          <w:tcPr>
            <w:tcW w:w="1418" w:type="dxa"/>
            <w:shd w:val="clear" w:color="auto" w:fill="4F81BD" w:themeFill="accent1"/>
          </w:tcPr>
          <w:p w:rsidR="00E921C5" w:rsidRPr="00D635A6" w:rsidRDefault="00E921C5" w:rsidP="00FC2C2D">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Probabilité</w:t>
            </w:r>
          </w:p>
        </w:tc>
        <w:tc>
          <w:tcPr>
            <w:tcW w:w="1515" w:type="dxa"/>
            <w:shd w:val="clear" w:color="auto" w:fill="4F81BD" w:themeFill="accent1"/>
          </w:tcPr>
          <w:p w:rsidR="00E921C5" w:rsidRPr="00D635A6" w:rsidRDefault="00E921C5" w:rsidP="00FC2C2D">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Niveau d'incidence</w:t>
            </w:r>
          </w:p>
        </w:tc>
        <w:tc>
          <w:tcPr>
            <w:tcW w:w="4262" w:type="dxa"/>
            <w:shd w:val="clear" w:color="auto" w:fill="4F81BD" w:themeFill="accent1"/>
          </w:tcPr>
          <w:p w:rsidR="00E921C5" w:rsidRPr="00D635A6" w:rsidRDefault="00E921C5" w:rsidP="00FC2C2D">
            <w:pPr>
              <w:pStyle w:val="Tablehead"/>
              <w:spacing w:before="20" w:after="20"/>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Mesure d'atténuation</w:t>
            </w:r>
            <w:r w:rsidRPr="00D635A6">
              <w:rPr>
                <w:rStyle w:val="FootnoteReference"/>
                <w:rFonts w:asciiTheme="minorHAnsi" w:hAnsiTheme="minorHAnsi" w:cs="Times New Roman Bold"/>
                <w:color w:val="FFFFFF" w:themeColor="background1"/>
                <w:sz w:val="20"/>
              </w:rPr>
              <w:footnoteReference w:id="1"/>
            </w:r>
          </w:p>
        </w:tc>
      </w:tr>
      <w:tr w:rsidR="00E921C5" w:rsidRPr="00D635A6" w:rsidTr="00FC2C2D">
        <w:tc>
          <w:tcPr>
            <w:tcW w:w="1800" w:type="dxa"/>
          </w:tcPr>
          <w:p w:rsidR="00E921C5" w:rsidRPr="00D635A6" w:rsidRDefault="00E921C5" w:rsidP="00FC2C2D">
            <w:pPr>
              <w:pStyle w:val="Tabletext"/>
              <w:spacing w:before="20" w:after="20"/>
              <w:rPr>
                <w:rFonts w:asciiTheme="minorHAnsi" w:hAnsiTheme="minorHAnsi"/>
                <w:b/>
                <w:bCs/>
                <w:sz w:val="20"/>
              </w:rPr>
            </w:pPr>
            <w:r w:rsidRPr="00D635A6">
              <w:rPr>
                <w:rFonts w:asciiTheme="minorHAnsi" w:hAnsiTheme="minorHAnsi"/>
                <w:b/>
                <w:bCs/>
                <w:sz w:val="20"/>
              </w:rPr>
              <w:t>Risques organisationnels</w:t>
            </w:r>
          </w:p>
        </w:tc>
        <w:tc>
          <w:tcPr>
            <w:tcW w:w="4999" w:type="dxa"/>
          </w:tcPr>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Impossibilité matérielle d'utiliser les locaux du siège.</w:t>
            </w:r>
          </w:p>
          <w:p w:rsidR="00E921C5" w:rsidRPr="00D635A6" w:rsidRDefault="00E921C5" w:rsidP="00FC2C2D">
            <w:pPr>
              <w:pStyle w:val="Tabletext"/>
              <w:spacing w:before="20" w:after="20"/>
              <w:rPr>
                <w:rFonts w:asciiTheme="minorHAnsi" w:hAnsiTheme="minorHAnsi"/>
                <w:sz w:val="20"/>
              </w:rPr>
            </w:pPr>
          </w:p>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Incapacité matérielle d'organiser des réunions ou de voyager (</w:t>
            </w:r>
            <w:r w:rsidRPr="00D635A6">
              <w:rPr>
                <w:rFonts w:asciiTheme="minorHAnsi" w:hAnsiTheme="minorHAnsi"/>
                <w:i/>
                <w:iCs/>
                <w:sz w:val="20"/>
              </w:rPr>
              <w:t>s'il faut changer à la dernière minute</w:t>
            </w:r>
            <w:r w:rsidRPr="00D635A6">
              <w:rPr>
                <w:rFonts w:asciiTheme="minorHAnsi" w:hAnsiTheme="minorHAnsi"/>
                <w:sz w:val="20"/>
              </w:rPr>
              <w:t xml:space="preserve"> </w:t>
            </w:r>
            <w:r w:rsidRPr="00D635A6">
              <w:rPr>
                <w:rFonts w:asciiTheme="minorHAnsi" w:hAnsiTheme="minorHAnsi"/>
                <w:i/>
                <w:iCs/>
                <w:sz w:val="20"/>
              </w:rPr>
              <w:t>le pays accueillant une manifestation en raison de l'instabilité politique régnant dans ce pays ou d'une crise majeure, telle qu'une pandémie ou des problèmes de sécurité publique, par exemple)</w:t>
            </w:r>
          </w:p>
        </w:tc>
        <w:tc>
          <w:tcPr>
            <w:tcW w:w="1418"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Faible</w:t>
            </w:r>
          </w:p>
          <w:p w:rsidR="00E921C5" w:rsidRPr="00D635A6" w:rsidRDefault="00E921C5" w:rsidP="00FC2C2D">
            <w:pPr>
              <w:pStyle w:val="Tabletext"/>
              <w:spacing w:before="20" w:after="20"/>
              <w:jc w:val="center"/>
              <w:rPr>
                <w:rFonts w:asciiTheme="minorHAnsi" w:hAnsiTheme="minorHAnsi"/>
                <w:sz w:val="20"/>
              </w:rPr>
            </w:pP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Moyenne</w:t>
            </w:r>
          </w:p>
          <w:p w:rsidR="00E921C5" w:rsidRPr="00D635A6" w:rsidRDefault="00E921C5" w:rsidP="00FC2C2D">
            <w:pPr>
              <w:pStyle w:val="Tabletext"/>
              <w:spacing w:before="20" w:after="20"/>
              <w:rPr>
                <w:rFonts w:asciiTheme="minorHAnsi" w:hAnsiTheme="minorHAnsi"/>
                <w:sz w:val="20"/>
              </w:rPr>
            </w:pPr>
          </w:p>
        </w:tc>
        <w:tc>
          <w:tcPr>
            <w:tcW w:w="1515"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Elevé</w:t>
            </w:r>
          </w:p>
          <w:p w:rsidR="00E921C5" w:rsidRPr="00D635A6" w:rsidRDefault="00E921C5" w:rsidP="00FC2C2D">
            <w:pPr>
              <w:pStyle w:val="Tabletext"/>
              <w:spacing w:before="20" w:after="20"/>
              <w:jc w:val="center"/>
              <w:rPr>
                <w:rFonts w:asciiTheme="minorHAnsi" w:hAnsiTheme="minorHAnsi"/>
                <w:sz w:val="20"/>
              </w:rPr>
            </w:pP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w:t>
            </w:r>
          </w:p>
        </w:tc>
        <w:tc>
          <w:tcPr>
            <w:tcW w:w="4262" w:type="dxa"/>
          </w:tcPr>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 xml:space="preserve">Renforcer les moyens de participation à distance </w:t>
            </w:r>
          </w:p>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d'urgence concernant les activités à l'échelle de l'UIT/TSB</w:t>
            </w:r>
          </w:p>
          <w:p w:rsidR="00E921C5" w:rsidRPr="00D635A6" w:rsidRDefault="00E921C5" w:rsidP="00FC2C2D">
            <w:pPr>
              <w:pStyle w:val="Tabletext"/>
              <w:tabs>
                <w:tab w:val="left" w:pos="304"/>
              </w:tabs>
              <w:spacing w:before="20" w:after="20"/>
              <w:rPr>
                <w:rFonts w:asciiTheme="minorHAnsi" w:hAnsiTheme="minorHAnsi"/>
                <w:sz w:val="20"/>
              </w:rPr>
            </w:pPr>
          </w:p>
        </w:tc>
      </w:tr>
      <w:tr w:rsidR="00E921C5" w:rsidRPr="00D635A6" w:rsidTr="00FC2C2D">
        <w:tc>
          <w:tcPr>
            <w:tcW w:w="1800" w:type="dxa"/>
          </w:tcPr>
          <w:p w:rsidR="00E921C5" w:rsidRPr="00D635A6" w:rsidRDefault="00E921C5" w:rsidP="00FC2C2D">
            <w:pPr>
              <w:pStyle w:val="Tabletext"/>
              <w:spacing w:before="20" w:after="20"/>
              <w:rPr>
                <w:rFonts w:asciiTheme="minorHAnsi" w:hAnsiTheme="minorHAnsi"/>
                <w:b/>
                <w:bCs/>
                <w:sz w:val="20"/>
              </w:rPr>
            </w:pPr>
            <w:r w:rsidRPr="00D635A6">
              <w:rPr>
                <w:rFonts w:asciiTheme="minorHAnsi" w:hAnsiTheme="minorHAnsi"/>
                <w:b/>
                <w:bCs/>
                <w:sz w:val="20"/>
              </w:rPr>
              <w:t>Risques liés à l'infrastructure</w:t>
            </w:r>
          </w:p>
        </w:tc>
        <w:tc>
          <w:tcPr>
            <w:tcW w:w="4999" w:type="dxa"/>
          </w:tcPr>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Dysfonctionnement des services TIC</w:t>
            </w:r>
          </w:p>
        </w:tc>
        <w:tc>
          <w:tcPr>
            <w:tcW w:w="1418"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Faible</w:t>
            </w:r>
          </w:p>
        </w:tc>
        <w:tc>
          <w:tcPr>
            <w:tcW w:w="1515"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Elevé</w:t>
            </w:r>
          </w:p>
        </w:tc>
        <w:tc>
          <w:tcPr>
            <w:tcW w:w="4262" w:type="dxa"/>
          </w:tcPr>
          <w:p w:rsidR="00E921C5" w:rsidRPr="00D635A6" w:rsidRDefault="00E921C5" w:rsidP="00FC2C2D">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de continuité des TIC</w:t>
            </w:r>
          </w:p>
        </w:tc>
      </w:tr>
      <w:tr w:rsidR="00E921C5" w:rsidRPr="00D635A6" w:rsidTr="00FC2C2D">
        <w:tc>
          <w:tcPr>
            <w:tcW w:w="1800" w:type="dxa"/>
          </w:tcPr>
          <w:p w:rsidR="00E921C5" w:rsidRPr="00D635A6" w:rsidRDefault="00E921C5" w:rsidP="00FC2C2D">
            <w:pPr>
              <w:pStyle w:val="Tabletext"/>
              <w:spacing w:before="20" w:after="20"/>
              <w:rPr>
                <w:rFonts w:asciiTheme="minorHAnsi" w:hAnsiTheme="minorHAnsi"/>
                <w:b/>
                <w:bCs/>
                <w:sz w:val="20"/>
              </w:rPr>
            </w:pPr>
            <w:r w:rsidRPr="00D635A6">
              <w:rPr>
                <w:rFonts w:asciiTheme="minorHAnsi" w:hAnsiTheme="minorHAnsi"/>
                <w:b/>
                <w:bCs/>
                <w:sz w:val="20"/>
              </w:rPr>
              <w:t>Risques liés aux ressources humaines</w:t>
            </w:r>
          </w:p>
        </w:tc>
        <w:tc>
          <w:tcPr>
            <w:tcW w:w="4999" w:type="dxa"/>
          </w:tcPr>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Manque de personnel ou de compétences pour des tâches essentielles</w:t>
            </w:r>
          </w:p>
        </w:tc>
        <w:tc>
          <w:tcPr>
            <w:tcW w:w="1418"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Moyenne</w:t>
            </w:r>
          </w:p>
        </w:tc>
        <w:tc>
          <w:tcPr>
            <w:tcW w:w="1515"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w:t>
            </w:r>
          </w:p>
        </w:tc>
        <w:tc>
          <w:tcPr>
            <w:tcW w:w="4262" w:type="dxa"/>
          </w:tcPr>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stratégique relatif aux ressources humaines concernant la formation, l'évolution de carrière et le remplacement du personnel ou des compétences</w:t>
            </w:r>
          </w:p>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d'urgence concernant les congés maladie</w:t>
            </w:r>
          </w:p>
          <w:p w:rsidR="00E921C5" w:rsidRPr="00D635A6" w:rsidRDefault="00E921C5" w:rsidP="00FC2C2D">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Plan de continuité des activités à l'échelle du TSB</w:t>
            </w:r>
          </w:p>
        </w:tc>
      </w:tr>
      <w:tr w:rsidR="00E921C5" w:rsidRPr="00D635A6" w:rsidTr="00FC2C2D">
        <w:tc>
          <w:tcPr>
            <w:tcW w:w="1800" w:type="dxa"/>
          </w:tcPr>
          <w:p w:rsidR="00E921C5" w:rsidRPr="00D635A6" w:rsidRDefault="00E921C5" w:rsidP="00FC2C2D">
            <w:pPr>
              <w:pStyle w:val="Tabletext"/>
              <w:spacing w:before="20" w:after="20"/>
              <w:rPr>
                <w:rFonts w:asciiTheme="minorHAnsi" w:hAnsiTheme="minorHAnsi"/>
                <w:b/>
                <w:bCs/>
                <w:sz w:val="20"/>
              </w:rPr>
            </w:pPr>
            <w:r w:rsidRPr="00D635A6">
              <w:rPr>
                <w:rFonts w:asciiTheme="minorHAnsi" w:hAnsiTheme="minorHAnsi"/>
                <w:b/>
                <w:bCs/>
                <w:sz w:val="20"/>
              </w:rPr>
              <w:t>Risques financiers</w:t>
            </w:r>
          </w:p>
        </w:tc>
        <w:tc>
          <w:tcPr>
            <w:tcW w:w="4999" w:type="dxa"/>
          </w:tcPr>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Inefficacité des dépenses</w:t>
            </w:r>
          </w:p>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Nombre important de membres dénonçant leur participation</w:t>
            </w:r>
          </w:p>
          <w:p w:rsidR="00E921C5" w:rsidRPr="00D635A6" w:rsidRDefault="00E921C5" w:rsidP="00FC2C2D">
            <w:pPr>
              <w:pStyle w:val="Tabletext"/>
              <w:spacing w:before="20" w:after="20"/>
              <w:rPr>
                <w:rFonts w:asciiTheme="minorHAnsi" w:hAnsiTheme="minorHAnsi"/>
                <w:sz w:val="20"/>
              </w:rPr>
            </w:pPr>
          </w:p>
          <w:p w:rsidR="00E921C5" w:rsidRPr="00D635A6" w:rsidRDefault="00E921C5" w:rsidP="00FC2C2D">
            <w:pPr>
              <w:pStyle w:val="Tabletext"/>
              <w:spacing w:before="20" w:after="20"/>
              <w:rPr>
                <w:rFonts w:asciiTheme="minorHAnsi" w:hAnsiTheme="minorHAnsi"/>
                <w:sz w:val="20"/>
              </w:rPr>
            </w:pPr>
            <w:r w:rsidRPr="00D635A6">
              <w:rPr>
                <w:rFonts w:asciiTheme="minorHAnsi" w:hAnsiTheme="minorHAnsi"/>
                <w:sz w:val="20"/>
              </w:rPr>
              <w:t>Diminution substantielle des recettes au titre du recouvrement des coûts</w:t>
            </w:r>
          </w:p>
        </w:tc>
        <w:tc>
          <w:tcPr>
            <w:tcW w:w="1418"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Faible</w:t>
            </w: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Moyenne</w:t>
            </w: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br/>
            </w:r>
            <w:r w:rsidRPr="00D635A6">
              <w:rPr>
                <w:rFonts w:asciiTheme="minorHAnsi" w:hAnsiTheme="minorHAnsi"/>
                <w:sz w:val="20"/>
              </w:rPr>
              <w:br/>
              <w:t>Faible</w:t>
            </w:r>
          </w:p>
        </w:tc>
        <w:tc>
          <w:tcPr>
            <w:tcW w:w="1515" w:type="dxa"/>
          </w:tcPr>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Moyen</w:t>
            </w: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t>Elevé</w:t>
            </w:r>
          </w:p>
          <w:p w:rsidR="00E921C5" w:rsidRPr="00D635A6" w:rsidRDefault="00E921C5" w:rsidP="00FC2C2D">
            <w:pPr>
              <w:pStyle w:val="Tabletext"/>
              <w:spacing w:before="20" w:after="20"/>
              <w:jc w:val="center"/>
              <w:rPr>
                <w:rFonts w:asciiTheme="minorHAnsi" w:hAnsiTheme="minorHAnsi"/>
                <w:sz w:val="20"/>
              </w:rPr>
            </w:pPr>
            <w:r w:rsidRPr="00D635A6">
              <w:rPr>
                <w:rFonts w:asciiTheme="minorHAnsi" w:hAnsiTheme="minorHAnsi"/>
                <w:sz w:val="20"/>
              </w:rPr>
              <w:br/>
            </w:r>
            <w:r w:rsidRPr="00D635A6">
              <w:rPr>
                <w:rFonts w:asciiTheme="minorHAnsi" w:hAnsiTheme="minorHAnsi"/>
                <w:sz w:val="20"/>
              </w:rPr>
              <w:br/>
              <w:t>Faible</w:t>
            </w:r>
          </w:p>
        </w:tc>
        <w:tc>
          <w:tcPr>
            <w:tcW w:w="4262" w:type="dxa"/>
          </w:tcPr>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 xml:space="preserve">Système/mécanisme de contrôle interne </w:t>
            </w:r>
          </w:p>
          <w:p w:rsidR="00E921C5" w:rsidRPr="00D635A6" w:rsidRDefault="00E921C5" w:rsidP="00FC2C2D">
            <w:pPr>
              <w:pStyle w:val="Tabletext"/>
              <w:tabs>
                <w:tab w:val="left" w:pos="304"/>
              </w:tabs>
              <w:spacing w:before="20" w:after="20"/>
              <w:ind w:left="304" w:hanging="304"/>
              <w:rPr>
                <w:rFonts w:asciiTheme="minorHAnsi" w:eastAsia="Calibri" w:hAnsiTheme="minorHAnsi" w:cs="Arial"/>
                <w:sz w:val="20"/>
              </w:rPr>
            </w:pPr>
            <w:r w:rsidRPr="00D635A6">
              <w:rPr>
                <w:rFonts w:asciiTheme="minorHAnsi" w:eastAsia="Calibri" w:hAnsiTheme="minorHAnsi" w:cs="Arial"/>
                <w:sz w:val="20"/>
              </w:rPr>
              <w:t>–</w:t>
            </w:r>
            <w:r w:rsidRPr="00D635A6">
              <w:rPr>
                <w:rFonts w:asciiTheme="minorHAnsi" w:eastAsia="Calibri" w:hAnsiTheme="minorHAnsi" w:cs="Arial"/>
                <w:sz w:val="20"/>
              </w:rPr>
              <w:tab/>
              <w:t>Positionnement de l'UIT-T comme pôle d'activité de pointe pour les travaux de normalisation</w:t>
            </w:r>
          </w:p>
          <w:p w:rsidR="00E921C5" w:rsidRPr="00D635A6" w:rsidRDefault="00E921C5" w:rsidP="00FC2C2D">
            <w:pPr>
              <w:pStyle w:val="Tabletext"/>
              <w:tabs>
                <w:tab w:val="left" w:pos="304"/>
              </w:tabs>
              <w:spacing w:before="20" w:after="20"/>
              <w:ind w:left="304" w:hanging="304"/>
              <w:rPr>
                <w:rFonts w:asciiTheme="minorHAnsi" w:hAnsiTheme="minorHAnsi"/>
                <w:sz w:val="20"/>
              </w:rPr>
            </w:pPr>
            <w:r w:rsidRPr="00D635A6">
              <w:rPr>
                <w:rFonts w:asciiTheme="minorHAnsi" w:eastAsia="Calibri" w:hAnsiTheme="minorHAnsi" w:cs="Arial"/>
                <w:sz w:val="20"/>
              </w:rPr>
              <w:t>–</w:t>
            </w:r>
            <w:r w:rsidRPr="00D635A6">
              <w:rPr>
                <w:rFonts w:asciiTheme="minorHAnsi" w:eastAsia="Calibri" w:hAnsiTheme="minorHAnsi" w:cs="Arial"/>
                <w:sz w:val="20"/>
              </w:rPr>
              <w:tab/>
              <w:t>Mise en oeuvre d'un système de contrôle et d'évaluation</w:t>
            </w:r>
          </w:p>
        </w:tc>
      </w:tr>
    </w:tbl>
    <w:p w:rsidR="00E921C5" w:rsidRPr="00D635A6" w:rsidRDefault="00E921C5" w:rsidP="00E921C5">
      <w:pPr>
        <w:rPr>
          <w:rFonts w:asciiTheme="minorHAnsi" w:hAnsiTheme="minorHAnsi"/>
        </w:rPr>
      </w:pPr>
      <w:r w:rsidRPr="00D635A6">
        <w:rPr>
          <w:rFonts w:asciiTheme="minorHAnsi" w:hAnsiTheme="minorHAnsi"/>
        </w:rPr>
        <w:br w:type="page"/>
      </w:r>
    </w:p>
    <w:p w:rsidR="00E921C5" w:rsidRPr="00D635A6" w:rsidRDefault="00E921C5" w:rsidP="00FC2C2D">
      <w:pPr>
        <w:pStyle w:val="Heading1"/>
        <w:rPr>
          <w:rFonts w:eastAsiaTheme="majorEastAsia"/>
        </w:rPr>
      </w:pPr>
      <w:r w:rsidRPr="00D635A6">
        <w:rPr>
          <w:rFonts w:eastAsiaTheme="majorEastAsia"/>
        </w:rPr>
        <w:lastRenderedPageBreak/>
        <w:t>5</w:t>
      </w:r>
      <w:r w:rsidRPr="00D635A6">
        <w:rPr>
          <w:rFonts w:eastAsiaTheme="majorEastAsia"/>
        </w:rPr>
        <w:tab/>
        <w:t>Objectifs, résultats et produits de l'UIT-T pour la période 2018-2021</w:t>
      </w:r>
    </w:p>
    <w:p w:rsidR="00E921C5" w:rsidRPr="00D635A6" w:rsidRDefault="00E921C5" w:rsidP="00E921C5">
      <w:pPr>
        <w:rPr>
          <w:rFonts w:asciiTheme="minorHAnsi" w:hAnsiTheme="minorHAnsi"/>
        </w:rPr>
      </w:pPr>
      <w:r w:rsidRPr="00D635A6">
        <w:rPr>
          <w:rFonts w:asciiTheme="minorHAnsi" w:hAnsiTheme="minorHAnsi"/>
        </w:rPr>
        <w:t>Les objectifs du Secteur de l'UIT</w:t>
      </w:r>
      <w:r w:rsidRPr="00D635A6">
        <w:rPr>
          <w:rFonts w:asciiTheme="minorHAnsi" w:hAnsiTheme="minorHAnsi"/>
        </w:rPr>
        <w:noBreakHyphen/>
        <w:t>T seront atteints en obtenant les résultats correspondants, dans le cadre de la mise en oeuvre des produits. Les objectifs de l'UIT</w:t>
      </w:r>
      <w:r w:rsidRPr="00D635A6">
        <w:rPr>
          <w:rFonts w:asciiTheme="minorHAnsi" w:hAnsiTheme="minorHAnsi"/>
        </w:rPr>
        <w:noBreakHyphen/>
        <w:t>T, correspondant aux attributions de ce Secteur, contribueront à atteindre les buts fondamentaux de l'Union. Le Bureau de la normalisation des télécommunications contribue également à la mise en oeuvre des objectifs, résultats et produits intersectoriels (présentés dans le Plan opérationnel du Secrétariat général).</w:t>
      </w:r>
    </w:p>
    <w:p w:rsidR="00E921C5" w:rsidRPr="00D635A6" w:rsidRDefault="00E921C5" w:rsidP="00FC2C2D">
      <w:pPr>
        <w:pStyle w:val="Heading2"/>
        <w:spacing w:after="120"/>
        <w:rPr>
          <w:rFonts w:eastAsiaTheme="majorEastAsia"/>
        </w:rPr>
      </w:pPr>
      <w:r w:rsidRPr="00D635A6">
        <w:rPr>
          <w:rFonts w:eastAsiaTheme="majorEastAsia"/>
        </w:rPr>
        <w:t>5.1</w:t>
      </w:r>
      <w:r w:rsidRPr="00D635A6">
        <w:rPr>
          <w:rFonts w:eastAsiaTheme="majorEastAsia"/>
        </w:rPr>
        <w:tab/>
        <w:t>T.1 Elaborer dans les meilleurs délais des normes internationales non discriminatoires (recommandations UIT-T) et promouvoir l'interopérabilité et l'amélioration de la qualité de fonctionnement des équipements, des réseaux, des services et des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720"/>
        <w:gridCol w:w="4632"/>
        <w:gridCol w:w="2723"/>
        <w:gridCol w:w="1909"/>
        <w:gridCol w:w="2010"/>
      </w:tblGrid>
      <w:tr w:rsidR="00E921C5" w:rsidRPr="00D635A6" w:rsidTr="00FC2C2D">
        <w:tc>
          <w:tcPr>
            <w:tcW w:w="972" w:type="pct"/>
            <w:shd w:val="clear" w:color="auto" w:fill="4F81BD" w:themeFill="accent1"/>
          </w:tcPr>
          <w:p w:rsidR="00E921C5" w:rsidRPr="00D635A6" w:rsidRDefault="00E921C5" w:rsidP="00FC2C2D">
            <w:pPr>
              <w:pStyle w:val="Tablehead"/>
              <w:rPr>
                <w:rFonts w:asciiTheme="minorHAnsi" w:hAnsiTheme="minorHAnsi"/>
                <w:color w:val="FFFFFF" w:themeColor="background1"/>
              </w:rPr>
            </w:pPr>
            <w:r w:rsidRPr="00D635A6">
              <w:rPr>
                <w:rFonts w:asciiTheme="minorHAnsi" w:hAnsiTheme="minorHAnsi"/>
                <w:color w:val="FFFFFF" w:themeColor="background1"/>
              </w:rPr>
              <w:t>Résultat</w:t>
            </w:r>
          </w:p>
        </w:tc>
        <w:tc>
          <w:tcPr>
            <w:tcW w:w="1655" w:type="pct"/>
            <w:shd w:val="clear" w:color="auto" w:fill="4F81BD" w:themeFill="accent1"/>
          </w:tcPr>
          <w:p w:rsidR="00E921C5" w:rsidRPr="00D635A6" w:rsidRDefault="00E921C5" w:rsidP="00FC2C2D">
            <w:pPr>
              <w:pStyle w:val="Tablehead"/>
              <w:rPr>
                <w:rFonts w:asciiTheme="minorHAnsi" w:hAnsiTheme="minorHAnsi"/>
                <w:color w:val="FFFFFF" w:themeColor="background1"/>
              </w:rPr>
            </w:pPr>
            <w:r w:rsidRPr="00D635A6">
              <w:rPr>
                <w:rFonts w:asciiTheme="minorHAnsi" w:hAnsiTheme="minorHAnsi"/>
                <w:color w:val="FFFFFF" w:themeColor="background1"/>
              </w:rPr>
              <w:t xml:space="preserve">Indicateur de résultats </w:t>
            </w:r>
          </w:p>
        </w:tc>
        <w:tc>
          <w:tcPr>
            <w:tcW w:w="973" w:type="pct"/>
            <w:shd w:val="clear" w:color="auto" w:fill="4F81BD" w:themeFill="accent1"/>
          </w:tcPr>
          <w:p w:rsidR="00E921C5" w:rsidRPr="00D635A6" w:rsidRDefault="00E921C5" w:rsidP="00FC2C2D">
            <w:pPr>
              <w:pStyle w:val="Tablehead"/>
              <w:rPr>
                <w:rFonts w:asciiTheme="minorHAnsi" w:hAnsiTheme="minorHAnsi"/>
                <w:color w:val="FFFFFF" w:themeColor="background1"/>
              </w:rPr>
            </w:pPr>
            <w:r w:rsidRPr="00D635A6">
              <w:rPr>
                <w:rFonts w:asciiTheme="minorHAnsi" w:hAnsiTheme="minorHAnsi"/>
                <w:color w:val="FFFFFF" w:themeColor="background1"/>
              </w:rPr>
              <w:t>Chiffres 2015</w:t>
            </w:r>
          </w:p>
        </w:tc>
        <w:tc>
          <w:tcPr>
            <w:tcW w:w="682" w:type="pct"/>
            <w:shd w:val="clear" w:color="auto" w:fill="4F81BD" w:themeFill="accent1"/>
          </w:tcPr>
          <w:p w:rsidR="00E921C5" w:rsidRPr="00D635A6" w:rsidRDefault="00E921C5" w:rsidP="00FC2C2D">
            <w:pPr>
              <w:pStyle w:val="Tablehead"/>
              <w:rPr>
                <w:rFonts w:asciiTheme="minorHAnsi" w:hAnsiTheme="minorHAnsi"/>
                <w:color w:val="FFFFFF" w:themeColor="background1"/>
              </w:rPr>
            </w:pPr>
            <w:r w:rsidRPr="00D635A6">
              <w:rPr>
                <w:rFonts w:asciiTheme="minorHAnsi" w:hAnsiTheme="minorHAnsi"/>
                <w:color w:val="FFFFFF" w:themeColor="background1"/>
              </w:rPr>
              <w:t>Chiffres 2016</w:t>
            </w:r>
          </w:p>
        </w:tc>
        <w:tc>
          <w:tcPr>
            <w:tcW w:w="718" w:type="pct"/>
            <w:shd w:val="clear" w:color="auto" w:fill="4F81BD" w:themeFill="accent1"/>
          </w:tcPr>
          <w:p w:rsidR="00E921C5" w:rsidRPr="00D635A6" w:rsidRDefault="00E921C5" w:rsidP="00FC2C2D">
            <w:pPr>
              <w:pStyle w:val="Tablehead"/>
              <w:rPr>
                <w:rFonts w:asciiTheme="minorHAnsi" w:hAnsiTheme="minorHAnsi"/>
                <w:color w:val="FFFFFF" w:themeColor="background1"/>
              </w:rPr>
            </w:pPr>
            <w:r w:rsidRPr="00D635A6">
              <w:rPr>
                <w:rFonts w:asciiTheme="minorHAnsi" w:hAnsiTheme="minorHAnsi"/>
                <w:color w:val="FFFFFF" w:themeColor="background1"/>
              </w:rPr>
              <w:t>Moyen de mesure</w:t>
            </w:r>
          </w:p>
        </w:tc>
      </w:tr>
      <w:tr w:rsidR="00E921C5" w:rsidRPr="00D635A6" w:rsidTr="00FC2C2D">
        <w:tc>
          <w:tcPr>
            <w:tcW w:w="972" w:type="pct"/>
          </w:tcPr>
          <w:p w:rsidR="00E921C5" w:rsidRPr="00D635A6" w:rsidRDefault="00E921C5" w:rsidP="00FC2C2D">
            <w:pPr>
              <w:pStyle w:val="Tabletext"/>
              <w:rPr>
                <w:rFonts w:eastAsia="Calibri" w:cs="Arial"/>
                <w:b/>
                <w:bCs/>
                <w:sz w:val="20"/>
                <w:szCs w:val="18"/>
              </w:rPr>
            </w:pPr>
            <w:r w:rsidRPr="00D635A6">
              <w:rPr>
                <w:rFonts w:eastAsia="Calibri" w:cs="Arial"/>
                <w:color w:val="4F81BD" w:themeColor="accent1"/>
                <w:sz w:val="20"/>
                <w:szCs w:val="18"/>
              </w:rPr>
              <w:t>T.1-1</w:t>
            </w:r>
            <w:r w:rsidRPr="00D635A6">
              <w:rPr>
                <w:rFonts w:eastAsia="Calibri" w:cs="Arial"/>
                <w:b/>
                <w:bCs/>
                <w:sz w:val="20"/>
                <w:szCs w:val="18"/>
              </w:rPr>
              <w:t xml:space="preserve">: </w:t>
            </w:r>
            <w:r w:rsidRPr="00D635A6">
              <w:rPr>
                <w:sz w:val="20"/>
                <w:szCs w:val="18"/>
              </w:rPr>
              <w:t>Utilisation accrue des recommandations UIT-T</w:t>
            </w:r>
          </w:p>
        </w:tc>
        <w:tc>
          <w:tcPr>
            <w:tcW w:w="1655" w:type="pct"/>
          </w:tcPr>
          <w:p w:rsidR="00E921C5" w:rsidRPr="00D635A6" w:rsidRDefault="00E921C5" w:rsidP="008F2DF1">
            <w:pPr>
              <w:pStyle w:val="Tabletext"/>
              <w:tabs>
                <w:tab w:val="left" w:pos="263"/>
              </w:tabs>
              <w:rPr>
                <w:sz w:val="20"/>
                <w:szCs w:val="18"/>
              </w:rPr>
            </w:pPr>
            <w:r w:rsidRPr="00D635A6">
              <w:rPr>
                <w:sz w:val="20"/>
                <w:szCs w:val="18"/>
              </w:rPr>
              <w:t>–</w:t>
            </w:r>
            <w:r w:rsidRPr="00D635A6">
              <w:rPr>
                <w:sz w:val="20"/>
                <w:szCs w:val="18"/>
              </w:rPr>
              <w:tab/>
              <w:t>Nombre de visites du site web de l'UIT-T</w:t>
            </w:r>
          </w:p>
          <w:p w:rsidR="00E921C5" w:rsidRPr="00D635A6" w:rsidRDefault="00E921C5" w:rsidP="008F2DF1">
            <w:pPr>
              <w:pStyle w:val="Tabletext"/>
              <w:tabs>
                <w:tab w:val="left" w:pos="263"/>
              </w:tabs>
              <w:ind w:left="263" w:hanging="263"/>
              <w:rPr>
                <w:sz w:val="20"/>
                <w:szCs w:val="18"/>
              </w:rPr>
            </w:pPr>
            <w:r w:rsidRPr="00D635A6">
              <w:rPr>
                <w:sz w:val="20"/>
                <w:szCs w:val="18"/>
              </w:rPr>
              <w:t>–</w:t>
            </w:r>
            <w:r w:rsidRPr="00D635A6">
              <w:rPr>
                <w:sz w:val="20"/>
                <w:szCs w:val="18"/>
              </w:rPr>
              <w:tab/>
              <w:t>Nombre de participants aux travaux des commissions d'études</w:t>
            </w:r>
          </w:p>
          <w:p w:rsidR="00E921C5" w:rsidRPr="00D635A6" w:rsidRDefault="00E921C5" w:rsidP="008F2DF1">
            <w:pPr>
              <w:pStyle w:val="Tabletext"/>
              <w:tabs>
                <w:tab w:val="left" w:pos="263"/>
              </w:tabs>
              <w:ind w:left="263" w:hanging="263"/>
              <w:rPr>
                <w:b/>
                <w:sz w:val="20"/>
                <w:szCs w:val="18"/>
              </w:rPr>
            </w:pPr>
            <w:r w:rsidRPr="00D635A6">
              <w:rPr>
                <w:sz w:val="20"/>
                <w:szCs w:val="18"/>
              </w:rPr>
              <w:t>–</w:t>
            </w:r>
            <w:r w:rsidRPr="00D635A6">
              <w:rPr>
                <w:sz w:val="20"/>
                <w:szCs w:val="18"/>
              </w:rPr>
              <w:tab/>
              <w:t>Nombre de téléchargements de Recommandations de l'UIT-T</w:t>
            </w:r>
          </w:p>
        </w:tc>
        <w:tc>
          <w:tcPr>
            <w:tcW w:w="973" w:type="pct"/>
          </w:tcPr>
          <w:p w:rsidR="00E921C5" w:rsidRPr="00D635A6" w:rsidRDefault="00E921C5" w:rsidP="00FC2C2D">
            <w:pPr>
              <w:pStyle w:val="Tabletext"/>
              <w:rPr>
                <w:sz w:val="20"/>
                <w:szCs w:val="18"/>
              </w:rPr>
            </w:pPr>
            <w:r w:rsidRPr="00D635A6">
              <w:rPr>
                <w:sz w:val="20"/>
                <w:szCs w:val="18"/>
              </w:rPr>
              <w:t>6 940 648</w:t>
            </w:r>
          </w:p>
          <w:p w:rsidR="00E921C5" w:rsidRPr="00D635A6" w:rsidRDefault="00E921C5" w:rsidP="00FC2C2D">
            <w:pPr>
              <w:pStyle w:val="Tabletext"/>
              <w:rPr>
                <w:sz w:val="20"/>
                <w:szCs w:val="18"/>
              </w:rPr>
            </w:pPr>
            <w:r w:rsidRPr="00D635A6">
              <w:rPr>
                <w:sz w:val="20"/>
                <w:szCs w:val="18"/>
              </w:rPr>
              <w:t>2 369</w:t>
            </w:r>
          </w:p>
          <w:p w:rsidR="00E921C5" w:rsidRPr="00D635A6" w:rsidRDefault="00E921C5" w:rsidP="00FC2C2D">
            <w:pPr>
              <w:pStyle w:val="Tabletext"/>
              <w:rPr>
                <w:b/>
                <w:sz w:val="20"/>
                <w:szCs w:val="18"/>
              </w:rPr>
            </w:pPr>
            <w:r w:rsidRPr="00D635A6">
              <w:rPr>
                <w:sz w:val="20"/>
                <w:szCs w:val="18"/>
              </w:rPr>
              <w:t>2 910 645</w:t>
            </w:r>
          </w:p>
        </w:tc>
        <w:tc>
          <w:tcPr>
            <w:tcW w:w="682" w:type="pct"/>
          </w:tcPr>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8 288 568</w:t>
            </w:r>
          </w:p>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2 953</w:t>
            </w:r>
          </w:p>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3 403 995</w:t>
            </w:r>
          </w:p>
        </w:tc>
        <w:tc>
          <w:tcPr>
            <w:tcW w:w="718" w:type="pct"/>
          </w:tcPr>
          <w:p w:rsidR="00E921C5" w:rsidRPr="00D635A6" w:rsidRDefault="00E921C5" w:rsidP="00FC2C2D">
            <w:pPr>
              <w:pStyle w:val="Tabletext"/>
              <w:rPr>
                <w:b/>
                <w:sz w:val="20"/>
                <w:szCs w:val="18"/>
              </w:rPr>
            </w:pPr>
            <w:r w:rsidRPr="00D635A6">
              <w:rPr>
                <w:sz w:val="20"/>
                <w:szCs w:val="18"/>
              </w:rPr>
              <w:t>Statistiques UIT</w:t>
            </w:r>
          </w:p>
          <w:p w:rsidR="00E921C5" w:rsidRPr="00D635A6" w:rsidRDefault="00E921C5" w:rsidP="00FC2C2D">
            <w:pPr>
              <w:pStyle w:val="Tabletext"/>
              <w:rPr>
                <w:b/>
                <w:sz w:val="20"/>
                <w:szCs w:val="18"/>
              </w:rPr>
            </w:pPr>
            <w:r w:rsidRPr="00D635A6">
              <w:rPr>
                <w:sz w:val="20"/>
                <w:szCs w:val="18"/>
              </w:rPr>
              <w:t>Statistiques UIT</w:t>
            </w:r>
          </w:p>
          <w:p w:rsidR="00E921C5" w:rsidRPr="00D635A6" w:rsidRDefault="00E921C5" w:rsidP="00FC2C2D">
            <w:pPr>
              <w:pStyle w:val="Tabletext"/>
              <w:rPr>
                <w:sz w:val="20"/>
                <w:szCs w:val="18"/>
              </w:rPr>
            </w:pPr>
            <w:r w:rsidRPr="00D635A6">
              <w:rPr>
                <w:sz w:val="20"/>
                <w:szCs w:val="18"/>
              </w:rPr>
              <w:t>Statistiques UIT</w:t>
            </w:r>
          </w:p>
        </w:tc>
      </w:tr>
      <w:tr w:rsidR="00E921C5" w:rsidRPr="00D635A6" w:rsidTr="00FC2C2D">
        <w:tc>
          <w:tcPr>
            <w:tcW w:w="972" w:type="pct"/>
          </w:tcPr>
          <w:p w:rsidR="00E921C5" w:rsidRPr="00D635A6" w:rsidRDefault="00E921C5" w:rsidP="00FC2C2D">
            <w:pPr>
              <w:pStyle w:val="Tabletext"/>
              <w:rPr>
                <w:rFonts w:eastAsia="Calibri" w:cs="Arial"/>
                <w:b/>
                <w:bCs/>
                <w:sz w:val="20"/>
                <w:szCs w:val="18"/>
              </w:rPr>
            </w:pPr>
            <w:r w:rsidRPr="00D635A6">
              <w:rPr>
                <w:rFonts w:eastAsia="Calibri" w:cs="Arial"/>
                <w:color w:val="4F81BD" w:themeColor="accent1"/>
                <w:sz w:val="20"/>
                <w:szCs w:val="18"/>
              </w:rPr>
              <w:t>T.1-2</w:t>
            </w:r>
            <w:r w:rsidRPr="00D635A6">
              <w:rPr>
                <w:rFonts w:eastAsia="Calibri" w:cs="Arial"/>
                <w:b/>
                <w:bCs/>
                <w:sz w:val="20"/>
                <w:szCs w:val="18"/>
              </w:rPr>
              <w:t xml:space="preserve">: </w:t>
            </w:r>
            <w:r w:rsidRPr="00D635A6">
              <w:rPr>
                <w:sz w:val="20"/>
                <w:szCs w:val="18"/>
              </w:rPr>
              <w:t>Amélioration de la conformité aux recommandations UIT</w:t>
            </w:r>
            <w:r w:rsidRPr="00D635A6">
              <w:rPr>
                <w:sz w:val="20"/>
                <w:szCs w:val="18"/>
              </w:rPr>
              <w:noBreakHyphen/>
              <w:t>T</w:t>
            </w:r>
          </w:p>
        </w:tc>
        <w:tc>
          <w:tcPr>
            <w:tcW w:w="1655" w:type="pct"/>
          </w:tcPr>
          <w:p w:rsidR="00E921C5" w:rsidRPr="00D635A6" w:rsidRDefault="00E921C5" w:rsidP="008F2DF1">
            <w:pPr>
              <w:pStyle w:val="Tabletext"/>
              <w:tabs>
                <w:tab w:val="left" w:pos="263"/>
              </w:tabs>
              <w:rPr>
                <w:sz w:val="20"/>
                <w:szCs w:val="18"/>
              </w:rPr>
            </w:pPr>
            <w:r w:rsidRPr="00D635A6">
              <w:rPr>
                <w:sz w:val="20"/>
                <w:szCs w:val="18"/>
              </w:rPr>
              <w:t>–</w:t>
            </w:r>
            <w:r w:rsidRPr="00D635A6">
              <w:rPr>
                <w:sz w:val="20"/>
                <w:szCs w:val="18"/>
              </w:rPr>
              <w:tab/>
              <w:t>Nombre de séries de test</w:t>
            </w:r>
          </w:p>
          <w:p w:rsidR="00E921C5" w:rsidRPr="00D635A6" w:rsidRDefault="00E921C5" w:rsidP="008F2DF1">
            <w:pPr>
              <w:pStyle w:val="Tabletext"/>
              <w:tabs>
                <w:tab w:val="left" w:pos="263"/>
              </w:tabs>
              <w:ind w:left="263" w:hanging="263"/>
              <w:rPr>
                <w:sz w:val="20"/>
                <w:szCs w:val="18"/>
              </w:rPr>
            </w:pPr>
            <w:r w:rsidRPr="00D635A6">
              <w:rPr>
                <w:sz w:val="20"/>
                <w:szCs w:val="18"/>
              </w:rPr>
              <w:t>–</w:t>
            </w:r>
            <w:r w:rsidRPr="00D635A6">
              <w:rPr>
                <w:sz w:val="20"/>
                <w:szCs w:val="18"/>
              </w:rPr>
              <w:tab/>
              <w:t>Nombre d'entrées dans la base de données sur la conformité</w:t>
            </w:r>
          </w:p>
          <w:p w:rsidR="00E921C5" w:rsidRPr="00D635A6" w:rsidRDefault="00E921C5" w:rsidP="008F2DF1">
            <w:pPr>
              <w:pStyle w:val="Tabletext"/>
              <w:tabs>
                <w:tab w:val="left" w:pos="263"/>
              </w:tabs>
              <w:ind w:left="263" w:hanging="263"/>
              <w:rPr>
                <w:sz w:val="20"/>
                <w:szCs w:val="18"/>
              </w:rPr>
            </w:pPr>
            <w:r w:rsidRPr="00D635A6">
              <w:rPr>
                <w:sz w:val="20"/>
                <w:szCs w:val="18"/>
              </w:rPr>
              <w:t>–</w:t>
            </w:r>
            <w:r w:rsidRPr="00D635A6">
              <w:rPr>
                <w:sz w:val="20"/>
                <w:szCs w:val="18"/>
              </w:rPr>
              <w:tab/>
              <w:t>Nombre de Recommandations décrivant des spécifications de test</w:t>
            </w:r>
          </w:p>
        </w:tc>
        <w:tc>
          <w:tcPr>
            <w:tcW w:w="973" w:type="pct"/>
          </w:tcPr>
          <w:p w:rsidR="00E921C5" w:rsidRPr="00D635A6" w:rsidRDefault="00E921C5" w:rsidP="00FC2C2D">
            <w:pPr>
              <w:pStyle w:val="Tabletext"/>
              <w:rPr>
                <w:b/>
                <w:sz w:val="20"/>
                <w:szCs w:val="18"/>
              </w:rPr>
            </w:pPr>
            <w:r w:rsidRPr="00D635A6">
              <w:rPr>
                <w:sz w:val="20"/>
                <w:szCs w:val="18"/>
              </w:rPr>
              <w:t>-</w:t>
            </w:r>
          </w:p>
        </w:tc>
        <w:tc>
          <w:tcPr>
            <w:tcW w:w="682" w:type="pct"/>
          </w:tcPr>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4</w:t>
            </w:r>
          </w:p>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plus de 500</w:t>
            </w:r>
          </w:p>
          <w:p w:rsidR="00E921C5" w:rsidRPr="00D635A6" w:rsidRDefault="00E921C5" w:rsidP="00FC2C2D">
            <w:pPr>
              <w:pStyle w:val="Tabletext"/>
              <w:rPr>
                <w:rFonts w:eastAsia="SimSun"/>
                <w:sz w:val="20"/>
                <w:szCs w:val="18"/>
                <w:lang w:eastAsia="zh-CN"/>
              </w:rPr>
            </w:pPr>
          </w:p>
          <w:p w:rsidR="00E921C5" w:rsidRPr="00D635A6" w:rsidRDefault="00E921C5" w:rsidP="00FC2C2D">
            <w:pPr>
              <w:pStyle w:val="Tabletext"/>
              <w:rPr>
                <w:rFonts w:eastAsia="SimSun"/>
                <w:sz w:val="20"/>
                <w:szCs w:val="18"/>
                <w:lang w:eastAsia="zh-CN"/>
              </w:rPr>
            </w:pPr>
            <w:r w:rsidRPr="00D635A6">
              <w:rPr>
                <w:rFonts w:eastAsia="SimSun"/>
                <w:sz w:val="20"/>
                <w:szCs w:val="18"/>
                <w:lang w:eastAsia="zh-CN"/>
              </w:rPr>
              <w:t>(en cours)</w:t>
            </w:r>
          </w:p>
        </w:tc>
        <w:tc>
          <w:tcPr>
            <w:tcW w:w="718" w:type="pct"/>
          </w:tcPr>
          <w:p w:rsidR="00E921C5" w:rsidRPr="00D635A6" w:rsidRDefault="00E921C5" w:rsidP="00FC2C2D">
            <w:pPr>
              <w:pStyle w:val="Tabletext"/>
              <w:rPr>
                <w:b/>
                <w:sz w:val="20"/>
                <w:szCs w:val="18"/>
              </w:rPr>
            </w:pPr>
            <w:r w:rsidRPr="00D635A6">
              <w:rPr>
                <w:sz w:val="20"/>
                <w:szCs w:val="18"/>
              </w:rPr>
              <w:t>Statistiques UIT</w:t>
            </w:r>
          </w:p>
          <w:p w:rsidR="00E921C5" w:rsidRPr="00D635A6" w:rsidRDefault="00E921C5" w:rsidP="00FC2C2D">
            <w:pPr>
              <w:pStyle w:val="Tabletext"/>
              <w:rPr>
                <w:b/>
                <w:sz w:val="20"/>
                <w:szCs w:val="18"/>
              </w:rPr>
            </w:pPr>
          </w:p>
        </w:tc>
      </w:tr>
      <w:tr w:rsidR="00E921C5" w:rsidRPr="00D635A6" w:rsidTr="00FC2C2D">
        <w:tc>
          <w:tcPr>
            <w:tcW w:w="972" w:type="pct"/>
          </w:tcPr>
          <w:p w:rsidR="00E921C5" w:rsidRPr="00D635A6" w:rsidRDefault="00E921C5" w:rsidP="00FC2C2D">
            <w:pPr>
              <w:pStyle w:val="Tabletext"/>
              <w:rPr>
                <w:rFonts w:eastAsia="Calibri" w:cs="Arial"/>
                <w:b/>
                <w:bCs/>
                <w:sz w:val="20"/>
                <w:szCs w:val="18"/>
              </w:rPr>
            </w:pPr>
            <w:r w:rsidRPr="00D635A6">
              <w:rPr>
                <w:rFonts w:eastAsia="Calibri" w:cs="Arial"/>
                <w:color w:val="4F81BD" w:themeColor="accent1"/>
                <w:sz w:val="20"/>
                <w:szCs w:val="18"/>
              </w:rPr>
              <w:t>T.1-3</w:t>
            </w:r>
            <w:r w:rsidRPr="00D635A6">
              <w:rPr>
                <w:rFonts w:eastAsia="Calibri" w:cs="Arial"/>
                <w:b/>
                <w:bCs/>
                <w:sz w:val="20"/>
                <w:szCs w:val="18"/>
              </w:rPr>
              <w:t xml:space="preserve">: </w:t>
            </w:r>
            <w:r w:rsidRPr="00D635A6">
              <w:rPr>
                <w:sz w:val="20"/>
                <w:szCs w:val="18"/>
              </w:rPr>
              <w:t>Amélioration des normes applicables aux nouvelles technologies et aux nouveaux services</w:t>
            </w:r>
          </w:p>
        </w:tc>
        <w:tc>
          <w:tcPr>
            <w:tcW w:w="1655" w:type="pct"/>
          </w:tcPr>
          <w:p w:rsidR="00E921C5" w:rsidRPr="00D635A6" w:rsidRDefault="00E921C5" w:rsidP="008F2DF1">
            <w:pPr>
              <w:pStyle w:val="Tabletext"/>
              <w:tabs>
                <w:tab w:val="left" w:pos="263"/>
              </w:tabs>
              <w:ind w:left="263" w:hanging="263"/>
              <w:rPr>
                <w:sz w:val="20"/>
                <w:szCs w:val="18"/>
              </w:rPr>
            </w:pPr>
            <w:r w:rsidRPr="00D635A6">
              <w:rPr>
                <w:sz w:val="20"/>
                <w:szCs w:val="18"/>
              </w:rPr>
              <w:t>–</w:t>
            </w:r>
            <w:r w:rsidRPr="00D635A6">
              <w:rPr>
                <w:sz w:val="20"/>
                <w:szCs w:val="18"/>
              </w:rPr>
              <w:tab/>
              <w:t>Nombre de nouveaux domaines d'étude (Questions confiées aux commissions d'études, thèmes de travail et normes correspondantes, au sein de l'UIT-T ou en collaboration avec d'autres groupes)</w:t>
            </w:r>
          </w:p>
        </w:tc>
        <w:tc>
          <w:tcPr>
            <w:tcW w:w="973" w:type="pct"/>
          </w:tcPr>
          <w:p w:rsidR="00E921C5" w:rsidRPr="00D635A6" w:rsidRDefault="00E921C5" w:rsidP="00597463">
            <w:pPr>
              <w:pStyle w:val="Tabletext"/>
              <w:tabs>
                <w:tab w:val="left" w:pos="361"/>
              </w:tabs>
              <w:ind w:left="361" w:hanging="361"/>
              <w:rPr>
                <w:sz w:val="20"/>
                <w:szCs w:val="18"/>
              </w:rPr>
            </w:pPr>
            <w:r w:rsidRPr="00D635A6">
              <w:rPr>
                <w:sz w:val="20"/>
                <w:szCs w:val="18"/>
              </w:rPr>
              <w:t>–</w:t>
            </w:r>
            <w:r w:rsidRPr="00D635A6">
              <w:rPr>
                <w:sz w:val="20"/>
                <w:szCs w:val="18"/>
              </w:rPr>
              <w:tab/>
              <w:t>Nombre de nouvelles Questions: 6</w:t>
            </w:r>
          </w:p>
          <w:p w:rsidR="00E921C5" w:rsidRPr="00D635A6" w:rsidRDefault="00E921C5" w:rsidP="00597463">
            <w:pPr>
              <w:pStyle w:val="Tabletext"/>
              <w:tabs>
                <w:tab w:val="left" w:pos="361"/>
              </w:tabs>
              <w:ind w:left="361" w:hanging="361"/>
              <w:rPr>
                <w:b/>
                <w:sz w:val="20"/>
                <w:szCs w:val="18"/>
              </w:rPr>
            </w:pPr>
            <w:r w:rsidRPr="00D635A6">
              <w:rPr>
                <w:bCs/>
                <w:sz w:val="20"/>
                <w:szCs w:val="18"/>
              </w:rPr>
              <w:t>–</w:t>
            </w:r>
            <w:r w:rsidRPr="00D635A6">
              <w:rPr>
                <w:b/>
                <w:sz w:val="20"/>
                <w:szCs w:val="18"/>
              </w:rPr>
              <w:tab/>
            </w:r>
            <w:r w:rsidRPr="00D635A6">
              <w:rPr>
                <w:bCs/>
                <w:sz w:val="20"/>
                <w:szCs w:val="18"/>
              </w:rPr>
              <w:t>Nombre de nouveaux thèmes de travail: 430</w:t>
            </w:r>
          </w:p>
        </w:tc>
        <w:tc>
          <w:tcPr>
            <w:tcW w:w="682" w:type="pct"/>
          </w:tcPr>
          <w:p w:rsidR="00E921C5" w:rsidRPr="00D635A6" w:rsidRDefault="008F2DF1" w:rsidP="008F2DF1">
            <w:pPr>
              <w:pStyle w:val="Tabletext"/>
              <w:tabs>
                <w:tab w:val="left" w:pos="272"/>
              </w:tabs>
              <w:ind w:left="272" w:hanging="272"/>
              <w:rPr>
                <w:sz w:val="20"/>
                <w:szCs w:val="18"/>
              </w:rPr>
            </w:pPr>
            <w:r w:rsidRPr="00D635A6">
              <w:rPr>
                <w:sz w:val="20"/>
                <w:szCs w:val="18"/>
              </w:rPr>
              <w:t>–</w:t>
            </w:r>
            <w:r w:rsidRPr="00D635A6">
              <w:rPr>
                <w:sz w:val="20"/>
                <w:szCs w:val="18"/>
              </w:rPr>
              <w:tab/>
            </w:r>
            <w:r w:rsidR="00E921C5" w:rsidRPr="00D635A6">
              <w:rPr>
                <w:sz w:val="20"/>
                <w:szCs w:val="18"/>
              </w:rPr>
              <w:t>Nombre de nouvelles Questions: 5</w:t>
            </w:r>
          </w:p>
          <w:p w:rsidR="00E921C5" w:rsidRPr="00D635A6" w:rsidRDefault="00E921C5" w:rsidP="008F2DF1">
            <w:pPr>
              <w:pStyle w:val="Tabletext"/>
              <w:tabs>
                <w:tab w:val="left" w:pos="272"/>
              </w:tabs>
              <w:ind w:left="272" w:hanging="272"/>
              <w:rPr>
                <w:b/>
                <w:sz w:val="20"/>
                <w:szCs w:val="18"/>
              </w:rPr>
            </w:pPr>
            <w:r w:rsidRPr="00D635A6">
              <w:rPr>
                <w:bCs/>
                <w:sz w:val="20"/>
                <w:szCs w:val="18"/>
              </w:rPr>
              <w:t>–</w:t>
            </w:r>
            <w:r w:rsidRPr="00D635A6">
              <w:rPr>
                <w:b/>
                <w:sz w:val="20"/>
                <w:szCs w:val="18"/>
              </w:rPr>
              <w:tab/>
            </w:r>
            <w:r w:rsidRPr="00D635A6">
              <w:rPr>
                <w:bCs/>
                <w:sz w:val="20"/>
                <w:szCs w:val="18"/>
              </w:rPr>
              <w:t>Nombre de nouveaux thèmes de travail: 442</w:t>
            </w:r>
          </w:p>
        </w:tc>
        <w:tc>
          <w:tcPr>
            <w:tcW w:w="718" w:type="pct"/>
          </w:tcPr>
          <w:p w:rsidR="00E921C5" w:rsidRPr="00D635A6" w:rsidRDefault="00E921C5" w:rsidP="00FC2C2D">
            <w:pPr>
              <w:pStyle w:val="Tabletext"/>
              <w:rPr>
                <w:b/>
                <w:sz w:val="20"/>
                <w:szCs w:val="18"/>
              </w:rPr>
            </w:pPr>
            <w:r w:rsidRPr="00D635A6">
              <w:rPr>
                <w:sz w:val="20"/>
                <w:szCs w:val="18"/>
              </w:rPr>
              <w:t>Statistiques UIT</w:t>
            </w:r>
          </w:p>
        </w:tc>
      </w:tr>
    </w:tbl>
    <w:p w:rsidR="00E921C5" w:rsidRPr="00D635A6" w:rsidRDefault="00E921C5" w:rsidP="00E921C5">
      <w:pPr>
        <w:spacing w:before="0"/>
        <w:rPr>
          <w:rFonts w:asciiTheme="minorHAnsi" w:hAnsiTheme="minorHAnsi"/>
        </w:rPr>
      </w:pPr>
    </w:p>
    <w:p w:rsidR="00E921C5" w:rsidRPr="00D635A6" w:rsidRDefault="00E921C5" w:rsidP="00E921C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rPr>
      </w:pPr>
      <w:r w:rsidRPr="00D635A6">
        <w:rPr>
          <w:rFonts w:asciiTheme="minorHAnsi" w:hAnsiTheme="minorHAnsi"/>
        </w:rPr>
        <w:br w:type="page"/>
      </w:r>
    </w:p>
    <w:p w:rsidR="00E921C5" w:rsidRPr="00D635A6" w:rsidRDefault="00E921C5" w:rsidP="00E921C5">
      <w:pPr>
        <w:spacing w:before="0"/>
        <w:rPr>
          <w:rFonts w:asciiTheme="minorHAnsi" w:hAnsiTheme="minorHAnsi"/>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276"/>
        <w:gridCol w:w="1559"/>
        <w:gridCol w:w="1276"/>
        <w:gridCol w:w="1276"/>
      </w:tblGrid>
      <w:tr w:rsidR="00E921C5" w:rsidRPr="00D635A6" w:rsidTr="00FC2C2D">
        <w:tc>
          <w:tcPr>
            <w:tcW w:w="9209"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Produit</w:t>
            </w:r>
          </w:p>
        </w:tc>
        <w:tc>
          <w:tcPr>
            <w:tcW w:w="5387" w:type="dxa"/>
            <w:gridSpan w:val="4"/>
            <w:shd w:val="clear" w:color="auto" w:fill="4F81BD" w:themeFill="accent1"/>
          </w:tcPr>
          <w:p w:rsidR="00E921C5" w:rsidRPr="00D635A6" w:rsidRDefault="00E921C5" w:rsidP="008F2DF1">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2"/>
            </w:r>
            <w:r w:rsidRPr="00D635A6">
              <w:rPr>
                <w:rFonts w:asciiTheme="minorHAnsi" w:hAnsiTheme="minorHAnsi" w:cs="Times New Roman Bold"/>
                <w:color w:val="FFFFFF" w:themeColor="background1"/>
                <w:sz w:val="20"/>
              </w:rPr>
              <w:t xml:space="preserve"> </w:t>
            </w:r>
            <w:r w:rsidRPr="00D635A6">
              <w:rPr>
                <w:rFonts w:asciiTheme="minorHAnsi" w:hAnsiTheme="minorHAnsi" w:cs="Times New Roman Bold"/>
                <w:bCs/>
                <w:color w:val="FFFFFF" w:themeColor="background1"/>
                <w:sz w:val="20"/>
              </w:rPr>
              <w:t>(en milliers CHF)</w:t>
            </w:r>
          </w:p>
        </w:tc>
      </w:tr>
      <w:tr w:rsidR="00E921C5" w:rsidRPr="00D635A6" w:rsidTr="00FC2C2D">
        <w:tc>
          <w:tcPr>
            <w:tcW w:w="9209" w:type="dxa"/>
          </w:tcPr>
          <w:p w:rsidR="00E921C5" w:rsidRPr="00D635A6" w:rsidRDefault="00E921C5" w:rsidP="00FC2C2D">
            <w:pPr>
              <w:spacing w:before="0"/>
              <w:rPr>
                <w:rFonts w:asciiTheme="minorHAnsi" w:hAnsiTheme="minorHAnsi"/>
                <w:sz w:val="20"/>
              </w:rPr>
            </w:pPr>
          </w:p>
        </w:tc>
        <w:tc>
          <w:tcPr>
            <w:tcW w:w="1276" w:type="dxa"/>
          </w:tcPr>
          <w:p w:rsidR="00E921C5" w:rsidRPr="00D635A6" w:rsidRDefault="00E921C5" w:rsidP="008F2DF1">
            <w:pPr>
              <w:spacing w:after="120"/>
              <w:jc w:val="center"/>
              <w:rPr>
                <w:rFonts w:asciiTheme="minorHAnsi" w:hAnsiTheme="minorHAnsi"/>
                <w:b/>
                <w:bCs/>
                <w:color w:val="4F81BD" w:themeColor="accent1"/>
                <w:sz w:val="20"/>
              </w:rPr>
            </w:pPr>
            <w:r w:rsidRPr="00D635A6">
              <w:rPr>
                <w:rFonts w:asciiTheme="minorHAnsi" w:hAnsiTheme="minorHAnsi"/>
                <w:b/>
                <w:bCs/>
                <w:color w:val="548DD4" w:themeColor="text2" w:themeTint="99"/>
                <w:sz w:val="20"/>
              </w:rPr>
              <w:t>2018</w:t>
            </w:r>
          </w:p>
        </w:tc>
        <w:tc>
          <w:tcPr>
            <w:tcW w:w="1559" w:type="dxa"/>
          </w:tcPr>
          <w:p w:rsidR="00E921C5" w:rsidRPr="00D635A6" w:rsidRDefault="00E921C5" w:rsidP="008F2DF1">
            <w:pPr>
              <w:spacing w:after="120"/>
              <w:jc w:val="center"/>
              <w:rPr>
                <w:rFonts w:asciiTheme="minorHAnsi" w:hAnsiTheme="minorHAnsi"/>
                <w:b/>
                <w:bCs/>
                <w:color w:val="4F81BD" w:themeColor="accent1"/>
                <w:sz w:val="20"/>
              </w:rPr>
            </w:pPr>
            <w:r w:rsidRPr="00D635A6">
              <w:rPr>
                <w:rFonts w:asciiTheme="minorHAnsi" w:hAnsiTheme="minorHAnsi"/>
                <w:b/>
                <w:bCs/>
                <w:color w:val="548DD4" w:themeColor="text2" w:themeTint="99"/>
                <w:sz w:val="20"/>
              </w:rPr>
              <w:t>2019</w:t>
            </w:r>
          </w:p>
        </w:tc>
        <w:tc>
          <w:tcPr>
            <w:tcW w:w="1276" w:type="dxa"/>
          </w:tcPr>
          <w:p w:rsidR="00E921C5" w:rsidRPr="00D635A6" w:rsidRDefault="00E921C5" w:rsidP="008F2DF1">
            <w:pPr>
              <w:spacing w:after="120"/>
              <w:jc w:val="center"/>
              <w:rPr>
                <w:rFonts w:asciiTheme="minorHAnsi" w:hAnsiTheme="minorHAnsi"/>
                <w:b/>
                <w:bCs/>
                <w:color w:val="4F81BD" w:themeColor="accent1"/>
                <w:sz w:val="20"/>
              </w:rPr>
            </w:pPr>
            <w:r w:rsidRPr="00D635A6">
              <w:rPr>
                <w:rFonts w:asciiTheme="minorHAnsi" w:hAnsiTheme="minorHAnsi"/>
                <w:b/>
                <w:bCs/>
                <w:color w:val="548DD4" w:themeColor="text2" w:themeTint="99"/>
                <w:sz w:val="20"/>
              </w:rPr>
              <w:t>2020</w:t>
            </w:r>
          </w:p>
        </w:tc>
        <w:tc>
          <w:tcPr>
            <w:tcW w:w="1276" w:type="dxa"/>
          </w:tcPr>
          <w:p w:rsidR="00E921C5" w:rsidRPr="00D635A6" w:rsidRDefault="00E921C5" w:rsidP="008F2DF1">
            <w:pPr>
              <w:spacing w:after="120"/>
              <w:jc w:val="center"/>
              <w:rPr>
                <w:rFonts w:asciiTheme="minorHAnsi" w:hAnsiTheme="minorHAnsi"/>
                <w:b/>
                <w:bCs/>
                <w:color w:val="4F81BD" w:themeColor="accent1"/>
                <w:sz w:val="20"/>
              </w:rPr>
            </w:pPr>
            <w:r w:rsidRPr="00D635A6">
              <w:rPr>
                <w:rFonts w:asciiTheme="minorHAnsi" w:hAnsiTheme="minorHAnsi"/>
                <w:b/>
                <w:bCs/>
                <w:color w:val="548DD4" w:themeColor="text2" w:themeTint="99"/>
                <w:sz w:val="20"/>
              </w:rPr>
              <w:t>2021</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T.1-1</w:t>
            </w:r>
            <w:r w:rsidRPr="00D635A6">
              <w:rPr>
                <w:color w:val="5B9BD5"/>
                <w:sz w:val="20"/>
                <w:szCs w:val="18"/>
              </w:rPr>
              <w:t xml:space="preserve"> </w:t>
            </w:r>
            <w:r w:rsidRPr="00D635A6">
              <w:rPr>
                <w:sz w:val="20"/>
                <w:szCs w:val="18"/>
              </w:rPr>
              <w:t>Résolutions, recommandations et voeux de l'Assemblée mondiale de normalisation des télécommunications (AMNT)</w:t>
            </w:r>
          </w:p>
        </w:tc>
        <w:tc>
          <w:tcPr>
            <w:tcW w:w="1276" w:type="dxa"/>
            <w:tcMar>
              <w:right w:w="284" w:type="dxa"/>
            </w:tcMar>
            <w:vAlign w:val="bottom"/>
          </w:tcPr>
          <w:p w:rsidR="00E921C5" w:rsidRPr="00D635A6" w:rsidRDefault="00E921C5" w:rsidP="008F2DF1">
            <w:pPr>
              <w:pStyle w:val="Tabletext"/>
              <w:jc w:val="center"/>
              <w:rPr>
                <w:sz w:val="20"/>
                <w:szCs w:val="18"/>
              </w:rPr>
            </w:pPr>
            <w:r w:rsidRPr="00D635A6">
              <w:rPr>
                <w:sz w:val="20"/>
                <w:szCs w:val="18"/>
              </w:rPr>
              <w:t>−</w:t>
            </w:r>
          </w:p>
        </w:tc>
        <w:tc>
          <w:tcPr>
            <w:tcW w:w="1559" w:type="dxa"/>
            <w:tcMar>
              <w:right w:w="284" w:type="dxa"/>
            </w:tcMar>
            <w:vAlign w:val="bottom"/>
          </w:tcPr>
          <w:p w:rsidR="00E921C5" w:rsidRPr="00D635A6" w:rsidRDefault="00E921C5" w:rsidP="008F2DF1">
            <w:pPr>
              <w:pStyle w:val="Tabletext"/>
              <w:jc w:val="center"/>
              <w:rPr>
                <w:sz w:val="20"/>
                <w:szCs w:val="18"/>
              </w:rPr>
            </w:pPr>
            <w:r w:rsidRPr="00D635A6">
              <w:rPr>
                <w:sz w:val="20"/>
                <w:szCs w:val="18"/>
              </w:rPr>
              <w:t>−</w:t>
            </w:r>
          </w:p>
        </w:tc>
        <w:tc>
          <w:tcPr>
            <w:tcW w:w="1276" w:type="dxa"/>
            <w:vAlign w:val="bottom"/>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2 863</w:t>
            </w:r>
          </w:p>
        </w:tc>
        <w:tc>
          <w:tcPr>
            <w:tcW w:w="1276" w:type="dxa"/>
            <w:vAlign w:val="bottom"/>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861</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T.1-2</w:t>
            </w:r>
            <w:r w:rsidRPr="00D635A6">
              <w:rPr>
                <w:color w:val="5B9BD5"/>
                <w:sz w:val="20"/>
                <w:szCs w:val="18"/>
              </w:rPr>
              <w:t xml:space="preserve"> </w:t>
            </w:r>
            <w:r w:rsidRPr="00D635A6">
              <w:rPr>
                <w:sz w:val="20"/>
                <w:szCs w:val="18"/>
              </w:rPr>
              <w:t>Sessions régionales de consultation en vue de l'AMNT</w:t>
            </w:r>
          </w:p>
        </w:tc>
        <w:tc>
          <w:tcPr>
            <w:tcW w:w="1276" w:type="dxa"/>
            <w:tcMar>
              <w:right w:w="284" w:type="dxa"/>
            </w:tcMar>
            <w:vAlign w:val="bottom"/>
          </w:tcPr>
          <w:p w:rsidR="00E921C5" w:rsidRPr="00D635A6" w:rsidRDefault="00E921C5" w:rsidP="008F2DF1">
            <w:pPr>
              <w:pStyle w:val="Tabletext"/>
              <w:jc w:val="center"/>
              <w:rPr>
                <w:sz w:val="20"/>
                <w:szCs w:val="18"/>
              </w:rPr>
            </w:pPr>
            <w:r w:rsidRPr="00D635A6">
              <w:rPr>
                <w:sz w:val="20"/>
                <w:szCs w:val="18"/>
              </w:rPr>
              <w:t>−</w:t>
            </w:r>
          </w:p>
        </w:tc>
        <w:tc>
          <w:tcPr>
            <w:tcW w:w="1559" w:type="dxa"/>
            <w:tcMar>
              <w:right w:w="284" w:type="dxa"/>
            </w:tcMar>
            <w:vAlign w:val="bottom"/>
          </w:tcPr>
          <w:p w:rsidR="00E921C5" w:rsidRPr="00D635A6" w:rsidRDefault="00E921C5" w:rsidP="008F2DF1">
            <w:pPr>
              <w:pStyle w:val="Tabletext"/>
              <w:jc w:val="center"/>
              <w:rPr>
                <w:sz w:val="20"/>
                <w:szCs w:val="18"/>
              </w:rPr>
            </w:pPr>
            <w:r w:rsidRPr="00D635A6">
              <w:rPr>
                <w:sz w:val="20"/>
                <w:szCs w:val="18"/>
              </w:rPr>
              <w:t>−</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871</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271</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T.1-3</w:t>
            </w:r>
            <w:r w:rsidRPr="00D635A6">
              <w:rPr>
                <w:color w:val="5B9BD5"/>
                <w:sz w:val="20"/>
                <w:szCs w:val="18"/>
              </w:rPr>
              <w:t xml:space="preserve"> </w:t>
            </w:r>
            <w:r w:rsidRPr="00D635A6">
              <w:rPr>
                <w:sz w:val="20"/>
                <w:szCs w:val="18"/>
              </w:rPr>
              <w:t>Avis et décisions du Groupe consultatif de la normalisation des télécommunications (GCNT)</w:t>
            </w:r>
          </w:p>
        </w:tc>
        <w:tc>
          <w:tcPr>
            <w:tcW w:w="1276" w:type="dxa"/>
            <w:tcMar>
              <w:right w:w="284" w:type="dxa"/>
            </w:tcMar>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567</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556</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587</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594</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 xml:space="preserve">T.1-4 </w:t>
            </w:r>
            <w:r w:rsidRPr="00D635A6">
              <w:rPr>
                <w:sz w:val="20"/>
                <w:szCs w:val="18"/>
              </w:rPr>
              <w:t>Recommandations UIT-T et résultats connexes des travaux des commissions d'études de l'UIT-T</w:t>
            </w:r>
          </w:p>
        </w:tc>
        <w:tc>
          <w:tcPr>
            <w:tcW w:w="1276" w:type="dxa"/>
            <w:tcMar>
              <w:right w:w="284" w:type="dxa"/>
            </w:tcMar>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10 494</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10 524</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9 244</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10 930</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 xml:space="preserve">T.1-5 </w:t>
            </w:r>
            <w:r w:rsidRPr="00D635A6">
              <w:rPr>
                <w:sz w:val="20"/>
                <w:szCs w:val="18"/>
              </w:rPr>
              <w:t>Assistance générale et coopération fournies par l'UIT-T</w:t>
            </w:r>
          </w:p>
        </w:tc>
        <w:tc>
          <w:tcPr>
            <w:tcW w:w="1276" w:type="dxa"/>
            <w:tcMar>
              <w:right w:w="284" w:type="dxa"/>
            </w:tcMar>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923</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925</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744</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1 045</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 xml:space="preserve">T.1-6 </w:t>
            </w:r>
            <w:r w:rsidRPr="00D635A6">
              <w:rPr>
                <w:sz w:val="20"/>
                <w:szCs w:val="18"/>
              </w:rPr>
              <w:t>Base de données sur la conformité</w:t>
            </w:r>
          </w:p>
        </w:tc>
        <w:tc>
          <w:tcPr>
            <w:tcW w:w="1276"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196</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198</w:t>
            </w:r>
          </w:p>
        </w:tc>
        <w:tc>
          <w:tcPr>
            <w:tcW w:w="1276" w:type="dxa"/>
            <w:vAlign w:val="center"/>
          </w:tcPr>
          <w:p w:rsidR="00E921C5" w:rsidRPr="00D635A6" w:rsidRDefault="00E921C5" w:rsidP="008F2DF1">
            <w:pPr>
              <w:pStyle w:val="Tabletext"/>
              <w:jc w:val="center"/>
              <w:rPr>
                <w:rFonts w:eastAsia="SimSun"/>
                <w:sz w:val="20"/>
                <w:szCs w:val="18"/>
                <w:lang w:eastAsia="zh-CN"/>
              </w:rPr>
            </w:pPr>
            <w:r w:rsidRPr="00D635A6">
              <w:rPr>
                <w:rFonts w:eastAsia="SimSun"/>
                <w:i/>
                <w:iCs/>
                <w:sz w:val="20"/>
                <w:szCs w:val="18"/>
                <w:lang w:eastAsia="zh-CN"/>
              </w:rPr>
              <w:t>209</w:t>
            </w:r>
          </w:p>
        </w:tc>
        <w:tc>
          <w:tcPr>
            <w:tcW w:w="1276" w:type="dxa"/>
            <w:vAlign w:val="center"/>
          </w:tcPr>
          <w:p w:rsidR="00E921C5" w:rsidRPr="00D635A6" w:rsidRDefault="00E921C5" w:rsidP="008F2DF1">
            <w:pPr>
              <w:pStyle w:val="Tabletext"/>
              <w:jc w:val="center"/>
              <w:rPr>
                <w:rFonts w:eastAsia="SimSun"/>
                <w:sz w:val="20"/>
                <w:szCs w:val="18"/>
                <w:lang w:eastAsia="zh-CN"/>
              </w:rPr>
            </w:pPr>
            <w:r w:rsidRPr="00D635A6">
              <w:rPr>
                <w:rFonts w:eastAsia="SimSun"/>
                <w:i/>
                <w:iCs/>
                <w:sz w:val="20"/>
                <w:szCs w:val="18"/>
                <w:lang w:eastAsia="zh-CN"/>
              </w:rPr>
              <w:t>287</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 xml:space="preserve">T.1-7 </w:t>
            </w:r>
            <w:r w:rsidRPr="00D635A6">
              <w:rPr>
                <w:sz w:val="20"/>
                <w:szCs w:val="18"/>
              </w:rPr>
              <w:t>Centres de tests et réunions sur les tests d'interopérabilité</w:t>
            </w:r>
          </w:p>
        </w:tc>
        <w:tc>
          <w:tcPr>
            <w:tcW w:w="1276"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137</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139</w:t>
            </w:r>
          </w:p>
        </w:tc>
        <w:tc>
          <w:tcPr>
            <w:tcW w:w="1276" w:type="dxa"/>
            <w:vAlign w:val="center"/>
          </w:tcPr>
          <w:p w:rsidR="00E921C5" w:rsidRPr="00D635A6" w:rsidRDefault="00E921C5" w:rsidP="008F2DF1">
            <w:pPr>
              <w:pStyle w:val="Tabletext"/>
              <w:jc w:val="center"/>
              <w:rPr>
                <w:rFonts w:eastAsia="SimSun"/>
                <w:sz w:val="20"/>
                <w:szCs w:val="18"/>
                <w:lang w:eastAsia="zh-CN"/>
              </w:rPr>
            </w:pPr>
            <w:r w:rsidRPr="00D635A6">
              <w:rPr>
                <w:rFonts w:eastAsia="SimSun"/>
                <w:i/>
                <w:iCs/>
                <w:sz w:val="20"/>
                <w:szCs w:val="18"/>
                <w:lang w:eastAsia="zh-CN"/>
              </w:rPr>
              <w:t>135</w:t>
            </w:r>
          </w:p>
        </w:tc>
        <w:tc>
          <w:tcPr>
            <w:tcW w:w="1276" w:type="dxa"/>
            <w:vAlign w:val="center"/>
          </w:tcPr>
          <w:p w:rsidR="00E921C5" w:rsidRPr="00D635A6" w:rsidRDefault="00E921C5" w:rsidP="008F2DF1">
            <w:pPr>
              <w:pStyle w:val="Tabletext"/>
              <w:jc w:val="center"/>
              <w:rPr>
                <w:rFonts w:eastAsia="SimSun"/>
                <w:sz w:val="20"/>
                <w:szCs w:val="18"/>
                <w:lang w:eastAsia="zh-CN"/>
              </w:rPr>
            </w:pPr>
            <w:r w:rsidRPr="00D635A6">
              <w:rPr>
                <w:rFonts w:eastAsia="SimSun"/>
                <w:i/>
                <w:iCs/>
                <w:sz w:val="20"/>
                <w:szCs w:val="18"/>
                <w:lang w:eastAsia="zh-CN"/>
              </w:rPr>
              <w:t>163</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 xml:space="preserve">T.1-8 </w:t>
            </w:r>
            <w:r w:rsidRPr="00D635A6">
              <w:rPr>
                <w:sz w:val="20"/>
                <w:szCs w:val="18"/>
              </w:rPr>
              <w:t>Elaboration de suites de tests</w:t>
            </w:r>
          </w:p>
        </w:tc>
        <w:tc>
          <w:tcPr>
            <w:tcW w:w="1276" w:type="dxa"/>
            <w:tcMar>
              <w:right w:w="284" w:type="dxa"/>
            </w:tcMar>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78</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78</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89</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89</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276" w:type="dxa"/>
            <w:tcMar>
              <w:right w:w="284" w:type="dxa"/>
            </w:tcMar>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737</w:t>
            </w:r>
          </w:p>
        </w:tc>
        <w:tc>
          <w:tcPr>
            <w:tcW w:w="1559" w:type="dxa"/>
            <w:tcMar>
              <w:right w:w="284" w:type="dxa"/>
            </w:tcMar>
          </w:tcPr>
          <w:p w:rsidR="00E921C5" w:rsidRPr="00D635A6" w:rsidRDefault="00E921C5" w:rsidP="008F2DF1">
            <w:pPr>
              <w:pStyle w:val="Tabletext"/>
              <w:jc w:val="center"/>
              <w:rPr>
                <w:rFonts w:eastAsia="SimSun"/>
                <w:sz w:val="20"/>
                <w:szCs w:val="18"/>
                <w:lang w:eastAsia="zh-CN"/>
              </w:rPr>
            </w:pPr>
            <w:r w:rsidRPr="00D635A6">
              <w:rPr>
                <w:rFonts w:eastAsia="SimSun"/>
                <w:sz w:val="20"/>
                <w:szCs w:val="18"/>
                <w:lang w:eastAsia="zh-CN"/>
              </w:rPr>
              <w:t>371</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470</w:t>
            </w:r>
          </w:p>
        </w:tc>
        <w:tc>
          <w:tcPr>
            <w:tcW w:w="1276" w:type="dxa"/>
          </w:tcPr>
          <w:p w:rsidR="00E921C5" w:rsidRPr="00D635A6" w:rsidRDefault="00E921C5" w:rsidP="008F2DF1">
            <w:pPr>
              <w:pStyle w:val="Tabletext"/>
              <w:jc w:val="center"/>
              <w:rPr>
                <w:rFonts w:eastAsia="SimSun"/>
                <w:sz w:val="20"/>
                <w:szCs w:val="18"/>
                <w:highlight w:val="yellow"/>
                <w:lang w:eastAsia="zh-CN"/>
              </w:rPr>
            </w:pPr>
            <w:r w:rsidRPr="00D635A6">
              <w:rPr>
                <w:rFonts w:eastAsia="SimSun"/>
                <w:sz w:val="20"/>
                <w:szCs w:val="18"/>
                <w:lang w:eastAsia="zh-CN"/>
              </w:rPr>
              <w:t>500</w:t>
            </w:r>
          </w:p>
        </w:tc>
      </w:tr>
      <w:tr w:rsidR="00E921C5" w:rsidRPr="00D635A6" w:rsidTr="00FC2C2D">
        <w:tc>
          <w:tcPr>
            <w:tcW w:w="9209" w:type="dxa"/>
            <w:vAlign w:val="center"/>
          </w:tcPr>
          <w:p w:rsidR="00E921C5" w:rsidRPr="00D635A6" w:rsidRDefault="00E921C5" w:rsidP="008F2DF1">
            <w:pPr>
              <w:pStyle w:val="Tabletext"/>
              <w:rPr>
                <w:b/>
                <w:bCs/>
                <w:color w:val="5B9BD5"/>
                <w:sz w:val="20"/>
                <w:szCs w:val="18"/>
              </w:rPr>
            </w:pPr>
            <w:r w:rsidRPr="00D635A6">
              <w:rPr>
                <w:b/>
                <w:bCs/>
                <w:color w:val="5B9BD5"/>
                <w:sz w:val="20"/>
                <w:szCs w:val="18"/>
              </w:rPr>
              <w:t>Total pour l'objectif T.1</w:t>
            </w:r>
          </w:p>
        </w:tc>
        <w:tc>
          <w:tcPr>
            <w:tcW w:w="1276" w:type="dxa"/>
            <w:tcMar>
              <w:right w:w="284" w:type="dxa"/>
            </w:tcMar>
          </w:tcPr>
          <w:p w:rsidR="00E921C5" w:rsidRPr="00D635A6" w:rsidRDefault="00E921C5" w:rsidP="008F2DF1">
            <w:pPr>
              <w:pStyle w:val="Tabletext"/>
              <w:jc w:val="center"/>
              <w:rPr>
                <w:rFonts w:eastAsia="SimSun"/>
                <w:b/>
                <w:bCs/>
                <w:sz w:val="20"/>
                <w:szCs w:val="18"/>
                <w:highlight w:val="yellow"/>
                <w:lang w:eastAsia="zh-CN"/>
              </w:rPr>
            </w:pPr>
            <w:r w:rsidRPr="00D635A6">
              <w:rPr>
                <w:rFonts w:eastAsia="SimSun"/>
                <w:b/>
                <w:bCs/>
                <w:sz w:val="20"/>
                <w:szCs w:val="18"/>
                <w:lang w:eastAsia="zh-CN"/>
              </w:rPr>
              <w:t>13 131</w:t>
            </w:r>
          </w:p>
        </w:tc>
        <w:tc>
          <w:tcPr>
            <w:tcW w:w="1559" w:type="dxa"/>
            <w:tcMar>
              <w:right w:w="284" w:type="dxa"/>
            </w:tcMar>
          </w:tcPr>
          <w:p w:rsidR="00E921C5" w:rsidRPr="00D635A6" w:rsidRDefault="00E921C5" w:rsidP="008F2DF1">
            <w:pPr>
              <w:pStyle w:val="Tabletext"/>
              <w:jc w:val="center"/>
              <w:rPr>
                <w:rFonts w:eastAsia="SimSun"/>
                <w:b/>
                <w:bCs/>
                <w:sz w:val="20"/>
                <w:szCs w:val="18"/>
                <w:lang w:eastAsia="zh-CN"/>
              </w:rPr>
            </w:pPr>
            <w:r w:rsidRPr="00D635A6">
              <w:rPr>
                <w:rFonts w:eastAsia="SimSun"/>
                <w:b/>
                <w:bCs/>
                <w:sz w:val="20"/>
                <w:szCs w:val="18"/>
                <w:lang w:eastAsia="zh-CN"/>
              </w:rPr>
              <w:t>12 791</w:t>
            </w:r>
          </w:p>
        </w:tc>
        <w:tc>
          <w:tcPr>
            <w:tcW w:w="1276" w:type="dxa"/>
          </w:tcPr>
          <w:p w:rsidR="00E921C5" w:rsidRPr="00D635A6" w:rsidRDefault="00E921C5" w:rsidP="008F2DF1">
            <w:pPr>
              <w:pStyle w:val="Tabletext"/>
              <w:jc w:val="center"/>
              <w:rPr>
                <w:rFonts w:eastAsia="SimSun"/>
                <w:b/>
                <w:bCs/>
                <w:sz w:val="20"/>
                <w:szCs w:val="18"/>
                <w:highlight w:val="yellow"/>
                <w:lang w:eastAsia="zh-CN"/>
              </w:rPr>
            </w:pPr>
            <w:r w:rsidRPr="00D635A6">
              <w:rPr>
                <w:rFonts w:eastAsia="SimSun"/>
                <w:b/>
                <w:bCs/>
                <w:sz w:val="20"/>
                <w:szCs w:val="18"/>
                <w:lang w:eastAsia="zh-CN"/>
              </w:rPr>
              <w:t>15 711</w:t>
            </w:r>
          </w:p>
        </w:tc>
        <w:tc>
          <w:tcPr>
            <w:tcW w:w="1276" w:type="dxa"/>
          </w:tcPr>
          <w:p w:rsidR="00E921C5" w:rsidRPr="00D635A6" w:rsidRDefault="00E921C5" w:rsidP="008F2DF1">
            <w:pPr>
              <w:pStyle w:val="Tabletext"/>
              <w:jc w:val="center"/>
              <w:rPr>
                <w:rFonts w:eastAsia="SimSun"/>
                <w:b/>
                <w:bCs/>
                <w:sz w:val="20"/>
                <w:szCs w:val="18"/>
                <w:highlight w:val="yellow"/>
                <w:lang w:eastAsia="zh-CN"/>
              </w:rPr>
            </w:pPr>
            <w:r w:rsidRPr="00D635A6">
              <w:rPr>
                <w:rFonts w:eastAsia="SimSun"/>
                <w:b/>
                <w:bCs/>
                <w:sz w:val="20"/>
                <w:szCs w:val="18"/>
                <w:lang w:eastAsia="zh-CN"/>
              </w:rPr>
              <w:t>14 740</w:t>
            </w:r>
          </w:p>
        </w:tc>
      </w:tr>
    </w:tbl>
    <w:p w:rsidR="00E921C5" w:rsidRPr="00D635A6" w:rsidRDefault="00E921C5" w:rsidP="00E921C5">
      <w:pPr>
        <w:pStyle w:val="Heading2"/>
        <w:spacing w:before="60" w:after="60"/>
        <w:ind w:left="578" w:hanging="578"/>
        <w:rPr>
          <w:rFonts w:asciiTheme="minorHAnsi" w:eastAsiaTheme="majorEastAsia" w:hAnsiTheme="minorHAnsi" w:cstheme="majorBidi"/>
          <w:b w:val="0"/>
          <w:color w:val="365F91" w:themeColor="accent1" w:themeShade="BF"/>
          <w:szCs w:val="24"/>
        </w:rPr>
      </w:pPr>
    </w:p>
    <w:p w:rsidR="00E921C5" w:rsidRPr="00D635A6" w:rsidRDefault="00E921C5" w:rsidP="00E921C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ajorBidi"/>
          <w:color w:val="365F91" w:themeColor="accent1" w:themeShade="BF"/>
          <w:szCs w:val="24"/>
        </w:rPr>
      </w:pPr>
      <w:r w:rsidRPr="00D635A6">
        <w:rPr>
          <w:rFonts w:asciiTheme="minorHAnsi" w:eastAsiaTheme="majorEastAsia" w:hAnsiTheme="minorHAnsi" w:cstheme="majorBidi"/>
          <w:b/>
          <w:color w:val="365F91" w:themeColor="accent1" w:themeShade="BF"/>
          <w:szCs w:val="24"/>
        </w:rPr>
        <w:br w:type="page"/>
      </w:r>
    </w:p>
    <w:p w:rsidR="00E921C5" w:rsidRPr="00D635A6" w:rsidRDefault="00E921C5" w:rsidP="00FB0213">
      <w:pPr>
        <w:pStyle w:val="Heading2"/>
        <w:spacing w:after="120"/>
        <w:rPr>
          <w:rFonts w:eastAsiaTheme="majorEastAsia"/>
        </w:rPr>
      </w:pPr>
      <w:r w:rsidRPr="00D635A6">
        <w:rPr>
          <w:rFonts w:eastAsiaTheme="majorEastAsia"/>
        </w:rPr>
        <w:lastRenderedPageBreak/>
        <w:t>5.2</w:t>
      </w:r>
      <w:r w:rsidRPr="00D635A6">
        <w:rPr>
          <w:rFonts w:eastAsiaTheme="majorEastAsia"/>
        </w:rPr>
        <w:tab/>
        <w:t>T.2 Encourager la participation active des membres, en particulier ceux des pays en développement, à la définition et à l'adoption de normes internationales non discriminatoires (recommandations UIT-T) en vue de réduire l'écart en matière de normalisation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21"/>
        <w:gridCol w:w="3941"/>
        <w:gridCol w:w="1632"/>
        <w:gridCol w:w="1360"/>
        <w:gridCol w:w="134"/>
        <w:gridCol w:w="1360"/>
        <w:gridCol w:w="1019"/>
        <w:gridCol w:w="204"/>
        <w:gridCol w:w="1187"/>
        <w:gridCol w:w="36"/>
      </w:tblGrid>
      <w:tr w:rsidR="00E921C5" w:rsidRPr="00D635A6" w:rsidTr="00FC2C2D">
        <w:trPr>
          <w:gridAfter w:val="1"/>
          <w:wAfter w:w="13" w:type="pct"/>
        </w:trPr>
        <w:tc>
          <w:tcPr>
            <w:tcW w:w="1115"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Résultat</w:t>
            </w:r>
          </w:p>
        </w:tc>
        <w:tc>
          <w:tcPr>
            <w:tcW w:w="1408"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Indicateur de résultats</w:t>
            </w:r>
          </w:p>
        </w:tc>
        <w:tc>
          <w:tcPr>
            <w:tcW w:w="1117" w:type="pct"/>
            <w:gridSpan w:val="3"/>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Chiffres 2015</w:t>
            </w:r>
          </w:p>
        </w:tc>
        <w:tc>
          <w:tcPr>
            <w:tcW w:w="850" w:type="pct"/>
            <w:gridSpan w:val="2"/>
            <w:shd w:val="clear" w:color="auto" w:fill="4F81BD" w:themeFill="accent1"/>
          </w:tcPr>
          <w:p w:rsidR="00E921C5" w:rsidRPr="00D635A6" w:rsidRDefault="00E921C5" w:rsidP="00FC2C2D">
            <w:pPr>
              <w:pStyle w:val="Tablehead"/>
              <w:rPr>
                <w:rFonts w:asciiTheme="minorHAnsi" w:eastAsia="SimSun" w:hAnsiTheme="minorHAnsi"/>
                <w:lang w:eastAsia="zh-CN"/>
              </w:rPr>
            </w:pPr>
            <w:r w:rsidRPr="00D635A6">
              <w:rPr>
                <w:rFonts w:asciiTheme="minorHAnsi" w:hAnsiTheme="minorHAnsi" w:cs="Times New Roman Bold"/>
                <w:color w:val="FFFFFF" w:themeColor="background1"/>
                <w:sz w:val="20"/>
              </w:rPr>
              <w:t>Chiffres 2016</w:t>
            </w:r>
          </w:p>
        </w:tc>
        <w:tc>
          <w:tcPr>
            <w:tcW w:w="497" w:type="pct"/>
            <w:gridSpan w:val="2"/>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Moyen de mesure</w:t>
            </w:r>
          </w:p>
        </w:tc>
      </w:tr>
      <w:tr w:rsidR="00E921C5" w:rsidRPr="00D635A6" w:rsidTr="00FC2C2D">
        <w:trPr>
          <w:gridAfter w:val="1"/>
          <w:wAfter w:w="13" w:type="pct"/>
        </w:trPr>
        <w:tc>
          <w:tcPr>
            <w:tcW w:w="1115" w:type="pct"/>
          </w:tcPr>
          <w:p w:rsidR="00E921C5" w:rsidRPr="00D635A6" w:rsidRDefault="00E921C5" w:rsidP="00FB0213">
            <w:pPr>
              <w:pStyle w:val="Tabletext"/>
              <w:rPr>
                <w:rFonts w:eastAsia="Calibri"/>
                <w:b/>
                <w:bCs/>
                <w:sz w:val="20"/>
                <w:szCs w:val="18"/>
              </w:rPr>
            </w:pPr>
            <w:r w:rsidRPr="00D635A6">
              <w:rPr>
                <w:rFonts w:eastAsia="Calibri"/>
                <w:b/>
                <w:bCs/>
                <w:color w:val="4F81BD" w:themeColor="accent1"/>
                <w:sz w:val="20"/>
                <w:szCs w:val="18"/>
              </w:rPr>
              <w:t>T.2-1</w:t>
            </w:r>
            <w:r w:rsidRPr="00D635A6">
              <w:rPr>
                <w:rFonts w:eastAsia="Calibri"/>
                <w:b/>
                <w:bCs/>
                <w:sz w:val="20"/>
                <w:szCs w:val="18"/>
              </w:rPr>
              <w:t>: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tc>
        <w:tc>
          <w:tcPr>
            <w:tcW w:w="1408" w:type="pct"/>
          </w:tcPr>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Nombre de réunions des CE, des GT, des groupes régionaux et d'ateliers tenus (à Genève et en dehors de Genève)</w:t>
            </w:r>
          </w:p>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Nombre de Groupes du Rapporteur et nombre de participants</w:t>
            </w:r>
          </w:p>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Nombre de réunions électroniques et nombre de participants</w:t>
            </w:r>
          </w:p>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Nombre de contributions soumises par les participants des PMA, des pays en développement et des pays développés (séparément)</w:t>
            </w:r>
          </w:p>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 de postes de direction (président/vice-président de commission d'études, président de Groupe du Rapporteur, éditeur) occupés par des participants des pays en développement et des PMA</w:t>
            </w:r>
          </w:p>
        </w:tc>
        <w:tc>
          <w:tcPr>
            <w:tcW w:w="1117" w:type="pct"/>
            <w:gridSpan w:val="3"/>
          </w:tcPr>
          <w:p w:rsidR="00E921C5" w:rsidRPr="00D635A6" w:rsidRDefault="00E921C5" w:rsidP="00FB0213">
            <w:pPr>
              <w:pStyle w:val="Tabletext"/>
              <w:rPr>
                <w:sz w:val="20"/>
                <w:szCs w:val="18"/>
              </w:rPr>
            </w:pPr>
            <w:r w:rsidRPr="00D635A6">
              <w:rPr>
                <w:sz w:val="20"/>
                <w:szCs w:val="18"/>
              </w:rPr>
              <w:t>41</w:t>
            </w:r>
            <w:r w:rsidRPr="00D635A6">
              <w:rPr>
                <w:sz w:val="20"/>
                <w:szCs w:val="18"/>
              </w:rPr>
              <w:br/>
            </w:r>
          </w:p>
          <w:p w:rsidR="00E921C5" w:rsidRPr="00D635A6" w:rsidRDefault="00E921C5" w:rsidP="00FB0213">
            <w:pPr>
              <w:pStyle w:val="Tabletext"/>
              <w:rPr>
                <w:sz w:val="20"/>
                <w:szCs w:val="18"/>
              </w:rPr>
            </w:pPr>
            <w:r w:rsidRPr="00D635A6">
              <w:rPr>
                <w:sz w:val="20"/>
                <w:szCs w:val="18"/>
              </w:rPr>
              <w:t>250 (3 750 participants)</w:t>
            </w:r>
          </w:p>
          <w:p w:rsidR="00E921C5" w:rsidRPr="00D635A6" w:rsidRDefault="00E921C5" w:rsidP="00FB0213">
            <w:pPr>
              <w:pStyle w:val="Tabletext"/>
              <w:rPr>
                <w:sz w:val="20"/>
                <w:szCs w:val="18"/>
              </w:rPr>
            </w:pPr>
            <w:r w:rsidRPr="00D635A6">
              <w:rPr>
                <w:sz w:val="20"/>
                <w:szCs w:val="18"/>
              </w:rPr>
              <w:t>1 125 (5 411 participants)</w:t>
            </w:r>
          </w:p>
          <w:p w:rsidR="00E921C5" w:rsidRPr="00D635A6" w:rsidRDefault="00E921C5" w:rsidP="00FB0213">
            <w:pPr>
              <w:pStyle w:val="Tabletext"/>
              <w:rPr>
                <w:sz w:val="20"/>
                <w:szCs w:val="18"/>
              </w:rPr>
            </w:pPr>
            <w:r w:rsidRPr="00D635A6">
              <w:rPr>
                <w:sz w:val="20"/>
                <w:szCs w:val="18"/>
              </w:rPr>
              <w:t>131: nombre de contributions des PMA</w:t>
            </w:r>
          </w:p>
          <w:p w:rsidR="00E921C5" w:rsidRPr="00D635A6" w:rsidRDefault="00E921C5" w:rsidP="00FB0213">
            <w:pPr>
              <w:pStyle w:val="Tabletext"/>
              <w:rPr>
                <w:sz w:val="20"/>
                <w:szCs w:val="18"/>
              </w:rPr>
            </w:pPr>
            <w:r w:rsidRPr="00D635A6">
              <w:rPr>
                <w:sz w:val="20"/>
                <w:szCs w:val="18"/>
              </w:rPr>
              <w:t>1 202: nombre de contributions des pays en développement</w:t>
            </w:r>
          </w:p>
          <w:p w:rsidR="00E921C5" w:rsidRDefault="00265525" w:rsidP="00265525">
            <w:pPr>
              <w:pStyle w:val="Tabletext"/>
              <w:rPr>
                <w:sz w:val="20"/>
                <w:szCs w:val="18"/>
              </w:rPr>
            </w:pPr>
            <w:r>
              <w:rPr>
                <w:sz w:val="20"/>
                <w:szCs w:val="18"/>
              </w:rPr>
              <w:br/>
            </w:r>
            <w:r w:rsidR="00E921C5" w:rsidRPr="00D635A6">
              <w:rPr>
                <w:sz w:val="20"/>
                <w:szCs w:val="18"/>
              </w:rPr>
              <w:t>1 303: nombre de contributions des pays développés</w:t>
            </w:r>
            <w:r>
              <w:rPr>
                <w:sz w:val="20"/>
                <w:szCs w:val="18"/>
              </w:rPr>
              <w:br/>
            </w:r>
            <w:r>
              <w:rPr>
                <w:sz w:val="20"/>
                <w:szCs w:val="18"/>
              </w:rPr>
              <w:br/>
            </w:r>
            <w:r>
              <w:rPr>
                <w:sz w:val="20"/>
                <w:szCs w:val="18"/>
              </w:rPr>
              <w:br/>
            </w:r>
          </w:p>
          <w:p w:rsidR="00265525" w:rsidRPr="00D635A6" w:rsidRDefault="00265525" w:rsidP="00265525">
            <w:pPr>
              <w:pStyle w:val="Tabletext"/>
              <w:rPr>
                <w:sz w:val="20"/>
                <w:szCs w:val="18"/>
              </w:rPr>
            </w:pPr>
          </w:p>
          <w:p w:rsidR="00E921C5" w:rsidRPr="00D635A6" w:rsidRDefault="00E921C5" w:rsidP="00FB0213">
            <w:pPr>
              <w:pStyle w:val="Tabletext"/>
              <w:rPr>
                <w:sz w:val="20"/>
                <w:szCs w:val="18"/>
              </w:rPr>
            </w:pPr>
            <w:r w:rsidRPr="00D635A6">
              <w:rPr>
                <w:sz w:val="20"/>
                <w:szCs w:val="18"/>
              </w:rPr>
              <w:t>30%</w:t>
            </w:r>
          </w:p>
        </w:tc>
        <w:tc>
          <w:tcPr>
            <w:tcW w:w="850" w:type="pct"/>
            <w:gridSpan w:val="2"/>
          </w:tcPr>
          <w:p w:rsidR="00265525" w:rsidRDefault="00E921C5" w:rsidP="00265525">
            <w:pPr>
              <w:pStyle w:val="Tabletext"/>
              <w:rPr>
                <w:rFonts w:eastAsia="SimSun"/>
                <w:sz w:val="20"/>
                <w:szCs w:val="18"/>
                <w:lang w:eastAsia="zh-CN"/>
              </w:rPr>
            </w:pPr>
            <w:r w:rsidRPr="00D635A6">
              <w:rPr>
                <w:rFonts w:eastAsia="SimSun"/>
                <w:sz w:val="20"/>
                <w:szCs w:val="18"/>
                <w:lang w:eastAsia="zh-CN"/>
              </w:rPr>
              <w:t>54</w:t>
            </w:r>
            <w:r w:rsidRPr="00D635A6">
              <w:rPr>
                <w:rFonts w:eastAsia="SimSun"/>
                <w:sz w:val="20"/>
                <w:szCs w:val="18"/>
                <w:lang w:eastAsia="zh-CN"/>
              </w:rPr>
              <w:br/>
            </w:r>
          </w:p>
          <w:p w:rsidR="00E921C5" w:rsidRPr="00D635A6" w:rsidRDefault="00E921C5" w:rsidP="00265525">
            <w:pPr>
              <w:pStyle w:val="Tabletext"/>
              <w:rPr>
                <w:rFonts w:eastAsia="SimSun"/>
                <w:sz w:val="20"/>
                <w:szCs w:val="18"/>
                <w:lang w:eastAsia="zh-CN"/>
              </w:rPr>
            </w:pPr>
            <w:r w:rsidRPr="00D635A6">
              <w:rPr>
                <w:rFonts w:eastAsia="SimSun"/>
                <w:sz w:val="20"/>
                <w:szCs w:val="18"/>
                <w:lang w:eastAsia="zh-CN"/>
              </w:rPr>
              <w:t xml:space="preserve">229 </w:t>
            </w:r>
          </w:p>
          <w:p w:rsidR="00E921C5" w:rsidRPr="00D635A6" w:rsidRDefault="00FB0213" w:rsidP="00FB0213">
            <w:pPr>
              <w:pStyle w:val="Tabletext"/>
              <w:rPr>
                <w:rFonts w:eastAsia="SimSun"/>
                <w:sz w:val="20"/>
                <w:szCs w:val="18"/>
                <w:lang w:eastAsia="zh-CN"/>
              </w:rPr>
            </w:pPr>
            <w:r w:rsidRPr="00D635A6">
              <w:rPr>
                <w:rFonts w:eastAsia="SimSun"/>
                <w:sz w:val="20"/>
                <w:szCs w:val="18"/>
                <w:lang w:eastAsia="zh-CN"/>
              </w:rPr>
              <w:t xml:space="preserve">1 </w:t>
            </w:r>
            <w:r w:rsidR="00E921C5" w:rsidRPr="00D635A6">
              <w:rPr>
                <w:rFonts w:eastAsia="SimSun"/>
                <w:sz w:val="20"/>
                <w:szCs w:val="18"/>
                <w:lang w:eastAsia="zh-CN"/>
              </w:rPr>
              <w:t>085 (5 977 participants)</w:t>
            </w:r>
          </w:p>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 xml:space="preserve">235: </w:t>
            </w:r>
            <w:r w:rsidRPr="00D635A6">
              <w:rPr>
                <w:sz w:val="20"/>
                <w:szCs w:val="18"/>
              </w:rPr>
              <w:t>nombre de contributions des PMA</w:t>
            </w:r>
          </w:p>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1</w:t>
            </w:r>
            <w:r w:rsidR="00FB0213" w:rsidRPr="00D635A6">
              <w:rPr>
                <w:rFonts w:eastAsia="SimSun"/>
                <w:sz w:val="20"/>
                <w:szCs w:val="18"/>
                <w:lang w:eastAsia="zh-CN"/>
              </w:rPr>
              <w:t xml:space="preserve"> </w:t>
            </w:r>
            <w:r w:rsidRPr="00D635A6">
              <w:rPr>
                <w:rFonts w:eastAsia="SimSun"/>
                <w:sz w:val="20"/>
                <w:szCs w:val="18"/>
                <w:lang w:eastAsia="zh-CN"/>
              </w:rPr>
              <w:t xml:space="preserve">053: </w:t>
            </w:r>
            <w:r w:rsidRPr="00D635A6">
              <w:rPr>
                <w:sz w:val="20"/>
                <w:szCs w:val="18"/>
              </w:rPr>
              <w:t>nombre de contributions des pays en développement</w:t>
            </w:r>
          </w:p>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1</w:t>
            </w:r>
            <w:r w:rsidR="00FB0213" w:rsidRPr="00D635A6">
              <w:rPr>
                <w:rFonts w:eastAsia="SimSun"/>
                <w:sz w:val="20"/>
                <w:szCs w:val="18"/>
                <w:lang w:eastAsia="zh-CN"/>
              </w:rPr>
              <w:t xml:space="preserve"> </w:t>
            </w:r>
            <w:r w:rsidRPr="00D635A6">
              <w:rPr>
                <w:rFonts w:eastAsia="SimSun"/>
                <w:sz w:val="20"/>
                <w:szCs w:val="18"/>
                <w:lang w:eastAsia="zh-CN"/>
              </w:rPr>
              <w:t xml:space="preserve">211: </w:t>
            </w:r>
            <w:r w:rsidRPr="00D635A6">
              <w:rPr>
                <w:sz w:val="20"/>
                <w:szCs w:val="18"/>
              </w:rPr>
              <w:t>nombre de contributions des pays développés</w:t>
            </w:r>
            <w:r w:rsidRPr="00D635A6">
              <w:rPr>
                <w:rFonts w:eastAsia="SimSun"/>
                <w:sz w:val="20"/>
                <w:szCs w:val="18"/>
                <w:lang w:eastAsia="zh-CN"/>
              </w:rPr>
              <w:br/>
            </w:r>
            <w:r w:rsidRPr="00D635A6">
              <w:rPr>
                <w:rFonts w:eastAsia="SimSun"/>
                <w:sz w:val="20"/>
                <w:szCs w:val="18"/>
                <w:lang w:eastAsia="zh-CN"/>
              </w:rPr>
              <w:br/>
            </w:r>
          </w:p>
          <w:p w:rsidR="00E921C5" w:rsidRPr="00D635A6" w:rsidRDefault="00E921C5" w:rsidP="00FB0213">
            <w:pPr>
              <w:pStyle w:val="Tabletext"/>
              <w:rPr>
                <w:rFonts w:eastAsia="SimSun"/>
                <w:sz w:val="20"/>
                <w:szCs w:val="18"/>
                <w:lang w:eastAsia="zh-CN"/>
              </w:rPr>
            </w:pPr>
          </w:p>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33%</w:t>
            </w:r>
          </w:p>
        </w:tc>
        <w:tc>
          <w:tcPr>
            <w:tcW w:w="497" w:type="pct"/>
            <w:gridSpan w:val="2"/>
          </w:tcPr>
          <w:p w:rsidR="00E921C5" w:rsidRPr="00D635A6" w:rsidRDefault="00E921C5" w:rsidP="00FB0213">
            <w:pPr>
              <w:pStyle w:val="Tabletext"/>
              <w:rPr>
                <w:sz w:val="20"/>
                <w:szCs w:val="18"/>
              </w:rPr>
            </w:pPr>
            <w:r w:rsidRPr="00D635A6">
              <w:rPr>
                <w:sz w:val="20"/>
                <w:szCs w:val="18"/>
              </w:rPr>
              <w:t>Statistiques de l'UIT</w:t>
            </w:r>
          </w:p>
        </w:tc>
      </w:tr>
      <w:tr w:rsidR="00E921C5" w:rsidRPr="00D635A6" w:rsidTr="00FC2C2D">
        <w:trPr>
          <w:gridAfter w:val="1"/>
          <w:wAfter w:w="13" w:type="pct"/>
        </w:trPr>
        <w:tc>
          <w:tcPr>
            <w:tcW w:w="1115" w:type="pct"/>
          </w:tcPr>
          <w:p w:rsidR="00E921C5" w:rsidRPr="00D635A6" w:rsidRDefault="00E921C5" w:rsidP="00FB0213">
            <w:pPr>
              <w:pStyle w:val="Tabletext"/>
              <w:rPr>
                <w:rFonts w:eastAsia="Calibri"/>
                <w:b/>
                <w:bCs/>
                <w:sz w:val="20"/>
                <w:szCs w:val="18"/>
              </w:rPr>
            </w:pPr>
            <w:r w:rsidRPr="00D635A6">
              <w:rPr>
                <w:rFonts w:eastAsia="Calibri"/>
                <w:b/>
                <w:bCs/>
                <w:color w:val="4F81BD" w:themeColor="accent1"/>
                <w:sz w:val="20"/>
                <w:szCs w:val="18"/>
              </w:rPr>
              <w:t>T.2-2</w:t>
            </w:r>
            <w:r w:rsidRPr="00D635A6">
              <w:rPr>
                <w:rFonts w:eastAsia="Calibri"/>
                <w:b/>
                <w:bCs/>
                <w:sz w:val="20"/>
                <w:szCs w:val="18"/>
              </w:rPr>
              <w:t>: Augmentation du nombre de membres de l'UIT</w:t>
            </w:r>
            <w:r w:rsidRPr="00D635A6">
              <w:rPr>
                <w:rFonts w:eastAsia="Calibri"/>
                <w:b/>
                <w:bCs/>
                <w:sz w:val="20"/>
                <w:szCs w:val="18"/>
              </w:rPr>
              <w:noBreakHyphen/>
              <w:t>T, notamment de Membres de Secteur, d'Associés et d'établissements universitaires</w:t>
            </w:r>
          </w:p>
        </w:tc>
        <w:tc>
          <w:tcPr>
            <w:tcW w:w="1408" w:type="pct"/>
          </w:tcPr>
          <w:p w:rsidR="00E921C5" w:rsidRPr="00D635A6" w:rsidRDefault="00E921C5" w:rsidP="00FB0213">
            <w:pPr>
              <w:pStyle w:val="Tabletext"/>
              <w:tabs>
                <w:tab w:val="left" w:pos="410"/>
              </w:tabs>
              <w:ind w:left="410" w:hanging="410"/>
              <w:rPr>
                <w:sz w:val="20"/>
                <w:szCs w:val="18"/>
              </w:rPr>
            </w:pPr>
            <w:r w:rsidRPr="00D635A6">
              <w:rPr>
                <w:sz w:val="20"/>
                <w:szCs w:val="18"/>
              </w:rPr>
              <w:t>–</w:t>
            </w:r>
            <w:r w:rsidRPr="00D635A6">
              <w:rPr>
                <w:sz w:val="20"/>
                <w:szCs w:val="18"/>
              </w:rPr>
              <w:tab/>
              <w:t>Nombre de Membres de Secteur, d'Associés, d'établissements universitaires venant de pays développés et de pays en développement (séparément)</w:t>
            </w:r>
          </w:p>
        </w:tc>
        <w:tc>
          <w:tcPr>
            <w:tcW w:w="1117" w:type="pct"/>
            <w:gridSpan w:val="3"/>
          </w:tcPr>
          <w:p w:rsidR="00E921C5" w:rsidRPr="00D635A6" w:rsidRDefault="00E921C5" w:rsidP="00FB0213">
            <w:pPr>
              <w:pStyle w:val="Tabletext"/>
              <w:rPr>
                <w:sz w:val="20"/>
                <w:szCs w:val="18"/>
              </w:rPr>
            </w:pPr>
            <w:r w:rsidRPr="00D635A6">
              <w:rPr>
                <w:sz w:val="20"/>
                <w:szCs w:val="18"/>
              </w:rPr>
              <w:t>315 (pays développés); net +3</w:t>
            </w:r>
          </w:p>
          <w:p w:rsidR="00E921C5" w:rsidRPr="00D635A6" w:rsidRDefault="00E921C5" w:rsidP="00FB0213">
            <w:pPr>
              <w:pStyle w:val="Tabletext"/>
              <w:rPr>
                <w:sz w:val="20"/>
                <w:szCs w:val="18"/>
              </w:rPr>
            </w:pPr>
            <w:r w:rsidRPr="00D635A6">
              <w:rPr>
                <w:sz w:val="20"/>
                <w:szCs w:val="18"/>
              </w:rPr>
              <w:t>205 (pays en développement); net</w:t>
            </w:r>
            <w:r w:rsidR="00FB0213" w:rsidRPr="00D635A6">
              <w:rPr>
                <w:sz w:val="20"/>
                <w:szCs w:val="18"/>
              </w:rPr>
              <w:t xml:space="preserve"> </w:t>
            </w:r>
            <w:r w:rsidRPr="00D635A6">
              <w:rPr>
                <w:sz w:val="20"/>
                <w:szCs w:val="18"/>
              </w:rPr>
              <w:t>+22</w:t>
            </w:r>
          </w:p>
        </w:tc>
        <w:tc>
          <w:tcPr>
            <w:tcW w:w="850" w:type="pct"/>
            <w:gridSpan w:val="2"/>
          </w:tcPr>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311 (</w:t>
            </w:r>
            <w:r w:rsidRPr="00D635A6">
              <w:rPr>
                <w:sz w:val="20"/>
                <w:szCs w:val="18"/>
              </w:rPr>
              <w:t>pays développés</w:t>
            </w:r>
            <w:r w:rsidR="00FB0213" w:rsidRPr="00D635A6">
              <w:rPr>
                <w:rFonts w:eastAsia="SimSun"/>
                <w:sz w:val="20"/>
                <w:szCs w:val="18"/>
                <w:lang w:eastAsia="zh-CN"/>
              </w:rPr>
              <w:t>); net –</w:t>
            </w:r>
            <w:r w:rsidRPr="00D635A6">
              <w:rPr>
                <w:rFonts w:eastAsia="SimSun"/>
                <w:sz w:val="20"/>
                <w:szCs w:val="18"/>
                <w:lang w:eastAsia="zh-CN"/>
              </w:rPr>
              <w:t>4</w:t>
            </w:r>
          </w:p>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217 (</w:t>
            </w:r>
            <w:r w:rsidRPr="00D635A6">
              <w:rPr>
                <w:sz w:val="20"/>
                <w:szCs w:val="18"/>
              </w:rPr>
              <w:t>pays en développement</w:t>
            </w:r>
            <w:r w:rsidRPr="00D635A6">
              <w:rPr>
                <w:rFonts w:eastAsia="SimSun"/>
                <w:sz w:val="20"/>
                <w:szCs w:val="18"/>
                <w:lang w:eastAsia="zh-CN"/>
              </w:rPr>
              <w:t>); net + 12</w:t>
            </w:r>
          </w:p>
        </w:tc>
        <w:tc>
          <w:tcPr>
            <w:tcW w:w="497" w:type="pct"/>
            <w:gridSpan w:val="2"/>
          </w:tcPr>
          <w:p w:rsidR="00E921C5" w:rsidRPr="00D635A6" w:rsidRDefault="00E921C5" w:rsidP="00FB0213">
            <w:pPr>
              <w:pStyle w:val="Tabletext"/>
              <w:rPr>
                <w:sz w:val="20"/>
                <w:szCs w:val="18"/>
              </w:rPr>
            </w:pPr>
            <w:r w:rsidRPr="00D635A6">
              <w:rPr>
                <w:sz w:val="20"/>
                <w:szCs w:val="18"/>
              </w:rPr>
              <w:t>Statistiques de l'UIT</w:t>
            </w:r>
          </w:p>
        </w:tc>
      </w:tr>
      <w:tr w:rsidR="00E921C5" w:rsidRPr="00D635A6" w:rsidTr="00FC2C2D">
        <w:tblPrEx>
          <w:tblLook w:val="0620" w:firstRow="1" w:lastRow="0" w:firstColumn="0" w:lastColumn="0" w:noHBand="1" w:noVBand="1"/>
        </w:tblPrEx>
        <w:tc>
          <w:tcPr>
            <w:tcW w:w="3106" w:type="pct"/>
            <w:gridSpan w:val="3"/>
            <w:shd w:val="clear" w:color="auto" w:fill="4F81BD" w:themeFill="accent1"/>
          </w:tcPr>
          <w:p w:rsidR="00E921C5" w:rsidRPr="00D635A6" w:rsidRDefault="00E921C5" w:rsidP="00FC2C2D">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lastRenderedPageBreak/>
              <w:t>Produit</w:t>
            </w:r>
          </w:p>
        </w:tc>
        <w:tc>
          <w:tcPr>
            <w:tcW w:w="1894" w:type="pct"/>
            <w:gridSpan w:val="7"/>
            <w:shd w:val="clear" w:color="auto" w:fill="4F81BD" w:themeFill="accent1"/>
          </w:tcPr>
          <w:p w:rsidR="00E921C5" w:rsidRPr="00D635A6" w:rsidRDefault="00E921C5" w:rsidP="00FC2C2D">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rPr>
              <w:footnoteReference w:id="3"/>
            </w:r>
            <w:r w:rsidRPr="00D635A6">
              <w:rPr>
                <w:rFonts w:asciiTheme="minorHAnsi" w:hAnsiTheme="minorHAnsi" w:cs="Times New Roman Bold"/>
                <w:color w:val="FFFFFF" w:themeColor="background1"/>
                <w:sz w:val="20"/>
              </w:rPr>
              <w:t xml:space="preserve"> (en milliers CHF)</w:t>
            </w:r>
          </w:p>
        </w:tc>
      </w:tr>
      <w:tr w:rsidR="00E921C5" w:rsidRPr="00D635A6" w:rsidTr="00FC2C2D">
        <w:tblPrEx>
          <w:tblLook w:val="0620" w:firstRow="1" w:lastRow="0" w:firstColumn="0" w:lastColumn="0" w:noHBand="1" w:noVBand="1"/>
        </w:tblPrEx>
        <w:tc>
          <w:tcPr>
            <w:tcW w:w="3106" w:type="pct"/>
            <w:gridSpan w:val="3"/>
          </w:tcPr>
          <w:p w:rsidR="00E921C5" w:rsidRPr="00D635A6" w:rsidRDefault="00E921C5" w:rsidP="00FC2C2D">
            <w:pPr>
              <w:keepNext/>
              <w:keepLines/>
              <w:spacing w:before="60" w:after="60"/>
              <w:rPr>
                <w:rFonts w:asciiTheme="minorHAnsi" w:hAnsiTheme="minorHAnsi"/>
                <w:sz w:val="20"/>
              </w:rPr>
            </w:pPr>
          </w:p>
        </w:tc>
        <w:tc>
          <w:tcPr>
            <w:tcW w:w="486" w:type="pct"/>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2018</w:t>
            </w:r>
          </w:p>
        </w:tc>
        <w:tc>
          <w:tcPr>
            <w:tcW w:w="534" w:type="pct"/>
            <w:gridSpan w:val="2"/>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2019</w:t>
            </w:r>
          </w:p>
        </w:tc>
        <w:tc>
          <w:tcPr>
            <w:tcW w:w="437" w:type="pct"/>
            <w:gridSpan w:val="2"/>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2020</w:t>
            </w:r>
          </w:p>
        </w:tc>
        <w:tc>
          <w:tcPr>
            <w:tcW w:w="437" w:type="pct"/>
            <w:gridSpan w:val="2"/>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2021</w:t>
            </w:r>
          </w:p>
        </w:tc>
      </w:tr>
      <w:tr w:rsidR="00E921C5" w:rsidRPr="00D635A6" w:rsidTr="00FC2C2D">
        <w:tblPrEx>
          <w:tblLook w:val="0620" w:firstRow="1" w:lastRow="0" w:firstColumn="0" w:lastColumn="0" w:noHBand="1" w:noVBand="1"/>
        </w:tblPrEx>
        <w:tc>
          <w:tcPr>
            <w:tcW w:w="3106" w:type="pct"/>
            <w:gridSpan w:val="3"/>
            <w:vAlign w:val="center"/>
          </w:tcPr>
          <w:p w:rsidR="00E921C5" w:rsidRPr="00D635A6" w:rsidRDefault="00E921C5" w:rsidP="00FB0213">
            <w:pPr>
              <w:pStyle w:val="Tabletext"/>
              <w:rPr>
                <w:b/>
                <w:bCs/>
                <w:color w:val="5B9BD5"/>
                <w:sz w:val="20"/>
                <w:szCs w:val="18"/>
              </w:rPr>
            </w:pPr>
            <w:r w:rsidRPr="00D635A6">
              <w:rPr>
                <w:b/>
                <w:bCs/>
                <w:color w:val="5B9BD5"/>
                <w:sz w:val="20"/>
                <w:szCs w:val="18"/>
              </w:rPr>
              <w:t>T.2-1:</w:t>
            </w:r>
            <w:r w:rsidRPr="00D635A6">
              <w:rPr>
                <w:color w:val="5B9BD5"/>
                <w:sz w:val="20"/>
                <w:szCs w:val="18"/>
              </w:rPr>
              <w:t xml:space="preserve"> </w:t>
            </w:r>
            <w:r w:rsidRPr="00D635A6">
              <w:rPr>
                <w:sz w:val="20"/>
                <w:szCs w:val="18"/>
              </w:rPr>
              <w:t>Réduction de l'écart en matière de normalisation (participation à distance, bourses d'études, création de commissions d'études régionales, par exemple)</w:t>
            </w:r>
          </w:p>
        </w:tc>
        <w:tc>
          <w:tcPr>
            <w:tcW w:w="486" w:type="pct"/>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1 561</w:t>
            </w:r>
          </w:p>
        </w:tc>
        <w:tc>
          <w:tcPr>
            <w:tcW w:w="534" w:type="pct"/>
            <w:gridSpan w:val="2"/>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1 483</w:t>
            </w:r>
          </w:p>
        </w:tc>
        <w:tc>
          <w:tcPr>
            <w:tcW w:w="437" w:type="pct"/>
            <w:gridSpan w:val="2"/>
          </w:tcPr>
          <w:p w:rsidR="00E921C5" w:rsidRPr="00D635A6" w:rsidRDefault="00E921C5" w:rsidP="00FB0213">
            <w:pPr>
              <w:pStyle w:val="Tabletext"/>
              <w:jc w:val="center"/>
              <w:rPr>
                <w:rFonts w:eastAsia="SimSun"/>
                <w:sz w:val="20"/>
                <w:szCs w:val="18"/>
                <w:lang w:eastAsia="zh-CN"/>
              </w:rPr>
            </w:pPr>
            <w:r w:rsidRPr="00D635A6">
              <w:rPr>
                <w:rFonts w:eastAsia="SimSun"/>
                <w:i/>
                <w:iCs/>
                <w:sz w:val="20"/>
                <w:szCs w:val="18"/>
                <w:lang w:eastAsia="zh-CN"/>
              </w:rPr>
              <w:t>1 696</w:t>
            </w:r>
          </w:p>
        </w:tc>
        <w:tc>
          <w:tcPr>
            <w:tcW w:w="437" w:type="pct"/>
            <w:gridSpan w:val="2"/>
          </w:tcPr>
          <w:p w:rsidR="00E921C5" w:rsidRPr="00D635A6" w:rsidRDefault="00E921C5" w:rsidP="00FB0213">
            <w:pPr>
              <w:pStyle w:val="Tabletext"/>
              <w:jc w:val="center"/>
              <w:rPr>
                <w:rFonts w:eastAsia="SimSun"/>
                <w:sz w:val="20"/>
                <w:szCs w:val="18"/>
                <w:lang w:eastAsia="zh-CN"/>
              </w:rPr>
            </w:pPr>
            <w:r w:rsidRPr="00D635A6">
              <w:rPr>
                <w:rFonts w:eastAsia="SimSun"/>
                <w:i/>
                <w:iCs/>
                <w:sz w:val="20"/>
                <w:szCs w:val="18"/>
                <w:lang w:eastAsia="zh-CN"/>
              </w:rPr>
              <w:t>1 826</w:t>
            </w:r>
          </w:p>
        </w:tc>
      </w:tr>
      <w:tr w:rsidR="00E921C5" w:rsidRPr="00D635A6" w:rsidTr="00FC2C2D">
        <w:tblPrEx>
          <w:tblLook w:val="0620" w:firstRow="1" w:lastRow="0" w:firstColumn="0" w:lastColumn="0" w:noHBand="1" w:noVBand="1"/>
        </w:tblPrEx>
        <w:tc>
          <w:tcPr>
            <w:tcW w:w="3106" w:type="pct"/>
            <w:gridSpan w:val="3"/>
            <w:vAlign w:val="center"/>
          </w:tcPr>
          <w:p w:rsidR="00E921C5" w:rsidRPr="00D635A6" w:rsidRDefault="00E921C5" w:rsidP="00FB0213">
            <w:pPr>
              <w:pStyle w:val="Tabletext"/>
              <w:rPr>
                <w:b/>
                <w:bCs/>
                <w:color w:val="5B9BD5"/>
                <w:sz w:val="20"/>
                <w:szCs w:val="18"/>
              </w:rPr>
            </w:pPr>
            <w:r w:rsidRPr="00D635A6">
              <w:rPr>
                <w:b/>
                <w:bCs/>
                <w:color w:val="5B9BD5"/>
                <w:sz w:val="20"/>
                <w:szCs w:val="18"/>
              </w:rPr>
              <w:t>T.2-2:</w:t>
            </w:r>
            <w:r w:rsidRPr="00D635A6">
              <w:rPr>
                <w:color w:val="5B9BD5"/>
                <w:sz w:val="20"/>
                <w:szCs w:val="18"/>
              </w:rPr>
              <w:t xml:space="preserve"> </w:t>
            </w:r>
            <w:r w:rsidRPr="00D635A6">
              <w:rPr>
                <w:sz w:val="20"/>
                <w:szCs w:val="18"/>
              </w:rPr>
              <w:t>Ateliers et séminaires, y compris activités de formation en ligne et hors ligne, complétant les activités de renforcement des capacités entreprises par l'UIT-D en vue de réduire l'écart en matière de normalisation</w:t>
            </w:r>
          </w:p>
        </w:tc>
        <w:tc>
          <w:tcPr>
            <w:tcW w:w="486" w:type="pct"/>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2 576</w:t>
            </w:r>
          </w:p>
        </w:tc>
        <w:tc>
          <w:tcPr>
            <w:tcW w:w="534" w:type="pct"/>
            <w:gridSpan w:val="2"/>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2 576</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2 375</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2 641</w:t>
            </w:r>
          </w:p>
        </w:tc>
      </w:tr>
      <w:tr w:rsidR="00E921C5" w:rsidRPr="00D635A6" w:rsidTr="00FC2C2D">
        <w:tblPrEx>
          <w:tblLook w:val="0620" w:firstRow="1" w:lastRow="0" w:firstColumn="0" w:lastColumn="0" w:noHBand="1" w:noVBand="1"/>
        </w:tblPrEx>
        <w:tc>
          <w:tcPr>
            <w:tcW w:w="3106" w:type="pct"/>
            <w:gridSpan w:val="3"/>
            <w:vAlign w:val="center"/>
          </w:tcPr>
          <w:p w:rsidR="00E921C5" w:rsidRPr="00D635A6" w:rsidRDefault="00E921C5" w:rsidP="00FB0213">
            <w:pPr>
              <w:pStyle w:val="Tabletext"/>
              <w:rPr>
                <w:b/>
                <w:bCs/>
                <w:color w:val="5B9BD5"/>
                <w:sz w:val="20"/>
                <w:szCs w:val="18"/>
              </w:rPr>
            </w:pPr>
            <w:r w:rsidRPr="00D635A6">
              <w:rPr>
                <w:b/>
                <w:bCs/>
                <w:color w:val="5B9BD5"/>
                <w:sz w:val="20"/>
                <w:szCs w:val="18"/>
              </w:rPr>
              <w:t>T.2-3:</w:t>
            </w:r>
            <w:r w:rsidRPr="00D635A6">
              <w:rPr>
                <w:color w:val="5B9BD5"/>
                <w:sz w:val="20"/>
                <w:szCs w:val="18"/>
              </w:rPr>
              <w:t xml:space="preserve"> </w:t>
            </w:r>
            <w:r w:rsidRPr="00D635A6">
              <w:rPr>
                <w:sz w:val="20"/>
                <w:szCs w:val="18"/>
              </w:rPr>
              <w:t>Sensibilisation et promotion</w:t>
            </w:r>
          </w:p>
        </w:tc>
        <w:tc>
          <w:tcPr>
            <w:tcW w:w="486" w:type="pct"/>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2 019</w:t>
            </w:r>
          </w:p>
        </w:tc>
        <w:tc>
          <w:tcPr>
            <w:tcW w:w="534" w:type="pct"/>
            <w:gridSpan w:val="2"/>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2 016</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1 780</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1 978</w:t>
            </w:r>
          </w:p>
        </w:tc>
      </w:tr>
      <w:tr w:rsidR="00E921C5" w:rsidRPr="00D635A6" w:rsidTr="00FC2C2D">
        <w:tblPrEx>
          <w:tblLook w:val="0620" w:firstRow="1" w:lastRow="0" w:firstColumn="0" w:lastColumn="0" w:noHBand="1" w:noVBand="1"/>
        </w:tblPrEx>
        <w:tc>
          <w:tcPr>
            <w:tcW w:w="3106" w:type="pct"/>
            <w:gridSpan w:val="3"/>
            <w:vAlign w:val="center"/>
          </w:tcPr>
          <w:p w:rsidR="00E921C5" w:rsidRPr="00D635A6" w:rsidRDefault="00E921C5" w:rsidP="00FB0213">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486" w:type="pct"/>
            <w:tcMar>
              <w:right w:w="284" w:type="dxa"/>
            </w:tcMar>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366</w:t>
            </w:r>
          </w:p>
        </w:tc>
        <w:tc>
          <w:tcPr>
            <w:tcW w:w="534" w:type="pct"/>
            <w:gridSpan w:val="2"/>
            <w:tcMar>
              <w:right w:w="284" w:type="dxa"/>
            </w:tcMar>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181</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180</w:t>
            </w:r>
          </w:p>
        </w:tc>
        <w:tc>
          <w:tcPr>
            <w:tcW w:w="437" w:type="pct"/>
            <w:gridSpan w:val="2"/>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226</w:t>
            </w:r>
          </w:p>
        </w:tc>
      </w:tr>
      <w:tr w:rsidR="00E921C5" w:rsidRPr="00D635A6" w:rsidTr="00FC2C2D">
        <w:tblPrEx>
          <w:tblLook w:val="0620" w:firstRow="1" w:lastRow="0" w:firstColumn="0" w:lastColumn="0" w:noHBand="1" w:noVBand="1"/>
        </w:tblPrEx>
        <w:tc>
          <w:tcPr>
            <w:tcW w:w="3106" w:type="pct"/>
            <w:gridSpan w:val="3"/>
            <w:vAlign w:val="center"/>
          </w:tcPr>
          <w:p w:rsidR="00E921C5" w:rsidRPr="00D635A6" w:rsidRDefault="00E921C5" w:rsidP="00FB0213">
            <w:pPr>
              <w:pStyle w:val="Tabletext"/>
              <w:rPr>
                <w:b/>
                <w:bCs/>
                <w:color w:val="5B9BD5"/>
                <w:sz w:val="20"/>
                <w:szCs w:val="18"/>
              </w:rPr>
            </w:pPr>
            <w:r w:rsidRPr="00D635A6">
              <w:rPr>
                <w:b/>
                <w:bCs/>
                <w:color w:val="5B9BD5"/>
                <w:sz w:val="20"/>
                <w:szCs w:val="18"/>
              </w:rPr>
              <w:t>Total pour l'objectif T.2</w:t>
            </w:r>
          </w:p>
        </w:tc>
        <w:tc>
          <w:tcPr>
            <w:tcW w:w="486" w:type="pct"/>
            <w:tcMar>
              <w:right w:w="284" w:type="dxa"/>
            </w:tcMar>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6 523</w:t>
            </w:r>
          </w:p>
        </w:tc>
        <w:tc>
          <w:tcPr>
            <w:tcW w:w="534" w:type="pct"/>
            <w:gridSpan w:val="2"/>
            <w:tcMar>
              <w:right w:w="284" w:type="dxa"/>
            </w:tcMar>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6 257</w:t>
            </w:r>
          </w:p>
        </w:tc>
        <w:tc>
          <w:tcPr>
            <w:tcW w:w="437" w:type="pct"/>
            <w:gridSpan w:val="2"/>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6 032</w:t>
            </w:r>
          </w:p>
        </w:tc>
        <w:tc>
          <w:tcPr>
            <w:tcW w:w="437" w:type="pct"/>
            <w:gridSpan w:val="2"/>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6 671</w:t>
            </w:r>
          </w:p>
        </w:tc>
      </w:tr>
    </w:tbl>
    <w:p w:rsidR="00E921C5" w:rsidRPr="00D635A6" w:rsidRDefault="00E921C5" w:rsidP="00FB0213">
      <w:pPr>
        <w:pStyle w:val="Heading2"/>
        <w:spacing w:after="120"/>
        <w:rPr>
          <w:rFonts w:eastAsiaTheme="majorEastAsia"/>
        </w:rPr>
      </w:pPr>
      <w:r w:rsidRPr="00D635A6">
        <w:rPr>
          <w:rFonts w:eastAsiaTheme="majorEastAsia"/>
        </w:rPr>
        <w:t>5.3</w:t>
      </w:r>
      <w:r w:rsidRPr="00D635A6">
        <w:rPr>
          <w:rFonts w:eastAsiaTheme="majorEastAsia"/>
        </w:rPr>
        <w:tab/>
        <w:t>T.3 Garantir l'attribution et la gestion efficaces des ressources de numérotage, de nommage, d'adressage et d'identification utilisées dans les télécommunications internationales, conformément aux procédures et aux Recommandations de l'UIT-T</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390"/>
        <w:gridCol w:w="4677"/>
        <w:gridCol w:w="1560"/>
        <w:gridCol w:w="1625"/>
        <w:gridCol w:w="2309"/>
      </w:tblGrid>
      <w:tr w:rsidR="00E921C5" w:rsidRPr="00D635A6" w:rsidTr="00FC2C2D">
        <w:tc>
          <w:tcPr>
            <w:tcW w:w="4390"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4677"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 xml:space="preserve">Indicateur de résultats </w:t>
            </w:r>
          </w:p>
        </w:tc>
        <w:tc>
          <w:tcPr>
            <w:tcW w:w="1560"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1625"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2309"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 de mesure</w:t>
            </w:r>
          </w:p>
        </w:tc>
      </w:tr>
      <w:tr w:rsidR="00E921C5" w:rsidRPr="00D635A6" w:rsidTr="00FC2C2D">
        <w:tc>
          <w:tcPr>
            <w:tcW w:w="4390" w:type="dxa"/>
          </w:tcPr>
          <w:p w:rsidR="00E921C5" w:rsidRPr="00D635A6" w:rsidRDefault="00E921C5" w:rsidP="00FB0213">
            <w:pPr>
              <w:pStyle w:val="Tabletext"/>
              <w:rPr>
                <w:rFonts w:eastAsia="Calibri"/>
                <w:b/>
                <w:bCs/>
                <w:sz w:val="20"/>
                <w:szCs w:val="18"/>
              </w:rPr>
            </w:pPr>
            <w:r w:rsidRPr="00D635A6">
              <w:rPr>
                <w:rFonts w:eastAsia="Calibri"/>
                <w:color w:val="4F81BD" w:themeColor="accent1"/>
                <w:sz w:val="20"/>
                <w:szCs w:val="18"/>
              </w:rPr>
              <w:t>T.3-1</w:t>
            </w:r>
            <w:r w:rsidRPr="00D635A6">
              <w:rPr>
                <w:rFonts w:eastAsia="Calibri"/>
                <w:b/>
                <w:bCs/>
                <w:sz w:val="20"/>
                <w:szCs w:val="18"/>
              </w:rPr>
              <w:t xml:space="preserve">: </w:t>
            </w:r>
            <w:r w:rsidRPr="00D635A6">
              <w:rPr>
                <w:rFonts w:eastAsia="Calibri"/>
                <w:sz w:val="20"/>
                <w:szCs w:val="18"/>
              </w:rPr>
              <w:t xml:space="preserve">Attribution rapide et correcte des ressources de </w:t>
            </w:r>
            <w:r w:rsidRPr="00D635A6">
              <w:rPr>
                <w:sz w:val="20"/>
                <w:szCs w:val="18"/>
              </w:rPr>
              <w:t>numérotage</w:t>
            </w:r>
            <w:r w:rsidRPr="00D635A6">
              <w:rPr>
                <w:rFonts w:eastAsia="Calibri"/>
                <w:sz w:val="20"/>
                <w:szCs w:val="18"/>
              </w:rPr>
              <w:t>, de nommage, d'adressage et d'identification utilisées dans les télécommunications internationales, conformément aux recommandations pertinentes</w:t>
            </w:r>
          </w:p>
        </w:tc>
        <w:tc>
          <w:tcPr>
            <w:tcW w:w="4677" w:type="dxa"/>
          </w:tcPr>
          <w:p w:rsidR="00E921C5" w:rsidRPr="00D635A6" w:rsidRDefault="00E921C5" w:rsidP="00FB0213">
            <w:pPr>
              <w:pStyle w:val="Tabletext"/>
              <w:tabs>
                <w:tab w:val="left" w:pos="406"/>
              </w:tabs>
              <w:ind w:left="406" w:hanging="406"/>
              <w:rPr>
                <w:sz w:val="20"/>
                <w:szCs w:val="18"/>
              </w:rPr>
            </w:pPr>
            <w:r w:rsidRPr="00D635A6">
              <w:rPr>
                <w:sz w:val="20"/>
                <w:szCs w:val="18"/>
              </w:rPr>
              <w:t>–</w:t>
            </w:r>
            <w:r w:rsidRPr="00D635A6">
              <w:rPr>
                <w:sz w:val="20"/>
                <w:szCs w:val="18"/>
              </w:rPr>
              <w:tab/>
              <w:t>Nombre de tâches effectuées dans un délai donné</w:t>
            </w:r>
          </w:p>
          <w:p w:rsidR="00E921C5" w:rsidRPr="00D635A6" w:rsidRDefault="00E921C5" w:rsidP="00FB0213">
            <w:pPr>
              <w:pStyle w:val="Tabletext"/>
              <w:rPr>
                <w:sz w:val="20"/>
                <w:szCs w:val="18"/>
              </w:rPr>
            </w:pPr>
          </w:p>
        </w:tc>
        <w:tc>
          <w:tcPr>
            <w:tcW w:w="1560" w:type="dxa"/>
          </w:tcPr>
          <w:p w:rsidR="00E921C5" w:rsidRPr="00D635A6" w:rsidRDefault="00E921C5" w:rsidP="00FB0213">
            <w:pPr>
              <w:pStyle w:val="Tabletext"/>
              <w:rPr>
                <w:sz w:val="20"/>
                <w:szCs w:val="18"/>
              </w:rPr>
            </w:pPr>
            <w:r w:rsidRPr="00D635A6">
              <w:rPr>
                <w:sz w:val="20"/>
                <w:szCs w:val="18"/>
              </w:rPr>
              <w:t>765</w:t>
            </w:r>
          </w:p>
        </w:tc>
        <w:tc>
          <w:tcPr>
            <w:tcW w:w="1625" w:type="dxa"/>
          </w:tcPr>
          <w:p w:rsidR="00E921C5" w:rsidRPr="00D635A6" w:rsidRDefault="00E921C5" w:rsidP="00FB0213">
            <w:pPr>
              <w:pStyle w:val="Tabletext"/>
              <w:rPr>
                <w:sz w:val="20"/>
                <w:szCs w:val="18"/>
              </w:rPr>
            </w:pPr>
            <w:r w:rsidRPr="00D635A6">
              <w:rPr>
                <w:sz w:val="20"/>
                <w:szCs w:val="18"/>
              </w:rPr>
              <w:t>672</w:t>
            </w:r>
          </w:p>
        </w:tc>
        <w:tc>
          <w:tcPr>
            <w:tcW w:w="2309" w:type="dxa"/>
          </w:tcPr>
          <w:p w:rsidR="00E921C5" w:rsidRPr="00D635A6" w:rsidRDefault="00E921C5" w:rsidP="00FB0213">
            <w:pPr>
              <w:pStyle w:val="Tabletext"/>
              <w:rPr>
                <w:sz w:val="20"/>
                <w:szCs w:val="18"/>
              </w:rPr>
            </w:pPr>
            <w:r w:rsidRPr="00D635A6">
              <w:rPr>
                <w:sz w:val="20"/>
                <w:szCs w:val="18"/>
              </w:rPr>
              <w:t>Statistiques de l'UIT</w:t>
            </w:r>
          </w:p>
        </w:tc>
      </w:tr>
    </w:tbl>
    <w:p w:rsidR="00E921C5" w:rsidRPr="00D635A6" w:rsidRDefault="00E921C5" w:rsidP="00E921C5">
      <w:pPr>
        <w:spacing w:before="0"/>
        <w:rPr>
          <w:rFonts w:asciiTheme="minorHAnsi" w:hAnsiTheme="minorHAnsi"/>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276"/>
        <w:gridCol w:w="1559"/>
        <w:gridCol w:w="1276"/>
        <w:gridCol w:w="1276"/>
      </w:tblGrid>
      <w:tr w:rsidR="00E921C5" w:rsidRPr="00D635A6" w:rsidTr="00FC2C2D">
        <w:tc>
          <w:tcPr>
            <w:tcW w:w="9209" w:type="dxa"/>
            <w:shd w:val="clear" w:color="auto" w:fill="4F81BD" w:themeFill="accent1"/>
          </w:tcPr>
          <w:p w:rsidR="00E921C5" w:rsidRPr="00D635A6" w:rsidRDefault="00E921C5" w:rsidP="00FB0213">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lastRenderedPageBreak/>
              <w:t>Produit</w:t>
            </w:r>
          </w:p>
        </w:tc>
        <w:tc>
          <w:tcPr>
            <w:tcW w:w="5387" w:type="dxa"/>
            <w:gridSpan w:val="4"/>
            <w:shd w:val="clear" w:color="auto" w:fill="4F81BD" w:themeFill="accent1"/>
          </w:tcPr>
          <w:p w:rsidR="00E921C5" w:rsidRPr="00D635A6" w:rsidRDefault="00E921C5" w:rsidP="00FB0213">
            <w:pPr>
              <w:pStyle w:val="Tablehead"/>
              <w:keepNext/>
              <w:keepLines/>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4"/>
            </w:r>
            <w:r w:rsidRPr="00D635A6">
              <w:rPr>
                <w:rFonts w:asciiTheme="minorHAnsi" w:hAnsiTheme="minorHAnsi" w:cs="Times New Roman Bold"/>
                <w:color w:val="FFFFFF" w:themeColor="background1"/>
                <w:sz w:val="20"/>
              </w:rPr>
              <w:t xml:space="preserve"> (en milliers CHF)</w:t>
            </w:r>
          </w:p>
        </w:tc>
      </w:tr>
      <w:tr w:rsidR="00E921C5" w:rsidRPr="00D635A6" w:rsidTr="00FC2C2D">
        <w:tc>
          <w:tcPr>
            <w:tcW w:w="9209" w:type="dxa"/>
          </w:tcPr>
          <w:p w:rsidR="00E921C5" w:rsidRPr="00D635A6" w:rsidRDefault="00E921C5" w:rsidP="00FB0213">
            <w:pPr>
              <w:keepNext/>
              <w:keepLines/>
              <w:rPr>
                <w:rFonts w:asciiTheme="minorHAnsi" w:hAnsiTheme="minorHAnsi"/>
                <w:sz w:val="20"/>
              </w:rPr>
            </w:pPr>
          </w:p>
        </w:tc>
        <w:tc>
          <w:tcPr>
            <w:tcW w:w="1276" w:type="dxa"/>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2018</w:t>
            </w:r>
          </w:p>
        </w:tc>
        <w:tc>
          <w:tcPr>
            <w:tcW w:w="1559" w:type="dxa"/>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2019</w:t>
            </w:r>
          </w:p>
        </w:tc>
        <w:tc>
          <w:tcPr>
            <w:tcW w:w="1276" w:type="dxa"/>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2020</w:t>
            </w:r>
          </w:p>
        </w:tc>
        <w:tc>
          <w:tcPr>
            <w:tcW w:w="1276" w:type="dxa"/>
          </w:tcPr>
          <w:p w:rsidR="00E921C5" w:rsidRPr="00D635A6" w:rsidRDefault="00E921C5" w:rsidP="00FB0213">
            <w:pPr>
              <w:keepNext/>
              <w:keepLines/>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2021</w:t>
            </w:r>
          </w:p>
        </w:tc>
      </w:tr>
      <w:tr w:rsidR="00E921C5" w:rsidRPr="00D635A6" w:rsidTr="00FC2C2D">
        <w:tc>
          <w:tcPr>
            <w:tcW w:w="9209"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T.3-1:</w:t>
            </w:r>
            <w:r w:rsidRPr="00D635A6">
              <w:rPr>
                <w:color w:val="5B9BD5"/>
                <w:sz w:val="20"/>
                <w:szCs w:val="18"/>
              </w:rPr>
              <w:t xml:space="preserve"> </w:t>
            </w:r>
            <w:r w:rsidRPr="00D635A6">
              <w:rPr>
                <w:sz w:val="20"/>
                <w:szCs w:val="18"/>
              </w:rPr>
              <w:t>Bases de données pertinentes du TSB</w:t>
            </w:r>
          </w:p>
        </w:tc>
        <w:tc>
          <w:tcPr>
            <w:tcW w:w="1276" w:type="dxa"/>
            <w:tcMar>
              <w:right w:w="284" w:type="dxa"/>
            </w:tcMar>
          </w:tcPr>
          <w:p w:rsidR="00E921C5" w:rsidRPr="00D635A6" w:rsidRDefault="00E921C5" w:rsidP="00FB0213">
            <w:pPr>
              <w:pStyle w:val="Tabletext"/>
              <w:keepNext/>
              <w:keepLines/>
              <w:jc w:val="center"/>
              <w:rPr>
                <w:rFonts w:eastAsia="SimSun"/>
                <w:sz w:val="20"/>
                <w:szCs w:val="18"/>
                <w:lang w:eastAsia="zh-CN"/>
              </w:rPr>
            </w:pPr>
            <w:r w:rsidRPr="00D635A6">
              <w:rPr>
                <w:rFonts w:eastAsia="SimSun"/>
                <w:sz w:val="20"/>
                <w:szCs w:val="18"/>
                <w:lang w:eastAsia="zh-CN"/>
              </w:rPr>
              <w:t>1 486</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1 488</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1 335</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1 341</w:t>
            </w:r>
          </w:p>
        </w:tc>
      </w:tr>
      <w:tr w:rsidR="00E921C5" w:rsidRPr="00D635A6" w:rsidTr="00FC2C2D">
        <w:tc>
          <w:tcPr>
            <w:tcW w:w="9209"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T.3-2:</w:t>
            </w:r>
            <w:r w:rsidRPr="00D635A6">
              <w:rPr>
                <w:color w:val="5B9BD5"/>
                <w:sz w:val="20"/>
                <w:szCs w:val="18"/>
              </w:rPr>
              <w:t xml:space="preserve"> </w:t>
            </w:r>
            <w:r w:rsidRPr="00D635A6">
              <w:rPr>
                <w:spacing w:val="-4"/>
                <w:sz w:val="20"/>
                <w:szCs w:val="18"/>
              </w:rPr>
              <w:t>Attribution et gestion des ressources de numérotage, de nommage, d'adressage et d'identification utilisées dans les télécommunications internationales, conformément aux recommandations et procédures de l'UIT-T</w:t>
            </w:r>
          </w:p>
        </w:tc>
        <w:tc>
          <w:tcPr>
            <w:tcW w:w="1276" w:type="dxa"/>
            <w:tcMar>
              <w:right w:w="284" w:type="dxa"/>
            </w:tcMar>
          </w:tcPr>
          <w:p w:rsidR="00E921C5" w:rsidRPr="00D635A6" w:rsidRDefault="00E921C5" w:rsidP="00FB0213">
            <w:pPr>
              <w:pStyle w:val="Tabletext"/>
              <w:keepNext/>
              <w:keepLines/>
              <w:jc w:val="center"/>
              <w:rPr>
                <w:rFonts w:eastAsia="SimSun"/>
                <w:sz w:val="20"/>
                <w:szCs w:val="18"/>
                <w:lang w:eastAsia="zh-CN"/>
              </w:rPr>
            </w:pPr>
            <w:r w:rsidRPr="00D635A6">
              <w:rPr>
                <w:rFonts w:eastAsia="SimSun"/>
                <w:sz w:val="20"/>
                <w:szCs w:val="18"/>
                <w:lang w:eastAsia="zh-CN"/>
              </w:rPr>
              <w:t>1 348</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1 351</w:t>
            </w:r>
          </w:p>
        </w:tc>
        <w:tc>
          <w:tcPr>
            <w:tcW w:w="127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1 211</w:t>
            </w:r>
          </w:p>
        </w:tc>
        <w:tc>
          <w:tcPr>
            <w:tcW w:w="127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1 236</w:t>
            </w:r>
          </w:p>
        </w:tc>
      </w:tr>
      <w:tr w:rsidR="00E921C5" w:rsidRPr="00D635A6" w:rsidTr="00FC2C2D">
        <w:tc>
          <w:tcPr>
            <w:tcW w:w="9209" w:type="dxa"/>
            <w:vAlign w:val="center"/>
          </w:tcPr>
          <w:p w:rsidR="00E921C5" w:rsidRPr="00D635A6" w:rsidRDefault="00E921C5" w:rsidP="00FB0213">
            <w:pPr>
              <w:pStyle w:val="Tabletext"/>
              <w:keepNext/>
              <w:keepLines/>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276" w:type="dxa"/>
            <w:tcMar>
              <w:right w:w="284" w:type="dxa"/>
            </w:tcMar>
          </w:tcPr>
          <w:p w:rsidR="00E921C5" w:rsidRPr="00D635A6" w:rsidRDefault="00E921C5" w:rsidP="00FB0213">
            <w:pPr>
              <w:pStyle w:val="Tabletext"/>
              <w:keepNext/>
              <w:keepLines/>
              <w:jc w:val="center"/>
              <w:rPr>
                <w:rFonts w:eastAsia="SimSun"/>
                <w:sz w:val="20"/>
                <w:szCs w:val="18"/>
                <w:lang w:eastAsia="zh-CN"/>
              </w:rPr>
            </w:pPr>
            <w:r w:rsidRPr="00D635A6">
              <w:rPr>
                <w:rFonts w:eastAsia="SimSun"/>
                <w:sz w:val="20"/>
                <w:szCs w:val="18"/>
                <w:lang w:eastAsia="zh-CN"/>
              </w:rPr>
              <w:t>168</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85</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79</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91</w:t>
            </w:r>
          </w:p>
        </w:tc>
      </w:tr>
      <w:tr w:rsidR="00E921C5" w:rsidRPr="00D635A6" w:rsidTr="00FC2C2D">
        <w:tc>
          <w:tcPr>
            <w:tcW w:w="9209"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Total pour l'objectif T.3</w:t>
            </w:r>
          </w:p>
        </w:tc>
        <w:tc>
          <w:tcPr>
            <w:tcW w:w="1276" w:type="dxa"/>
            <w:tcMar>
              <w:right w:w="284" w:type="dxa"/>
            </w:tcMar>
          </w:tcPr>
          <w:p w:rsidR="00E921C5" w:rsidRPr="00D635A6" w:rsidRDefault="00E921C5" w:rsidP="00FB0213">
            <w:pPr>
              <w:pStyle w:val="Tabletext"/>
              <w:keepNext/>
              <w:keepLines/>
              <w:jc w:val="center"/>
              <w:rPr>
                <w:rFonts w:eastAsia="SimSun"/>
                <w:b/>
                <w:bCs/>
                <w:sz w:val="20"/>
                <w:szCs w:val="18"/>
                <w:lang w:eastAsia="zh-CN"/>
              </w:rPr>
            </w:pPr>
            <w:r w:rsidRPr="00D635A6">
              <w:rPr>
                <w:rFonts w:eastAsia="SimSun"/>
                <w:b/>
                <w:bCs/>
                <w:sz w:val="20"/>
                <w:szCs w:val="18"/>
                <w:lang w:eastAsia="zh-CN"/>
              </w:rPr>
              <w:t>3 002</w:t>
            </w:r>
          </w:p>
        </w:tc>
        <w:tc>
          <w:tcPr>
            <w:tcW w:w="1559" w:type="dxa"/>
            <w:tcMar>
              <w:right w:w="284" w:type="dxa"/>
            </w:tcMar>
          </w:tcPr>
          <w:p w:rsidR="00E921C5" w:rsidRPr="00D635A6" w:rsidRDefault="00E921C5" w:rsidP="00FB0213">
            <w:pPr>
              <w:pStyle w:val="Tabletext"/>
              <w:jc w:val="center"/>
              <w:rPr>
                <w:rFonts w:eastAsia="SimSun"/>
                <w:b/>
                <w:bCs/>
                <w:sz w:val="20"/>
                <w:szCs w:val="18"/>
                <w:lang w:eastAsia="zh-CN"/>
              </w:rPr>
            </w:pPr>
            <w:r w:rsidRPr="00D635A6">
              <w:rPr>
                <w:rFonts w:eastAsia="SimSun"/>
                <w:b/>
                <w:bCs/>
                <w:sz w:val="20"/>
                <w:szCs w:val="18"/>
                <w:lang w:eastAsia="zh-CN"/>
              </w:rPr>
              <w:t>2 924</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2 625</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2 667</w:t>
            </w:r>
          </w:p>
        </w:tc>
      </w:tr>
    </w:tbl>
    <w:p w:rsidR="00E921C5" w:rsidRPr="00D635A6" w:rsidRDefault="00E921C5" w:rsidP="00FB0213">
      <w:pPr>
        <w:pStyle w:val="Heading2"/>
        <w:spacing w:after="120"/>
        <w:rPr>
          <w:rFonts w:eastAsiaTheme="majorEastAsia"/>
        </w:rPr>
      </w:pPr>
      <w:r w:rsidRPr="00D635A6">
        <w:rPr>
          <w:rFonts w:eastAsiaTheme="majorEastAsia"/>
        </w:rPr>
        <w:t>5.4</w:t>
      </w:r>
      <w:r w:rsidRPr="00D635A6">
        <w:rPr>
          <w:rFonts w:eastAsiaTheme="majorEastAsia"/>
        </w:rPr>
        <w:tab/>
        <w:t>T.4 Encourager l'acquisition et l'échange de connaissances et de savoir-faire concernant les activités de normalisation de l'UIT-T</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298"/>
        <w:gridCol w:w="2114"/>
        <w:gridCol w:w="2083"/>
        <w:gridCol w:w="1986"/>
        <w:gridCol w:w="2080"/>
      </w:tblGrid>
      <w:tr w:rsidR="00E921C5" w:rsidRPr="00D635A6" w:rsidTr="00FC2C2D">
        <w:tc>
          <w:tcPr>
            <w:tcW w:w="6298"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2114"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 xml:space="preserve">Indicateur de résultats </w:t>
            </w:r>
          </w:p>
        </w:tc>
        <w:tc>
          <w:tcPr>
            <w:tcW w:w="2083"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1986"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2080" w:type="dxa"/>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Moyens de mesure</w:t>
            </w:r>
          </w:p>
        </w:tc>
      </w:tr>
      <w:tr w:rsidR="00E921C5" w:rsidRPr="00D635A6" w:rsidTr="00FC2C2D">
        <w:tc>
          <w:tcPr>
            <w:tcW w:w="6298" w:type="dxa"/>
          </w:tcPr>
          <w:p w:rsidR="00E921C5" w:rsidRPr="00D635A6" w:rsidRDefault="00E921C5" w:rsidP="00FB0213">
            <w:pPr>
              <w:pStyle w:val="Tabletext"/>
              <w:rPr>
                <w:rFonts w:eastAsia="Calibri"/>
                <w:b/>
                <w:bCs/>
                <w:sz w:val="20"/>
                <w:szCs w:val="18"/>
              </w:rPr>
            </w:pPr>
            <w:r w:rsidRPr="00D635A6">
              <w:rPr>
                <w:rFonts w:eastAsia="Calibri"/>
                <w:color w:val="4F81BD" w:themeColor="accent1"/>
                <w:sz w:val="20"/>
                <w:szCs w:val="18"/>
              </w:rPr>
              <w:t>T.4-1</w:t>
            </w:r>
            <w:r w:rsidRPr="00D635A6">
              <w:rPr>
                <w:rFonts w:eastAsia="Calibri"/>
                <w:sz w:val="20"/>
                <w:szCs w:val="18"/>
              </w:rPr>
              <w:t>: Renforcement des connaissances relatives aux normes UIT-T et aux bonnes pratiques concernant leur mise en oeuvre</w:t>
            </w:r>
          </w:p>
        </w:tc>
        <w:tc>
          <w:tcPr>
            <w:tcW w:w="2114" w:type="dxa"/>
          </w:tcPr>
          <w:p w:rsidR="00E921C5" w:rsidRPr="00D635A6" w:rsidRDefault="00E921C5" w:rsidP="00FB0213">
            <w:pPr>
              <w:pStyle w:val="Tabletext"/>
              <w:jc w:val="center"/>
              <w:rPr>
                <w:rFonts w:eastAsia="Calibri"/>
                <w:sz w:val="20"/>
                <w:szCs w:val="18"/>
              </w:rPr>
            </w:pPr>
            <w:r w:rsidRPr="00D635A6">
              <w:rPr>
                <w:rFonts w:eastAsia="Calibri"/>
                <w:sz w:val="20"/>
                <w:szCs w:val="18"/>
              </w:rPr>
              <w:t>Voir T.1-1</w:t>
            </w:r>
          </w:p>
        </w:tc>
        <w:tc>
          <w:tcPr>
            <w:tcW w:w="2083" w:type="dxa"/>
          </w:tcPr>
          <w:p w:rsidR="00E921C5" w:rsidRPr="00D635A6" w:rsidRDefault="00E921C5" w:rsidP="00FB0213">
            <w:pPr>
              <w:pStyle w:val="Tabletext"/>
              <w:jc w:val="center"/>
              <w:rPr>
                <w:sz w:val="20"/>
                <w:szCs w:val="18"/>
              </w:rPr>
            </w:pPr>
            <w:r w:rsidRPr="00D635A6">
              <w:rPr>
                <w:rFonts w:eastAsia="Calibri"/>
                <w:sz w:val="20"/>
                <w:szCs w:val="18"/>
              </w:rPr>
              <w:t>Voir T.1-1</w:t>
            </w:r>
          </w:p>
        </w:tc>
        <w:tc>
          <w:tcPr>
            <w:tcW w:w="198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w:t>
            </w:r>
          </w:p>
        </w:tc>
        <w:tc>
          <w:tcPr>
            <w:tcW w:w="2080"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w:t>
            </w:r>
          </w:p>
        </w:tc>
      </w:tr>
      <w:tr w:rsidR="00E921C5" w:rsidRPr="00D635A6" w:rsidTr="00FC2C2D">
        <w:tc>
          <w:tcPr>
            <w:tcW w:w="6298" w:type="dxa"/>
          </w:tcPr>
          <w:p w:rsidR="00E921C5" w:rsidRPr="00D635A6" w:rsidRDefault="00E921C5" w:rsidP="00FB0213">
            <w:pPr>
              <w:pStyle w:val="Tabletext"/>
              <w:rPr>
                <w:rFonts w:eastAsia="Calibri"/>
                <w:color w:val="4F81BD" w:themeColor="accent1"/>
                <w:sz w:val="20"/>
                <w:szCs w:val="18"/>
              </w:rPr>
            </w:pPr>
            <w:r w:rsidRPr="00D635A6">
              <w:rPr>
                <w:rFonts w:eastAsia="Calibri"/>
                <w:color w:val="4F81BD" w:themeColor="accent1"/>
                <w:sz w:val="20"/>
                <w:szCs w:val="18"/>
              </w:rPr>
              <w:t>T.4-2</w:t>
            </w:r>
            <w:r w:rsidRPr="00D635A6">
              <w:rPr>
                <w:rFonts w:eastAsia="Calibri"/>
                <w:sz w:val="20"/>
                <w:szCs w:val="18"/>
              </w:rPr>
              <w:t>: Renforcement de la participation aux activités de normalisation de l'UIT-T et prise de conscience accrue de l'importance des normes UIT-T</w:t>
            </w:r>
          </w:p>
        </w:tc>
        <w:tc>
          <w:tcPr>
            <w:tcW w:w="2114" w:type="dxa"/>
          </w:tcPr>
          <w:p w:rsidR="00E921C5" w:rsidRPr="00D635A6" w:rsidRDefault="00E921C5" w:rsidP="00FB0213">
            <w:pPr>
              <w:pStyle w:val="Tabletext"/>
              <w:jc w:val="center"/>
              <w:rPr>
                <w:rFonts w:eastAsia="Calibri"/>
                <w:sz w:val="20"/>
                <w:szCs w:val="18"/>
              </w:rPr>
            </w:pPr>
            <w:r w:rsidRPr="00D635A6">
              <w:rPr>
                <w:rFonts w:eastAsia="Calibri"/>
                <w:sz w:val="20"/>
                <w:szCs w:val="18"/>
              </w:rPr>
              <w:t>Voir T.1-1 et T.1-2</w:t>
            </w:r>
          </w:p>
        </w:tc>
        <w:tc>
          <w:tcPr>
            <w:tcW w:w="2083" w:type="dxa"/>
          </w:tcPr>
          <w:p w:rsidR="00E921C5" w:rsidRPr="00D635A6" w:rsidRDefault="00E921C5" w:rsidP="00FB0213">
            <w:pPr>
              <w:pStyle w:val="Tabletext"/>
              <w:jc w:val="center"/>
              <w:rPr>
                <w:sz w:val="20"/>
                <w:szCs w:val="18"/>
              </w:rPr>
            </w:pPr>
            <w:r w:rsidRPr="00D635A6">
              <w:rPr>
                <w:rFonts w:eastAsia="Calibri"/>
                <w:sz w:val="20"/>
                <w:szCs w:val="18"/>
              </w:rPr>
              <w:t>Voir T.1-1 et T.1-2</w:t>
            </w:r>
          </w:p>
        </w:tc>
        <w:tc>
          <w:tcPr>
            <w:tcW w:w="198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 et T.1-2</w:t>
            </w:r>
          </w:p>
        </w:tc>
        <w:tc>
          <w:tcPr>
            <w:tcW w:w="2080"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 et T.1-2</w:t>
            </w:r>
          </w:p>
        </w:tc>
      </w:tr>
      <w:tr w:rsidR="00E921C5" w:rsidRPr="00D635A6" w:rsidTr="00FC2C2D">
        <w:tc>
          <w:tcPr>
            <w:tcW w:w="6298" w:type="dxa"/>
          </w:tcPr>
          <w:p w:rsidR="00E921C5" w:rsidRPr="00D635A6" w:rsidRDefault="00E921C5" w:rsidP="00FB0213">
            <w:pPr>
              <w:pStyle w:val="Tabletext"/>
              <w:rPr>
                <w:rFonts w:eastAsia="Calibri"/>
                <w:color w:val="4F81BD" w:themeColor="accent1"/>
                <w:sz w:val="20"/>
                <w:szCs w:val="18"/>
              </w:rPr>
            </w:pPr>
            <w:r w:rsidRPr="00D635A6">
              <w:rPr>
                <w:rFonts w:eastAsia="Calibri"/>
                <w:color w:val="4F81BD" w:themeColor="accent1"/>
                <w:sz w:val="20"/>
                <w:szCs w:val="18"/>
              </w:rPr>
              <w:t>T.4-3</w:t>
            </w:r>
            <w:r w:rsidRPr="00D635A6">
              <w:rPr>
                <w:rFonts w:eastAsia="Calibri"/>
                <w:sz w:val="20"/>
                <w:szCs w:val="18"/>
              </w:rPr>
              <w:t>: Visibilité accrue du Secteur</w:t>
            </w:r>
          </w:p>
        </w:tc>
        <w:tc>
          <w:tcPr>
            <w:tcW w:w="2114" w:type="dxa"/>
          </w:tcPr>
          <w:p w:rsidR="00E921C5" w:rsidRPr="00D635A6" w:rsidRDefault="00E921C5" w:rsidP="00FB0213">
            <w:pPr>
              <w:pStyle w:val="Tabletext"/>
              <w:jc w:val="center"/>
              <w:rPr>
                <w:rFonts w:eastAsia="Calibri"/>
                <w:sz w:val="20"/>
                <w:szCs w:val="18"/>
              </w:rPr>
            </w:pPr>
            <w:r w:rsidRPr="00D635A6">
              <w:rPr>
                <w:rFonts w:eastAsia="Calibri"/>
                <w:sz w:val="20"/>
                <w:szCs w:val="18"/>
              </w:rPr>
              <w:t>Voir T.1-1 et T.2-1</w:t>
            </w:r>
          </w:p>
        </w:tc>
        <w:tc>
          <w:tcPr>
            <w:tcW w:w="2083" w:type="dxa"/>
          </w:tcPr>
          <w:p w:rsidR="00E921C5" w:rsidRPr="00D635A6" w:rsidRDefault="00E921C5" w:rsidP="00FB0213">
            <w:pPr>
              <w:pStyle w:val="Tabletext"/>
              <w:jc w:val="center"/>
              <w:rPr>
                <w:sz w:val="20"/>
                <w:szCs w:val="18"/>
              </w:rPr>
            </w:pPr>
            <w:r w:rsidRPr="00D635A6">
              <w:rPr>
                <w:rFonts w:eastAsia="Calibri"/>
                <w:sz w:val="20"/>
                <w:szCs w:val="18"/>
              </w:rPr>
              <w:t>Voir T.1-1 et T.2-1</w:t>
            </w:r>
          </w:p>
        </w:tc>
        <w:tc>
          <w:tcPr>
            <w:tcW w:w="198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 et T.2-1</w:t>
            </w:r>
          </w:p>
        </w:tc>
        <w:tc>
          <w:tcPr>
            <w:tcW w:w="2080"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Voir T.1-1 et T.2-1</w:t>
            </w:r>
          </w:p>
        </w:tc>
      </w:tr>
    </w:tbl>
    <w:p w:rsidR="00E921C5" w:rsidRPr="00D635A6" w:rsidRDefault="00E921C5" w:rsidP="00E921C5">
      <w:pPr>
        <w:spacing w:before="0"/>
        <w:rPr>
          <w:rFonts w:asciiTheme="minorHAnsi" w:hAnsiTheme="minorHAnsi"/>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067"/>
        <w:gridCol w:w="1418"/>
        <w:gridCol w:w="1559"/>
        <w:gridCol w:w="1276"/>
        <w:gridCol w:w="1276"/>
      </w:tblGrid>
      <w:tr w:rsidR="00E921C5" w:rsidRPr="00D635A6" w:rsidTr="00FC2C2D">
        <w:tc>
          <w:tcPr>
            <w:tcW w:w="9067" w:type="dxa"/>
            <w:shd w:val="clear" w:color="auto" w:fill="4F81BD" w:themeFill="accent1"/>
          </w:tcPr>
          <w:p w:rsidR="00E921C5" w:rsidRPr="00D635A6" w:rsidRDefault="00E921C5" w:rsidP="00FB0213">
            <w:pPr>
              <w:pStyle w:val="Tablehead"/>
              <w:keepNext/>
              <w:keepLines/>
              <w:jc w:val="left"/>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lastRenderedPageBreak/>
              <w:t>Produit</w:t>
            </w:r>
          </w:p>
        </w:tc>
        <w:tc>
          <w:tcPr>
            <w:tcW w:w="5529" w:type="dxa"/>
            <w:gridSpan w:val="4"/>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Ressources financières</w:t>
            </w:r>
            <w:r w:rsidRPr="00D635A6">
              <w:rPr>
                <w:rStyle w:val="FootnoteReference"/>
                <w:rFonts w:asciiTheme="minorHAnsi" w:hAnsiTheme="minorHAnsi" w:cs="Times New Roman Bold"/>
                <w:color w:val="FFFFFF" w:themeColor="background1"/>
              </w:rPr>
              <w:footnoteReference w:id="5"/>
            </w:r>
            <w:r w:rsidRPr="00D635A6">
              <w:rPr>
                <w:rFonts w:asciiTheme="minorHAnsi" w:hAnsiTheme="minorHAnsi" w:cs="Times New Roman Bold"/>
                <w:color w:val="FFFFFF" w:themeColor="background1"/>
              </w:rPr>
              <w:t xml:space="preserve"> </w:t>
            </w:r>
            <w:r w:rsidRPr="00D635A6">
              <w:rPr>
                <w:rFonts w:asciiTheme="minorHAnsi" w:hAnsiTheme="minorHAnsi" w:cs="Times New Roman Bold"/>
                <w:color w:val="FFFFFF" w:themeColor="background1"/>
                <w:sz w:val="20"/>
              </w:rPr>
              <w:t>(en milliers CHF)</w:t>
            </w:r>
          </w:p>
        </w:tc>
      </w:tr>
      <w:tr w:rsidR="00E921C5" w:rsidRPr="00D635A6" w:rsidTr="00FC2C2D">
        <w:tc>
          <w:tcPr>
            <w:tcW w:w="9067" w:type="dxa"/>
          </w:tcPr>
          <w:p w:rsidR="00E921C5" w:rsidRPr="00D635A6" w:rsidRDefault="00E921C5" w:rsidP="00FB0213">
            <w:pPr>
              <w:keepNext/>
              <w:keepLines/>
              <w:spacing w:before="60" w:after="60"/>
              <w:rPr>
                <w:rFonts w:asciiTheme="minorHAnsi" w:hAnsiTheme="minorHAnsi"/>
                <w:sz w:val="20"/>
              </w:rPr>
            </w:pPr>
          </w:p>
        </w:tc>
        <w:tc>
          <w:tcPr>
            <w:tcW w:w="1418"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2018</w:t>
            </w:r>
          </w:p>
        </w:tc>
        <w:tc>
          <w:tcPr>
            <w:tcW w:w="1559"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2019</w:t>
            </w:r>
          </w:p>
        </w:tc>
        <w:tc>
          <w:tcPr>
            <w:tcW w:w="1276"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2020</w:t>
            </w:r>
          </w:p>
        </w:tc>
        <w:tc>
          <w:tcPr>
            <w:tcW w:w="1276"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2021</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T.4-1</w:t>
            </w:r>
            <w:r w:rsidRPr="00D635A6">
              <w:rPr>
                <w:color w:val="5B9BD5"/>
                <w:sz w:val="20"/>
                <w:szCs w:val="18"/>
              </w:rPr>
              <w:t xml:space="preserve"> </w:t>
            </w:r>
            <w:r w:rsidRPr="00D635A6">
              <w:rPr>
                <w:sz w:val="20"/>
                <w:szCs w:val="18"/>
              </w:rPr>
              <w:t>Publications UIT-T</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2 743</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2 663</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2 197</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2 328</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T.4-2</w:t>
            </w:r>
            <w:r w:rsidRPr="00D635A6">
              <w:rPr>
                <w:color w:val="5B9BD5"/>
                <w:sz w:val="20"/>
                <w:szCs w:val="18"/>
              </w:rPr>
              <w:t xml:space="preserve"> </w:t>
            </w:r>
            <w:r w:rsidRPr="00D635A6">
              <w:rPr>
                <w:sz w:val="20"/>
                <w:szCs w:val="18"/>
              </w:rPr>
              <w:t>Publications de bases de données</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256</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257</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186</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246</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T.4-3</w:t>
            </w:r>
            <w:r w:rsidRPr="00D635A6">
              <w:rPr>
                <w:color w:val="5B9BD5"/>
                <w:sz w:val="20"/>
                <w:szCs w:val="18"/>
              </w:rPr>
              <w:t xml:space="preserve"> </w:t>
            </w:r>
            <w:r w:rsidRPr="00D635A6">
              <w:rPr>
                <w:sz w:val="20"/>
                <w:szCs w:val="18"/>
              </w:rPr>
              <w:t>Sensibilisation et promotion</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1 382</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1 382</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1 203</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1 298</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T.4-4</w:t>
            </w:r>
            <w:r w:rsidRPr="00D635A6">
              <w:rPr>
                <w:color w:val="5B9BD5"/>
                <w:sz w:val="20"/>
                <w:szCs w:val="18"/>
              </w:rPr>
              <w:t xml:space="preserve"> </w:t>
            </w:r>
            <w:r w:rsidRPr="00D635A6">
              <w:rPr>
                <w:sz w:val="20"/>
                <w:szCs w:val="18"/>
              </w:rPr>
              <w:t>Bulletin d'exploitation de l'UIT</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177</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161</w:t>
            </w:r>
          </w:p>
        </w:tc>
        <w:tc>
          <w:tcPr>
            <w:tcW w:w="127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155</w:t>
            </w:r>
          </w:p>
        </w:tc>
        <w:tc>
          <w:tcPr>
            <w:tcW w:w="1276" w:type="dxa"/>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155</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271</w:t>
            </w:r>
          </w:p>
        </w:tc>
        <w:tc>
          <w:tcPr>
            <w:tcW w:w="1559"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133</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115</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142</w:t>
            </w:r>
          </w:p>
        </w:tc>
      </w:tr>
      <w:tr w:rsidR="00E921C5" w:rsidRPr="00D635A6" w:rsidTr="00FC2C2D">
        <w:tc>
          <w:tcPr>
            <w:tcW w:w="9067" w:type="dxa"/>
            <w:vAlign w:val="center"/>
          </w:tcPr>
          <w:p w:rsidR="00E921C5" w:rsidRPr="00D635A6" w:rsidRDefault="00E921C5" w:rsidP="00FB0213">
            <w:pPr>
              <w:pStyle w:val="Tabletext"/>
              <w:keepNext/>
              <w:keepLines/>
              <w:rPr>
                <w:b/>
                <w:bCs/>
                <w:color w:val="5B9BD5"/>
                <w:sz w:val="20"/>
                <w:szCs w:val="18"/>
              </w:rPr>
            </w:pPr>
            <w:r w:rsidRPr="00D635A6">
              <w:rPr>
                <w:b/>
                <w:bCs/>
                <w:color w:val="5B9BD5"/>
                <w:sz w:val="20"/>
                <w:szCs w:val="18"/>
              </w:rPr>
              <w:t>Total pour l'objectif T.4</w:t>
            </w:r>
          </w:p>
        </w:tc>
        <w:tc>
          <w:tcPr>
            <w:tcW w:w="1418" w:type="dxa"/>
            <w:tcMar>
              <w:right w:w="284" w:type="dxa"/>
            </w:tcMar>
          </w:tcPr>
          <w:p w:rsidR="00E921C5" w:rsidRPr="00D635A6" w:rsidRDefault="00E921C5" w:rsidP="00FB0213">
            <w:pPr>
              <w:pStyle w:val="Tabletext"/>
              <w:jc w:val="center"/>
              <w:rPr>
                <w:rFonts w:eastAsia="SimSun"/>
                <w:b/>
                <w:bCs/>
                <w:sz w:val="20"/>
                <w:szCs w:val="18"/>
                <w:lang w:eastAsia="zh-CN"/>
              </w:rPr>
            </w:pPr>
            <w:r w:rsidRPr="00D635A6">
              <w:rPr>
                <w:rFonts w:eastAsia="SimSun"/>
                <w:b/>
                <w:bCs/>
                <w:sz w:val="20"/>
                <w:szCs w:val="18"/>
                <w:lang w:eastAsia="zh-CN"/>
              </w:rPr>
              <w:t>4 829</w:t>
            </w:r>
          </w:p>
        </w:tc>
        <w:tc>
          <w:tcPr>
            <w:tcW w:w="1559" w:type="dxa"/>
            <w:tcMar>
              <w:right w:w="284" w:type="dxa"/>
            </w:tcMar>
          </w:tcPr>
          <w:p w:rsidR="00E921C5" w:rsidRPr="00D635A6" w:rsidRDefault="00E921C5" w:rsidP="00FB0213">
            <w:pPr>
              <w:pStyle w:val="Tabletext"/>
              <w:jc w:val="center"/>
              <w:rPr>
                <w:rFonts w:eastAsia="SimSun"/>
                <w:b/>
                <w:bCs/>
                <w:sz w:val="20"/>
                <w:szCs w:val="18"/>
                <w:lang w:eastAsia="zh-CN"/>
              </w:rPr>
            </w:pPr>
            <w:r w:rsidRPr="00D635A6">
              <w:rPr>
                <w:rFonts w:eastAsia="SimSun"/>
                <w:b/>
                <w:bCs/>
                <w:sz w:val="20"/>
                <w:szCs w:val="18"/>
                <w:lang w:eastAsia="zh-CN"/>
              </w:rPr>
              <w:t>4 595</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3 857</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4 169</w:t>
            </w:r>
          </w:p>
        </w:tc>
      </w:tr>
    </w:tbl>
    <w:p w:rsidR="00E921C5" w:rsidRPr="00D635A6" w:rsidRDefault="00E921C5" w:rsidP="00FB0213">
      <w:pPr>
        <w:pStyle w:val="Heading2"/>
        <w:spacing w:before="240" w:after="120"/>
        <w:rPr>
          <w:rFonts w:eastAsiaTheme="majorEastAsia"/>
        </w:rPr>
      </w:pPr>
      <w:r w:rsidRPr="00D635A6">
        <w:rPr>
          <w:rFonts w:eastAsiaTheme="majorEastAsia"/>
        </w:rPr>
        <w:t>5.5</w:t>
      </w:r>
      <w:r w:rsidRPr="00D635A6">
        <w:rPr>
          <w:rFonts w:eastAsiaTheme="majorEastAsia"/>
        </w:rPr>
        <w:tab/>
        <w:t>T.5 Elargir et faciliter la coopération avec les organismes internationaux, régionaux et nationaux de normalisation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01"/>
        <w:gridCol w:w="4361"/>
        <w:gridCol w:w="2471"/>
        <w:gridCol w:w="2418"/>
        <w:gridCol w:w="1343"/>
      </w:tblGrid>
      <w:tr w:rsidR="00E921C5" w:rsidRPr="00D635A6" w:rsidTr="00C04F72">
        <w:tc>
          <w:tcPr>
            <w:tcW w:w="1215"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Résultat</w:t>
            </w:r>
          </w:p>
        </w:tc>
        <w:tc>
          <w:tcPr>
            <w:tcW w:w="1558"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Indicateur de résultats</w:t>
            </w:r>
          </w:p>
        </w:tc>
        <w:tc>
          <w:tcPr>
            <w:tcW w:w="883"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2015</w:t>
            </w:r>
          </w:p>
        </w:tc>
        <w:tc>
          <w:tcPr>
            <w:tcW w:w="864"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Chiffres 2016</w:t>
            </w:r>
          </w:p>
        </w:tc>
        <w:tc>
          <w:tcPr>
            <w:tcW w:w="481" w:type="pct"/>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rPr>
            </w:pPr>
            <w:r w:rsidRPr="00D635A6">
              <w:rPr>
                <w:rFonts w:asciiTheme="minorHAnsi" w:hAnsiTheme="minorHAnsi" w:cs="Times New Roman Bold"/>
                <w:color w:val="FFFFFF" w:themeColor="background1"/>
              </w:rPr>
              <w:t>Moyen de mesure</w:t>
            </w:r>
          </w:p>
        </w:tc>
      </w:tr>
      <w:tr w:rsidR="00E921C5" w:rsidRPr="00D635A6" w:rsidTr="00C04F72">
        <w:tc>
          <w:tcPr>
            <w:tcW w:w="1215" w:type="pct"/>
          </w:tcPr>
          <w:p w:rsidR="00E921C5" w:rsidRPr="00D635A6" w:rsidRDefault="00E921C5" w:rsidP="00FB0213">
            <w:pPr>
              <w:pStyle w:val="Tabletext"/>
              <w:rPr>
                <w:rFonts w:eastAsia="Calibri"/>
                <w:b/>
                <w:bCs/>
                <w:sz w:val="20"/>
                <w:szCs w:val="18"/>
              </w:rPr>
            </w:pPr>
            <w:r w:rsidRPr="00D635A6">
              <w:rPr>
                <w:rFonts w:eastAsia="Calibri"/>
                <w:b/>
                <w:bCs/>
                <w:color w:val="4F81BD" w:themeColor="accent1"/>
                <w:sz w:val="20"/>
                <w:szCs w:val="18"/>
              </w:rPr>
              <w:t>T.5-1</w:t>
            </w:r>
            <w:r w:rsidRPr="00D635A6">
              <w:rPr>
                <w:rFonts w:eastAsia="Calibri"/>
                <w:b/>
                <w:bCs/>
                <w:sz w:val="20"/>
                <w:szCs w:val="18"/>
              </w:rPr>
              <w:t>: Renforcement de la communication avec d'autres organismes de normalisation</w:t>
            </w:r>
          </w:p>
        </w:tc>
        <w:tc>
          <w:tcPr>
            <w:tcW w:w="1558" w:type="pct"/>
          </w:tcPr>
          <w:p w:rsidR="00E921C5" w:rsidRPr="00D635A6" w:rsidRDefault="00E921C5" w:rsidP="00B95B47">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 xml:space="preserve">Nombre de réunions/ateliers organisés ou accueillis conjointement avec d'autres organisations; </w:t>
            </w:r>
          </w:p>
          <w:p w:rsidR="00E921C5" w:rsidRPr="00D635A6" w:rsidRDefault="00E921C5" w:rsidP="00B95B47">
            <w:pPr>
              <w:pStyle w:val="Tabletext"/>
              <w:tabs>
                <w:tab w:val="left" w:pos="315"/>
              </w:tabs>
              <w:rPr>
                <w:rFonts w:eastAsia="Calibri"/>
                <w:sz w:val="20"/>
                <w:szCs w:val="18"/>
              </w:rPr>
            </w:pPr>
            <w:r w:rsidRPr="00D635A6">
              <w:rPr>
                <w:rFonts w:eastAsia="Calibri"/>
                <w:sz w:val="20"/>
                <w:szCs w:val="18"/>
              </w:rPr>
              <w:t>–</w:t>
            </w:r>
            <w:r w:rsidRPr="00D635A6">
              <w:rPr>
                <w:rFonts w:eastAsia="Calibri"/>
                <w:sz w:val="20"/>
                <w:szCs w:val="18"/>
              </w:rPr>
              <w:tab/>
              <w:t xml:space="preserve">Nombre de notes de liaison </w:t>
            </w:r>
          </w:p>
        </w:tc>
        <w:tc>
          <w:tcPr>
            <w:tcW w:w="883" w:type="pct"/>
          </w:tcPr>
          <w:p w:rsidR="00E921C5" w:rsidRPr="00D635A6" w:rsidRDefault="00E921C5" w:rsidP="00FB0213">
            <w:pPr>
              <w:pStyle w:val="Tabletext"/>
              <w:rPr>
                <w:rFonts w:eastAsia="Calibri"/>
                <w:sz w:val="20"/>
                <w:szCs w:val="18"/>
              </w:rPr>
            </w:pPr>
            <w:r w:rsidRPr="00D635A6">
              <w:rPr>
                <w:rFonts w:eastAsia="Calibri"/>
                <w:sz w:val="20"/>
                <w:szCs w:val="18"/>
              </w:rPr>
              <w:t>15</w:t>
            </w:r>
          </w:p>
          <w:p w:rsidR="00E921C5" w:rsidRPr="00D635A6" w:rsidRDefault="00E921C5" w:rsidP="00FB0213">
            <w:pPr>
              <w:pStyle w:val="Tabletext"/>
              <w:rPr>
                <w:rFonts w:eastAsia="Calibri"/>
                <w:sz w:val="20"/>
                <w:szCs w:val="18"/>
              </w:rPr>
            </w:pPr>
          </w:p>
          <w:p w:rsidR="00E921C5" w:rsidRPr="00D635A6" w:rsidRDefault="00E921C5" w:rsidP="00FB0213">
            <w:pPr>
              <w:pStyle w:val="Tabletext"/>
              <w:rPr>
                <w:rFonts w:eastAsia="Calibri"/>
                <w:sz w:val="20"/>
                <w:szCs w:val="18"/>
              </w:rPr>
            </w:pPr>
            <w:r w:rsidRPr="00D635A6">
              <w:rPr>
                <w:rFonts w:eastAsia="Calibri"/>
                <w:sz w:val="20"/>
                <w:szCs w:val="18"/>
              </w:rPr>
              <w:t xml:space="preserve">682 (entrantes) et </w:t>
            </w:r>
            <w:r w:rsidR="006F5A3B" w:rsidRPr="00D635A6">
              <w:rPr>
                <w:rFonts w:eastAsia="Calibri"/>
                <w:sz w:val="20"/>
                <w:szCs w:val="18"/>
              </w:rPr>
              <w:br/>
            </w:r>
            <w:r w:rsidRPr="00D635A6">
              <w:rPr>
                <w:rFonts w:eastAsia="Calibri"/>
                <w:sz w:val="20"/>
                <w:szCs w:val="18"/>
              </w:rPr>
              <w:t>1 043 (sortantes)</w:t>
            </w:r>
          </w:p>
        </w:tc>
        <w:tc>
          <w:tcPr>
            <w:tcW w:w="864" w:type="pct"/>
          </w:tcPr>
          <w:p w:rsidR="006F5A3B" w:rsidRPr="00D635A6" w:rsidRDefault="00E921C5" w:rsidP="006F5A3B">
            <w:pPr>
              <w:pStyle w:val="Tabletext"/>
              <w:rPr>
                <w:rFonts w:eastAsia="SimSun"/>
                <w:sz w:val="20"/>
                <w:szCs w:val="18"/>
                <w:lang w:eastAsia="zh-CN"/>
              </w:rPr>
            </w:pPr>
            <w:r w:rsidRPr="00D635A6">
              <w:rPr>
                <w:rFonts w:eastAsia="SimSun"/>
                <w:sz w:val="20"/>
                <w:szCs w:val="18"/>
                <w:lang w:eastAsia="zh-CN"/>
              </w:rPr>
              <w:t>20</w:t>
            </w:r>
            <w:r w:rsidRPr="00D635A6">
              <w:rPr>
                <w:rFonts w:eastAsia="SimSun"/>
                <w:sz w:val="20"/>
                <w:szCs w:val="18"/>
                <w:lang w:eastAsia="zh-CN"/>
              </w:rPr>
              <w:br/>
            </w:r>
          </w:p>
          <w:p w:rsidR="00E921C5" w:rsidRPr="00D635A6" w:rsidRDefault="00E921C5" w:rsidP="006F5A3B">
            <w:pPr>
              <w:pStyle w:val="Tabletext"/>
              <w:rPr>
                <w:rFonts w:eastAsia="SimSun"/>
                <w:sz w:val="20"/>
                <w:szCs w:val="18"/>
                <w:lang w:eastAsia="zh-CN"/>
              </w:rPr>
            </w:pPr>
            <w:r w:rsidRPr="00D635A6">
              <w:rPr>
                <w:rFonts w:eastAsia="SimSun"/>
                <w:sz w:val="20"/>
                <w:szCs w:val="18"/>
                <w:lang w:eastAsia="zh-CN"/>
              </w:rPr>
              <w:t>983 (</w:t>
            </w:r>
            <w:r w:rsidRPr="00D635A6">
              <w:rPr>
                <w:rFonts w:eastAsia="Calibri"/>
                <w:sz w:val="20"/>
                <w:szCs w:val="18"/>
              </w:rPr>
              <w:t>entrantes</w:t>
            </w:r>
            <w:r w:rsidRPr="00D635A6">
              <w:rPr>
                <w:rFonts w:eastAsia="SimSun"/>
                <w:sz w:val="20"/>
                <w:szCs w:val="18"/>
                <w:lang w:eastAsia="zh-CN"/>
              </w:rPr>
              <w:t xml:space="preserve">) et </w:t>
            </w:r>
            <w:r w:rsidR="006F5A3B" w:rsidRPr="00D635A6">
              <w:rPr>
                <w:rFonts w:eastAsia="SimSun"/>
                <w:sz w:val="20"/>
                <w:szCs w:val="18"/>
                <w:lang w:eastAsia="zh-CN"/>
              </w:rPr>
              <w:br/>
            </w:r>
            <w:r w:rsidRPr="00D635A6">
              <w:rPr>
                <w:rFonts w:eastAsia="SimSun"/>
                <w:sz w:val="20"/>
                <w:szCs w:val="18"/>
                <w:lang w:eastAsia="zh-CN"/>
              </w:rPr>
              <w:t>1 287 (</w:t>
            </w:r>
            <w:r w:rsidRPr="00D635A6">
              <w:rPr>
                <w:rFonts w:eastAsia="Calibri"/>
                <w:sz w:val="20"/>
                <w:szCs w:val="18"/>
              </w:rPr>
              <w:t>sortantes</w:t>
            </w:r>
            <w:r w:rsidRPr="00D635A6">
              <w:rPr>
                <w:rFonts w:eastAsia="SimSun"/>
                <w:sz w:val="20"/>
                <w:szCs w:val="18"/>
                <w:lang w:eastAsia="zh-CN"/>
              </w:rPr>
              <w:t>)</w:t>
            </w:r>
          </w:p>
        </w:tc>
        <w:tc>
          <w:tcPr>
            <w:tcW w:w="481" w:type="pct"/>
          </w:tcPr>
          <w:p w:rsidR="00E921C5" w:rsidRPr="00D635A6" w:rsidRDefault="00E921C5" w:rsidP="00FB0213">
            <w:pPr>
              <w:pStyle w:val="Tabletext"/>
              <w:rPr>
                <w:rFonts w:eastAsia="Calibri"/>
                <w:sz w:val="20"/>
                <w:szCs w:val="18"/>
              </w:rPr>
            </w:pPr>
            <w:r w:rsidRPr="00D635A6">
              <w:rPr>
                <w:rFonts w:eastAsia="Calibri"/>
                <w:sz w:val="20"/>
                <w:szCs w:val="18"/>
              </w:rPr>
              <w:t>Statistiques de l'UIT</w:t>
            </w:r>
          </w:p>
        </w:tc>
      </w:tr>
      <w:tr w:rsidR="00E921C5" w:rsidRPr="00D635A6" w:rsidTr="00C04F72">
        <w:tc>
          <w:tcPr>
            <w:tcW w:w="1215" w:type="pct"/>
          </w:tcPr>
          <w:p w:rsidR="00E921C5" w:rsidRPr="00D635A6" w:rsidRDefault="00E921C5" w:rsidP="00FB0213">
            <w:pPr>
              <w:pStyle w:val="Tabletext"/>
              <w:rPr>
                <w:rFonts w:eastAsia="Calibri"/>
                <w:b/>
                <w:bCs/>
                <w:color w:val="4F81BD" w:themeColor="accent1"/>
                <w:sz w:val="20"/>
                <w:szCs w:val="18"/>
              </w:rPr>
            </w:pPr>
            <w:r w:rsidRPr="00D635A6">
              <w:rPr>
                <w:rFonts w:eastAsia="Calibri"/>
                <w:b/>
                <w:bCs/>
                <w:color w:val="4F81BD" w:themeColor="accent1"/>
                <w:sz w:val="20"/>
                <w:szCs w:val="18"/>
              </w:rPr>
              <w:t>T.5-2</w:t>
            </w:r>
            <w:r w:rsidRPr="00D635A6">
              <w:rPr>
                <w:rFonts w:eastAsia="Calibri"/>
                <w:b/>
                <w:bCs/>
                <w:sz w:val="20"/>
                <w:szCs w:val="18"/>
              </w:rPr>
              <w:t>: Diminution du nombre de normes incompatibles entre elles</w:t>
            </w:r>
          </w:p>
        </w:tc>
        <w:tc>
          <w:tcPr>
            <w:tcW w:w="1558" w:type="pct"/>
          </w:tcPr>
          <w:p w:rsidR="00E921C5" w:rsidRPr="00D635A6" w:rsidRDefault="00E921C5" w:rsidP="00B95B47">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Nombre de normes élaborées conjointement avec d'autres organisations</w:t>
            </w:r>
          </w:p>
        </w:tc>
        <w:tc>
          <w:tcPr>
            <w:tcW w:w="883" w:type="pct"/>
          </w:tcPr>
          <w:p w:rsidR="00E921C5" w:rsidRPr="00D635A6" w:rsidRDefault="00E921C5" w:rsidP="00FB0213">
            <w:pPr>
              <w:pStyle w:val="Tabletext"/>
              <w:rPr>
                <w:rFonts w:eastAsia="Calibri"/>
                <w:sz w:val="20"/>
                <w:szCs w:val="18"/>
              </w:rPr>
            </w:pPr>
            <w:r w:rsidRPr="00D635A6">
              <w:rPr>
                <w:rFonts w:eastAsia="Calibri"/>
                <w:sz w:val="20"/>
                <w:szCs w:val="18"/>
              </w:rPr>
              <w:t>22</w:t>
            </w:r>
          </w:p>
        </w:tc>
        <w:tc>
          <w:tcPr>
            <w:tcW w:w="864" w:type="pct"/>
          </w:tcPr>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20</w:t>
            </w:r>
          </w:p>
        </w:tc>
        <w:tc>
          <w:tcPr>
            <w:tcW w:w="481" w:type="pct"/>
          </w:tcPr>
          <w:p w:rsidR="00E921C5" w:rsidRPr="00D635A6" w:rsidRDefault="00E921C5" w:rsidP="00FB0213">
            <w:pPr>
              <w:pStyle w:val="Tabletext"/>
              <w:rPr>
                <w:rFonts w:eastAsia="Calibri"/>
                <w:sz w:val="20"/>
                <w:szCs w:val="18"/>
              </w:rPr>
            </w:pPr>
            <w:r w:rsidRPr="00D635A6">
              <w:rPr>
                <w:rFonts w:eastAsia="Calibri"/>
                <w:sz w:val="20"/>
                <w:szCs w:val="18"/>
              </w:rPr>
              <w:t>Statistiques de l'UIT</w:t>
            </w:r>
          </w:p>
        </w:tc>
      </w:tr>
      <w:tr w:rsidR="00E921C5" w:rsidRPr="00D635A6" w:rsidTr="00C04F72">
        <w:tc>
          <w:tcPr>
            <w:tcW w:w="1215" w:type="pct"/>
          </w:tcPr>
          <w:p w:rsidR="00E921C5" w:rsidRPr="00D635A6" w:rsidRDefault="00E921C5" w:rsidP="00FB0213">
            <w:pPr>
              <w:pStyle w:val="Tabletext"/>
              <w:rPr>
                <w:rFonts w:eastAsia="Calibri"/>
                <w:b/>
                <w:bCs/>
                <w:color w:val="4F81BD" w:themeColor="accent1"/>
                <w:sz w:val="20"/>
                <w:szCs w:val="18"/>
              </w:rPr>
            </w:pPr>
            <w:r w:rsidRPr="00D635A6">
              <w:rPr>
                <w:rFonts w:eastAsia="Calibri"/>
                <w:b/>
                <w:bCs/>
                <w:color w:val="4F81BD" w:themeColor="accent1"/>
                <w:sz w:val="20"/>
                <w:szCs w:val="18"/>
              </w:rPr>
              <w:t>T.5-3</w:t>
            </w:r>
            <w:r w:rsidRPr="00D635A6">
              <w:rPr>
                <w:rFonts w:eastAsia="Calibri"/>
                <w:b/>
                <w:bCs/>
                <w:sz w:val="20"/>
                <w:szCs w:val="18"/>
              </w:rPr>
              <w:t>: Nombre accru de mémorandums d'accord/d'accords de collaboration conclus avec d'autres organisations</w:t>
            </w:r>
          </w:p>
        </w:tc>
        <w:tc>
          <w:tcPr>
            <w:tcW w:w="1558" w:type="pct"/>
          </w:tcPr>
          <w:p w:rsidR="00E921C5" w:rsidRPr="00D635A6" w:rsidRDefault="00E921C5" w:rsidP="00B95B47">
            <w:pPr>
              <w:pStyle w:val="Tabletext"/>
              <w:tabs>
                <w:tab w:val="left" w:pos="315"/>
              </w:tabs>
              <w:ind w:left="315" w:hanging="315"/>
              <w:rPr>
                <w:rFonts w:eastAsia="Calibri"/>
                <w:sz w:val="20"/>
                <w:szCs w:val="18"/>
              </w:rPr>
            </w:pPr>
            <w:r w:rsidRPr="00D635A6">
              <w:rPr>
                <w:rFonts w:eastAsia="Calibri"/>
                <w:sz w:val="20"/>
                <w:szCs w:val="18"/>
              </w:rPr>
              <w:t>–</w:t>
            </w:r>
            <w:r w:rsidRPr="00D635A6">
              <w:rPr>
                <w:rFonts w:eastAsia="Calibri"/>
                <w:sz w:val="20"/>
                <w:szCs w:val="18"/>
              </w:rPr>
              <w:tab/>
              <w:t>Nombre d'accords conclus avec d'autres organisations</w:t>
            </w:r>
          </w:p>
        </w:tc>
        <w:tc>
          <w:tcPr>
            <w:tcW w:w="883" w:type="pct"/>
          </w:tcPr>
          <w:p w:rsidR="00E921C5" w:rsidRPr="00D635A6" w:rsidRDefault="00E921C5" w:rsidP="00FB0213">
            <w:pPr>
              <w:pStyle w:val="Tabletext"/>
              <w:rPr>
                <w:rFonts w:eastAsia="Calibri"/>
                <w:sz w:val="20"/>
                <w:szCs w:val="18"/>
              </w:rPr>
            </w:pPr>
            <w:r w:rsidRPr="00D635A6">
              <w:rPr>
                <w:rFonts w:eastAsia="Calibri"/>
                <w:sz w:val="20"/>
                <w:szCs w:val="18"/>
              </w:rPr>
              <w:t>3 organisations de normalisation</w:t>
            </w:r>
          </w:p>
        </w:tc>
        <w:tc>
          <w:tcPr>
            <w:tcW w:w="864" w:type="pct"/>
          </w:tcPr>
          <w:p w:rsidR="00E921C5" w:rsidRPr="00D635A6" w:rsidRDefault="00E921C5" w:rsidP="00FB0213">
            <w:pPr>
              <w:pStyle w:val="Tabletext"/>
              <w:rPr>
                <w:rFonts w:eastAsia="SimSun"/>
                <w:sz w:val="20"/>
                <w:szCs w:val="18"/>
                <w:lang w:eastAsia="zh-CN"/>
              </w:rPr>
            </w:pPr>
            <w:r w:rsidRPr="00D635A6">
              <w:rPr>
                <w:rFonts w:eastAsia="SimSun"/>
                <w:sz w:val="20"/>
                <w:szCs w:val="18"/>
                <w:lang w:eastAsia="zh-CN"/>
              </w:rPr>
              <w:t xml:space="preserve">2 </w:t>
            </w:r>
            <w:r w:rsidRPr="00D635A6">
              <w:rPr>
                <w:rFonts w:eastAsia="Calibri"/>
                <w:sz w:val="20"/>
                <w:szCs w:val="18"/>
              </w:rPr>
              <w:t>organisations de normalisation</w:t>
            </w:r>
          </w:p>
        </w:tc>
        <w:tc>
          <w:tcPr>
            <w:tcW w:w="481" w:type="pct"/>
          </w:tcPr>
          <w:p w:rsidR="00E921C5" w:rsidRPr="00D635A6" w:rsidRDefault="00E921C5" w:rsidP="00FB0213">
            <w:pPr>
              <w:pStyle w:val="Tabletext"/>
              <w:rPr>
                <w:rFonts w:eastAsia="Calibri"/>
                <w:sz w:val="20"/>
                <w:szCs w:val="18"/>
              </w:rPr>
            </w:pPr>
            <w:r w:rsidRPr="00D635A6">
              <w:rPr>
                <w:rFonts w:eastAsia="Calibri"/>
                <w:sz w:val="20"/>
                <w:szCs w:val="18"/>
              </w:rPr>
              <w:t>Statistiques de l'UIT</w:t>
            </w:r>
          </w:p>
        </w:tc>
      </w:tr>
      <w:tr w:rsidR="00E921C5" w:rsidRPr="00D635A6" w:rsidTr="00C04F72">
        <w:tc>
          <w:tcPr>
            <w:tcW w:w="1215" w:type="pct"/>
          </w:tcPr>
          <w:p w:rsidR="00E921C5" w:rsidRPr="00D635A6" w:rsidRDefault="00E921C5" w:rsidP="00FB0213">
            <w:pPr>
              <w:pStyle w:val="Tabletext"/>
              <w:keepNext/>
              <w:keepLines/>
              <w:rPr>
                <w:rFonts w:eastAsia="Calibri"/>
                <w:b/>
                <w:bCs/>
                <w:color w:val="4F81BD" w:themeColor="accent1"/>
                <w:sz w:val="20"/>
                <w:szCs w:val="18"/>
              </w:rPr>
            </w:pPr>
            <w:r w:rsidRPr="00D635A6">
              <w:rPr>
                <w:rFonts w:eastAsia="Calibri"/>
                <w:b/>
                <w:bCs/>
                <w:color w:val="4F81BD" w:themeColor="accent1"/>
                <w:sz w:val="20"/>
                <w:szCs w:val="18"/>
              </w:rPr>
              <w:lastRenderedPageBreak/>
              <w:t>T.5-4</w:t>
            </w:r>
            <w:r w:rsidRPr="00D635A6">
              <w:rPr>
                <w:rFonts w:eastAsia="Calibri"/>
                <w:b/>
                <w:bCs/>
                <w:sz w:val="20"/>
                <w:szCs w:val="18"/>
              </w:rPr>
              <w:t>: Nombre accru d'organisations habilitées conformément aux recommandations UIT-T A.4, A.5 et A.6</w:t>
            </w:r>
          </w:p>
        </w:tc>
        <w:tc>
          <w:tcPr>
            <w:tcW w:w="1558" w:type="pct"/>
          </w:tcPr>
          <w:p w:rsidR="00E921C5" w:rsidRPr="00D635A6" w:rsidRDefault="00E921C5" w:rsidP="00FB0213">
            <w:pPr>
              <w:pStyle w:val="Tabletext"/>
              <w:keepNext/>
              <w:keepLines/>
              <w:tabs>
                <w:tab w:val="left" w:pos="443"/>
              </w:tabs>
              <w:rPr>
                <w:rFonts w:eastAsia="Calibri"/>
                <w:sz w:val="20"/>
                <w:szCs w:val="18"/>
              </w:rPr>
            </w:pPr>
            <w:r w:rsidRPr="00D635A6">
              <w:rPr>
                <w:rFonts w:eastAsia="Calibri"/>
                <w:sz w:val="20"/>
                <w:szCs w:val="18"/>
              </w:rPr>
              <w:t>–</w:t>
            </w:r>
            <w:r w:rsidRPr="00D635A6">
              <w:rPr>
                <w:rFonts w:eastAsia="Calibri"/>
                <w:sz w:val="20"/>
                <w:szCs w:val="18"/>
              </w:rPr>
              <w:tab/>
              <w:t>Nombre d'organisations habilitées conformément aux Recommandations UIT-T A.4/5/6</w:t>
            </w:r>
          </w:p>
        </w:tc>
        <w:tc>
          <w:tcPr>
            <w:tcW w:w="883" w:type="pct"/>
          </w:tcPr>
          <w:p w:rsidR="00E921C5" w:rsidRPr="00D635A6" w:rsidRDefault="00E921C5" w:rsidP="00FB0213">
            <w:pPr>
              <w:pStyle w:val="Tabletext"/>
              <w:keepNext/>
              <w:keepLines/>
              <w:rPr>
                <w:rFonts w:eastAsia="Calibri"/>
                <w:sz w:val="20"/>
                <w:szCs w:val="18"/>
              </w:rPr>
            </w:pPr>
            <w:r w:rsidRPr="00D635A6">
              <w:rPr>
                <w:rFonts w:eastAsia="Calibri"/>
                <w:sz w:val="20"/>
                <w:szCs w:val="18"/>
              </w:rPr>
              <w:t>A.4: 34 au 25 janvier 2016</w:t>
            </w:r>
          </w:p>
          <w:p w:rsidR="00E921C5" w:rsidRPr="00D635A6" w:rsidRDefault="00E921C5" w:rsidP="00FB0213">
            <w:pPr>
              <w:pStyle w:val="Tabletext"/>
              <w:keepNext/>
              <w:keepLines/>
              <w:rPr>
                <w:rFonts w:eastAsia="Calibri"/>
                <w:sz w:val="20"/>
                <w:szCs w:val="18"/>
              </w:rPr>
            </w:pPr>
            <w:r w:rsidRPr="00D635A6">
              <w:rPr>
                <w:rFonts w:eastAsia="Calibri"/>
                <w:sz w:val="20"/>
                <w:szCs w:val="18"/>
              </w:rPr>
              <w:t>A.5: 46 au 25 janvier 2016</w:t>
            </w:r>
          </w:p>
          <w:p w:rsidR="00E921C5" w:rsidRPr="00D635A6" w:rsidRDefault="00E921C5" w:rsidP="00FB0213">
            <w:pPr>
              <w:pStyle w:val="Tabletext"/>
              <w:keepNext/>
              <w:keepLines/>
              <w:rPr>
                <w:rFonts w:eastAsia="Calibri"/>
                <w:sz w:val="20"/>
                <w:szCs w:val="18"/>
              </w:rPr>
            </w:pPr>
            <w:r w:rsidRPr="00D635A6">
              <w:rPr>
                <w:rFonts w:eastAsia="Calibri"/>
                <w:sz w:val="20"/>
                <w:szCs w:val="18"/>
              </w:rPr>
              <w:t>A.6: 17 au 25 janvier 2016</w:t>
            </w:r>
          </w:p>
        </w:tc>
        <w:tc>
          <w:tcPr>
            <w:tcW w:w="864" w:type="pct"/>
          </w:tcPr>
          <w:p w:rsidR="00C04F72" w:rsidRDefault="00E921C5" w:rsidP="00C04F72">
            <w:pPr>
              <w:pStyle w:val="Tabletext"/>
              <w:keepNext/>
              <w:keepLines/>
              <w:rPr>
                <w:rFonts w:eastAsia="SimSun"/>
                <w:sz w:val="20"/>
                <w:szCs w:val="18"/>
                <w:lang w:eastAsia="zh-CN"/>
              </w:rPr>
            </w:pPr>
            <w:r w:rsidRPr="00D635A6">
              <w:rPr>
                <w:rFonts w:eastAsia="SimSun"/>
                <w:sz w:val="20"/>
                <w:szCs w:val="18"/>
                <w:lang w:eastAsia="zh-CN"/>
              </w:rPr>
              <w:t>A.4: 35 au 17 février 2017</w:t>
            </w:r>
          </w:p>
          <w:p w:rsidR="00C04F72" w:rsidRDefault="00E921C5" w:rsidP="00C04F72">
            <w:pPr>
              <w:pStyle w:val="Tabletext"/>
              <w:keepNext/>
              <w:keepLines/>
              <w:rPr>
                <w:rFonts w:eastAsia="SimSun"/>
                <w:sz w:val="20"/>
                <w:szCs w:val="18"/>
                <w:lang w:eastAsia="zh-CN"/>
              </w:rPr>
            </w:pPr>
            <w:r w:rsidRPr="00D635A6">
              <w:rPr>
                <w:rFonts w:eastAsia="SimSun"/>
                <w:sz w:val="20"/>
                <w:szCs w:val="18"/>
                <w:lang w:eastAsia="zh-CN"/>
              </w:rPr>
              <w:t>A.5: 47 au 17 février 2017</w:t>
            </w:r>
          </w:p>
          <w:p w:rsidR="00E921C5" w:rsidRPr="00D635A6" w:rsidRDefault="00E921C5" w:rsidP="00C04F72">
            <w:pPr>
              <w:pStyle w:val="Tabletext"/>
              <w:keepNext/>
              <w:keepLines/>
              <w:rPr>
                <w:rFonts w:eastAsia="SimSun"/>
                <w:sz w:val="20"/>
                <w:szCs w:val="18"/>
                <w:lang w:eastAsia="zh-CN"/>
              </w:rPr>
            </w:pPr>
            <w:r w:rsidRPr="00D635A6">
              <w:rPr>
                <w:rFonts w:eastAsia="SimSun"/>
                <w:sz w:val="20"/>
                <w:szCs w:val="18"/>
                <w:lang w:eastAsia="zh-CN"/>
              </w:rPr>
              <w:t>A.6: 17 au 17 février 2017</w:t>
            </w:r>
          </w:p>
        </w:tc>
        <w:tc>
          <w:tcPr>
            <w:tcW w:w="481" w:type="pct"/>
          </w:tcPr>
          <w:p w:rsidR="00E921C5" w:rsidRPr="00D635A6" w:rsidRDefault="00E921C5" w:rsidP="00FB0213">
            <w:pPr>
              <w:pStyle w:val="Tabletext"/>
              <w:keepNext/>
              <w:keepLines/>
              <w:rPr>
                <w:rFonts w:eastAsia="Calibri"/>
                <w:sz w:val="20"/>
                <w:szCs w:val="18"/>
              </w:rPr>
            </w:pPr>
            <w:r w:rsidRPr="00D635A6">
              <w:rPr>
                <w:rFonts w:eastAsia="Calibri"/>
                <w:sz w:val="20"/>
                <w:szCs w:val="18"/>
              </w:rPr>
              <w:t>Statistiques de l'UIT</w:t>
            </w:r>
          </w:p>
        </w:tc>
      </w:tr>
      <w:tr w:rsidR="00E921C5" w:rsidRPr="00D635A6" w:rsidTr="00C04F72">
        <w:tc>
          <w:tcPr>
            <w:tcW w:w="1215" w:type="pct"/>
          </w:tcPr>
          <w:p w:rsidR="00E921C5" w:rsidRPr="00D635A6" w:rsidRDefault="00E921C5" w:rsidP="00FB0213">
            <w:pPr>
              <w:pStyle w:val="Tabletext"/>
              <w:keepNext/>
              <w:keepLines/>
              <w:rPr>
                <w:rFonts w:eastAsia="Calibri"/>
                <w:b/>
                <w:bCs/>
                <w:color w:val="4F81BD" w:themeColor="accent1"/>
                <w:sz w:val="20"/>
                <w:szCs w:val="18"/>
              </w:rPr>
            </w:pPr>
            <w:r w:rsidRPr="00D635A6">
              <w:rPr>
                <w:rFonts w:eastAsia="Calibri"/>
                <w:b/>
                <w:bCs/>
                <w:color w:val="4F81BD" w:themeColor="accent1"/>
                <w:sz w:val="20"/>
                <w:szCs w:val="18"/>
              </w:rPr>
              <w:t>T.5-5</w:t>
            </w:r>
            <w:r w:rsidRPr="00D635A6">
              <w:rPr>
                <w:rFonts w:eastAsia="Calibri"/>
                <w:b/>
                <w:bCs/>
                <w:sz w:val="20"/>
                <w:szCs w:val="18"/>
              </w:rPr>
              <w:t>: Nombre accru d'ateliers ou de réunions organisés conjointement avec d'autres organisations</w:t>
            </w:r>
          </w:p>
        </w:tc>
        <w:tc>
          <w:tcPr>
            <w:tcW w:w="1558" w:type="pct"/>
          </w:tcPr>
          <w:p w:rsidR="00E921C5" w:rsidRPr="00D635A6" w:rsidRDefault="00E921C5" w:rsidP="00FB0213">
            <w:pPr>
              <w:pStyle w:val="Tabletext"/>
              <w:keepNext/>
              <w:keepLines/>
              <w:rPr>
                <w:rFonts w:eastAsia="Calibri"/>
                <w:sz w:val="20"/>
                <w:szCs w:val="18"/>
              </w:rPr>
            </w:pPr>
            <w:r w:rsidRPr="00D635A6">
              <w:rPr>
                <w:rFonts w:eastAsia="Calibri"/>
                <w:sz w:val="20"/>
                <w:szCs w:val="18"/>
              </w:rPr>
              <w:t>Déjà indiqué dans T.5-1</w:t>
            </w:r>
          </w:p>
        </w:tc>
        <w:tc>
          <w:tcPr>
            <w:tcW w:w="883" w:type="pct"/>
          </w:tcPr>
          <w:p w:rsidR="00E921C5" w:rsidRPr="00D635A6" w:rsidRDefault="00E921C5" w:rsidP="00FB0213">
            <w:pPr>
              <w:pStyle w:val="Tabletext"/>
              <w:keepNext/>
              <w:keepLines/>
              <w:rPr>
                <w:sz w:val="20"/>
                <w:szCs w:val="18"/>
              </w:rPr>
            </w:pPr>
            <w:r w:rsidRPr="00D635A6">
              <w:rPr>
                <w:sz w:val="20"/>
                <w:szCs w:val="18"/>
              </w:rPr>
              <w:t>Voir T.5-1</w:t>
            </w:r>
          </w:p>
        </w:tc>
        <w:tc>
          <w:tcPr>
            <w:tcW w:w="864" w:type="pct"/>
          </w:tcPr>
          <w:p w:rsidR="00E921C5" w:rsidRPr="00D635A6" w:rsidRDefault="00E921C5" w:rsidP="00FB0213">
            <w:pPr>
              <w:pStyle w:val="Tabletext"/>
              <w:keepNext/>
              <w:keepLines/>
              <w:rPr>
                <w:sz w:val="20"/>
                <w:szCs w:val="18"/>
              </w:rPr>
            </w:pPr>
          </w:p>
        </w:tc>
        <w:tc>
          <w:tcPr>
            <w:tcW w:w="481" w:type="pct"/>
          </w:tcPr>
          <w:p w:rsidR="00E921C5" w:rsidRPr="00D635A6" w:rsidRDefault="00E921C5" w:rsidP="00FB0213">
            <w:pPr>
              <w:pStyle w:val="Tabletext"/>
              <w:keepNext/>
              <w:keepLines/>
              <w:rPr>
                <w:sz w:val="20"/>
                <w:szCs w:val="18"/>
              </w:rPr>
            </w:pPr>
          </w:p>
        </w:tc>
      </w:tr>
    </w:tbl>
    <w:p w:rsidR="00E921C5" w:rsidRPr="00D635A6" w:rsidRDefault="00E921C5" w:rsidP="00E921C5">
      <w:pPr>
        <w:spacing w:before="0"/>
        <w:rPr>
          <w:rFonts w:asciiTheme="minorHAnsi" w:hAnsiTheme="minorHAnsi"/>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209"/>
        <w:gridCol w:w="1418"/>
        <w:gridCol w:w="1417"/>
        <w:gridCol w:w="1276"/>
        <w:gridCol w:w="1276"/>
      </w:tblGrid>
      <w:tr w:rsidR="00E921C5" w:rsidRPr="00D635A6" w:rsidTr="00FC2C2D">
        <w:tc>
          <w:tcPr>
            <w:tcW w:w="9209" w:type="dxa"/>
            <w:shd w:val="clear" w:color="auto" w:fill="4F81BD" w:themeFill="accent1"/>
          </w:tcPr>
          <w:p w:rsidR="00E921C5" w:rsidRPr="00D635A6" w:rsidRDefault="00E921C5" w:rsidP="00FC2C2D">
            <w:pPr>
              <w:pStyle w:val="Tablehead"/>
              <w:jc w:val="left"/>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Produit</w:t>
            </w:r>
          </w:p>
        </w:tc>
        <w:tc>
          <w:tcPr>
            <w:tcW w:w="5387" w:type="dxa"/>
            <w:gridSpan w:val="4"/>
            <w:shd w:val="clear" w:color="auto" w:fill="4F81BD" w:themeFill="accent1"/>
          </w:tcPr>
          <w:p w:rsidR="00E921C5" w:rsidRPr="00D635A6" w:rsidRDefault="00E921C5" w:rsidP="00FC2C2D">
            <w:pPr>
              <w:pStyle w:val="Tablehead"/>
              <w:rPr>
                <w:rFonts w:asciiTheme="minorHAnsi" w:hAnsiTheme="minorHAnsi" w:cs="Times New Roman Bold"/>
                <w:color w:val="FFFFFF" w:themeColor="background1"/>
                <w:sz w:val="20"/>
              </w:rPr>
            </w:pPr>
            <w:r w:rsidRPr="00D635A6">
              <w:rPr>
                <w:rFonts w:asciiTheme="minorHAnsi" w:hAnsiTheme="minorHAnsi" w:cs="Times New Roman Bold"/>
                <w:color w:val="FFFFFF" w:themeColor="background1"/>
                <w:sz w:val="20"/>
              </w:rPr>
              <w:t>Ressources financières</w:t>
            </w:r>
            <w:r w:rsidRPr="00D635A6">
              <w:rPr>
                <w:rStyle w:val="FootnoteReference"/>
                <w:rFonts w:asciiTheme="minorHAnsi" w:hAnsiTheme="minorHAnsi" w:cs="Times New Roman Bold"/>
                <w:color w:val="FFFFFF" w:themeColor="background1"/>
                <w:sz w:val="20"/>
              </w:rPr>
              <w:footnoteReference w:id="6"/>
            </w:r>
            <w:r w:rsidRPr="00D635A6">
              <w:rPr>
                <w:rFonts w:asciiTheme="minorHAnsi" w:hAnsiTheme="minorHAnsi" w:cs="Times New Roman Bold"/>
                <w:color w:val="FFFFFF" w:themeColor="background1"/>
                <w:sz w:val="20"/>
              </w:rPr>
              <w:t xml:space="preserve"> </w:t>
            </w:r>
            <w:r w:rsidRPr="00D635A6">
              <w:rPr>
                <w:rFonts w:asciiTheme="minorHAnsi" w:hAnsiTheme="minorHAnsi" w:cs="Times New Roman Bold"/>
                <w:bCs/>
                <w:color w:val="FFFFFF" w:themeColor="background1"/>
                <w:sz w:val="20"/>
              </w:rPr>
              <w:t>(en milliers CHF)</w:t>
            </w:r>
          </w:p>
        </w:tc>
      </w:tr>
      <w:tr w:rsidR="00E921C5" w:rsidRPr="00D635A6" w:rsidTr="00FC2C2D">
        <w:tc>
          <w:tcPr>
            <w:tcW w:w="9209" w:type="dxa"/>
          </w:tcPr>
          <w:p w:rsidR="00E921C5" w:rsidRPr="00D635A6" w:rsidRDefault="00E921C5" w:rsidP="00FC2C2D">
            <w:pPr>
              <w:spacing w:before="60" w:after="60"/>
              <w:rPr>
                <w:rFonts w:asciiTheme="minorHAnsi" w:hAnsiTheme="minorHAnsi"/>
                <w:sz w:val="20"/>
              </w:rPr>
            </w:pPr>
          </w:p>
        </w:tc>
        <w:tc>
          <w:tcPr>
            <w:tcW w:w="1418"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2018</w:t>
            </w:r>
          </w:p>
        </w:tc>
        <w:tc>
          <w:tcPr>
            <w:tcW w:w="1417"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2019</w:t>
            </w:r>
          </w:p>
        </w:tc>
        <w:tc>
          <w:tcPr>
            <w:tcW w:w="1276"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2020</w:t>
            </w:r>
          </w:p>
        </w:tc>
        <w:tc>
          <w:tcPr>
            <w:tcW w:w="1276" w:type="dxa"/>
          </w:tcPr>
          <w:p w:rsidR="00E921C5" w:rsidRPr="00D635A6" w:rsidRDefault="00E921C5" w:rsidP="00FB0213">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eastAsia="SimSun" w:hAnsiTheme="minorHAnsi"/>
                <w:b/>
                <w:bCs/>
                <w:color w:val="5B9BD5"/>
                <w:sz w:val="20"/>
                <w:lang w:eastAsia="zh-CN"/>
              </w:rPr>
            </w:pPr>
            <w:r w:rsidRPr="00D635A6">
              <w:rPr>
                <w:rFonts w:asciiTheme="minorHAnsi" w:eastAsia="SimSun" w:hAnsiTheme="minorHAnsi"/>
                <w:b/>
                <w:bCs/>
                <w:color w:val="5B9BD5"/>
                <w:sz w:val="20"/>
                <w:lang w:eastAsia="zh-CN"/>
              </w:rPr>
              <w:t>2021</w:t>
            </w:r>
          </w:p>
        </w:tc>
      </w:tr>
      <w:tr w:rsidR="00E921C5" w:rsidRPr="00D635A6" w:rsidTr="00FC2C2D">
        <w:tc>
          <w:tcPr>
            <w:tcW w:w="9209" w:type="dxa"/>
            <w:vAlign w:val="center"/>
          </w:tcPr>
          <w:p w:rsidR="00E921C5" w:rsidRPr="00D635A6" w:rsidRDefault="00E921C5" w:rsidP="00FB0213">
            <w:pPr>
              <w:pStyle w:val="Tabletext"/>
              <w:rPr>
                <w:b/>
                <w:bCs/>
                <w:color w:val="5B9BD5"/>
                <w:sz w:val="20"/>
                <w:szCs w:val="18"/>
              </w:rPr>
            </w:pPr>
            <w:r w:rsidRPr="00D635A6">
              <w:rPr>
                <w:b/>
                <w:bCs/>
                <w:color w:val="5B9BD5"/>
                <w:sz w:val="20"/>
                <w:szCs w:val="18"/>
              </w:rPr>
              <w:t>T.5-1</w:t>
            </w:r>
            <w:r w:rsidRPr="00D635A6">
              <w:rPr>
                <w:color w:val="5B9BD5"/>
                <w:sz w:val="20"/>
                <w:szCs w:val="18"/>
              </w:rPr>
              <w:t xml:space="preserve"> </w:t>
            </w:r>
            <w:r w:rsidRPr="00D635A6">
              <w:rPr>
                <w:sz w:val="20"/>
                <w:szCs w:val="18"/>
              </w:rPr>
              <w:t>Mémorandums d'accord et accords de collaboration</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141</w:t>
            </w:r>
          </w:p>
        </w:tc>
        <w:tc>
          <w:tcPr>
            <w:tcW w:w="1417"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141</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152</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152</w:t>
            </w:r>
          </w:p>
        </w:tc>
      </w:tr>
      <w:tr w:rsidR="00E921C5" w:rsidRPr="00D635A6" w:rsidTr="00FC2C2D">
        <w:tc>
          <w:tcPr>
            <w:tcW w:w="9209" w:type="dxa"/>
            <w:vAlign w:val="center"/>
          </w:tcPr>
          <w:p w:rsidR="00E921C5" w:rsidRPr="00D635A6" w:rsidRDefault="00E921C5" w:rsidP="00FB0213">
            <w:pPr>
              <w:pStyle w:val="Tabletext"/>
              <w:rPr>
                <w:b/>
                <w:bCs/>
                <w:color w:val="5B9BD5"/>
                <w:sz w:val="20"/>
                <w:szCs w:val="18"/>
              </w:rPr>
            </w:pPr>
            <w:r w:rsidRPr="00D635A6">
              <w:rPr>
                <w:b/>
                <w:bCs/>
                <w:color w:val="5B9BD5"/>
                <w:sz w:val="20"/>
                <w:szCs w:val="18"/>
              </w:rPr>
              <w:t>T.5-2</w:t>
            </w:r>
            <w:r w:rsidRPr="00D635A6">
              <w:rPr>
                <w:color w:val="5B9BD5"/>
                <w:sz w:val="20"/>
                <w:szCs w:val="18"/>
              </w:rPr>
              <w:t xml:space="preserve"> </w:t>
            </w:r>
            <w:r w:rsidRPr="00D635A6">
              <w:rPr>
                <w:sz w:val="20"/>
                <w:szCs w:val="18"/>
              </w:rPr>
              <w:t>Habilitations conformément aux recommandations UIT-T A.4, A.5 et A.6</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48</w:t>
            </w:r>
          </w:p>
        </w:tc>
        <w:tc>
          <w:tcPr>
            <w:tcW w:w="1417"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48</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55</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55</w:t>
            </w:r>
          </w:p>
        </w:tc>
      </w:tr>
      <w:tr w:rsidR="00E921C5" w:rsidRPr="00D635A6" w:rsidTr="00FC2C2D">
        <w:tc>
          <w:tcPr>
            <w:tcW w:w="9209" w:type="dxa"/>
            <w:vAlign w:val="center"/>
          </w:tcPr>
          <w:p w:rsidR="00E921C5" w:rsidRPr="00D635A6" w:rsidRDefault="00E921C5" w:rsidP="00FB0213">
            <w:pPr>
              <w:pStyle w:val="Tabletext"/>
              <w:rPr>
                <w:b/>
                <w:bCs/>
                <w:color w:val="5B9BD5"/>
                <w:sz w:val="20"/>
                <w:szCs w:val="18"/>
              </w:rPr>
            </w:pPr>
            <w:r w:rsidRPr="00D635A6">
              <w:rPr>
                <w:b/>
                <w:bCs/>
                <w:color w:val="5B9BD5"/>
                <w:sz w:val="20"/>
                <w:szCs w:val="18"/>
              </w:rPr>
              <w:t>T.5-3</w:t>
            </w:r>
            <w:r w:rsidRPr="00D635A6">
              <w:rPr>
                <w:color w:val="5B9BD5"/>
                <w:sz w:val="20"/>
                <w:szCs w:val="18"/>
              </w:rPr>
              <w:t xml:space="preserve"> </w:t>
            </w:r>
            <w:r w:rsidRPr="00D635A6">
              <w:rPr>
                <w:sz w:val="20"/>
                <w:szCs w:val="18"/>
              </w:rPr>
              <w:t>Ateliers ou réunions organisés conjointement</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623</w:t>
            </w:r>
          </w:p>
        </w:tc>
        <w:tc>
          <w:tcPr>
            <w:tcW w:w="1417"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621</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700</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701</w:t>
            </w:r>
          </w:p>
        </w:tc>
      </w:tr>
      <w:tr w:rsidR="00E921C5" w:rsidRPr="00D635A6" w:rsidTr="00FC2C2D">
        <w:tc>
          <w:tcPr>
            <w:tcW w:w="9209" w:type="dxa"/>
            <w:vAlign w:val="center"/>
          </w:tcPr>
          <w:p w:rsidR="00E921C5" w:rsidRPr="00D635A6" w:rsidRDefault="00E921C5" w:rsidP="00FB0213">
            <w:pPr>
              <w:pStyle w:val="Tabletext"/>
              <w:rPr>
                <w:b/>
                <w:bCs/>
                <w:color w:val="5B9BD5"/>
                <w:sz w:val="20"/>
                <w:szCs w:val="18"/>
              </w:rPr>
            </w:pPr>
            <w:r w:rsidRPr="00D635A6">
              <w:rPr>
                <w:sz w:val="20"/>
                <w:szCs w:val="18"/>
              </w:rPr>
              <w:t>Imputation des coûts à la Conférence de plénipotentiaires et aux activités du Conseil</w:t>
            </w:r>
            <w:r w:rsidRPr="00D635A6">
              <w:rPr>
                <w:rFonts w:eastAsia="Calibri" w:cs="Arial"/>
                <w:sz w:val="20"/>
                <w:szCs w:val="18"/>
              </w:rPr>
              <w:t xml:space="preserve"> (</w:t>
            </w:r>
            <w:r w:rsidRPr="00D635A6">
              <w:rPr>
                <w:rFonts w:eastAsia="Calibri" w:cs="Arial"/>
                <w:b/>
                <w:bCs/>
                <w:color w:val="4F81BD" w:themeColor="accent1"/>
                <w:sz w:val="20"/>
                <w:szCs w:val="18"/>
              </w:rPr>
              <w:t>PP</w:t>
            </w:r>
            <w:r w:rsidRPr="00D635A6">
              <w:rPr>
                <w:rFonts w:eastAsia="Calibri" w:cs="Arial"/>
                <w:sz w:val="20"/>
                <w:szCs w:val="18"/>
              </w:rPr>
              <w:t xml:space="preserve">, </w:t>
            </w:r>
            <w:r w:rsidRPr="00D635A6">
              <w:rPr>
                <w:rFonts w:eastAsia="Calibri" w:cs="Arial"/>
                <w:b/>
                <w:bCs/>
                <w:color w:val="4F81BD" w:themeColor="accent1"/>
                <w:sz w:val="20"/>
                <w:szCs w:val="18"/>
              </w:rPr>
              <w:t>Conseil/GTC)</w:t>
            </w:r>
          </w:p>
        </w:tc>
        <w:tc>
          <w:tcPr>
            <w:tcW w:w="1418"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48</w:t>
            </w:r>
          </w:p>
        </w:tc>
        <w:tc>
          <w:tcPr>
            <w:tcW w:w="1417" w:type="dxa"/>
            <w:tcMar>
              <w:right w:w="284" w:type="dxa"/>
            </w:tcMar>
          </w:tcPr>
          <w:p w:rsidR="00E921C5" w:rsidRPr="00D635A6" w:rsidRDefault="00E921C5" w:rsidP="00FB0213">
            <w:pPr>
              <w:pStyle w:val="Tabletext"/>
              <w:jc w:val="center"/>
              <w:rPr>
                <w:rFonts w:eastAsia="SimSun"/>
                <w:sz w:val="20"/>
                <w:szCs w:val="18"/>
                <w:lang w:eastAsia="zh-CN"/>
              </w:rPr>
            </w:pPr>
            <w:r w:rsidRPr="00D635A6">
              <w:rPr>
                <w:rFonts w:eastAsia="SimSun"/>
                <w:sz w:val="20"/>
                <w:szCs w:val="18"/>
                <w:lang w:eastAsia="zh-CN"/>
              </w:rPr>
              <w:t>24</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28</w:t>
            </w:r>
          </w:p>
        </w:tc>
        <w:tc>
          <w:tcPr>
            <w:tcW w:w="1276" w:type="dxa"/>
          </w:tcPr>
          <w:p w:rsidR="00E921C5" w:rsidRPr="00D635A6" w:rsidRDefault="00E921C5" w:rsidP="00FB0213">
            <w:pPr>
              <w:pStyle w:val="Tabletext"/>
              <w:jc w:val="center"/>
              <w:rPr>
                <w:rFonts w:eastAsia="SimSun"/>
                <w:sz w:val="20"/>
                <w:szCs w:val="18"/>
                <w:highlight w:val="yellow"/>
                <w:lang w:eastAsia="zh-CN"/>
              </w:rPr>
            </w:pPr>
            <w:r w:rsidRPr="00D635A6">
              <w:rPr>
                <w:rFonts w:eastAsia="SimSun"/>
                <w:sz w:val="20"/>
                <w:szCs w:val="18"/>
                <w:lang w:eastAsia="zh-CN"/>
              </w:rPr>
              <w:t>32</w:t>
            </w:r>
          </w:p>
        </w:tc>
      </w:tr>
      <w:tr w:rsidR="00E921C5" w:rsidRPr="00D635A6" w:rsidTr="00FC2C2D">
        <w:tc>
          <w:tcPr>
            <w:tcW w:w="9209" w:type="dxa"/>
            <w:vAlign w:val="center"/>
          </w:tcPr>
          <w:p w:rsidR="00E921C5" w:rsidRPr="00D635A6" w:rsidRDefault="00E921C5" w:rsidP="00FB0213">
            <w:pPr>
              <w:pStyle w:val="Tabletext"/>
              <w:rPr>
                <w:b/>
                <w:bCs/>
                <w:color w:val="5B9BD5"/>
                <w:sz w:val="20"/>
                <w:szCs w:val="18"/>
              </w:rPr>
            </w:pPr>
            <w:r w:rsidRPr="00D635A6">
              <w:rPr>
                <w:b/>
                <w:bCs/>
                <w:color w:val="5B9BD5"/>
                <w:sz w:val="20"/>
                <w:szCs w:val="18"/>
              </w:rPr>
              <w:t>Total pour l'objectif T.5</w:t>
            </w:r>
          </w:p>
        </w:tc>
        <w:tc>
          <w:tcPr>
            <w:tcW w:w="1418" w:type="dxa"/>
            <w:tcMar>
              <w:right w:w="284" w:type="dxa"/>
            </w:tcMar>
          </w:tcPr>
          <w:p w:rsidR="00E921C5" w:rsidRPr="00D635A6" w:rsidRDefault="00E921C5" w:rsidP="00FB0213">
            <w:pPr>
              <w:pStyle w:val="Tabletext"/>
              <w:jc w:val="center"/>
              <w:rPr>
                <w:rFonts w:eastAsia="SimSun"/>
                <w:b/>
                <w:bCs/>
                <w:sz w:val="20"/>
                <w:szCs w:val="18"/>
                <w:lang w:eastAsia="zh-CN"/>
              </w:rPr>
            </w:pPr>
            <w:r w:rsidRPr="00D635A6">
              <w:rPr>
                <w:rFonts w:eastAsia="SimSun"/>
                <w:b/>
                <w:bCs/>
                <w:sz w:val="20"/>
                <w:szCs w:val="18"/>
                <w:lang w:eastAsia="zh-CN"/>
              </w:rPr>
              <w:t>861</w:t>
            </w:r>
          </w:p>
        </w:tc>
        <w:tc>
          <w:tcPr>
            <w:tcW w:w="1417" w:type="dxa"/>
            <w:tcMar>
              <w:right w:w="284" w:type="dxa"/>
            </w:tcMar>
          </w:tcPr>
          <w:p w:rsidR="00E921C5" w:rsidRPr="00D635A6" w:rsidRDefault="00E921C5" w:rsidP="00FB0213">
            <w:pPr>
              <w:pStyle w:val="Tabletext"/>
              <w:jc w:val="center"/>
              <w:rPr>
                <w:rFonts w:eastAsia="SimSun"/>
                <w:b/>
                <w:bCs/>
                <w:sz w:val="20"/>
                <w:szCs w:val="18"/>
                <w:lang w:eastAsia="zh-CN"/>
              </w:rPr>
            </w:pPr>
            <w:r w:rsidRPr="00D635A6">
              <w:rPr>
                <w:rFonts w:eastAsia="SimSun"/>
                <w:b/>
                <w:bCs/>
                <w:sz w:val="20"/>
                <w:szCs w:val="18"/>
                <w:lang w:eastAsia="zh-CN"/>
              </w:rPr>
              <w:t>834</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934</w:t>
            </w:r>
          </w:p>
        </w:tc>
        <w:tc>
          <w:tcPr>
            <w:tcW w:w="1276" w:type="dxa"/>
          </w:tcPr>
          <w:p w:rsidR="00E921C5" w:rsidRPr="00D635A6" w:rsidRDefault="00E921C5" w:rsidP="00FB0213">
            <w:pPr>
              <w:pStyle w:val="Tabletext"/>
              <w:jc w:val="center"/>
              <w:rPr>
                <w:rFonts w:eastAsia="SimSun"/>
                <w:b/>
                <w:bCs/>
                <w:sz w:val="20"/>
                <w:szCs w:val="18"/>
                <w:highlight w:val="yellow"/>
                <w:lang w:eastAsia="zh-CN"/>
              </w:rPr>
            </w:pPr>
            <w:r w:rsidRPr="00D635A6">
              <w:rPr>
                <w:rFonts w:eastAsia="SimSun"/>
                <w:b/>
                <w:bCs/>
                <w:sz w:val="20"/>
                <w:szCs w:val="18"/>
                <w:lang w:eastAsia="zh-CN"/>
              </w:rPr>
              <w:t>940</w:t>
            </w:r>
          </w:p>
        </w:tc>
      </w:tr>
    </w:tbl>
    <w:p w:rsidR="00E921C5" w:rsidRPr="00D635A6" w:rsidRDefault="00E921C5" w:rsidP="00FB0213">
      <w:pPr>
        <w:pStyle w:val="Heading1"/>
        <w:rPr>
          <w:rFonts w:eastAsiaTheme="majorEastAsia"/>
        </w:rPr>
      </w:pPr>
      <w:r w:rsidRPr="00D635A6">
        <w:rPr>
          <w:rFonts w:eastAsiaTheme="majorEastAsia"/>
        </w:rPr>
        <w:lastRenderedPageBreak/>
        <w:t>6</w:t>
      </w:r>
      <w:r w:rsidRPr="00D635A6">
        <w:rPr>
          <w:rFonts w:eastAsiaTheme="majorEastAsia"/>
        </w:rPr>
        <w:tab/>
        <w:t>Mise en oeuvre du Plan opérationnel</w:t>
      </w:r>
    </w:p>
    <w:p w:rsidR="00E921C5" w:rsidRPr="00D635A6" w:rsidRDefault="00E921C5" w:rsidP="00FB0213">
      <w:pPr>
        <w:keepNext/>
        <w:keepLines/>
        <w:rPr>
          <w:rFonts w:asciiTheme="minorHAnsi" w:hAnsiTheme="minorHAnsi"/>
        </w:rPr>
      </w:pPr>
      <w:r w:rsidRPr="00D635A6">
        <w:rPr>
          <w:rFonts w:asciiTheme="minorHAnsi" w:hAnsiTheme="minorHAnsi"/>
        </w:rPr>
        <w:t xml:space="preserve">Les produits définis dans le présent Plan opérationnel seront fournis par les Départements concernés du Bureau de la normalisation des télécommunications, dans le cadre de la mise en oeuvre des activités des programmes de travail interne du </w:t>
      </w:r>
      <w:r w:rsidR="00265525">
        <w:rPr>
          <w:rFonts w:asciiTheme="minorHAnsi" w:hAnsiTheme="minorHAnsi"/>
        </w:rPr>
        <w:t>Bureau et de chaque département; les Bureaux régionaux participeront à la mise en oeuvre de ce Plan opérationnel.</w:t>
      </w:r>
      <w:r w:rsidRPr="00D635A6">
        <w:rPr>
          <w:rFonts w:asciiTheme="minorHAnsi" w:hAnsiTheme="minorHAnsi"/>
        </w:rPr>
        <w:t xml:space="preserve"> Les services d'appui sont fournis par le Bureau de la normalisation des télécommunications et le Secrétariat général, selon des accords de niveau de service (pour la fourniture des services internes) préalablement définis et convenus. Les services d'appui fournis par le Secrétariat général sont présentés dans le Plan opérationnel du Secrétariat général. La fourniture des produits et des services d'appui est planifiée, suivie et évaluée par la direction de l'UIT, l'objectif étant d'établir un lien entre les évaluations du comportement professionnel des fonctionnaires et les objectifs du Plan stratégique de l'UIT. Le rapport annuel sur la mise en oeuvre du Plan stratégique rendra compte des progrès accomplis en vue d'atteindre ces objectifs ainsi que les buts généraux. En ce qui concerne la gestion des risques, en plus des risques opérationnels inclus dans le présent Plan opérationnel, qui donneront lieu à un examen périodique par la haute direction, chaque département identifie, évalue et gère les risques associés à la fourniture de ses produits et services d'appui dans le cadre d'une approche de gestion des risques multi-niveaux.</w:t>
      </w:r>
    </w:p>
    <w:p w:rsidR="00FB0213" w:rsidRPr="00D635A6" w:rsidRDefault="00FB02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D635A6">
        <w:rPr>
          <w:rFonts w:asciiTheme="minorHAnsi" w:hAnsiTheme="minorHAnsi"/>
        </w:rPr>
        <w:br w:type="page"/>
      </w:r>
    </w:p>
    <w:p w:rsidR="00E921C5" w:rsidRPr="00D635A6" w:rsidRDefault="00E921C5" w:rsidP="00FB0213">
      <w:pPr>
        <w:pStyle w:val="AnnexNo"/>
        <w:rPr>
          <w:rFonts w:eastAsiaTheme="majorEastAsia"/>
        </w:rPr>
      </w:pPr>
      <w:r w:rsidRPr="00D635A6">
        <w:rPr>
          <w:rFonts w:eastAsiaTheme="majorEastAsia"/>
        </w:rPr>
        <w:lastRenderedPageBreak/>
        <w:t>Annexe 1: Ventilation des ressources ente les objectifs de l'UIT-T et les buts stratégiques de l'UIT-T</w:t>
      </w:r>
    </w:p>
    <w:tbl>
      <w:tblPr>
        <w:tblW w:w="14589" w:type="dxa"/>
        <w:jc w:val="center"/>
        <w:tblLayout w:type="fixed"/>
        <w:tblLook w:val="04A0" w:firstRow="1" w:lastRow="0" w:firstColumn="1" w:lastColumn="0" w:noHBand="0" w:noVBand="1"/>
      </w:tblPr>
      <w:tblGrid>
        <w:gridCol w:w="426"/>
        <w:gridCol w:w="1559"/>
        <w:gridCol w:w="850"/>
        <w:gridCol w:w="989"/>
        <w:gridCol w:w="980"/>
        <w:gridCol w:w="992"/>
        <w:gridCol w:w="284"/>
        <w:gridCol w:w="1150"/>
        <w:gridCol w:w="992"/>
        <w:gridCol w:w="992"/>
        <w:gridCol w:w="1009"/>
        <w:gridCol w:w="283"/>
        <w:gridCol w:w="999"/>
        <w:gridCol w:w="870"/>
        <w:gridCol w:w="990"/>
        <w:gridCol w:w="1224"/>
      </w:tblGrid>
      <w:tr w:rsidR="00E921C5" w:rsidRPr="00D635A6" w:rsidTr="00133802">
        <w:trPr>
          <w:trHeight w:val="288"/>
          <w:jc w:val="center"/>
        </w:trPr>
        <w:tc>
          <w:tcPr>
            <w:tcW w:w="426" w:type="dxa"/>
            <w:tcBorders>
              <w:top w:val="nil"/>
              <w:left w:val="nil"/>
              <w:bottom w:val="nil"/>
              <w:right w:val="nil"/>
            </w:tcBorders>
            <w:shd w:val="clear" w:color="auto" w:fill="auto"/>
            <w:noWrap/>
            <w:vAlign w:val="bottom"/>
            <w:hideMark/>
          </w:tcPr>
          <w:p w:rsidR="00E921C5" w:rsidRPr="00D635A6" w:rsidRDefault="00E921C5" w:rsidP="00FC2C2D">
            <w:pPr>
              <w:spacing w:before="60" w:after="60"/>
              <w:rPr>
                <w:rFonts w:asciiTheme="minorHAnsi" w:hAnsiTheme="minorHAnsi"/>
                <w:sz w:val="18"/>
                <w:szCs w:val="18"/>
                <w:lang w:eastAsia="zh-CN"/>
              </w:rPr>
            </w:pPr>
          </w:p>
        </w:tc>
        <w:tc>
          <w:tcPr>
            <w:tcW w:w="155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0" w:type="dxa"/>
            <w:tcBorders>
              <w:top w:val="nil"/>
              <w:left w:val="nil"/>
              <w:bottom w:val="nil"/>
              <w:right w:val="nil"/>
            </w:tcBorders>
            <w:shd w:val="clear" w:color="000000" w:fill="FFFFFF"/>
          </w:tcPr>
          <w:p w:rsidR="00E921C5" w:rsidRPr="00D635A6" w:rsidRDefault="00E921C5" w:rsidP="00FC2C2D">
            <w:pPr>
              <w:spacing w:before="60" w:after="60"/>
              <w:rPr>
                <w:rFonts w:asciiTheme="minorHAnsi" w:hAnsiTheme="minorHAnsi"/>
                <w:color w:val="000000"/>
                <w:sz w:val="18"/>
                <w:szCs w:val="18"/>
                <w:lang w:eastAsia="zh-CN"/>
              </w:rPr>
            </w:pPr>
          </w:p>
        </w:tc>
        <w:tc>
          <w:tcPr>
            <w:tcW w:w="992" w:type="dxa"/>
            <w:tcBorders>
              <w:top w:val="nil"/>
              <w:left w:val="nil"/>
              <w:bottom w:val="single" w:sz="4" w:space="0" w:color="auto"/>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7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224" w:type="dxa"/>
            <w:tcBorders>
              <w:top w:val="nil"/>
              <w:left w:val="nil"/>
              <w:bottom w:val="nil"/>
              <w:right w:val="nil"/>
            </w:tcBorders>
            <w:shd w:val="clear" w:color="000000" w:fill="FFFFFF"/>
            <w:noWrap/>
            <w:tcMar>
              <w:left w:w="0" w:type="dxa"/>
              <w:right w:w="0" w:type="dxa"/>
            </w:tcMar>
            <w:vAlign w:val="bottom"/>
            <w:hideMark/>
          </w:tcPr>
          <w:p w:rsidR="00E921C5" w:rsidRPr="00D635A6" w:rsidRDefault="00E921C5" w:rsidP="00FC2C2D">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milliers CHF</w:t>
            </w:r>
          </w:p>
        </w:tc>
      </w:tr>
      <w:tr w:rsidR="00E921C5" w:rsidRPr="00D635A6" w:rsidTr="00133802">
        <w:trPr>
          <w:trHeight w:val="288"/>
          <w:jc w:val="center"/>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Objectifs intersectoriels de l'UIT pour 2018</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total</w:t>
            </w:r>
          </w:p>
        </w:tc>
        <w:tc>
          <w:tcPr>
            <w:tcW w:w="9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du TSB/coût direct</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réimputés à partir du SG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imputé depuis le BR/BDT</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val="restart"/>
            <w:tcBorders>
              <w:top w:val="single" w:sz="4" w:space="0" w:color="auto"/>
              <w:left w:val="single" w:sz="4" w:space="0" w:color="auto"/>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009" w:type="dxa"/>
            <w:vMerge w:val="restart"/>
            <w:tcBorders>
              <w:top w:val="single" w:sz="4" w:space="0" w:color="auto"/>
              <w:left w:val="single" w:sz="4" w:space="0" w:color="auto"/>
              <w:right w:val="single" w:sz="4" w:space="0" w:color="auto"/>
            </w:tcBorders>
            <w:shd w:val="clear" w:color="000000" w:fill="BDD7EE"/>
            <w:noWrap/>
            <w:tcMar>
              <w:left w:w="0" w:type="dxa"/>
              <w:right w:w="0" w:type="dxa"/>
            </w:tcMar>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vMerge w:val="restart"/>
            <w:tcBorders>
              <w:top w:val="single" w:sz="4" w:space="0" w:color="auto"/>
              <w:left w:val="double" w:sz="6" w:space="0" w:color="auto"/>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But 1</w:t>
            </w:r>
          </w:p>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Croissance</w:t>
            </w:r>
          </w:p>
        </w:tc>
        <w:tc>
          <w:tcPr>
            <w:tcW w:w="870" w:type="dxa"/>
            <w:vMerge w:val="restart"/>
            <w:tcBorders>
              <w:top w:val="single" w:sz="4" w:space="0" w:color="auto"/>
              <w:left w:val="nil"/>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But 2</w:t>
            </w:r>
          </w:p>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 xml:space="preserve">Inclusion </w:t>
            </w:r>
          </w:p>
        </w:tc>
        <w:tc>
          <w:tcPr>
            <w:tcW w:w="990" w:type="dxa"/>
            <w:vMerge w:val="restart"/>
            <w:tcBorders>
              <w:top w:val="single" w:sz="4" w:space="0" w:color="auto"/>
              <w:left w:val="nil"/>
              <w:right w:val="nil"/>
            </w:tcBorders>
            <w:shd w:val="clear" w:color="000000" w:fill="BDD7EE"/>
            <w:noWrap/>
            <w:vAlign w:val="center"/>
            <w:hideMark/>
          </w:tcPr>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But 3</w:t>
            </w:r>
          </w:p>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Durabilité</w:t>
            </w:r>
          </w:p>
        </w:tc>
        <w:tc>
          <w:tcPr>
            <w:tcW w:w="1224" w:type="dxa"/>
            <w:vMerge w:val="restart"/>
            <w:tcBorders>
              <w:top w:val="single" w:sz="4" w:space="0" w:color="auto"/>
              <w:left w:val="single" w:sz="4" w:space="0" w:color="auto"/>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But 4</w:t>
            </w:r>
          </w:p>
          <w:p w:rsidR="00E921C5" w:rsidRPr="00D635A6" w:rsidRDefault="00E921C5" w:rsidP="00FC2C2D">
            <w:pPr>
              <w:pStyle w:val="Tablehead"/>
              <w:rPr>
                <w:rFonts w:asciiTheme="minorHAnsi" w:hAnsiTheme="minorHAnsi"/>
                <w:sz w:val="17"/>
                <w:szCs w:val="17"/>
                <w:lang w:eastAsia="zh-CN"/>
              </w:rPr>
            </w:pPr>
            <w:r w:rsidRPr="00D635A6">
              <w:rPr>
                <w:rFonts w:asciiTheme="minorHAnsi" w:hAnsiTheme="minorHAnsi"/>
                <w:sz w:val="17"/>
                <w:szCs w:val="17"/>
                <w:lang w:eastAsia="zh-CN"/>
              </w:rPr>
              <w:t>Innovation et partenariats</w:t>
            </w:r>
          </w:p>
        </w:tc>
      </w:tr>
      <w:tr w:rsidR="00E921C5" w:rsidRPr="00D635A6" w:rsidTr="00133802">
        <w:trPr>
          <w:trHeight w:val="288"/>
          <w:jc w:val="center"/>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tcPr>
          <w:p w:rsidR="00E921C5" w:rsidRPr="00D635A6" w:rsidRDefault="00E921C5" w:rsidP="00FC2C2D">
            <w:pPr>
              <w:spacing w:before="60" w:after="60"/>
              <w:rPr>
                <w:rFonts w:asciiTheme="minorHAnsi" w:hAnsiTheme="minorHAnsi"/>
                <w:b/>
                <w:bCs/>
                <w:color w:val="000000"/>
                <w:sz w:val="18"/>
                <w:szCs w:val="18"/>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tcBorders>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2" w:type="dxa"/>
            <w:vMerge/>
            <w:tcBorders>
              <w:left w:val="nil"/>
              <w:bottom w:val="nil"/>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2" w:type="dxa"/>
            <w:vMerge/>
            <w:tcBorders>
              <w:left w:val="nil"/>
              <w:bottom w:val="nil"/>
              <w:right w:val="nil"/>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1009" w:type="dxa"/>
            <w:vMerge/>
            <w:tcBorders>
              <w:left w:val="single" w:sz="4" w:space="0" w:color="auto"/>
              <w:bottom w:val="nil"/>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vMerge/>
            <w:tcBorders>
              <w:left w:val="double" w:sz="6"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870" w:type="dxa"/>
            <w:vMerge/>
            <w:tcBorders>
              <w:left w:val="nil"/>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0" w:type="dxa"/>
            <w:vMerge/>
            <w:tcBorders>
              <w:left w:val="nil"/>
              <w:bottom w:val="single" w:sz="4" w:space="0" w:color="auto"/>
              <w:right w:val="nil"/>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1224" w:type="dxa"/>
            <w:vMerge/>
            <w:tcBorders>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T1</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 xml:space="preserve">Obj. 1 de l'UIT-T </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13 131</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7 214</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5 913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20%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5 253</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3 939</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1 313</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2 626</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T2</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2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6 523</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3 431</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3 090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0</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6 523</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0</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T3</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3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3 002</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1 513</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1 489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1 501</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901</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300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300</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T4</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4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4 829</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2 609</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2 219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1 449</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2 415</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483</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483</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T5</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5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861</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206</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0</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20%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40%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258</w:t>
            </w:r>
          </w:p>
        </w:tc>
        <w:tc>
          <w:tcPr>
            <w:tcW w:w="87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172</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86</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8"/>
              </w:rPr>
            </w:pPr>
            <w:r w:rsidRPr="00D635A6">
              <w:rPr>
                <w:rFonts w:asciiTheme="minorHAnsi" w:hAnsiTheme="minorHAnsi"/>
                <w:sz w:val="18"/>
                <w:szCs w:val="18"/>
              </w:rPr>
              <w:t>344</w:t>
            </w:r>
          </w:p>
        </w:tc>
      </w:tr>
      <w:tr w:rsidR="00E921C5" w:rsidRPr="00D635A6" w:rsidTr="00133802">
        <w:trPr>
          <w:trHeight w:val="288"/>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Coût total</w:t>
            </w:r>
          </w:p>
        </w:tc>
        <w:tc>
          <w:tcPr>
            <w:tcW w:w="850"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28 347</w:t>
            </w:r>
          </w:p>
        </w:tc>
        <w:tc>
          <w:tcPr>
            <w:tcW w:w="989"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14 973</w:t>
            </w:r>
          </w:p>
        </w:tc>
        <w:tc>
          <w:tcPr>
            <w:tcW w:w="980" w:type="dxa"/>
            <w:tcBorders>
              <w:top w:val="nil"/>
              <w:left w:val="nil"/>
              <w:bottom w:val="single" w:sz="4" w:space="0" w:color="auto"/>
              <w:right w:val="single" w:sz="4" w:space="0" w:color="auto"/>
            </w:tcBorders>
            <w:shd w:val="clear" w:color="000000" w:fill="BDD7EE"/>
            <w:tcMar>
              <w:right w:w="227" w:type="dxa"/>
            </w:tcMar>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13 366</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tcMar>
              <w:right w:w="227" w:type="dxa"/>
            </w:tcMar>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7</w:t>
            </w:r>
          </w:p>
        </w:tc>
        <w:tc>
          <w:tcPr>
            <w:tcW w:w="284" w:type="dxa"/>
            <w:tcBorders>
              <w:top w:val="nil"/>
              <w:left w:val="nil"/>
              <w:bottom w:val="nil"/>
              <w:right w:val="nil"/>
            </w:tcBorders>
            <w:shd w:val="clear" w:color="auto" w:fill="auto"/>
            <w:noWrap/>
            <w:vAlign w:val="bottom"/>
            <w:hideMark/>
          </w:tcPr>
          <w:p w:rsidR="00E921C5" w:rsidRPr="00D635A6" w:rsidRDefault="00E921C5" w:rsidP="00FC2C2D">
            <w:pPr>
              <w:spacing w:before="60" w:after="60"/>
              <w:jc w:val="center"/>
              <w:rPr>
                <w:rFonts w:asciiTheme="minorHAnsi" w:hAnsiTheme="minorHAnsi"/>
                <w:b/>
                <w:bCs/>
                <w:color w:val="000000"/>
                <w:sz w:val="18"/>
                <w:szCs w:val="18"/>
                <w:lang w:eastAsia="zh-CN"/>
              </w:rPr>
            </w:pPr>
          </w:p>
        </w:tc>
        <w:tc>
          <w:tcPr>
            <w:tcW w:w="1150" w:type="dxa"/>
            <w:tcBorders>
              <w:top w:val="nil"/>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auto" w:fill="auto"/>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99" w:type="dxa"/>
            <w:tcBorders>
              <w:top w:val="nil"/>
              <w:left w:val="single" w:sz="4" w:space="0" w:color="auto"/>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8 461</w:t>
            </w:r>
          </w:p>
        </w:tc>
        <w:tc>
          <w:tcPr>
            <w:tcW w:w="870"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13 950</w:t>
            </w:r>
          </w:p>
        </w:tc>
        <w:tc>
          <w:tcPr>
            <w:tcW w:w="990"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2 182</w:t>
            </w:r>
          </w:p>
        </w:tc>
        <w:tc>
          <w:tcPr>
            <w:tcW w:w="1224"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3 754</w:t>
            </w:r>
          </w:p>
        </w:tc>
      </w:tr>
      <w:tr w:rsidR="00E921C5" w:rsidRPr="00D635A6" w:rsidTr="00133802">
        <w:trPr>
          <w:trHeight w:val="288"/>
          <w:jc w:val="center"/>
        </w:trPr>
        <w:tc>
          <w:tcPr>
            <w:tcW w:w="426"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55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0" w:type="dxa"/>
            <w:tcBorders>
              <w:top w:val="nil"/>
              <w:left w:val="nil"/>
              <w:bottom w:val="nil"/>
              <w:right w:val="nil"/>
            </w:tcBorders>
            <w:shd w:val="clear" w:color="000000" w:fill="FFFFFF"/>
          </w:tcPr>
          <w:p w:rsidR="00E921C5" w:rsidRPr="00D635A6" w:rsidRDefault="00E921C5" w:rsidP="00FC2C2D">
            <w:pPr>
              <w:spacing w:before="60" w:after="60"/>
              <w:rPr>
                <w:rFonts w:asciiTheme="minorHAnsi" w:hAnsiTheme="minorHAnsi"/>
                <w:b/>
                <w:bCs/>
                <w:color w:val="000000"/>
                <w:sz w:val="18"/>
                <w:szCs w:val="18"/>
                <w:lang w:eastAsia="zh-CN"/>
              </w:rPr>
            </w:pP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9" w:type="dxa"/>
            <w:tcBorders>
              <w:top w:val="nil"/>
              <w:left w:val="single" w:sz="4" w:space="0" w:color="auto"/>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29,8%</w:t>
            </w:r>
          </w:p>
        </w:tc>
        <w:tc>
          <w:tcPr>
            <w:tcW w:w="870"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49,2%</w:t>
            </w:r>
          </w:p>
        </w:tc>
        <w:tc>
          <w:tcPr>
            <w:tcW w:w="990"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7,7%</w:t>
            </w:r>
          </w:p>
        </w:tc>
        <w:tc>
          <w:tcPr>
            <w:tcW w:w="1224"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8"/>
              </w:rPr>
            </w:pPr>
            <w:r w:rsidRPr="00D635A6">
              <w:rPr>
                <w:rFonts w:asciiTheme="minorHAnsi" w:hAnsiTheme="minorHAnsi"/>
                <w:b/>
                <w:bCs/>
                <w:sz w:val="18"/>
                <w:szCs w:val="18"/>
              </w:rPr>
              <w:t>13,2%</w:t>
            </w:r>
          </w:p>
        </w:tc>
      </w:tr>
    </w:tbl>
    <w:p w:rsidR="00E921C5" w:rsidRPr="00D635A6" w:rsidRDefault="00E921C5" w:rsidP="00E921C5">
      <w:pPr>
        <w:jc w:val="center"/>
        <w:rPr>
          <w:rFonts w:asciiTheme="minorHAnsi" w:hAnsiTheme="minorHAnsi" w:cstheme="majorBidi"/>
          <w:szCs w:val="24"/>
        </w:rPr>
      </w:pPr>
    </w:p>
    <w:tbl>
      <w:tblPr>
        <w:tblW w:w="14586" w:type="dxa"/>
        <w:jc w:val="center"/>
        <w:tblLayout w:type="fixed"/>
        <w:tblLook w:val="04A0" w:firstRow="1" w:lastRow="0" w:firstColumn="1" w:lastColumn="0" w:noHBand="0" w:noVBand="1"/>
      </w:tblPr>
      <w:tblGrid>
        <w:gridCol w:w="426"/>
        <w:gridCol w:w="1559"/>
        <w:gridCol w:w="850"/>
        <w:gridCol w:w="989"/>
        <w:gridCol w:w="980"/>
        <w:gridCol w:w="992"/>
        <w:gridCol w:w="284"/>
        <w:gridCol w:w="1150"/>
        <w:gridCol w:w="992"/>
        <w:gridCol w:w="992"/>
        <w:gridCol w:w="1009"/>
        <w:gridCol w:w="283"/>
        <w:gridCol w:w="979"/>
        <w:gridCol w:w="887"/>
        <w:gridCol w:w="990"/>
        <w:gridCol w:w="1224"/>
      </w:tblGrid>
      <w:tr w:rsidR="00E921C5" w:rsidRPr="00D635A6" w:rsidTr="00133802">
        <w:trPr>
          <w:trHeight w:val="288"/>
          <w:jc w:val="center"/>
        </w:trPr>
        <w:tc>
          <w:tcPr>
            <w:tcW w:w="426" w:type="dxa"/>
            <w:tcBorders>
              <w:top w:val="nil"/>
              <w:left w:val="nil"/>
              <w:bottom w:val="nil"/>
              <w:right w:val="nil"/>
            </w:tcBorders>
            <w:shd w:val="clear" w:color="auto" w:fill="auto"/>
            <w:noWrap/>
            <w:vAlign w:val="bottom"/>
            <w:hideMark/>
          </w:tcPr>
          <w:p w:rsidR="00E921C5" w:rsidRPr="00D635A6" w:rsidRDefault="00E921C5" w:rsidP="00FC2C2D">
            <w:pPr>
              <w:spacing w:before="60" w:after="60"/>
              <w:rPr>
                <w:rFonts w:asciiTheme="minorHAnsi" w:hAnsiTheme="minorHAnsi"/>
                <w:sz w:val="18"/>
                <w:szCs w:val="18"/>
                <w:lang w:eastAsia="zh-CN"/>
              </w:rPr>
            </w:pPr>
          </w:p>
        </w:tc>
        <w:tc>
          <w:tcPr>
            <w:tcW w:w="155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80" w:type="dxa"/>
            <w:tcBorders>
              <w:top w:val="nil"/>
              <w:left w:val="nil"/>
              <w:bottom w:val="nil"/>
              <w:right w:val="nil"/>
            </w:tcBorders>
            <w:shd w:val="clear" w:color="000000" w:fill="FFFFFF"/>
          </w:tcPr>
          <w:p w:rsidR="00E921C5" w:rsidRPr="00D635A6" w:rsidRDefault="00E921C5" w:rsidP="00FC2C2D">
            <w:pPr>
              <w:spacing w:before="60" w:after="60"/>
              <w:rPr>
                <w:rFonts w:asciiTheme="minorHAnsi" w:hAnsiTheme="minorHAnsi"/>
                <w:color w:val="000000"/>
                <w:sz w:val="18"/>
                <w:szCs w:val="18"/>
                <w:lang w:eastAsia="zh-CN"/>
              </w:rPr>
            </w:pPr>
          </w:p>
        </w:tc>
        <w:tc>
          <w:tcPr>
            <w:tcW w:w="992" w:type="dxa"/>
            <w:tcBorders>
              <w:top w:val="nil"/>
              <w:left w:val="nil"/>
              <w:bottom w:val="single" w:sz="4" w:space="0" w:color="auto"/>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87"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9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224" w:type="dxa"/>
            <w:tcBorders>
              <w:top w:val="nil"/>
              <w:left w:val="nil"/>
              <w:bottom w:val="nil"/>
              <w:right w:val="nil"/>
            </w:tcBorders>
            <w:shd w:val="clear" w:color="000000" w:fill="FFFFFF"/>
            <w:noWrap/>
            <w:tcMar>
              <w:left w:w="0" w:type="dxa"/>
              <w:right w:w="0" w:type="dxa"/>
            </w:tcMar>
            <w:vAlign w:val="bottom"/>
            <w:hideMark/>
          </w:tcPr>
          <w:p w:rsidR="00E921C5" w:rsidRPr="00D635A6" w:rsidRDefault="00E921C5" w:rsidP="00FC2C2D">
            <w:pPr>
              <w:spacing w:before="60" w:after="60"/>
              <w:jc w:val="right"/>
              <w:rPr>
                <w:rFonts w:asciiTheme="minorHAnsi" w:hAnsiTheme="minorHAnsi"/>
                <w:color w:val="000000"/>
                <w:sz w:val="18"/>
                <w:szCs w:val="18"/>
                <w:lang w:eastAsia="zh-CN"/>
              </w:rPr>
            </w:pPr>
            <w:r w:rsidRPr="00D635A6">
              <w:rPr>
                <w:rFonts w:asciiTheme="minorHAnsi" w:hAnsiTheme="minorHAnsi"/>
                <w:color w:val="000000"/>
                <w:sz w:val="18"/>
                <w:szCs w:val="18"/>
                <w:lang w:eastAsia="zh-CN"/>
              </w:rPr>
              <w:t>en milliers CHF</w:t>
            </w:r>
          </w:p>
        </w:tc>
      </w:tr>
      <w:tr w:rsidR="00E921C5" w:rsidRPr="00D635A6" w:rsidTr="00133802">
        <w:trPr>
          <w:trHeight w:val="288"/>
          <w:jc w:val="center"/>
        </w:trPr>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Objectifs intersectoriels de l'UIT pour 2019</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total</w:t>
            </w:r>
          </w:p>
        </w:tc>
        <w:tc>
          <w:tcPr>
            <w:tcW w:w="98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du TSB/coût direct</w:t>
            </w:r>
          </w:p>
        </w:tc>
        <w:tc>
          <w:tcPr>
            <w:tcW w:w="980" w:type="dxa"/>
            <w:vMerge w:val="restart"/>
            <w:tcBorders>
              <w:top w:val="single" w:sz="4" w:space="0" w:color="auto"/>
              <w:left w:val="single" w:sz="4" w:space="0" w:color="auto"/>
              <w:right w:val="single" w:sz="4" w:space="0" w:color="auto"/>
            </w:tcBorders>
            <w:shd w:val="clear" w:color="000000" w:fill="BDD7EE"/>
            <w:vAlign w:val="center"/>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réimputés à partir du SG</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Coût imputé depuis le BR/BDT</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val="restart"/>
            <w:tcBorders>
              <w:top w:val="single" w:sz="4" w:space="0" w:color="auto"/>
              <w:left w:val="single" w:sz="4" w:space="0" w:color="auto"/>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992" w:type="dxa"/>
            <w:vMerge w:val="restart"/>
            <w:tcBorders>
              <w:top w:val="single" w:sz="4" w:space="0" w:color="auto"/>
              <w:left w:val="nil"/>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Inclusion</w:t>
            </w:r>
          </w:p>
        </w:tc>
        <w:tc>
          <w:tcPr>
            <w:tcW w:w="992" w:type="dxa"/>
            <w:vMerge w:val="restart"/>
            <w:tcBorders>
              <w:top w:val="single" w:sz="4" w:space="0" w:color="auto"/>
              <w:left w:val="nil"/>
              <w:right w:val="nil"/>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009" w:type="dxa"/>
            <w:vMerge w:val="restart"/>
            <w:tcBorders>
              <w:top w:val="single" w:sz="4" w:space="0" w:color="auto"/>
              <w:left w:val="single" w:sz="4" w:space="0" w:color="auto"/>
              <w:right w:val="single" w:sz="4" w:space="0" w:color="auto"/>
            </w:tcBorders>
            <w:shd w:val="clear" w:color="000000" w:fill="BDD7EE"/>
            <w:noWrap/>
            <w:tcMar>
              <w:left w:w="0" w:type="dxa"/>
              <w:right w:w="0" w:type="dxa"/>
            </w:tcMar>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vMerge w:val="restart"/>
            <w:tcBorders>
              <w:top w:val="single" w:sz="4" w:space="0" w:color="auto"/>
              <w:left w:val="double" w:sz="6" w:space="0" w:color="auto"/>
              <w:right w:val="single" w:sz="4" w:space="0" w:color="auto"/>
            </w:tcBorders>
            <w:shd w:val="clear" w:color="000000" w:fill="BDD7EE"/>
            <w:noWrap/>
            <w:tcMar>
              <w:left w:w="57" w:type="dxa"/>
              <w:right w:w="57" w:type="dxa"/>
            </w:tcMar>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1</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Croissance</w:t>
            </w:r>
          </w:p>
        </w:tc>
        <w:tc>
          <w:tcPr>
            <w:tcW w:w="887" w:type="dxa"/>
            <w:vMerge w:val="restart"/>
            <w:tcBorders>
              <w:top w:val="single" w:sz="4" w:space="0" w:color="auto"/>
              <w:left w:val="nil"/>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2</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 xml:space="preserve">inclusion </w:t>
            </w:r>
          </w:p>
        </w:tc>
        <w:tc>
          <w:tcPr>
            <w:tcW w:w="990" w:type="dxa"/>
            <w:vMerge w:val="restart"/>
            <w:tcBorders>
              <w:top w:val="single" w:sz="4" w:space="0" w:color="auto"/>
              <w:left w:val="nil"/>
              <w:right w:val="nil"/>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3</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Durabilité</w:t>
            </w:r>
          </w:p>
        </w:tc>
        <w:tc>
          <w:tcPr>
            <w:tcW w:w="1224" w:type="dxa"/>
            <w:vMerge w:val="restart"/>
            <w:tcBorders>
              <w:top w:val="single" w:sz="4" w:space="0" w:color="auto"/>
              <w:left w:val="single" w:sz="4" w:space="0" w:color="auto"/>
              <w:right w:val="single" w:sz="4" w:space="0" w:color="auto"/>
            </w:tcBorders>
            <w:shd w:val="clear" w:color="000000" w:fill="BDD7EE"/>
            <w:noWrap/>
            <w:vAlign w:val="center"/>
            <w:hideMark/>
          </w:tcPr>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But 4</w:t>
            </w:r>
          </w:p>
          <w:p w:rsidR="00E921C5" w:rsidRPr="00D635A6" w:rsidRDefault="00E921C5" w:rsidP="00FC2C2D">
            <w:pPr>
              <w:pStyle w:val="Tablehead"/>
              <w:rPr>
                <w:rFonts w:asciiTheme="minorHAnsi" w:hAnsiTheme="minorHAnsi"/>
                <w:sz w:val="18"/>
                <w:szCs w:val="16"/>
                <w:lang w:eastAsia="zh-CN"/>
              </w:rPr>
            </w:pPr>
            <w:r w:rsidRPr="00D635A6">
              <w:rPr>
                <w:rFonts w:asciiTheme="minorHAnsi" w:hAnsiTheme="minorHAnsi"/>
                <w:sz w:val="18"/>
                <w:szCs w:val="16"/>
                <w:lang w:eastAsia="zh-CN"/>
              </w:rPr>
              <w:t>Innovation et partenariats</w:t>
            </w:r>
          </w:p>
        </w:tc>
      </w:tr>
      <w:tr w:rsidR="00E921C5" w:rsidRPr="00D635A6" w:rsidTr="00133802">
        <w:trPr>
          <w:trHeight w:val="288"/>
          <w:jc w:val="center"/>
        </w:trPr>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80" w:type="dxa"/>
            <w:vMerge/>
            <w:tcBorders>
              <w:left w:val="single" w:sz="4" w:space="0" w:color="auto"/>
              <w:bottom w:val="single" w:sz="4" w:space="0" w:color="000000"/>
              <w:right w:val="single" w:sz="4" w:space="0" w:color="auto"/>
            </w:tcBorders>
          </w:tcPr>
          <w:p w:rsidR="00E921C5" w:rsidRPr="00D635A6" w:rsidRDefault="00E921C5" w:rsidP="00FC2C2D">
            <w:pPr>
              <w:spacing w:before="60" w:after="60"/>
              <w:rPr>
                <w:rFonts w:asciiTheme="minorHAnsi" w:hAnsiTheme="minorHAnsi"/>
                <w:b/>
                <w:bCs/>
                <w:color w:val="000000"/>
                <w:sz w:val="18"/>
                <w:szCs w:val="18"/>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vMerge/>
            <w:tcBorders>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2" w:type="dxa"/>
            <w:vMerge/>
            <w:tcBorders>
              <w:left w:val="nil"/>
              <w:bottom w:val="nil"/>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2" w:type="dxa"/>
            <w:vMerge/>
            <w:tcBorders>
              <w:left w:val="nil"/>
              <w:bottom w:val="nil"/>
              <w:right w:val="nil"/>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1009" w:type="dxa"/>
            <w:vMerge/>
            <w:tcBorders>
              <w:left w:val="single" w:sz="4" w:space="0" w:color="auto"/>
              <w:bottom w:val="nil"/>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vMerge/>
            <w:tcBorders>
              <w:left w:val="double" w:sz="6"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887" w:type="dxa"/>
            <w:vMerge/>
            <w:tcBorders>
              <w:left w:val="nil"/>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990" w:type="dxa"/>
            <w:vMerge/>
            <w:tcBorders>
              <w:left w:val="nil"/>
              <w:bottom w:val="single" w:sz="4" w:space="0" w:color="auto"/>
              <w:right w:val="nil"/>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c>
          <w:tcPr>
            <w:tcW w:w="1224" w:type="dxa"/>
            <w:vMerge/>
            <w:tcBorders>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spacing w:before="60" w:after="60"/>
              <w:jc w:val="center"/>
              <w:rPr>
                <w:rFonts w:asciiTheme="minorHAnsi" w:hAnsiTheme="minorHAnsi"/>
                <w:color w:val="000000"/>
                <w:sz w:val="18"/>
                <w:szCs w:val="18"/>
                <w:lang w:eastAsia="zh-CN"/>
              </w:rPr>
            </w:pP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T1</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 xml:space="preserve">Obj. 1 de l'UIT-T </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12 791</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6 965</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5 823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20%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5 116</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3 837</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1 279</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2 558</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T2</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2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6 257</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3 215</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3 040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0</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6 257</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0</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T3</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3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2 924</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1 459</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1 464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1 462</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877</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292</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292</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T4</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4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4 595</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2 410</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2 184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50%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1 379</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2 298</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460</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460</w:t>
            </w:r>
          </w:p>
        </w:tc>
      </w:tr>
      <w:tr w:rsidR="00E921C5" w:rsidRPr="00D635A6" w:rsidTr="00133802">
        <w:trPr>
          <w:trHeight w:val="2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T5</w:t>
            </w:r>
          </w:p>
        </w:tc>
        <w:tc>
          <w:tcPr>
            <w:tcW w:w="1559" w:type="dxa"/>
            <w:tcBorders>
              <w:top w:val="nil"/>
              <w:left w:val="nil"/>
              <w:bottom w:val="single" w:sz="4" w:space="0" w:color="auto"/>
              <w:right w:val="single" w:sz="4" w:space="0" w:color="auto"/>
            </w:tcBorders>
            <w:shd w:val="clear" w:color="auto" w:fill="auto"/>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Obj. 5 de l'UIT-T</w:t>
            </w:r>
          </w:p>
        </w:tc>
        <w:tc>
          <w:tcPr>
            <w:tcW w:w="850"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834</w:t>
            </w:r>
          </w:p>
        </w:tc>
        <w:tc>
          <w:tcPr>
            <w:tcW w:w="989" w:type="dxa"/>
            <w:tcBorders>
              <w:top w:val="nil"/>
              <w:left w:val="nil"/>
              <w:bottom w:val="single" w:sz="4" w:space="0" w:color="auto"/>
              <w:right w:val="single" w:sz="4" w:space="0" w:color="auto"/>
            </w:tcBorders>
            <w:shd w:val="clear" w:color="000000" w:fill="FFFFFF"/>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187</w:t>
            </w:r>
          </w:p>
        </w:tc>
        <w:tc>
          <w:tcPr>
            <w:tcW w:w="980" w:type="dxa"/>
            <w:tcBorders>
              <w:top w:val="nil"/>
              <w:left w:val="nil"/>
              <w:bottom w:val="single" w:sz="4" w:space="0" w:color="auto"/>
              <w:right w:val="single" w:sz="4" w:space="0" w:color="auto"/>
            </w:tcBorders>
            <w:shd w:val="clear" w:color="000000" w:fill="FFFFFF"/>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647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tcMar>
              <w:right w:w="227" w:type="dxa"/>
            </w:tcMar>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0</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150" w:type="dxa"/>
            <w:tcBorders>
              <w:top w:val="nil"/>
              <w:left w:val="single" w:sz="4" w:space="0" w:color="auto"/>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30%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20%</w:t>
            </w:r>
          </w:p>
        </w:tc>
        <w:tc>
          <w:tcPr>
            <w:tcW w:w="992"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10%</w:t>
            </w:r>
          </w:p>
        </w:tc>
        <w:tc>
          <w:tcPr>
            <w:tcW w:w="1009" w:type="dxa"/>
            <w:tcBorders>
              <w:top w:val="nil"/>
              <w:left w:val="nil"/>
              <w:bottom w:val="single" w:sz="4" w:space="0" w:color="auto"/>
              <w:right w:val="single" w:sz="4" w:space="0" w:color="auto"/>
            </w:tcBorders>
            <w:shd w:val="clear" w:color="auto" w:fill="auto"/>
            <w:noWrap/>
            <w:vAlign w:val="center"/>
            <w:hideMark/>
          </w:tcPr>
          <w:p w:rsidR="00E921C5" w:rsidRPr="00D635A6" w:rsidRDefault="00E921C5" w:rsidP="00FC2C2D">
            <w:pPr>
              <w:pStyle w:val="Tabletext"/>
              <w:jc w:val="right"/>
              <w:rPr>
                <w:rFonts w:asciiTheme="minorHAnsi" w:hAnsiTheme="minorHAnsi"/>
                <w:sz w:val="18"/>
                <w:szCs w:val="16"/>
                <w:lang w:eastAsia="zh-CN"/>
              </w:rPr>
            </w:pPr>
            <w:r w:rsidRPr="00D635A6">
              <w:rPr>
                <w:rFonts w:asciiTheme="minorHAnsi" w:hAnsiTheme="minorHAnsi"/>
                <w:sz w:val="18"/>
                <w:szCs w:val="16"/>
                <w:lang w:eastAsia="zh-CN"/>
              </w:rPr>
              <w:t>40%</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250</w:t>
            </w:r>
          </w:p>
        </w:tc>
        <w:tc>
          <w:tcPr>
            <w:tcW w:w="887"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167</w:t>
            </w:r>
          </w:p>
        </w:tc>
        <w:tc>
          <w:tcPr>
            <w:tcW w:w="990"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83</w:t>
            </w:r>
          </w:p>
        </w:tc>
        <w:tc>
          <w:tcPr>
            <w:tcW w:w="1224" w:type="dxa"/>
            <w:tcBorders>
              <w:top w:val="nil"/>
              <w:left w:val="nil"/>
              <w:bottom w:val="single" w:sz="4" w:space="0" w:color="auto"/>
              <w:right w:val="single" w:sz="4" w:space="0" w:color="auto"/>
            </w:tcBorders>
            <w:shd w:val="clear" w:color="auto" w:fill="auto"/>
            <w:noWrap/>
            <w:tcMar>
              <w:right w:w="227" w:type="dxa"/>
            </w:tcMar>
            <w:hideMark/>
          </w:tcPr>
          <w:p w:rsidR="00E921C5" w:rsidRPr="00D635A6" w:rsidRDefault="00E921C5" w:rsidP="00FC2C2D">
            <w:pPr>
              <w:pStyle w:val="Tabletext"/>
              <w:jc w:val="right"/>
              <w:rPr>
                <w:rFonts w:asciiTheme="minorHAnsi" w:hAnsiTheme="minorHAnsi"/>
                <w:sz w:val="18"/>
                <w:szCs w:val="16"/>
              </w:rPr>
            </w:pPr>
            <w:r w:rsidRPr="00D635A6">
              <w:rPr>
                <w:rFonts w:asciiTheme="minorHAnsi" w:hAnsiTheme="minorHAnsi"/>
                <w:sz w:val="18"/>
                <w:szCs w:val="16"/>
              </w:rPr>
              <w:t>334</w:t>
            </w:r>
          </w:p>
        </w:tc>
      </w:tr>
      <w:tr w:rsidR="00E921C5" w:rsidRPr="00D635A6" w:rsidTr="00133802">
        <w:trPr>
          <w:trHeight w:val="288"/>
          <w:jc w:val="center"/>
        </w:trPr>
        <w:tc>
          <w:tcPr>
            <w:tcW w:w="1985"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E921C5" w:rsidRPr="00D635A6" w:rsidRDefault="00E921C5" w:rsidP="00FC2C2D">
            <w:pPr>
              <w:pStyle w:val="Tabletext"/>
              <w:rPr>
                <w:rFonts w:asciiTheme="minorHAnsi" w:hAnsiTheme="minorHAnsi"/>
                <w:b/>
                <w:bCs/>
                <w:sz w:val="18"/>
                <w:szCs w:val="16"/>
                <w:lang w:eastAsia="zh-CN"/>
              </w:rPr>
            </w:pPr>
            <w:r w:rsidRPr="00D635A6">
              <w:rPr>
                <w:rFonts w:asciiTheme="minorHAnsi" w:hAnsiTheme="minorHAnsi"/>
                <w:b/>
                <w:bCs/>
                <w:sz w:val="18"/>
                <w:szCs w:val="16"/>
                <w:lang w:eastAsia="zh-CN"/>
              </w:rPr>
              <w:t>Coût total</w:t>
            </w:r>
          </w:p>
        </w:tc>
        <w:tc>
          <w:tcPr>
            <w:tcW w:w="850"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27 402</w:t>
            </w:r>
          </w:p>
        </w:tc>
        <w:tc>
          <w:tcPr>
            <w:tcW w:w="989"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14 236</w:t>
            </w:r>
          </w:p>
        </w:tc>
        <w:tc>
          <w:tcPr>
            <w:tcW w:w="980" w:type="dxa"/>
            <w:tcBorders>
              <w:top w:val="nil"/>
              <w:left w:val="nil"/>
              <w:bottom w:val="single" w:sz="4" w:space="0" w:color="auto"/>
              <w:right w:val="single" w:sz="4" w:space="0" w:color="auto"/>
            </w:tcBorders>
            <w:shd w:val="clear" w:color="000000" w:fill="BDD7EE"/>
            <w:tcMar>
              <w:right w:w="227" w:type="dxa"/>
            </w:tcMar>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13 159</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tcMar>
              <w:right w:w="227" w:type="dxa"/>
            </w:tcMar>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7</w:t>
            </w:r>
          </w:p>
        </w:tc>
        <w:tc>
          <w:tcPr>
            <w:tcW w:w="284" w:type="dxa"/>
            <w:tcBorders>
              <w:top w:val="nil"/>
              <w:left w:val="nil"/>
              <w:bottom w:val="nil"/>
              <w:right w:val="nil"/>
            </w:tcBorders>
            <w:shd w:val="clear" w:color="auto" w:fill="auto"/>
            <w:noWrap/>
            <w:vAlign w:val="bottom"/>
            <w:hideMark/>
          </w:tcPr>
          <w:p w:rsidR="00E921C5" w:rsidRPr="00D635A6" w:rsidRDefault="00E921C5" w:rsidP="00FC2C2D">
            <w:pPr>
              <w:spacing w:before="60" w:after="60"/>
              <w:jc w:val="center"/>
              <w:rPr>
                <w:rFonts w:asciiTheme="minorHAnsi" w:hAnsiTheme="minorHAnsi"/>
                <w:b/>
                <w:bCs/>
                <w:color w:val="000000"/>
                <w:sz w:val="18"/>
                <w:szCs w:val="18"/>
                <w:lang w:eastAsia="zh-CN"/>
              </w:rPr>
            </w:pPr>
          </w:p>
        </w:tc>
        <w:tc>
          <w:tcPr>
            <w:tcW w:w="1150" w:type="dxa"/>
            <w:tcBorders>
              <w:top w:val="nil"/>
              <w:left w:val="single" w:sz="4" w:space="0" w:color="auto"/>
              <w:bottom w:val="single" w:sz="4" w:space="0" w:color="auto"/>
              <w:right w:val="single" w:sz="4" w:space="0" w:color="auto"/>
            </w:tcBorders>
            <w:shd w:val="clear" w:color="000000" w:fill="BDD7EE"/>
            <w:noWrap/>
            <w:vAlign w:val="bottom"/>
            <w:hideMark/>
          </w:tcPr>
          <w:p w:rsidR="00E921C5" w:rsidRPr="00D635A6" w:rsidRDefault="00E921C5" w:rsidP="00FC2C2D">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992"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1009" w:type="dxa"/>
            <w:tcBorders>
              <w:top w:val="nil"/>
              <w:left w:val="nil"/>
              <w:bottom w:val="single" w:sz="4" w:space="0" w:color="auto"/>
              <w:right w:val="single" w:sz="4" w:space="0" w:color="auto"/>
            </w:tcBorders>
            <w:shd w:val="clear" w:color="000000" w:fill="BDD7EE"/>
            <w:noWrap/>
            <w:vAlign w:val="bottom"/>
            <w:hideMark/>
          </w:tcPr>
          <w:p w:rsidR="00E921C5" w:rsidRPr="00D635A6" w:rsidRDefault="00E921C5" w:rsidP="00FC2C2D">
            <w:pPr>
              <w:pStyle w:val="Tabletext"/>
              <w:jc w:val="right"/>
              <w:rPr>
                <w:rFonts w:asciiTheme="minorHAnsi" w:hAnsiTheme="minorHAnsi"/>
                <w:b/>
                <w:bCs/>
                <w:sz w:val="18"/>
                <w:szCs w:val="16"/>
                <w:lang w:eastAsia="zh-CN"/>
              </w:rPr>
            </w:pPr>
            <w:r w:rsidRPr="00D635A6">
              <w:rPr>
                <w:rFonts w:asciiTheme="minorHAnsi" w:hAnsiTheme="minorHAnsi"/>
                <w:b/>
                <w:bCs/>
                <w:sz w:val="18"/>
                <w:szCs w:val="16"/>
                <w:lang w:eastAsia="zh-CN"/>
              </w:rPr>
              <w:t> </w:t>
            </w:r>
          </w:p>
        </w:tc>
        <w:tc>
          <w:tcPr>
            <w:tcW w:w="283" w:type="dxa"/>
            <w:tcBorders>
              <w:top w:val="nil"/>
              <w:left w:val="nil"/>
              <w:bottom w:val="nil"/>
              <w:right w:val="nil"/>
            </w:tcBorders>
            <w:shd w:val="clear" w:color="auto" w:fill="auto"/>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p>
        </w:tc>
        <w:tc>
          <w:tcPr>
            <w:tcW w:w="979" w:type="dxa"/>
            <w:tcBorders>
              <w:top w:val="nil"/>
              <w:left w:val="single" w:sz="4" w:space="0" w:color="auto"/>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8 207</w:t>
            </w:r>
          </w:p>
        </w:tc>
        <w:tc>
          <w:tcPr>
            <w:tcW w:w="887"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13 436</w:t>
            </w:r>
          </w:p>
        </w:tc>
        <w:tc>
          <w:tcPr>
            <w:tcW w:w="990"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2 114</w:t>
            </w:r>
          </w:p>
        </w:tc>
        <w:tc>
          <w:tcPr>
            <w:tcW w:w="1224" w:type="dxa"/>
            <w:tcBorders>
              <w:top w:val="nil"/>
              <w:left w:val="nil"/>
              <w:bottom w:val="single" w:sz="4" w:space="0" w:color="auto"/>
              <w:right w:val="single" w:sz="4" w:space="0" w:color="auto"/>
            </w:tcBorders>
            <w:shd w:val="clear" w:color="000000" w:fill="BDD7EE"/>
            <w:noWrap/>
            <w:tcMar>
              <w:right w:w="227" w:type="dxa"/>
            </w:tcMar>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3 644</w:t>
            </w:r>
          </w:p>
        </w:tc>
      </w:tr>
      <w:tr w:rsidR="00E921C5" w:rsidRPr="00D635A6" w:rsidTr="00133802">
        <w:trPr>
          <w:trHeight w:val="288"/>
          <w:jc w:val="center"/>
        </w:trPr>
        <w:tc>
          <w:tcPr>
            <w:tcW w:w="426"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155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color w:val="000000"/>
                <w:sz w:val="18"/>
                <w:szCs w:val="18"/>
                <w:lang w:eastAsia="zh-CN"/>
              </w:rPr>
            </w:pPr>
            <w:r w:rsidRPr="00D635A6">
              <w:rPr>
                <w:rFonts w:asciiTheme="minorHAnsi" w:hAnsiTheme="minorHAnsi"/>
                <w:color w:val="000000"/>
                <w:sz w:val="18"/>
                <w:szCs w:val="18"/>
                <w:lang w:eastAsia="zh-CN"/>
              </w:rPr>
              <w:t> </w:t>
            </w:r>
          </w:p>
        </w:tc>
        <w:tc>
          <w:tcPr>
            <w:tcW w:w="8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80" w:type="dxa"/>
            <w:tcBorders>
              <w:top w:val="nil"/>
              <w:left w:val="nil"/>
              <w:bottom w:val="nil"/>
              <w:right w:val="nil"/>
            </w:tcBorders>
            <w:shd w:val="clear" w:color="000000" w:fill="FFFFFF"/>
          </w:tcPr>
          <w:p w:rsidR="00E921C5" w:rsidRPr="00D635A6" w:rsidRDefault="00E921C5" w:rsidP="00FC2C2D">
            <w:pPr>
              <w:spacing w:before="60" w:after="60"/>
              <w:rPr>
                <w:rFonts w:asciiTheme="minorHAnsi" w:hAnsiTheme="minorHAnsi"/>
                <w:b/>
                <w:bCs/>
                <w:color w:val="000000"/>
                <w:sz w:val="18"/>
                <w:szCs w:val="18"/>
                <w:lang w:eastAsia="zh-CN"/>
              </w:rPr>
            </w:pP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4"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150"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92"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1009"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283" w:type="dxa"/>
            <w:tcBorders>
              <w:top w:val="nil"/>
              <w:left w:val="nil"/>
              <w:bottom w:val="nil"/>
              <w:right w:val="nil"/>
            </w:tcBorders>
            <w:shd w:val="clear" w:color="000000" w:fill="FFFFFF"/>
            <w:noWrap/>
            <w:vAlign w:val="bottom"/>
            <w:hideMark/>
          </w:tcPr>
          <w:p w:rsidR="00E921C5" w:rsidRPr="00D635A6" w:rsidRDefault="00E921C5" w:rsidP="00FC2C2D">
            <w:pPr>
              <w:spacing w:before="60" w:after="60"/>
              <w:rPr>
                <w:rFonts w:asciiTheme="minorHAnsi" w:hAnsiTheme="minorHAnsi"/>
                <w:b/>
                <w:bCs/>
                <w:color w:val="000000"/>
                <w:sz w:val="18"/>
                <w:szCs w:val="18"/>
                <w:lang w:eastAsia="zh-CN"/>
              </w:rPr>
            </w:pPr>
            <w:r w:rsidRPr="00D635A6">
              <w:rPr>
                <w:rFonts w:asciiTheme="minorHAnsi" w:hAnsiTheme="minorHAnsi"/>
                <w:b/>
                <w:bCs/>
                <w:color w:val="000000"/>
                <w:sz w:val="18"/>
                <w:szCs w:val="18"/>
                <w:lang w:eastAsia="zh-CN"/>
              </w:rPr>
              <w:t> </w:t>
            </w:r>
          </w:p>
        </w:tc>
        <w:tc>
          <w:tcPr>
            <w:tcW w:w="979" w:type="dxa"/>
            <w:tcBorders>
              <w:top w:val="nil"/>
              <w:left w:val="single" w:sz="4" w:space="0" w:color="auto"/>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30,0%</w:t>
            </w:r>
          </w:p>
        </w:tc>
        <w:tc>
          <w:tcPr>
            <w:tcW w:w="887"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49,0%</w:t>
            </w:r>
          </w:p>
        </w:tc>
        <w:tc>
          <w:tcPr>
            <w:tcW w:w="990"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7,7%</w:t>
            </w:r>
          </w:p>
        </w:tc>
        <w:tc>
          <w:tcPr>
            <w:tcW w:w="1224" w:type="dxa"/>
            <w:tcBorders>
              <w:top w:val="nil"/>
              <w:left w:val="nil"/>
              <w:bottom w:val="single" w:sz="4" w:space="0" w:color="auto"/>
              <w:right w:val="single" w:sz="4" w:space="0" w:color="auto"/>
            </w:tcBorders>
            <w:shd w:val="clear" w:color="000000" w:fill="BDD7EE"/>
            <w:noWrap/>
            <w:hideMark/>
          </w:tcPr>
          <w:p w:rsidR="00E921C5" w:rsidRPr="00D635A6" w:rsidRDefault="00E921C5" w:rsidP="00FC2C2D">
            <w:pPr>
              <w:pStyle w:val="Tabletext"/>
              <w:jc w:val="right"/>
              <w:rPr>
                <w:rFonts w:asciiTheme="minorHAnsi" w:hAnsiTheme="minorHAnsi"/>
                <w:b/>
                <w:bCs/>
                <w:sz w:val="18"/>
                <w:szCs w:val="16"/>
              </w:rPr>
            </w:pPr>
            <w:r w:rsidRPr="00D635A6">
              <w:rPr>
                <w:rFonts w:asciiTheme="minorHAnsi" w:hAnsiTheme="minorHAnsi"/>
                <w:b/>
                <w:bCs/>
                <w:sz w:val="18"/>
                <w:szCs w:val="16"/>
              </w:rPr>
              <w:t>13,3%</w:t>
            </w:r>
          </w:p>
        </w:tc>
      </w:tr>
    </w:tbl>
    <w:p w:rsidR="00E921C5" w:rsidRPr="00D635A6" w:rsidRDefault="00E921C5" w:rsidP="00E921C5">
      <w:pPr>
        <w:jc w:val="center"/>
        <w:rPr>
          <w:rFonts w:asciiTheme="minorHAnsi" w:hAnsiTheme="minorHAnsi"/>
        </w:rPr>
      </w:pPr>
      <w:r w:rsidRPr="00D635A6">
        <w:rPr>
          <w:rFonts w:asciiTheme="minorHAnsi" w:hAnsiTheme="minorHAnsi"/>
        </w:rPr>
        <w:t>______________</w:t>
      </w:r>
    </w:p>
    <w:sectPr w:rsidR="00E921C5" w:rsidRPr="00D635A6" w:rsidSect="00E921C5">
      <w:headerReference w:type="default" r:id="rId20"/>
      <w:footerReference w:type="default" r:id="rId21"/>
      <w:headerReference w:type="first" r:id="rId22"/>
      <w:footerReference w:type="first" r:id="rId23"/>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25" w:rsidRDefault="00265525">
      <w:r>
        <w:separator/>
      </w:r>
    </w:p>
  </w:endnote>
  <w:endnote w:type="continuationSeparator" w:id="0">
    <w:p w:rsidR="00265525" w:rsidRDefault="0026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F94A39">
    <w:pPr>
      <w:pStyle w:val="Footer"/>
    </w:pPr>
    <w:r>
      <w:fldChar w:fldCharType="begin"/>
    </w:r>
    <w:r>
      <w:instrText xml:space="preserve"> FILENAME \p \* MERGEFORMAT </w:instrText>
    </w:r>
    <w:r>
      <w:fldChar w:fldCharType="separate"/>
    </w:r>
    <w:r w:rsidR="00265525">
      <w:t>Document3</w:t>
    </w:r>
    <w:r>
      <w:fldChar w:fldCharType="end"/>
    </w:r>
    <w:r w:rsidR="00265525">
      <w:tab/>
    </w:r>
    <w:r w:rsidR="00265525">
      <w:fldChar w:fldCharType="begin"/>
    </w:r>
    <w:r w:rsidR="00265525">
      <w:instrText xml:space="preserve"> savedate \@ dd.MM.yy </w:instrText>
    </w:r>
    <w:r w:rsidR="00265525">
      <w:fldChar w:fldCharType="separate"/>
    </w:r>
    <w:r>
      <w:t>18.04.17</w:t>
    </w:r>
    <w:r w:rsidR="00265525">
      <w:fldChar w:fldCharType="end"/>
    </w:r>
    <w:r w:rsidR="00265525">
      <w:tab/>
    </w:r>
    <w:r w:rsidR="00265525">
      <w:fldChar w:fldCharType="begin"/>
    </w:r>
    <w:r w:rsidR="00265525">
      <w:instrText xml:space="preserve"> printdate \@ dd.MM.yy </w:instrText>
    </w:r>
    <w:r w:rsidR="00265525">
      <w:fldChar w:fldCharType="separate"/>
    </w:r>
    <w:r w:rsidR="00265525">
      <w:t>18.07.00</w:t>
    </w:r>
    <w:r w:rsidR="002655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F94A39">
    <w:pPr>
      <w:pStyle w:val="Footer"/>
    </w:pPr>
    <w:r>
      <w:fldChar w:fldCharType="begin"/>
    </w:r>
    <w:r>
      <w:instrText xml:space="preserve"> FILENAME \p \* MERGEFORMAT </w:instrText>
    </w:r>
    <w:r>
      <w:fldChar w:fldCharType="separate"/>
    </w:r>
    <w:r w:rsidR="00265525">
      <w:t>Document3</w:t>
    </w:r>
    <w:r>
      <w:fldChar w:fldCharType="end"/>
    </w:r>
    <w:r w:rsidR="00265525">
      <w:tab/>
    </w:r>
    <w:r w:rsidR="00265525">
      <w:fldChar w:fldCharType="begin"/>
    </w:r>
    <w:r w:rsidR="00265525">
      <w:instrText xml:space="preserve"> savedate \@ dd.MM.yy </w:instrText>
    </w:r>
    <w:r w:rsidR="00265525">
      <w:fldChar w:fldCharType="separate"/>
    </w:r>
    <w:r>
      <w:t>18.04.17</w:t>
    </w:r>
    <w:r w:rsidR="00265525">
      <w:fldChar w:fldCharType="end"/>
    </w:r>
    <w:r w:rsidR="00265525">
      <w:tab/>
    </w:r>
    <w:r w:rsidR="00265525">
      <w:fldChar w:fldCharType="begin"/>
    </w:r>
    <w:r w:rsidR="00265525">
      <w:instrText xml:space="preserve"> printdate \@ dd.MM.yy </w:instrText>
    </w:r>
    <w:r w:rsidR="00265525">
      <w:fldChar w:fldCharType="separate"/>
    </w:r>
    <w:r w:rsidR="00265525">
      <w:t>18.07.00</w:t>
    </w:r>
    <w:r w:rsidR="002655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Pr="00FC2C2D" w:rsidRDefault="00265525" w:rsidP="00FC2C2D">
    <w:pPr>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Pr="00537502" w:rsidRDefault="00265525" w:rsidP="00FC2C2D">
    <w:pPr>
      <w:pStyle w:val="Footer"/>
      <w:rPr>
        <w:lang w:val="fr-CH"/>
      </w:rPr>
    </w:pPr>
    <w:r>
      <w:fldChar w:fldCharType="begin"/>
    </w:r>
    <w:r w:rsidRPr="00537502">
      <w:rPr>
        <w:lang w:val="fr-CH"/>
      </w:rPr>
      <w:instrText xml:space="preserve"> FILENAME \p  \* MERGEFORMAT </w:instrText>
    </w:r>
    <w:r>
      <w:fldChar w:fldCharType="separate"/>
    </w:r>
    <w:r>
      <w:rPr>
        <w:lang w:val="fr-CH"/>
      </w:rPr>
      <w:t>P:\FRA\SG\CONSEIL\C17\000\029F.docx</w:t>
    </w:r>
    <w:r>
      <w:fldChar w:fldCharType="end"/>
    </w:r>
    <w:r w:rsidRPr="00537502">
      <w:rPr>
        <w:lang w:val="fr-CH"/>
      </w:rPr>
      <w:t xml:space="preserve"> (</w:t>
    </w:r>
    <w:r>
      <w:rPr>
        <w:lang w:val="fr-CH"/>
      </w:rPr>
      <w:t>409479)</w:t>
    </w:r>
    <w:r w:rsidRPr="00537502">
      <w:rPr>
        <w:lang w:val="fr-CH"/>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Pr="00FC2C2D" w:rsidRDefault="00F94A39" w:rsidP="006F5A3B">
    <w:pPr>
      <w:pStyle w:val="Footer"/>
    </w:pPr>
    <w:r>
      <w:fldChar w:fldCharType="begin"/>
    </w:r>
    <w:r>
      <w:instrText xml:space="preserve"> FILENAME \p  \* MERGEFORMAT </w:instrText>
    </w:r>
    <w:r>
      <w:fldChar w:fldCharType="separate"/>
    </w:r>
    <w:r w:rsidR="00265525" w:rsidRPr="006F5A3B">
      <w:t>P:\FRA\SG</w:t>
    </w:r>
    <w:r w:rsidR="00265525">
      <w:t>\CONSEIL\C17\000\029F.docx</w:t>
    </w:r>
    <w:r>
      <w:fldChar w:fldCharType="end"/>
    </w:r>
    <w:r w:rsidR="00265525">
      <w:t xml:space="preserve"> (409479)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25" w:rsidRDefault="00265525">
      <w:r>
        <w:t>____________________</w:t>
      </w:r>
    </w:p>
  </w:footnote>
  <w:footnote w:type="continuationSeparator" w:id="0">
    <w:p w:rsidR="00265525" w:rsidRDefault="00265525">
      <w:r>
        <w:continuationSeparator/>
      </w:r>
    </w:p>
  </w:footnote>
  <w:footnote w:id="1">
    <w:p w:rsidR="00265525" w:rsidRPr="008360AE" w:rsidRDefault="00265525" w:rsidP="00E921C5">
      <w:pPr>
        <w:pStyle w:val="FootnoteText"/>
        <w:rPr>
          <w:lang w:val="fr-CH"/>
        </w:rPr>
      </w:pPr>
      <w:r>
        <w:rPr>
          <w:rStyle w:val="FootnoteReference"/>
        </w:rPr>
        <w:footnoteRef/>
      </w:r>
      <w:r w:rsidRPr="009C0805">
        <w:t xml:space="preserve"> </w:t>
      </w:r>
      <w:r>
        <w:rPr>
          <w:lang w:val="fr-CH"/>
        </w:rPr>
        <w:tab/>
      </w:r>
      <w:r w:rsidRPr="008360AE">
        <w:rPr>
          <w:sz w:val="20"/>
          <w:lang w:val="fr-CH"/>
        </w:rPr>
        <w:t>Les pilotes des risques seront désignés par le Directeur du Bureau.</w:t>
      </w:r>
    </w:p>
  </w:footnote>
  <w:footnote w:id="2">
    <w:p w:rsidR="00265525" w:rsidRPr="007374E5" w:rsidRDefault="00265525" w:rsidP="00E921C5">
      <w:pPr>
        <w:pStyle w:val="FootnoteText"/>
        <w:rPr>
          <w:szCs w:val="18"/>
          <w:lang w:val="fr-CH"/>
        </w:rPr>
      </w:pPr>
      <w:r>
        <w:rPr>
          <w:rStyle w:val="FootnoteReference"/>
        </w:rPr>
        <w:footnoteRef/>
      </w:r>
      <w:r>
        <w:rPr>
          <w:lang w:val="fr-CH"/>
        </w:rPr>
        <w:tab/>
      </w:r>
      <w:r w:rsidRPr="0063610C">
        <w:rPr>
          <w:sz w:val="20"/>
          <w:lang w:val="fr-CH"/>
        </w:rPr>
        <w:t xml:space="preserve">Estimations, </w:t>
      </w:r>
      <w:r>
        <w:rPr>
          <w:sz w:val="20"/>
          <w:lang w:val="fr-CH"/>
        </w:rPr>
        <w:t xml:space="preserve">pour les années 2018, </w:t>
      </w:r>
      <w:r w:rsidRPr="0063610C">
        <w:rPr>
          <w:sz w:val="20"/>
          <w:lang w:val="fr-CH"/>
        </w:rPr>
        <w:t>2019</w:t>
      </w:r>
      <w:r>
        <w:rPr>
          <w:sz w:val="20"/>
          <w:lang w:val="fr-CH"/>
        </w:rPr>
        <w:t>, 2020 et 2021</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3">
    <w:p w:rsidR="00265525" w:rsidRPr="00732693" w:rsidRDefault="00265525" w:rsidP="00E921C5">
      <w:pPr>
        <w:pStyle w:val="FootnoteText"/>
        <w:spacing w:before="80"/>
        <w:ind w:left="255" w:hanging="255"/>
      </w:pPr>
      <w:r>
        <w:rPr>
          <w:rStyle w:val="FootnoteReference"/>
        </w:rPr>
        <w:footnoteRef/>
      </w:r>
      <w:r w:rsidRPr="00732693">
        <w:t xml:space="preserve"> </w:t>
      </w:r>
      <w:r w:rsidRPr="00732693">
        <w:tab/>
      </w:r>
      <w:r w:rsidRPr="0063610C">
        <w:rPr>
          <w:sz w:val="20"/>
          <w:lang w:val="fr-CH"/>
        </w:rPr>
        <w:t xml:space="preserve">Estimations, </w:t>
      </w:r>
      <w:r>
        <w:rPr>
          <w:sz w:val="20"/>
          <w:lang w:val="fr-CH"/>
        </w:rPr>
        <w:t xml:space="preserve">pour les années 2018, </w:t>
      </w:r>
      <w:r w:rsidRPr="0063610C">
        <w:rPr>
          <w:sz w:val="20"/>
          <w:lang w:val="fr-CH"/>
        </w:rPr>
        <w:t>2019</w:t>
      </w:r>
      <w:r>
        <w:rPr>
          <w:sz w:val="20"/>
          <w:lang w:val="fr-CH"/>
        </w:rPr>
        <w:t>, 2020 et 2021</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4">
    <w:p w:rsidR="00265525" w:rsidRPr="00732693" w:rsidRDefault="00265525" w:rsidP="00E921C5">
      <w:pPr>
        <w:pStyle w:val="FootnoteText"/>
        <w:spacing w:before="40"/>
      </w:pPr>
      <w:r>
        <w:rPr>
          <w:rStyle w:val="FootnoteReference"/>
        </w:rPr>
        <w:footnoteRef/>
      </w:r>
      <w:r w:rsidRPr="00732693">
        <w:t xml:space="preserve"> </w:t>
      </w:r>
      <w:r w:rsidRPr="00732693">
        <w:tab/>
      </w:r>
      <w:r>
        <w:rPr>
          <w:sz w:val="20"/>
          <w:lang w:val="fr-CH"/>
        </w:rPr>
        <w:t xml:space="preserve">Estimations pour les années 2018, </w:t>
      </w:r>
      <w:r w:rsidRPr="0063610C">
        <w:rPr>
          <w:sz w:val="20"/>
          <w:lang w:val="fr-CH"/>
        </w:rPr>
        <w:t>2019</w:t>
      </w:r>
      <w:r>
        <w:rPr>
          <w:sz w:val="20"/>
          <w:lang w:val="fr-CH"/>
        </w:rPr>
        <w:t>, 2020 et 2021</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5">
    <w:p w:rsidR="00265525" w:rsidRPr="00732693" w:rsidRDefault="00265525" w:rsidP="00E921C5">
      <w:pPr>
        <w:pStyle w:val="FootnoteText"/>
        <w:spacing w:before="40"/>
      </w:pPr>
      <w:r>
        <w:rPr>
          <w:rStyle w:val="FootnoteReference"/>
        </w:rPr>
        <w:footnoteRef/>
      </w:r>
      <w:r w:rsidRPr="00732693">
        <w:t xml:space="preserve"> </w:t>
      </w:r>
      <w:r w:rsidRPr="00732693">
        <w:tab/>
      </w:r>
      <w:r>
        <w:rPr>
          <w:sz w:val="20"/>
          <w:lang w:val="fr-CH"/>
        </w:rPr>
        <w:t xml:space="preserve">Estimations pour les années 2018, </w:t>
      </w:r>
      <w:r w:rsidRPr="0063610C">
        <w:rPr>
          <w:sz w:val="20"/>
          <w:lang w:val="fr-CH"/>
        </w:rPr>
        <w:t>2019</w:t>
      </w:r>
      <w:r>
        <w:rPr>
          <w:sz w:val="20"/>
          <w:lang w:val="fr-CH"/>
        </w:rPr>
        <w:t>, 2020 et 2021</w:t>
      </w:r>
      <w:r w:rsidRPr="0063610C">
        <w:rPr>
          <w:sz w:val="20"/>
          <w:lang w:val="fr-CH"/>
        </w:rPr>
        <w:t xml:space="preserve">. </w:t>
      </w:r>
      <w:r>
        <w:rPr>
          <w:sz w:val="20"/>
          <w:lang w:val="fr-CH"/>
        </w:rPr>
        <w:t>L'affectation des ressources pourra être modifiée à la suite de décisions de la haute direction</w:t>
      </w:r>
      <w:r w:rsidRPr="007374E5">
        <w:rPr>
          <w:szCs w:val="18"/>
          <w:lang w:val="fr-CH"/>
        </w:rPr>
        <w:t>.</w:t>
      </w:r>
    </w:p>
  </w:footnote>
  <w:footnote w:id="6">
    <w:p w:rsidR="00265525" w:rsidRPr="0017393B" w:rsidRDefault="00265525" w:rsidP="00133802">
      <w:pPr>
        <w:pStyle w:val="FootnoteText"/>
        <w:rPr>
          <w:szCs w:val="18"/>
          <w:lang w:val="fr-CH"/>
        </w:rPr>
      </w:pPr>
      <w:r>
        <w:rPr>
          <w:rStyle w:val="FootnoteReference"/>
        </w:rPr>
        <w:footnoteRef/>
      </w:r>
      <w:r>
        <w:rPr>
          <w:lang w:val="fr-CH"/>
        </w:rPr>
        <w:tab/>
      </w:r>
      <w:r w:rsidRPr="0063610C">
        <w:rPr>
          <w:sz w:val="20"/>
          <w:lang w:val="fr-CH"/>
        </w:rPr>
        <w:t>Estimations</w:t>
      </w:r>
      <w:r>
        <w:rPr>
          <w:sz w:val="20"/>
          <w:lang w:val="fr-CH"/>
        </w:rPr>
        <w:t xml:space="preserve"> pour les années 2018, </w:t>
      </w:r>
      <w:r w:rsidRPr="0063610C">
        <w:rPr>
          <w:sz w:val="20"/>
          <w:lang w:val="fr-CH"/>
        </w:rPr>
        <w:t>2019</w:t>
      </w:r>
      <w:r>
        <w:rPr>
          <w:sz w:val="20"/>
          <w:lang w:val="fr-CH"/>
        </w:rPr>
        <w:t>, 2020 et 2021</w:t>
      </w:r>
      <w:r w:rsidRPr="0063610C">
        <w:rPr>
          <w:sz w:val="20"/>
          <w:lang w:val="fr-CH"/>
        </w:rPr>
        <w:t xml:space="preserve">. </w:t>
      </w:r>
      <w:r>
        <w:rPr>
          <w:sz w:val="20"/>
          <w:lang w:val="fr-CH"/>
        </w:rPr>
        <w:t>L'affectation des ressources pourra être modifiée à la suite de décisions de la haute direction</w:t>
      </w:r>
      <w:r w:rsidRPr="0017393B">
        <w:rPr>
          <w:szCs w:val="18"/>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265525">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265525" w:rsidRDefault="0026552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265525" w:rsidP="00475FB3">
    <w:pPr>
      <w:pStyle w:val="Header"/>
    </w:pPr>
    <w:r>
      <w:fldChar w:fldCharType="begin"/>
    </w:r>
    <w:r>
      <w:instrText>PAGE</w:instrText>
    </w:r>
    <w:r>
      <w:fldChar w:fldCharType="separate"/>
    </w:r>
    <w:r>
      <w:rPr>
        <w:noProof/>
      </w:rPr>
      <w:t>2</w:t>
    </w:r>
    <w:r>
      <w:rPr>
        <w:noProof/>
      </w:rPr>
      <w:fldChar w:fldCharType="end"/>
    </w:r>
  </w:p>
  <w:p w:rsidR="00265525" w:rsidRDefault="00265525" w:rsidP="0093234A">
    <w:pPr>
      <w:pStyle w:val="Header"/>
    </w:pPr>
    <w:r>
      <w:t>C17/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265525" w:rsidP="006F5A3B">
    <w:pPr>
      <w:tabs>
        <w:tab w:val="left" w:pos="5954"/>
        <w:tab w:val="right" w:pos="14034"/>
      </w:tabs>
      <w:spacing w:before="0"/>
      <w:jc w:val="center"/>
      <w:rPr>
        <w:sz w:val="20"/>
        <w:szCs w:val="14"/>
        <w:lang w:val="es-ES_tradnl"/>
      </w:rPr>
    </w:pPr>
    <w:r w:rsidRPr="0029670A">
      <w:rPr>
        <w:sz w:val="20"/>
        <w:szCs w:val="14"/>
      </w:rPr>
      <w:fldChar w:fldCharType="begin"/>
    </w:r>
    <w:r w:rsidRPr="0029670A">
      <w:rPr>
        <w:sz w:val="20"/>
        <w:szCs w:val="14"/>
        <w:lang w:val="es-ES_tradnl"/>
      </w:rPr>
      <w:instrText xml:space="preserve"> PAGE   \* MERGEFORMAT </w:instrText>
    </w:r>
    <w:r w:rsidRPr="0029670A">
      <w:rPr>
        <w:sz w:val="20"/>
        <w:szCs w:val="14"/>
      </w:rPr>
      <w:fldChar w:fldCharType="separate"/>
    </w:r>
    <w:r w:rsidR="00F94A39">
      <w:rPr>
        <w:noProof/>
        <w:sz w:val="20"/>
        <w:szCs w:val="14"/>
        <w:lang w:val="es-ES_tradnl"/>
      </w:rPr>
      <w:t>17</w:t>
    </w:r>
    <w:r w:rsidRPr="0029670A">
      <w:rPr>
        <w:sz w:val="20"/>
        <w:szCs w:val="14"/>
      </w:rPr>
      <w:fldChar w:fldCharType="end"/>
    </w:r>
    <w:r>
      <w:rPr>
        <w:sz w:val="20"/>
        <w:szCs w:val="14"/>
        <w:lang w:val="es-ES_tradnl"/>
      </w:rPr>
      <w:br/>
      <w:t>C17/29-F</w:t>
    </w:r>
  </w:p>
  <w:p w:rsidR="00265525" w:rsidRPr="006F5A3B" w:rsidRDefault="00265525" w:rsidP="00FC2C2D">
    <w:pPr>
      <w:tabs>
        <w:tab w:val="left" w:pos="5954"/>
        <w:tab w:val="right" w:pos="14034"/>
      </w:tabs>
      <w:spacing w:before="0"/>
      <w:jc w:val="center"/>
      <w:rPr>
        <w:smallCaps/>
        <w:spacing w:val="24"/>
        <w:sz w:val="16"/>
        <w:szCs w:val="12"/>
        <w:lang w:val="de-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25" w:rsidRDefault="00265525" w:rsidP="006F5A3B">
    <w:pPr>
      <w:tabs>
        <w:tab w:val="left" w:pos="5954"/>
        <w:tab w:val="right" w:pos="14034"/>
      </w:tabs>
      <w:spacing w:before="0"/>
      <w:jc w:val="center"/>
      <w:rPr>
        <w:sz w:val="20"/>
        <w:szCs w:val="14"/>
        <w:lang w:val="es-ES_tradnl"/>
      </w:rPr>
    </w:pPr>
    <w:r w:rsidRPr="0029670A">
      <w:rPr>
        <w:sz w:val="20"/>
        <w:szCs w:val="14"/>
      </w:rPr>
      <w:fldChar w:fldCharType="begin"/>
    </w:r>
    <w:r w:rsidRPr="0029670A">
      <w:rPr>
        <w:sz w:val="20"/>
        <w:szCs w:val="14"/>
        <w:lang w:val="es-ES_tradnl"/>
      </w:rPr>
      <w:instrText xml:space="preserve"> PAGE   \* MERGEFORMAT </w:instrText>
    </w:r>
    <w:r w:rsidRPr="0029670A">
      <w:rPr>
        <w:sz w:val="20"/>
        <w:szCs w:val="14"/>
      </w:rPr>
      <w:fldChar w:fldCharType="separate"/>
    </w:r>
    <w:r w:rsidR="00F94A39">
      <w:rPr>
        <w:noProof/>
        <w:sz w:val="20"/>
        <w:szCs w:val="14"/>
        <w:lang w:val="es-ES_tradnl"/>
      </w:rPr>
      <w:t>2</w:t>
    </w:r>
    <w:r w:rsidRPr="0029670A">
      <w:rPr>
        <w:sz w:val="20"/>
        <w:szCs w:val="14"/>
      </w:rPr>
      <w:fldChar w:fldCharType="end"/>
    </w:r>
    <w:r>
      <w:rPr>
        <w:sz w:val="20"/>
        <w:szCs w:val="14"/>
        <w:lang w:val="es-ES_tradnl"/>
      </w:rPr>
      <w:br/>
      <w:t>C17/29-F</w:t>
    </w:r>
  </w:p>
  <w:p w:rsidR="00265525" w:rsidRDefault="002655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7CF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80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CD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2E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8E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B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F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A088D"/>
    <w:multiLevelType w:val="hybridMultilevel"/>
    <w:tmpl w:val="25CE9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6" w15:restartNumberingAfterBreak="0">
    <w:nsid w:val="1CCB5231"/>
    <w:multiLevelType w:val="hybridMultilevel"/>
    <w:tmpl w:val="0F4E8534"/>
    <w:lvl w:ilvl="0" w:tplc="7172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8"/>
  </w:num>
  <w:num w:numId="4">
    <w:abstractNumId w:val="17"/>
  </w:num>
  <w:num w:numId="5">
    <w:abstractNumId w:val="20"/>
  </w:num>
  <w:num w:numId="6">
    <w:abstractNumId w:val="19"/>
  </w:num>
  <w:num w:numId="7">
    <w:abstractNumId w:val="21"/>
  </w:num>
  <w:num w:numId="8">
    <w:abstractNumId w:val="14"/>
  </w:num>
  <w:num w:numId="9">
    <w:abstractNumId w:val="15"/>
  </w:num>
  <w:num w:numId="10">
    <w:abstractNumId w:val="13"/>
  </w:num>
  <w:num w:numId="11">
    <w:abstractNumId w:val="1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C5"/>
    <w:rsid w:val="00093730"/>
    <w:rsid w:val="000D0D0A"/>
    <w:rsid w:val="00103163"/>
    <w:rsid w:val="00115D93"/>
    <w:rsid w:val="001247A8"/>
    <w:rsid w:val="00133802"/>
    <w:rsid w:val="001378C0"/>
    <w:rsid w:val="0018694A"/>
    <w:rsid w:val="001A3287"/>
    <w:rsid w:val="001A6508"/>
    <w:rsid w:val="001D4C31"/>
    <w:rsid w:val="001E4D21"/>
    <w:rsid w:val="00207CD1"/>
    <w:rsid w:val="002477A2"/>
    <w:rsid w:val="00263A51"/>
    <w:rsid w:val="00265525"/>
    <w:rsid w:val="00267E02"/>
    <w:rsid w:val="002A5D44"/>
    <w:rsid w:val="002E0BC4"/>
    <w:rsid w:val="002F1B76"/>
    <w:rsid w:val="00316A26"/>
    <w:rsid w:val="00355FF5"/>
    <w:rsid w:val="00361350"/>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97463"/>
    <w:rsid w:val="005C3890"/>
    <w:rsid w:val="005F7BFE"/>
    <w:rsid w:val="00600017"/>
    <w:rsid w:val="006235CA"/>
    <w:rsid w:val="006643AB"/>
    <w:rsid w:val="006F5A3B"/>
    <w:rsid w:val="007210CD"/>
    <w:rsid w:val="00732045"/>
    <w:rsid w:val="007369DB"/>
    <w:rsid w:val="007956C2"/>
    <w:rsid w:val="007A187E"/>
    <w:rsid w:val="007C72C2"/>
    <w:rsid w:val="007D4436"/>
    <w:rsid w:val="007F257A"/>
    <w:rsid w:val="007F3665"/>
    <w:rsid w:val="00800037"/>
    <w:rsid w:val="00861D73"/>
    <w:rsid w:val="008A4E87"/>
    <w:rsid w:val="008D76E6"/>
    <w:rsid w:val="008F2DF1"/>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95B47"/>
    <w:rsid w:val="00BB4545"/>
    <w:rsid w:val="00BD5873"/>
    <w:rsid w:val="00C04BE3"/>
    <w:rsid w:val="00C04F72"/>
    <w:rsid w:val="00C25D29"/>
    <w:rsid w:val="00C27A7C"/>
    <w:rsid w:val="00CA08ED"/>
    <w:rsid w:val="00CF183B"/>
    <w:rsid w:val="00D375CD"/>
    <w:rsid w:val="00D553A2"/>
    <w:rsid w:val="00D635A6"/>
    <w:rsid w:val="00D774D3"/>
    <w:rsid w:val="00D904E8"/>
    <w:rsid w:val="00DA08C3"/>
    <w:rsid w:val="00DB5A3E"/>
    <w:rsid w:val="00DC22AA"/>
    <w:rsid w:val="00DF74DD"/>
    <w:rsid w:val="00E25AD0"/>
    <w:rsid w:val="00E921C5"/>
    <w:rsid w:val="00EB6350"/>
    <w:rsid w:val="00F15B57"/>
    <w:rsid w:val="00F427DB"/>
    <w:rsid w:val="00F94A39"/>
    <w:rsid w:val="00FA5EB1"/>
    <w:rsid w:val="00FA7439"/>
    <w:rsid w:val="00FB0213"/>
    <w:rsid w:val="00FC2C2D"/>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4FE844-76B0-458C-8DFA-CEE881BD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E921C5"/>
  </w:style>
  <w:style w:type="character" w:customStyle="1" w:styleId="Heading1Char">
    <w:name w:val="Heading 1 Char"/>
    <w:basedOn w:val="DefaultParagraphFont"/>
    <w:link w:val="Heading1"/>
    <w:rsid w:val="00E921C5"/>
    <w:rPr>
      <w:rFonts w:ascii="Calibri" w:hAnsi="Calibri"/>
      <w:b/>
      <w:sz w:val="28"/>
      <w:lang w:val="fr-FR" w:eastAsia="en-US"/>
    </w:rPr>
  </w:style>
  <w:style w:type="paragraph" w:customStyle="1" w:styleId="Title10">
    <w:name w:val="Title1"/>
    <w:basedOn w:val="Normal"/>
    <w:next w:val="Normal"/>
    <w:uiPriority w:val="10"/>
    <w:qFormat/>
    <w:rsid w:val="00E921C5"/>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E921C5"/>
    <w:rPr>
      <w:rFonts w:ascii="Calibri Light" w:eastAsia="SimSun" w:hAnsi="Calibri Light"/>
      <w:spacing w:val="-10"/>
      <w:kern w:val="28"/>
      <w:sz w:val="52"/>
      <w:szCs w:val="56"/>
    </w:rPr>
  </w:style>
  <w:style w:type="character" w:customStyle="1" w:styleId="HeaderChar">
    <w:name w:val="Header Char"/>
    <w:aliases w:val="encabezado Char"/>
    <w:basedOn w:val="DefaultParagraphFont"/>
    <w:link w:val="Header"/>
    <w:rsid w:val="00E921C5"/>
    <w:rPr>
      <w:rFonts w:ascii="Calibri" w:hAnsi="Calibri"/>
      <w:sz w:val="18"/>
      <w:lang w:val="fr-FR" w:eastAsia="en-US"/>
    </w:rPr>
  </w:style>
  <w:style w:type="character" w:customStyle="1" w:styleId="FooterChar">
    <w:name w:val="Footer Char"/>
    <w:basedOn w:val="DefaultParagraphFont"/>
    <w:link w:val="Footer"/>
    <w:rsid w:val="00E921C5"/>
    <w:rPr>
      <w:rFonts w:ascii="Calibri" w:hAnsi="Calibri"/>
      <w:caps/>
      <w:noProof/>
      <w:sz w:val="16"/>
      <w:lang w:val="fr-FR" w:eastAsia="en-US"/>
    </w:rPr>
  </w:style>
  <w:style w:type="character" w:styleId="PlaceholderText">
    <w:name w:val="Placeholder Text"/>
    <w:basedOn w:val="DefaultParagraphFont"/>
    <w:uiPriority w:val="99"/>
    <w:semiHidden/>
    <w:rsid w:val="00E921C5"/>
    <w:rPr>
      <w:color w:val="808080"/>
    </w:rPr>
  </w:style>
  <w:style w:type="character" w:customStyle="1" w:styleId="Heading2Char">
    <w:name w:val="Heading 2 Char"/>
    <w:basedOn w:val="DefaultParagraphFont"/>
    <w:link w:val="Heading2"/>
    <w:rsid w:val="00E921C5"/>
    <w:rPr>
      <w:rFonts w:ascii="Calibri" w:hAnsi="Calibri"/>
      <w:b/>
      <w:sz w:val="24"/>
      <w:lang w:val="fr-FR" w:eastAsia="en-US"/>
    </w:rPr>
  </w:style>
  <w:style w:type="character" w:customStyle="1" w:styleId="Heading3Char">
    <w:name w:val="Heading 3 Char"/>
    <w:basedOn w:val="DefaultParagraphFont"/>
    <w:link w:val="Heading3"/>
    <w:rsid w:val="00E921C5"/>
    <w:rPr>
      <w:rFonts w:ascii="Calibri" w:hAnsi="Calibri"/>
      <w:b/>
      <w:sz w:val="24"/>
      <w:lang w:val="fr-FR" w:eastAsia="en-US"/>
    </w:rPr>
  </w:style>
  <w:style w:type="character" w:styleId="Strong">
    <w:name w:val="Strong"/>
    <w:basedOn w:val="DefaultParagraphFont"/>
    <w:uiPriority w:val="22"/>
    <w:qFormat/>
    <w:rsid w:val="00E921C5"/>
    <w:rPr>
      <w:b/>
      <w:bCs/>
    </w:rPr>
  </w:style>
  <w:style w:type="paragraph" w:styleId="ListParagraph">
    <w:name w:val="List Paragraph"/>
    <w:basedOn w:val="Normal"/>
    <w:uiPriority w:val="34"/>
    <w:qFormat/>
    <w:rsid w:val="00E921C5"/>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E921C5"/>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E921C5"/>
    <w:rPr>
      <w:i/>
      <w:iCs/>
      <w:color w:val="5B9BD5"/>
    </w:rPr>
  </w:style>
  <w:style w:type="character" w:customStyle="1" w:styleId="IntenseReference1">
    <w:name w:val="Intense Reference1"/>
    <w:basedOn w:val="DefaultParagraphFont"/>
    <w:uiPriority w:val="32"/>
    <w:qFormat/>
    <w:rsid w:val="00E921C5"/>
    <w:rPr>
      <w:b/>
      <w:bCs/>
      <w:smallCaps/>
      <w:color w:val="5B9BD5"/>
      <w:spacing w:val="5"/>
    </w:rPr>
  </w:style>
  <w:style w:type="character" w:customStyle="1" w:styleId="SubtleReference1">
    <w:name w:val="Subtle Reference1"/>
    <w:basedOn w:val="DefaultParagraphFont"/>
    <w:uiPriority w:val="31"/>
    <w:qFormat/>
    <w:rsid w:val="00E921C5"/>
    <w:rPr>
      <w:smallCaps/>
      <w:color w:val="5A5A5A"/>
    </w:rPr>
  </w:style>
  <w:style w:type="paragraph" w:customStyle="1" w:styleId="SimpleHeading">
    <w:name w:val="Simple Heading"/>
    <w:basedOn w:val="Normal"/>
    <w:link w:val="SimpleHeadingChar"/>
    <w:qFormat/>
    <w:rsid w:val="00E921C5"/>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E921C5"/>
    <w:rPr>
      <w:rFonts w:ascii="Calibri" w:eastAsia="SimSun" w:hAnsi="Calibri" w:cs="Arial"/>
      <w:b/>
      <w:sz w:val="22"/>
      <w:szCs w:val="22"/>
      <w:lang w:val="fr-CH"/>
    </w:rPr>
  </w:style>
  <w:style w:type="paragraph" w:customStyle="1" w:styleId="Ideas">
    <w:name w:val="Ideas"/>
    <w:basedOn w:val="Heading1"/>
    <w:link w:val="IdeasChar"/>
    <w:qFormat/>
    <w:rsid w:val="00E921C5"/>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E921C5"/>
    <w:rPr>
      <w:rFonts w:ascii="Calibri" w:eastAsia="SimSun" w:hAnsi="Calibri" w:cs="Arial"/>
      <w:b/>
      <w:color w:val="70AD47"/>
      <w:sz w:val="28"/>
      <w:szCs w:val="22"/>
      <w:lang w:val="fr-CH" w:eastAsia="en-US"/>
    </w:rPr>
  </w:style>
  <w:style w:type="table" w:styleId="TableGrid">
    <w:name w:val="Table Grid"/>
    <w:basedOn w:val="TableNormal"/>
    <w:uiPriority w:val="39"/>
    <w:rsid w:val="00E921C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E921C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921C5"/>
    <w:rPr>
      <w:sz w:val="16"/>
      <w:szCs w:val="16"/>
    </w:rPr>
  </w:style>
  <w:style w:type="paragraph" w:styleId="CommentText">
    <w:name w:val="annotation text"/>
    <w:basedOn w:val="Normal"/>
    <w:link w:val="CommentTextChar"/>
    <w:uiPriority w:val="99"/>
    <w:semiHidden/>
    <w:unhideWhenUsed/>
    <w:rsid w:val="00E921C5"/>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E921C5"/>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E921C5"/>
    <w:rPr>
      <w:b/>
      <w:bCs/>
    </w:rPr>
  </w:style>
  <w:style w:type="character" w:customStyle="1" w:styleId="CommentSubjectChar">
    <w:name w:val="Comment Subject Char"/>
    <w:basedOn w:val="CommentTextChar"/>
    <w:link w:val="CommentSubject"/>
    <w:uiPriority w:val="99"/>
    <w:semiHidden/>
    <w:rsid w:val="00E921C5"/>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E921C5"/>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E921C5"/>
    <w:rPr>
      <w:rFonts w:ascii="Segoe UI" w:eastAsia="SimSun" w:hAnsi="Segoe UI" w:cs="Segoe UI"/>
      <w:sz w:val="18"/>
      <w:szCs w:val="18"/>
      <w:lang w:val="fr-CH"/>
    </w:rPr>
  </w:style>
  <w:style w:type="paragraph" w:customStyle="1" w:styleId="Otherideas">
    <w:name w:val="Other ideas"/>
    <w:basedOn w:val="Heading2"/>
    <w:link w:val="OtherideasChar"/>
    <w:qFormat/>
    <w:rsid w:val="00E921C5"/>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E921C5"/>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E921C5"/>
    <w:rPr>
      <w:rFonts w:ascii="Calibri" w:hAnsi="Calibri"/>
      <w:b/>
      <w:sz w:val="24"/>
      <w:lang w:val="fr-FR" w:eastAsia="en-US"/>
    </w:rPr>
  </w:style>
  <w:style w:type="character" w:customStyle="1" w:styleId="Heading5Char">
    <w:name w:val="Heading 5 Char"/>
    <w:basedOn w:val="DefaultParagraphFont"/>
    <w:link w:val="Heading5"/>
    <w:rsid w:val="00E921C5"/>
    <w:rPr>
      <w:rFonts w:ascii="Calibri" w:hAnsi="Calibri"/>
      <w:b/>
      <w:sz w:val="24"/>
      <w:lang w:val="fr-FR" w:eastAsia="en-US"/>
    </w:rPr>
  </w:style>
  <w:style w:type="character" w:customStyle="1" w:styleId="Heading6Char">
    <w:name w:val="Heading 6 Char"/>
    <w:basedOn w:val="DefaultParagraphFont"/>
    <w:link w:val="Heading6"/>
    <w:rsid w:val="00E921C5"/>
    <w:rPr>
      <w:rFonts w:ascii="Calibri" w:hAnsi="Calibri"/>
      <w:b/>
      <w:sz w:val="24"/>
      <w:lang w:val="fr-FR" w:eastAsia="en-US"/>
    </w:rPr>
  </w:style>
  <w:style w:type="character" w:customStyle="1" w:styleId="Heading7Char">
    <w:name w:val="Heading 7 Char"/>
    <w:basedOn w:val="DefaultParagraphFont"/>
    <w:link w:val="Heading7"/>
    <w:rsid w:val="00E921C5"/>
    <w:rPr>
      <w:rFonts w:ascii="Calibri" w:hAnsi="Calibri"/>
      <w:b/>
      <w:sz w:val="24"/>
      <w:lang w:val="fr-FR" w:eastAsia="en-US"/>
    </w:rPr>
  </w:style>
  <w:style w:type="character" w:customStyle="1" w:styleId="Heading8Char">
    <w:name w:val="Heading 8 Char"/>
    <w:basedOn w:val="DefaultParagraphFont"/>
    <w:link w:val="Heading8"/>
    <w:rsid w:val="00E921C5"/>
    <w:rPr>
      <w:rFonts w:ascii="Calibri" w:hAnsi="Calibri"/>
      <w:b/>
      <w:sz w:val="24"/>
      <w:lang w:val="fr-FR" w:eastAsia="en-US"/>
    </w:rPr>
  </w:style>
  <w:style w:type="character" w:customStyle="1" w:styleId="Heading9Char">
    <w:name w:val="Heading 9 Char"/>
    <w:basedOn w:val="DefaultParagraphFont"/>
    <w:link w:val="Heading9"/>
    <w:rsid w:val="00E921C5"/>
    <w:rPr>
      <w:rFonts w:ascii="Calibri" w:hAnsi="Calibri"/>
      <w:b/>
      <w:sz w:val="24"/>
      <w:lang w:val="fr-FR" w:eastAsia="en-US"/>
    </w:rPr>
  </w:style>
  <w:style w:type="table" w:customStyle="1" w:styleId="PlainTable21">
    <w:name w:val="Plain Table 21"/>
    <w:basedOn w:val="TableNormal"/>
    <w:uiPriority w:val="42"/>
    <w:rsid w:val="00E921C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E921C5"/>
    <w:rPr>
      <w:rFonts w:ascii="Calibri" w:hAnsi="Calibri"/>
      <w:sz w:val="24"/>
      <w:lang w:val="fr-FR" w:eastAsia="en-US"/>
    </w:rPr>
  </w:style>
  <w:style w:type="table" w:customStyle="1" w:styleId="GridTable4-Accent11">
    <w:name w:val="Grid Table 4 - Accent 11"/>
    <w:basedOn w:val="TableNormal"/>
    <w:uiPriority w:val="49"/>
    <w:rsid w:val="00E921C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E921C5"/>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E921C5"/>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E921C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E921C5"/>
    <w:rPr>
      <w:rFonts w:ascii="Calibri" w:eastAsia="Calibri" w:hAnsi="Calibri" w:cs="Arial"/>
      <w:sz w:val="22"/>
      <w:szCs w:val="22"/>
      <w:lang w:eastAsia="en-US"/>
    </w:rPr>
  </w:style>
  <w:style w:type="paragraph" w:customStyle="1" w:styleId="Docnumber">
    <w:name w:val="Docnumber"/>
    <w:basedOn w:val="Normal"/>
    <w:link w:val="DocnumberChar"/>
    <w:rsid w:val="00E921C5"/>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pPr>
    <w:rPr>
      <w:rFonts w:ascii="Times New Roman" w:eastAsia="SimSun" w:hAnsi="Times New Roman" w:cs="Arial"/>
      <w:b/>
      <w:bCs/>
      <w:sz w:val="40"/>
      <w:szCs w:val="22"/>
      <w:lang w:val="fr-CH" w:eastAsia="zh-CN"/>
    </w:rPr>
  </w:style>
  <w:style w:type="character" w:customStyle="1" w:styleId="DocnumberChar">
    <w:name w:val="Docnumber Char"/>
    <w:basedOn w:val="DefaultParagraphFont"/>
    <w:link w:val="Docnumber"/>
    <w:rsid w:val="00E921C5"/>
    <w:rPr>
      <w:rFonts w:ascii="Times New Roman" w:eastAsia="SimSun" w:hAnsi="Times New Roman" w:cs="Arial"/>
      <w:b/>
      <w:bCs/>
      <w:sz w:val="40"/>
      <w:szCs w:val="22"/>
      <w:lang w:val="fr-CH"/>
    </w:rPr>
  </w:style>
  <w:style w:type="paragraph" w:customStyle="1" w:styleId="docnoted">
    <w:name w:val="docnoted"/>
    <w:basedOn w:val="Normal"/>
    <w:next w:val="Head"/>
    <w:rsid w:val="00E921C5"/>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E921C5"/>
    <w:rPr>
      <w:vertAlign w:val="superscript"/>
    </w:rPr>
  </w:style>
  <w:style w:type="paragraph" w:styleId="Title">
    <w:name w:val="Title"/>
    <w:basedOn w:val="Normal"/>
    <w:next w:val="Normal"/>
    <w:link w:val="TitleChar"/>
    <w:uiPriority w:val="10"/>
    <w:qFormat/>
    <w:rsid w:val="00E921C5"/>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E921C5"/>
    <w:rPr>
      <w:rFonts w:asciiTheme="majorHAnsi" w:eastAsiaTheme="majorEastAsia" w:hAnsiTheme="majorHAnsi" w:cstheme="majorBidi"/>
      <w:spacing w:val="-10"/>
      <w:kern w:val="28"/>
      <w:sz w:val="56"/>
      <w:szCs w:val="56"/>
      <w:lang w:val="fr-FR" w:eastAsia="en-US"/>
    </w:rPr>
  </w:style>
  <w:style w:type="paragraph" w:styleId="IntenseQuote">
    <w:name w:val="Intense Quote"/>
    <w:basedOn w:val="Normal"/>
    <w:next w:val="Normal"/>
    <w:link w:val="IntenseQuoteChar"/>
    <w:uiPriority w:val="30"/>
    <w:qFormat/>
    <w:rsid w:val="00E921C5"/>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E921C5"/>
    <w:rPr>
      <w:rFonts w:ascii="Calibri" w:hAnsi="Calibri"/>
      <w:i/>
      <w:iCs/>
      <w:color w:val="4F81BD" w:themeColor="accent1"/>
      <w:sz w:val="24"/>
      <w:lang w:val="fr-FR" w:eastAsia="en-US"/>
    </w:rPr>
  </w:style>
  <w:style w:type="character" w:styleId="IntenseReference">
    <w:name w:val="Intense Reference"/>
    <w:basedOn w:val="DefaultParagraphFont"/>
    <w:uiPriority w:val="32"/>
    <w:qFormat/>
    <w:rsid w:val="00E921C5"/>
    <w:rPr>
      <w:b/>
      <w:bCs/>
      <w:smallCaps/>
      <w:color w:val="4F81BD" w:themeColor="accent1"/>
      <w:spacing w:val="5"/>
    </w:rPr>
  </w:style>
  <w:style w:type="character" w:styleId="SubtleReference">
    <w:name w:val="Subtle Reference"/>
    <w:basedOn w:val="DefaultParagraphFont"/>
    <w:uiPriority w:val="31"/>
    <w:qFormat/>
    <w:rsid w:val="00E921C5"/>
    <w:rPr>
      <w:smallCaps/>
      <w:color w:val="5A5A5A" w:themeColor="text1" w:themeTint="A5"/>
    </w:rPr>
  </w:style>
  <w:style w:type="paragraph" w:styleId="Caption">
    <w:name w:val="caption"/>
    <w:basedOn w:val="Normal"/>
    <w:next w:val="Normal"/>
    <w:uiPriority w:val="35"/>
    <w:unhideWhenUsed/>
    <w:qFormat/>
    <w:rsid w:val="00E921C5"/>
    <w:pPr>
      <w:tabs>
        <w:tab w:val="clear" w:pos="567"/>
        <w:tab w:val="clear" w:pos="1134"/>
        <w:tab w:val="clear" w:pos="1701"/>
        <w:tab w:val="clear" w:pos="2268"/>
        <w:tab w:val="clear" w:pos="2835"/>
      </w:tabs>
      <w:overflowPunct/>
      <w:autoSpaceDE/>
      <w:autoSpaceDN/>
      <w:adjustRightInd/>
      <w:spacing w:before="0" w:after="200" w:line="259" w:lineRule="auto"/>
      <w:textAlignment w:val="auto"/>
    </w:pPr>
    <w:rPr>
      <w:rFonts w:asciiTheme="minorHAnsi" w:eastAsiaTheme="minorEastAsia" w:hAnsiTheme="minorHAnsi" w:cstheme="minorBidi"/>
      <w:i/>
      <w:iCs/>
      <w:color w:val="1F497D" w:themeColor="text2"/>
      <w:sz w:val="18"/>
      <w:szCs w:val="18"/>
      <w:lang w:val="en-US" w:eastAsia="zh-CN"/>
    </w:rPr>
  </w:style>
  <w:style w:type="paragraph" w:customStyle="1" w:styleId="Heading1LatinBodyCalibri">
    <w:name w:val="Heading 1 + (Latin) +Body (Calibri)"/>
    <w:aliases w:val="(Asian) +Headings Asian (SimSun),(Compl..."/>
    <w:basedOn w:val="Heading1"/>
    <w:rsid w:val="00FC2C2D"/>
    <w:pPr>
      <w:tabs>
        <w:tab w:val="clear" w:pos="567"/>
        <w:tab w:val="clear" w:pos="1134"/>
        <w:tab w:val="clear" w:pos="1701"/>
        <w:tab w:val="clear" w:pos="2268"/>
        <w:tab w:val="clear" w:pos="2835"/>
      </w:tabs>
      <w:overflowPunct/>
      <w:autoSpaceDE/>
      <w:autoSpaceDN/>
      <w:adjustRightInd/>
      <w:spacing w:before="60" w:after="60" w:line="259" w:lineRule="auto"/>
      <w:ind w:left="432" w:hanging="432"/>
      <w:jc w:val="both"/>
      <w:textAlignment w:val="auto"/>
    </w:pPr>
    <w:rPr>
      <w:rFonts w:asciiTheme="minorHAnsi" w:eastAsiaTheme="majorEastAsia" w:hAnsiTheme="min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32/fr" TargetMode="External"/><Relationship Id="rId13" Type="http://schemas.openxmlformats.org/officeDocument/2006/relationships/header" Target="header2.xml"/><Relationship Id="rId18" Type="http://schemas.openxmlformats.org/officeDocument/2006/relationships/package" Target="embeddings/Microsoft_PowerPoint_Slide1.sldx"/><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itu.int/pub/S-CONF-PLEN-2015"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itu.int/pub/S-CONF-PLEN-2015" TargetMode="External"/><Relationship Id="rId14" Type="http://schemas.openxmlformats.org/officeDocument/2006/relationships/footer" Target="footer1.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a:t>
            </a:r>
            <a:r>
              <a:rPr lang="en-US" sz="1400" b="0" baseline="0">
                <a:solidFill>
                  <a:schemeClr val="accent1"/>
                </a:solidFill>
                <a:latin typeface="+mj-lt"/>
              </a:rPr>
              <a:t> prévisonnelle des ressources par objectif</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xmlns:c16r2="http://schemas.microsoft.com/office/drawing/2015/06/char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xmlns:c16r2="http://schemas.microsoft.com/office/drawing/2015/06/char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xmlns:c16r2="http://schemas.microsoft.com/office/drawing/2015/06/char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xmlns:c16r2="http://schemas.microsoft.com/office/drawing/2015/06/char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D52-4CC2-8C67-1B551B732E7B}"/>
                </c:ext>
                <c:ext xmlns:c15="http://schemas.microsoft.com/office/drawing/2012/chart" uri="{CE6537A1-D6FC-4f65-9D91-7224C49458BB}">
                  <c15:layout/>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D52-4CC2-8C67-1B551B732E7B}"/>
                </c:ext>
                <c:ext xmlns:c15="http://schemas.microsoft.com/office/drawing/2012/chart" uri="{CE6537A1-D6FC-4f65-9D91-7224C49458BB}">
                  <c15:layout/>
                </c:ext>
              </c:extLst>
            </c:dLbl>
            <c:dLbl>
              <c:idx val="2"/>
              <c:layout>
                <c:manualLayout>
                  <c:x val="0.11703368328958877"/>
                  <c:y val="2.4792213473315835E-2"/>
                </c:manualLayout>
              </c:layout>
              <c:tx>
                <c:rich>
                  <a:bodyPr/>
                  <a:lstStyle/>
                  <a:p>
                    <a:r>
                      <a:rPr lang="en-US"/>
                      <a:t>10%</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D52-4CC2-8C67-1B551B732E7B}"/>
                </c:ext>
                <c:ext xmlns:c15="http://schemas.microsoft.com/office/drawing/2012/chart" uri="{CE6537A1-D6FC-4f65-9D91-7224C49458BB}">
                  <c15:layout/>
                </c:ext>
              </c:extLst>
            </c:dLbl>
            <c:dLbl>
              <c:idx val="3"/>
              <c:layout>
                <c:manualLayout>
                  <c:x val="9.4896106736657923E-2"/>
                  <c:y val="0.110425051035287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D52-4CC2-8C67-1B551B732E7B}"/>
                </c:ext>
                <c:ext xmlns:c15="http://schemas.microsoft.com/office/drawing/2012/chart" uri="{CE6537A1-D6FC-4f65-9D91-7224C49458BB}">
                  <c15:layout/>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D52-4CC2-8C67-1B551B732E7B}"/>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xmlns:c16r2="http://schemas.microsoft.com/office/drawing/2015/06/char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xmlns:c16r2="http://schemas.microsoft.com/office/drawing/2015/06/char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xmlns:c16r2="http://schemas.microsoft.com/office/drawing/2015/06/char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0863385826771652"/>
          <c:y val="0.36507946923301254"/>
          <c:w val="0.17747725284339458"/>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17</Pages>
  <Words>4118</Words>
  <Characters>24157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28219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C2017, C17</cp:keywords>
  <dc:description/>
  <cp:lastModifiedBy>Janin</cp:lastModifiedBy>
  <cp:revision>2</cp:revision>
  <cp:lastPrinted>2000-07-18T08:55:00Z</cp:lastPrinted>
  <dcterms:created xsi:type="dcterms:W3CDTF">2017-04-19T06:11:00Z</dcterms:created>
  <dcterms:modified xsi:type="dcterms:W3CDTF">2017-04-19T06:11:00Z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