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21B7" w:rsidRPr="00813E5E">
        <w:trPr>
          <w:cantSplit/>
        </w:trPr>
        <w:tc>
          <w:tcPr>
            <w:tcW w:w="6911" w:type="dxa"/>
          </w:tcPr>
          <w:p w:rsidR="00D921B7" w:rsidRPr="00813E5E" w:rsidRDefault="00D921B7" w:rsidP="00D921B7">
            <w:pPr>
              <w:spacing w:before="360" w:after="48" w:line="240" w:lineRule="atLeast"/>
              <w:rPr>
                <w:position w:val="6"/>
              </w:rPr>
            </w:pPr>
            <w:bookmarkStart w:id="0" w:name="dc06"/>
            <w:bookmarkStart w:id="1" w:name="_GoBack"/>
            <w:bookmarkEnd w:id="0"/>
            <w:bookmarkEnd w:id="1"/>
            <w:r w:rsidRPr="00D921B7">
              <w:rPr>
                <w:b/>
                <w:bCs/>
                <w:position w:val="6"/>
                <w:sz w:val="30"/>
                <w:szCs w:val="30"/>
                <w:lang w:val="fr-CH"/>
              </w:rPr>
              <w:t>Council 2017</w:t>
            </w:r>
            <w:r w:rsidRPr="00D921B7">
              <w:rPr>
                <w:rFonts w:cs="Times"/>
                <w:b/>
                <w:position w:val="6"/>
                <w:sz w:val="26"/>
                <w:szCs w:val="26"/>
                <w:lang w:val="en-US"/>
              </w:rPr>
              <w:br/>
            </w:r>
            <w:r w:rsidRPr="00D921B7">
              <w:rPr>
                <w:b/>
                <w:bCs/>
                <w:position w:val="6"/>
                <w:szCs w:val="24"/>
                <w:lang w:val="fr-CH"/>
              </w:rPr>
              <w:t>Geneva, 15-25 May 2017</w:t>
            </w:r>
          </w:p>
        </w:tc>
        <w:tc>
          <w:tcPr>
            <w:tcW w:w="3120" w:type="dxa"/>
          </w:tcPr>
          <w:p w:rsidR="00D921B7" w:rsidRPr="00813E5E" w:rsidRDefault="00D921B7" w:rsidP="00D921B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D921B7" w:rsidRPr="00813E5E">
        <w:trPr>
          <w:cantSplit/>
        </w:trPr>
        <w:tc>
          <w:tcPr>
            <w:tcW w:w="6911" w:type="dxa"/>
            <w:tcBorders>
              <w:bottom w:val="single" w:sz="12" w:space="0" w:color="auto"/>
            </w:tcBorders>
          </w:tcPr>
          <w:p w:rsidR="00D921B7" w:rsidRPr="00813E5E" w:rsidRDefault="00D921B7">
            <w:pPr>
              <w:spacing w:before="0" w:after="48" w:line="240" w:lineRule="atLeast"/>
              <w:rPr>
                <w:b/>
                <w:smallCaps/>
                <w:szCs w:val="24"/>
              </w:rPr>
            </w:pPr>
          </w:p>
        </w:tc>
        <w:tc>
          <w:tcPr>
            <w:tcW w:w="3120" w:type="dxa"/>
            <w:tcBorders>
              <w:bottom w:val="single" w:sz="12" w:space="0" w:color="auto"/>
            </w:tcBorders>
          </w:tcPr>
          <w:p w:rsidR="00D921B7" w:rsidRPr="00813E5E" w:rsidRDefault="00D921B7">
            <w:pPr>
              <w:spacing w:before="0" w:line="240" w:lineRule="atLeast"/>
              <w:rPr>
                <w:szCs w:val="24"/>
              </w:rPr>
            </w:pPr>
          </w:p>
        </w:tc>
      </w:tr>
      <w:tr w:rsidR="00D921B7" w:rsidRPr="00813E5E">
        <w:trPr>
          <w:cantSplit/>
        </w:trPr>
        <w:tc>
          <w:tcPr>
            <w:tcW w:w="6911" w:type="dxa"/>
            <w:tcBorders>
              <w:top w:val="single" w:sz="12" w:space="0" w:color="auto"/>
            </w:tcBorders>
          </w:tcPr>
          <w:p w:rsidR="00D921B7" w:rsidRPr="00813E5E" w:rsidRDefault="00D921B7">
            <w:pPr>
              <w:spacing w:before="0" w:after="48" w:line="240" w:lineRule="atLeast"/>
              <w:rPr>
                <w:b/>
                <w:smallCaps/>
                <w:szCs w:val="24"/>
              </w:rPr>
            </w:pPr>
          </w:p>
        </w:tc>
        <w:tc>
          <w:tcPr>
            <w:tcW w:w="3120" w:type="dxa"/>
            <w:tcBorders>
              <w:top w:val="single" w:sz="12" w:space="0" w:color="auto"/>
            </w:tcBorders>
          </w:tcPr>
          <w:p w:rsidR="00D921B7" w:rsidRPr="00813E5E" w:rsidRDefault="00D921B7">
            <w:pPr>
              <w:spacing w:before="0" w:line="240" w:lineRule="atLeast"/>
              <w:rPr>
                <w:szCs w:val="24"/>
              </w:rPr>
            </w:pPr>
          </w:p>
        </w:tc>
      </w:tr>
      <w:tr w:rsidR="00D921B7" w:rsidRPr="00813E5E">
        <w:trPr>
          <w:cantSplit/>
          <w:trHeight w:val="23"/>
        </w:trPr>
        <w:tc>
          <w:tcPr>
            <w:tcW w:w="6911" w:type="dxa"/>
            <w:vMerge w:val="restart"/>
          </w:tcPr>
          <w:p w:rsidR="00D921B7" w:rsidRPr="00D921B7" w:rsidRDefault="00D921B7" w:rsidP="00D921B7">
            <w:pPr>
              <w:tabs>
                <w:tab w:val="left" w:pos="851"/>
              </w:tabs>
              <w:spacing w:before="0" w:line="240" w:lineRule="atLeast"/>
              <w:rPr>
                <w:b/>
              </w:rPr>
            </w:pPr>
            <w:bookmarkStart w:id="3" w:name="dmeeting" w:colFirst="0" w:colLast="0"/>
            <w:bookmarkStart w:id="4" w:name="dnum" w:colFirst="1" w:colLast="1"/>
            <w:r>
              <w:rPr>
                <w:b/>
              </w:rPr>
              <w:t>Agenda item: PL 1.16</w:t>
            </w:r>
          </w:p>
        </w:tc>
        <w:tc>
          <w:tcPr>
            <w:tcW w:w="3120" w:type="dxa"/>
          </w:tcPr>
          <w:p w:rsidR="00D921B7" w:rsidRPr="00D921B7" w:rsidRDefault="00D921B7" w:rsidP="00D921B7">
            <w:pPr>
              <w:tabs>
                <w:tab w:val="left" w:pos="851"/>
              </w:tabs>
              <w:spacing w:before="0" w:line="240" w:lineRule="atLeast"/>
              <w:rPr>
                <w:b/>
              </w:rPr>
            </w:pPr>
            <w:r>
              <w:rPr>
                <w:b/>
              </w:rPr>
              <w:t>Document C17/29-E</w:t>
            </w:r>
          </w:p>
        </w:tc>
      </w:tr>
      <w:tr w:rsidR="00D921B7" w:rsidRPr="00813E5E">
        <w:trPr>
          <w:cantSplit/>
          <w:trHeight w:val="23"/>
        </w:trPr>
        <w:tc>
          <w:tcPr>
            <w:tcW w:w="6911" w:type="dxa"/>
            <w:vMerge/>
          </w:tcPr>
          <w:p w:rsidR="00D921B7" w:rsidRPr="00813E5E" w:rsidRDefault="00D921B7">
            <w:pPr>
              <w:tabs>
                <w:tab w:val="left" w:pos="851"/>
              </w:tabs>
              <w:spacing w:line="240" w:lineRule="atLeast"/>
              <w:rPr>
                <w:b/>
              </w:rPr>
            </w:pPr>
            <w:bookmarkStart w:id="5" w:name="ddate" w:colFirst="1" w:colLast="1"/>
            <w:bookmarkEnd w:id="3"/>
            <w:bookmarkEnd w:id="4"/>
          </w:p>
        </w:tc>
        <w:tc>
          <w:tcPr>
            <w:tcW w:w="3120" w:type="dxa"/>
          </w:tcPr>
          <w:p w:rsidR="00D921B7" w:rsidRPr="00D921B7" w:rsidRDefault="00D921B7" w:rsidP="00D921B7">
            <w:pPr>
              <w:tabs>
                <w:tab w:val="left" w:pos="993"/>
              </w:tabs>
              <w:spacing w:before="0"/>
              <w:rPr>
                <w:b/>
              </w:rPr>
            </w:pPr>
            <w:r>
              <w:rPr>
                <w:b/>
              </w:rPr>
              <w:t>31 March 2017</w:t>
            </w:r>
          </w:p>
        </w:tc>
      </w:tr>
      <w:tr w:rsidR="00D921B7" w:rsidRPr="00813E5E">
        <w:trPr>
          <w:cantSplit/>
          <w:trHeight w:val="23"/>
        </w:trPr>
        <w:tc>
          <w:tcPr>
            <w:tcW w:w="6911" w:type="dxa"/>
            <w:vMerge/>
          </w:tcPr>
          <w:p w:rsidR="00D921B7" w:rsidRPr="00813E5E" w:rsidRDefault="00D921B7">
            <w:pPr>
              <w:tabs>
                <w:tab w:val="left" w:pos="851"/>
              </w:tabs>
              <w:spacing w:line="240" w:lineRule="atLeast"/>
              <w:rPr>
                <w:b/>
              </w:rPr>
            </w:pPr>
            <w:bookmarkStart w:id="6" w:name="dorlang" w:colFirst="1" w:colLast="1"/>
            <w:bookmarkEnd w:id="5"/>
          </w:p>
        </w:tc>
        <w:tc>
          <w:tcPr>
            <w:tcW w:w="3120" w:type="dxa"/>
          </w:tcPr>
          <w:p w:rsidR="00D921B7" w:rsidRPr="00D921B7" w:rsidRDefault="00D921B7" w:rsidP="00D921B7">
            <w:pPr>
              <w:tabs>
                <w:tab w:val="left" w:pos="993"/>
              </w:tabs>
              <w:spacing w:before="0"/>
              <w:rPr>
                <w:b/>
              </w:rPr>
            </w:pPr>
            <w:r>
              <w:rPr>
                <w:b/>
              </w:rPr>
              <w:t>Original: English</w:t>
            </w:r>
          </w:p>
        </w:tc>
      </w:tr>
      <w:tr w:rsidR="00D921B7" w:rsidRPr="00813E5E">
        <w:trPr>
          <w:cantSplit/>
        </w:trPr>
        <w:tc>
          <w:tcPr>
            <w:tcW w:w="10031" w:type="dxa"/>
            <w:gridSpan w:val="2"/>
          </w:tcPr>
          <w:p w:rsidR="00D921B7" w:rsidRPr="00813E5E" w:rsidRDefault="00D921B7">
            <w:pPr>
              <w:pStyle w:val="Source"/>
            </w:pPr>
            <w:bookmarkStart w:id="7" w:name="dsource" w:colFirst="0" w:colLast="0"/>
            <w:bookmarkEnd w:id="6"/>
            <w:r>
              <w:t>Report by the Secretary-General</w:t>
            </w:r>
          </w:p>
        </w:tc>
      </w:tr>
      <w:tr w:rsidR="00D921B7" w:rsidRPr="00813E5E">
        <w:trPr>
          <w:cantSplit/>
        </w:trPr>
        <w:tc>
          <w:tcPr>
            <w:tcW w:w="10031" w:type="dxa"/>
            <w:gridSpan w:val="2"/>
          </w:tcPr>
          <w:p w:rsidR="00D921B7" w:rsidRPr="00813E5E" w:rsidRDefault="00D921B7" w:rsidP="00D921B7">
            <w:pPr>
              <w:pStyle w:val="Title1"/>
            </w:pPr>
            <w:bookmarkStart w:id="8" w:name="dtitle1" w:colFirst="0" w:colLast="0"/>
            <w:bookmarkEnd w:id="7"/>
            <w:r>
              <w:t xml:space="preserve">DRAFT FOUR-YEAR ROLLING OPERATIONAL PLAN FOR THE </w:t>
            </w:r>
            <w:r>
              <w:br/>
              <w:t>TELECOMMUNICATION STANDARDIZATION SECTOR FOR 2018-2021</w:t>
            </w:r>
          </w:p>
        </w:tc>
      </w:tr>
      <w:bookmarkEnd w:id="8"/>
    </w:tbl>
    <w:p w:rsidR="00D921B7" w:rsidRPr="00813E5E" w:rsidRDefault="00D921B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21B7"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D921B7" w:rsidRPr="00813E5E" w:rsidRDefault="00D921B7">
            <w:pPr>
              <w:pStyle w:val="Headingb"/>
            </w:pPr>
            <w:r w:rsidRPr="00813E5E">
              <w:t>Summary</w:t>
            </w:r>
          </w:p>
          <w:p w:rsidR="00D921B7" w:rsidRDefault="00D921B7" w:rsidP="00E30334">
            <w:pPr>
              <w:jc w:val="both"/>
            </w:pPr>
            <w:r>
              <w:t>This document presents the draft four-year rolling Operational Plan for the Telecommunication Standardization Sector (ITU-T) for the period 2018-2021.</w:t>
            </w:r>
          </w:p>
          <w:p w:rsidR="00D921B7" w:rsidRPr="00813E5E" w:rsidRDefault="00D921B7" w:rsidP="00E30334">
            <w:pPr>
              <w:jc w:val="both"/>
            </w:pPr>
            <w:r>
              <w:t>The Plan is published pursuant to No. 205A of Article 15 of the ITU Convention which provides that the operational plan of activities to be undertaken by the Telecommunication Standardization Bureau shall be prepared annually, on a four-year rolling basis.</w:t>
            </w:r>
          </w:p>
          <w:p w:rsidR="00D921B7" w:rsidRPr="00813E5E" w:rsidRDefault="00D921B7" w:rsidP="00E30334">
            <w:pPr>
              <w:pStyle w:val="Headingb"/>
              <w:jc w:val="both"/>
            </w:pPr>
            <w:r w:rsidRPr="00813E5E">
              <w:t>Action required</w:t>
            </w:r>
          </w:p>
          <w:p w:rsidR="00D921B7" w:rsidRPr="00813E5E" w:rsidRDefault="00D921B7" w:rsidP="00E30334">
            <w:pPr>
              <w:jc w:val="both"/>
            </w:pPr>
            <w:r w:rsidRPr="00D921B7">
              <w:t xml:space="preserve">The Council is requested to </w:t>
            </w:r>
            <w:r w:rsidRPr="00421EDA">
              <w:rPr>
                <w:b/>
                <w:bCs/>
              </w:rPr>
              <w:t>review</w:t>
            </w:r>
            <w:r w:rsidRPr="00D921B7">
              <w:t xml:space="preserve"> and </w:t>
            </w:r>
            <w:r w:rsidRPr="00421EDA">
              <w:rPr>
                <w:b/>
                <w:bCs/>
              </w:rPr>
              <w:t>approve</w:t>
            </w:r>
            <w:r w:rsidRPr="00D921B7">
              <w:t xml:space="preserve"> the draft four-year rolling Operational Plan for ITU-T for 2018-2021 and to </w:t>
            </w:r>
            <w:r w:rsidRPr="00421EDA">
              <w:rPr>
                <w:b/>
                <w:bCs/>
              </w:rPr>
              <w:t>adopt</w:t>
            </w:r>
            <w:r w:rsidRPr="00D921B7">
              <w:t xml:space="preserve"> the draft Resolution presented in Document </w:t>
            </w:r>
            <w:hyperlink r:id="rId9" w:history="1">
              <w:r w:rsidRPr="00D921B7">
                <w:rPr>
                  <w:rStyle w:val="Hyperlink"/>
                </w:rPr>
                <w:t>C17/32</w:t>
              </w:r>
            </w:hyperlink>
            <w:r>
              <w:t>.</w:t>
            </w:r>
          </w:p>
          <w:p w:rsidR="00D921B7" w:rsidRPr="00813E5E" w:rsidRDefault="00D921B7">
            <w:pPr>
              <w:pStyle w:val="Table"/>
              <w:keepNext w:val="0"/>
              <w:spacing w:before="0" w:after="0"/>
              <w:rPr>
                <w:rFonts w:ascii="Calibri" w:hAnsi="Calibri"/>
                <w:caps w:val="0"/>
                <w:sz w:val="22"/>
              </w:rPr>
            </w:pPr>
            <w:r w:rsidRPr="00813E5E">
              <w:rPr>
                <w:rFonts w:ascii="Calibri" w:hAnsi="Calibri"/>
                <w:caps w:val="0"/>
                <w:sz w:val="22"/>
              </w:rPr>
              <w:t>____________</w:t>
            </w:r>
          </w:p>
          <w:p w:rsidR="00D921B7" w:rsidRPr="00813E5E" w:rsidRDefault="00D921B7">
            <w:pPr>
              <w:pStyle w:val="Headingb"/>
            </w:pPr>
            <w:r w:rsidRPr="00813E5E">
              <w:t>References</w:t>
            </w:r>
          </w:p>
          <w:p w:rsidR="00D921B7" w:rsidRPr="00813E5E" w:rsidRDefault="00300B27" w:rsidP="00D921B7">
            <w:pPr>
              <w:spacing w:after="120"/>
              <w:rPr>
                <w:i/>
                <w:iCs/>
              </w:rPr>
            </w:pPr>
            <w:hyperlink r:id="rId10" w:history="1">
              <w:r w:rsidR="00D921B7" w:rsidRPr="00AA092E">
                <w:rPr>
                  <w:rStyle w:val="Hyperlink"/>
                  <w:i/>
                  <w:iCs/>
                  <w:szCs w:val="24"/>
                </w:rPr>
                <w:t>CV/Art. 15, No. 205A</w:t>
              </w:r>
            </w:hyperlink>
            <w:r w:rsidR="00D921B7" w:rsidRPr="00EF61EE">
              <w:rPr>
                <w:i/>
                <w:iCs/>
                <w:color w:val="0000FF"/>
                <w:u w:val="single"/>
              </w:rPr>
              <w:br/>
            </w:r>
            <w:hyperlink r:id="rId11" w:history="1">
              <w:r w:rsidR="00D921B7" w:rsidRPr="00B42945">
                <w:rPr>
                  <w:rStyle w:val="Hyperlink"/>
                  <w:i/>
                  <w:iCs/>
                </w:rPr>
                <w:t>Resolution 7</w:t>
              </w:r>
              <w:r w:rsidR="00D921B7">
                <w:rPr>
                  <w:rStyle w:val="Hyperlink"/>
                  <w:i/>
                  <w:iCs/>
                </w:rPr>
                <w:t>1</w:t>
              </w:r>
              <w:r w:rsidR="00D921B7" w:rsidRPr="00B42945">
                <w:rPr>
                  <w:rStyle w:val="Hyperlink"/>
                  <w:i/>
                  <w:iCs/>
                </w:rPr>
                <w:t xml:space="preserve"> (Rev. Busan, 2014)</w:t>
              </w:r>
            </w:hyperlink>
            <w:r w:rsidR="00D921B7" w:rsidRPr="00D921B7">
              <w:rPr>
                <w:rStyle w:val="Hyperlink"/>
                <w:i/>
                <w:iCs/>
                <w:color w:val="auto"/>
                <w:u w:val="none"/>
              </w:rPr>
              <w:t xml:space="preserve">, </w:t>
            </w:r>
            <w:hyperlink r:id="rId12" w:history="1">
              <w:r w:rsidR="00D921B7" w:rsidRPr="00B42945">
                <w:rPr>
                  <w:rStyle w:val="Hyperlink"/>
                  <w:i/>
                  <w:iCs/>
                </w:rPr>
                <w:t>Resolution 7</w:t>
              </w:r>
              <w:r w:rsidR="00D921B7">
                <w:rPr>
                  <w:rStyle w:val="Hyperlink"/>
                  <w:i/>
                  <w:iCs/>
                </w:rPr>
                <w:t>2</w:t>
              </w:r>
              <w:r w:rsidR="00D921B7" w:rsidRPr="00B42945">
                <w:rPr>
                  <w:rStyle w:val="Hyperlink"/>
                  <w:i/>
                  <w:iCs/>
                </w:rPr>
                <w:t xml:space="preserve"> (Rev. Busan, 2014)</w:t>
              </w:r>
            </w:hyperlink>
          </w:p>
        </w:tc>
      </w:tr>
    </w:tbl>
    <w:p w:rsidR="00D921B7" w:rsidRDefault="00D921B7" w:rsidP="00D921B7">
      <w:pPr>
        <w:pStyle w:val="Normalaftertitle"/>
      </w:pPr>
      <w:bookmarkStart w:id="9" w:name="dstart"/>
      <w:bookmarkStart w:id="10" w:name="dbreak"/>
      <w:bookmarkEnd w:id="9"/>
      <w:bookmarkEnd w:id="10"/>
    </w:p>
    <w:p w:rsidR="00D921B7" w:rsidRDefault="00D921B7">
      <w:pPr>
        <w:tabs>
          <w:tab w:val="clear" w:pos="567"/>
          <w:tab w:val="clear" w:pos="1134"/>
          <w:tab w:val="clear" w:pos="1701"/>
          <w:tab w:val="clear" w:pos="2268"/>
          <w:tab w:val="clear" w:pos="2835"/>
        </w:tabs>
        <w:overflowPunct/>
        <w:autoSpaceDE/>
        <w:autoSpaceDN/>
        <w:adjustRightInd/>
        <w:spacing w:before="0"/>
        <w:textAlignment w:val="auto"/>
      </w:pPr>
      <w:r>
        <w:br w:type="page"/>
      </w:r>
    </w:p>
    <w:p w:rsidR="00D921B7" w:rsidRDefault="00D921B7" w:rsidP="00DB384B">
      <w:pPr>
        <w:rPr>
          <w:lang w:val="en-US"/>
        </w:rPr>
        <w:sectPr w:rsidR="00D921B7"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napToGrid w:val="0"/>
        <w:spacing w:after="120"/>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1</w:t>
      </w:r>
      <w:r w:rsidRPr="00A17F52">
        <w:rPr>
          <w:rFonts w:ascii="Calibri Light" w:eastAsia="SimSun" w:hAnsi="Calibri Light"/>
          <w:color w:val="2E74B5"/>
          <w:sz w:val="32"/>
          <w:szCs w:val="32"/>
          <w:lang w:val="en-US" w:eastAsia="zh-CN"/>
        </w:rPr>
        <w:tab/>
        <w:t>Introduction</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4-year rolling Operational plan for the ITU Telecommunication Standardization Sector (ITU-T Operational Plan) is prepared in full alignment with the ITU Strategic plan for 2016-2019, within the limits of the Financial plan for 2016-2019 and the biennial budgets. The structure follows the ITU-T results framework, outlining the ITU-T objectives, the corresponding outcomes and the indicators to measure their progress, as well as the outputs (products and services) produced by the activities of the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planning, implementation and monitoring and evaluation process for the Telecommunication Standardization Bureau (TSB) will be complemented by the following internal mechanisms:</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120"/>
        <w:textAlignment w:val="auto"/>
        <w:rPr>
          <w:rFonts w:eastAsia="SimSun" w:cs="Arial"/>
          <w:sz w:val="22"/>
          <w:szCs w:val="22"/>
          <w:lang w:val="en-US" w:eastAsia="zh-CN"/>
        </w:rPr>
      </w:pPr>
      <w:r w:rsidRPr="00A17F52">
        <w:rPr>
          <w:rFonts w:eastAsia="SimSun" w:cs="Arial"/>
          <w:sz w:val="22"/>
          <w:szCs w:val="22"/>
          <w:lang w:val="en-US" w:eastAsia="zh-CN"/>
        </w:rPr>
        <w:t>the Work Plans of the Departments and Divisions of the Telecommunication Standardization Bureau (TSB), and</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360"/>
        <w:textAlignment w:val="auto"/>
        <w:rPr>
          <w:rFonts w:eastAsia="SimSun" w:cs="Arial"/>
          <w:sz w:val="22"/>
          <w:szCs w:val="22"/>
          <w:lang w:val="en-US" w:eastAsia="zh-CN"/>
        </w:rPr>
      </w:pPr>
      <w:r w:rsidRPr="00A17F52">
        <w:rPr>
          <w:rFonts w:eastAsia="SimSun" w:cs="Arial"/>
          <w:sz w:val="22"/>
          <w:szCs w:val="22"/>
          <w:lang w:val="en-US" w:eastAsia="zh-CN"/>
        </w:rPr>
        <w:t>the Service Level Agreements (SLAs) for the planning, monitoring and evaluation of the support services.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22"/>
          <w:szCs w:val="22"/>
          <w:lang w:val="fr-CH" w:eastAsia="zh-CN"/>
        </w:rPr>
      </w:pPr>
      <w:r w:rsidRPr="00A17F52">
        <w:rPr>
          <w:rFonts w:eastAsia="SimSun" w:cs="Arial"/>
          <w:noProof/>
          <w:sz w:val="22"/>
          <w:szCs w:val="22"/>
          <w:lang w:val="en-US" w:eastAsia="zh-CN"/>
        </w:rPr>
        <w:drawing>
          <wp:inline distT="0" distB="0" distL="0" distR="0" wp14:anchorId="79AFA3F6" wp14:editId="62320AD4">
            <wp:extent cx="5421600" cy="3556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1600" cy="3556800"/>
                    </a:xfrm>
                    <a:prstGeom prst="rect">
                      <a:avLst/>
                    </a:prstGeom>
                    <a:noFill/>
                    <a:ln>
                      <a:noFill/>
                    </a:ln>
                  </pic:spPr>
                </pic:pic>
              </a:graphicData>
            </a:graphic>
          </wp:inline>
        </w:drawing>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val="en-US" w:eastAsia="zh-CN"/>
        </w:rPr>
      </w:pPr>
      <w:bookmarkStart w:id="11" w:name="_Ref404966541"/>
      <w:r w:rsidRPr="00A17F52">
        <w:rPr>
          <w:rFonts w:eastAsia="SimSun" w:cs="Arial"/>
          <w:i/>
          <w:iCs/>
          <w:color w:val="44546A"/>
          <w:sz w:val="18"/>
          <w:szCs w:val="18"/>
          <w:lang w:val="en-US" w:eastAsia="zh-CN"/>
        </w:rPr>
        <w:t xml:space="preserve">Figure </w:t>
      </w:r>
      <w:r w:rsidRPr="00A17F52">
        <w:rPr>
          <w:rFonts w:eastAsia="SimSun" w:cs="Arial"/>
          <w:i/>
          <w:iCs/>
          <w:color w:val="44546A"/>
          <w:sz w:val="18"/>
          <w:szCs w:val="18"/>
          <w:lang w:val="fr-CH" w:eastAsia="zh-CN"/>
        </w:rPr>
        <w:fldChar w:fldCharType="begin"/>
      </w:r>
      <w:r w:rsidRPr="00A17F52">
        <w:rPr>
          <w:rFonts w:eastAsia="SimSun" w:cs="Arial"/>
          <w:i/>
          <w:iCs/>
          <w:color w:val="44546A"/>
          <w:sz w:val="18"/>
          <w:szCs w:val="18"/>
          <w:lang w:val="en-US" w:eastAsia="zh-CN"/>
        </w:rPr>
        <w:instrText xml:space="preserve"> SEQ Figure \* ARABIC </w:instrText>
      </w:r>
      <w:r w:rsidRPr="00A17F52">
        <w:rPr>
          <w:rFonts w:eastAsia="SimSun" w:cs="Arial"/>
          <w:i/>
          <w:iCs/>
          <w:color w:val="44546A"/>
          <w:sz w:val="18"/>
          <w:szCs w:val="18"/>
          <w:lang w:val="fr-CH" w:eastAsia="zh-CN"/>
        </w:rPr>
        <w:fldChar w:fldCharType="separate"/>
      </w:r>
      <w:r w:rsidRPr="00A17F52">
        <w:rPr>
          <w:rFonts w:eastAsia="SimSun" w:cs="Arial"/>
          <w:i/>
          <w:iCs/>
          <w:noProof/>
          <w:color w:val="44546A"/>
          <w:sz w:val="18"/>
          <w:szCs w:val="18"/>
          <w:lang w:val="en-US" w:eastAsia="zh-CN"/>
        </w:rPr>
        <w:t>1</w:t>
      </w:r>
      <w:r w:rsidRPr="00A17F52">
        <w:rPr>
          <w:rFonts w:eastAsia="SimSun" w:cs="Arial"/>
          <w:i/>
          <w:iCs/>
          <w:noProof/>
          <w:color w:val="44546A"/>
          <w:sz w:val="18"/>
          <w:szCs w:val="18"/>
          <w:lang w:val="fr-CH" w:eastAsia="zh-CN"/>
        </w:rPr>
        <w:fldChar w:fldCharType="end"/>
      </w:r>
      <w:bookmarkEnd w:id="11"/>
      <w:r w:rsidRPr="00A17F52">
        <w:rPr>
          <w:rFonts w:eastAsia="SimSun" w:cs="Arial"/>
          <w:i/>
          <w:iCs/>
          <w:color w:val="44546A"/>
          <w:sz w:val="18"/>
          <w:szCs w:val="18"/>
          <w:lang w:val="en-US" w:eastAsia="zh-CN"/>
        </w:rPr>
        <w:t>: ITU-T OP and the ITU strategic framework for 2018-2021</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2</w:t>
      </w:r>
      <w:r w:rsidRPr="00A17F52">
        <w:rPr>
          <w:rFonts w:ascii="Calibri Light" w:eastAsia="SimSun" w:hAnsi="Calibri Light"/>
          <w:color w:val="2E74B5"/>
          <w:sz w:val="32"/>
          <w:szCs w:val="32"/>
          <w:lang w:val="en-US" w:eastAsia="zh-CN"/>
        </w:rPr>
        <w:tab/>
        <w:t>Context and key priorities for the ITU-T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ITU Telecommunication Standardization Sector (ITU-T) operates in a competitive, complex and rapidly evolving environment and ecosystem.</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While retaining current ITU-T members, new members from industry and academia need to be attracted and encouraged, and the participation of developing countries in the standardization process (</w:t>
      </w:r>
      <w:r w:rsidR="00E30334">
        <w:rPr>
          <w:rFonts w:eastAsia="SimSun" w:cs="Arial"/>
          <w:sz w:val="22"/>
          <w:szCs w:val="22"/>
          <w:lang w:val="en-US" w:eastAsia="zh-CN"/>
        </w:rPr>
        <w:t>“</w:t>
      </w:r>
      <w:r w:rsidRPr="00A17F52">
        <w:rPr>
          <w:rFonts w:eastAsia="SimSun" w:cs="Arial"/>
          <w:sz w:val="22"/>
          <w:szCs w:val="22"/>
          <w:lang w:val="en-US" w:eastAsia="zh-CN"/>
        </w:rPr>
        <w:t>Bridging the standardization gap</w:t>
      </w:r>
      <w:r w:rsidR="00E30334">
        <w:rPr>
          <w:rFonts w:eastAsia="SimSun" w:cs="Arial"/>
          <w:sz w:val="22"/>
          <w:szCs w:val="22"/>
          <w:lang w:val="en-US" w:eastAsia="zh-CN"/>
        </w:rPr>
        <w:t>”</w:t>
      </w:r>
      <w:r w:rsidRPr="00A17F52">
        <w:rPr>
          <w:rFonts w:eastAsia="SimSun" w:cs="Arial"/>
          <w:sz w:val="22"/>
          <w:szCs w:val="22"/>
          <w:lang w:val="en-US" w:eastAsia="zh-CN"/>
        </w:rPr>
        <w:t>) needs to be boosted.</w:t>
      </w:r>
      <w:r w:rsidRPr="00A17F52" w:rsidDel="00FE1F87">
        <w:rPr>
          <w:rFonts w:eastAsia="SimSun" w:cs="Arial"/>
          <w:sz w:val="22"/>
          <w:szCs w:val="22"/>
          <w:lang w:val="en-US" w:eastAsia="zh-CN"/>
        </w:rPr>
        <w:t xml:space="preserve"> </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Cooperation and collaboration with other standardization bodies and relevant consortia and forums are key to minimize conflict of work and achieve efficient use of resources, as well as to incorporate expertise from outside ITU.</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review of the International Telecommunication Regulations will set a renewed worldwide framework for ITU-T activities.</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48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t>3</w:t>
      </w:r>
      <w:r w:rsidRPr="00A17F52">
        <w:rPr>
          <w:rFonts w:ascii="Calibri Light" w:eastAsia="SimSun" w:hAnsi="Calibri Light"/>
          <w:color w:val="2E74B5"/>
          <w:sz w:val="32"/>
          <w:szCs w:val="32"/>
          <w:lang w:val="en-US" w:eastAsia="zh-CN"/>
        </w:rPr>
        <w:tab/>
        <w:t>ITU-T results framework for 2018-2021</w:t>
      </w:r>
    </w:p>
    <w:p w:rsidR="00A17F52" w:rsidRPr="00421EDA" w:rsidRDefault="00A17F52" w:rsidP="00E30334">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3.1</w:t>
      </w:r>
      <w:r w:rsidRPr="00421EDA">
        <w:rPr>
          <w:rFonts w:ascii="Calibri Light" w:eastAsia="SimSun" w:hAnsi="Calibri Light"/>
          <w:color w:val="2E74B5"/>
          <w:sz w:val="26"/>
          <w:szCs w:val="26"/>
          <w:lang w:val="en-US" w:eastAsia="zh-CN"/>
        </w:rPr>
        <w:tab/>
        <w:t>Linkage with the ITU Strategic Goals</w:t>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A17F52" w:rsidRPr="00A17F52" w:rsidTr="00A17F52">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szCs w:val="18"/>
                <w:lang w:val="fr-CH" w:eastAsia="zh-CN"/>
              </w:rPr>
            </w:pPr>
            <w:r w:rsidRPr="00A17F52">
              <w:rPr>
                <w:sz w:val="20"/>
                <w:szCs w:val="18"/>
                <w:lang w:val="fr-CH" w:eastAsia="zh-CN"/>
              </w:rPr>
              <w:t>ITU-T objectives</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1: Growth</w:t>
            </w:r>
          </w:p>
        </w:tc>
        <w:tc>
          <w:tcPr>
            <w:tcW w:w="1842"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2: Inclusiveness</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3: Sustainability</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4: Innovation &amp; partnership</w:t>
            </w:r>
          </w:p>
        </w:tc>
      </w:tr>
      <w:tr w:rsidR="00A17F52" w:rsidRPr="00A17F52" w:rsidTr="00A17F52">
        <w:trPr>
          <w:trHeight w:val="72"/>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T.1 </w:t>
            </w:r>
            <w:r w:rsidRPr="00A17F52">
              <w:rPr>
                <w:sz w:val="20"/>
                <w:lang w:val="en-US" w:eastAsia="zh-CN"/>
              </w:rPr>
              <w:t>Develop non-discriminatory international standards (ITU-T recommendations), in a timely manner, and foster interoperability and improved performance of equipment, networks, services and applications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72"/>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T.2 </w:t>
            </w:r>
            <w:r w:rsidRPr="00A17F52">
              <w:rPr>
                <w:sz w:val="20"/>
                <w:lang w:val="en-US" w:eastAsia="zh-CN"/>
              </w:rPr>
              <w:t>Promote the active participation of the membership, in particular developing countries, in the definition and adoption of non-discriminatory international standards (ITU-T recommendations) with a view to bridging the standardization gap</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en-US" w:eastAsia="zh-CN"/>
              </w:rPr>
            </w:pP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T.3 </w:t>
            </w:r>
            <w:r w:rsidRPr="00A17F52">
              <w:rPr>
                <w:sz w:val="20"/>
                <w:lang w:val="en-US" w:eastAsia="zh-CN"/>
              </w:rPr>
              <w:t>Ensure effective allocation and management of international telecommunication numbering, naming, addressing and identification resources in accordance with ITU-T recommendations and procedures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T.4 </w:t>
            </w:r>
            <w:r w:rsidRPr="00A17F52">
              <w:rPr>
                <w:sz w:val="20"/>
                <w:lang w:val="en-US" w:eastAsia="zh-CN"/>
              </w:rPr>
              <w:t>Foster the acquisition and sharing of knowledge and know-how on the standardization activities of ITU-T</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A17F52">
              <w:rPr>
                <w:sz w:val="20"/>
                <w:lang w:val="fr-CH" w:eastAsia="zh-CN"/>
              </w:rPr>
              <w:sym w:font="Wingdings 2" w:char="F050"/>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T.5 </w:t>
            </w:r>
            <w:r w:rsidRPr="00A17F52">
              <w:rPr>
                <w:sz w:val="20"/>
                <w:lang w:val="en-US" w:eastAsia="zh-CN"/>
              </w:rPr>
              <w:t>Extend and facilitate cooperation with international, regional and national standardization bodies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fr-CH" w:eastAsia="zh-CN"/>
        </w:rPr>
      </w:pPr>
      <w:r w:rsidRPr="00421EDA">
        <w:rPr>
          <w:rFonts w:ascii="Calibri Light" w:eastAsia="SimSun" w:hAnsi="Calibri Light"/>
          <w:color w:val="2E74B5"/>
          <w:sz w:val="26"/>
          <w:szCs w:val="26"/>
          <w:lang w:val="fr-CH" w:eastAsia="zh-CN"/>
        </w:rPr>
        <w:lastRenderedPageBreak/>
        <w:t>3.2</w:t>
      </w:r>
      <w:r w:rsidRPr="00421EDA">
        <w:rPr>
          <w:rFonts w:ascii="Calibri Light" w:eastAsia="SimSun" w:hAnsi="Calibri Light"/>
          <w:color w:val="2E74B5"/>
          <w:sz w:val="26"/>
          <w:szCs w:val="26"/>
          <w:lang w:val="fr-CH" w:eastAsia="zh-CN"/>
        </w:rPr>
        <w:tab/>
        <w:t>ITU-T objectives, outcomes and outputs</w:t>
      </w:r>
    </w:p>
    <w:tbl>
      <w:tblPr>
        <w:tblStyle w:val="GridTable4-Accent11"/>
        <w:tblW w:w="14737" w:type="dxa"/>
        <w:tblLayout w:type="fixed"/>
        <w:tblLook w:val="06A0" w:firstRow="1" w:lastRow="0" w:firstColumn="1" w:lastColumn="0" w:noHBand="1" w:noVBand="1"/>
      </w:tblPr>
      <w:tblGrid>
        <w:gridCol w:w="421"/>
        <w:gridCol w:w="3543"/>
        <w:gridCol w:w="2977"/>
        <w:gridCol w:w="2693"/>
        <w:gridCol w:w="2339"/>
        <w:gridCol w:w="2764"/>
      </w:tblGrid>
      <w:tr w:rsidR="00A17F52" w:rsidRPr="00A17F52" w:rsidTr="00A17F52">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ind w:left="113" w:right="113"/>
              <w:textAlignment w:val="auto"/>
              <w:rPr>
                <w:color w:val="5B9BD5"/>
                <w:sz w:val="20"/>
                <w:szCs w:val="18"/>
                <w:lang w:val="fr-CH" w:eastAsia="zh-CN"/>
              </w:rPr>
            </w:pPr>
            <w:r w:rsidRPr="00A17F52">
              <w:rPr>
                <w:sz w:val="20"/>
                <w:szCs w:val="18"/>
                <w:lang w:val="fr-CH" w:eastAsia="zh-CN"/>
              </w:rPr>
              <w:t>Objectives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T.1 Develop non-discriminatory international standards (ITU-T recommendations), in a timely manner, and foster interoperability and improved performance of equipment, networks, services and applications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T.2 Promote the active participation of the membership, in particular developing countries in the definition and adoption of non-discriminatory international standards (ITU-T recommendations) with a view to bridging the standardization gap</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T.3 Ensure effective allocation and management of international telecommunication numbering, naming, addressing and identification resources in accordance with ITU-T recommendations and procedures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T.4 Foster the acquisition and sharing of knowledge and know-how on the standardization activities of ITU-T</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T.5 Extend and facilitate cooperation with international, regional and national standardization bodies</w:t>
            </w:r>
          </w:p>
        </w:tc>
      </w:tr>
      <w:tr w:rsidR="00A17F52" w:rsidRPr="00A17F52" w:rsidTr="00A17F5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r w:rsidRPr="00A17F52">
              <w:rPr>
                <w:color w:val="5B9BD5"/>
                <w:sz w:val="18"/>
                <w:lang w:val="fr-CH" w:eastAsia="zh-CN"/>
              </w:rPr>
              <w:t>Outcomes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T.1-1</w:t>
            </w:r>
            <w:r w:rsidRPr="00A17F52">
              <w:rPr>
                <w:sz w:val="18"/>
                <w:lang w:val="en-US" w:eastAsia="zh-CN"/>
              </w:rPr>
              <w:t>: Increased utilization of ITU-T recommendations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T.1-2</w:t>
            </w:r>
            <w:r w:rsidRPr="00A17F52">
              <w:rPr>
                <w:sz w:val="18"/>
                <w:lang w:val="en-US" w:eastAsia="zh-CN"/>
              </w:rPr>
              <w:t>: Improved conformance to ITU-T recommendations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T.1-3</w:t>
            </w:r>
            <w:r w:rsidRPr="00A17F52">
              <w:rPr>
                <w:sz w:val="18"/>
                <w:lang w:val="en-US" w:eastAsia="zh-CN"/>
              </w:rPr>
              <w:t>: Enhanced standards in new technologies and services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T.2-1</w:t>
            </w:r>
            <w:r w:rsidRPr="00A17F52">
              <w:rPr>
                <w:sz w:val="18"/>
                <w:lang w:val="en-US" w:eastAsia="zh-CN"/>
              </w:rPr>
              <w:t>: Increased participation in the ITU-T standardization process, including attendance of meetings, submission of contributions, taking leadership positions and hosting of meetings/workshops, especially from developing countries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T.2-2</w:t>
            </w:r>
            <w:r w:rsidRPr="00A17F52">
              <w:rPr>
                <w:sz w:val="18"/>
                <w:lang w:val="en-US" w:eastAsia="zh-CN"/>
              </w:rPr>
              <w:t>: Increase of the ITU-T membership, including Sector Members, Associates and Academia</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T.3-1</w:t>
            </w:r>
            <w:r w:rsidRPr="00A17F52">
              <w:rPr>
                <w:sz w:val="18"/>
                <w:lang w:val="en-US" w:eastAsia="zh-CN"/>
              </w:rPr>
              <w:t>: Timely and accurate allocation of international telecommunication numbering, naming, addressing and identification resources, as specified in the relevant recommendations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T.4-1</w:t>
            </w:r>
            <w:r w:rsidRPr="00A17F52">
              <w:rPr>
                <w:sz w:val="18"/>
                <w:lang w:val="en-US" w:eastAsia="zh-CN"/>
              </w:rPr>
              <w:t>: Increased knowledge on ITU-T standards and on best practices in their implementation of ITU-T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T.4-2</w:t>
            </w:r>
            <w:r w:rsidRPr="00A17F52">
              <w:rPr>
                <w:sz w:val="18"/>
                <w:lang w:val="en-US" w:eastAsia="zh-CN"/>
              </w:rPr>
              <w:t>: Increased participation in ITU-T</w:t>
            </w:r>
            <w:r w:rsidR="00E30334">
              <w:rPr>
                <w:sz w:val="18"/>
                <w:lang w:val="en-US" w:eastAsia="zh-CN"/>
              </w:rPr>
              <w:t>’</w:t>
            </w:r>
            <w:r w:rsidRPr="00A17F52">
              <w:rPr>
                <w:sz w:val="18"/>
                <w:lang w:val="en-US" w:eastAsia="zh-CN"/>
              </w:rPr>
              <w:t>s standardization activities and increased awareness of the relevance of ITU-T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fr-CH" w:eastAsia="zh-CN"/>
              </w:rPr>
            </w:pPr>
            <w:r w:rsidRPr="00A17F52">
              <w:rPr>
                <w:b/>
                <w:bCs/>
                <w:color w:val="5B9BD5"/>
                <w:sz w:val="18"/>
                <w:lang w:val="fr-CH" w:eastAsia="zh-CN"/>
              </w:rPr>
              <w:t>T.4-3</w:t>
            </w:r>
            <w:r w:rsidRPr="00A17F52">
              <w:rPr>
                <w:sz w:val="18"/>
                <w:lang w:val="fr-CH" w:eastAsia="zh-CN"/>
              </w:rPr>
              <w:t>: Increased Sector visibility</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T.5-1</w:t>
            </w:r>
            <w:r w:rsidRPr="00A17F52">
              <w:rPr>
                <w:sz w:val="18"/>
                <w:lang w:val="en-US" w:eastAsia="zh-CN"/>
              </w:rPr>
              <w:t>: Increased communications with other standards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T.5-2</w:t>
            </w:r>
            <w:r w:rsidRPr="00A17F52">
              <w:rPr>
                <w:sz w:val="18"/>
                <w:lang w:val="en-US" w:eastAsia="zh-CN"/>
              </w:rPr>
              <w:t>: Decreased number of conflicting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T.5-3</w:t>
            </w:r>
            <w:r w:rsidRPr="00A17F52">
              <w:rPr>
                <w:sz w:val="18"/>
                <w:lang w:val="en-US" w:eastAsia="zh-CN"/>
              </w:rPr>
              <w:t>: Increased number of memoranda of understanding / collaboration agreements with other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T.5-4</w:t>
            </w:r>
            <w:r w:rsidRPr="00A17F52">
              <w:rPr>
                <w:sz w:val="18"/>
                <w:lang w:val="en-US" w:eastAsia="zh-CN"/>
              </w:rPr>
              <w:t>: Increased number of ITU-T A.4, A.5 and A.6 qualified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T.5-5</w:t>
            </w:r>
            <w:r w:rsidRPr="00A17F52">
              <w:rPr>
                <w:sz w:val="18"/>
                <w:lang w:val="en-US" w:eastAsia="zh-CN"/>
              </w:rPr>
              <w:t>: Increased number of workshops/events organized jointly with other organizations</w:t>
            </w:r>
          </w:p>
        </w:tc>
      </w:tr>
      <w:tr w:rsidR="00A17F52" w:rsidRPr="00A17F52" w:rsidTr="00A17F5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r w:rsidRPr="00A17F52">
              <w:rPr>
                <w:color w:val="5B9BD5"/>
                <w:sz w:val="18"/>
                <w:lang w:val="fr-CH" w:eastAsia="zh-CN"/>
              </w:rPr>
              <w:t>Outputs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Resolutions, recommendations and opinions of the World Telecommunication Standardization Assembly (WTSA)</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WTSA regional consultation sessions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Advice and decisions of Telecommunication Standardization Advisory Group (TSAG)</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ITU-T recommendations and related results of ITU-T study groups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ITU-T general assistance and cooperation</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Conformity database</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Interoperability test centres and events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Development of test suites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Bridging the standardization gap (e.g. remote participation, fellowships, establishment of regional study groups)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Workshops and seminars, including offline and online training activities, complementing the capacity-building work on bridging the standardization gap undertaken in ITU-D</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Outreach and promotion</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Relevant TSB databases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Allocation and management of international telecommunication numbering, naming, addressing and identification resources in accordance with ITU-T recommendations and procedures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ITU-T publications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Database publications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 xml:space="preserve">Outreach and promotion </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ITU Operational Bulletin</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Memoranda of understanding (MoUs) and collaboration agreements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 xml:space="preserve">ITU-T A.4/A.5/A.6 qualifications </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Jointly organized workshop/events</w:t>
            </w:r>
          </w:p>
        </w:tc>
      </w:tr>
      <w:tr w:rsidR="00A17F52" w:rsidRPr="00A17F52" w:rsidTr="00A17F52">
        <w:trPr>
          <w:cantSplit/>
          <w:trHeight w:val="416"/>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p>
        </w:tc>
        <w:tc>
          <w:tcPr>
            <w:tcW w:w="14316" w:type="dxa"/>
            <w:gridSpan w:val="5"/>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The following outputs of the activities of the ITU governing bodies contribute to the implementation of all the objectives of the Union:</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 Decisions, resolutions, recommendations</w:t>
            </w:r>
            <w:r w:rsidR="00E30334">
              <w:rPr>
                <w:sz w:val="18"/>
                <w:lang w:val="en-US" w:eastAsia="zh-CN"/>
              </w:rPr>
              <w:t>,</w:t>
            </w:r>
            <w:r w:rsidRPr="00A17F52">
              <w:rPr>
                <w:sz w:val="18"/>
                <w:lang w:val="en-US" w:eastAsia="zh-CN"/>
              </w:rPr>
              <w:t xml:space="preserve"> and other results of the Plenipotentiary Conference</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lang w:val="en-US" w:eastAsia="zh-CN"/>
              </w:rPr>
              <w:t>– Decisions and resolutions of the Council, as well as results of the Council working groups</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3.3</w:t>
      </w:r>
      <w:r w:rsidRPr="00421EDA">
        <w:rPr>
          <w:rFonts w:ascii="Calibri Light" w:eastAsia="SimSun" w:hAnsi="Calibri Light"/>
          <w:color w:val="2E74B5"/>
          <w:sz w:val="26"/>
          <w:szCs w:val="26"/>
          <w:lang w:val="en-US" w:eastAsia="zh-CN"/>
        </w:rPr>
        <w:tab/>
        <w:t>Allocation of resources to ITU-T objectives and outputs for 2018-2021</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911"/>
        <w:gridCol w:w="1565"/>
        <w:gridCol w:w="5424"/>
        <w:gridCol w:w="893"/>
        <w:gridCol w:w="981"/>
      </w:tblGrid>
      <w:tr w:rsidR="00A17F52" w:rsidRPr="00A17F52" w:rsidTr="00A17F52">
        <w:tc>
          <w:tcPr>
            <w:cnfStyle w:val="001000000000" w:firstRow="0" w:lastRow="0" w:firstColumn="1" w:lastColumn="0" w:oddVBand="0" w:evenVBand="0" w:oddHBand="0" w:evenHBand="0" w:firstRowFirstColumn="0" w:firstRowLastColumn="0" w:lastRowFirstColumn="0" w:lastRowLastColumn="0"/>
            <w:tcW w:w="7476" w:type="dxa"/>
            <w:gridSpan w:val="2"/>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noProof/>
                <w:sz w:val="22"/>
                <w:lang w:val="en-US" w:eastAsia="zh-CN"/>
              </w:rPr>
              <w:drawing>
                <wp:inline distT="0" distB="0" distL="0" distR="0" wp14:anchorId="20B5EC4E" wp14:editId="7E37367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424"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40" w:after="20"/>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val="en-US" w:eastAsia="zh-CN"/>
              </w:rPr>
            </w:pPr>
            <w:r w:rsidRPr="00A17F52">
              <w:rPr>
                <w:rFonts w:ascii="Calibri Light" w:eastAsia="SimSun" w:hAnsi="Calibri Light"/>
                <w:noProof/>
                <w:color w:val="5B9BD5"/>
                <w:sz w:val="28"/>
                <w:szCs w:val="28"/>
                <w:lang w:val="en-US" w:eastAsia="zh-CN"/>
              </w:rPr>
              <w:t>Planned allocation of resources per Output</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20" w:after="40"/>
              <w:textAlignment w:val="auto"/>
              <w:cnfStyle w:val="000000000000" w:firstRow="0" w:lastRow="0" w:firstColumn="0" w:lastColumn="0" w:oddVBand="0" w:evenVBand="0" w:oddHBand="0" w:evenHBand="0" w:firstRowFirstColumn="0" w:firstRowLastColumn="0" w:lastRowFirstColumn="0" w:lastRowLastColumn="0"/>
              <w:rPr>
                <w:rFonts w:eastAsia="SimSun"/>
                <w:b/>
                <w:bCs/>
                <w:noProof/>
                <w:color w:val="5B9BD5"/>
                <w:sz w:val="20"/>
                <w:lang w:val="en-US"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T.1-1</w:t>
            </w:r>
            <w:r w:rsidRPr="00A17F52">
              <w:rPr>
                <w:rFonts w:eastAsia="SimSun"/>
                <w:noProof/>
                <w:sz w:val="20"/>
                <w:lang w:val="en-US" w:eastAsia="zh-CN"/>
              </w:rPr>
              <w:t xml:space="preserve"> Resolutions, Recommendations and opinions of the WTSA</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T.1-2 </w:t>
            </w:r>
            <w:r w:rsidRPr="00A17F52">
              <w:rPr>
                <w:rFonts w:eastAsia="SimSun"/>
                <w:noProof/>
                <w:sz w:val="20"/>
                <w:lang w:val="en-US" w:eastAsia="zh-CN"/>
              </w:rPr>
              <w:t>WTSA regional consultation sessions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T.1-3 </w:t>
            </w:r>
            <w:r w:rsidRPr="00A17F52">
              <w:rPr>
                <w:rFonts w:eastAsia="SimSun"/>
                <w:noProof/>
                <w:sz w:val="20"/>
                <w:lang w:val="en-US" w:eastAsia="zh-CN"/>
              </w:rPr>
              <w:t>Advice and decisions of the TSAG</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T.1-4 </w:t>
            </w:r>
            <w:r w:rsidRPr="00A17F52">
              <w:rPr>
                <w:rFonts w:eastAsia="SimSun"/>
                <w:noProof/>
                <w:sz w:val="20"/>
                <w:lang w:val="en-US" w:eastAsia="zh-CN"/>
              </w:rPr>
              <w:t>ITU-T Recommendations and related results of ITU-T study groups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T.1-5 </w:t>
            </w:r>
            <w:r w:rsidRPr="00A17F52">
              <w:rPr>
                <w:rFonts w:eastAsia="SimSun"/>
                <w:noProof/>
                <w:sz w:val="20"/>
                <w:lang w:val="en-US" w:eastAsia="zh-CN"/>
              </w:rPr>
              <w:t>ITU-T general assistance and cooperation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T.1-6 </w:t>
            </w:r>
            <w:r w:rsidRPr="00A17F52">
              <w:rPr>
                <w:rFonts w:eastAsia="SimSun"/>
                <w:noProof/>
                <w:sz w:val="20"/>
                <w:lang w:val="en-US" w:eastAsia="zh-CN"/>
              </w:rPr>
              <w:t>Conformity database</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T.1-7 </w:t>
            </w:r>
            <w:r w:rsidRPr="00A17F52">
              <w:rPr>
                <w:rFonts w:eastAsia="SimSun"/>
                <w:noProof/>
                <w:sz w:val="20"/>
                <w:lang w:val="en-US" w:eastAsia="zh-CN"/>
              </w:rPr>
              <w:t>Interoperability test centres and events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T.1-8 </w:t>
            </w:r>
            <w:r w:rsidRPr="00A17F52">
              <w:rPr>
                <w:rFonts w:eastAsia="SimSun"/>
                <w:noProof/>
                <w:sz w:val="20"/>
                <w:lang w:val="en-US" w:eastAsia="zh-CN"/>
              </w:rPr>
              <w:t>Development of test suites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T.2-1 </w:t>
            </w:r>
            <w:r w:rsidRPr="00A17F52">
              <w:rPr>
                <w:rFonts w:eastAsia="SimSun"/>
                <w:noProof/>
                <w:sz w:val="20"/>
                <w:lang w:val="en-US" w:eastAsia="zh-CN"/>
              </w:rPr>
              <w:t>Bridging the standardization gap (e.g. rem. participation, fellowships, establishment of regional study groups)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T.2-2 </w:t>
            </w:r>
            <w:r w:rsidRPr="00A17F52">
              <w:rPr>
                <w:rFonts w:eastAsia="SimSun"/>
                <w:noProof/>
                <w:sz w:val="20"/>
                <w:lang w:val="en-US" w:eastAsia="zh-CN"/>
              </w:rPr>
              <w:t>Workshops and seminars, incl. offline and online training activities,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T.2-3 </w:t>
            </w:r>
            <w:r w:rsidRPr="00A17F52">
              <w:rPr>
                <w:rFonts w:eastAsia="SimSun"/>
                <w:noProof/>
                <w:sz w:val="20"/>
                <w:lang w:val="en-US" w:eastAsia="zh-CN"/>
              </w:rPr>
              <w:t>Outreach and promotion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T.3-1 </w:t>
            </w:r>
            <w:r w:rsidRPr="00A17F52">
              <w:rPr>
                <w:rFonts w:eastAsia="SimSun"/>
                <w:noProof/>
                <w:sz w:val="20"/>
                <w:lang w:val="en-US" w:eastAsia="zh-CN"/>
              </w:rPr>
              <w:t>Relevant TSB databases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T.3-2 </w:t>
            </w:r>
            <w:r w:rsidRPr="00A17F52">
              <w:rPr>
                <w:rFonts w:eastAsia="SimSun"/>
                <w:noProof/>
                <w:sz w:val="20"/>
                <w:lang w:val="en-US" w:eastAsia="zh-CN"/>
              </w:rPr>
              <w:t>Allocation and mgmt. of int</w:t>
            </w:r>
            <w:r w:rsidR="00E30334">
              <w:rPr>
                <w:rFonts w:eastAsia="SimSun"/>
                <w:noProof/>
                <w:sz w:val="20"/>
                <w:lang w:val="en-US" w:eastAsia="zh-CN"/>
              </w:rPr>
              <w:t>’</w:t>
            </w:r>
            <w:r w:rsidRPr="00A17F52">
              <w:rPr>
                <w:rFonts w:eastAsia="SimSun"/>
                <w:noProof/>
                <w:sz w:val="20"/>
                <w:lang w:val="en-US" w:eastAsia="zh-CN"/>
              </w:rPr>
              <w:t>l. telecommunication numbering, naming, addressing and identification resources in accordance with ITU-T Recommendations and procedures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T.4-1 </w:t>
            </w:r>
            <w:r w:rsidRPr="00A17F52">
              <w:rPr>
                <w:rFonts w:eastAsia="SimSun"/>
                <w:noProof/>
                <w:sz w:val="20"/>
                <w:lang w:val="fr-CH" w:eastAsia="zh-CN"/>
              </w:rPr>
              <w:t>ITU-T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T.4-2 </w:t>
            </w:r>
            <w:r w:rsidRPr="00A17F52">
              <w:rPr>
                <w:rFonts w:eastAsia="SimSun"/>
                <w:noProof/>
                <w:sz w:val="20"/>
                <w:lang w:val="fr-CH" w:eastAsia="zh-CN"/>
              </w:rPr>
              <w:t>Database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T.4-3 </w:t>
            </w:r>
            <w:r w:rsidRPr="00A17F52">
              <w:rPr>
                <w:rFonts w:eastAsia="SimSun"/>
                <w:noProof/>
                <w:sz w:val="20"/>
                <w:lang w:val="en-US" w:eastAsia="zh-CN"/>
              </w:rPr>
              <w:t xml:space="preserve">Outreach and promotion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T.4-4 </w:t>
            </w:r>
            <w:r w:rsidRPr="00A17F52">
              <w:rPr>
                <w:rFonts w:eastAsia="SimSun"/>
                <w:noProof/>
                <w:sz w:val="20"/>
                <w:lang w:val="en-US" w:eastAsia="zh-CN"/>
              </w:rPr>
              <w:t>ITU Operational Bulletin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T.5-1 </w:t>
            </w:r>
            <w:r w:rsidRPr="00A17F52">
              <w:rPr>
                <w:rFonts w:eastAsia="SimSun"/>
                <w:noProof/>
                <w:sz w:val="20"/>
                <w:lang w:val="en-US" w:eastAsia="zh-CN"/>
              </w:rPr>
              <w:t>Memoranda of understanding (MoUs) and collaboration agreements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T.5-2 </w:t>
            </w:r>
            <w:r w:rsidRPr="00A17F52">
              <w:rPr>
                <w:rFonts w:eastAsia="SimSun"/>
                <w:noProof/>
                <w:sz w:val="20"/>
                <w:lang w:val="fr-CH" w:eastAsia="zh-CN"/>
              </w:rPr>
              <w:t xml:space="preserve">ITU-T A.4/A.5/A.6 qualifications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T.5-3 </w:t>
            </w:r>
            <w:r w:rsidRPr="00A17F52">
              <w:rPr>
                <w:rFonts w:eastAsia="SimSun"/>
                <w:noProof/>
                <w:sz w:val="20"/>
                <w:lang w:val="en-US" w:eastAsia="zh-CN"/>
              </w:rPr>
              <w:t>Jointly organized workshop/events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PP</w:t>
            </w:r>
            <w:r w:rsidRPr="00A17F52">
              <w:rPr>
                <w:rFonts w:eastAsia="SimSun"/>
                <w:noProof/>
                <w:sz w:val="20"/>
                <w:lang w:val="en-US" w:eastAsia="zh-CN"/>
              </w:rPr>
              <w:t>: Decisions, resolutions, Recommendations and other results of the Plenipotentiary Conference *</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b/>
                <w:bCs/>
                <w:sz w:val="22"/>
                <w:lang w:val="en-US" w:eastAsia="zh-CN"/>
              </w:rPr>
            </w:pPr>
            <w:r w:rsidRPr="00A17F52">
              <w:rPr>
                <w:rFonts w:eastAsia="SimSun"/>
                <w:b/>
                <w:bCs/>
                <w:noProof/>
                <w:color w:val="5B9BD5"/>
                <w:sz w:val="20"/>
                <w:lang w:val="en-US" w:eastAsia="zh-CN"/>
              </w:rPr>
              <w:t>Council/CWGs</w:t>
            </w:r>
            <w:r w:rsidRPr="00A17F52">
              <w:rPr>
                <w:rFonts w:eastAsia="SimSun"/>
                <w:noProof/>
                <w:sz w:val="20"/>
                <w:lang w:val="en-US" w:eastAsia="zh-CN"/>
              </w:rPr>
              <w:t>: Decisions and resolutions of the Council, as well as results of the Council working groups *</w:t>
            </w:r>
          </w:p>
        </w:tc>
        <w:tc>
          <w:tcPr>
            <w:tcW w:w="893"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r w:rsidRPr="00A17F52">
              <w:rPr>
                <w:rFonts w:eastAsia="SimSun"/>
                <w:noProof/>
                <w:color w:val="5B9BD5"/>
                <w:sz w:val="20"/>
                <w:lang w:val="fr-CH" w:eastAsia="zh-CN"/>
              </w:rPr>
              <w:t>% of total</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1.0%</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35.6%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0.9%</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6.3%</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8.4%</w:t>
            </w:r>
            <w:r w:rsidRPr="00A17F52">
              <w:rPr>
                <w:rFonts w:eastAsia="SimSun"/>
                <w:noProof/>
                <w:sz w:val="20"/>
                <w:lang w:val="fr-CH" w:eastAsia="zh-CN"/>
              </w:rPr>
              <w:br/>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6.8%</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4.5%</w:t>
            </w:r>
            <w:r w:rsidRPr="00A17F52">
              <w:rPr>
                <w:rFonts w:eastAsia="SimSun"/>
                <w:noProof/>
                <w:sz w:val="20"/>
                <w:lang w:val="fr-CH" w:eastAsia="zh-CN"/>
              </w:rPr>
              <w:br/>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8.7%</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0.8%</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4.8%</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0.2%</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767171"/>
                <w:sz w:val="20"/>
                <w:lang w:val="fr-CH" w:eastAsia="zh-CN"/>
              </w:rPr>
            </w:pPr>
            <w:r w:rsidRPr="00A17F52">
              <w:rPr>
                <w:rFonts w:eastAsia="SimSun"/>
                <w:noProof/>
                <w:sz w:val="20"/>
                <w:lang w:val="fr-CH" w:eastAsia="zh-CN"/>
              </w:rPr>
              <w:t>2.2%</w:t>
            </w:r>
          </w:p>
        </w:tc>
        <w:tc>
          <w:tcPr>
            <w:tcW w:w="981"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r w:rsidRPr="00A17F52">
              <w:rPr>
                <w:rFonts w:eastAsia="SimSun"/>
                <w:noProof/>
                <w:color w:val="5B9BD5"/>
                <w:sz w:val="20"/>
                <w:lang w:val="fr-CH" w:eastAsia="zh-CN"/>
              </w:rPr>
              <w:t>% of objective</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2.0%</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72.1%</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6.5%</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2.5%</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1.7%</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28.2%</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37.5%</w:t>
            </w:r>
            <w:r w:rsidRPr="00A17F52">
              <w:rPr>
                <w:rFonts w:eastAsia="SimSun"/>
                <w:noProof/>
                <w:sz w:val="20"/>
                <w:lang w:val="fr-CH" w:eastAsia="zh-CN"/>
              </w:rPr>
              <w:br/>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30.6%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50.4%</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45.9%</w:t>
            </w:r>
            <w:r w:rsidRPr="00A17F52">
              <w:rPr>
                <w:rFonts w:eastAsia="SimSun"/>
                <w:noProof/>
                <w:sz w:val="20"/>
                <w:lang w:val="fr-CH" w:eastAsia="zh-CN"/>
              </w:rPr>
              <w:br/>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56.9%</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31.3%</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16.4%</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5.8%</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74.1%</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2.2%</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5911"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T.1 </w:t>
            </w:r>
            <w:r w:rsidRPr="00A17F52">
              <w:rPr>
                <w:rFonts w:eastAsia="SimSun"/>
                <w:noProof/>
                <w:sz w:val="20"/>
                <w:lang w:val="en-US" w:eastAsia="zh-CN"/>
              </w:rPr>
              <w:t>Develop non-discriminatory international standards (ITU-T recommendations), in a timely manner, and foster interoperability and improved performance of equipment, networks, services and applications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T.2 </w:t>
            </w:r>
            <w:r w:rsidRPr="00A17F52">
              <w:rPr>
                <w:rFonts w:eastAsia="SimSun"/>
                <w:noProof/>
                <w:sz w:val="20"/>
                <w:lang w:val="en-US" w:eastAsia="zh-CN"/>
              </w:rPr>
              <w:t>Promote the active participation of the membership, in particular developing countries, in the definition and adoption of non-discriminatory international standards (ITU-T recommendations) with a view to bridging the standardization gap</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T.3 </w:t>
            </w:r>
            <w:r w:rsidRPr="00A17F52">
              <w:rPr>
                <w:rFonts w:eastAsia="SimSun"/>
                <w:noProof/>
                <w:sz w:val="20"/>
                <w:lang w:val="en-US" w:eastAsia="zh-CN"/>
              </w:rPr>
              <w:t>Ensure effective allocation and management of international telecommunication numbering, naming, addressing and identification resources in accordance with ITU-T recommendations and procedures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T.4 </w:t>
            </w:r>
            <w:r w:rsidRPr="00A17F52">
              <w:rPr>
                <w:rFonts w:eastAsia="SimSun"/>
                <w:noProof/>
                <w:sz w:val="20"/>
                <w:lang w:val="en-US" w:eastAsia="zh-CN"/>
              </w:rPr>
              <w:t>Foster the acquisition and sharing of knowledge and know-how on the standardization activities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T.5 </w:t>
            </w:r>
            <w:r w:rsidRPr="00A17F52">
              <w:rPr>
                <w:rFonts w:eastAsia="SimSun"/>
                <w:noProof/>
                <w:sz w:val="20"/>
                <w:lang w:val="en-US" w:eastAsia="zh-CN"/>
              </w:rPr>
              <w:t>Extend and facilitate cooperation with international, regional and national standardization bodies</w:t>
            </w:r>
          </w:p>
        </w:tc>
        <w:tc>
          <w:tcPr>
            <w:tcW w:w="1565"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50%</w:t>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br/>
              <w:t>22%</w:t>
            </w:r>
            <w:r w:rsidRPr="00A17F52">
              <w:rPr>
                <w:rFonts w:eastAsia="SimSun"/>
                <w:b/>
                <w:bCs/>
                <w:noProof/>
                <w:sz w:val="20"/>
                <w:lang w:val="fr-CH" w:eastAsia="zh-CN"/>
              </w:rPr>
              <w:br/>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10%</w:t>
            </w:r>
            <w:r w:rsidRPr="00A17F52">
              <w:rPr>
                <w:rFonts w:eastAsia="SimSun"/>
                <w:b/>
                <w:bCs/>
                <w:noProof/>
                <w:sz w:val="20"/>
                <w:lang w:val="fr-CH" w:eastAsia="zh-CN"/>
              </w:rPr>
              <w:br/>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15%</w:t>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 xml:space="preserve"> </w:t>
            </w:r>
            <w:r>
              <w:rPr>
                <w:rFonts w:eastAsia="SimSun"/>
                <w:b/>
                <w:bCs/>
                <w:noProof/>
                <w:sz w:val="20"/>
                <w:lang w:val="fr-CH" w:eastAsia="zh-CN"/>
              </w:rPr>
              <w:t xml:space="preserve"> </w:t>
            </w:r>
            <w:r w:rsidRPr="00A17F52">
              <w:rPr>
                <w:rFonts w:eastAsia="SimSun"/>
                <w:b/>
                <w:bCs/>
                <w:noProof/>
                <w:sz w:val="20"/>
                <w:lang w:val="fr-CH" w:eastAsia="zh-CN"/>
              </w:rPr>
              <w:t>3%</w:t>
            </w:r>
          </w:p>
        </w:tc>
        <w:tc>
          <w:tcPr>
            <w:tcW w:w="5424"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893"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981"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r>
    </w:tbl>
    <w:p w:rsidR="00A17F52" w:rsidRPr="00A17F52" w:rsidRDefault="00A17F52" w:rsidP="00820A46">
      <w:pPr>
        <w:tabs>
          <w:tab w:val="clear" w:pos="567"/>
          <w:tab w:val="clear" w:pos="1134"/>
          <w:tab w:val="clear" w:pos="1701"/>
          <w:tab w:val="clear" w:pos="2268"/>
          <w:tab w:val="clear" w:pos="2835"/>
        </w:tabs>
        <w:overflowPunct/>
        <w:autoSpaceDE/>
        <w:autoSpaceDN/>
        <w:adjustRightInd/>
        <w:spacing w:line="276" w:lineRule="auto"/>
        <w:jc w:val="right"/>
        <w:textAlignment w:val="auto"/>
        <w:rPr>
          <w:rFonts w:eastAsia="SimSun" w:cs="Arial"/>
          <w:sz w:val="20"/>
          <w:szCs w:val="22"/>
          <w:lang w:val="en-US" w:eastAsia="zh-CN"/>
        </w:rPr>
      </w:pPr>
      <w:r w:rsidRPr="00A17F52">
        <w:rPr>
          <w:rFonts w:eastAsia="SimSun" w:cs="Arial"/>
          <w:sz w:val="20"/>
          <w:szCs w:val="22"/>
          <w:lang w:val="en-US" w:eastAsia="zh-CN"/>
        </w:rPr>
        <w:lastRenderedPageBreak/>
        <w:t>* Cost of these Outputs is allocated to all the Objectives of the Union.</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t>4</w:t>
      </w:r>
      <w:r w:rsidRPr="00A17F52">
        <w:rPr>
          <w:rFonts w:ascii="Calibri Light" w:eastAsia="SimSun" w:hAnsi="Calibri Light"/>
          <w:color w:val="2E74B5"/>
          <w:sz w:val="32"/>
          <w:szCs w:val="32"/>
          <w:lang w:val="en-US" w:eastAsia="zh-CN"/>
        </w:rPr>
        <w:tab/>
        <w:t>Risk analysis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Moving from strategy to implementation, the following top-level operational risks presented in the Table be</w:t>
      </w:r>
      <w:r w:rsidR="00E30334">
        <w:rPr>
          <w:rFonts w:eastAsia="SimSun" w:cs="Arial"/>
          <w:sz w:val="22"/>
          <w:szCs w:val="22"/>
          <w:lang w:val="en-US" w:eastAsia="zh-CN"/>
        </w:rPr>
        <w:t>low have been identified, analys</w:t>
      </w:r>
      <w:r w:rsidRPr="00A17F52">
        <w:rPr>
          <w:rFonts w:eastAsia="SimSun" w:cs="Arial"/>
          <w:sz w:val="22"/>
          <w:szCs w:val="22"/>
          <w:lang w:val="en-US" w:eastAsia="zh-CN"/>
        </w:rPr>
        <w:t>ed</w:t>
      </w:r>
      <w:r w:rsidR="00E30334">
        <w:rPr>
          <w:rFonts w:eastAsia="SimSun" w:cs="Arial"/>
          <w:sz w:val="22"/>
          <w:szCs w:val="22"/>
          <w:lang w:val="en-US" w:eastAsia="zh-CN"/>
        </w:rPr>
        <w:t>,</w:t>
      </w:r>
      <w:r w:rsidRPr="00A17F52">
        <w:rPr>
          <w:rFonts w:eastAsia="SimSun" w:cs="Arial"/>
          <w:sz w:val="22"/>
          <w:szCs w:val="22"/>
          <w:lang w:val="en-US" w:eastAsia="zh-CN"/>
        </w:rPr>
        <w:t xml:space="preserve"> and evaluated. The Bureaux and each Department will manage all the risks associated with the achievement of the corresponding outcomes.</w:t>
      </w:r>
    </w:p>
    <w:tbl>
      <w:tblPr>
        <w:tblStyle w:val="GridTable4-Accent11"/>
        <w:tblW w:w="0" w:type="auto"/>
        <w:tblLook w:val="06A0" w:firstRow="1" w:lastRow="0" w:firstColumn="1" w:lastColumn="0" w:noHBand="1" w:noVBand="1"/>
      </w:tblPr>
      <w:tblGrid>
        <w:gridCol w:w="1831"/>
        <w:gridCol w:w="5606"/>
        <w:gridCol w:w="1296"/>
        <w:gridCol w:w="1389"/>
        <w:gridCol w:w="4439"/>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sz w:val="22"/>
                <w:lang w:val="fr-CH" w:eastAsia="zh-CN"/>
              </w:rPr>
              <w:t>Perspective</w:t>
            </w:r>
          </w:p>
        </w:tc>
        <w:tc>
          <w:tcPr>
            <w:tcW w:w="5670"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Description of risk</w:t>
            </w:r>
          </w:p>
        </w:tc>
        <w:tc>
          <w:tcPr>
            <w:tcW w:w="129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Probability</w:t>
            </w:r>
          </w:p>
        </w:tc>
        <w:tc>
          <w:tcPr>
            <w:tcW w:w="1396"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Impact level</w:t>
            </w:r>
          </w:p>
        </w:tc>
        <w:tc>
          <w:tcPr>
            <w:tcW w:w="447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Mitigation</w:t>
            </w:r>
            <w:r w:rsidRPr="00A17F52">
              <w:rPr>
                <w:rFonts w:eastAsia="SimSun"/>
                <w:position w:val="6"/>
                <w:sz w:val="16"/>
                <w:lang w:val="fr-CH" w:eastAsia="zh-CN"/>
              </w:rPr>
              <w:footnoteReference w:id="1"/>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Organizational</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operate the headquarters.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organize events or travel  (</w:t>
            </w:r>
            <w:r w:rsidRPr="00A17F52">
              <w:rPr>
                <w:rFonts w:eastAsia="SimSun"/>
                <w:i/>
                <w:iCs/>
                <w:sz w:val="20"/>
                <w:lang w:val="en-US" w:eastAsia="zh-CN"/>
              </w:rPr>
              <w:t>e.g. the host country of an event has to be changed at the last minute because of political instability or because of a major impact crisis, such as a pandemic</w:t>
            </w:r>
            <w:r w:rsidRPr="00A17F52">
              <w:rPr>
                <w:rFonts w:eastAsia="SimSun"/>
                <w:sz w:val="20"/>
                <w:lang w:val="en-US" w:eastAsia="zh-CN"/>
              </w:rPr>
              <w:t xml:space="preserve"> </w:t>
            </w:r>
            <w:r w:rsidRPr="00A17F52">
              <w:rPr>
                <w:rFonts w:eastAsia="SimSun"/>
                <w:i/>
                <w:iCs/>
                <w:sz w:val="20"/>
                <w:lang w:val="en-US" w:eastAsia="zh-CN"/>
              </w:rPr>
              <w:t>or public security concerns)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Strengthen remote participation means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ind w:left="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ITU/TSB wide business contingency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0"/>
                <w:lang w:val="fr-CH" w:eastAsia="zh-CN"/>
              </w:rPr>
            </w:pPr>
            <w:r w:rsidRPr="00A17F52">
              <w:rPr>
                <w:rFonts w:eastAsia="SimSun"/>
                <w:sz w:val="20"/>
                <w:lang w:val="fr-CH" w:eastAsia="zh-CN"/>
              </w:rPr>
              <w:t>Infrastructure</w:t>
            </w:r>
          </w:p>
        </w:tc>
        <w:tc>
          <w:tcPr>
            <w:tcW w:w="5670"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ICT services disruption </w:t>
            </w:r>
          </w:p>
        </w:tc>
        <w:tc>
          <w:tcPr>
            <w:tcW w:w="129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1396"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tc>
        <w:tc>
          <w:tcPr>
            <w:tcW w:w="4474" w:type="dxa"/>
          </w:tcPr>
          <w:p w:rsidR="00A17F52" w:rsidRPr="00A17F52" w:rsidRDefault="00A17F52" w:rsidP="00820A46">
            <w:pPr>
              <w:numPr>
                <w:ilvl w:val="0"/>
                <w:numId w:val="21"/>
              </w:numPr>
              <w:tabs>
                <w:tab w:val="clear" w:pos="567"/>
                <w:tab w:val="clear" w:pos="1134"/>
                <w:tab w:val="clear" w:pos="1701"/>
                <w:tab w:val="clear" w:pos="2268"/>
                <w:tab w:val="clear" w:pos="2835"/>
              </w:tabs>
              <w:overflowPunct/>
              <w:autoSpaceDE/>
              <w:autoSpaceDN/>
              <w:adjustRightInd/>
              <w:spacing w:before="0" w:line="216" w:lineRule="auto"/>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ICT continuity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Human resources</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Scarcity of staff/skills for key tasks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HR strategic plan addressing training, career paths and replacement of staff/competencies.</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Contingency plan for sick leaves</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TSB wide business continuity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Financial</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Inefficient spending</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Significant number of membership denunciations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Substantive decrease of cost recovery income</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2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Internal control system/mechanism</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Position ITU-T as an attractive place to do cutting edge standardization work</w:t>
            </w:r>
          </w:p>
          <w:p w:rsidR="00A17F52" w:rsidRPr="00A17F52" w:rsidRDefault="00A17F52" w:rsidP="00C13033">
            <w:pPr>
              <w:numPr>
                <w:ilvl w:val="0"/>
                <w:numId w:val="21"/>
              </w:numPr>
              <w:tabs>
                <w:tab w:val="clear" w:pos="567"/>
                <w:tab w:val="clear" w:pos="1134"/>
                <w:tab w:val="clear" w:pos="1701"/>
                <w:tab w:val="clear" w:pos="2268"/>
                <w:tab w:val="clear" w:pos="2835"/>
              </w:tabs>
              <w:overflowPunct/>
              <w:autoSpaceDE/>
              <w:autoSpaceDN/>
              <w:adjustRightInd/>
              <w:spacing w:before="0" w:after="2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Implementation of monitoring and evaluation system</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en-US" w:eastAsia="zh-CN"/>
        </w:rPr>
      </w:pP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en-US" w:eastAsia="zh-CN"/>
        </w:rPr>
      </w:pPr>
      <w:r w:rsidRPr="00A17F52">
        <w:rPr>
          <w:rFonts w:eastAsia="SimSun" w:cs="Arial"/>
          <w:sz w:val="22"/>
          <w:szCs w:val="2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5</w:t>
      </w:r>
      <w:r w:rsidRPr="00A17F52">
        <w:rPr>
          <w:rFonts w:ascii="Calibri Light" w:eastAsia="SimSun" w:hAnsi="Calibri Light"/>
          <w:color w:val="2E74B5"/>
          <w:sz w:val="32"/>
          <w:szCs w:val="32"/>
          <w:lang w:val="en-US" w:eastAsia="zh-CN"/>
        </w:rPr>
        <w:tab/>
        <w:t>ITU-T objectives, outcomes and outputs for 2018-2021</w:t>
      </w:r>
    </w:p>
    <w:p w:rsidR="00A17F52" w:rsidRPr="00A17F52" w:rsidRDefault="00A17F52" w:rsidP="00421EDA">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eastAsia="SimSun" w:cs="Arial"/>
          <w:sz w:val="22"/>
          <w:szCs w:val="22"/>
          <w:lang w:val="en-US" w:eastAsia="zh-CN"/>
        </w:rPr>
      </w:pPr>
      <w:r w:rsidRPr="00A17F52">
        <w:rPr>
          <w:rFonts w:eastAsia="SimSun" w:cs="Arial"/>
          <w:sz w:val="22"/>
          <w:szCs w:val="22"/>
          <w:lang w:val="en-US" w:eastAsia="zh-CN"/>
        </w:rPr>
        <w:t>ITU-T Sector objectives will be met by achieving the related outcomes, through the implementation of the outputs. ITU-T objectives, in the context of the remit of the Sector, contribute to the overarching goals of the Union. The Telecommunication Standardization Bureau is also contributing to the implementation of the Intersectoral objectives, outcomes</w:t>
      </w:r>
      <w:r w:rsidR="00E30334">
        <w:rPr>
          <w:rFonts w:eastAsia="SimSun" w:cs="Arial"/>
          <w:sz w:val="22"/>
          <w:szCs w:val="22"/>
          <w:lang w:val="en-US" w:eastAsia="zh-CN"/>
        </w:rPr>
        <w:t>,</w:t>
      </w:r>
      <w:r w:rsidRPr="00A17F52">
        <w:rPr>
          <w:rFonts w:eastAsia="SimSun" w:cs="Arial"/>
          <w:sz w:val="22"/>
          <w:szCs w:val="22"/>
          <w:lang w:val="en-US" w:eastAsia="zh-CN"/>
        </w:rPr>
        <w:t xml:space="preserve"> and outputs (presented in the General Secretariat</w:t>
      </w:r>
      <w:r w:rsidR="00E30334">
        <w:rPr>
          <w:rFonts w:eastAsia="SimSun" w:cs="Arial"/>
          <w:sz w:val="22"/>
          <w:szCs w:val="22"/>
          <w:lang w:val="en-US" w:eastAsia="zh-CN"/>
        </w:rPr>
        <w:t>’</w:t>
      </w:r>
      <w:r w:rsidRPr="00A17F52">
        <w:rPr>
          <w:rFonts w:eastAsia="SimSun" w:cs="Arial"/>
          <w:sz w:val="22"/>
          <w:szCs w:val="22"/>
          <w:lang w:val="en-US" w:eastAsia="zh-CN"/>
        </w:rPr>
        <w:t>s Operational Plan).</w:t>
      </w:r>
    </w:p>
    <w:p w:rsidR="00A17F52" w:rsidRPr="00421EDA" w:rsidRDefault="00A17F52" w:rsidP="00C13033">
      <w:pPr>
        <w:keepNext/>
        <w:keepLines/>
        <w:tabs>
          <w:tab w:val="clear" w:pos="567"/>
          <w:tab w:val="clear" w:pos="1134"/>
          <w:tab w:val="clear" w:pos="1701"/>
          <w:tab w:val="clear" w:pos="2268"/>
          <w:tab w:val="clear" w:pos="2835"/>
        </w:tabs>
        <w:overflowPunct/>
        <w:autoSpaceDE/>
        <w:autoSpaceDN/>
        <w:adjustRightInd/>
        <w:spacing w:before="24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5.1</w:t>
      </w:r>
      <w:r w:rsidRPr="00421EDA">
        <w:rPr>
          <w:rFonts w:ascii="Calibri Light" w:eastAsia="SimSun" w:hAnsi="Calibri Light"/>
          <w:color w:val="2E74B5"/>
          <w:sz w:val="26"/>
          <w:szCs w:val="26"/>
          <w:lang w:val="en-US" w:eastAsia="zh-CN"/>
        </w:rPr>
        <w:tab/>
        <w:t>T.1 Develop non-discriminatory international standards (ITU-T recommendations), in a timely manner, and foster interoperability and improved</w:t>
      </w:r>
      <w:r w:rsidRPr="00421EDA">
        <w:rPr>
          <w:rFonts w:eastAsia="SimSun" w:cs="Arial"/>
          <w:b/>
          <w:sz w:val="26"/>
          <w:szCs w:val="26"/>
          <w:lang w:val="en-US" w:eastAsia="zh-CN"/>
        </w:rPr>
        <w:t xml:space="preserve"> </w:t>
      </w:r>
      <w:r w:rsidRPr="00421EDA">
        <w:rPr>
          <w:rFonts w:ascii="Calibri Light" w:eastAsia="SimSun" w:hAnsi="Calibri Light"/>
          <w:color w:val="2E74B5"/>
          <w:sz w:val="26"/>
          <w:szCs w:val="26"/>
          <w:lang w:val="en-US" w:eastAsia="zh-CN"/>
        </w:rPr>
        <w:t>performance of equipment, networks, services and applications</w:t>
      </w:r>
    </w:p>
    <w:tbl>
      <w:tblPr>
        <w:tblStyle w:val="GridTable4-Accent11"/>
        <w:tblW w:w="14879" w:type="dxa"/>
        <w:tblLook w:val="06A0" w:firstRow="1" w:lastRow="0" w:firstColumn="1" w:lastColumn="0" w:noHBand="1" w:noVBand="1"/>
      </w:tblPr>
      <w:tblGrid>
        <w:gridCol w:w="3162"/>
        <w:gridCol w:w="5055"/>
        <w:gridCol w:w="2410"/>
        <w:gridCol w:w="2409"/>
        <w:gridCol w:w="1843"/>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rPr>
                <w:rFonts w:eastAsia="SimSun"/>
                <w:sz w:val="22"/>
                <w:lang w:val="fr-CH" w:eastAsia="zh-CN"/>
              </w:rPr>
            </w:pPr>
            <w:r w:rsidRPr="00A17F52">
              <w:rPr>
                <w:rFonts w:eastAsia="SimSun"/>
                <w:sz w:val="22"/>
                <w:lang w:val="fr-CH" w:eastAsia="zh-CN"/>
              </w:rPr>
              <w:t>Outcome</w:t>
            </w:r>
          </w:p>
        </w:tc>
        <w:tc>
          <w:tcPr>
            <w:tcW w:w="505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Means of measurement</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T.1-1</w:t>
            </w:r>
            <w:r w:rsidRPr="00A17F52">
              <w:rPr>
                <w:sz w:val="20"/>
                <w:lang w:val="en-US" w:eastAsia="zh-CN"/>
              </w:rPr>
              <w:t>: Increased utilization of ITU-T recommendations</w:t>
            </w:r>
          </w:p>
        </w:tc>
        <w:tc>
          <w:tcPr>
            <w:tcW w:w="505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visits to ITU-T website</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participants in study groups</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downloads of ITU-T recommendations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w:t>
            </w:r>
            <w:r w:rsidR="00E30334">
              <w:rPr>
                <w:rFonts w:eastAsia="SimSun"/>
                <w:sz w:val="20"/>
                <w:lang w:val="fr-CH" w:eastAsia="zh-CN"/>
              </w:rPr>
              <w:t>’</w:t>
            </w:r>
            <w:r w:rsidRPr="00A17F52">
              <w:rPr>
                <w:rFonts w:eastAsia="SimSun"/>
                <w:sz w:val="20"/>
                <w:lang w:val="fr-CH" w:eastAsia="zh-CN"/>
              </w:rPr>
              <w:t>940</w:t>
            </w:r>
            <w:r w:rsidR="00E30334">
              <w:rPr>
                <w:rFonts w:eastAsia="SimSun"/>
                <w:sz w:val="20"/>
                <w:lang w:val="fr-CH" w:eastAsia="zh-CN"/>
              </w:rPr>
              <w:t>’</w:t>
            </w:r>
            <w:r w:rsidRPr="00A17F52">
              <w:rPr>
                <w:rFonts w:eastAsia="SimSun"/>
                <w:sz w:val="20"/>
                <w:lang w:val="fr-CH" w:eastAsia="zh-CN"/>
              </w:rPr>
              <w:t>648</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w:t>
            </w:r>
            <w:r w:rsidR="00E30334">
              <w:rPr>
                <w:rFonts w:eastAsia="SimSun"/>
                <w:sz w:val="20"/>
                <w:lang w:val="fr-CH" w:eastAsia="zh-CN"/>
              </w:rPr>
              <w:t>’</w:t>
            </w:r>
            <w:r w:rsidRPr="00A17F52">
              <w:rPr>
                <w:rFonts w:eastAsia="SimSun"/>
                <w:sz w:val="20"/>
                <w:lang w:val="fr-CH" w:eastAsia="zh-CN"/>
              </w:rPr>
              <w:t>369</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w:t>
            </w:r>
            <w:r w:rsidR="00E30334">
              <w:rPr>
                <w:rFonts w:eastAsia="SimSun"/>
                <w:sz w:val="20"/>
                <w:lang w:val="fr-CH" w:eastAsia="zh-CN"/>
              </w:rPr>
              <w:t>’</w:t>
            </w:r>
            <w:r w:rsidRPr="00A17F52">
              <w:rPr>
                <w:rFonts w:eastAsia="SimSun"/>
                <w:sz w:val="20"/>
                <w:lang w:val="fr-CH" w:eastAsia="zh-CN"/>
              </w:rPr>
              <w:t>910</w:t>
            </w:r>
            <w:r w:rsidR="00E30334">
              <w:rPr>
                <w:rFonts w:eastAsia="SimSun"/>
                <w:sz w:val="20"/>
                <w:lang w:val="fr-CH" w:eastAsia="zh-CN"/>
              </w:rPr>
              <w:t>’</w:t>
            </w:r>
            <w:r w:rsidRPr="00A17F52">
              <w:rPr>
                <w:rFonts w:eastAsia="SimSun"/>
                <w:sz w:val="20"/>
                <w:lang w:val="fr-CH" w:eastAsia="zh-CN"/>
              </w:rPr>
              <w:t>645</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8</w:t>
            </w:r>
            <w:r w:rsidR="00E30334">
              <w:rPr>
                <w:rFonts w:eastAsia="SimSun"/>
                <w:sz w:val="20"/>
                <w:lang w:val="fr-CH" w:eastAsia="zh-CN"/>
              </w:rPr>
              <w:t>’</w:t>
            </w:r>
            <w:r w:rsidRPr="00A17F52">
              <w:rPr>
                <w:rFonts w:eastAsia="SimSun"/>
                <w:sz w:val="20"/>
                <w:lang w:val="fr-CH" w:eastAsia="zh-CN"/>
              </w:rPr>
              <w:t>288</w:t>
            </w:r>
            <w:r w:rsidR="00E30334">
              <w:rPr>
                <w:rFonts w:eastAsia="SimSun"/>
                <w:sz w:val="20"/>
                <w:lang w:val="fr-CH" w:eastAsia="zh-CN"/>
              </w:rPr>
              <w:t>’</w:t>
            </w:r>
            <w:r w:rsidRPr="00A17F52">
              <w:rPr>
                <w:rFonts w:eastAsia="SimSun"/>
                <w:sz w:val="20"/>
                <w:lang w:val="fr-CH" w:eastAsia="zh-CN"/>
              </w:rPr>
              <w:t>568</w:t>
            </w:r>
            <w:r w:rsidRPr="00A17F52">
              <w:rPr>
                <w:rFonts w:eastAsia="SimSun"/>
                <w:sz w:val="20"/>
                <w:lang w:val="fr-CH" w:eastAsia="zh-CN"/>
              </w:rPr>
              <w:br/>
              <w:t>2</w:t>
            </w:r>
            <w:r w:rsidR="00E30334">
              <w:rPr>
                <w:rFonts w:eastAsia="SimSun"/>
                <w:sz w:val="20"/>
                <w:lang w:val="fr-CH" w:eastAsia="zh-CN"/>
              </w:rPr>
              <w:t>’</w:t>
            </w:r>
            <w:r w:rsidRPr="00A17F52">
              <w:rPr>
                <w:rFonts w:eastAsia="SimSun"/>
                <w:sz w:val="20"/>
                <w:lang w:val="fr-CH" w:eastAsia="zh-CN"/>
              </w:rPr>
              <w:t>953</w:t>
            </w:r>
            <w:r w:rsidRPr="00A17F52">
              <w:rPr>
                <w:rFonts w:eastAsia="SimSun"/>
                <w:sz w:val="20"/>
                <w:lang w:val="fr-CH" w:eastAsia="zh-CN"/>
              </w:rPr>
              <w:br/>
              <w:t>3</w:t>
            </w:r>
            <w:r w:rsidR="00E30334">
              <w:rPr>
                <w:rFonts w:eastAsia="SimSun"/>
                <w:sz w:val="20"/>
                <w:lang w:val="fr-CH" w:eastAsia="zh-CN"/>
              </w:rPr>
              <w:t>’</w:t>
            </w:r>
            <w:r w:rsidRPr="00A17F52">
              <w:rPr>
                <w:rFonts w:eastAsia="SimSun"/>
                <w:sz w:val="20"/>
                <w:lang w:val="fr-CH" w:eastAsia="zh-CN"/>
              </w:rPr>
              <w:t>403</w:t>
            </w:r>
            <w:r w:rsidR="00E30334">
              <w:rPr>
                <w:rFonts w:eastAsia="SimSun"/>
                <w:sz w:val="20"/>
                <w:lang w:val="fr-CH" w:eastAsia="zh-CN"/>
              </w:rPr>
              <w:t>’</w:t>
            </w:r>
            <w:r w:rsidRPr="00A17F52">
              <w:rPr>
                <w:rFonts w:eastAsia="SimSun"/>
                <w:sz w:val="20"/>
                <w:lang w:val="fr-CH" w:eastAsia="zh-CN"/>
              </w:rPr>
              <w:t>995</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A17F52">
              <w:rPr>
                <w:color w:val="5B9BD5"/>
                <w:sz w:val="20"/>
                <w:lang w:val="fr-CH" w:eastAsia="zh-CN"/>
              </w:rPr>
              <w:t>T.1-2</w:t>
            </w:r>
            <w:r w:rsidRPr="00A17F52">
              <w:rPr>
                <w:sz w:val="20"/>
                <w:lang w:val="fr-CH" w:eastAsia="zh-CN"/>
              </w:rPr>
              <w:t>: Improved conformance to ITU-T recommendations</w:t>
            </w:r>
          </w:p>
        </w:tc>
        <w:tc>
          <w:tcPr>
            <w:tcW w:w="505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test events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entries in conformity database</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Recommendations describing test specifications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4</w:t>
            </w:r>
            <w:r w:rsidRPr="00A17F52">
              <w:rPr>
                <w:rFonts w:eastAsia="SimSun"/>
                <w:sz w:val="20"/>
                <w:lang w:val="fr-CH" w:eastAsia="zh-CN"/>
              </w:rPr>
              <w:br/>
              <w:t>500+</w:t>
            </w:r>
            <w:r w:rsidRPr="00A17F52">
              <w:rPr>
                <w:rFonts w:eastAsia="SimSun"/>
                <w:sz w:val="20"/>
                <w:lang w:val="fr-CH" w:eastAsia="zh-CN"/>
              </w:rPr>
              <w:br/>
              <w:t>(ongoing)</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statistics </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T.1-3</w:t>
            </w:r>
            <w:r w:rsidRPr="00A17F52">
              <w:rPr>
                <w:sz w:val="20"/>
                <w:lang w:val="en-US" w:eastAsia="zh-CN"/>
              </w:rPr>
              <w:t>: Enhanced standards in new technologies and services</w:t>
            </w:r>
          </w:p>
        </w:tc>
        <w:tc>
          <w:tcPr>
            <w:tcW w:w="505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new areas of work (Study Group Questions, work items and resulting standards, either in ITU-T or in collaboration with other groups)</w:t>
            </w:r>
          </w:p>
        </w:tc>
        <w:tc>
          <w:tcPr>
            <w:tcW w:w="2410" w:type="dxa"/>
          </w:tcPr>
          <w:p w:rsidR="00A17F52" w:rsidRPr="00A17F52" w:rsidRDefault="00E30334"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t xml:space="preserve"># of new </w:t>
            </w:r>
            <w:r w:rsidR="00A17F52" w:rsidRPr="00A17F52">
              <w:rPr>
                <w:rFonts w:eastAsia="SimSun"/>
                <w:sz w:val="20"/>
                <w:lang w:val="en-US" w:eastAsia="zh-CN"/>
              </w:rPr>
              <w:t>Questions: 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430</w:t>
            </w:r>
          </w:p>
        </w:tc>
        <w:tc>
          <w:tcPr>
            <w:tcW w:w="2409" w:type="dxa"/>
          </w:tcPr>
          <w:p w:rsidR="00A17F52" w:rsidRPr="00A17F52" w:rsidRDefault="00A17F52" w:rsidP="00E3033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Questions: 5</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442</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421EDA">
      <w:pPr>
        <w:tabs>
          <w:tab w:val="clear" w:pos="567"/>
          <w:tab w:val="clear" w:pos="1134"/>
          <w:tab w:val="clear" w:pos="1701"/>
          <w:tab w:val="clear" w:pos="2268"/>
          <w:tab w:val="clear" w:pos="2835"/>
        </w:tabs>
        <w:overflowPunct/>
        <w:autoSpaceDE/>
        <w:autoSpaceDN/>
        <w:adjustRightInd/>
        <w:spacing w:before="0" w:after="10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2"/>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lang w:val="fr-CH" w:eastAsia="zh-CN"/>
              </w:rPr>
            </w:pP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highlight w:val="yellow"/>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T.1-1</w:t>
            </w:r>
            <w:r w:rsidRPr="00A17F52">
              <w:rPr>
                <w:rFonts w:eastAsia="SimSun"/>
                <w:color w:val="5B9BD5"/>
                <w:sz w:val="20"/>
                <w:lang w:val="en-US" w:eastAsia="zh-CN"/>
              </w:rPr>
              <w:t xml:space="preserve"> </w:t>
            </w:r>
            <w:r w:rsidRPr="00A17F52">
              <w:rPr>
                <w:rFonts w:eastAsia="SimSun"/>
                <w:color w:val="000000"/>
                <w:sz w:val="20"/>
                <w:lang w:val="en-US" w:eastAsia="zh-CN"/>
              </w:rPr>
              <w:t>Resolutions, Recommendations and opinions of the WTSA</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2,863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861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T.1-2</w:t>
            </w:r>
            <w:r w:rsidRPr="00A17F52">
              <w:rPr>
                <w:rFonts w:eastAsia="SimSun"/>
                <w:color w:val="5B9BD5"/>
                <w:sz w:val="20"/>
                <w:lang w:val="fr-CH" w:eastAsia="zh-CN"/>
              </w:rPr>
              <w:t xml:space="preserve"> </w:t>
            </w:r>
            <w:r w:rsidRPr="00A17F52">
              <w:rPr>
                <w:rFonts w:eastAsia="SimSun"/>
                <w:color w:val="000000"/>
                <w:sz w:val="20"/>
                <w:lang w:val="fr-CH" w:eastAsia="zh-CN"/>
              </w:rPr>
              <w:t>WTSA regional consultation sessions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871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271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T.1-3</w:t>
            </w:r>
            <w:r w:rsidRPr="00A17F52">
              <w:rPr>
                <w:rFonts w:eastAsia="SimSun"/>
                <w:color w:val="5B9BD5"/>
                <w:sz w:val="20"/>
                <w:lang w:val="en-US" w:eastAsia="zh-CN"/>
              </w:rPr>
              <w:t xml:space="preserve"> </w:t>
            </w:r>
            <w:r w:rsidRPr="00A17F52">
              <w:rPr>
                <w:rFonts w:eastAsia="SimSun"/>
                <w:color w:val="000000"/>
                <w:sz w:val="20"/>
                <w:lang w:val="en-US" w:eastAsia="zh-CN"/>
              </w:rPr>
              <w:t>Advice and decisions of the TSAG</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567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556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587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594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T.1-4 </w:t>
            </w:r>
            <w:r w:rsidRPr="00A17F52">
              <w:rPr>
                <w:rFonts w:eastAsia="SimSun"/>
                <w:color w:val="000000"/>
                <w:sz w:val="20"/>
                <w:lang w:val="en-US" w:eastAsia="zh-CN"/>
              </w:rPr>
              <w:t>ITU-T Recommendations and related results of ITU-T study groups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10,494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10,524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9,244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10,930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T.1-5 </w:t>
            </w:r>
            <w:r w:rsidRPr="00A17F52">
              <w:rPr>
                <w:rFonts w:eastAsia="SimSun"/>
                <w:color w:val="000000"/>
                <w:sz w:val="20"/>
                <w:lang w:val="en-US" w:eastAsia="zh-CN"/>
              </w:rPr>
              <w:t>ITU-T general assistance and cooperation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923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925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744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1,045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 xml:space="preserve">T.1-6 </w:t>
            </w:r>
            <w:r w:rsidRPr="00A17F52">
              <w:rPr>
                <w:rFonts w:eastAsia="SimSun"/>
                <w:color w:val="000000"/>
                <w:sz w:val="20"/>
                <w:lang w:val="fr-CH" w:eastAsia="zh-CN"/>
              </w:rPr>
              <w:t>Conformity database</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196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198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209</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287</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T.1-7 </w:t>
            </w:r>
            <w:r w:rsidRPr="00A17F52">
              <w:rPr>
                <w:rFonts w:eastAsia="SimSun"/>
                <w:color w:val="000000"/>
                <w:sz w:val="20"/>
                <w:lang w:val="en-US" w:eastAsia="zh-CN"/>
              </w:rPr>
              <w:t>Interoperability test centres and events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137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139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135</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163</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T.1-8 </w:t>
            </w:r>
            <w:r w:rsidRPr="00A17F52">
              <w:rPr>
                <w:rFonts w:eastAsia="SimSun"/>
                <w:color w:val="000000"/>
                <w:sz w:val="20"/>
                <w:lang w:val="en-US" w:eastAsia="zh-CN"/>
              </w:rPr>
              <w:t>Development of test suites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78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78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89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89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737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371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470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500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T.1</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13,131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12,791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15,711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14,740 </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5.2</w:t>
      </w:r>
      <w:r w:rsidRPr="00421EDA">
        <w:rPr>
          <w:rFonts w:ascii="Calibri Light" w:eastAsia="SimSun" w:hAnsi="Calibri Light"/>
          <w:color w:val="2E74B5"/>
          <w:sz w:val="26"/>
          <w:szCs w:val="26"/>
          <w:lang w:val="en-US" w:eastAsia="zh-CN"/>
        </w:rPr>
        <w:tab/>
        <w:t>T.2 Promote the active participation of the membership, in particular developing countries in the definition and adoption of non-discriminatory</w:t>
      </w:r>
      <w:r w:rsidRPr="00421EDA">
        <w:rPr>
          <w:rFonts w:eastAsia="SimSun" w:cs="Arial"/>
          <w:b/>
          <w:sz w:val="26"/>
          <w:szCs w:val="26"/>
          <w:lang w:val="en-US" w:eastAsia="zh-CN"/>
        </w:rPr>
        <w:t xml:space="preserve"> </w:t>
      </w:r>
      <w:r w:rsidRPr="00421EDA">
        <w:rPr>
          <w:rFonts w:ascii="Calibri Light" w:eastAsia="SimSun" w:hAnsi="Calibri Light"/>
          <w:color w:val="2E74B5"/>
          <w:sz w:val="26"/>
          <w:szCs w:val="26"/>
          <w:lang w:val="en-US" w:eastAsia="zh-CN"/>
        </w:rPr>
        <w:t>international standards (ITU-T recommendations) with a view to bridging the standardization gap</w:t>
      </w:r>
    </w:p>
    <w:tbl>
      <w:tblPr>
        <w:tblStyle w:val="GridTable4-Accent11"/>
        <w:tblW w:w="14855" w:type="dxa"/>
        <w:tblLook w:val="06A0" w:firstRow="1" w:lastRow="0" w:firstColumn="1" w:lastColumn="0" w:noHBand="1" w:noVBand="1"/>
      </w:tblPr>
      <w:tblGrid>
        <w:gridCol w:w="4181"/>
        <w:gridCol w:w="4120"/>
        <w:gridCol w:w="2751"/>
        <w:gridCol w:w="2389"/>
        <w:gridCol w:w="1414"/>
      </w:tblGrid>
      <w:tr w:rsidR="00A17F52" w:rsidRPr="00A17F52" w:rsidTr="008F5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rPr>
                <w:rFonts w:eastAsia="SimSun"/>
                <w:sz w:val="22"/>
                <w:lang w:val="fr-CH" w:eastAsia="zh-CN"/>
              </w:rPr>
            </w:pPr>
            <w:r w:rsidRPr="00A17F52">
              <w:rPr>
                <w:rFonts w:eastAsia="SimSun"/>
                <w:sz w:val="22"/>
                <w:lang w:val="fr-CH" w:eastAsia="zh-CN"/>
              </w:rPr>
              <w:t>Outcome</w:t>
            </w:r>
          </w:p>
        </w:tc>
        <w:tc>
          <w:tcPr>
            <w:tcW w:w="412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75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38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1414"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16"/>
                <w:lang w:val="fr-CH" w:eastAsia="zh-CN"/>
              </w:rPr>
            </w:pPr>
            <w:r w:rsidRPr="00A17F52">
              <w:rPr>
                <w:rFonts w:eastAsia="SimSun"/>
                <w:sz w:val="20"/>
                <w:szCs w:val="16"/>
                <w:lang w:val="fr-CH" w:eastAsia="zh-CN"/>
              </w:rPr>
              <w:t>Means of measurement</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T.2-1</w:t>
            </w:r>
            <w:r w:rsidRPr="00A17F52">
              <w:rPr>
                <w:sz w:val="20"/>
                <w:lang w:val="en-US" w:eastAsia="zh-CN"/>
              </w:rPr>
              <w:t>: Increased participation in the ITU-T standardization process, including attendance of meetings, submission of contributions, taking leadership positions and hosting of meetings/workshops, especially from developing countries</w:t>
            </w:r>
          </w:p>
        </w:tc>
        <w:tc>
          <w:tcPr>
            <w:tcW w:w="4120"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SG meetings, WP meetings, Regional Group meetings and workshops held (in and outside Geneva)</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Rapporteur meetings and # of participants </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e-Meetings and # of participants</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contributions submitted by participants from LDC,  developing and developed countries (separately)</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leadership positions (Study Group Chair/Vice-chair, Rapporteur Chair, editor) held by developing countries and LDC</w:t>
            </w:r>
          </w:p>
        </w:tc>
        <w:tc>
          <w:tcPr>
            <w:tcW w:w="275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41</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br/>
              <w:t>250 (3</w:t>
            </w:r>
            <w:r w:rsidR="00E30334">
              <w:rPr>
                <w:rFonts w:eastAsia="SimSun"/>
                <w:sz w:val="20"/>
                <w:lang w:val="fr-CH" w:eastAsia="zh-CN"/>
              </w:rPr>
              <w:t>’</w:t>
            </w:r>
            <w:r w:rsidRPr="00A17F52">
              <w:rPr>
                <w:rFonts w:eastAsia="SimSun"/>
                <w:sz w:val="20"/>
                <w:lang w:val="fr-CH" w:eastAsia="zh-CN"/>
              </w:rPr>
              <w:t>750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1</w:t>
            </w:r>
            <w:r w:rsidR="00E30334">
              <w:rPr>
                <w:rFonts w:eastAsia="SimSun"/>
                <w:sz w:val="20"/>
                <w:lang w:val="fr-CH" w:eastAsia="zh-CN"/>
              </w:rPr>
              <w:t>’</w:t>
            </w:r>
            <w:r w:rsidRPr="00A17F52">
              <w:rPr>
                <w:rFonts w:eastAsia="SimSun"/>
                <w:sz w:val="20"/>
                <w:lang w:val="fr-CH" w:eastAsia="zh-CN"/>
              </w:rPr>
              <w:t>125 (5</w:t>
            </w:r>
            <w:r w:rsidR="00E30334">
              <w:rPr>
                <w:rFonts w:eastAsia="SimSun"/>
                <w:sz w:val="20"/>
                <w:lang w:val="fr-CH" w:eastAsia="zh-CN"/>
              </w:rPr>
              <w:t>’</w:t>
            </w:r>
            <w:r w:rsidRPr="00A17F52">
              <w:rPr>
                <w:rFonts w:eastAsia="SimSun"/>
                <w:sz w:val="20"/>
                <w:lang w:val="fr-CH" w:eastAsia="zh-CN"/>
              </w:rPr>
              <w:t>411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131: # of contributions from LDC</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1202: # of contributions from developing countries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1303: # of contributions from developed countries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br/>
            </w:r>
            <w:r w:rsidRPr="00A17F52">
              <w:rPr>
                <w:rFonts w:eastAsia="SimSun"/>
                <w:sz w:val="20"/>
                <w:lang w:val="en-US" w:eastAsia="zh-CN"/>
              </w:rPr>
              <w:br/>
              <w:t xml:space="preserve">30% </w:t>
            </w:r>
          </w:p>
        </w:tc>
        <w:tc>
          <w:tcPr>
            <w:tcW w:w="238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54</w:t>
            </w:r>
            <w:r w:rsidRPr="00A17F52">
              <w:rPr>
                <w:rFonts w:eastAsia="SimSun"/>
                <w:sz w:val="20"/>
                <w:lang w:val="en-US" w:eastAsia="zh-CN"/>
              </w:rPr>
              <w:br/>
            </w:r>
            <w:r w:rsidRPr="00A17F52">
              <w:rPr>
                <w:rFonts w:eastAsia="SimSun"/>
                <w:sz w:val="20"/>
                <w:lang w:val="en-US" w:eastAsia="zh-CN"/>
              </w:rPr>
              <w:br/>
            </w:r>
            <w:r w:rsidRPr="00A17F52">
              <w:rPr>
                <w:rFonts w:eastAsia="SimSun"/>
                <w:sz w:val="20"/>
                <w:lang w:val="en-US" w:eastAsia="zh-CN"/>
              </w:rPr>
              <w:br/>
              <w:t xml:space="preserve">229 </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w:t>
            </w:r>
            <w:r w:rsidR="00E30334">
              <w:rPr>
                <w:rFonts w:eastAsia="SimSun"/>
                <w:sz w:val="20"/>
                <w:lang w:val="en-US" w:eastAsia="zh-CN"/>
              </w:rPr>
              <w:t>’</w:t>
            </w:r>
            <w:r w:rsidRPr="00A17F52">
              <w:rPr>
                <w:rFonts w:eastAsia="SimSun"/>
                <w:sz w:val="20"/>
                <w:lang w:val="en-US" w:eastAsia="zh-CN"/>
              </w:rPr>
              <w:t>085 (5</w:t>
            </w:r>
            <w:r w:rsidR="00E30334">
              <w:rPr>
                <w:rFonts w:eastAsia="SimSun"/>
                <w:sz w:val="20"/>
                <w:lang w:val="en-US" w:eastAsia="zh-CN"/>
              </w:rPr>
              <w:t>’</w:t>
            </w:r>
            <w:r w:rsidRPr="00A17F52">
              <w:rPr>
                <w:rFonts w:eastAsia="SimSun"/>
                <w:sz w:val="20"/>
                <w:lang w:val="en-US" w:eastAsia="zh-CN"/>
              </w:rPr>
              <w:t>977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235: # of contributions from LDC</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1053: # of contributions from developing countries</w:t>
            </w:r>
          </w:p>
          <w:p w:rsidR="008F5E25"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1211: # of contributions from developed countries</w:t>
            </w:r>
            <w:r w:rsidRPr="00A17F52">
              <w:rPr>
                <w:rFonts w:eastAsia="SimSun"/>
                <w:sz w:val="20"/>
                <w:lang w:val="en-US" w:eastAsia="zh-CN"/>
              </w:rPr>
              <w:br/>
            </w:r>
            <w:r w:rsidRPr="00A17F52">
              <w:rPr>
                <w:rFonts w:eastAsia="SimSun"/>
                <w:sz w:val="20"/>
                <w:lang w:val="en-US" w:eastAsia="zh-CN"/>
              </w:rPr>
              <w:br/>
            </w:r>
          </w:p>
          <w:p w:rsidR="008F5E25" w:rsidRDefault="008F5E25"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33%</w:t>
            </w:r>
          </w:p>
        </w:tc>
        <w:tc>
          <w:tcPr>
            <w:tcW w:w="141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T.2-2</w:t>
            </w:r>
            <w:r w:rsidRPr="00A17F52">
              <w:rPr>
                <w:sz w:val="20"/>
                <w:lang w:val="en-US" w:eastAsia="zh-CN"/>
              </w:rPr>
              <w:t>: Increase of the ITU-T membership, including Sector Members, Associates and Academia</w:t>
            </w:r>
          </w:p>
        </w:tc>
        <w:tc>
          <w:tcPr>
            <w:tcW w:w="4120"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(net) Sector Member, Associate, Academia members for developed and developing countries (separately);</w:t>
            </w:r>
          </w:p>
        </w:tc>
        <w:tc>
          <w:tcPr>
            <w:tcW w:w="275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315 (developed); net +3</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205 (developing); net + 22</w:t>
            </w:r>
          </w:p>
        </w:tc>
        <w:tc>
          <w:tcPr>
            <w:tcW w:w="238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311 (developed); net - 4</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217 (developing); net + 12</w:t>
            </w:r>
          </w:p>
        </w:tc>
        <w:tc>
          <w:tcPr>
            <w:tcW w:w="141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421EDA">
      <w:pPr>
        <w:tabs>
          <w:tab w:val="clear" w:pos="567"/>
          <w:tab w:val="clear" w:pos="1134"/>
          <w:tab w:val="clear" w:pos="1701"/>
          <w:tab w:val="clear" w:pos="2268"/>
          <w:tab w:val="clear" w:pos="2835"/>
        </w:tabs>
        <w:overflowPunct/>
        <w:autoSpaceDE/>
        <w:autoSpaceDN/>
        <w:adjustRightInd/>
        <w:spacing w:before="80" w:after="8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3"/>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T.2-1</w:t>
            </w:r>
            <w:r w:rsidRPr="00A17F52">
              <w:rPr>
                <w:rFonts w:eastAsia="SimSun"/>
                <w:color w:val="5B9BD5"/>
                <w:sz w:val="20"/>
                <w:lang w:val="en-US" w:eastAsia="zh-CN"/>
              </w:rPr>
              <w:t xml:space="preserve"> </w:t>
            </w:r>
            <w:r w:rsidRPr="00A17F52">
              <w:rPr>
                <w:rFonts w:eastAsia="SimSun"/>
                <w:color w:val="000000"/>
                <w:sz w:val="20"/>
                <w:lang w:val="en-US" w:eastAsia="zh-CN"/>
              </w:rPr>
              <w:t>Bridging the standardization gap (e.g. remote participation, fellowships, establishment of regional study groups)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1,561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1,483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1,696</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1,826</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T.2-2</w:t>
            </w:r>
            <w:r w:rsidRPr="00A17F52">
              <w:rPr>
                <w:rFonts w:eastAsia="SimSun"/>
                <w:color w:val="5B9BD5"/>
                <w:sz w:val="20"/>
                <w:lang w:val="en-US" w:eastAsia="zh-CN"/>
              </w:rPr>
              <w:t xml:space="preserve"> </w:t>
            </w:r>
            <w:r w:rsidRPr="00A17F52">
              <w:rPr>
                <w:rFonts w:eastAsia="SimSun"/>
                <w:color w:val="000000"/>
                <w:sz w:val="20"/>
                <w:lang w:val="en-US" w:eastAsia="zh-CN"/>
              </w:rPr>
              <w:t>Workshops and seminars, including offline and online training activities, complementing the capacity-building work on bridging the standardization gap undertaken in ITU-D</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2,576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2,576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2,375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2,641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T.2-3</w:t>
            </w:r>
            <w:r w:rsidRPr="00A17F52">
              <w:rPr>
                <w:rFonts w:eastAsia="SimSun"/>
                <w:color w:val="5B9BD5"/>
                <w:sz w:val="20"/>
                <w:lang w:val="fr-CH" w:eastAsia="zh-CN"/>
              </w:rPr>
              <w:t xml:space="preserve"> </w:t>
            </w:r>
            <w:r w:rsidRPr="00A17F52">
              <w:rPr>
                <w:rFonts w:eastAsia="SimSun"/>
                <w:color w:val="000000"/>
                <w:sz w:val="20"/>
                <w:lang w:val="fr-CH" w:eastAsia="zh-CN"/>
              </w:rPr>
              <w:t>Outreach and promotion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2,019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2,016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1,780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1,978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366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226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T.2</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6,523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6,257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6,032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6,671 </w:t>
            </w:r>
          </w:p>
        </w:tc>
      </w:tr>
    </w:tbl>
    <w:p w:rsidR="00A17F52" w:rsidRPr="00C13033"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ascii="Calibri Light" w:eastAsia="SimSun" w:hAnsi="Calibri Light"/>
          <w:color w:val="2E74B5"/>
          <w:sz w:val="16"/>
          <w:szCs w:val="16"/>
          <w:lang w:val="fr-CH" w:eastAsia="zh-CN"/>
        </w:rPr>
      </w:pPr>
      <w:r w:rsidRPr="00C13033">
        <w:rPr>
          <w:rFonts w:eastAsia="SimSun" w:cs="Arial"/>
          <w:sz w:val="16"/>
          <w:szCs w:val="16"/>
          <w:lang w:val="fr-CH" w:eastAsia="zh-CN"/>
        </w:rPr>
        <w:br w:type="page"/>
      </w:r>
    </w:p>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5.3</w:t>
      </w:r>
      <w:r w:rsidRPr="00421EDA">
        <w:rPr>
          <w:rFonts w:ascii="Calibri Light" w:eastAsia="SimSun" w:hAnsi="Calibri Light"/>
          <w:color w:val="2E74B5"/>
          <w:sz w:val="26"/>
          <w:szCs w:val="26"/>
          <w:lang w:val="en-US" w:eastAsia="zh-CN"/>
        </w:rPr>
        <w:tab/>
        <w:t>T.3 Ensure effective allocation and management of international telecommunication numbering, naming, addressing and identification resources in accordance with ITU-T recommendations and procedures</w:t>
      </w:r>
    </w:p>
    <w:tbl>
      <w:tblPr>
        <w:tblStyle w:val="GridTable4-Accent11"/>
        <w:tblW w:w="14879" w:type="dxa"/>
        <w:tblLook w:val="06A0" w:firstRow="1" w:lastRow="0" w:firstColumn="1" w:lastColumn="0" w:noHBand="1" w:noVBand="1"/>
      </w:tblPr>
      <w:tblGrid>
        <w:gridCol w:w="6799"/>
        <w:gridCol w:w="2268"/>
        <w:gridCol w:w="1843"/>
        <w:gridCol w:w="1559"/>
        <w:gridCol w:w="2410"/>
      </w:tblGrid>
      <w:tr w:rsidR="00A17F52" w:rsidRPr="00A17F52" w:rsidTr="00C1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Outcome</w:t>
            </w:r>
          </w:p>
        </w:tc>
        <w:tc>
          <w:tcPr>
            <w:tcW w:w="2268"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1843"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155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Means of measurement</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79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T.3-1</w:t>
            </w:r>
            <w:r w:rsidRPr="00A17F52">
              <w:rPr>
                <w:sz w:val="20"/>
                <w:lang w:val="en-US" w:eastAsia="zh-CN"/>
              </w:rPr>
              <w:t>: Timely and accurate allocation of international telecommunication numbering, naming, addressing and identification resources, as specified in the relevant recommendations</w:t>
            </w:r>
          </w:p>
        </w:tc>
        <w:tc>
          <w:tcPr>
            <w:tcW w:w="2268"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 of assignments within a given period of time</w:t>
            </w:r>
          </w:p>
        </w:tc>
        <w:tc>
          <w:tcPr>
            <w:tcW w:w="1843"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765</w:t>
            </w:r>
          </w:p>
        </w:tc>
        <w:tc>
          <w:tcPr>
            <w:tcW w:w="155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672</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4"/>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T.3-1</w:t>
            </w:r>
            <w:r w:rsidRPr="00A17F52">
              <w:rPr>
                <w:rFonts w:eastAsia="SimSun"/>
                <w:color w:val="5B9BD5"/>
                <w:sz w:val="20"/>
                <w:lang w:val="fr-CH" w:eastAsia="zh-CN"/>
              </w:rPr>
              <w:t xml:space="preserve"> </w:t>
            </w:r>
            <w:r w:rsidRPr="00A17F52">
              <w:rPr>
                <w:rFonts w:eastAsia="SimSun"/>
                <w:color w:val="000000"/>
                <w:sz w:val="20"/>
                <w:lang w:val="fr-CH" w:eastAsia="zh-CN"/>
              </w:rPr>
              <w:t>Relevant TSB databases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1,486</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1,488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1,335</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1,341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T.3-2</w:t>
            </w:r>
            <w:r w:rsidRPr="00A17F52">
              <w:rPr>
                <w:rFonts w:eastAsia="SimSun"/>
                <w:color w:val="5B9BD5"/>
                <w:sz w:val="20"/>
                <w:lang w:val="en-US" w:eastAsia="zh-CN"/>
              </w:rPr>
              <w:t xml:space="preserve"> </w:t>
            </w:r>
            <w:r w:rsidRPr="00A17F52">
              <w:rPr>
                <w:rFonts w:eastAsia="SimSun"/>
                <w:color w:val="000000"/>
                <w:sz w:val="20"/>
                <w:lang w:val="en-US" w:eastAsia="zh-CN"/>
              </w:rPr>
              <w:t>Allocation and management of international telecommunication numbering, naming, addressing and identification resources in accordance with ITU-T recommendations and procedures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1,348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1,351</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1,211</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1,236</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168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85</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79</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91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T.3</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3,002</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2,924</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2,625</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2,667</w:t>
            </w:r>
          </w:p>
        </w:tc>
      </w:tr>
    </w:tbl>
    <w:p w:rsidR="00A17F52" w:rsidRPr="00421EDA" w:rsidRDefault="00A17F52" w:rsidP="00421EDA">
      <w:pPr>
        <w:keepNext/>
        <w:keepLines/>
        <w:tabs>
          <w:tab w:val="clear" w:pos="567"/>
          <w:tab w:val="clear" w:pos="1134"/>
          <w:tab w:val="clear" w:pos="1701"/>
          <w:tab w:val="clear" w:pos="2268"/>
          <w:tab w:val="clear" w:pos="2835"/>
        </w:tabs>
        <w:overflowPunct/>
        <w:autoSpaceDE/>
        <w:autoSpaceDN/>
        <w:adjustRightInd/>
        <w:spacing w:before="30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5.4</w:t>
      </w:r>
      <w:r w:rsidRPr="00421EDA">
        <w:rPr>
          <w:rFonts w:ascii="Calibri Light" w:eastAsia="SimSun" w:hAnsi="Calibri Light"/>
          <w:color w:val="2E74B5"/>
          <w:sz w:val="26"/>
          <w:szCs w:val="26"/>
          <w:lang w:val="en-US" w:eastAsia="zh-CN"/>
        </w:rPr>
        <w:tab/>
        <w:t>T.4 Foster the acquisition and sharing of knowledge and know-how on the standardization activities of ITU-T</w:t>
      </w:r>
    </w:p>
    <w:tbl>
      <w:tblPr>
        <w:tblStyle w:val="GridTable4-Accent11"/>
        <w:tblW w:w="14855" w:type="dxa"/>
        <w:tblLook w:val="06A0" w:firstRow="1" w:lastRow="0" w:firstColumn="1" w:lastColumn="0" w:noHBand="1" w:noVBand="1"/>
      </w:tblPr>
      <w:tblGrid>
        <w:gridCol w:w="6374"/>
        <w:gridCol w:w="1985"/>
        <w:gridCol w:w="1842"/>
        <w:gridCol w:w="2127"/>
        <w:gridCol w:w="2527"/>
      </w:tblGrid>
      <w:tr w:rsidR="00A17F52" w:rsidRPr="00A17F52" w:rsidTr="00C1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Outcome</w:t>
            </w:r>
          </w:p>
        </w:tc>
        <w:tc>
          <w:tcPr>
            <w:tcW w:w="1985"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1842"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127"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2527"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Means of measurement</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T.4-1</w:t>
            </w:r>
            <w:r w:rsidRPr="00A17F52">
              <w:rPr>
                <w:sz w:val="20"/>
                <w:lang w:val="en-US" w:eastAsia="zh-CN"/>
              </w:rPr>
              <w:t>: Increased knowledge on ITU-T standards and on best practices in their implementation of ITU-T standards</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T.4-2</w:t>
            </w:r>
            <w:r w:rsidRPr="00A17F52">
              <w:rPr>
                <w:sz w:val="20"/>
                <w:lang w:val="en-US" w:eastAsia="zh-CN"/>
              </w:rPr>
              <w:t>: Increased participation in ITU-T</w:t>
            </w:r>
            <w:r w:rsidR="00E30334">
              <w:rPr>
                <w:sz w:val="20"/>
                <w:lang w:val="en-US" w:eastAsia="zh-CN"/>
              </w:rPr>
              <w:t>’</w:t>
            </w:r>
            <w:r w:rsidRPr="00A17F52">
              <w:rPr>
                <w:sz w:val="20"/>
                <w:lang w:val="en-US" w:eastAsia="zh-CN"/>
              </w:rPr>
              <w:t>s standardization activities and increased awareness of the relevance of ITU-T standards</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fr-CH" w:eastAsia="zh-CN"/>
              </w:rPr>
            </w:pPr>
            <w:r w:rsidRPr="00A17F52">
              <w:rPr>
                <w:color w:val="5B9BD5"/>
                <w:sz w:val="20"/>
                <w:lang w:val="fr-CH" w:eastAsia="zh-CN"/>
              </w:rPr>
              <w:t>T.4-3</w:t>
            </w:r>
            <w:r w:rsidRPr="00A17F52">
              <w:rPr>
                <w:sz w:val="20"/>
                <w:lang w:val="fr-CH" w:eastAsia="zh-CN"/>
              </w:rPr>
              <w:t>: Increased Sector visibility</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1842"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r>
    </w:tbl>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5"/>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T.4-1</w:t>
            </w:r>
            <w:r w:rsidRPr="00A17F52">
              <w:rPr>
                <w:rFonts w:eastAsia="SimSun"/>
                <w:color w:val="5B9BD5"/>
                <w:sz w:val="20"/>
                <w:lang w:val="fr-CH" w:eastAsia="zh-CN"/>
              </w:rPr>
              <w:t xml:space="preserve"> </w:t>
            </w:r>
            <w:r w:rsidRPr="00A17F52">
              <w:rPr>
                <w:rFonts w:eastAsia="SimSun"/>
                <w:color w:val="000000"/>
                <w:sz w:val="20"/>
                <w:lang w:val="fr-CH" w:eastAsia="zh-CN"/>
              </w:rPr>
              <w:t>ITU-T publications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2,743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2,663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2,197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2,328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T.4-2</w:t>
            </w:r>
            <w:r w:rsidRPr="00A17F52">
              <w:rPr>
                <w:rFonts w:eastAsia="SimSun"/>
                <w:color w:val="5B9BD5"/>
                <w:sz w:val="20"/>
                <w:lang w:val="fr-CH" w:eastAsia="zh-CN"/>
              </w:rPr>
              <w:t xml:space="preserve"> </w:t>
            </w:r>
            <w:r w:rsidRPr="00A17F52">
              <w:rPr>
                <w:rFonts w:eastAsia="SimSun"/>
                <w:color w:val="000000"/>
                <w:sz w:val="20"/>
                <w:lang w:val="fr-CH" w:eastAsia="zh-CN"/>
              </w:rPr>
              <w:t>Database publications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186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246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T.4-3</w:t>
            </w:r>
            <w:r w:rsidRPr="00A17F52">
              <w:rPr>
                <w:rFonts w:eastAsia="SimSun"/>
                <w:color w:val="5B9BD5"/>
                <w:sz w:val="20"/>
                <w:lang w:val="fr-CH" w:eastAsia="zh-CN"/>
              </w:rPr>
              <w:t xml:space="preserve"> </w:t>
            </w:r>
            <w:r w:rsidRPr="00A17F52">
              <w:rPr>
                <w:rFonts w:eastAsia="SimSun"/>
                <w:color w:val="000000"/>
                <w:sz w:val="20"/>
                <w:lang w:val="fr-CH" w:eastAsia="zh-CN"/>
              </w:rPr>
              <w:t>Outreach and promotion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1,203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1,298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T.4-4</w:t>
            </w:r>
            <w:r w:rsidRPr="00A17F52">
              <w:rPr>
                <w:rFonts w:eastAsia="SimSun"/>
                <w:color w:val="5B9BD5"/>
                <w:sz w:val="20"/>
                <w:lang w:val="fr-CH" w:eastAsia="zh-CN"/>
              </w:rPr>
              <w:t xml:space="preserve"> </w:t>
            </w:r>
            <w:r w:rsidRPr="00A17F52">
              <w:rPr>
                <w:rFonts w:eastAsia="SimSun"/>
                <w:color w:val="000000"/>
                <w:sz w:val="20"/>
                <w:lang w:val="fr-CH" w:eastAsia="zh-CN"/>
              </w:rPr>
              <w:t>ITU Operational Bulletin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177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271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115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142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T.4</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4,829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4,595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3,857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4,169 </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jc w:val="both"/>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5.5</w:t>
      </w:r>
      <w:r w:rsidRPr="00421EDA">
        <w:rPr>
          <w:rFonts w:ascii="Calibri Light" w:eastAsia="SimSun" w:hAnsi="Calibri Light"/>
          <w:color w:val="2E74B5"/>
          <w:sz w:val="26"/>
          <w:szCs w:val="26"/>
          <w:lang w:val="en-US" w:eastAsia="zh-CN"/>
        </w:rPr>
        <w:tab/>
        <w:t>T.5 Extend and facilitate cooperation with international, regional and national standardization bodies</w:t>
      </w:r>
    </w:p>
    <w:tbl>
      <w:tblPr>
        <w:tblStyle w:val="GridTable4-Accent11"/>
        <w:tblW w:w="14879" w:type="dxa"/>
        <w:tblLook w:val="06A0" w:firstRow="1" w:lastRow="0" w:firstColumn="1" w:lastColumn="0" w:noHBand="1" w:noVBand="1"/>
      </w:tblPr>
      <w:tblGrid>
        <w:gridCol w:w="4106"/>
        <w:gridCol w:w="4111"/>
        <w:gridCol w:w="2410"/>
        <w:gridCol w:w="1842"/>
        <w:gridCol w:w="2410"/>
      </w:tblGrid>
      <w:tr w:rsidR="00A17F52" w:rsidRPr="00A17F52" w:rsidTr="008F5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Outcome</w:t>
            </w:r>
          </w:p>
        </w:tc>
        <w:tc>
          <w:tcPr>
            <w:tcW w:w="411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Means of measurement</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T.5-1</w:t>
            </w:r>
            <w:r w:rsidRPr="00A17F52">
              <w:rPr>
                <w:sz w:val="20"/>
                <w:lang w:val="en-US" w:eastAsia="zh-CN"/>
              </w:rPr>
              <w:t>: Increased communications with other standards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jointly organized or hosted meetings/workshops with other organizations; </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 # of liaison statements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15</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682 (incoming) and 1</w:t>
            </w:r>
            <w:r w:rsidR="00E30334">
              <w:rPr>
                <w:rFonts w:eastAsia="SimSun"/>
                <w:sz w:val="20"/>
                <w:lang w:val="fr-CH" w:eastAsia="zh-CN"/>
              </w:rPr>
              <w:t>’</w:t>
            </w:r>
            <w:r w:rsidRPr="00A17F52">
              <w:rPr>
                <w:rFonts w:eastAsia="SimSun"/>
                <w:sz w:val="20"/>
                <w:lang w:val="fr-CH" w:eastAsia="zh-CN"/>
              </w:rPr>
              <w:t>043 (outgoing)</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r w:rsidRPr="00A17F52">
              <w:rPr>
                <w:rFonts w:eastAsia="SimSun"/>
                <w:sz w:val="20"/>
                <w:lang w:val="fr-CH" w:eastAsia="zh-CN"/>
              </w:rPr>
              <w:br/>
            </w:r>
            <w:r w:rsidRPr="00A17F52">
              <w:rPr>
                <w:rFonts w:eastAsia="SimSun"/>
                <w:sz w:val="20"/>
                <w:lang w:val="fr-CH" w:eastAsia="zh-CN"/>
              </w:rPr>
              <w:br/>
              <w:t>983 (incoming) and 1</w:t>
            </w:r>
            <w:r w:rsidR="00E30334">
              <w:rPr>
                <w:rFonts w:eastAsia="SimSun"/>
                <w:sz w:val="20"/>
                <w:lang w:val="fr-CH" w:eastAsia="zh-CN"/>
              </w:rPr>
              <w:t>’</w:t>
            </w:r>
            <w:r w:rsidRPr="00A17F52">
              <w:rPr>
                <w:rFonts w:eastAsia="SimSun"/>
                <w:sz w:val="20"/>
                <w:lang w:val="fr-CH" w:eastAsia="zh-CN"/>
              </w:rPr>
              <w:t>287 (outgoing)</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T.5-2</w:t>
            </w:r>
            <w:r w:rsidRPr="00A17F52">
              <w:rPr>
                <w:sz w:val="20"/>
                <w:lang w:val="en-US" w:eastAsia="zh-CN"/>
              </w:rPr>
              <w:t>: Decreased number of conflicting standards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jointly developed standards with other organizations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22</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T.5-3</w:t>
            </w:r>
            <w:r w:rsidRPr="00A17F52">
              <w:rPr>
                <w:sz w:val="20"/>
                <w:lang w:val="en-US" w:eastAsia="zh-CN"/>
              </w:rPr>
              <w:t>: Increased number of memoranda of understanding / collaboration agreements with other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agreements  with other organizations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 SDOs</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 SDOs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T.5-4</w:t>
            </w:r>
            <w:r w:rsidRPr="00A17F52">
              <w:rPr>
                <w:sz w:val="20"/>
                <w:lang w:val="en-US" w:eastAsia="zh-CN"/>
              </w:rPr>
              <w:t>: Increased number of ITU-T A.4, A.5 and A.6 qualified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 of ITU-T A.4/5/6 qualifications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34 as of 25 January 2016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A.5: 46 as of 25 January 2016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A.6: 17 as of 25 January 2016</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35 as of 17 February 2017</w:t>
            </w:r>
            <w:r w:rsidRPr="00A17F52">
              <w:rPr>
                <w:rFonts w:eastAsia="SimSun"/>
                <w:sz w:val="20"/>
                <w:lang w:val="en-US" w:eastAsia="zh-CN"/>
              </w:rPr>
              <w:br/>
              <w:t>A.5: 47 as of 17 February 2017</w:t>
            </w:r>
            <w:r w:rsidRPr="00A17F52">
              <w:rPr>
                <w:rFonts w:eastAsia="SimSun"/>
                <w:sz w:val="20"/>
                <w:lang w:val="en-US" w:eastAsia="zh-CN"/>
              </w:rPr>
              <w:br/>
              <w:t>A.6: 17 as of 17 February 2017</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T.5-5</w:t>
            </w:r>
            <w:r w:rsidRPr="00A17F52">
              <w:rPr>
                <w:sz w:val="20"/>
                <w:lang w:val="en-US" w:eastAsia="zh-CN"/>
              </w:rPr>
              <w:t>: Increased number of workshops/events organized jointly with other organizations</w:t>
            </w:r>
          </w:p>
        </w:tc>
        <w:tc>
          <w:tcPr>
            <w:tcW w:w="411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already in T.5-1</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T.5-1</w:t>
            </w:r>
          </w:p>
        </w:tc>
        <w:tc>
          <w:tcPr>
            <w:tcW w:w="1842"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6"/>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T.5-1</w:t>
            </w:r>
            <w:r w:rsidRPr="00A17F52">
              <w:rPr>
                <w:rFonts w:eastAsia="SimSun"/>
                <w:color w:val="5B9BD5"/>
                <w:sz w:val="20"/>
                <w:lang w:val="en-US" w:eastAsia="zh-CN"/>
              </w:rPr>
              <w:t xml:space="preserve"> </w:t>
            </w:r>
            <w:r w:rsidRPr="00A17F52">
              <w:rPr>
                <w:rFonts w:eastAsia="SimSun"/>
                <w:color w:val="000000"/>
                <w:sz w:val="20"/>
                <w:lang w:val="en-US" w:eastAsia="zh-CN"/>
              </w:rPr>
              <w:t>Memoranda of Understanding and collaboration agreements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141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141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152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152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T.5-2</w:t>
            </w:r>
            <w:r w:rsidRPr="00A17F52">
              <w:rPr>
                <w:rFonts w:eastAsia="SimSun"/>
                <w:color w:val="5B9BD5"/>
                <w:sz w:val="20"/>
                <w:lang w:val="fr-CH" w:eastAsia="zh-CN"/>
              </w:rPr>
              <w:t xml:space="preserve"> </w:t>
            </w:r>
            <w:r w:rsidRPr="00A17F52">
              <w:rPr>
                <w:rFonts w:eastAsia="SimSun"/>
                <w:color w:val="000000"/>
                <w:sz w:val="20"/>
                <w:lang w:val="fr-CH" w:eastAsia="zh-CN"/>
              </w:rPr>
              <w:t>ITU-T A.4/A.5/A.6 qualifications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T.5-3</w:t>
            </w:r>
            <w:r w:rsidRPr="00A17F52">
              <w:rPr>
                <w:rFonts w:eastAsia="SimSun"/>
                <w:color w:val="5B9BD5"/>
                <w:sz w:val="20"/>
                <w:lang w:val="en-US" w:eastAsia="zh-CN"/>
              </w:rPr>
              <w:t xml:space="preserve"> </w:t>
            </w:r>
            <w:r w:rsidRPr="00A17F52">
              <w:rPr>
                <w:rFonts w:eastAsia="SimSun"/>
                <w:color w:val="000000"/>
                <w:sz w:val="20"/>
                <w:lang w:val="en-US" w:eastAsia="zh-CN"/>
              </w:rPr>
              <w:t>Jointly organized workshop/events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623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621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700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701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28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32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T.5</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861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834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934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940 </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pP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sectPr w:rsidR="00A17F52" w:rsidRPr="00A17F52" w:rsidSect="00A17F52">
          <w:headerReference w:type="default" r:id="rId18"/>
          <w:footerReference w:type="default" r:id="rId19"/>
          <w:pgSz w:w="16839" w:h="11907" w:orient="landscape" w:code="9"/>
          <w:pgMar w:top="748" w:right="1134" w:bottom="851" w:left="1134" w:header="426" w:footer="583" w:gutter="0"/>
          <w:cols w:space="720"/>
          <w:docGrid w:linePitch="360"/>
        </w:sectPr>
      </w:pP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fr-CH" w:eastAsia="zh-CN"/>
        </w:rPr>
      </w:pPr>
      <w:r w:rsidRPr="00A17F52">
        <w:rPr>
          <w:rFonts w:ascii="Calibri Light" w:eastAsia="SimSun" w:hAnsi="Calibri Light"/>
          <w:color w:val="2E74B5"/>
          <w:sz w:val="32"/>
          <w:szCs w:val="32"/>
          <w:lang w:val="fr-CH" w:eastAsia="zh-CN"/>
        </w:rPr>
        <w:lastRenderedPageBreak/>
        <w:t>6</w:t>
      </w:r>
      <w:r w:rsidRPr="00A17F52">
        <w:rPr>
          <w:rFonts w:ascii="Calibri Light" w:eastAsia="SimSun" w:hAnsi="Calibri Light"/>
          <w:color w:val="2E74B5"/>
          <w:sz w:val="32"/>
          <w:szCs w:val="32"/>
          <w:lang w:val="fr-CH" w:eastAsia="zh-CN"/>
        </w:rPr>
        <w:tab/>
        <w:t>Implementation of the Operational Plan</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outputs defined in this Operational Plan will be delivered by the responsible Departments of the Telecommunication Standardization Bureau, implementing the activities of the internal work plans of the Bureau and each department</w:t>
      </w:r>
      <w:r w:rsidRPr="00A17F52">
        <w:rPr>
          <w:rFonts w:eastAsia="Calibri" w:cs="Arial"/>
          <w:sz w:val="22"/>
          <w:szCs w:val="22"/>
          <w:lang w:val="en-US" w:eastAsia="zh-CN"/>
        </w:rPr>
        <w:t xml:space="preserve">; </w:t>
      </w:r>
      <w:r w:rsidRPr="00A17F52">
        <w:rPr>
          <w:rFonts w:eastAsia="Calibri" w:cs="Arial"/>
          <w:sz w:val="22"/>
          <w:szCs w:val="24"/>
          <w:lang w:val="en-US" w:eastAsia="zh-CN"/>
        </w:rPr>
        <w:t>the regional offices will participate in the implementation of this operational plan</w:t>
      </w:r>
      <w:r w:rsidRPr="00A17F52">
        <w:rPr>
          <w:rFonts w:eastAsia="SimSun" w:cs="Arial"/>
          <w:sz w:val="22"/>
          <w:szCs w:val="24"/>
          <w:lang w:val="en-US" w:eastAsia="zh-CN"/>
        </w:rPr>
        <w:t>. The support services are delivered by the Telecommunication Standardization</w:t>
      </w:r>
      <w:r w:rsidRPr="00A17F52">
        <w:rPr>
          <w:rFonts w:eastAsia="SimSun" w:cs="Arial"/>
          <w:sz w:val="22"/>
          <w:szCs w:val="22"/>
          <w:lang w:val="en-US" w:eastAsia="zh-CN"/>
        </w:rPr>
        <w:t xml:space="preserve">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w:t>
      </w:r>
      <w:r w:rsidR="00E30334">
        <w:rPr>
          <w:rFonts w:eastAsia="SimSun" w:cs="Arial"/>
          <w:sz w:val="22"/>
          <w:szCs w:val="22"/>
          <w:lang w:val="en-US" w:eastAsia="zh-CN"/>
        </w:rPr>
        <w:t>,</w:t>
      </w:r>
      <w:r w:rsidRPr="00A17F52">
        <w:rPr>
          <w:rFonts w:eastAsia="SimSun" w:cs="Arial"/>
          <w:sz w:val="22"/>
          <w:szCs w:val="22"/>
          <w:lang w:val="en-US" w:eastAsia="zh-CN"/>
        </w:rPr>
        <w:t xml:space="preserve"> and evaluated by ITU management, with a view to link the Personal Performance Appraisals of the staff, to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w:t>
      </w:r>
      <w:r w:rsidR="00E30334">
        <w:rPr>
          <w:rFonts w:eastAsia="SimSun" w:cs="Arial"/>
          <w:sz w:val="22"/>
          <w:szCs w:val="22"/>
          <w:lang w:val="en-US" w:eastAsia="zh-CN"/>
        </w:rPr>
        <w:t>,</w:t>
      </w:r>
      <w:r w:rsidRPr="00A17F52">
        <w:rPr>
          <w:rFonts w:eastAsia="SimSun" w:cs="Arial"/>
          <w:sz w:val="22"/>
          <w:szCs w:val="22"/>
          <w:lang w:val="en-US" w:eastAsia="zh-CN"/>
        </w:rPr>
        <w:t xml:space="preserve"> and managing risks associated with the delivery of the respective outputs and support services, following a multi-level risk management approach.</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sz w:val="28"/>
          <w:szCs w:val="22"/>
          <w:lang w:val="en-US" w:eastAsia="zh-CN"/>
        </w:rPr>
      </w:pPr>
      <w:r w:rsidRPr="00A17F52">
        <w:rPr>
          <w:rFonts w:eastAsia="SimSun" w:cs="Arial"/>
          <w:sz w:val="22"/>
          <w:szCs w:val="2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Annex 1: Allocation of resources to ITU-T objectives and ITU Strategic Goals</w:t>
      </w:r>
    </w:p>
    <w:tbl>
      <w:tblPr>
        <w:tblW w:w="15694" w:type="dxa"/>
        <w:jc w:val="center"/>
        <w:tblLook w:val="04A0" w:firstRow="1" w:lastRow="0" w:firstColumn="1" w:lastColumn="0" w:noHBand="0" w:noVBand="1"/>
      </w:tblPr>
      <w:tblGrid>
        <w:gridCol w:w="397"/>
        <w:gridCol w:w="1529"/>
        <w:gridCol w:w="1065"/>
        <w:gridCol w:w="1080"/>
        <w:gridCol w:w="1096"/>
        <w:gridCol w:w="1116"/>
        <w:gridCol w:w="471"/>
        <w:gridCol w:w="771"/>
        <w:gridCol w:w="1176"/>
        <w:gridCol w:w="1193"/>
        <w:gridCol w:w="1216"/>
        <w:gridCol w:w="269"/>
        <w:gridCol w:w="809"/>
        <w:gridCol w:w="1176"/>
        <w:gridCol w:w="1193"/>
        <w:gridCol w:w="1167"/>
      </w:tblGrid>
      <w:tr w:rsidR="00A17F52" w:rsidRPr="00A17F52" w:rsidTr="00421EDA">
        <w:trPr>
          <w:trHeight w:hRule="exact" w:val="227"/>
          <w:jc w:val="center"/>
        </w:trPr>
        <w:tc>
          <w:tcPr>
            <w:tcW w:w="395" w:type="dxa"/>
            <w:tcBorders>
              <w:top w:val="nil"/>
              <w:left w:val="nil"/>
              <w:bottom w:val="nil"/>
              <w:right w:val="nil"/>
            </w:tcBorders>
            <w:shd w:val="clear" w:color="auto" w:fill="auto"/>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imes New Roman" w:eastAsia="SimSun" w:hAnsi="Times New Roman" w:cs="Arial"/>
                <w:sz w:val="18"/>
                <w:szCs w:val="18"/>
                <w:lang w:val="en-US" w:eastAsia="zh-CN"/>
              </w:rPr>
            </w:pPr>
          </w:p>
        </w:tc>
        <w:tc>
          <w:tcPr>
            <w:tcW w:w="152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65"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8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91" w:type="dxa"/>
            <w:tcBorders>
              <w:top w:val="nil"/>
              <w:left w:val="nil"/>
              <w:bottom w:val="nil"/>
              <w:right w:val="nil"/>
            </w:tcBorders>
            <w:shd w:val="clear" w:color="000000" w:fill="FFFFFF"/>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p>
        </w:tc>
        <w:tc>
          <w:tcPr>
            <w:tcW w:w="1116" w:type="dxa"/>
            <w:tcBorders>
              <w:top w:val="nil"/>
              <w:left w:val="nil"/>
              <w:bottom w:val="single" w:sz="4" w:space="0" w:color="auto"/>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4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76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216"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in %</w:t>
            </w:r>
          </w:p>
        </w:tc>
        <w:tc>
          <w:tcPr>
            <w:tcW w:w="26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67"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CHF 000</w:t>
            </w:r>
          </w:p>
        </w:tc>
      </w:tr>
      <w:tr w:rsidR="00A17F52" w:rsidRPr="00A17F52" w:rsidTr="00A17F52">
        <w:trPr>
          <w:trHeight w:val="227"/>
          <w:jc w:val="center"/>
        </w:trPr>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ITU Strategic Objectives for 2018</w:t>
            </w: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 xml:space="preserve">Total </w:t>
            </w:r>
            <w:r w:rsidRPr="00A17F52">
              <w:rPr>
                <w:rFonts w:eastAsia="SimSun" w:cs="Arial"/>
                <w:b/>
                <w:bCs/>
                <w:sz w:val="18"/>
                <w:szCs w:val="18"/>
                <w:lang w:val="fr-CH" w:eastAsia="zh-CN"/>
              </w:rPr>
              <w:br/>
              <w:t>Cost</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of TSB/Direct Cost</w:t>
            </w:r>
          </w:p>
        </w:tc>
        <w:tc>
          <w:tcPr>
            <w:tcW w:w="1091" w:type="dxa"/>
            <w:vMerge w:val="restart"/>
            <w:tcBorders>
              <w:top w:val="single" w:sz="4" w:space="0" w:color="auto"/>
              <w:left w:val="single" w:sz="4" w:space="0" w:color="auto"/>
              <w:right w:val="single" w:sz="4" w:space="0" w:color="auto"/>
            </w:tcBorders>
            <w:shd w:val="clear" w:color="000000" w:fill="BDD7EE"/>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Cost Reallocated from GS</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allocated from BR/BDT</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768"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7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188"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216"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vMerge w:val="restart"/>
            <w:tcBorders>
              <w:top w:val="single" w:sz="4" w:space="0" w:color="auto"/>
              <w:left w:val="double" w:sz="6"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7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188"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167"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r>
      <w:tr w:rsidR="00A17F52" w:rsidRPr="00A17F52" w:rsidTr="00A17F52">
        <w:trPr>
          <w:trHeight w:val="287"/>
          <w:jc w:val="center"/>
        </w:trPr>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91" w:type="dxa"/>
            <w:vMerge/>
            <w:tcBorders>
              <w:left w:val="single" w:sz="4" w:space="0" w:color="auto"/>
              <w:bottom w:val="single" w:sz="4" w:space="0" w:color="000000"/>
              <w:right w:val="single" w:sz="4" w:space="0" w:color="auto"/>
            </w:tcBorders>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4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71" w:type="dxa"/>
            <w:vMerge/>
            <w:tcBorders>
              <w:left w:val="nil"/>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88" w:type="dxa"/>
            <w:vMerge/>
            <w:tcBorders>
              <w:left w:val="nil"/>
              <w:bottom w:val="nil"/>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16" w:type="dxa"/>
            <w:vMerge/>
            <w:tcBorders>
              <w:left w:val="single" w:sz="4" w:space="0" w:color="auto"/>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26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vMerge/>
            <w:tcBorders>
              <w:left w:val="double" w:sz="6"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71" w:type="dxa"/>
            <w:vMerge/>
            <w:tcBorders>
              <w:left w:val="nil"/>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88" w:type="dxa"/>
            <w:vMerge/>
            <w:tcBorders>
              <w:left w:val="nil"/>
              <w:bottom w:val="single" w:sz="4" w:space="0" w:color="auto"/>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67"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T1</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1</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13,131</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7,214</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5,913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1171"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88"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5,253</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3,939</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1,313</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2,626</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T2</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2</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6,523</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3,431</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3,090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100%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6,523</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T3</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3</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3,002</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1,513</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1,489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50%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1,501</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901</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T4</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4</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4,829</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2,609</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2,219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50%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1,449</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2,415</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483</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483</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T5</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5</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861</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206</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30%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258</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172</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86</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344</w:t>
            </w:r>
          </w:p>
        </w:tc>
      </w:tr>
      <w:tr w:rsidR="00A17F52" w:rsidRPr="00A17F52" w:rsidTr="00A17F52">
        <w:trPr>
          <w:trHeight w:hRule="exact" w:val="283"/>
          <w:jc w:val="center"/>
        </w:trPr>
        <w:tc>
          <w:tcPr>
            <w:tcW w:w="192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Total Cost</w:t>
            </w:r>
          </w:p>
        </w:tc>
        <w:tc>
          <w:tcPr>
            <w:tcW w:w="1065" w:type="dxa"/>
            <w:tcBorders>
              <w:top w:val="nil"/>
              <w:left w:val="nil"/>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color w:val="000000"/>
                <w:sz w:val="22"/>
                <w:szCs w:val="22"/>
                <w:lang w:val="fr-CH" w:eastAsia="zh-CN"/>
              </w:rPr>
              <w:t>28,347</w:t>
            </w:r>
          </w:p>
        </w:tc>
        <w:tc>
          <w:tcPr>
            <w:tcW w:w="1080"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14,973</w:t>
            </w:r>
          </w:p>
        </w:tc>
        <w:tc>
          <w:tcPr>
            <w:tcW w:w="1091" w:type="dxa"/>
            <w:tcBorders>
              <w:top w:val="nil"/>
              <w:left w:val="nil"/>
              <w:bottom w:val="single" w:sz="4" w:space="0" w:color="auto"/>
              <w:right w:val="single" w:sz="4" w:space="0" w:color="auto"/>
            </w:tcBorders>
            <w:shd w:val="clear" w:color="000000" w:fill="BDD7EE"/>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13,366</w:t>
            </w:r>
          </w:p>
        </w:tc>
        <w:tc>
          <w:tcPr>
            <w:tcW w:w="1116" w:type="dxa"/>
            <w:tcBorders>
              <w:top w:val="single" w:sz="4" w:space="0" w:color="auto"/>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7</w:t>
            </w:r>
          </w:p>
        </w:tc>
        <w:tc>
          <w:tcPr>
            <w:tcW w:w="471" w:type="dxa"/>
            <w:tcBorders>
              <w:top w:val="nil"/>
              <w:left w:val="nil"/>
              <w:bottom w:val="nil"/>
              <w:right w:val="nil"/>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768" w:type="dxa"/>
            <w:tcBorders>
              <w:top w:val="nil"/>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16"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69" w:type="dxa"/>
            <w:tcBorders>
              <w:top w:val="nil"/>
              <w:left w:val="nil"/>
              <w:bottom w:val="nil"/>
              <w:right w:val="nil"/>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809"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8,461</w:t>
            </w:r>
          </w:p>
        </w:tc>
        <w:tc>
          <w:tcPr>
            <w:tcW w:w="117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13,950</w:t>
            </w:r>
          </w:p>
        </w:tc>
        <w:tc>
          <w:tcPr>
            <w:tcW w:w="1188"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2,182</w:t>
            </w:r>
          </w:p>
        </w:tc>
        <w:tc>
          <w:tcPr>
            <w:tcW w:w="1167"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3,754</w:t>
            </w:r>
          </w:p>
        </w:tc>
      </w:tr>
      <w:tr w:rsidR="00A17F52" w:rsidRPr="00A17F52" w:rsidTr="00A17F52">
        <w:trPr>
          <w:trHeight w:hRule="exact" w:val="283"/>
          <w:jc w:val="center"/>
        </w:trPr>
        <w:tc>
          <w:tcPr>
            <w:tcW w:w="395"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52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65"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91" w:type="dxa"/>
            <w:tcBorders>
              <w:top w:val="nil"/>
              <w:left w:val="nil"/>
              <w:bottom w:val="nil"/>
              <w:right w:val="nil"/>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116"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16"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29.8%</w:t>
            </w:r>
          </w:p>
        </w:tc>
        <w:tc>
          <w:tcPr>
            <w:tcW w:w="117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49.2%</w:t>
            </w:r>
          </w:p>
        </w:tc>
        <w:tc>
          <w:tcPr>
            <w:tcW w:w="1188"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7.7%</w:t>
            </w:r>
          </w:p>
        </w:tc>
        <w:tc>
          <w:tcPr>
            <w:tcW w:w="1167"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13.2%</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4"/>
          <w:szCs w:val="4"/>
          <w:lang w:val="fr-CH" w:eastAsia="zh-CN"/>
        </w:rPr>
      </w:pPr>
    </w:p>
    <w:tbl>
      <w:tblPr>
        <w:tblW w:w="15521" w:type="dxa"/>
        <w:jc w:val="center"/>
        <w:tblLook w:val="04A0" w:firstRow="1" w:lastRow="0" w:firstColumn="1" w:lastColumn="0" w:noHBand="0" w:noVBand="1"/>
      </w:tblPr>
      <w:tblGrid>
        <w:gridCol w:w="397"/>
        <w:gridCol w:w="1541"/>
        <w:gridCol w:w="1074"/>
        <w:gridCol w:w="1089"/>
        <w:gridCol w:w="1096"/>
        <w:gridCol w:w="1089"/>
        <w:gridCol w:w="408"/>
        <w:gridCol w:w="817"/>
        <w:gridCol w:w="1176"/>
        <w:gridCol w:w="1221"/>
        <w:gridCol w:w="1250"/>
        <w:gridCol w:w="257"/>
        <w:gridCol w:w="771"/>
        <w:gridCol w:w="1176"/>
        <w:gridCol w:w="1226"/>
        <w:gridCol w:w="1089"/>
      </w:tblGrid>
      <w:tr w:rsidR="00A17F52" w:rsidRPr="00A17F52" w:rsidTr="00421EDA">
        <w:trPr>
          <w:trHeight w:hRule="exact" w:val="227"/>
          <w:jc w:val="center"/>
        </w:trPr>
        <w:tc>
          <w:tcPr>
            <w:tcW w:w="381" w:type="dxa"/>
            <w:tcBorders>
              <w:top w:val="nil"/>
              <w:left w:val="nil"/>
              <w:bottom w:val="nil"/>
              <w:right w:val="nil"/>
            </w:tcBorders>
            <w:shd w:val="clear" w:color="auto" w:fill="auto"/>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p>
        </w:tc>
        <w:tc>
          <w:tcPr>
            <w:tcW w:w="154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74"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53" w:type="dxa"/>
            <w:tcBorders>
              <w:top w:val="nil"/>
              <w:left w:val="nil"/>
              <w:bottom w:val="nil"/>
              <w:right w:val="nil"/>
            </w:tcBorders>
            <w:shd w:val="clear" w:color="000000" w:fill="FFFFFF"/>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p>
        </w:tc>
        <w:tc>
          <w:tcPr>
            <w:tcW w:w="1089" w:type="dxa"/>
            <w:tcBorders>
              <w:top w:val="nil"/>
              <w:left w:val="nil"/>
              <w:bottom w:val="single" w:sz="4" w:space="0" w:color="auto"/>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0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in %</w:t>
            </w:r>
          </w:p>
        </w:tc>
        <w:tc>
          <w:tcPr>
            <w:tcW w:w="252"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6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6"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CHF 000</w:t>
            </w:r>
          </w:p>
        </w:tc>
      </w:tr>
      <w:tr w:rsidR="00A17F52" w:rsidRPr="00A17F52" w:rsidTr="00A17F52">
        <w:trPr>
          <w:trHeight w:val="227"/>
          <w:jc w:val="center"/>
        </w:trPr>
        <w:tc>
          <w:tcPr>
            <w:tcW w:w="19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ITU Strategic Objectives for 2019</w:t>
            </w:r>
          </w:p>
        </w:tc>
        <w:tc>
          <w:tcPr>
            <w:tcW w:w="107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 xml:space="preserve">Total </w:t>
            </w:r>
            <w:r w:rsidRPr="00A17F52">
              <w:rPr>
                <w:rFonts w:eastAsia="SimSun" w:cs="Arial"/>
                <w:b/>
                <w:bCs/>
                <w:sz w:val="18"/>
                <w:szCs w:val="18"/>
                <w:lang w:val="fr-CH" w:eastAsia="zh-CN"/>
              </w:rPr>
              <w:br/>
              <w:t>Cost</w:t>
            </w:r>
          </w:p>
        </w:tc>
        <w:tc>
          <w:tcPr>
            <w:tcW w:w="10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of TSB/Direct Cost</w:t>
            </w:r>
          </w:p>
        </w:tc>
        <w:tc>
          <w:tcPr>
            <w:tcW w:w="1053" w:type="dxa"/>
            <w:vMerge w:val="restart"/>
            <w:tcBorders>
              <w:top w:val="single" w:sz="4" w:space="0" w:color="auto"/>
              <w:left w:val="single" w:sz="4" w:space="0" w:color="auto"/>
              <w:right w:val="single" w:sz="4" w:space="0" w:color="auto"/>
            </w:tcBorders>
            <w:shd w:val="clear" w:color="000000" w:fill="BDD7EE"/>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Cost Reallocated from GS</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allocated from BR/BDT</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817"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30"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221"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250"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vMerge w:val="restart"/>
            <w:tcBorders>
              <w:top w:val="single" w:sz="4" w:space="0" w:color="auto"/>
              <w:left w:val="double" w:sz="6"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6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226"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r>
      <w:tr w:rsidR="00A17F52" w:rsidRPr="00A17F52" w:rsidTr="00A17F52">
        <w:trPr>
          <w:trHeight w:val="431"/>
          <w:jc w:val="center"/>
        </w:trPr>
        <w:tc>
          <w:tcPr>
            <w:tcW w:w="1922" w:type="dxa"/>
            <w:gridSpan w:val="2"/>
            <w:vMerge/>
            <w:tcBorders>
              <w:top w:val="single" w:sz="4" w:space="0" w:color="auto"/>
              <w:left w:val="single" w:sz="4" w:space="0" w:color="auto"/>
              <w:bottom w:val="single" w:sz="4" w:space="0" w:color="000000"/>
              <w:right w:val="single" w:sz="4" w:space="0" w:color="000000"/>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53" w:type="dxa"/>
            <w:vMerge/>
            <w:tcBorders>
              <w:left w:val="single" w:sz="4" w:space="0" w:color="auto"/>
              <w:bottom w:val="single" w:sz="4" w:space="0" w:color="000000"/>
              <w:right w:val="single" w:sz="4" w:space="0" w:color="auto"/>
            </w:tcBorders>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40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30" w:type="dxa"/>
            <w:vMerge/>
            <w:tcBorders>
              <w:left w:val="nil"/>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21" w:type="dxa"/>
            <w:vMerge/>
            <w:tcBorders>
              <w:left w:val="nil"/>
              <w:bottom w:val="nil"/>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50" w:type="dxa"/>
            <w:vMerge/>
            <w:tcBorders>
              <w:left w:val="single" w:sz="4" w:space="0" w:color="auto"/>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252"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vMerge/>
            <w:tcBorders>
              <w:left w:val="double" w:sz="6"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61" w:type="dxa"/>
            <w:vMerge/>
            <w:tcBorders>
              <w:left w:val="nil"/>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26" w:type="dxa"/>
            <w:vMerge/>
            <w:tcBorders>
              <w:left w:val="nil"/>
              <w:bottom w:val="single" w:sz="4" w:space="0" w:color="auto"/>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T1</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1</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12,791</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6,965</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5,823</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1130"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221"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5,116</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3,837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1,279</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2,558</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T2</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2</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6,257</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3,215</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3,040</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6,257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T3</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3</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2,924</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1,459</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1,464</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50%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1,462</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877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T4</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4</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4,595</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2,410</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2,184</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50%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1,379</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2,298</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460</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460</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T5</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5</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834</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187</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647</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250</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167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83</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334</w:t>
            </w:r>
          </w:p>
        </w:tc>
      </w:tr>
      <w:tr w:rsidR="00A17F52" w:rsidRPr="00A17F52" w:rsidTr="00A17F52">
        <w:trPr>
          <w:trHeight w:hRule="exact" w:val="284"/>
          <w:jc w:val="center"/>
        </w:trPr>
        <w:tc>
          <w:tcPr>
            <w:tcW w:w="19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Total Cost</w:t>
            </w:r>
          </w:p>
        </w:tc>
        <w:tc>
          <w:tcPr>
            <w:tcW w:w="1074"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27,402</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14,236</w:t>
            </w:r>
          </w:p>
        </w:tc>
        <w:tc>
          <w:tcPr>
            <w:tcW w:w="1053" w:type="dxa"/>
            <w:tcBorders>
              <w:top w:val="nil"/>
              <w:left w:val="nil"/>
              <w:bottom w:val="single" w:sz="4" w:space="0" w:color="auto"/>
              <w:right w:val="single" w:sz="4" w:space="0" w:color="auto"/>
            </w:tcBorders>
            <w:shd w:val="clear" w:color="000000" w:fill="BDD7EE"/>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13,159</w:t>
            </w:r>
          </w:p>
        </w:tc>
        <w:tc>
          <w:tcPr>
            <w:tcW w:w="1089" w:type="dxa"/>
            <w:tcBorders>
              <w:top w:val="single" w:sz="4" w:space="0" w:color="auto"/>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7</w:t>
            </w:r>
          </w:p>
        </w:tc>
        <w:tc>
          <w:tcPr>
            <w:tcW w:w="408" w:type="dxa"/>
            <w:tcBorders>
              <w:top w:val="nil"/>
              <w:left w:val="nil"/>
              <w:bottom w:val="nil"/>
              <w:right w:val="nil"/>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817" w:type="dxa"/>
            <w:tcBorders>
              <w:top w:val="nil"/>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252" w:type="dxa"/>
            <w:tcBorders>
              <w:top w:val="nil"/>
              <w:left w:val="nil"/>
              <w:bottom w:val="nil"/>
              <w:right w:val="nil"/>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740" w:type="dxa"/>
            <w:tcBorders>
              <w:top w:val="nil"/>
              <w:left w:val="single" w:sz="4" w:space="0" w:color="auto"/>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color w:val="000000"/>
                <w:sz w:val="22"/>
                <w:szCs w:val="22"/>
                <w:lang w:val="fr-CH" w:eastAsia="zh-CN"/>
              </w:rPr>
              <w:t>8,207</w:t>
            </w:r>
          </w:p>
        </w:tc>
        <w:tc>
          <w:tcPr>
            <w:tcW w:w="116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13,436</w:t>
            </w:r>
          </w:p>
        </w:tc>
        <w:tc>
          <w:tcPr>
            <w:tcW w:w="1226"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2,114</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3,644</w:t>
            </w:r>
          </w:p>
        </w:tc>
      </w:tr>
      <w:tr w:rsidR="00A17F52" w:rsidRPr="00A17F52" w:rsidTr="00A17F52">
        <w:trPr>
          <w:trHeight w:hRule="exact" w:val="284"/>
          <w:jc w:val="center"/>
        </w:trPr>
        <w:tc>
          <w:tcPr>
            <w:tcW w:w="38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54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74"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53" w:type="dxa"/>
            <w:tcBorders>
              <w:top w:val="nil"/>
              <w:left w:val="nil"/>
              <w:bottom w:val="nil"/>
              <w:right w:val="nil"/>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08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30.0%</w:t>
            </w:r>
          </w:p>
        </w:tc>
        <w:tc>
          <w:tcPr>
            <w:tcW w:w="116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49.0%</w:t>
            </w:r>
          </w:p>
        </w:tc>
        <w:tc>
          <w:tcPr>
            <w:tcW w:w="1226"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7.7%</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13.3%</w:t>
            </w:r>
          </w:p>
        </w:tc>
      </w:tr>
    </w:tbl>
    <w:p w:rsidR="00264425" w:rsidRPr="00D921B7" w:rsidRDefault="00A17F52" w:rsidP="008A6F4F">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lang w:val="en-US"/>
        </w:rPr>
      </w:pPr>
      <w:r w:rsidRPr="00A17F52">
        <w:rPr>
          <w:rFonts w:ascii="Times New Roman" w:eastAsia="SimSun" w:hAnsi="Times New Roman"/>
          <w:sz w:val="22"/>
          <w:szCs w:val="24"/>
          <w:lang w:val="fr-CH" w:eastAsia="zh-CN"/>
        </w:rPr>
        <w:t>___________________________</w:t>
      </w:r>
    </w:p>
    <w:sectPr w:rsidR="00264425" w:rsidRPr="00D921B7" w:rsidSect="00A17F52">
      <w:pgSz w:w="16839" w:h="11907" w:orient="landscape" w:code="9"/>
      <w:pgMar w:top="74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52" w:rsidRDefault="00A17F52">
      <w:r>
        <w:separator/>
      </w:r>
    </w:p>
  </w:endnote>
  <w:endnote w:type="continuationSeparator" w:id="0">
    <w:p w:rsidR="00A17F52" w:rsidRDefault="00A1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300B27">
    <w:pPr>
      <w:pStyle w:val="Footer"/>
    </w:pPr>
    <w:r>
      <w:fldChar w:fldCharType="begin"/>
    </w:r>
    <w:r>
      <w:instrText xml:space="preserve"> FILENAME \p  \* MERGEFORMAT </w:instrText>
    </w:r>
    <w:r>
      <w:fldChar w:fldCharType="separate"/>
    </w:r>
    <w:r w:rsidR="00A17F52">
      <w:t>Document1</w:t>
    </w:r>
    <w:r>
      <w:fldChar w:fldCharType="end"/>
    </w:r>
    <w:r w:rsidR="00A17F52">
      <w:tab/>
    </w:r>
    <w:r w:rsidR="00A17F52">
      <w:fldChar w:fldCharType="begin"/>
    </w:r>
    <w:r w:rsidR="00A17F52">
      <w:instrText xml:space="preserve"> SAVEDATE \@ DD.MM.YY </w:instrText>
    </w:r>
    <w:r w:rsidR="00A17F52">
      <w:fldChar w:fldCharType="separate"/>
    </w:r>
    <w:r>
      <w:t>03.04.17</w:t>
    </w:r>
    <w:r w:rsidR="00A17F52">
      <w:fldChar w:fldCharType="end"/>
    </w:r>
    <w:r w:rsidR="00A17F52">
      <w:tab/>
    </w:r>
    <w:r w:rsidR="00A17F52">
      <w:fldChar w:fldCharType="begin"/>
    </w:r>
    <w:r w:rsidR="00A17F52">
      <w:instrText xml:space="preserve"> PRINTDATE \@ DD.MM.YY </w:instrText>
    </w:r>
    <w:r w:rsidR="00A17F52">
      <w:fldChar w:fldCharType="separate"/>
    </w:r>
    <w:r w:rsidR="00A17F52">
      <w:t>18.07.00</w:t>
    </w:r>
    <w:r w:rsidR="00A17F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A17F52">
    <w:pPr>
      <w:spacing w:after="120"/>
      <w:jc w:val="center"/>
    </w:pPr>
    <w:r>
      <w:t xml:space="preserve">• </w:t>
    </w:r>
    <w:hyperlink r:id="rId1" w:history="1">
      <w:r>
        <w:rPr>
          <w:rStyle w:val="Hyperlink"/>
        </w:rPr>
        <w:t>http://www.itu.int/council</w:t>
      </w:r>
    </w:hyperlink>
    <w:r>
      <w:t xml:space="preserve"> •</w:t>
    </w:r>
  </w:p>
  <w:p w:rsidR="00A17F52" w:rsidRPr="00A17F52" w:rsidRDefault="00A17F52">
    <w:pPr>
      <w:pStyle w:val="Footer"/>
      <w:rPr>
        <w:color w:val="D9D9D9" w:themeColor="background1" w:themeShade="D9"/>
      </w:rPr>
    </w:pPr>
    <w:r w:rsidRPr="00A17F52">
      <w:rPr>
        <w:color w:val="D9D9D9" w:themeColor="background1" w:themeShade="D9"/>
      </w:rPr>
      <w:fldChar w:fldCharType="begin"/>
    </w:r>
    <w:r w:rsidRPr="00A17F52">
      <w:rPr>
        <w:color w:val="D9D9D9" w:themeColor="background1" w:themeShade="D9"/>
      </w:rPr>
      <w:instrText xml:space="preserve"> FILENAME \p  \* MERGEFORMAT </w:instrText>
    </w:r>
    <w:r w:rsidRPr="00A17F52">
      <w:rPr>
        <w:color w:val="D9D9D9" w:themeColor="background1" w:themeShade="D9"/>
      </w:rPr>
      <w:fldChar w:fldCharType="separate"/>
    </w:r>
    <w:r w:rsidRPr="00A17F52">
      <w:rPr>
        <w:color w:val="D9D9D9" w:themeColor="background1" w:themeShade="D9"/>
      </w:rPr>
      <w:t>Document1</w:t>
    </w:r>
    <w:r w:rsidRPr="00A17F52">
      <w:rPr>
        <w:color w:val="D9D9D9" w:themeColor="background1" w:themeShade="D9"/>
      </w:rPr>
      <w:fldChar w:fldCharType="end"/>
    </w:r>
    <w:r w:rsidRPr="00A17F52">
      <w:rPr>
        <w:color w:val="D9D9D9" w:themeColor="background1" w:themeShade="D9"/>
      </w:rPr>
      <w:tab/>
    </w:r>
    <w:r w:rsidRPr="00A17F52">
      <w:rPr>
        <w:color w:val="D9D9D9" w:themeColor="background1" w:themeShade="D9"/>
      </w:rPr>
      <w:fldChar w:fldCharType="begin"/>
    </w:r>
    <w:r w:rsidRPr="00A17F52">
      <w:rPr>
        <w:color w:val="D9D9D9" w:themeColor="background1" w:themeShade="D9"/>
      </w:rPr>
      <w:instrText xml:space="preserve"> SAVEDATE \@ DD.MM.YY </w:instrText>
    </w:r>
    <w:r w:rsidRPr="00A17F52">
      <w:rPr>
        <w:color w:val="D9D9D9" w:themeColor="background1" w:themeShade="D9"/>
      </w:rPr>
      <w:fldChar w:fldCharType="separate"/>
    </w:r>
    <w:r w:rsidR="00300B27">
      <w:rPr>
        <w:color w:val="D9D9D9" w:themeColor="background1" w:themeShade="D9"/>
      </w:rPr>
      <w:t>03.04.17</w:t>
    </w:r>
    <w:r w:rsidRPr="00A17F52">
      <w:rPr>
        <w:color w:val="D9D9D9" w:themeColor="background1" w:themeShade="D9"/>
      </w:rPr>
      <w:fldChar w:fldCharType="end"/>
    </w:r>
    <w:r w:rsidRPr="00A17F52">
      <w:rPr>
        <w:color w:val="D9D9D9" w:themeColor="background1" w:themeShade="D9"/>
      </w:rPr>
      <w:tab/>
    </w:r>
    <w:r w:rsidRPr="00A17F52">
      <w:rPr>
        <w:color w:val="D9D9D9" w:themeColor="background1" w:themeShade="D9"/>
      </w:rPr>
      <w:fldChar w:fldCharType="begin"/>
    </w:r>
    <w:r w:rsidRPr="00A17F52">
      <w:rPr>
        <w:color w:val="D9D9D9" w:themeColor="background1" w:themeShade="D9"/>
      </w:rPr>
      <w:instrText xml:space="preserve"> PRINTDATE \@ DD.MM.YY </w:instrText>
    </w:r>
    <w:r w:rsidRPr="00A17F52">
      <w:rPr>
        <w:color w:val="D9D9D9" w:themeColor="background1" w:themeShade="D9"/>
      </w:rPr>
      <w:fldChar w:fldCharType="separate"/>
    </w:r>
    <w:r w:rsidRPr="00A17F52">
      <w:rPr>
        <w:color w:val="D9D9D9" w:themeColor="background1" w:themeShade="D9"/>
      </w:rPr>
      <w:t>18.07.00</w:t>
    </w:r>
    <w:r w:rsidRPr="00A17F52">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A1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52" w:rsidRDefault="00A17F52">
      <w:r>
        <w:t>____________________</w:t>
      </w:r>
    </w:p>
  </w:footnote>
  <w:footnote w:type="continuationSeparator" w:id="0">
    <w:p w:rsidR="00A17F52" w:rsidRDefault="00A17F52">
      <w:r>
        <w:continuationSeparator/>
      </w:r>
    </w:p>
  </w:footnote>
  <w:footnote w:id="1">
    <w:p w:rsidR="00A17F52" w:rsidRPr="003C1E33" w:rsidRDefault="00A17F52" w:rsidP="00A17F52">
      <w:pPr>
        <w:pStyle w:val="FootnoteText"/>
        <w:rPr>
          <w:sz w:val="20"/>
          <w:szCs w:val="16"/>
          <w:lang w:val="en-US"/>
        </w:rPr>
      </w:pPr>
      <w:r w:rsidRPr="0029670A">
        <w:rPr>
          <w:rStyle w:val="FootnoteReference"/>
          <w:sz w:val="12"/>
          <w:szCs w:val="16"/>
        </w:rPr>
        <w:footnoteRef/>
      </w:r>
      <w:r w:rsidRPr="003C1E33">
        <w:rPr>
          <w:sz w:val="20"/>
          <w:szCs w:val="16"/>
          <w:lang w:val="en-US"/>
        </w:rPr>
        <w:tab/>
        <w:t>Risk owners will be appointed by the Director of the Bureau.</w:t>
      </w:r>
    </w:p>
  </w:footnote>
  <w:footnote w:id="2">
    <w:p w:rsidR="00A17F52" w:rsidRPr="003C1E33" w:rsidRDefault="00A17F52" w:rsidP="008A6F4F">
      <w:pPr>
        <w:pStyle w:val="FootnoteText"/>
        <w:spacing w:before="40"/>
        <w:rPr>
          <w:sz w:val="20"/>
          <w:szCs w:val="14"/>
          <w:lang w:val="en-US"/>
        </w:rPr>
      </w:pPr>
      <w:r w:rsidRPr="0029670A">
        <w:rPr>
          <w:rStyle w:val="FootnoteReference"/>
          <w:sz w:val="12"/>
          <w:szCs w:val="16"/>
        </w:rPr>
        <w:footnoteRef/>
      </w:r>
      <w:r w:rsidRPr="003C1E33">
        <w:rPr>
          <w:sz w:val="20"/>
          <w:szCs w:val="16"/>
          <w:lang w:val="en-US"/>
        </w:rPr>
        <w:t xml:space="preserve"> </w:t>
      </w:r>
      <w:r w:rsidRPr="003C1E33">
        <w:rPr>
          <w:sz w:val="20"/>
          <w:szCs w:val="16"/>
          <w:lang w:val="en-US"/>
        </w:rPr>
        <w:tab/>
      </w:r>
      <w:r w:rsidRPr="003C1E33">
        <w:rPr>
          <w:sz w:val="20"/>
          <w:szCs w:val="14"/>
          <w:lang w:val="en-US"/>
        </w:rPr>
        <w:t>Estimates for 2018, 2019, 2020 and 2021. Allocation of resources is subject to change upon Senior Management decisions.</w:t>
      </w:r>
    </w:p>
  </w:footnote>
  <w:footnote w:id="3">
    <w:p w:rsidR="00A17F52" w:rsidRPr="003C1E33" w:rsidRDefault="00A17F52" w:rsidP="00A17F52">
      <w:pPr>
        <w:pStyle w:val="FootnoteText"/>
        <w:rPr>
          <w:sz w:val="20"/>
          <w:szCs w:val="14"/>
          <w:lang w:val="en-US"/>
        </w:rPr>
      </w:pPr>
      <w:r w:rsidRPr="0029670A">
        <w:rPr>
          <w:rStyle w:val="FootnoteReference"/>
          <w:sz w:val="12"/>
          <w:szCs w:val="16"/>
        </w:rPr>
        <w:footnoteRef/>
      </w:r>
      <w:r w:rsidRPr="003C1E33">
        <w:rPr>
          <w:sz w:val="20"/>
          <w:szCs w:val="14"/>
          <w:lang w:val="en-US"/>
        </w:rPr>
        <w:tab/>
        <w:t>Estimates for 2018, 2019, 2020 and 2021. Allocation of resources is subject to change upon Senior Management decisions.</w:t>
      </w:r>
    </w:p>
  </w:footnote>
  <w:footnote w:id="4">
    <w:p w:rsidR="00A17F52" w:rsidRPr="003C1E33" w:rsidRDefault="00A17F52" w:rsidP="00C13033">
      <w:pPr>
        <w:pStyle w:val="FootnoteText"/>
        <w:spacing w:before="40"/>
        <w:rPr>
          <w:sz w:val="20"/>
          <w:szCs w:val="14"/>
          <w:lang w:val="en-US"/>
        </w:rPr>
      </w:pPr>
      <w:r w:rsidRPr="0029670A">
        <w:rPr>
          <w:rStyle w:val="FootnoteReference"/>
          <w:sz w:val="12"/>
          <w:szCs w:val="16"/>
        </w:rPr>
        <w:footnoteRef/>
      </w:r>
      <w:r w:rsidRPr="003C1E33">
        <w:rPr>
          <w:sz w:val="20"/>
          <w:szCs w:val="14"/>
          <w:lang w:val="en-US"/>
        </w:rPr>
        <w:tab/>
        <w:t>Estimates for 2018, 2019, 2020</w:t>
      </w:r>
      <w:r w:rsidR="00E30334">
        <w:rPr>
          <w:sz w:val="20"/>
          <w:szCs w:val="14"/>
          <w:lang w:val="en-US"/>
        </w:rPr>
        <w:t>,</w:t>
      </w:r>
      <w:r w:rsidRPr="003C1E33">
        <w:rPr>
          <w:sz w:val="20"/>
          <w:szCs w:val="14"/>
          <w:lang w:val="en-US"/>
        </w:rPr>
        <w:t xml:space="preserve"> and 2021. Allocation of resources is subject to change upon Senior Management decisions.</w:t>
      </w:r>
    </w:p>
  </w:footnote>
  <w:footnote w:id="5">
    <w:p w:rsidR="00A17F52" w:rsidRPr="003C1E33" w:rsidRDefault="00A17F52" w:rsidP="00C13033">
      <w:pPr>
        <w:pStyle w:val="FootnoteText"/>
        <w:spacing w:before="40"/>
        <w:rPr>
          <w:sz w:val="20"/>
          <w:szCs w:val="14"/>
          <w:lang w:val="en-US"/>
        </w:rPr>
      </w:pPr>
      <w:r w:rsidRPr="0029670A">
        <w:rPr>
          <w:rStyle w:val="FootnoteReference"/>
          <w:sz w:val="12"/>
          <w:szCs w:val="16"/>
        </w:rPr>
        <w:footnoteRef/>
      </w:r>
      <w:r w:rsidRPr="003C1E33">
        <w:rPr>
          <w:sz w:val="20"/>
          <w:szCs w:val="14"/>
          <w:lang w:val="en-US"/>
        </w:rPr>
        <w:tab/>
        <w:t>Estimates for 2018, 2019, 2020</w:t>
      </w:r>
      <w:r w:rsidR="00E30334">
        <w:rPr>
          <w:sz w:val="20"/>
          <w:szCs w:val="14"/>
          <w:lang w:val="en-US"/>
        </w:rPr>
        <w:t>,</w:t>
      </w:r>
      <w:r w:rsidRPr="003C1E33">
        <w:rPr>
          <w:sz w:val="20"/>
          <w:szCs w:val="14"/>
          <w:lang w:val="en-US"/>
        </w:rPr>
        <w:t xml:space="preserve"> and 2021. Allocation of resources is subject to change upon Senior Management decisions.</w:t>
      </w:r>
    </w:p>
  </w:footnote>
  <w:footnote w:id="6">
    <w:p w:rsidR="00A17F52" w:rsidRPr="003C1E33" w:rsidRDefault="00A17F52" w:rsidP="008A6F4F">
      <w:pPr>
        <w:pStyle w:val="FootnoteText"/>
        <w:spacing w:before="60"/>
        <w:rPr>
          <w:sz w:val="20"/>
          <w:szCs w:val="14"/>
          <w:lang w:val="en-US"/>
        </w:rPr>
      </w:pPr>
      <w:r w:rsidRPr="0029670A">
        <w:rPr>
          <w:rStyle w:val="FootnoteReference"/>
          <w:sz w:val="12"/>
          <w:szCs w:val="16"/>
        </w:rPr>
        <w:footnoteRef/>
      </w:r>
      <w:r w:rsidRPr="003C1E33">
        <w:rPr>
          <w:sz w:val="20"/>
          <w:szCs w:val="16"/>
          <w:lang w:val="en-US"/>
        </w:rPr>
        <w:tab/>
      </w:r>
      <w:r w:rsidRPr="003C1E33">
        <w:rPr>
          <w:sz w:val="20"/>
          <w:szCs w:val="14"/>
          <w:lang w:val="en-US"/>
        </w:rPr>
        <w:t>Estimates for 2018, 2019, 2020 and 2021. Allocation of resources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A17F52" w:rsidP="00CE433C">
    <w:pPr>
      <w:pStyle w:val="Header"/>
    </w:pPr>
    <w:r>
      <w:fldChar w:fldCharType="begin"/>
    </w:r>
    <w:r>
      <w:instrText>PAGE</w:instrText>
    </w:r>
    <w:r>
      <w:fldChar w:fldCharType="separate"/>
    </w:r>
    <w:r>
      <w:rPr>
        <w:noProof/>
      </w:rPr>
      <w:t>2</w:t>
    </w:r>
    <w:r>
      <w:rPr>
        <w:noProof/>
      </w:rPr>
      <w:fldChar w:fldCharType="end"/>
    </w:r>
  </w:p>
  <w:p w:rsidR="00A17F52" w:rsidRDefault="00A17F52" w:rsidP="005243FF">
    <w:pPr>
      <w:pStyle w:val="Header"/>
    </w:pPr>
    <w:r>
      <w:t>C17/29-E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 w:name="DocRef2"/>
  <w:bookmarkEnd w:id="12"/>
  <w:p w:rsidR="00A17F52" w:rsidRPr="0029670A" w:rsidRDefault="00A17F52" w:rsidP="00A17F52">
    <w:pPr>
      <w:tabs>
        <w:tab w:val="left" w:pos="5954"/>
        <w:tab w:val="right" w:pos="14034"/>
      </w:tabs>
      <w:jc w:val="center"/>
      <w:rPr>
        <w:smallCaps/>
        <w:spacing w:val="24"/>
        <w:sz w:val="20"/>
        <w:szCs w:val="16"/>
        <w:lang w:val="de-CH"/>
      </w:rPr>
    </w:pPr>
    <w:r w:rsidRPr="0029670A">
      <w:rPr>
        <w:sz w:val="20"/>
        <w:szCs w:val="14"/>
      </w:rPr>
      <w:fldChar w:fldCharType="begin"/>
    </w:r>
    <w:r w:rsidRPr="0029670A">
      <w:rPr>
        <w:sz w:val="20"/>
        <w:szCs w:val="14"/>
        <w:lang w:val="es-ES_tradnl"/>
      </w:rPr>
      <w:instrText xml:space="preserve"> PAGE   \* MERGEFORMAT </w:instrText>
    </w:r>
    <w:r w:rsidRPr="0029670A">
      <w:rPr>
        <w:sz w:val="20"/>
        <w:szCs w:val="14"/>
      </w:rPr>
      <w:fldChar w:fldCharType="separate"/>
    </w:r>
    <w:r w:rsidR="00300B27">
      <w:rPr>
        <w:noProof/>
        <w:sz w:val="20"/>
        <w:szCs w:val="14"/>
        <w:lang w:val="es-ES_tradnl"/>
      </w:rPr>
      <w:t>12</w:t>
    </w:r>
    <w:r w:rsidRPr="0029670A">
      <w:rPr>
        <w:sz w:val="20"/>
        <w:szCs w:val="14"/>
      </w:rPr>
      <w:fldChar w:fldCharType="end"/>
    </w:r>
    <w:r w:rsidRPr="0029670A">
      <w:rPr>
        <w:sz w:val="20"/>
        <w:szCs w:val="14"/>
        <w:lang w:val="es-ES_tradnl"/>
      </w:rPr>
      <w:t>/</w:t>
    </w:r>
    <w:r w:rsidRPr="0029670A">
      <w:rPr>
        <w:sz w:val="20"/>
        <w:szCs w:val="14"/>
      </w:rPr>
      <w:fldChar w:fldCharType="begin"/>
    </w:r>
    <w:r w:rsidRPr="0029670A">
      <w:rPr>
        <w:sz w:val="20"/>
        <w:szCs w:val="14"/>
        <w:lang w:val="es-ES_tradnl"/>
      </w:rPr>
      <w:instrText xml:space="preserve"> NUMPAGES   \* MERGEFORMAT </w:instrText>
    </w:r>
    <w:r w:rsidRPr="0029670A">
      <w:rPr>
        <w:sz w:val="20"/>
        <w:szCs w:val="14"/>
      </w:rPr>
      <w:fldChar w:fldCharType="separate"/>
    </w:r>
    <w:r w:rsidR="00300B27">
      <w:rPr>
        <w:noProof/>
        <w:sz w:val="20"/>
        <w:szCs w:val="14"/>
        <w:lang w:val="es-ES_tradnl"/>
      </w:rPr>
      <w:t>12</w:t>
    </w:r>
    <w:r w:rsidRPr="0029670A">
      <w:rPr>
        <w:sz w:val="20"/>
        <w:szCs w:val="14"/>
      </w:rPr>
      <w:fldChar w:fldCharType="end"/>
    </w:r>
    <w:r w:rsidRPr="0029670A">
      <w:rPr>
        <w:sz w:val="20"/>
        <w:szCs w:val="14"/>
        <w:lang w:val="es-ES_tradnl"/>
      </w:rPr>
      <w:br/>
      <w:t>C1</w:t>
    </w:r>
    <w:r>
      <w:rPr>
        <w:sz w:val="20"/>
        <w:szCs w:val="14"/>
        <w:lang w:val="es-ES_tradnl"/>
      </w:rPr>
      <w:t>7</w:t>
    </w:r>
    <w:r w:rsidRPr="0029670A">
      <w:rPr>
        <w:sz w:val="20"/>
        <w:szCs w:val="14"/>
        <w:lang w:val="es-ES_tradnl"/>
      </w:rPr>
      <w:t>/</w:t>
    </w:r>
    <w:r>
      <w:rPr>
        <w:sz w:val="20"/>
        <w:szCs w:val="14"/>
        <w:lang w:val="es-ES_tradnl"/>
      </w:rPr>
      <w:t>29</w:t>
    </w:r>
    <w:r w:rsidRPr="0029670A">
      <w:rPr>
        <w:sz w:val="20"/>
        <w:szCs w:val="14"/>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7CF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80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CD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2E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8E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B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F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5" w15:restartNumberingAfterBreak="0">
    <w:nsid w:val="1CCB5231"/>
    <w:multiLevelType w:val="hybridMultilevel"/>
    <w:tmpl w:val="0F4E8534"/>
    <w:lvl w:ilvl="0" w:tplc="7172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7"/>
  </w:num>
  <w:num w:numId="4">
    <w:abstractNumId w:val="16"/>
  </w:num>
  <w:num w:numId="5">
    <w:abstractNumId w:val="19"/>
  </w:num>
  <w:num w:numId="6">
    <w:abstractNumId w:val="18"/>
  </w:num>
  <w:num w:numId="7">
    <w:abstractNumId w:val="20"/>
  </w:num>
  <w:num w:numId="8">
    <w:abstractNumId w:val="13"/>
  </w:num>
  <w:num w:numId="9">
    <w:abstractNumId w:val="14"/>
  </w:num>
  <w:num w:numId="10">
    <w:abstractNumId w:val="12"/>
  </w:num>
  <w:num w:numId="11">
    <w:abstractNumId w:val="1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B7"/>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0B27"/>
    <w:rsid w:val="0030160F"/>
    <w:rsid w:val="00322D0D"/>
    <w:rsid w:val="003942D4"/>
    <w:rsid w:val="003958A8"/>
    <w:rsid w:val="003C2533"/>
    <w:rsid w:val="0040435A"/>
    <w:rsid w:val="00416A24"/>
    <w:rsid w:val="00421EDA"/>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20A46"/>
    <w:rsid w:val="0083581B"/>
    <w:rsid w:val="00864AFF"/>
    <w:rsid w:val="008A6F4F"/>
    <w:rsid w:val="008B4A6A"/>
    <w:rsid w:val="008C7E27"/>
    <w:rsid w:val="008F5E25"/>
    <w:rsid w:val="009173EF"/>
    <w:rsid w:val="00932906"/>
    <w:rsid w:val="00961B0B"/>
    <w:rsid w:val="009B38C3"/>
    <w:rsid w:val="009E17BD"/>
    <w:rsid w:val="00A04CEC"/>
    <w:rsid w:val="00A17F52"/>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13033"/>
    <w:rsid w:val="00C374DE"/>
    <w:rsid w:val="00C47AD4"/>
    <w:rsid w:val="00C52D81"/>
    <w:rsid w:val="00C55198"/>
    <w:rsid w:val="00CA6393"/>
    <w:rsid w:val="00CB18FF"/>
    <w:rsid w:val="00CD0C08"/>
    <w:rsid w:val="00CE03FB"/>
    <w:rsid w:val="00CE433C"/>
    <w:rsid w:val="00CF33F3"/>
    <w:rsid w:val="00D06183"/>
    <w:rsid w:val="00D22C42"/>
    <w:rsid w:val="00D65041"/>
    <w:rsid w:val="00D921B7"/>
    <w:rsid w:val="00DB384B"/>
    <w:rsid w:val="00E10E80"/>
    <w:rsid w:val="00E124F0"/>
    <w:rsid w:val="00E30334"/>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3845250-295F-4D8A-AAEC-A53CA4FC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D921B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A17F52"/>
  </w:style>
  <w:style w:type="character" w:customStyle="1" w:styleId="Heading1Char">
    <w:name w:val="Heading 1 Char"/>
    <w:basedOn w:val="DefaultParagraphFont"/>
    <w:link w:val="Heading1"/>
    <w:rsid w:val="00A17F52"/>
    <w:rPr>
      <w:rFonts w:ascii="Calibri" w:hAnsi="Calibri"/>
      <w:b/>
      <w:sz w:val="28"/>
      <w:lang w:val="en-GB" w:eastAsia="en-US"/>
    </w:rPr>
  </w:style>
  <w:style w:type="paragraph" w:customStyle="1" w:styleId="Title10">
    <w:name w:val="Title1"/>
    <w:basedOn w:val="Normal"/>
    <w:next w:val="Normal"/>
    <w:uiPriority w:val="10"/>
    <w:qFormat/>
    <w:rsid w:val="00A17F52"/>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A17F52"/>
    <w:rPr>
      <w:rFonts w:ascii="Calibri Light" w:eastAsia="SimSun" w:hAnsi="Calibri Light" w:cs="Times New Roman"/>
      <w:spacing w:val="-10"/>
      <w:kern w:val="28"/>
      <w:sz w:val="52"/>
      <w:szCs w:val="56"/>
    </w:rPr>
  </w:style>
  <w:style w:type="character" w:customStyle="1" w:styleId="HeaderChar">
    <w:name w:val="Header Char"/>
    <w:aliases w:val="encabezado Char"/>
    <w:basedOn w:val="DefaultParagraphFont"/>
    <w:link w:val="Header"/>
    <w:rsid w:val="00A17F52"/>
    <w:rPr>
      <w:rFonts w:ascii="Calibri" w:hAnsi="Calibri"/>
      <w:sz w:val="18"/>
      <w:lang w:val="en-GB" w:eastAsia="en-US"/>
    </w:rPr>
  </w:style>
  <w:style w:type="character" w:customStyle="1" w:styleId="FooterChar">
    <w:name w:val="Footer Char"/>
    <w:basedOn w:val="DefaultParagraphFont"/>
    <w:link w:val="Footer"/>
    <w:rsid w:val="00A17F52"/>
    <w:rPr>
      <w:rFonts w:ascii="Calibri" w:hAnsi="Calibri"/>
      <w:caps/>
      <w:noProof/>
      <w:sz w:val="16"/>
      <w:lang w:val="en-GB" w:eastAsia="en-US"/>
    </w:rPr>
  </w:style>
  <w:style w:type="character" w:styleId="PlaceholderText">
    <w:name w:val="Placeholder Text"/>
    <w:basedOn w:val="DefaultParagraphFont"/>
    <w:uiPriority w:val="99"/>
    <w:semiHidden/>
    <w:rsid w:val="00A17F52"/>
    <w:rPr>
      <w:color w:val="808080"/>
    </w:rPr>
  </w:style>
  <w:style w:type="character" w:customStyle="1" w:styleId="Heading2Char">
    <w:name w:val="Heading 2 Char"/>
    <w:basedOn w:val="DefaultParagraphFont"/>
    <w:link w:val="Heading2"/>
    <w:rsid w:val="00A17F52"/>
    <w:rPr>
      <w:rFonts w:ascii="Calibri" w:hAnsi="Calibri"/>
      <w:b/>
      <w:sz w:val="24"/>
      <w:lang w:val="en-GB" w:eastAsia="en-US"/>
    </w:rPr>
  </w:style>
  <w:style w:type="character" w:customStyle="1" w:styleId="Heading3Char">
    <w:name w:val="Heading 3 Char"/>
    <w:basedOn w:val="DefaultParagraphFont"/>
    <w:link w:val="Heading3"/>
    <w:rsid w:val="00A17F52"/>
    <w:rPr>
      <w:rFonts w:ascii="Calibri" w:hAnsi="Calibri"/>
      <w:b/>
      <w:sz w:val="24"/>
      <w:lang w:val="en-GB" w:eastAsia="en-US"/>
    </w:rPr>
  </w:style>
  <w:style w:type="character" w:styleId="Strong">
    <w:name w:val="Strong"/>
    <w:basedOn w:val="DefaultParagraphFont"/>
    <w:uiPriority w:val="22"/>
    <w:qFormat/>
    <w:rsid w:val="00A17F52"/>
    <w:rPr>
      <w:b/>
      <w:bCs/>
    </w:rPr>
  </w:style>
  <w:style w:type="paragraph" w:styleId="ListParagraph">
    <w:name w:val="List Paragraph"/>
    <w:basedOn w:val="Normal"/>
    <w:uiPriority w:val="34"/>
    <w:qFormat/>
    <w:rsid w:val="00A17F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A17F5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A17F52"/>
    <w:rPr>
      <w:i/>
      <w:iCs/>
      <w:color w:val="5B9BD5"/>
    </w:rPr>
  </w:style>
  <w:style w:type="character" w:customStyle="1" w:styleId="IntenseReference1">
    <w:name w:val="Intense Reference1"/>
    <w:basedOn w:val="DefaultParagraphFont"/>
    <w:uiPriority w:val="32"/>
    <w:qFormat/>
    <w:rsid w:val="00A17F52"/>
    <w:rPr>
      <w:b/>
      <w:bCs/>
      <w:smallCaps/>
      <w:color w:val="5B9BD5"/>
      <w:spacing w:val="5"/>
    </w:rPr>
  </w:style>
  <w:style w:type="character" w:customStyle="1" w:styleId="SubtleReference1">
    <w:name w:val="Subtle Reference1"/>
    <w:basedOn w:val="DefaultParagraphFont"/>
    <w:uiPriority w:val="31"/>
    <w:qFormat/>
    <w:rsid w:val="00A17F52"/>
    <w:rPr>
      <w:smallCaps/>
      <w:color w:val="5A5A5A"/>
    </w:rPr>
  </w:style>
  <w:style w:type="paragraph" w:customStyle="1" w:styleId="SimpleHeading">
    <w:name w:val="Simple Heading"/>
    <w:basedOn w:val="Normal"/>
    <w:link w:val="SimpleHeadingChar"/>
    <w:qFormat/>
    <w:rsid w:val="00A17F52"/>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A17F52"/>
    <w:rPr>
      <w:rFonts w:ascii="Calibri" w:eastAsia="SimSun" w:hAnsi="Calibri" w:cs="Arial"/>
      <w:b/>
      <w:sz w:val="22"/>
      <w:szCs w:val="22"/>
      <w:lang w:val="fr-CH"/>
    </w:rPr>
  </w:style>
  <w:style w:type="paragraph" w:customStyle="1" w:styleId="Ideas">
    <w:name w:val="Ideas"/>
    <w:basedOn w:val="Heading1"/>
    <w:link w:val="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A17F52"/>
    <w:rPr>
      <w:rFonts w:ascii="Calibri" w:eastAsia="SimSun" w:hAnsi="Calibri" w:cs="Arial"/>
      <w:b/>
      <w:color w:val="70AD47"/>
      <w:sz w:val="28"/>
      <w:szCs w:val="22"/>
      <w:lang w:val="fr-CH" w:eastAsia="en-US"/>
    </w:rPr>
  </w:style>
  <w:style w:type="table" w:styleId="TableGrid">
    <w:name w:val="Table Grid"/>
    <w:basedOn w:val="TableNormal"/>
    <w:uiPriority w:val="39"/>
    <w:rsid w:val="00A17F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A17F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17F52"/>
    <w:rPr>
      <w:sz w:val="16"/>
      <w:szCs w:val="16"/>
    </w:rPr>
  </w:style>
  <w:style w:type="paragraph" w:styleId="CommentText">
    <w:name w:val="annotation text"/>
    <w:basedOn w:val="Normal"/>
    <w:link w:val="Comment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A17F52"/>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A17F52"/>
    <w:rPr>
      <w:b/>
      <w:bCs/>
    </w:rPr>
  </w:style>
  <w:style w:type="character" w:customStyle="1" w:styleId="CommentSubjectChar">
    <w:name w:val="Comment Subject Char"/>
    <w:basedOn w:val="CommentTextChar"/>
    <w:link w:val="CommentSubject"/>
    <w:uiPriority w:val="99"/>
    <w:semiHidden/>
    <w:rsid w:val="00A17F52"/>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A17F52"/>
    <w:rPr>
      <w:rFonts w:ascii="Segoe UI" w:eastAsia="SimSun" w:hAnsi="Segoe UI" w:cs="Segoe UI"/>
      <w:sz w:val="18"/>
      <w:szCs w:val="18"/>
      <w:lang w:val="fr-CH"/>
    </w:rPr>
  </w:style>
  <w:style w:type="paragraph" w:customStyle="1" w:styleId="Otherideas">
    <w:name w:val="Other ideas"/>
    <w:basedOn w:val="Heading2"/>
    <w:link w:val="Other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A17F52"/>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A17F52"/>
    <w:rPr>
      <w:rFonts w:ascii="Calibri" w:hAnsi="Calibri"/>
      <w:b/>
      <w:sz w:val="24"/>
      <w:lang w:val="en-GB" w:eastAsia="en-US"/>
    </w:rPr>
  </w:style>
  <w:style w:type="character" w:customStyle="1" w:styleId="Heading5Char">
    <w:name w:val="Heading 5 Char"/>
    <w:basedOn w:val="DefaultParagraphFont"/>
    <w:link w:val="Heading5"/>
    <w:rsid w:val="00A17F52"/>
    <w:rPr>
      <w:rFonts w:ascii="Calibri" w:hAnsi="Calibri"/>
      <w:b/>
      <w:sz w:val="24"/>
      <w:lang w:val="en-GB" w:eastAsia="en-US"/>
    </w:rPr>
  </w:style>
  <w:style w:type="character" w:customStyle="1" w:styleId="Heading6Char">
    <w:name w:val="Heading 6 Char"/>
    <w:basedOn w:val="DefaultParagraphFont"/>
    <w:link w:val="Heading6"/>
    <w:rsid w:val="00A17F52"/>
    <w:rPr>
      <w:rFonts w:ascii="Calibri" w:hAnsi="Calibri"/>
      <w:b/>
      <w:sz w:val="24"/>
      <w:lang w:val="en-GB" w:eastAsia="en-US"/>
    </w:rPr>
  </w:style>
  <w:style w:type="character" w:customStyle="1" w:styleId="Heading7Char">
    <w:name w:val="Heading 7 Char"/>
    <w:basedOn w:val="DefaultParagraphFont"/>
    <w:link w:val="Heading7"/>
    <w:rsid w:val="00A17F52"/>
    <w:rPr>
      <w:rFonts w:ascii="Calibri" w:hAnsi="Calibri"/>
      <w:b/>
      <w:sz w:val="24"/>
      <w:lang w:val="en-GB" w:eastAsia="en-US"/>
    </w:rPr>
  </w:style>
  <w:style w:type="character" w:customStyle="1" w:styleId="Heading8Char">
    <w:name w:val="Heading 8 Char"/>
    <w:basedOn w:val="DefaultParagraphFont"/>
    <w:link w:val="Heading8"/>
    <w:rsid w:val="00A17F52"/>
    <w:rPr>
      <w:rFonts w:ascii="Calibri" w:hAnsi="Calibri"/>
      <w:b/>
      <w:sz w:val="24"/>
      <w:lang w:val="en-GB" w:eastAsia="en-US"/>
    </w:rPr>
  </w:style>
  <w:style w:type="character" w:customStyle="1" w:styleId="Heading9Char">
    <w:name w:val="Heading 9 Char"/>
    <w:basedOn w:val="DefaultParagraphFont"/>
    <w:link w:val="Heading9"/>
    <w:rsid w:val="00A17F52"/>
    <w:rPr>
      <w:rFonts w:ascii="Calibri" w:hAnsi="Calibri"/>
      <w:b/>
      <w:sz w:val="24"/>
      <w:lang w:val="en-GB" w:eastAsia="en-US"/>
    </w:rPr>
  </w:style>
  <w:style w:type="table" w:customStyle="1" w:styleId="PlainTable21">
    <w:name w:val="Plain Table 21"/>
    <w:basedOn w:val="TableNormal"/>
    <w:uiPriority w:val="42"/>
    <w:rsid w:val="00A17F5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A17F52"/>
    <w:rPr>
      <w:rFonts w:ascii="Calibri" w:hAnsi="Calibri"/>
      <w:sz w:val="24"/>
      <w:lang w:val="en-GB" w:eastAsia="en-US"/>
    </w:rPr>
  </w:style>
  <w:style w:type="table" w:customStyle="1" w:styleId="GridTable4-Accent11">
    <w:name w:val="Grid Table 4 - Accent 11"/>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A17F52"/>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A17F52"/>
    <w:rPr>
      <w:rFonts w:ascii="Calibri" w:eastAsia="Calibri" w:hAnsi="Calibri" w:cs="Arial"/>
      <w:sz w:val="22"/>
      <w:szCs w:val="22"/>
      <w:lang w:eastAsia="en-US"/>
    </w:rPr>
  </w:style>
  <w:style w:type="paragraph" w:customStyle="1" w:styleId="Docnumber">
    <w:name w:val="Docnumber"/>
    <w:basedOn w:val="Normal"/>
    <w:link w:val="DocnumberChar"/>
    <w:rsid w:val="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pPr>
    <w:rPr>
      <w:rFonts w:ascii="Times New Roman" w:eastAsia="SimSun" w:hAnsi="Times New Roman" w:cs="Arial"/>
      <w:b/>
      <w:bCs/>
      <w:sz w:val="40"/>
      <w:szCs w:val="22"/>
      <w:lang w:val="fr-CH" w:eastAsia="zh-CN"/>
    </w:rPr>
  </w:style>
  <w:style w:type="character" w:customStyle="1" w:styleId="DocnumberChar">
    <w:name w:val="Docnumber Char"/>
    <w:basedOn w:val="DefaultParagraphFont"/>
    <w:link w:val="Docnumber"/>
    <w:rsid w:val="00A17F52"/>
    <w:rPr>
      <w:rFonts w:ascii="Times New Roman" w:eastAsia="SimSun" w:hAnsi="Times New Roman" w:cs="Arial"/>
      <w:b/>
      <w:bCs/>
      <w:sz w:val="40"/>
      <w:szCs w:val="22"/>
      <w:lang w:val="fr-CH"/>
    </w:rPr>
  </w:style>
  <w:style w:type="paragraph" w:customStyle="1" w:styleId="docnoted">
    <w:name w:val="docnoted"/>
    <w:basedOn w:val="Normal"/>
    <w:next w:val="Head"/>
    <w:rsid w:val="00A17F5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A17F52"/>
    <w:rPr>
      <w:vertAlign w:val="superscript"/>
    </w:rPr>
  </w:style>
  <w:style w:type="paragraph" w:customStyle="1" w:styleId="firstfooter0">
    <w:name w:val="firstfooter"/>
    <w:basedOn w:val="Normal"/>
    <w:rsid w:val="00A17F52"/>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eastAsia="SimSun" w:cs="Arial"/>
      <w:sz w:val="22"/>
      <w:szCs w:val="24"/>
      <w:lang w:val="fr-CH" w:eastAsia="zh-CN"/>
    </w:rPr>
  </w:style>
  <w:style w:type="paragraph" w:styleId="Title">
    <w:name w:val="Title"/>
    <w:basedOn w:val="Normal"/>
    <w:next w:val="Normal"/>
    <w:link w:val="TitleChar"/>
    <w:uiPriority w:val="10"/>
    <w:qFormat/>
    <w:rsid w:val="00A17F52"/>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A17F52"/>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A17F52"/>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A17F5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A17F52"/>
    <w:rPr>
      <w:b/>
      <w:bCs/>
      <w:smallCaps/>
      <w:color w:val="4F81BD" w:themeColor="accent1"/>
      <w:spacing w:val="5"/>
    </w:rPr>
  </w:style>
  <w:style w:type="character" w:styleId="SubtleReference">
    <w:name w:val="Subtle Reference"/>
    <w:basedOn w:val="DefaultParagraphFont"/>
    <w:uiPriority w:val="31"/>
    <w:qFormat/>
    <w:rsid w:val="00A17F5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pub/S-CONF-PLEN-20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CL-C-003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xmlns:c16r2="http://schemas.microsoft.com/office/drawing/2015/06/char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xmlns:c16r2="http://schemas.microsoft.com/office/drawing/2015/06/char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52-4CC2-8C67-1B551B732E7B}"/>
                </c:ext>
                <c:ext xmlns:c15="http://schemas.microsoft.com/office/drawing/2012/chart" uri="{CE6537A1-D6FC-4f65-9D91-7224C49458BB}">
                  <c15:layout/>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52-4CC2-8C67-1B551B732E7B}"/>
                </c:ext>
                <c:ext xmlns:c15="http://schemas.microsoft.com/office/drawing/2012/chart" uri="{CE6537A1-D6FC-4f65-9D91-7224C49458BB}">
                  <c15:layout/>
                </c:ext>
              </c:extLst>
            </c:dLbl>
            <c:dLbl>
              <c:idx val="2"/>
              <c:layout>
                <c:manualLayout>
                  <c:x val="0.11703368328958877"/>
                  <c:y val="2.4792213473315835E-2"/>
                </c:manualLayout>
              </c:layout>
              <c:tx>
                <c:rich>
                  <a:bodyPr/>
                  <a:lstStyle/>
                  <a:p>
                    <a:r>
                      <a:rPr lang="en-US"/>
                      <a:t>10%</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52-4CC2-8C67-1B551B732E7B}"/>
                </c:ext>
                <c:ext xmlns:c15="http://schemas.microsoft.com/office/drawing/2012/chart" uri="{CE6537A1-D6FC-4f65-9D91-7224C49458BB}">
                  <c15:layout/>
                </c:ext>
              </c:extLst>
            </c:dLbl>
            <c:dLbl>
              <c:idx val="3"/>
              <c:layout>
                <c:manualLayout>
                  <c:x val="9.4896106736657923E-2"/>
                  <c:y val="0.110425051035287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D52-4CC2-8C67-1B551B732E7B}"/>
                </c:ext>
                <c:ext xmlns:c15="http://schemas.microsoft.com/office/drawing/2012/chart" uri="{CE6537A1-D6FC-4f65-9D91-7224C49458BB}">
                  <c15:layout/>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52-4CC2-8C67-1B551B732E7B}"/>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xmlns:c16r2="http://schemas.microsoft.com/office/drawing/2015/06/char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4297-8A55-45E7-8E03-1D82A222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12</Pages>
  <Words>3303</Words>
  <Characters>20674</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Draft four-year Operational Plan for the TSB for 2018-2021</vt:lpstr>
    </vt:vector>
  </TitlesOfParts>
  <Manager>General Secretariat - Pool</Manager>
  <Company>International Telecommunication Union (ITU)</Company>
  <LinksUpToDate>false</LinksUpToDate>
  <CharactersWithSpaces>23930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 for the TSB for 2018-2021</dc:title>
  <dc:subject>Council 2017</dc:subject>
  <dc:creator>Brouard, Ricarda</dc:creator>
  <cp:keywords>C2017, C17</cp:keywords>
  <dc:description/>
  <cp:lastModifiedBy>Brouard, Ricarda</cp:lastModifiedBy>
  <cp:revision>2</cp:revision>
  <cp:lastPrinted>2000-07-18T13:30:00Z</cp:lastPrinted>
  <dcterms:created xsi:type="dcterms:W3CDTF">2017-04-03T10:08:00Z</dcterms:created>
  <dcterms:modified xsi:type="dcterms:W3CDTF">2017-04-03T10:08:00Z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