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90B52" w:rsidRPr="008917B2" w:rsidTr="0074039B">
        <w:trPr>
          <w:cantSplit/>
        </w:trPr>
        <w:tc>
          <w:tcPr>
            <w:tcW w:w="6911" w:type="dxa"/>
          </w:tcPr>
          <w:p w:rsidR="00690B52" w:rsidRPr="008917B2" w:rsidRDefault="00690B52" w:rsidP="00FB071F">
            <w:pPr>
              <w:spacing w:before="360" w:after="48"/>
              <w:rPr>
                <w:position w:val="6"/>
                <w:lang w:val="ru-RU"/>
              </w:rPr>
            </w:pPr>
            <w:r w:rsidRPr="008917B2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800E40" w:rsidRPr="008917B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8917B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8917B2">
              <w:rPr>
                <w:rFonts w:cs="Arial"/>
                <w:b/>
                <w:bCs/>
                <w:lang w:val="ru-RU"/>
              </w:rPr>
              <w:t>Женева</w:t>
            </w:r>
            <w:r w:rsidRPr="008917B2">
              <w:rPr>
                <w:b/>
                <w:bCs/>
                <w:lang w:val="ru-RU"/>
              </w:rPr>
              <w:t xml:space="preserve">, </w:t>
            </w:r>
            <w:r w:rsidR="00AA4E63" w:rsidRPr="008917B2">
              <w:rPr>
                <w:b/>
                <w:bCs/>
                <w:lang w:val="ru-RU"/>
              </w:rPr>
              <w:t>15−</w:t>
            </w:r>
            <w:r w:rsidRPr="008917B2">
              <w:rPr>
                <w:b/>
                <w:bCs/>
                <w:lang w:val="ru-RU"/>
              </w:rPr>
              <w:t>25 мая 201</w:t>
            </w:r>
            <w:r w:rsidR="00FB071F" w:rsidRPr="008917B2">
              <w:rPr>
                <w:b/>
                <w:bCs/>
                <w:lang w:val="ru-RU"/>
              </w:rPr>
              <w:t>7</w:t>
            </w:r>
            <w:r w:rsidRPr="008917B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690B52" w:rsidRPr="008917B2" w:rsidRDefault="00690B52" w:rsidP="0074039B">
            <w:pPr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8917B2">
              <w:rPr>
                <w:noProof/>
                <w:lang w:eastAsia="zh-CN"/>
              </w:rPr>
              <w:drawing>
                <wp:inline distT="0" distB="0" distL="0" distR="0" wp14:anchorId="3AFA0682" wp14:editId="24D87F9F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B52" w:rsidRPr="008917B2" w:rsidTr="007403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lang w:val="ru-RU"/>
              </w:rPr>
            </w:pPr>
          </w:p>
        </w:tc>
      </w:tr>
      <w:tr w:rsidR="00690B52" w:rsidRPr="008917B2" w:rsidTr="007403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90B52" w:rsidRPr="008917B2" w:rsidRDefault="00690B52" w:rsidP="0074039B">
            <w:pPr>
              <w:spacing w:before="0"/>
              <w:rPr>
                <w:lang w:val="ru-RU"/>
              </w:rPr>
            </w:pPr>
          </w:p>
        </w:tc>
      </w:tr>
      <w:tr w:rsidR="00690B52" w:rsidRPr="008917B2" w:rsidTr="0074039B">
        <w:trPr>
          <w:cantSplit/>
          <w:trHeight w:val="23"/>
        </w:trPr>
        <w:tc>
          <w:tcPr>
            <w:tcW w:w="6911" w:type="dxa"/>
            <w:vMerge w:val="restart"/>
          </w:tcPr>
          <w:p w:rsidR="00690B52" w:rsidRPr="008917B2" w:rsidRDefault="00690B52" w:rsidP="0074039B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8917B2">
              <w:rPr>
                <w:b/>
                <w:bCs/>
                <w:lang w:val="ru-RU"/>
              </w:rPr>
              <w:t>Пункт повестки дня:</w:t>
            </w:r>
            <w:r w:rsidRPr="008917B2">
              <w:rPr>
                <w:b/>
                <w:bCs/>
                <w:caps/>
                <w:lang w:val="ru-RU"/>
              </w:rPr>
              <w:t xml:space="preserve"> </w:t>
            </w:r>
            <w:r w:rsidRPr="008917B2">
              <w:rPr>
                <w:b/>
                <w:lang w:val="ru-RU"/>
              </w:rPr>
              <w:t>PL 1.1</w:t>
            </w:r>
            <w:r w:rsidR="00FB071F" w:rsidRPr="008917B2">
              <w:rPr>
                <w:b/>
                <w:lang w:val="ru-RU"/>
              </w:rPr>
              <w:t>6</w:t>
            </w:r>
          </w:p>
        </w:tc>
        <w:tc>
          <w:tcPr>
            <w:tcW w:w="3120" w:type="dxa"/>
          </w:tcPr>
          <w:p w:rsidR="00690B52" w:rsidRPr="008917B2" w:rsidRDefault="008467A2" w:rsidP="008467A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Пересмотр 1</w:t>
            </w:r>
            <w:r>
              <w:rPr>
                <w:b/>
                <w:bCs/>
                <w:lang w:val="ru-RU"/>
              </w:rPr>
              <w:br/>
            </w:r>
            <w:r w:rsidR="00690B52" w:rsidRPr="008917B2">
              <w:rPr>
                <w:b/>
                <w:bCs/>
                <w:lang w:val="ru-RU"/>
              </w:rPr>
              <w:t>Документ</w:t>
            </w:r>
            <w:r>
              <w:rPr>
                <w:b/>
                <w:bCs/>
                <w:lang w:val="ru-RU"/>
              </w:rPr>
              <w:t>а</w:t>
            </w:r>
            <w:r w:rsidR="00690B52" w:rsidRPr="008917B2">
              <w:rPr>
                <w:b/>
                <w:bCs/>
                <w:lang w:val="ru-RU"/>
              </w:rPr>
              <w:t xml:space="preserve"> C1</w:t>
            </w:r>
            <w:r w:rsidR="00FB071F" w:rsidRPr="008917B2">
              <w:rPr>
                <w:b/>
                <w:bCs/>
                <w:lang w:val="ru-RU"/>
              </w:rPr>
              <w:t>7</w:t>
            </w:r>
            <w:r w:rsidR="00690B52" w:rsidRPr="008917B2">
              <w:rPr>
                <w:b/>
                <w:bCs/>
                <w:lang w:val="ru-RU"/>
              </w:rPr>
              <w:t>/28-R</w:t>
            </w:r>
          </w:p>
        </w:tc>
      </w:tr>
      <w:tr w:rsidR="00690B52" w:rsidRPr="008917B2" w:rsidTr="0074039B">
        <w:trPr>
          <w:cantSplit/>
          <w:trHeight w:val="23"/>
        </w:trPr>
        <w:tc>
          <w:tcPr>
            <w:tcW w:w="6911" w:type="dxa"/>
            <w:vMerge/>
          </w:tcPr>
          <w:p w:rsidR="00690B52" w:rsidRPr="008917B2" w:rsidRDefault="00690B52" w:rsidP="0074039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690B52" w:rsidRPr="008917B2" w:rsidRDefault="008467A2" w:rsidP="008467A2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  <w:r w:rsidR="00FB071F" w:rsidRPr="008917B2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апреля</w:t>
            </w:r>
            <w:r w:rsidR="008917B2" w:rsidRPr="008917B2">
              <w:rPr>
                <w:b/>
                <w:bCs/>
                <w:lang w:val="ru-RU"/>
              </w:rPr>
              <w:t xml:space="preserve"> 2017</w:t>
            </w:r>
            <w:r w:rsidR="00690B52" w:rsidRPr="008917B2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690B52" w:rsidRPr="008917B2" w:rsidTr="0074039B">
        <w:trPr>
          <w:cantSplit/>
          <w:trHeight w:val="23"/>
        </w:trPr>
        <w:tc>
          <w:tcPr>
            <w:tcW w:w="6911" w:type="dxa"/>
            <w:vMerge/>
          </w:tcPr>
          <w:p w:rsidR="00690B52" w:rsidRPr="008917B2" w:rsidRDefault="00690B52" w:rsidP="0074039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690B52" w:rsidRPr="008917B2" w:rsidRDefault="00690B52" w:rsidP="0074039B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917B2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690B52" w:rsidRPr="008917B2" w:rsidTr="0074039B">
        <w:trPr>
          <w:cantSplit/>
        </w:trPr>
        <w:tc>
          <w:tcPr>
            <w:tcW w:w="10031" w:type="dxa"/>
            <w:gridSpan w:val="2"/>
          </w:tcPr>
          <w:p w:rsidR="00690B52" w:rsidRPr="008917B2" w:rsidRDefault="00690B52" w:rsidP="0074039B">
            <w:pPr>
              <w:pStyle w:val="Source"/>
              <w:framePr w:hSpace="0" w:wrap="auto" w:vAnchor="margin" w:hAnchor="text" w:yAlign="inline"/>
            </w:pPr>
            <w:bookmarkStart w:id="1" w:name="dtitle2" w:colFirst="0" w:colLast="0"/>
            <w:r w:rsidRPr="008917B2">
              <w:t>Отчет Генерального секретаря</w:t>
            </w:r>
          </w:p>
        </w:tc>
      </w:tr>
      <w:bookmarkEnd w:id="1"/>
      <w:tr w:rsidR="00690B52" w:rsidRPr="005A1AA4" w:rsidTr="0074039B">
        <w:trPr>
          <w:cantSplit/>
        </w:trPr>
        <w:tc>
          <w:tcPr>
            <w:tcW w:w="10031" w:type="dxa"/>
            <w:gridSpan w:val="2"/>
          </w:tcPr>
          <w:p w:rsidR="00690B52" w:rsidRPr="008917B2" w:rsidRDefault="00690B52" w:rsidP="00FB071F">
            <w:pPr>
              <w:pStyle w:val="Title1"/>
            </w:pPr>
            <w:r w:rsidRPr="008917B2">
              <w:t>проект четырехгодичного скользящего оперативного плана</w:t>
            </w:r>
            <w:r w:rsidRPr="008917B2">
              <w:br/>
              <w:t>сектора радиосвязи на 201</w:t>
            </w:r>
            <w:r w:rsidR="00FB071F" w:rsidRPr="008917B2">
              <w:t>8</w:t>
            </w:r>
            <w:r w:rsidRPr="008917B2">
              <w:t>–202</w:t>
            </w:r>
            <w:r w:rsidR="00FB071F" w:rsidRPr="008917B2">
              <w:t>1</w:t>
            </w:r>
            <w:r w:rsidRPr="008917B2">
              <w:t> годы</w:t>
            </w:r>
          </w:p>
        </w:tc>
      </w:tr>
    </w:tbl>
    <w:p w:rsidR="00690B52" w:rsidRPr="008917B2" w:rsidRDefault="00690B52" w:rsidP="00690B52">
      <w:pPr>
        <w:rPr>
          <w:lang w:val="ru-RU"/>
        </w:rPr>
      </w:pPr>
      <w:bookmarkStart w:id="2" w:name="dtitle3" w:colFirst="0" w:colLast="0"/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90B52" w:rsidRPr="008917B2" w:rsidTr="00A572E8">
        <w:trPr>
          <w:trHeight w:val="3034"/>
        </w:trPr>
        <w:tc>
          <w:tcPr>
            <w:tcW w:w="8080" w:type="dxa"/>
          </w:tcPr>
          <w:bookmarkEnd w:id="2"/>
          <w:p w:rsidR="00690B52" w:rsidRPr="008917B2" w:rsidRDefault="00690B52" w:rsidP="00A572E8">
            <w:pPr>
              <w:pStyle w:val="Headingb"/>
              <w:rPr>
                <w:color w:val="auto"/>
                <w:lang w:val="ru-RU"/>
              </w:rPr>
            </w:pPr>
            <w:r w:rsidRPr="008917B2">
              <w:rPr>
                <w:color w:val="auto"/>
                <w:lang w:val="ru-RU"/>
              </w:rPr>
              <w:t>Резюме</w:t>
            </w:r>
          </w:p>
          <w:p w:rsidR="00690B52" w:rsidRPr="008917B2" w:rsidRDefault="00690B52" w:rsidP="00FB071F">
            <w:pPr>
              <w:rPr>
                <w:lang w:val="ru-RU"/>
              </w:rPr>
            </w:pPr>
            <w:r w:rsidRPr="008917B2">
              <w:rPr>
                <w:lang w:val="ru-RU"/>
              </w:rPr>
              <w:t>В настоящем документе представлен проект четырехгодичного скользящего Оперативного плана Сектора радиосвязи (МС</w:t>
            </w:r>
            <w:r w:rsidR="00A572E8" w:rsidRPr="008917B2">
              <w:rPr>
                <w:lang w:val="ru-RU"/>
              </w:rPr>
              <w:t>Э-R) на период 201</w:t>
            </w:r>
            <w:r w:rsidR="00FB071F" w:rsidRPr="008917B2">
              <w:rPr>
                <w:lang w:val="ru-RU"/>
              </w:rPr>
              <w:t>8</w:t>
            </w:r>
            <w:r w:rsidR="00A572E8" w:rsidRPr="008917B2">
              <w:rPr>
                <w:lang w:val="ru-RU"/>
              </w:rPr>
              <w:t>–202</w:t>
            </w:r>
            <w:r w:rsidR="00FB071F" w:rsidRPr="008917B2">
              <w:rPr>
                <w:lang w:val="ru-RU"/>
              </w:rPr>
              <w:t>1</w:t>
            </w:r>
            <w:r w:rsidR="00A572E8" w:rsidRPr="008917B2">
              <w:rPr>
                <w:lang w:val="ru-RU"/>
              </w:rPr>
              <w:t> годов.</w:t>
            </w:r>
          </w:p>
          <w:p w:rsidR="00690B52" w:rsidRPr="008917B2" w:rsidRDefault="00690B52" w:rsidP="00A572E8">
            <w:pPr>
              <w:rPr>
                <w:rFonts w:cstheme="minorHAnsi"/>
                <w:lang w:val="ru-RU"/>
              </w:rPr>
            </w:pPr>
            <w:r w:rsidRPr="008917B2">
              <w:rPr>
                <w:lang w:val="ru-RU"/>
              </w:rPr>
              <w:t>Настоящий План публикуется в соответствии с п. </w:t>
            </w:r>
            <w:hyperlink r:id="rId9" w:anchor="cv181a" w:history="1">
              <w:r w:rsidRPr="008917B2">
                <w:rPr>
                  <w:rStyle w:val="Hyperlink"/>
                  <w:rFonts w:cstheme="minorHAnsi"/>
                  <w:lang w:val="ru-RU"/>
                </w:rPr>
                <w:t>181A</w:t>
              </w:r>
            </w:hyperlink>
            <w:r w:rsidRPr="008917B2">
              <w:rPr>
                <w:rFonts w:cstheme="minorHAnsi"/>
                <w:lang w:val="ru-RU"/>
              </w:rPr>
              <w:t xml:space="preserve"> </w:t>
            </w:r>
            <w:hyperlink r:id="rId10" w:anchor="cvart12" w:history="1">
              <w:r w:rsidRPr="008917B2">
                <w:rPr>
                  <w:rStyle w:val="Hyperlink"/>
                  <w:rFonts w:cstheme="minorHAnsi"/>
                  <w:lang w:val="ru-RU"/>
                </w:rPr>
                <w:t xml:space="preserve">Статьи </w:t>
              </w:r>
            </w:hyperlink>
            <w:r w:rsidRPr="008917B2">
              <w:rPr>
                <w:rFonts w:cstheme="minorHAnsi"/>
                <w:color w:val="0000FF"/>
                <w:u w:val="single"/>
                <w:lang w:val="ru-RU"/>
              </w:rPr>
              <w:t>12</w:t>
            </w:r>
            <w:r w:rsidRPr="008917B2">
              <w:rPr>
                <w:lang w:val="ru-RU"/>
              </w:rPr>
              <w:t xml:space="preserve"> Конвенции МСЭ, предусматривающим, что оперативный план деятельности, которая будет проводиться </w:t>
            </w:r>
            <w:r w:rsidRPr="008917B2">
              <w:rPr>
                <w:rFonts w:cstheme="minorHAnsi"/>
                <w:lang w:val="ru-RU"/>
              </w:rPr>
              <w:t>Бюро радиосвязи</w:t>
            </w:r>
            <w:r w:rsidRPr="008917B2">
              <w:rPr>
                <w:lang w:val="ru-RU"/>
              </w:rPr>
              <w:t>, составляется ежегодно на четырехгодичной скользящей основе.</w:t>
            </w:r>
          </w:p>
          <w:p w:rsidR="00690B52" w:rsidRPr="008917B2" w:rsidRDefault="00690B52" w:rsidP="00A572E8">
            <w:pPr>
              <w:pStyle w:val="Headingb"/>
              <w:rPr>
                <w:color w:val="auto"/>
                <w:lang w:val="ru-RU"/>
              </w:rPr>
            </w:pPr>
            <w:r w:rsidRPr="008917B2">
              <w:rPr>
                <w:color w:val="auto"/>
                <w:lang w:val="ru-RU"/>
              </w:rPr>
              <w:t>Необходимые действия</w:t>
            </w:r>
          </w:p>
          <w:p w:rsidR="00690B52" w:rsidRPr="008917B2" w:rsidRDefault="00690B52" w:rsidP="005765C4">
            <w:pPr>
              <w:rPr>
                <w:lang w:val="ru-RU"/>
              </w:rPr>
            </w:pPr>
            <w:r w:rsidRPr="008917B2">
              <w:rPr>
                <w:lang w:val="ru-RU"/>
              </w:rPr>
              <w:t xml:space="preserve">Совету предлагается </w:t>
            </w:r>
            <w:r w:rsidRPr="008917B2">
              <w:rPr>
                <w:b/>
                <w:bCs/>
                <w:lang w:val="ru-RU"/>
              </w:rPr>
              <w:t>рассмотреть</w:t>
            </w:r>
            <w:r w:rsidRPr="008917B2">
              <w:rPr>
                <w:lang w:val="ru-RU"/>
              </w:rPr>
              <w:t xml:space="preserve"> и </w:t>
            </w:r>
            <w:r w:rsidRPr="008917B2">
              <w:rPr>
                <w:b/>
                <w:bCs/>
                <w:lang w:val="ru-RU"/>
              </w:rPr>
              <w:t>утвердить</w:t>
            </w:r>
            <w:r w:rsidRPr="008917B2">
              <w:rPr>
                <w:lang w:val="ru-RU"/>
              </w:rPr>
              <w:t xml:space="preserve"> проект четырехгодичного скользящего Оперативного плана МСЭ-</w:t>
            </w:r>
            <w:r w:rsidR="005765C4" w:rsidRPr="008917B2">
              <w:rPr>
                <w:rFonts w:eastAsiaTheme="minorEastAsia"/>
                <w:lang w:val="ru-RU" w:eastAsia="zh-CN"/>
              </w:rPr>
              <w:t>R на 2018</w:t>
            </w:r>
            <w:r w:rsidRPr="008917B2">
              <w:rPr>
                <w:rFonts w:eastAsiaTheme="minorEastAsia"/>
                <w:lang w:val="ru-RU" w:eastAsia="zh-CN"/>
              </w:rPr>
              <w:t>–202</w:t>
            </w:r>
            <w:r w:rsidR="005765C4" w:rsidRPr="008917B2">
              <w:rPr>
                <w:rFonts w:eastAsiaTheme="minorEastAsia"/>
                <w:lang w:val="ru-RU" w:eastAsia="zh-CN"/>
              </w:rPr>
              <w:t>1</w:t>
            </w:r>
            <w:r w:rsidRPr="008917B2">
              <w:rPr>
                <w:rFonts w:eastAsiaTheme="minorEastAsia"/>
                <w:lang w:val="ru-RU" w:eastAsia="zh-CN"/>
              </w:rPr>
              <w:t xml:space="preserve"> годы и </w:t>
            </w:r>
            <w:r w:rsidRPr="008917B2">
              <w:rPr>
                <w:rFonts w:eastAsiaTheme="minorEastAsia"/>
                <w:b/>
                <w:bCs/>
                <w:lang w:val="ru-RU" w:eastAsia="zh-CN"/>
              </w:rPr>
              <w:t>принять</w:t>
            </w:r>
            <w:r w:rsidRPr="008917B2">
              <w:rPr>
                <w:rFonts w:eastAsiaTheme="minorEastAsia"/>
                <w:lang w:val="ru-RU" w:eastAsia="zh-CN"/>
              </w:rPr>
              <w:t xml:space="preserve"> </w:t>
            </w:r>
            <w:r w:rsidRPr="008917B2">
              <w:rPr>
                <w:lang w:val="ru-RU"/>
              </w:rPr>
              <w:t>проект Резолюции, представленный в</w:t>
            </w:r>
            <w:r w:rsidR="00FB071F" w:rsidRPr="008917B2">
              <w:rPr>
                <w:lang w:val="ru-RU"/>
              </w:rPr>
              <w:t xml:space="preserve"> Документе </w:t>
            </w:r>
            <w:hyperlink r:id="rId11" w:history="1">
              <w:r w:rsidR="00FB071F" w:rsidRPr="008917B2">
                <w:rPr>
                  <w:rStyle w:val="Hyperlink"/>
                  <w:lang w:val="ru-RU"/>
                </w:rPr>
                <w:t>C17/32</w:t>
              </w:r>
            </w:hyperlink>
            <w:r w:rsidRPr="008917B2">
              <w:rPr>
                <w:lang w:val="ru-RU"/>
              </w:rPr>
              <w:t>.</w:t>
            </w:r>
          </w:p>
          <w:p w:rsidR="00690B52" w:rsidRPr="008917B2" w:rsidRDefault="00690B52" w:rsidP="00A572E8">
            <w:pPr>
              <w:jc w:val="center"/>
              <w:rPr>
                <w:caps/>
                <w:lang w:val="ru-RU"/>
              </w:rPr>
            </w:pPr>
            <w:r w:rsidRPr="008917B2">
              <w:rPr>
                <w:caps/>
                <w:lang w:val="ru-RU"/>
              </w:rPr>
              <w:t>____________</w:t>
            </w:r>
          </w:p>
          <w:p w:rsidR="00690B52" w:rsidRPr="008917B2" w:rsidRDefault="00690B52" w:rsidP="00A572E8">
            <w:pPr>
              <w:pStyle w:val="Headingb"/>
              <w:rPr>
                <w:color w:val="auto"/>
                <w:lang w:val="ru-RU"/>
              </w:rPr>
            </w:pPr>
            <w:r w:rsidRPr="008917B2">
              <w:rPr>
                <w:color w:val="auto"/>
                <w:lang w:val="ru-RU"/>
              </w:rPr>
              <w:t>Справочные материалы</w:t>
            </w:r>
          </w:p>
          <w:p w:rsidR="00690B52" w:rsidRPr="008917B2" w:rsidRDefault="005A1AA4" w:rsidP="00E16697">
            <w:pPr>
              <w:spacing w:after="120"/>
              <w:rPr>
                <w:i/>
                <w:iCs/>
                <w:lang w:val="ru-RU"/>
              </w:rPr>
            </w:pPr>
            <w:hyperlink r:id="rId12" w:anchor="cv181a" w:history="1">
              <w:r w:rsidR="00690B52" w:rsidRPr="008917B2">
                <w:rPr>
                  <w:rStyle w:val="Hyperlink"/>
                  <w:i/>
                  <w:iCs/>
                  <w:lang w:val="ru-RU"/>
                </w:rPr>
                <w:t>К</w:t>
              </w:r>
              <w:r w:rsidR="00690B52" w:rsidRPr="008917B2">
                <w:rPr>
                  <w:rStyle w:val="Hyperlink"/>
                  <w:lang w:val="ru-RU"/>
                </w:rPr>
                <w:t>/</w:t>
              </w:r>
              <w:r w:rsidR="00690B52" w:rsidRPr="008917B2">
                <w:rPr>
                  <w:rStyle w:val="Hyperlink"/>
                  <w:i/>
                  <w:iCs/>
                  <w:lang w:val="ru-RU"/>
                </w:rPr>
                <w:t>Ст. 12, п</w:t>
              </w:r>
              <w:r w:rsidR="00BF5A40" w:rsidRPr="008917B2">
                <w:rPr>
                  <w:rStyle w:val="Hyperlink"/>
                  <w:i/>
                  <w:iCs/>
                  <w:lang w:val="ru-RU"/>
                </w:rPr>
                <w:t>.</w:t>
              </w:r>
              <w:r w:rsidR="00690B52" w:rsidRPr="008917B2">
                <w:rPr>
                  <w:rStyle w:val="Hyperlink"/>
                  <w:i/>
                  <w:iCs/>
                  <w:lang w:val="ru-RU"/>
                </w:rPr>
                <w:t xml:space="preserve"> 181A</w:t>
              </w:r>
            </w:hyperlink>
            <w:r w:rsidR="00690B52" w:rsidRPr="008917B2">
              <w:rPr>
                <w:i/>
                <w:iCs/>
                <w:color w:val="0000FF"/>
                <w:u w:val="single"/>
                <w:lang w:val="ru-RU"/>
              </w:rPr>
              <w:br/>
            </w:r>
            <w:hyperlink r:id="rId13" w:history="1">
              <w:r w:rsidR="00690B52" w:rsidRPr="008917B2">
                <w:rPr>
                  <w:rStyle w:val="Hyperlink"/>
                  <w:i/>
                  <w:iCs/>
                  <w:lang w:val="ru-RU"/>
                </w:rPr>
                <w:t>Резолюция 7</w:t>
              </w:r>
              <w:r w:rsidR="00E16697" w:rsidRPr="008917B2">
                <w:rPr>
                  <w:rStyle w:val="Hyperlink"/>
                  <w:i/>
                  <w:iCs/>
                  <w:lang w:val="ru-RU"/>
                </w:rPr>
                <w:t>1</w:t>
              </w:r>
              <w:r w:rsidR="00690B52" w:rsidRPr="008917B2">
                <w:rPr>
                  <w:rStyle w:val="Hyperlink"/>
                  <w:i/>
                  <w:iCs/>
                  <w:lang w:val="ru-RU"/>
                </w:rPr>
                <w:t xml:space="preserve"> (Пересм. Пусан, 2014 г.)</w:t>
              </w:r>
            </w:hyperlink>
            <w:r w:rsidR="00690B52" w:rsidRPr="008917B2">
              <w:rPr>
                <w:i/>
                <w:iCs/>
                <w:color w:val="0000FF"/>
                <w:u w:val="single"/>
                <w:lang w:val="ru-RU"/>
              </w:rPr>
              <w:br/>
            </w:r>
            <w:hyperlink r:id="rId14" w:history="1">
              <w:r w:rsidR="00690B52" w:rsidRPr="008917B2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Резолюция 72 (Пересм. Пусан, 2014 г.)</w:t>
              </w:r>
            </w:hyperlink>
          </w:p>
        </w:tc>
      </w:tr>
    </w:tbl>
    <w:p w:rsidR="00690B52" w:rsidRPr="008917B2" w:rsidRDefault="00690B52" w:rsidP="00F10124">
      <w:pPr>
        <w:rPr>
          <w:rFonts w:ascii="Times New Roman" w:hAnsi="Times New Roman"/>
          <w:lang w:val="ru-RU"/>
        </w:rPr>
      </w:pPr>
      <w:bookmarkStart w:id="3" w:name="dstart"/>
      <w:bookmarkStart w:id="4" w:name="dbreak"/>
      <w:bookmarkEnd w:id="3"/>
      <w:bookmarkEnd w:id="4"/>
    </w:p>
    <w:p w:rsidR="00D20C44" w:rsidRPr="008917B2" w:rsidRDefault="00D20C44" w:rsidP="00F10124">
      <w:pPr>
        <w:rPr>
          <w:rFonts w:ascii="Times New Roman" w:hAnsi="Times New Roman"/>
          <w:lang w:val="ru-RU"/>
        </w:rPr>
        <w:sectPr w:rsidR="00D20C44" w:rsidRPr="008917B2" w:rsidSect="00263BCE">
          <w:headerReference w:type="default" r:id="rId15"/>
          <w:footerReference w:type="default" r:id="rId16"/>
          <w:footerReference w:type="first" r:id="rId17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:rsidR="00D20C44" w:rsidRPr="008917B2" w:rsidRDefault="00D20C44" w:rsidP="00E110D3">
      <w:pPr>
        <w:pStyle w:val="Heading1"/>
        <w:spacing w:before="0"/>
        <w:rPr>
          <w:lang w:val="ru-RU"/>
        </w:rPr>
      </w:pPr>
      <w:r w:rsidRPr="008917B2">
        <w:rPr>
          <w:lang w:val="ru-RU"/>
        </w:rPr>
        <w:lastRenderedPageBreak/>
        <w:t>1</w:t>
      </w:r>
      <w:r w:rsidRPr="008917B2">
        <w:rPr>
          <w:lang w:val="ru-RU"/>
        </w:rPr>
        <w:tab/>
        <w:t>Введение</w:t>
      </w:r>
    </w:p>
    <w:p w:rsidR="00D20C44" w:rsidRPr="008917B2" w:rsidRDefault="00D20C44" w:rsidP="00B716EC">
      <w:pPr>
        <w:rPr>
          <w:lang w:val="ru-RU"/>
        </w:rPr>
      </w:pPr>
      <w:r w:rsidRPr="008917B2">
        <w:rPr>
          <w:lang w:val="ru-RU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B716EC" w:rsidRPr="008917B2">
        <w:rPr>
          <w:lang w:val="ru-RU"/>
        </w:rPr>
        <w:t>21</w:t>
      </w:r>
      <w:r w:rsidRPr="008917B2">
        <w:rPr>
          <w:lang w:val="ru-RU"/>
        </w:rPr>
        <w:t> годы в рамках ограничений, установленных в Финансовом плане на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B716EC" w:rsidRPr="008917B2">
        <w:rPr>
          <w:lang w:val="ru-RU"/>
        </w:rPr>
        <w:t>1</w:t>
      </w:r>
      <w:r w:rsidRPr="008917B2">
        <w:rPr>
          <w:lang w:val="ru-RU"/>
        </w:rPr>
        <w:t>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D20C44" w:rsidRPr="008917B2" w:rsidRDefault="00D20C44" w:rsidP="00F10124">
      <w:pPr>
        <w:rPr>
          <w:lang w:val="ru-RU"/>
        </w:rPr>
      </w:pPr>
      <w:r w:rsidRPr="008917B2">
        <w:rPr>
          <w:lang w:val="ru-RU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D20C44" w:rsidRPr="008917B2" w:rsidRDefault="00D20C44" w:rsidP="00954A76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i)</w:t>
      </w:r>
      <w:r w:rsidRPr="008917B2">
        <w:rPr>
          <w:lang w:val="ru-RU"/>
        </w:rPr>
        <w:tab/>
        <w:t>планами работы департаментов и отделов БР; и</w:t>
      </w:r>
    </w:p>
    <w:p w:rsidR="00D20C44" w:rsidRPr="008917B2" w:rsidRDefault="00D20C44" w:rsidP="00954A76">
      <w:pPr>
        <w:pStyle w:val="enumlev1"/>
        <w:spacing w:before="60" w:after="120"/>
        <w:rPr>
          <w:lang w:val="ru-RU"/>
        </w:rPr>
      </w:pPr>
      <w:r w:rsidRPr="008917B2">
        <w:rPr>
          <w:lang w:val="ru-RU"/>
        </w:rPr>
        <w:t>ii)</w:t>
      </w:r>
      <w:r w:rsidRPr="008917B2">
        <w:rPr>
          <w:lang w:val="ru-RU"/>
        </w:rPr>
        <w:tab/>
        <w:t>соглашениями об уровне обслуживания (СУО) для планирования, контроля и оценки вспомогательных услуг.</w:t>
      </w:r>
    </w:p>
    <w:p w:rsidR="00D20C44" w:rsidRPr="008917B2" w:rsidRDefault="00B716EC" w:rsidP="00F10124">
      <w:pPr>
        <w:pStyle w:val="Figuretitle"/>
        <w:spacing w:after="0"/>
        <w:rPr>
          <w:lang w:val="ru-RU"/>
        </w:rPr>
      </w:pPr>
      <w:r w:rsidRPr="008917B2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284.55pt" o:ole="">
            <v:imagedata r:id="rId18" o:title="" croptop="14698f" cropbottom="1615f" cropleft="4070f" cropright="4009f"/>
          </v:shape>
          <o:OLEObject Type="Embed" ProgID="PowerPoint.Slide.12" ShapeID="_x0000_i1025" DrawAspect="Content" ObjectID="_1555938267" r:id="rId19"/>
        </w:object>
      </w:r>
    </w:p>
    <w:p w:rsidR="00D20C44" w:rsidRPr="008917B2" w:rsidRDefault="00D20C44" w:rsidP="008F2B74">
      <w:pPr>
        <w:pStyle w:val="Figuretitle"/>
        <w:spacing w:before="60" w:after="0"/>
        <w:rPr>
          <w:lang w:val="ru-RU"/>
        </w:rPr>
      </w:pPr>
      <w:r w:rsidRPr="008917B2">
        <w:rPr>
          <w:lang w:val="ru-RU"/>
        </w:rPr>
        <w:t>Рисунок 1: Оперативный план МСЭ-R и стратегическая основа МСЭ на 2016–2019 годы</w:t>
      </w:r>
    </w:p>
    <w:p w:rsidR="00D20C44" w:rsidRPr="008917B2" w:rsidRDefault="00D20C44" w:rsidP="00886A1D">
      <w:pPr>
        <w:pStyle w:val="Heading1"/>
        <w:rPr>
          <w:lang w:val="ru-RU"/>
        </w:rPr>
      </w:pPr>
      <w:r w:rsidRPr="008917B2">
        <w:rPr>
          <w:lang w:val="ru-RU"/>
        </w:rPr>
        <w:lastRenderedPageBreak/>
        <w:t>2</w:t>
      </w:r>
      <w:r w:rsidRPr="008917B2">
        <w:rPr>
          <w:lang w:val="ru-RU"/>
        </w:rPr>
        <w:tab/>
        <w:t>Общие сведения и ключевые приоритеты применительно к Сектору МСЭ-R</w:t>
      </w:r>
    </w:p>
    <w:p w:rsidR="00D20C44" w:rsidRPr="008917B2" w:rsidRDefault="00D20C44" w:rsidP="00B716EC">
      <w:pPr>
        <w:rPr>
          <w:lang w:val="ru-RU"/>
        </w:rPr>
      </w:pPr>
      <w:r w:rsidRPr="008917B2">
        <w:rPr>
          <w:lang w:val="ru-RU"/>
        </w:rPr>
        <w:t>Период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B716EC" w:rsidRPr="008917B2">
        <w:rPr>
          <w:lang w:val="ru-RU"/>
        </w:rPr>
        <w:t>1</w:t>
      </w:r>
      <w:r w:rsidRPr="008917B2">
        <w:rPr>
          <w:lang w:val="ru-RU"/>
        </w:rPr>
        <w:t> годов будет ознаменован выполнением решений АР-15 и ВКР-15, подготовкой к АР-19 и ВКР-19, а также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8917B2">
        <w:rPr>
          <w:lang w:val="ru-RU"/>
        </w:rPr>
        <w:noBreakHyphen/>
        <w:t>R и направлениям вспомогательной деятельности Бюро радиосвязи: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2.1</w:t>
      </w:r>
      <w:r w:rsidRPr="008917B2">
        <w:rPr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</w:r>
      <w:r w:rsidR="00D8629A" w:rsidRPr="008917B2">
        <w:rPr>
          <w:lang w:val="ru-RU"/>
        </w:rPr>
        <w:t xml:space="preserve">Выполнение решений </w:t>
      </w:r>
      <w:r w:rsidRPr="008917B2">
        <w:rPr>
          <w:lang w:val="ru-RU"/>
        </w:rPr>
        <w:t>ВКР-15.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Принятие РРК соответствующих Правил процедуры.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2.2</w:t>
      </w:r>
      <w:r w:rsidRPr="008917B2">
        <w:rPr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B716EC" w:rsidRPr="008917B2" w:rsidRDefault="00B716EC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</w:r>
      <w:r w:rsidRPr="008917B2">
        <w:rPr>
          <w:rFonts w:asciiTheme="minorHAnsi" w:hAnsiTheme="minorHAnsi"/>
          <w:lang w:val="ru-RU"/>
        </w:rPr>
        <w:t xml:space="preserve">Разработка и предоставление Членам МСЭ программных инструментов, касающихся </w:t>
      </w:r>
      <w:r w:rsidRPr="008917B2">
        <w:rPr>
          <w:rFonts w:asciiTheme="minorHAnsi" w:hAnsiTheme="minorHAnsi"/>
          <w:color w:val="000000"/>
          <w:lang w:val="ru-RU"/>
        </w:rPr>
        <w:t xml:space="preserve">применения Регламента радиосвязи и соответствующих Правил </w:t>
      </w:r>
      <w:r w:rsidRPr="008917B2">
        <w:rPr>
          <w:lang w:val="ru-RU"/>
        </w:rPr>
        <w:t>процедуры.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Контроль случаев вредных помех и, в более общем смысле, конфликтных ситуаций, возникающих при совместном использовании ресурсов орбиты/спектра, а также урегулирование этих случаев.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2.3</w:t>
      </w:r>
      <w:r w:rsidRPr="008917B2">
        <w:rPr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 xml:space="preserve">Подготовка к АР-19 и ВКР-19 в исследовательских комиссиях МСЭ-R </w:t>
      </w:r>
      <w:r w:rsidR="00D8629A" w:rsidRPr="008917B2">
        <w:rPr>
          <w:lang w:val="ru-RU"/>
        </w:rPr>
        <w:t xml:space="preserve">при тесном сотрудничестве с </w:t>
      </w:r>
      <w:r w:rsidRPr="008917B2">
        <w:rPr>
          <w:lang w:val="ru-RU"/>
        </w:rPr>
        <w:t>региональны</w:t>
      </w:r>
      <w:r w:rsidR="00D8629A" w:rsidRPr="008917B2">
        <w:rPr>
          <w:lang w:val="ru-RU"/>
        </w:rPr>
        <w:t>ми</w:t>
      </w:r>
      <w:r w:rsidRPr="008917B2">
        <w:rPr>
          <w:lang w:val="ru-RU"/>
        </w:rPr>
        <w:t xml:space="preserve"> группа</w:t>
      </w:r>
      <w:r w:rsidR="00D8629A" w:rsidRPr="008917B2">
        <w:rPr>
          <w:lang w:val="ru-RU"/>
        </w:rPr>
        <w:t>ми, в том числе разработка проектов технических, регламентарных и процедурных текстов для содействия работе ПСК19-2</w:t>
      </w:r>
      <w:r w:rsidRPr="008917B2">
        <w:rPr>
          <w:lang w:val="ru-RU"/>
        </w:rPr>
        <w:t>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 xml:space="preserve">Разработка ключевых </w:t>
      </w:r>
      <w:r w:rsidR="00D8629A" w:rsidRPr="008917B2">
        <w:rPr>
          <w:lang w:val="ru-RU"/>
        </w:rPr>
        <w:t>Рекомендаций</w:t>
      </w:r>
      <w:r w:rsidRPr="008917B2">
        <w:rPr>
          <w:lang w:val="ru-RU"/>
        </w:rPr>
        <w:t xml:space="preserve">, </w:t>
      </w:r>
      <w:r w:rsidR="00D8629A" w:rsidRPr="008917B2">
        <w:rPr>
          <w:lang w:val="ru-RU"/>
        </w:rPr>
        <w:t xml:space="preserve">Отчетов и Справочников, </w:t>
      </w:r>
      <w:r w:rsidRPr="008917B2">
        <w:rPr>
          <w:lang w:val="ru-RU"/>
        </w:rPr>
        <w:t>в частности по радиоинтерфейсу IMT-2020</w:t>
      </w:r>
      <w:r w:rsidR="00D8629A" w:rsidRPr="008917B2">
        <w:rPr>
          <w:lang w:val="ru-RU"/>
        </w:rPr>
        <w:t>,</w:t>
      </w:r>
      <w:r w:rsidRPr="008917B2">
        <w:rPr>
          <w:lang w:val="ru-RU"/>
        </w:rPr>
        <w:t xml:space="preserve"> в тесном сотрудничестве с МСЭ-T</w:t>
      </w:r>
      <w:r w:rsidR="00D8629A" w:rsidRPr="008917B2">
        <w:rPr>
          <w:lang w:val="ru-RU"/>
        </w:rPr>
        <w:t>,</w:t>
      </w:r>
      <w:r w:rsidRPr="008917B2">
        <w:rPr>
          <w:lang w:val="ru-RU"/>
        </w:rPr>
        <w:t xml:space="preserve"> региональными </w:t>
      </w:r>
      <w:r w:rsidR="00D8629A" w:rsidRPr="008917B2">
        <w:rPr>
          <w:lang w:val="ru-RU"/>
        </w:rPr>
        <w:t>организациями и другими органами по разработке стандартов</w:t>
      </w:r>
      <w:r w:rsidRPr="008917B2">
        <w:rPr>
          <w:lang w:val="ru-RU"/>
        </w:rPr>
        <w:t>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2.4</w:t>
      </w:r>
      <w:r w:rsidRPr="008917B2">
        <w:rPr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lastRenderedPageBreak/>
        <w:t>•</w:t>
      </w:r>
      <w:r w:rsidRPr="008917B2">
        <w:rPr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D20C44" w:rsidRPr="008917B2" w:rsidRDefault="00D20C44" w:rsidP="0088044F">
      <w:pPr>
        <w:pStyle w:val="enumlev2"/>
        <w:spacing w:before="60"/>
        <w:rPr>
          <w:lang w:val="ru-RU"/>
        </w:rPr>
      </w:pPr>
      <w:r w:rsidRPr="008917B2">
        <w:rPr>
          <w:lang w:val="ru-RU"/>
        </w:rPr>
        <w:t>−</w:t>
      </w:r>
      <w:r w:rsidRPr="008917B2">
        <w:rPr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D20C44" w:rsidRPr="008917B2" w:rsidRDefault="00D20C44" w:rsidP="008467A2">
      <w:pPr>
        <w:pStyle w:val="enumlev2"/>
        <w:spacing w:before="60"/>
        <w:rPr>
          <w:lang w:val="ru-RU"/>
        </w:rPr>
      </w:pPr>
      <w:r w:rsidRPr="008917B2">
        <w:rPr>
          <w:lang w:val="ru-RU"/>
        </w:rPr>
        <w:t>−</w:t>
      </w:r>
      <w:r w:rsidRPr="008917B2">
        <w:rPr>
          <w:lang w:val="ru-RU"/>
        </w:rPr>
        <w:tab/>
        <w:t xml:space="preserve"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</w:t>
      </w:r>
      <w:r w:rsidR="008467A2">
        <w:rPr>
          <w:lang w:val="ru-RU"/>
        </w:rPr>
        <w:t>использованием</w:t>
      </w:r>
      <w:r w:rsidRPr="008917B2">
        <w:rPr>
          <w:lang w:val="ru-RU"/>
        </w:rPr>
        <w:t xml:space="preserve"> цифрового дивиденда.</w:t>
      </w:r>
    </w:p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2.5</w:t>
      </w:r>
      <w:r w:rsidRPr="008917B2">
        <w:rPr>
          <w:lang w:val="ru-RU"/>
        </w:rPr>
        <w:tab/>
        <w:t>Вспомогательная деятельность Бюро радиосвязи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D20C44" w:rsidRPr="008917B2" w:rsidRDefault="00D20C44" w:rsidP="0088044F">
      <w:pPr>
        <w:pStyle w:val="enumlev1"/>
        <w:spacing w:before="60"/>
        <w:rPr>
          <w:lang w:val="ru-RU"/>
        </w:rPr>
      </w:pPr>
      <w:r w:rsidRPr="008917B2">
        <w:rPr>
          <w:lang w:val="ru-RU"/>
        </w:rPr>
        <w:t>•</w:t>
      </w:r>
      <w:r w:rsidRPr="008917B2">
        <w:rPr>
          <w:lang w:val="ru-RU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D20C44" w:rsidRPr="008917B2" w:rsidRDefault="00D20C44" w:rsidP="0088044F">
      <w:pPr>
        <w:pStyle w:val="Heading1"/>
        <w:rPr>
          <w:lang w:val="ru-RU"/>
        </w:rPr>
      </w:pPr>
      <w:r w:rsidRPr="008917B2">
        <w:rPr>
          <w:lang w:val="ru-RU"/>
        </w:rPr>
        <w:t>3</w:t>
      </w:r>
      <w:r w:rsidRPr="008917B2">
        <w:rPr>
          <w:lang w:val="ru-RU"/>
        </w:rPr>
        <w:tab/>
        <w:t>Структура результатов деятельности МСЭ-R на 201</w:t>
      </w:r>
      <w:r w:rsidR="00B716EC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B716EC" w:rsidRPr="008917B2">
        <w:rPr>
          <w:lang w:val="ru-RU"/>
        </w:rPr>
        <w:t>1</w:t>
      </w:r>
      <w:r w:rsidRPr="008917B2">
        <w:rPr>
          <w:lang w:val="ru-RU"/>
        </w:rPr>
        <w:t xml:space="preserve"> годы</w:t>
      </w:r>
    </w:p>
    <w:p w:rsidR="00D20C44" w:rsidRPr="008917B2" w:rsidRDefault="00D20C44" w:rsidP="0088044F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3.1</w:t>
      </w:r>
      <w:r w:rsidRPr="008917B2">
        <w:rPr>
          <w:lang w:val="ru-RU"/>
        </w:rPr>
        <w:tab/>
        <w:t>Увязка со стратегическими целями МСЭ</w:t>
      </w:r>
      <w:r w:rsidRPr="008917B2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"/>
        <w:tblW w:w="14596" w:type="dxa"/>
        <w:tblLook w:val="04A0" w:firstRow="1" w:lastRow="0" w:firstColumn="1" w:lastColumn="0" w:noHBand="0" w:noVBand="1"/>
      </w:tblPr>
      <w:tblGrid>
        <w:gridCol w:w="8500"/>
        <w:gridCol w:w="1438"/>
        <w:gridCol w:w="1438"/>
        <w:gridCol w:w="1438"/>
        <w:gridCol w:w="1782"/>
      </w:tblGrid>
      <w:tr w:rsidR="00D20C44" w:rsidRPr="008917B2" w:rsidTr="003F7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Задачи МСЭ-R</w:t>
            </w:r>
          </w:p>
        </w:tc>
        <w:tc>
          <w:tcPr>
            <w:tcW w:w="1438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 xml:space="preserve">Цель 1: </w:t>
            </w:r>
            <w:r w:rsidRPr="008917B2">
              <w:rPr>
                <w:b/>
                <w:sz w:val="18"/>
                <w:szCs w:val="18"/>
                <w:lang w:val="ru-RU"/>
              </w:rPr>
              <w:br/>
              <w:t>Рост</w:t>
            </w:r>
          </w:p>
        </w:tc>
        <w:tc>
          <w:tcPr>
            <w:tcW w:w="1438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438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782" w:type="dxa"/>
            <w:vAlign w:val="center"/>
          </w:tcPr>
          <w:p w:rsidR="00D20C44" w:rsidRPr="008917B2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8917B2">
              <w:rPr>
                <w:b/>
                <w:sz w:val="18"/>
                <w:szCs w:val="18"/>
                <w:lang w:val="ru-RU"/>
              </w:rPr>
              <w:t>Цель 4: Инновации и партнерство</w:t>
            </w:r>
          </w:p>
        </w:tc>
      </w:tr>
      <w:tr w:rsidR="00D20C44" w:rsidRPr="008917B2" w:rsidTr="003F7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8917B2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Рационально, справедливо, эффективно, экономично и своевременно</w:t>
            </w:r>
            <w:r w:rsidRPr="008917B2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8917B2" w:rsidTr="003F7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8917B2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8917B2" w:rsidTr="003F7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8917B2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ab/>
              <w:t>Способствовать приобретению и совместному использованию знаний и ноу-хау в области радиосвязи</w:t>
            </w:r>
            <w:r w:rsidRPr="008917B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</w:tbl>
    <w:p w:rsidR="00D20C44" w:rsidRPr="008917B2" w:rsidRDefault="00D20C44" w:rsidP="00886A1D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lastRenderedPageBreak/>
        <w:t>3.2</w:t>
      </w:r>
      <w:r w:rsidRPr="008917B2">
        <w:rPr>
          <w:lang w:val="ru-RU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"/>
        <w:tblW w:w="14596" w:type="dxa"/>
        <w:tblLook w:val="04A0" w:firstRow="1" w:lastRow="0" w:firstColumn="1" w:lastColumn="0" w:noHBand="0" w:noVBand="1"/>
      </w:tblPr>
      <w:tblGrid>
        <w:gridCol w:w="698"/>
        <w:gridCol w:w="4826"/>
        <w:gridCol w:w="5670"/>
        <w:gridCol w:w="3402"/>
      </w:tblGrid>
      <w:tr w:rsidR="00D20C44" w:rsidRPr="005A1AA4" w:rsidTr="00540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D20C44" w:rsidRPr="008917B2" w:rsidRDefault="00D20C44" w:rsidP="00F10124">
            <w:pPr>
              <w:pStyle w:val="Tabletext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4826" w:type="dxa"/>
          </w:tcPr>
          <w:p w:rsidR="00D20C44" w:rsidRPr="008917B2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R.1:  Рационально,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670" w:type="dxa"/>
          </w:tcPr>
          <w:p w:rsidR="00D20C44" w:rsidRPr="008917B2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R.2:  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402" w:type="dxa"/>
          </w:tcPr>
          <w:p w:rsidR="00D20C44" w:rsidRPr="008917B2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R.3:  Способствовать приобретению и совместному использованию знаний и ноу-хау в области радиосвязи</w:t>
            </w:r>
          </w:p>
        </w:tc>
      </w:tr>
      <w:tr w:rsidR="00D20C44" w:rsidRPr="005A1AA4" w:rsidTr="0054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D20C44" w:rsidRPr="008917B2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4826" w:type="dxa"/>
            <w:shd w:val="clear" w:color="auto" w:fill="auto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МСРЧ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sz w:val="18"/>
                <w:szCs w:val="18"/>
                <w:lang w:val="ru-RU"/>
              </w:rPr>
              <w:t xml:space="preserve">: Бóльшая процентная доля стран, которые завершили переход к цифровому наземному телевизионному радиовещанию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sz w:val="18"/>
                <w:szCs w:val="18"/>
                <w:lang w:val="ru-RU"/>
              </w:rPr>
              <w:t xml:space="preserve">: Бóльшая процентная доля спектра, присвоенного спутниковым сетям, который свободен от вредных помех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 вредных помех</w:t>
            </w:r>
          </w:p>
        </w:tc>
        <w:tc>
          <w:tcPr>
            <w:tcW w:w="5670" w:type="dxa"/>
            <w:shd w:val="clear" w:color="auto" w:fill="auto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917B2">
              <w:rPr>
                <w:sz w:val="18"/>
                <w:szCs w:val="18"/>
                <w:lang w:val="ru-RU"/>
              </w:rPr>
              <w:t xml:space="preserve">: Меньший размер корзины цен на услуги подвижной широкополосной связи, выраженный в процентах от валового национального дохода (ВНД) на душу населения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8917B2">
              <w:rPr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8917B2">
              <w:rPr>
                <w:sz w:val="18"/>
                <w:szCs w:val="18"/>
                <w:lang w:val="ru-RU"/>
              </w:rPr>
              <w:t>: Число работающих спутниковых ретрансляторов (эквивалент 36 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8917B2">
              <w:rPr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8917B2">
              <w:rPr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402" w:type="dxa"/>
            <w:shd w:val="clear" w:color="auto" w:fill="auto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sz w:val="18"/>
                <w:szCs w:val="18"/>
                <w:lang w:val="ru-RU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sz w:val="18"/>
                <w:szCs w:val="18"/>
                <w:lang w:val="ru-RU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D20C44" w:rsidRPr="005A1AA4" w:rsidTr="00540BE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D20C44" w:rsidRPr="008917B2" w:rsidRDefault="00D20C44" w:rsidP="008F2B74">
            <w:pPr>
              <w:pStyle w:val="Tablehead"/>
              <w:pageBreakBefore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lastRenderedPageBreak/>
              <w:t>Намеченные результаты</w:t>
            </w:r>
          </w:p>
        </w:tc>
        <w:tc>
          <w:tcPr>
            <w:tcW w:w="4826" w:type="dxa"/>
            <w:shd w:val="clear" w:color="auto" w:fill="auto"/>
          </w:tcPr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Правила процедуры, принятые Радиорегламентарным комитетом (РРК)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5670" w:type="dxa"/>
            <w:shd w:val="clear" w:color="auto" w:fill="auto"/>
          </w:tcPr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Решения Ассамблеи радиосвязи, Резолюции МСЭ-R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Рекомендации, Отчеты (включая отчет ПСК) и Справочники МСЭ</w:t>
            </w:r>
            <w:r w:rsidRPr="008917B2">
              <w:rPr>
                <w:sz w:val="18"/>
                <w:szCs w:val="18"/>
                <w:lang w:val="ru-RU"/>
              </w:rPr>
              <w:noBreakHyphen/>
              <w:t>R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402" w:type="dxa"/>
            <w:shd w:val="clear" w:color="auto" w:fill="auto"/>
          </w:tcPr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Помощь членам Союза, в частности развивающимся странам и НРС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D20C44" w:rsidRPr="008917B2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</w:tr>
      <w:tr w:rsidR="00D20C44" w:rsidRPr="005A1AA4" w:rsidTr="00B71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D20C44" w:rsidRPr="008917B2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3898" w:type="dxa"/>
            <w:gridSpan w:val="3"/>
            <w:shd w:val="clear" w:color="auto" w:fill="auto"/>
            <w:vAlign w:val="center"/>
          </w:tcPr>
          <w:p w:rsidR="00D20C44" w:rsidRPr="008917B2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D20C44" w:rsidRPr="008917B2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D20C44" w:rsidRPr="008917B2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D20C44" w:rsidRPr="008917B2" w:rsidRDefault="00D20C44" w:rsidP="00F10124">
      <w:pPr>
        <w:rPr>
          <w:lang w:val="ru-RU"/>
        </w:rPr>
      </w:pPr>
      <w:r w:rsidRPr="008917B2">
        <w:rPr>
          <w:lang w:val="ru-RU"/>
        </w:rPr>
        <w:br w:type="page"/>
      </w:r>
    </w:p>
    <w:p w:rsidR="00D20C44" w:rsidRPr="008917B2" w:rsidRDefault="00D20C44" w:rsidP="00540BE1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lastRenderedPageBreak/>
        <w:t>3.3</w:t>
      </w:r>
      <w:r w:rsidRPr="008917B2">
        <w:rPr>
          <w:lang w:val="ru-RU"/>
        </w:rPr>
        <w:tab/>
        <w:t>Распределение ресурсов между задачами и намеченными результатами деятельности МСЭ-R на 201</w:t>
      </w:r>
      <w:r w:rsidR="00540BE1" w:rsidRPr="008917B2">
        <w:rPr>
          <w:lang w:val="ru-RU"/>
        </w:rPr>
        <w:t>8</w:t>
      </w:r>
      <w:r w:rsidRPr="008917B2">
        <w:rPr>
          <w:lang w:val="ru-RU"/>
        </w:rPr>
        <w:t>−20</w:t>
      </w:r>
      <w:r w:rsidR="00D8629A" w:rsidRPr="008917B2">
        <w:rPr>
          <w:lang w:val="ru-RU"/>
        </w:rPr>
        <w:t>2</w:t>
      </w:r>
      <w:r w:rsidR="00540BE1" w:rsidRPr="008917B2">
        <w:rPr>
          <w:lang w:val="ru-RU"/>
        </w:rPr>
        <w:t>1</w:t>
      </w:r>
      <w:r w:rsidRPr="008917B2">
        <w:rPr>
          <w:lang w:val="ru-RU"/>
        </w:rPr>
        <w:t>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540BE1" w:rsidRPr="005A1AA4" w:rsidTr="00EE42F7">
        <w:tc>
          <w:tcPr>
            <w:tcW w:w="7230" w:type="dxa"/>
            <w:vMerge w:val="restart"/>
          </w:tcPr>
          <w:p w:rsidR="00540BE1" w:rsidRPr="008917B2" w:rsidRDefault="00540BE1" w:rsidP="00EE42F7">
            <w:pPr>
              <w:spacing w:before="40" w:after="40"/>
              <w:rPr>
                <w:rFonts w:eastAsiaTheme="minorHAnsi" w:cstheme="minorBidi"/>
                <w:color w:val="4F81BD" w:themeColor="accent1"/>
                <w:szCs w:val="22"/>
                <w:lang w:val="ru-RU" w:eastAsia="zh-CN"/>
              </w:rPr>
            </w:pPr>
            <w:r w:rsidRPr="008917B2">
              <w:rPr>
                <w:rFonts w:eastAsia="Calibri" w:cs="Arial"/>
                <w:noProof/>
                <w:color w:val="4F81BD"/>
                <w:lang w:eastAsia="zh-CN"/>
              </w:rPr>
              <w:drawing>
                <wp:inline distT="0" distB="0" distL="0" distR="0" wp14:anchorId="40F7F064" wp14:editId="02CE0F76">
                  <wp:extent cx="4453890" cy="2672080"/>
                  <wp:effectExtent l="0" t="0" r="3810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80" w:after="80"/>
              <w:rPr>
                <w:rFonts w:eastAsiaTheme="minorHAnsi" w:cstheme="minorBidi"/>
                <w:b/>
                <w:color w:val="4F81BD" w:themeColor="accent1"/>
                <w:szCs w:val="22"/>
                <w:lang w:val="ru-RU" w:eastAsia="zh-CN"/>
              </w:rPr>
            </w:pPr>
            <w:r w:rsidRPr="008917B2">
              <w:rPr>
                <w:rFonts w:eastAsiaTheme="minorHAnsi" w:cstheme="minorBidi"/>
                <w:b/>
                <w:color w:val="4F81BD" w:themeColor="accent1"/>
                <w:szCs w:val="22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20" w:after="20"/>
              <w:jc w:val="center"/>
              <w:rPr>
                <w:rFonts w:cs="Times New Roman Bold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20" w:after="20"/>
              <w:ind w:left="-57" w:right="-57"/>
              <w:jc w:val="center"/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8917B2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40BE1" w:rsidRPr="008917B2" w:rsidRDefault="00540BE1" w:rsidP="00EE42F7">
            <w:pPr>
              <w:spacing w:before="20" w:after="20"/>
              <w:ind w:left="-57" w:right="-57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8917B2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8,8%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0,5%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0,8%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Правила процедуры, принятые Радиорегламентарным комитетом (РРК)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2,0%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3,3%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24,4%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39,9%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12,1%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19,8%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Решения РРК,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2,0%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3,3%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12,4%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20,2%</w:t>
            </w:r>
          </w:p>
        </w:tc>
      </w:tr>
      <w:tr w:rsidR="00540BE1" w:rsidRPr="008917B2" w:rsidTr="00EE42F7">
        <w:tc>
          <w:tcPr>
            <w:tcW w:w="7230" w:type="dxa"/>
            <w:vMerge w:val="restart"/>
          </w:tcPr>
          <w:p w:rsidR="00540BE1" w:rsidRPr="008917B2" w:rsidRDefault="00540BE1" w:rsidP="00540BE1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TableGrid1"/>
              <w:tblW w:w="708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540BE1" w:rsidRPr="008917B2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8917B2" w:rsidRDefault="00540BE1" w:rsidP="00EE42F7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R.1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ab/>
                    <w:t>Рационально, справедливо, эффективно, экономично и своевременно</w:t>
                  </w:r>
                  <w:r w:rsidRPr="008917B2">
                    <w:rPr>
                      <w:rFonts w:eastAsia="Calibri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8917B2" w:rsidRDefault="00540BE1" w:rsidP="00EE42F7">
                  <w:pPr>
                    <w:spacing w:before="40" w:after="4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sz w:val="18"/>
                      <w:szCs w:val="18"/>
                      <w:lang w:val="ru-RU"/>
                    </w:rPr>
                    <w:t>61%</w:t>
                  </w:r>
                </w:p>
              </w:tc>
            </w:tr>
            <w:tr w:rsidR="00540BE1" w:rsidRPr="008917B2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8917B2" w:rsidRDefault="00540BE1" w:rsidP="00EE42F7">
                  <w:pPr>
                    <w:tabs>
                      <w:tab w:val="left" w:pos="459"/>
                    </w:tabs>
                    <w:spacing w:before="40" w:after="4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R.2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ab/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8917B2" w:rsidRDefault="00540BE1" w:rsidP="00EE42F7">
                  <w:pPr>
                    <w:spacing w:before="40" w:after="4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sz w:val="18"/>
                      <w:szCs w:val="18"/>
                      <w:lang w:val="ru-RU"/>
                    </w:rPr>
                    <w:t>14%</w:t>
                  </w:r>
                </w:p>
              </w:tc>
            </w:tr>
            <w:tr w:rsidR="00540BE1" w:rsidRPr="008917B2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8917B2" w:rsidRDefault="00540BE1" w:rsidP="00EE42F7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R.3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917B2">
                    <w:rPr>
                      <w:sz w:val="18"/>
                      <w:szCs w:val="18"/>
                      <w:lang w:val="ru-RU"/>
                    </w:rPr>
                    <w:tab/>
                    <w:t>Способствовать приобретению и совместному использованию знаний и ноу-хау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8917B2" w:rsidRDefault="00540BE1" w:rsidP="00EE42F7">
                  <w:pPr>
                    <w:spacing w:before="60" w:after="6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917B2">
                    <w:rPr>
                      <w:b/>
                      <w:bCs/>
                      <w:sz w:val="18"/>
                      <w:szCs w:val="18"/>
                      <w:lang w:val="ru-RU"/>
                    </w:rPr>
                    <w:t>25%</w:t>
                  </w:r>
                </w:p>
              </w:tc>
            </w:tr>
          </w:tbl>
          <w:p w:rsidR="00540BE1" w:rsidRPr="008917B2" w:rsidRDefault="00540BE1" w:rsidP="00EE42F7">
            <w:pPr>
              <w:spacing w:before="60" w:after="60"/>
              <w:ind w:right="34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17,4%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9,1%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65,6%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1,8%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13,3%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12,4%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49,4%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3,9%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15,7%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2,3%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9,1%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5,5%</w:t>
            </w:r>
          </w:p>
        </w:tc>
        <w:tc>
          <w:tcPr>
            <w:tcW w:w="980" w:type="dxa"/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22,0%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sz w:val="18"/>
                <w:szCs w:val="18"/>
                <w:lang w:val="ru-RU"/>
              </w:rPr>
              <w:t>:</w:t>
            </w:r>
            <w:r w:rsidRPr="008917B2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</w:t>
            </w:r>
            <w:r w:rsidRPr="008917B2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1,5%</w:t>
            </w:r>
          </w:p>
        </w:tc>
      </w:tr>
      <w:tr w:rsidR="00540BE1" w:rsidRPr="008917B2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sz w:val="18"/>
                <w:szCs w:val="18"/>
                <w:lang w:val="ru-RU"/>
              </w:rPr>
              <w:t>: Решения и Резолюции Совета, а также результаты, полученные рабочими группами Совета</w:t>
            </w:r>
            <w:r w:rsidRPr="008917B2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2,2%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540BE1" w:rsidRPr="008917B2" w:rsidRDefault="00540BE1" w:rsidP="00EE42F7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2,2%</w:t>
            </w:r>
          </w:p>
        </w:tc>
      </w:tr>
      <w:tr w:rsidR="00540BE1" w:rsidRPr="005A1AA4" w:rsidTr="00EE42F7">
        <w:tc>
          <w:tcPr>
            <w:tcW w:w="7230" w:type="dxa"/>
            <w:vMerge/>
          </w:tcPr>
          <w:p w:rsidR="00540BE1" w:rsidRPr="008917B2" w:rsidRDefault="00540BE1" w:rsidP="00EE42F7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540BE1" w:rsidRPr="008917B2" w:rsidRDefault="00540BE1" w:rsidP="00EE42F7">
            <w:pPr>
              <w:tabs>
                <w:tab w:val="left" w:pos="284"/>
              </w:tabs>
              <w:spacing w:before="30" w:after="30"/>
              <w:ind w:left="284" w:hanging="284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  <w:r w:rsidRPr="008917B2">
              <w:rPr>
                <w:sz w:val="18"/>
                <w:szCs w:val="18"/>
                <w:lang w:val="ru-RU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D20C44" w:rsidRPr="008917B2" w:rsidRDefault="00D20C44" w:rsidP="00886A1D">
      <w:pPr>
        <w:pStyle w:val="Heading1"/>
        <w:rPr>
          <w:lang w:val="ru-RU"/>
        </w:rPr>
      </w:pPr>
      <w:r w:rsidRPr="008917B2">
        <w:rPr>
          <w:lang w:val="ru-RU"/>
        </w:rPr>
        <w:lastRenderedPageBreak/>
        <w:t>4</w:t>
      </w:r>
      <w:r w:rsidRPr="008917B2">
        <w:rPr>
          <w:lang w:val="ru-RU"/>
        </w:rPr>
        <w:tab/>
        <w:t>Анализ рисков</w:t>
      </w:r>
    </w:p>
    <w:p w:rsidR="00D20C44" w:rsidRPr="008917B2" w:rsidRDefault="00D20C44" w:rsidP="00F10124">
      <w:pPr>
        <w:spacing w:after="120"/>
        <w:rPr>
          <w:lang w:val="ru-RU"/>
        </w:rPr>
      </w:pPr>
      <w:r w:rsidRPr="008917B2">
        <w:rPr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"/>
        <w:tblW w:w="14567" w:type="dxa"/>
        <w:tblLook w:val="04A0" w:firstRow="1" w:lastRow="0" w:firstColumn="1" w:lastColumn="0" w:noHBand="0" w:noVBand="1"/>
      </w:tblPr>
      <w:tblGrid>
        <w:gridCol w:w="2121"/>
        <w:gridCol w:w="4537"/>
        <w:gridCol w:w="1488"/>
        <w:gridCol w:w="1488"/>
        <w:gridCol w:w="4933"/>
      </w:tblGrid>
      <w:tr w:rsidR="00D20C44" w:rsidRPr="008917B2" w:rsidTr="00540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20C44" w:rsidRPr="008917B2" w:rsidRDefault="00D20C44" w:rsidP="008F2B7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Предмет анализа рисков</w:t>
            </w:r>
          </w:p>
        </w:tc>
        <w:tc>
          <w:tcPr>
            <w:tcW w:w="4537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488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488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4933" w:type="dxa"/>
            <w:vAlign w:val="center"/>
          </w:tcPr>
          <w:p w:rsidR="00D20C44" w:rsidRPr="008917B2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917B2">
              <w:rPr>
                <w:b/>
                <w:bCs w:val="0"/>
                <w:sz w:val="18"/>
                <w:szCs w:val="18"/>
                <w:lang w:val="ru-RU"/>
              </w:rPr>
              <w:t>Меры смягчения последствий</w:t>
            </w:r>
            <w:r w:rsidRPr="008917B2">
              <w:rPr>
                <w:rStyle w:val="FootnoteReference"/>
                <w:szCs w:val="16"/>
                <w:lang w:val="ru-RU"/>
              </w:rPr>
              <w:footnoteReference w:id="2"/>
            </w:r>
          </w:p>
        </w:tc>
      </w:tr>
      <w:tr w:rsidR="00D20C44" w:rsidRPr="005A1AA4" w:rsidTr="0054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D20C44" w:rsidRPr="008917B2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537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a)</w:t>
            </w:r>
            <w:r w:rsidRPr="008917B2">
              <w:rPr>
                <w:sz w:val="18"/>
                <w:szCs w:val="18"/>
                <w:lang w:val="ru-RU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b)</w:t>
            </w:r>
            <w:r w:rsidRPr="008917B2">
              <w:rPr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33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D20C44" w:rsidRPr="005A1AA4" w:rsidTr="00540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D20C44" w:rsidRPr="008917B2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4537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c)</w:t>
            </w:r>
            <w:r w:rsidRPr="008917B2">
              <w:rPr>
                <w:sz w:val="18"/>
                <w:szCs w:val="18"/>
                <w:lang w:val="ru-RU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20C44" w:rsidRPr="008917B2" w:rsidRDefault="00D20C44" w:rsidP="0043572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</w:t>
            </w:r>
            <w:r w:rsidR="00435720" w:rsidRPr="008917B2">
              <w:rPr>
                <w:sz w:val="18"/>
                <w:szCs w:val="18"/>
                <w:lang w:val="ru-RU"/>
              </w:rPr>
              <w:t>мирных и региональных семинаров</w:t>
            </w:r>
            <w:r w:rsidR="00D27970" w:rsidRPr="008917B2">
              <w:rPr>
                <w:sz w:val="18"/>
                <w:szCs w:val="18"/>
                <w:lang w:val="ru-RU"/>
              </w:rPr>
              <w:t>,</w:t>
            </w:r>
            <w:r w:rsidR="00435720" w:rsidRPr="008917B2">
              <w:rPr>
                <w:sz w:val="18"/>
                <w:szCs w:val="18"/>
                <w:lang w:val="ru-RU"/>
              </w:rPr>
              <w:t xml:space="preserve"> других соответствующих мероприятий.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D20C44" w:rsidRPr="008917B2" w:rsidRDefault="00D20C44" w:rsidP="00D2797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</w:r>
            <w:r w:rsidR="00435720" w:rsidRPr="008917B2">
              <w:rPr>
                <w:sz w:val="18"/>
                <w:szCs w:val="18"/>
                <w:lang w:val="ru-RU"/>
              </w:rPr>
              <w:t>Д</w:t>
            </w:r>
            <w:r w:rsidRPr="008917B2">
              <w:rPr>
                <w:sz w:val="18"/>
                <w:szCs w:val="18"/>
                <w:lang w:val="ru-RU"/>
              </w:rPr>
              <w:t>онесение и информирование о</w:t>
            </w:r>
            <w:r w:rsidR="00435720" w:rsidRPr="008917B2">
              <w:rPr>
                <w:sz w:val="18"/>
                <w:szCs w:val="18"/>
                <w:lang w:val="ru-RU"/>
              </w:rPr>
              <w:t xml:space="preserve"> случаях вредных помех и содействие в их урегулировании в соответствии с распоряжениями Директора Бюро</w:t>
            </w:r>
            <w:r w:rsidR="00D27970" w:rsidRPr="008917B2">
              <w:rPr>
                <w:sz w:val="18"/>
                <w:szCs w:val="18"/>
                <w:lang w:val="ru-RU"/>
              </w:rPr>
              <w:t>, содержащимися в</w:t>
            </w:r>
            <w:r w:rsidR="00435720" w:rsidRPr="008917B2">
              <w:rPr>
                <w:sz w:val="18"/>
                <w:szCs w:val="18"/>
                <w:lang w:val="ru-RU"/>
              </w:rPr>
              <w:t xml:space="preserve"> </w:t>
            </w:r>
            <w:r w:rsidRPr="008917B2">
              <w:rPr>
                <w:sz w:val="18"/>
                <w:szCs w:val="18"/>
                <w:lang w:val="ru-RU"/>
              </w:rPr>
              <w:t>Резолюци</w:t>
            </w:r>
            <w:r w:rsidR="00D27970" w:rsidRPr="008917B2">
              <w:rPr>
                <w:sz w:val="18"/>
                <w:szCs w:val="18"/>
                <w:lang w:val="ru-RU"/>
              </w:rPr>
              <w:t>и</w:t>
            </w:r>
            <w:r w:rsidRPr="008917B2">
              <w:rPr>
                <w:sz w:val="18"/>
                <w:szCs w:val="18"/>
                <w:lang w:val="ru-RU"/>
              </w:rPr>
              <w:t xml:space="preserve"> 186 (Пусан, 2014 г.).</w:t>
            </w:r>
          </w:p>
        </w:tc>
      </w:tr>
      <w:tr w:rsidR="00D20C44" w:rsidRPr="005A1AA4" w:rsidTr="0054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D20C44" w:rsidRPr="008917B2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537" w:type="dxa"/>
          </w:tcPr>
          <w:p w:rsidR="00D20C44" w:rsidRPr="008917B2" w:rsidRDefault="00D20C4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488" w:type="dxa"/>
          </w:tcPr>
          <w:p w:rsidR="00D20C44" w:rsidRPr="008917B2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D20C44" w:rsidRPr="008917B2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−</w:t>
            </w:r>
            <w:r w:rsidRPr="008917B2">
              <w:rPr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D20C44" w:rsidRPr="008917B2" w:rsidRDefault="00D20C44" w:rsidP="004853FB">
      <w:pPr>
        <w:pStyle w:val="Heading1"/>
        <w:rPr>
          <w:lang w:val="ru-RU"/>
        </w:rPr>
      </w:pPr>
      <w:r w:rsidRPr="008917B2">
        <w:rPr>
          <w:lang w:val="ru-RU"/>
        </w:rPr>
        <w:lastRenderedPageBreak/>
        <w:t>5</w:t>
      </w:r>
      <w:r w:rsidRPr="008917B2">
        <w:rPr>
          <w:lang w:val="ru-RU"/>
        </w:rPr>
        <w:tab/>
        <w:t>Задачи, конечные результаты и намеченные результаты деятельности МСЭ-R на 201</w:t>
      </w:r>
      <w:r w:rsidR="004853FB" w:rsidRPr="008917B2">
        <w:rPr>
          <w:lang w:val="ru-RU"/>
        </w:rPr>
        <w:t>8</w:t>
      </w:r>
      <w:r w:rsidRPr="008917B2">
        <w:rPr>
          <w:lang w:val="ru-RU"/>
        </w:rPr>
        <w:t>–20</w:t>
      </w:r>
      <w:r w:rsidR="00F75AFE" w:rsidRPr="008917B2">
        <w:rPr>
          <w:lang w:val="ru-RU"/>
        </w:rPr>
        <w:t>2</w:t>
      </w:r>
      <w:r w:rsidR="004853FB" w:rsidRPr="008917B2">
        <w:rPr>
          <w:lang w:val="ru-RU"/>
        </w:rPr>
        <w:t>1</w:t>
      </w:r>
      <w:r w:rsidRPr="008917B2">
        <w:rPr>
          <w:lang w:val="ru-RU"/>
        </w:rPr>
        <w:t xml:space="preserve"> годы</w:t>
      </w:r>
    </w:p>
    <w:p w:rsidR="00D20C44" w:rsidRPr="008917B2" w:rsidRDefault="00D20C44" w:rsidP="00F10124">
      <w:pPr>
        <w:spacing w:line="240" w:lineRule="exact"/>
        <w:rPr>
          <w:lang w:val="ru-RU"/>
        </w:rPr>
      </w:pPr>
      <w:r w:rsidRPr="008917B2">
        <w:rPr>
          <w:lang w:val="ru-RU"/>
        </w:rPr>
        <w:t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межсекторальных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D20C44" w:rsidRPr="008917B2" w:rsidRDefault="00D20C44" w:rsidP="00FB041F">
      <w:pPr>
        <w:pStyle w:val="Heading2"/>
        <w:spacing w:after="120"/>
        <w:rPr>
          <w:lang w:val="ru-RU"/>
        </w:rPr>
      </w:pPr>
      <w:r w:rsidRPr="008917B2">
        <w:rPr>
          <w:lang w:val="ru-RU"/>
        </w:rPr>
        <w:t>5.1</w:t>
      </w:r>
      <w:r w:rsidRPr="008917B2">
        <w:rPr>
          <w:lang w:val="ru-RU"/>
        </w:rPr>
        <w:tab/>
        <w:t>R.1: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3"/>
        <w:tblW w:w="14567" w:type="dxa"/>
        <w:tblLayout w:type="fixed"/>
        <w:tblLook w:val="04A0" w:firstRow="1" w:lastRow="0" w:firstColumn="1" w:lastColumn="0" w:noHBand="0" w:noVBand="1"/>
      </w:tblPr>
      <w:tblGrid>
        <w:gridCol w:w="3681"/>
        <w:gridCol w:w="4394"/>
        <w:gridCol w:w="992"/>
        <w:gridCol w:w="992"/>
        <w:gridCol w:w="992"/>
        <w:gridCol w:w="993"/>
        <w:gridCol w:w="1276"/>
        <w:gridCol w:w="1247"/>
      </w:tblGrid>
      <w:tr w:rsidR="006028BF" w:rsidRPr="008917B2" w:rsidTr="0060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394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92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992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92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993" w:type="dxa"/>
            <w:vAlign w:val="center"/>
          </w:tcPr>
          <w:p w:rsidR="004853FB" w:rsidRPr="008917B2" w:rsidRDefault="004853FB" w:rsidP="007745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276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Целевые</w:t>
            </w:r>
            <w:r w:rsidRPr="008917B2">
              <w:rPr>
                <w:sz w:val="18"/>
                <w:szCs w:val="18"/>
                <w:lang w:val="ru-RU"/>
              </w:rPr>
              <w:br/>
              <w:t>показатели</w:t>
            </w:r>
            <w:r w:rsidRPr="008917B2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1247" w:type="dxa"/>
            <w:vAlign w:val="center"/>
          </w:tcPr>
          <w:p w:rsidR="004853FB" w:rsidRPr="008917B2" w:rsidRDefault="004853FB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8917B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70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120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188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188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193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99,86%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99,86%</w:t>
            </w:r>
          </w:p>
        </w:tc>
        <w:tc>
          <w:tcPr>
            <w:tcW w:w="9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99,87%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99,88%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Подпадают под действие плана (наземные службы)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92,66%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92,81%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74,46%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74,32%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75%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98,29%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98,34%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98,37%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98,46%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98%</w:t>
            </w:r>
          </w:p>
        </w:tc>
        <w:tc>
          <w:tcPr>
            <w:tcW w:w="1247" w:type="dxa"/>
            <w:vMerge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7452E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3,6%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17%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27%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42%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70%</w:t>
            </w:r>
          </w:p>
        </w:tc>
        <w:tc>
          <w:tcPr>
            <w:tcW w:w="1247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БР и БРЭ</w:t>
            </w:r>
          </w:p>
        </w:tc>
      </w:tr>
      <w:tr w:rsidR="0077452E" w:rsidRPr="008917B2" w:rsidTr="0047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8917B2">
              <w:rPr>
                <w:b w:val="0"/>
                <w:bCs w:val="0"/>
                <w:lang w:val="ru-RU"/>
              </w:rPr>
              <w:t xml:space="preserve"> 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99,97%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99,97%</w:t>
            </w:r>
          </w:p>
        </w:tc>
        <w:tc>
          <w:tcPr>
            <w:tcW w:w="992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993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1276" w:type="dxa"/>
            <w:shd w:val="clear" w:color="auto" w:fill="FFFFFF" w:themeFill="background1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247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 w:eastAsia="fr-FR"/>
              </w:rPr>
              <w:t>БР/МСРЧ</w:t>
            </w:r>
          </w:p>
        </w:tc>
      </w:tr>
      <w:tr w:rsidR="006028BF" w:rsidRPr="008917B2" w:rsidTr="0047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rPr>
                <w:rFonts w:asciiTheme="minorHAnsi" w:hAnsiTheme="minorHAnsi"/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394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992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993" w:type="dxa"/>
          </w:tcPr>
          <w:p w:rsidR="004853FB" w:rsidRPr="008917B2" w:rsidRDefault="004853FB" w:rsidP="00472B17">
            <w:pPr>
              <w:spacing w:before="40" w:after="40"/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99,90%</w:t>
            </w:r>
          </w:p>
        </w:tc>
        <w:tc>
          <w:tcPr>
            <w:tcW w:w="1276" w:type="dxa"/>
          </w:tcPr>
          <w:p w:rsidR="004853FB" w:rsidRPr="008917B2" w:rsidRDefault="004853FB" w:rsidP="00472B17">
            <w:pPr>
              <w:spacing w:before="40" w:after="40"/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247" w:type="dxa"/>
            <w:shd w:val="clear" w:color="auto" w:fill="auto"/>
          </w:tcPr>
          <w:p w:rsidR="004853FB" w:rsidRPr="008917B2" w:rsidRDefault="004853FB" w:rsidP="00EE42F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 w:eastAsia="fr-FR"/>
              </w:rPr>
              <w:t>БР/МСРЧ</w:t>
            </w:r>
          </w:p>
        </w:tc>
      </w:tr>
    </w:tbl>
    <w:p w:rsidR="00EB6AE4" w:rsidRPr="008917B2" w:rsidRDefault="00EB6A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8917B2">
        <w:rPr>
          <w:lang w:val="ru-RU"/>
        </w:rPr>
        <w:br w:type="page"/>
      </w:r>
    </w:p>
    <w:tbl>
      <w:tblPr>
        <w:tblStyle w:val="GridTable4-Accent13"/>
        <w:tblW w:w="14567" w:type="dxa"/>
        <w:tblLook w:val="04A0" w:firstRow="1" w:lastRow="0" w:firstColumn="1" w:lastColumn="0" w:noHBand="0" w:noVBand="1"/>
      </w:tblPr>
      <w:tblGrid>
        <w:gridCol w:w="8642"/>
        <w:gridCol w:w="1481"/>
        <w:gridCol w:w="1481"/>
        <w:gridCol w:w="1481"/>
        <w:gridCol w:w="1482"/>
      </w:tblGrid>
      <w:tr w:rsidR="006028BF" w:rsidRPr="005A1AA4" w:rsidTr="0093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vAlign w:val="center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925" w:type="dxa"/>
            <w:gridSpan w:val="4"/>
            <w:vAlign w:val="center"/>
          </w:tcPr>
          <w:p w:rsidR="006028BF" w:rsidRPr="008917B2" w:rsidRDefault="006028BF" w:rsidP="00EE42F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Финансовые ресурсы</w:t>
            </w:r>
            <w:r w:rsidRPr="008917B2">
              <w:rPr>
                <w:rFonts w:asciiTheme="minorHAnsi" w:hAnsiTheme="minorHAnsi"/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3"/>
            </w: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81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81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81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8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2021 г.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Заключительные акты всемирных конференций радиосвязи, обновленный Регламент радиосвязи</w:t>
            </w: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1 762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9 367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1 009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1 021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242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333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308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309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1 268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1 213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1 238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1 226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14 641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14 577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15 259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15 388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7 475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7 339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7 371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7 383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Решения РРК, не касающиеся принятия Правил процедуры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1 186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951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1 422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1 435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Совершенствование программного обеспечения МСЭ-R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7 725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7 562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7 453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7 505</w:t>
            </w:r>
          </w:p>
        </w:tc>
      </w:tr>
      <w:tr w:rsidR="006028BF" w:rsidRPr="008917B2" w:rsidTr="0093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2 028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1 229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1 050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1 204</w:t>
            </w:r>
          </w:p>
        </w:tc>
      </w:tr>
      <w:tr w:rsidR="006028BF" w:rsidRPr="008917B2" w:rsidTr="00933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8917B2" w:rsidRDefault="006028BF" w:rsidP="00EE42F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36 327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42 571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35 110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6028BF" w:rsidRPr="008917B2" w:rsidRDefault="006028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35 471</w:t>
            </w:r>
          </w:p>
        </w:tc>
      </w:tr>
    </w:tbl>
    <w:p w:rsidR="00D20C44" w:rsidRPr="008917B2" w:rsidRDefault="00D20C44" w:rsidP="00FA638D">
      <w:pPr>
        <w:pStyle w:val="Heading2"/>
        <w:spacing w:before="360" w:after="120"/>
        <w:rPr>
          <w:lang w:val="ru-RU"/>
        </w:rPr>
      </w:pPr>
      <w:r w:rsidRPr="008917B2">
        <w:rPr>
          <w:lang w:val="ru-RU"/>
        </w:rPr>
        <w:t>5.2</w:t>
      </w:r>
      <w:r w:rsidRPr="008917B2">
        <w:rPr>
          <w:lang w:val="ru-RU"/>
        </w:rPr>
        <w:tab/>
        <w:t>R.2: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5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950"/>
        <w:gridCol w:w="950"/>
        <w:gridCol w:w="950"/>
        <w:gridCol w:w="951"/>
        <w:gridCol w:w="1022"/>
        <w:gridCol w:w="1130"/>
        <w:gridCol w:w="2523"/>
      </w:tblGrid>
      <w:tr w:rsidR="0093397F" w:rsidRPr="008917B2" w:rsidTr="0093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Показатели конечного результата</w:t>
            </w:r>
            <w:r w:rsidRPr="008917B2">
              <w:rPr>
                <w:rFonts w:asciiTheme="minorHAnsi" w:hAnsiTheme="minorHAnsi"/>
                <w:b w:val="0"/>
                <w:position w:val="6"/>
                <w:sz w:val="16"/>
                <w:szCs w:val="18"/>
                <w:lang w:val="ru-RU"/>
              </w:rPr>
              <w:footnoteReference w:id="4"/>
            </w:r>
          </w:p>
        </w:tc>
        <w:tc>
          <w:tcPr>
            <w:tcW w:w="95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2012 г.</w:t>
            </w:r>
          </w:p>
        </w:tc>
        <w:tc>
          <w:tcPr>
            <w:tcW w:w="95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95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51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022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130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Целевые</w:t>
            </w:r>
            <w:r w:rsidRPr="008917B2">
              <w:rPr>
                <w:sz w:val="18"/>
                <w:szCs w:val="18"/>
                <w:lang w:val="ru-RU"/>
              </w:rPr>
              <w:br/>
              <w:t>показатели</w:t>
            </w:r>
            <w:r w:rsidRPr="008917B2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23" w:type="dxa"/>
            <w:vAlign w:val="center"/>
          </w:tcPr>
          <w:p w:rsidR="0093397F" w:rsidRPr="008917B2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93397F" w:rsidRPr="005A1AA4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b w:val="0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контрактов/абонентов (млрд.)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6,23/4,30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6,67/4,60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7,01/4,83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7,22/4,98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7,38/5,09</w:t>
            </w:r>
            <w:r w:rsidRPr="008917B2">
              <w:rPr>
                <w:rStyle w:val="FootnoteReference"/>
                <w:color w:val="000000"/>
                <w:szCs w:val="18"/>
                <w:lang w:val="ru-RU"/>
              </w:rPr>
              <w:footnoteReference w:customMarkFollows="1" w:id="5"/>
              <w:t>*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9,20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Состояние широкополосной связи в 2016 году: Доклад Комиссии по широкополосной связи в интересах цифрового развития </w:t>
            </w: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25%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29%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38%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45%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50%</w:t>
            </w:r>
            <w:r w:rsidRPr="008917B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83,7%</w:t>
            </w: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5A1AA4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lastRenderedPageBreak/>
              <w:t>R.2-2</w:t>
            </w:r>
            <w:r w:rsidRPr="008917B2">
              <w:rPr>
                <w:b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 ВНД на душу населения (с предоплатой, на базе мобильного телефона, 500 Мбайт)</w:t>
            </w:r>
          </w:p>
          <w:p w:rsidR="0093397F" w:rsidRPr="008917B2" w:rsidRDefault="0093397F" w:rsidP="00FA638D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Мир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8,72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5,50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3,88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keepNext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Отчет МСЭ "Измерение информационного общества", издание 2016 г.</w:t>
            </w: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Развитые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1,02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0,75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0,57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Развивающиеся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11,6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7,2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5,1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30,3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17,0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11,4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81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101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117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135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193</w:t>
            </w: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5A1AA4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b w:val="0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 (Тбит/с)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Число фиксированных линий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Данные будут получены по результатам обследования БРЭ в области ИКТ</w:t>
            </w:r>
          </w:p>
        </w:tc>
      </w:tr>
      <w:tr w:rsidR="0093397F" w:rsidRPr="005A1AA4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Суммарная емкость (в Тбит/с)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Данные будут получены по результатам обследования БРЭ в области ИКТ</w:t>
            </w:r>
          </w:p>
        </w:tc>
      </w:tr>
      <w:tr w:rsidR="0093397F" w:rsidRPr="005A1AA4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8917B2">
              <w:rPr>
                <w:b w:val="0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Число домашних хозяйств, принимающих ЦНТ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130,1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164,7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203,3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sz w:val="18"/>
                <w:szCs w:val="18"/>
                <w:lang w:val="ru-RU"/>
              </w:rPr>
              <w:t>252,0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453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Справочный отчет "Мир цифрового ТВ", июнь 2015 г., Digital TV Research Ltd Справочный отчет</w:t>
            </w: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bookmarkStart w:id="5" w:name="lt_pId444"/>
            <w:r w:rsidRPr="008917B2">
              <w:rPr>
                <w:sz w:val="18"/>
                <w:szCs w:val="18"/>
                <w:lang w:val="ru-RU"/>
              </w:rPr>
              <w:t>Число домашних хозяйств, принимающих АНТ</w:t>
            </w: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(млн.)</w:t>
            </w:r>
            <w:bookmarkEnd w:id="5"/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419,5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364,6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319,8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261,9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bookmarkStart w:id="6" w:name="lt_pId449"/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Общее ч</w:t>
            </w:r>
            <w:r w:rsidRPr="008917B2">
              <w:rPr>
                <w:i/>
                <w:sz w:val="18"/>
                <w:szCs w:val="18"/>
                <w:lang w:val="ru-RU"/>
              </w:rPr>
              <w:t>исло домашних хозяйств, принимающих</w:t>
            </w: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 xml:space="preserve"> ЦНT + AНТ (млн.)</w:t>
            </w:r>
            <w:bookmarkEnd w:id="6"/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549,6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529,3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514,1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513,9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 домашних хозяйств, принимающих ЦНТ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6,8%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8,5%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10,3%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12,7%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22,7%</w:t>
            </w: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 домашних хозяйств, принимающих АНТ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21,8%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18,7%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16,3%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13,2%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93397F" w:rsidRPr="008917B2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Процент домашних хозяйств, принимающих наземное телевидение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28,6%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27,2%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26,6%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25,8%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B81BBF" w:rsidRPr="005A1AA4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keepNext/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lastRenderedPageBreak/>
              <w:t>R.2-5</w:t>
            </w:r>
            <w:r w:rsidRPr="008917B2">
              <w:rPr>
                <w:b w:val="0"/>
                <w:sz w:val="18"/>
                <w:szCs w:val="18"/>
                <w:lang w:val="ru-RU"/>
              </w:rPr>
              <w:t>: Число работающих спутниковых ретрансляторов (эквивалент 36 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keepNext/>
              <w:pageBreakBefore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15 878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15 997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17 953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19 772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keepNext/>
              <w:pageBreakBefore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A6266C" w:rsidRDefault="0093397F" w:rsidP="00FA638D">
            <w:pPr>
              <w:keepNext/>
              <w:pageBreakBefore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es-ES" w:eastAsia="fr-FR"/>
              </w:rPr>
            </w:pPr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Euroconsult </w:t>
            </w:r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br/>
            </w:r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hyperlink r:id="rId21" w:history="1">
              <w:r w:rsidR="00FA638D" w:rsidRPr="00A6266C">
                <w:rPr>
                  <w:rStyle w:val="Hyperlink"/>
                  <w:rFonts w:asciiTheme="minorHAnsi" w:hAnsiTheme="minorHAnsi"/>
                  <w:sz w:val="18"/>
                  <w:szCs w:val="18"/>
                  <w:lang w:val="es-ES"/>
                </w:rPr>
                <w:t>http://www.euroconsult-ec.com</w:t>
              </w:r>
            </w:hyperlink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81BBF" w:rsidRPr="005A1AA4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A6266C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0,999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1,095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1,269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1,491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A6266C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es-ES" w:eastAsia="fr-FR"/>
              </w:rPr>
            </w:pPr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Euroconsult </w:t>
            </w:r>
            <w:r w:rsidRPr="00A6266C">
              <w:rPr>
                <w:rFonts w:asciiTheme="minorHAnsi" w:hAnsiTheme="minorHAnsi"/>
                <w:sz w:val="18"/>
                <w:szCs w:val="18"/>
                <w:lang w:val="es-ES" w:eastAsia="fr-FR"/>
              </w:rPr>
              <w:br/>
            </w:r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hyperlink r:id="rId22" w:history="1">
              <w:r w:rsidR="00FA638D" w:rsidRPr="00A6266C">
                <w:rPr>
                  <w:rStyle w:val="Hyperlink"/>
                  <w:rFonts w:asciiTheme="minorHAnsi" w:hAnsiTheme="minorHAnsi"/>
                  <w:sz w:val="18"/>
                  <w:szCs w:val="18"/>
                  <w:lang w:val="es-ES"/>
                </w:rPr>
                <w:t>http://www.euroconsult-ec.com</w:t>
              </w:r>
            </w:hyperlink>
            <w:r w:rsidRPr="00A6266C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81BBF" w:rsidRPr="005A1AA4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A6266C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Число терминалов VSAT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3,480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3,786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3,891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3,838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 xml:space="preserve">Глобальный форум VSAT </w:t>
            </w: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br/>
            </w: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3" w:history="1">
              <w:r w:rsidR="00FA638D" w:rsidRPr="008917B2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https://gvf.org</w:t>
              </w:r>
            </w:hyperlink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B81BBF" w:rsidRPr="005A1AA4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систем DTH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319,3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337,3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359,2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396,3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439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Справочный отчет "Мир цифрового ТВ", июнь 2015 г., Digital TV Research Ltd</w:t>
            </w:r>
          </w:p>
        </w:tc>
      </w:tr>
      <w:tr w:rsidR="00B81BB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8917B2">
              <w:rPr>
                <w:b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действующих группировок/спутников ГНСС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4/75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5/90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6/144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B81BBF" w:rsidRPr="005A1AA4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устройств со встроенными приемниками ГНСС (млрд.)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2,9</w:t>
            </w: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3,6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4,5</w:t>
            </w:r>
            <w:r w:rsidRPr="008917B2">
              <w:rPr>
                <w:rStyle w:val="FootnoteReference"/>
                <w:color w:val="000000"/>
                <w:szCs w:val="18"/>
                <w:lang w:val="ru-RU"/>
              </w:rPr>
              <w:footnoteReference w:customMarkFollows="1" w:id="6"/>
              <w:t>*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5,4</w:t>
            </w:r>
            <w:r w:rsidRPr="008917B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Европейское агентство ГНСС; Отчет о ГНСС за 2015 г.</w:t>
            </w:r>
            <w:r w:rsidRPr="008917B2">
              <w:rPr>
                <w:sz w:val="18"/>
                <w:szCs w:val="18"/>
                <w:lang w:val="ru-RU"/>
              </w:rPr>
              <w:br/>
            </w: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4" w:history="1">
              <w:r w:rsidR="00FA638D" w:rsidRPr="008917B2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https://www.gsa.europa.eu</w:t>
              </w:r>
            </w:hyperlink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B81BBF" w:rsidRPr="008917B2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8917B2">
              <w:rPr>
                <w:b w:val="0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спутников ДЗЗ</w:t>
            </w: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51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215</w:t>
            </w:r>
          </w:p>
        </w:tc>
        <w:tc>
          <w:tcPr>
            <w:tcW w:w="1022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219</w:t>
            </w:r>
          </w:p>
        </w:tc>
        <w:tc>
          <w:tcPr>
            <w:tcW w:w="1130" w:type="dxa"/>
            <w:shd w:val="clear" w:color="auto" w:fill="auto"/>
          </w:tcPr>
          <w:p w:rsidR="0093397F" w:rsidRPr="008917B2" w:rsidRDefault="0093397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440</w:t>
            </w:r>
          </w:p>
        </w:tc>
        <w:tc>
          <w:tcPr>
            <w:tcW w:w="2523" w:type="dxa"/>
            <w:shd w:val="clear" w:color="auto" w:fill="auto"/>
          </w:tcPr>
          <w:p w:rsidR="0093397F" w:rsidRPr="008917B2" w:rsidRDefault="0093397F" w:rsidP="00FA638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B81BBF" w:rsidRPr="00A6266C" w:rsidTr="002A6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B81BBF" w:rsidRPr="008917B2" w:rsidRDefault="00B81BBF" w:rsidP="00B81BB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B81BBF" w:rsidRPr="008917B2" w:rsidRDefault="00B81BBF" w:rsidP="00B81BB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811112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811112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950" w:type="dxa"/>
            <w:shd w:val="clear" w:color="auto" w:fill="auto"/>
          </w:tcPr>
          <w:p w:rsidR="00B81BBF" w:rsidRPr="008917B2" w:rsidRDefault="00811112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:rsidR="00B81BBF" w:rsidRPr="008917B2" w:rsidRDefault="00811112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1022" w:type="dxa"/>
            <w:shd w:val="clear" w:color="auto" w:fill="auto"/>
          </w:tcPr>
          <w:p w:rsidR="00B81BBF" w:rsidRPr="008917B2" w:rsidRDefault="00811112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1130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B81BBF" w:rsidRPr="008917B2" w:rsidRDefault="00811112" w:rsidP="00B81BB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11112">
              <w:rPr>
                <w:sz w:val="18"/>
                <w:szCs w:val="18"/>
                <w:lang w:val="ru-RU"/>
              </w:rPr>
              <w:t>Различные заинтересованные стороны КОПУОС</w:t>
            </w:r>
          </w:p>
        </w:tc>
      </w:tr>
      <w:tr w:rsidR="00B81BBF" w:rsidRPr="00A6266C" w:rsidTr="002A6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B81BBF" w:rsidRPr="008917B2" w:rsidRDefault="00B81BBF" w:rsidP="00B81BB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B81BBF" w:rsidRPr="008917B2" w:rsidRDefault="00B81BBF" w:rsidP="00B81BB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811112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18 000</w:t>
            </w:r>
          </w:p>
        </w:tc>
        <w:tc>
          <w:tcPr>
            <w:tcW w:w="950" w:type="dxa"/>
            <w:shd w:val="clear" w:color="auto" w:fill="FFFFFF" w:themeFill="background1"/>
          </w:tcPr>
          <w:p w:rsidR="00B81BBF" w:rsidRPr="008917B2" w:rsidRDefault="00811112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22 000</w:t>
            </w:r>
          </w:p>
        </w:tc>
        <w:tc>
          <w:tcPr>
            <w:tcW w:w="950" w:type="dxa"/>
            <w:shd w:val="clear" w:color="auto" w:fill="auto"/>
          </w:tcPr>
          <w:p w:rsidR="00B81BBF" w:rsidRPr="008917B2" w:rsidRDefault="00811112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27 000</w:t>
            </w:r>
          </w:p>
        </w:tc>
        <w:tc>
          <w:tcPr>
            <w:tcW w:w="951" w:type="dxa"/>
            <w:shd w:val="clear" w:color="auto" w:fill="auto"/>
          </w:tcPr>
          <w:p w:rsidR="00B81BBF" w:rsidRPr="008917B2" w:rsidRDefault="00811112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35 000</w:t>
            </w:r>
          </w:p>
        </w:tc>
        <w:tc>
          <w:tcPr>
            <w:tcW w:w="1022" w:type="dxa"/>
            <w:shd w:val="clear" w:color="auto" w:fill="auto"/>
          </w:tcPr>
          <w:p w:rsidR="00B81BBF" w:rsidRPr="008917B2" w:rsidRDefault="00811112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37 000</w:t>
            </w:r>
          </w:p>
        </w:tc>
        <w:tc>
          <w:tcPr>
            <w:tcW w:w="1130" w:type="dxa"/>
            <w:shd w:val="clear" w:color="auto" w:fill="auto"/>
          </w:tcPr>
          <w:p w:rsidR="00B81BBF" w:rsidRPr="008917B2" w:rsidRDefault="00B81BBF" w:rsidP="002A66B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B81BBF" w:rsidRPr="008917B2" w:rsidRDefault="00811112" w:rsidP="00B81BB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11112">
              <w:rPr>
                <w:sz w:val="18"/>
                <w:szCs w:val="18"/>
                <w:lang w:val="ru-RU"/>
              </w:rPr>
              <w:t>Различные заинтересованные стороны КОПУОС</w:t>
            </w:r>
          </w:p>
        </w:tc>
      </w:tr>
    </w:tbl>
    <w:p w:rsidR="0093397F" w:rsidRPr="008917B2" w:rsidRDefault="009339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</w:p>
    <w:tbl>
      <w:tblPr>
        <w:tblStyle w:val="GridTable4-Accent13"/>
        <w:tblW w:w="14567" w:type="dxa"/>
        <w:tblLook w:val="04A0" w:firstRow="1" w:lastRow="0" w:firstColumn="1" w:lastColumn="0" w:noHBand="0" w:noVBand="1"/>
      </w:tblPr>
      <w:tblGrid>
        <w:gridCol w:w="8359"/>
        <w:gridCol w:w="1552"/>
        <w:gridCol w:w="1552"/>
        <w:gridCol w:w="1552"/>
        <w:gridCol w:w="1552"/>
      </w:tblGrid>
      <w:tr w:rsidR="00B81BBF" w:rsidRPr="005A1AA4" w:rsidTr="00B81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B81BBF" w:rsidRPr="008917B2" w:rsidRDefault="00B81BBF" w:rsidP="00B81BBF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6208" w:type="dxa"/>
            <w:gridSpan w:val="4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Финансовые ресурсы</w:t>
            </w:r>
            <w:r w:rsidRPr="008917B2">
              <w:rPr>
                <w:rFonts w:asciiTheme="minorHAnsi" w:hAnsiTheme="minorHAnsi"/>
                <w:position w:val="6"/>
                <w:sz w:val="16"/>
                <w:szCs w:val="16"/>
                <w:lang w:val="ru-RU"/>
              </w:rPr>
              <w:footnoteReference w:id="7"/>
            </w:r>
            <w:r w:rsidRPr="008917B2">
              <w:rPr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B81BBF" w:rsidRPr="008917B2" w:rsidTr="00B81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552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2021 г.</w:t>
            </w:r>
          </w:p>
        </w:tc>
      </w:tr>
      <w:tr w:rsidR="00B81BBF" w:rsidRPr="008917B2" w:rsidTr="00B81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1 012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2 142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1 370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1 387</w:t>
            </w:r>
          </w:p>
        </w:tc>
      </w:tr>
      <w:tr w:rsidR="00B81BBF" w:rsidRPr="008917B2" w:rsidTr="00B81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Рекомендации, Отчеты (включая отчет ПСК) и Справочники МСЭ-R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5 022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6 060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5 517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5 660</w:t>
            </w:r>
          </w:p>
        </w:tc>
      </w:tr>
      <w:tr w:rsidR="00B81BBF" w:rsidRPr="008917B2" w:rsidTr="00B81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1 242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1 270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995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1 006</w:t>
            </w:r>
          </w:p>
        </w:tc>
      </w:tr>
      <w:tr w:rsidR="00B81BBF" w:rsidRPr="008917B2" w:rsidTr="00B81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433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283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243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283</w:t>
            </w:r>
          </w:p>
        </w:tc>
      </w:tr>
      <w:tr w:rsidR="00B81BBF" w:rsidRPr="008917B2" w:rsidTr="00B81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7 709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9 755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8 125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B81BBF" w:rsidRPr="008917B2" w:rsidRDefault="00B81BBF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8 336</w:t>
            </w:r>
          </w:p>
        </w:tc>
      </w:tr>
    </w:tbl>
    <w:p w:rsidR="00D20C44" w:rsidRPr="008917B2" w:rsidRDefault="00D20C44" w:rsidP="00FA638D">
      <w:pPr>
        <w:pStyle w:val="Heading2"/>
        <w:spacing w:before="360" w:after="120"/>
        <w:rPr>
          <w:lang w:val="ru-RU"/>
        </w:rPr>
      </w:pPr>
      <w:r w:rsidRPr="008917B2">
        <w:rPr>
          <w:lang w:val="ru-RU"/>
        </w:rPr>
        <w:t>5.3</w:t>
      </w:r>
      <w:r w:rsidRPr="008917B2">
        <w:rPr>
          <w:lang w:val="ru-RU"/>
        </w:rPr>
        <w:tab/>
        <w:t>R.3: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553" w:type="dxa"/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086"/>
        <w:gridCol w:w="1087"/>
        <w:gridCol w:w="1087"/>
        <w:gridCol w:w="1134"/>
        <w:gridCol w:w="2509"/>
      </w:tblGrid>
      <w:tr w:rsidR="0085762D" w:rsidRPr="008917B2" w:rsidTr="0010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820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086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1087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087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134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Целевые</w:t>
            </w:r>
            <w:r w:rsidRPr="008917B2">
              <w:rPr>
                <w:sz w:val="18"/>
                <w:szCs w:val="18"/>
                <w:lang w:val="ru-RU"/>
              </w:rPr>
              <w:br/>
              <w:t>показатели</w:t>
            </w:r>
            <w:r w:rsidRPr="008917B2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09" w:type="dxa"/>
            <w:vAlign w:val="center"/>
          </w:tcPr>
          <w:p w:rsidR="00B81BBF" w:rsidRPr="008917B2" w:rsidRDefault="00B81BBF" w:rsidP="00EE42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85762D" w:rsidRPr="005A1AA4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загрузок бесплатных онлайновых публикаций МСЭ-R</w:t>
            </w:r>
            <w:r w:rsidRPr="008917B2">
              <w:rPr>
                <w:rStyle w:val="FootnoteReference"/>
                <w:lang w:val="ru-RU"/>
              </w:rPr>
              <w:footnoteReference w:id="8"/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1087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4,0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8917B2" w:rsidTr="00225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 виртуальных)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2509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85762D" w:rsidRPr="008917B2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</w:t>
            </w:r>
            <w:r w:rsidR="001030F3" w:rsidRPr="008917B2">
              <w:rPr>
                <w:sz w:val="18"/>
                <w:szCs w:val="18"/>
                <w:lang w:val="ru-RU"/>
              </w:rPr>
              <w:t xml:space="preserve"> (в </w:t>
            </w:r>
            <w:r w:rsidRPr="008917B2">
              <w:rPr>
                <w:sz w:val="18"/>
                <w:szCs w:val="18"/>
                <w:lang w:val="ru-RU"/>
              </w:rPr>
              <w:t>одном цикле ВКР)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1 261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1 518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2 000</w:t>
            </w:r>
          </w:p>
        </w:tc>
        <w:tc>
          <w:tcPr>
            <w:tcW w:w="2509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85762D" w:rsidRPr="005A1AA4" w:rsidTr="00225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B81BBF" w:rsidRPr="008917B2" w:rsidRDefault="00B81BBF" w:rsidP="001030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Расширенное участие в видах деятельности МСЭ-R (в том</w:t>
            </w:r>
            <w:r w:rsidR="001030F3" w:rsidRPr="008917B2">
              <w:rPr>
                <w:b w:val="0"/>
                <w:bCs w:val="0"/>
                <w:sz w:val="18"/>
                <w:szCs w:val="18"/>
                <w:lang w:val="ru-RU"/>
              </w:rPr>
              <w:t> 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числе в форме дистанционного участия), особенно развивающихся стран</w:t>
            </w: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случаев оказания технической помощи/</w:t>
            </w:r>
            <w:r w:rsidR="001030F3" w:rsidRPr="008917B2">
              <w:rPr>
                <w:sz w:val="18"/>
                <w:szCs w:val="18"/>
                <w:lang w:val="ru-RU"/>
              </w:rPr>
              <w:br/>
            </w:r>
            <w:r w:rsidRPr="008917B2">
              <w:rPr>
                <w:sz w:val="18"/>
                <w:szCs w:val="18"/>
                <w:lang w:val="ru-RU"/>
              </w:rPr>
              <w:t>проведения технических мероприятий при участии БР</w:t>
            </w:r>
          </w:p>
        </w:tc>
        <w:tc>
          <w:tcPr>
            <w:tcW w:w="1086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87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5A1AA4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5A1AA4" w:rsidTr="00225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участников/мероприятий, включающих конференции, ассамблеи и собрания, относящиеся к исследовательским комиссиям (очных и виртуальных)</w:t>
            </w:r>
          </w:p>
        </w:tc>
        <w:tc>
          <w:tcPr>
            <w:tcW w:w="1086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6 385/52</w:t>
            </w:r>
          </w:p>
        </w:tc>
        <w:tc>
          <w:tcPr>
            <w:tcW w:w="1087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8 972/38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  <w:t>6 042/48</w:t>
            </w:r>
          </w:p>
        </w:tc>
        <w:tc>
          <w:tcPr>
            <w:tcW w:w="1134" w:type="dxa"/>
          </w:tcPr>
          <w:p w:rsidR="00B81BBF" w:rsidRPr="008917B2" w:rsidRDefault="00B81BBF" w:rsidP="00225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85762D" w:rsidRPr="005A1AA4" w:rsidTr="0022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B81BBF" w:rsidRPr="008917B2" w:rsidRDefault="00B81BBF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Количество стран, участвующих в семинарах, семинарах-практикумах, собраниях ИК и РГ и мероприятиях МСЭ-R (очных и виртуальных)</w:t>
            </w:r>
          </w:p>
        </w:tc>
        <w:tc>
          <w:tcPr>
            <w:tcW w:w="1086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1087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161</w:t>
            </w:r>
          </w:p>
        </w:tc>
        <w:tc>
          <w:tcPr>
            <w:tcW w:w="1087" w:type="dxa"/>
            <w:shd w:val="clear" w:color="auto" w:fill="FFFFFF" w:themeFill="background1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B81BBF" w:rsidRPr="008917B2" w:rsidRDefault="00B81BBF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8917B2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2509" w:type="dxa"/>
            <w:shd w:val="clear" w:color="auto" w:fill="auto"/>
          </w:tcPr>
          <w:p w:rsidR="00B81BBF" w:rsidRPr="008917B2" w:rsidRDefault="00B81BBF" w:rsidP="00EE42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</w:tbl>
    <w:p w:rsidR="00B81BBF" w:rsidRPr="008917B2" w:rsidRDefault="00B81BBF" w:rsidP="00CE6F61">
      <w:pPr>
        <w:rPr>
          <w:sz w:val="10"/>
          <w:szCs w:val="10"/>
          <w:lang w:val="ru-RU"/>
        </w:rPr>
      </w:pPr>
    </w:p>
    <w:tbl>
      <w:tblPr>
        <w:tblStyle w:val="GridTable4-Accent13"/>
        <w:tblW w:w="14567" w:type="dxa"/>
        <w:tblLook w:val="04A0" w:firstRow="1" w:lastRow="0" w:firstColumn="1" w:lastColumn="0" w:noHBand="0" w:noVBand="1"/>
      </w:tblPr>
      <w:tblGrid>
        <w:gridCol w:w="8500"/>
        <w:gridCol w:w="1516"/>
        <w:gridCol w:w="1517"/>
        <w:gridCol w:w="1517"/>
        <w:gridCol w:w="1517"/>
      </w:tblGrid>
      <w:tr w:rsidR="00CE6F61" w:rsidRPr="005A1AA4" w:rsidTr="00CE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CE6F61" w:rsidRPr="008917B2" w:rsidRDefault="00CE6F61" w:rsidP="00EE42F7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067" w:type="dxa"/>
            <w:gridSpan w:val="4"/>
          </w:tcPr>
          <w:p w:rsidR="00CE6F61" w:rsidRPr="008917B2" w:rsidRDefault="00CE6F61" w:rsidP="00EE42F7">
            <w:pPr>
              <w:pageBreakBefore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Финансовые ресурсы</w:t>
            </w:r>
            <w:r w:rsidRPr="008917B2">
              <w:rPr>
                <w:rFonts w:asciiTheme="minorHAnsi" w:hAnsiTheme="minorHAnsi"/>
                <w:position w:val="6"/>
                <w:sz w:val="16"/>
                <w:szCs w:val="16"/>
                <w:lang w:val="ru-RU"/>
              </w:rPr>
              <w:footnoteReference w:id="9"/>
            </w:r>
            <w:r w:rsidRPr="008917B2">
              <w:rPr>
                <w:sz w:val="16"/>
                <w:szCs w:val="16"/>
                <w:lang w:val="ru-RU"/>
              </w:rPr>
              <w:t xml:space="preserve"> </w:t>
            </w:r>
            <w:r w:rsidRPr="008917B2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517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517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517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2021 г.</w:t>
            </w:r>
          </w:p>
        </w:tc>
      </w:tr>
      <w:tr w:rsidR="00CE6F61" w:rsidRPr="008917B2" w:rsidTr="00CE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Публикации МСЭ-R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7 737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5 985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8 328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8 283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2 565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2 392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2 336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2 353</w:t>
            </w:r>
          </w:p>
        </w:tc>
      </w:tr>
      <w:tr w:rsidR="00CE6F61" w:rsidRPr="008917B2" w:rsidTr="00CE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1 484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1 554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1 281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1 290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3 552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3 420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3 282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3 290</w:t>
            </w:r>
          </w:p>
        </w:tc>
      </w:tr>
      <w:tr w:rsidR="00CE6F61" w:rsidRPr="008917B2" w:rsidTr="00CE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,</w:t>
            </w:r>
            <w:r w:rsidRPr="008917B2">
              <w:rPr>
                <w:sz w:val="18"/>
                <w:szCs w:val="18"/>
                <w:lang w:val="ru-RU"/>
              </w:rPr>
              <w:t xml:space="preserve"> </w:t>
            </w: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917B2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911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398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470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917B2">
              <w:rPr>
                <w:sz w:val="18"/>
                <w:szCs w:val="18"/>
                <w:lang w:val="ru-RU"/>
              </w:rPr>
              <w:t>535</w:t>
            </w:r>
          </w:p>
        </w:tc>
      </w:tr>
      <w:tr w:rsidR="00CE6F61" w:rsidRPr="008917B2" w:rsidTr="00CE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8917B2" w:rsidRDefault="00CE6F61" w:rsidP="00EE42F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8917B2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16 249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13 749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15 697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E6F61" w:rsidRPr="008917B2" w:rsidRDefault="00CE6F61" w:rsidP="00CE6F61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917B2">
              <w:rPr>
                <w:b/>
                <w:bCs/>
                <w:sz w:val="18"/>
                <w:szCs w:val="18"/>
                <w:lang w:val="ru-RU"/>
              </w:rPr>
              <w:t>15 751</w:t>
            </w:r>
          </w:p>
        </w:tc>
      </w:tr>
    </w:tbl>
    <w:p w:rsidR="00D20C44" w:rsidRPr="008917B2" w:rsidRDefault="00D20C44" w:rsidP="00886A1D">
      <w:pPr>
        <w:pStyle w:val="Heading1"/>
        <w:rPr>
          <w:lang w:val="ru-RU"/>
        </w:rPr>
      </w:pPr>
      <w:r w:rsidRPr="008917B2">
        <w:rPr>
          <w:lang w:val="ru-RU"/>
        </w:rPr>
        <w:t>6</w:t>
      </w:r>
      <w:r w:rsidRPr="008917B2">
        <w:rPr>
          <w:lang w:val="ru-RU"/>
        </w:rPr>
        <w:tab/>
        <w:t>Выполнение Оперативного плана</w:t>
      </w:r>
    </w:p>
    <w:p w:rsidR="00D20C44" w:rsidRPr="008917B2" w:rsidRDefault="00D20C44" w:rsidP="00E97EDE">
      <w:pPr>
        <w:rPr>
          <w:lang w:val="ru-RU"/>
        </w:rPr>
      </w:pPr>
      <w:r w:rsidRPr="008917B2">
        <w:rPr>
          <w:lang w:val="ru-RU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</w:t>
      </w:r>
      <w:r w:rsidR="00E97EDE" w:rsidRPr="008917B2">
        <w:rPr>
          <w:lang w:val="ru-RU"/>
        </w:rPr>
        <w:t>; в выполнении настоящего Оперативного плана примут участие региональные отделения</w:t>
      </w:r>
      <w:r w:rsidRPr="008917B2">
        <w:rPr>
          <w:lang w:val="ru-RU"/>
        </w:rPr>
        <w:t>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D20C44" w:rsidRPr="008917B2" w:rsidRDefault="00D20C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917B2">
        <w:rPr>
          <w:lang w:val="ru-RU"/>
        </w:rPr>
        <w:br w:type="page"/>
      </w:r>
    </w:p>
    <w:p w:rsidR="00D20C44" w:rsidRPr="008917B2" w:rsidRDefault="00D20C44" w:rsidP="00F10124">
      <w:pPr>
        <w:pStyle w:val="AnnexNo"/>
        <w:rPr>
          <w:lang w:val="ru-RU"/>
        </w:rPr>
      </w:pPr>
      <w:r w:rsidRPr="008917B2">
        <w:rPr>
          <w:lang w:val="ru-RU"/>
        </w:rPr>
        <w:lastRenderedPageBreak/>
        <w:t>Приложение 1</w:t>
      </w:r>
    </w:p>
    <w:p w:rsidR="00D20C44" w:rsidRPr="008917B2" w:rsidRDefault="00D20C44" w:rsidP="00FF45DB">
      <w:pPr>
        <w:pStyle w:val="Annextitle"/>
        <w:rPr>
          <w:lang w:val="ru-RU"/>
        </w:rPr>
      </w:pPr>
      <w:r w:rsidRPr="008917B2">
        <w:rPr>
          <w:lang w:val="ru-RU"/>
        </w:rPr>
        <w:t xml:space="preserve">Распределение ресурсов между </w:t>
      </w:r>
      <w:r w:rsidR="00FF45DB" w:rsidRPr="008917B2">
        <w:rPr>
          <w:lang w:val="ru-RU"/>
        </w:rPr>
        <w:t xml:space="preserve">межсекторальными </w:t>
      </w:r>
      <w:r w:rsidRPr="008917B2">
        <w:rPr>
          <w:lang w:val="ru-RU"/>
        </w:rPr>
        <w:t>задачами и стратегическими целями МСЭ</w:t>
      </w:r>
    </w:p>
    <w:p w:rsidR="00D20C44" w:rsidRPr="008917B2" w:rsidRDefault="00D20C44" w:rsidP="00F10124">
      <w:pPr>
        <w:spacing w:after="40"/>
        <w:jc w:val="right"/>
        <w:rPr>
          <w:sz w:val="20"/>
          <w:szCs w:val="20"/>
          <w:lang w:val="ru-RU"/>
        </w:rPr>
      </w:pPr>
      <w:r w:rsidRPr="008917B2">
        <w:rPr>
          <w:b/>
          <w:bCs/>
          <w:color w:val="000000"/>
          <w:sz w:val="20"/>
          <w:szCs w:val="20"/>
          <w:lang w:val="ru-RU" w:eastAsia="zh-CN"/>
        </w:rPr>
        <w:t>В тыс. швейцарских франков</w:t>
      </w:r>
    </w:p>
    <w:tbl>
      <w:tblPr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CA6718" w:rsidRPr="008917B2" w:rsidTr="00EE42F7">
        <w:trPr>
          <w:trHeight w:val="288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2018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Затраты, распреде</w:t>
            </w:r>
            <w:bookmarkStart w:id="7" w:name="_GoBack"/>
            <w:bookmarkEnd w:id="7"/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-ленные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ind w:left="-57" w:right="-57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CA6718" w:rsidRPr="008917B2" w:rsidTr="00EE42F7">
        <w:trPr>
          <w:trHeight w:val="501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36 329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19 354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16 953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18 165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10 899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3 633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7 709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4 709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2 995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2 313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771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16 249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9 949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6 290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16 249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60 287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34 012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22 020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29 461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4 404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36,5%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48,9%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</w:tr>
    </w:tbl>
    <w:p w:rsidR="00CA6718" w:rsidRPr="008917B2" w:rsidRDefault="00CA6718" w:rsidP="00CA6718">
      <w:pPr>
        <w:rPr>
          <w:lang w:val="ru-RU"/>
        </w:rPr>
      </w:pPr>
    </w:p>
    <w:tbl>
      <w:tblPr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CA6718" w:rsidRPr="008917B2" w:rsidTr="00EE42F7">
        <w:trPr>
          <w:trHeight w:val="288"/>
          <w:jc w:val="center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2019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ind w:left="-57" w:right="-57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42 570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25 521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17 024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21 285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12 771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4 257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9 755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6 712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3 038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4 877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2 926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975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13 749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7 779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5 962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color w:val="000000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13 749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66 074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40 012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29 446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5 232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5 232</w:t>
            </w:r>
          </w:p>
        </w:tc>
      </w:tr>
      <w:tr w:rsidR="00CA6718" w:rsidRPr="008917B2" w:rsidTr="00EE42F7">
        <w:trPr>
          <w:trHeight w:val="28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8917B2" w:rsidRDefault="00CA6718" w:rsidP="00EE42F7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39,6%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44,6%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A6718" w:rsidRPr="008917B2" w:rsidRDefault="00CA6718" w:rsidP="00EE42F7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917B2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7,9%</w:t>
            </w:r>
          </w:p>
        </w:tc>
      </w:tr>
    </w:tbl>
    <w:p w:rsidR="00D20C44" w:rsidRPr="008917B2" w:rsidRDefault="00D20C44" w:rsidP="00F10124">
      <w:pPr>
        <w:pStyle w:val="Reasons"/>
        <w:rPr>
          <w:lang w:val="ru-RU"/>
        </w:rPr>
      </w:pPr>
    </w:p>
    <w:p w:rsidR="00D20C44" w:rsidRPr="008917B2" w:rsidRDefault="00D20C44">
      <w:pPr>
        <w:jc w:val="center"/>
        <w:rPr>
          <w:lang w:val="ru-RU"/>
        </w:rPr>
      </w:pPr>
      <w:r w:rsidRPr="008917B2">
        <w:rPr>
          <w:lang w:val="ru-RU"/>
        </w:rPr>
        <w:t>______________</w:t>
      </w:r>
    </w:p>
    <w:sectPr w:rsidR="00D20C44" w:rsidRPr="008917B2" w:rsidSect="00B716EC">
      <w:footerReference w:type="default" r:id="rId25"/>
      <w:headerReference w:type="first" r:id="rId26"/>
      <w:footerReference w:type="first" r:id="rId27"/>
      <w:pgSz w:w="16834" w:h="11907" w:orient="landscape" w:code="9"/>
      <w:pgMar w:top="1418" w:right="1134" w:bottom="1134" w:left="1134" w:header="624" w:footer="62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E0" w:rsidRDefault="00576DE0" w:rsidP="00E54FD2">
      <w:pPr>
        <w:spacing w:before="0"/>
      </w:pPr>
      <w:r>
        <w:separator/>
      </w:r>
    </w:p>
  </w:endnote>
  <w:endnote w:type="continuationSeparator" w:id="0">
    <w:p w:rsidR="00576DE0" w:rsidRDefault="00576DE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40C94" w:rsidRDefault="00BF5A40" w:rsidP="00F10124">
    <w:pPr>
      <w:pStyle w:val="Footer"/>
      <w:rPr>
        <w:sz w:val="18"/>
        <w:szCs w:val="18"/>
        <w:lang w:val="fr-CH"/>
      </w:rPr>
    </w:pPr>
    <w:r>
      <w:rPr>
        <w:lang w:val="fr-FR"/>
      </w:rPr>
      <w:fldChar w:fldCharType="begin"/>
    </w:r>
    <w:r w:rsidRPr="00A40C94">
      <w:rPr>
        <w:lang w:val="fr-CH"/>
      </w:rPr>
      <w:instrText xml:space="preserve"> FILENAME \p  \* MERGEFORMAT </w:instrText>
    </w:r>
    <w:r>
      <w:rPr>
        <w:lang w:val="fr-FR"/>
      </w:rPr>
      <w:fldChar w:fldCharType="separate"/>
    </w:r>
    <w:r w:rsidR="00225828">
      <w:rPr>
        <w:lang w:val="fr-CH"/>
      </w:rPr>
      <w:t>P:\RUS\SG\CONSEIL\C17\000\028R.docx</w:t>
    </w:r>
    <w:r>
      <w:rPr>
        <w:lang w:val="en-US"/>
      </w:rPr>
      <w:fldChar w:fldCharType="end"/>
    </w:r>
    <w:r w:rsidRPr="00A40C94">
      <w:rPr>
        <w:lang w:val="fr-CH"/>
      </w:rPr>
      <w:t xml:space="preserve"> (375137)</w:t>
    </w:r>
    <w:r w:rsidRPr="00A40C9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249C">
      <w:t>10.05.17</w:t>
    </w:r>
    <w:r>
      <w:fldChar w:fldCharType="end"/>
    </w:r>
    <w:r w:rsidRPr="00A40C9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5828">
      <w:t>20.04.17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Default="00BF5A40" w:rsidP="00E166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F5A40" w:rsidRPr="00A6266C" w:rsidRDefault="00BF5A40" w:rsidP="00BC249C">
    <w:pPr>
      <w:pStyle w:val="Footer"/>
      <w:rPr>
        <w:color w:val="D9D9D9" w:themeColor="background1" w:themeShade="D9"/>
        <w:lang w:val="fr-CH"/>
      </w:rPr>
    </w:pP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  <w:lang w:val="fr-CH"/>
      </w:rPr>
      <w:instrText xml:space="preserve"> FILENAME \p  \* MERGEFORMAT </w:instrText>
    </w:r>
    <w:r w:rsidRPr="00A6266C">
      <w:rPr>
        <w:color w:val="D9D9D9" w:themeColor="background1" w:themeShade="D9"/>
      </w:rPr>
      <w:fldChar w:fldCharType="separate"/>
    </w:r>
    <w:r w:rsidR="00BC249C">
      <w:rPr>
        <w:color w:val="D9D9D9" w:themeColor="background1" w:themeShade="D9"/>
        <w:lang w:val="fr-CH"/>
      </w:rPr>
      <w:t>P:\RUS\SG\CONSEIL\C17\000\028REV1R.docx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 xml:space="preserve"> (</w:t>
    </w:r>
    <w:r w:rsidR="00BC249C" w:rsidRPr="005A1AA4">
      <w:rPr>
        <w:color w:val="D9D9D9" w:themeColor="background1" w:themeShade="D9"/>
        <w:lang w:val="fr-FR"/>
      </w:rPr>
      <w:t>417820</w:t>
    </w:r>
    <w:r w:rsidRPr="00A6266C">
      <w:rPr>
        <w:color w:val="D9D9D9" w:themeColor="background1" w:themeShade="D9"/>
        <w:lang w:val="fr-CH"/>
      </w:rPr>
      <w:t>)</w:t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SAVEDATE \@ DD.MM.YY </w:instrText>
    </w:r>
    <w:r w:rsidRPr="00A6266C">
      <w:rPr>
        <w:color w:val="D9D9D9" w:themeColor="background1" w:themeShade="D9"/>
      </w:rPr>
      <w:fldChar w:fldCharType="separate"/>
    </w:r>
    <w:r w:rsidR="00BC249C">
      <w:rPr>
        <w:color w:val="D9D9D9" w:themeColor="background1" w:themeShade="D9"/>
      </w:rPr>
      <w:t>10.05.17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PRINTDATE \@ DD.MM.YY </w:instrText>
    </w:r>
    <w:r w:rsidRPr="00A6266C">
      <w:rPr>
        <w:color w:val="D9D9D9" w:themeColor="background1" w:themeShade="D9"/>
      </w:rPr>
      <w:fldChar w:fldCharType="separate"/>
    </w:r>
    <w:r w:rsidR="00BC249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6266C" w:rsidRDefault="00BF5A40" w:rsidP="004B5F93">
    <w:pPr>
      <w:pStyle w:val="Footer"/>
      <w:tabs>
        <w:tab w:val="clear" w:pos="5954"/>
        <w:tab w:val="clear" w:pos="9639"/>
        <w:tab w:val="left" w:pos="8505"/>
        <w:tab w:val="right" w:pos="14459"/>
      </w:tabs>
      <w:rPr>
        <w:color w:val="D9D9D9" w:themeColor="background1" w:themeShade="D9"/>
        <w:lang w:val="fr-CH"/>
      </w:rPr>
    </w:pP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  <w:lang w:val="fr-CH"/>
      </w:rPr>
      <w:instrText xml:space="preserve"> FILENAME \p  \* MERGEFORMAT </w:instrText>
    </w:r>
    <w:r w:rsidRPr="00A6266C">
      <w:rPr>
        <w:color w:val="D9D9D9" w:themeColor="background1" w:themeShade="D9"/>
      </w:rPr>
      <w:fldChar w:fldCharType="separate"/>
    </w:r>
    <w:r w:rsidR="004B5F93">
      <w:rPr>
        <w:color w:val="D9D9D9" w:themeColor="background1" w:themeShade="D9"/>
        <w:lang w:val="fr-CH"/>
      </w:rPr>
      <w:t>P:\RUS\SG\CONSEIL\C17\000\028REV1R.docx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 xml:space="preserve"> (</w:t>
    </w:r>
    <w:r w:rsidR="004B5F93">
      <w:rPr>
        <w:color w:val="D9D9D9" w:themeColor="background1" w:themeShade="D9"/>
        <w:lang w:val="fr-CH"/>
      </w:rPr>
      <w:t>417820</w:t>
    </w:r>
    <w:r w:rsidRPr="00A6266C">
      <w:rPr>
        <w:color w:val="D9D9D9" w:themeColor="background1" w:themeShade="D9"/>
        <w:lang w:val="fr-CH"/>
      </w:rPr>
      <w:t>)</w:t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SAVEDATE \@ DD.MM.YY </w:instrText>
    </w:r>
    <w:r w:rsidRPr="00A6266C">
      <w:rPr>
        <w:color w:val="D9D9D9" w:themeColor="background1" w:themeShade="D9"/>
      </w:rPr>
      <w:fldChar w:fldCharType="separate"/>
    </w:r>
    <w:r w:rsidR="004B5F93">
      <w:rPr>
        <w:color w:val="D9D9D9" w:themeColor="background1" w:themeShade="D9"/>
      </w:rPr>
      <w:t>10.05.17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PRINTDATE \@ DD.MM.YY </w:instrText>
    </w:r>
    <w:r w:rsidRPr="00A6266C">
      <w:rPr>
        <w:color w:val="D9D9D9" w:themeColor="background1" w:themeShade="D9"/>
      </w:rPr>
      <w:fldChar w:fldCharType="separate"/>
    </w:r>
    <w:r w:rsidR="004B5F93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6266C" w:rsidRDefault="00BF5A40" w:rsidP="00BC249C">
    <w:pPr>
      <w:pStyle w:val="Footer"/>
      <w:tabs>
        <w:tab w:val="clear" w:pos="5954"/>
        <w:tab w:val="clear" w:pos="9639"/>
        <w:tab w:val="left" w:pos="7371"/>
        <w:tab w:val="right" w:pos="13998"/>
      </w:tabs>
      <w:rPr>
        <w:color w:val="D9D9D9" w:themeColor="background1" w:themeShade="D9"/>
        <w:lang w:val="fr-CH"/>
      </w:rPr>
    </w:pP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  <w:lang w:val="fr-CH"/>
      </w:rPr>
      <w:instrText xml:space="preserve"> FILENAME \p  \* MERGEFORMAT </w:instrText>
    </w:r>
    <w:r w:rsidRPr="00A6266C">
      <w:rPr>
        <w:color w:val="D9D9D9" w:themeColor="background1" w:themeShade="D9"/>
      </w:rPr>
      <w:fldChar w:fldCharType="separate"/>
    </w:r>
    <w:r w:rsidR="00BC249C">
      <w:rPr>
        <w:color w:val="D9D9D9" w:themeColor="background1" w:themeShade="D9"/>
        <w:lang w:val="fr-CH"/>
      </w:rPr>
      <w:t>P:\RUS\SG\CONSEIL\C17\000\028REV1R.docx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 xml:space="preserve"> (</w:t>
    </w:r>
    <w:r w:rsidR="00BC249C" w:rsidRPr="005A1AA4">
      <w:rPr>
        <w:color w:val="D9D9D9" w:themeColor="background1" w:themeShade="D9"/>
        <w:lang w:val="fr-FR"/>
      </w:rPr>
      <w:t>417820</w:t>
    </w:r>
    <w:r w:rsidRPr="00A6266C">
      <w:rPr>
        <w:color w:val="D9D9D9" w:themeColor="background1" w:themeShade="D9"/>
        <w:lang w:val="fr-CH"/>
      </w:rPr>
      <w:t>)</w:t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SAVEDATE \@ DD.MM.YY </w:instrText>
    </w:r>
    <w:r w:rsidRPr="00A6266C">
      <w:rPr>
        <w:color w:val="D9D9D9" w:themeColor="background1" w:themeShade="D9"/>
      </w:rPr>
      <w:fldChar w:fldCharType="separate"/>
    </w:r>
    <w:r w:rsidR="00BC249C">
      <w:rPr>
        <w:color w:val="D9D9D9" w:themeColor="background1" w:themeShade="D9"/>
      </w:rPr>
      <w:t>10.05.17</w:t>
    </w:r>
    <w:r w:rsidRPr="00A6266C">
      <w:rPr>
        <w:color w:val="D9D9D9" w:themeColor="background1" w:themeShade="D9"/>
      </w:rPr>
      <w:fldChar w:fldCharType="end"/>
    </w:r>
    <w:r w:rsidRPr="00A6266C">
      <w:rPr>
        <w:color w:val="D9D9D9" w:themeColor="background1" w:themeShade="D9"/>
        <w:lang w:val="fr-CH"/>
      </w:rPr>
      <w:tab/>
    </w:r>
    <w:r w:rsidRPr="00A6266C">
      <w:rPr>
        <w:color w:val="D9D9D9" w:themeColor="background1" w:themeShade="D9"/>
      </w:rPr>
      <w:fldChar w:fldCharType="begin"/>
    </w:r>
    <w:r w:rsidRPr="00A6266C">
      <w:rPr>
        <w:color w:val="D9D9D9" w:themeColor="background1" w:themeShade="D9"/>
      </w:rPr>
      <w:instrText xml:space="preserve"> PRINTDATE \@ DD.MM.YY </w:instrText>
    </w:r>
    <w:r w:rsidRPr="00A6266C">
      <w:rPr>
        <w:color w:val="D9D9D9" w:themeColor="background1" w:themeShade="D9"/>
      </w:rPr>
      <w:fldChar w:fldCharType="separate"/>
    </w:r>
    <w:r w:rsidR="00BC249C">
      <w:rPr>
        <w:color w:val="D9D9D9" w:themeColor="background1" w:themeShade="D9"/>
      </w:rPr>
      <w:t>20.04.17</w:t>
    </w:r>
    <w:r w:rsidRPr="00A6266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E0" w:rsidRDefault="00576DE0" w:rsidP="00E54FD2">
      <w:pPr>
        <w:spacing w:before="0"/>
      </w:pPr>
      <w:r>
        <w:separator/>
      </w:r>
    </w:p>
  </w:footnote>
  <w:footnote w:type="continuationSeparator" w:id="0">
    <w:p w:rsidR="00576DE0" w:rsidRDefault="00576DE0" w:rsidP="00E54FD2">
      <w:pPr>
        <w:spacing w:before="0"/>
      </w:pPr>
      <w:r>
        <w:continuationSeparator/>
      </w:r>
    </w:p>
  </w:footnote>
  <w:footnote w:id="1">
    <w:p w:rsidR="00BF5A40" w:rsidRPr="002A66B2" w:rsidRDefault="00BF5A40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BF5A40" w:rsidRPr="00CE6F61" w:rsidRDefault="00BF5A40" w:rsidP="00F10124">
      <w:pPr>
        <w:pStyle w:val="FootnoteText"/>
        <w:rPr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>Ответственные по рискам будут назначены Директором Бюро.</w:t>
      </w:r>
    </w:p>
  </w:footnote>
  <w:footnote w:id="3">
    <w:p w:rsidR="006028BF" w:rsidRPr="002A66B2" w:rsidRDefault="006028BF" w:rsidP="006028B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93397F" w:rsidRPr="002A66B2" w:rsidRDefault="0093397F" w:rsidP="0093397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ab/>
      </w:r>
      <w:r w:rsidRPr="002A66B2">
        <w:rPr>
          <w:szCs w:val="20"/>
          <w:lang w:val="ru-RU"/>
        </w:rPr>
        <w:t>"Н. д." указывает на то, что значения показателей пока не представлены.</w:t>
      </w:r>
    </w:p>
  </w:footnote>
  <w:footnote w:id="5">
    <w:p w:rsidR="0093397F" w:rsidRPr="002A66B2" w:rsidRDefault="0093397F" w:rsidP="0093397F">
      <w:pPr>
        <w:pStyle w:val="FootnoteText"/>
        <w:rPr>
          <w:szCs w:val="20"/>
          <w:lang w:val="ru-RU"/>
        </w:rPr>
      </w:pPr>
      <w:r w:rsidRPr="002A66B2">
        <w:rPr>
          <w:rStyle w:val="FootnoteReference"/>
          <w:szCs w:val="16"/>
          <w:lang w:val="ru-RU"/>
        </w:rPr>
        <w:t>*</w:t>
      </w:r>
      <w:r w:rsidRPr="002A66B2">
        <w:rPr>
          <w:szCs w:val="20"/>
          <w:lang w:val="ru-RU"/>
        </w:rPr>
        <w:t xml:space="preserve"> </w:t>
      </w:r>
      <w:r w:rsidRPr="002A66B2">
        <w:rPr>
          <w:szCs w:val="20"/>
          <w:lang w:val="ru-RU"/>
        </w:rPr>
        <w:tab/>
      </w:r>
      <w:r w:rsidRPr="002A66B2">
        <w:rPr>
          <w:color w:val="000000"/>
          <w:szCs w:val="20"/>
          <w:lang w:val="ru-RU"/>
        </w:rPr>
        <w:t>Оценки.</w:t>
      </w:r>
    </w:p>
  </w:footnote>
  <w:footnote w:id="6">
    <w:p w:rsidR="0093397F" w:rsidRPr="002A66B2" w:rsidRDefault="0093397F" w:rsidP="0093397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lang w:val="ru-RU"/>
        </w:rPr>
        <w:t>*</w:t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</w:r>
      <w:r w:rsidRPr="002A66B2">
        <w:rPr>
          <w:color w:val="000000"/>
          <w:szCs w:val="20"/>
          <w:lang w:val="ru-RU"/>
        </w:rPr>
        <w:t>Оценки.</w:t>
      </w:r>
    </w:p>
  </w:footnote>
  <w:footnote w:id="7">
    <w:p w:rsidR="00B81BBF" w:rsidRPr="00CE6F61" w:rsidRDefault="00B81BBF" w:rsidP="00B81BBF">
      <w:pPr>
        <w:pStyle w:val="FootnoteText"/>
        <w:rPr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8">
    <w:p w:rsidR="00B81BBF" w:rsidRPr="00CE6F61" w:rsidRDefault="00B81BBF" w:rsidP="00B81BBF">
      <w:pPr>
        <w:pStyle w:val="FootnoteText"/>
        <w:rPr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rStyle w:val="FootnoteReference"/>
          <w:lang w:val="ru-RU"/>
        </w:rPr>
        <w:t xml:space="preserve"> </w:t>
      </w:r>
      <w:r w:rsidRPr="00CE6F61">
        <w:rPr>
          <w:lang w:val="ru-RU"/>
        </w:rPr>
        <w:tab/>
        <w:t>Это количество подходит только для целей сравнения, поскольку загрузка отдельного документа/публикации может считаться как несколько загрузок.</w:t>
      </w:r>
    </w:p>
  </w:footnote>
  <w:footnote w:id="9">
    <w:p w:rsidR="00CE6F61" w:rsidRPr="00CE6F61" w:rsidRDefault="00CE6F61" w:rsidP="00CE6F61">
      <w:pPr>
        <w:pStyle w:val="FootnoteText"/>
        <w:rPr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263BCE" w:rsidRDefault="00BF5A40" w:rsidP="00263BCE">
    <w:pPr>
      <w:pStyle w:val="Header"/>
    </w:pPr>
    <w:r w:rsidRPr="0074039B">
      <w:fldChar w:fldCharType="begin"/>
    </w:r>
    <w:r w:rsidRPr="0074039B">
      <w:instrText xml:space="preserve"> PAGE </w:instrText>
    </w:r>
    <w:r w:rsidRPr="0074039B">
      <w:fldChar w:fldCharType="separate"/>
    </w:r>
    <w:r w:rsidR="005A1AA4">
      <w:rPr>
        <w:noProof/>
      </w:rPr>
      <w:t>15</w:t>
    </w:r>
    <w:r w:rsidRPr="0074039B">
      <w:rPr>
        <w:noProof/>
      </w:rPr>
      <w:fldChar w:fldCharType="end"/>
    </w:r>
    <w:r w:rsidRPr="0074039B">
      <w:rPr>
        <w:lang w:val="es-ES"/>
      </w:rPr>
      <w:br/>
      <w:t>C</w:t>
    </w:r>
    <w:r w:rsidRPr="0074039B">
      <w:rPr>
        <w:lang w:val="ru-RU"/>
      </w:rPr>
      <w:t>1</w:t>
    </w:r>
    <w:r>
      <w:rPr>
        <w:lang w:val="ru-RU"/>
      </w:rPr>
      <w:t>7</w:t>
    </w:r>
    <w:r w:rsidRPr="0074039B">
      <w:rPr>
        <w:lang w:val="es-ES"/>
      </w:rPr>
      <w:t>/28</w:t>
    </w:r>
    <w:r w:rsidR="00BC249C">
      <w:rPr>
        <w:lang w:val="ru-RU"/>
      </w:rPr>
      <w:t>(</w:t>
    </w:r>
    <w:r w:rsidR="00BC249C">
      <w:rPr>
        <w:lang w:val="en-US"/>
      </w:rPr>
      <w:t>Rev.1)</w:t>
    </w:r>
    <w:r w:rsidRPr="0074039B"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40" w:rsidRPr="00A6266C" w:rsidRDefault="00BF5A40" w:rsidP="00263BCE">
    <w:pPr>
      <w:pStyle w:val="Header"/>
      <w:rPr>
        <w:color w:val="D9D9D9" w:themeColor="background1" w:themeShade="D9"/>
      </w:rPr>
    </w:pPr>
    <w:r w:rsidRPr="0074039B">
      <w:fldChar w:fldCharType="begin"/>
    </w:r>
    <w:r w:rsidRPr="0074039B">
      <w:instrText xml:space="preserve"> PAGE </w:instrText>
    </w:r>
    <w:r w:rsidRPr="0074039B">
      <w:fldChar w:fldCharType="separate"/>
    </w:r>
    <w:r w:rsidR="004B5F93">
      <w:rPr>
        <w:noProof/>
      </w:rPr>
      <w:t>2</w:t>
    </w:r>
    <w:r w:rsidRPr="0074039B">
      <w:rPr>
        <w:noProof/>
      </w:rPr>
      <w:fldChar w:fldCharType="end"/>
    </w:r>
    <w:r w:rsidRPr="0074039B">
      <w:rPr>
        <w:lang w:val="es-ES"/>
      </w:rPr>
      <w:br/>
    </w:r>
    <w:r w:rsidRPr="00A6266C">
      <w:rPr>
        <w:color w:val="D9D9D9" w:themeColor="background1" w:themeShade="D9"/>
        <w:lang w:val="es-ES"/>
      </w:rPr>
      <w:t>C</w:t>
    </w:r>
    <w:r w:rsidRPr="00A6266C">
      <w:rPr>
        <w:color w:val="D9D9D9" w:themeColor="background1" w:themeShade="D9"/>
        <w:lang w:val="ru-RU"/>
      </w:rPr>
      <w:t>17</w:t>
    </w:r>
    <w:r w:rsidRPr="00A6266C">
      <w:rPr>
        <w:color w:val="D9D9D9" w:themeColor="background1" w:themeShade="D9"/>
        <w:lang w:val="es-ES"/>
      </w:rPr>
      <w:t>/28-R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>
    <w:nsid w:val="42417C3A"/>
    <w:multiLevelType w:val="hybridMultilevel"/>
    <w:tmpl w:val="31E8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4"/>
  </w:num>
  <w:num w:numId="18">
    <w:abstractNumId w:val="16"/>
  </w:num>
  <w:num w:numId="19">
    <w:abstractNumId w:val="4"/>
  </w:num>
  <w:num w:numId="20">
    <w:abstractNumId w:val="11"/>
  </w:num>
  <w:num w:numId="21">
    <w:abstractNumId w:val="28"/>
  </w:num>
  <w:num w:numId="22">
    <w:abstractNumId w:val="2"/>
  </w:num>
  <w:num w:numId="23">
    <w:abstractNumId w:val="22"/>
  </w:num>
  <w:num w:numId="24">
    <w:abstractNumId w:val="23"/>
  </w:num>
  <w:num w:numId="25">
    <w:abstractNumId w:val="29"/>
  </w:num>
  <w:num w:numId="26">
    <w:abstractNumId w:val="18"/>
  </w:num>
  <w:num w:numId="27">
    <w:abstractNumId w:val="12"/>
  </w:num>
  <w:num w:numId="28">
    <w:abstractNumId w:val="1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03724"/>
    <w:rsid w:val="00021552"/>
    <w:rsid w:val="00043E0C"/>
    <w:rsid w:val="00066982"/>
    <w:rsid w:val="000B31A7"/>
    <w:rsid w:val="001030F3"/>
    <w:rsid w:val="00107E03"/>
    <w:rsid w:val="00132F86"/>
    <w:rsid w:val="001445FC"/>
    <w:rsid w:val="00161D8E"/>
    <w:rsid w:val="0016302C"/>
    <w:rsid w:val="00164BBA"/>
    <w:rsid w:val="0019434A"/>
    <w:rsid w:val="001A7B2D"/>
    <w:rsid w:val="002236F8"/>
    <w:rsid w:val="00225828"/>
    <w:rsid w:val="002300A1"/>
    <w:rsid w:val="00244A14"/>
    <w:rsid w:val="00250B49"/>
    <w:rsid w:val="00263BCE"/>
    <w:rsid w:val="002717CC"/>
    <w:rsid w:val="00286BAF"/>
    <w:rsid w:val="00294162"/>
    <w:rsid w:val="002A110D"/>
    <w:rsid w:val="002A4E3A"/>
    <w:rsid w:val="002A66B2"/>
    <w:rsid w:val="002D25B6"/>
    <w:rsid w:val="002D3C4E"/>
    <w:rsid w:val="002F66FC"/>
    <w:rsid w:val="0031156B"/>
    <w:rsid w:val="00316454"/>
    <w:rsid w:val="00331D50"/>
    <w:rsid w:val="00332DE2"/>
    <w:rsid w:val="003414BF"/>
    <w:rsid w:val="0039251C"/>
    <w:rsid w:val="00396FB6"/>
    <w:rsid w:val="003A294B"/>
    <w:rsid w:val="003C409B"/>
    <w:rsid w:val="003D4713"/>
    <w:rsid w:val="003E166C"/>
    <w:rsid w:val="003F718A"/>
    <w:rsid w:val="00400868"/>
    <w:rsid w:val="00422053"/>
    <w:rsid w:val="004245D5"/>
    <w:rsid w:val="00435720"/>
    <w:rsid w:val="0044060D"/>
    <w:rsid w:val="004501D7"/>
    <w:rsid w:val="00472B17"/>
    <w:rsid w:val="004746DB"/>
    <w:rsid w:val="00475213"/>
    <w:rsid w:val="004752B7"/>
    <w:rsid w:val="00483D73"/>
    <w:rsid w:val="004853FB"/>
    <w:rsid w:val="00492670"/>
    <w:rsid w:val="004B57CA"/>
    <w:rsid w:val="004B5F93"/>
    <w:rsid w:val="004B6FE2"/>
    <w:rsid w:val="00540BE1"/>
    <w:rsid w:val="00541F20"/>
    <w:rsid w:val="005765C4"/>
    <w:rsid w:val="00576DE0"/>
    <w:rsid w:val="005831A4"/>
    <w:rsid w:val="00592B25"/>
    <w:rsid w:val="005A1AA4"/>
    <w:rsid w:val="005A6200"/>
    <w:rsid w:val="005B676E"/>
    <w:rsid w:val="005D0046"/>
    <w:rsid w:val="005D3EAF"/>
    <w:rsid w:val="005D4CB8"/>
    <w:rsid w:val="005F17DF"/>
    <w:rsid w:val="006028BF"/>
    <w:rsid w:val="00631A6B"/>
    <w:rsid w:val="006333AF"/>
    <w:rsid w:val="006407C0"/>
    <w:rsid w:val="006462E6"/>
    <w:rsid w:val="00654AF0"/>
    <w:rsid w:val="00655923"/>
    <w:rsid w:val="00657E31"/>
    <w:rsid w:val="00673C3C"/>
    <w:rsid w:val="00675597"/>
    <w:rsid w:val="0068520B"/>
    <w:rsid w:val="00690B52"/>
    <w:rsid w:val="006A5A8C"/>
    <w:rsid w:val="006B460B"/>
    <w:rsid w:val="006C142B"/>
    <w:rsid w:val="00701E31"/>
    <w:rsid w:val="0071085D"/>
    <w:rsid w:val="007216EE"/>
    <w:rsid w:val="0074039B"/>
    <w:rsid w:val="007411AF"/>
    <w:rsid w:val="00756573"/>
    <w:rsid w:val="00766213"/>
    <w:rsid w:val="0077452E"/>
    <w:rsid w:val="007814C7"/>
    <w:rsid w:val="007911BA"/>
    <w:rsid w:val="00795F64"/>
    <w:rsid w:val="007A08DC"/>
    <w:rsid w:val="007B3F0A"/>
    <w:rsid w:val="007C6633"/>
    <w:rsid w:val="007E0BE5"/>
    <w:rsid w:val="007E5959"/>
    <w:rsid w:val="00800E40"/>
    <w:rsid w:val="00801A82"/>
    <w:rsid w:val="00805C90"/>
    <w:rsid w:val="00811112"/>
    <w:rsid w:val="0082235F"/>
    <w:rsid w:val="00824C89"/>
    <w:rsid w:val="00833242"/>
    <w:rsid w:val="0083567A"/>
    <w:rsid w:val="008467A2"/>
    <w:rsid w:val="00852E36"/>
    <w:rsid w:val="0085762D"/>
    <w:rsid w:val="008615E8"/>
    <w:rsid w:val="00874AAA"/>
    <w:rsid w:val="0088044F"/>
    <w:rsid w:val="00886A1D"/>
    <w:rsid w:val="008917B2"/>
    <w:rsid w:val="008A428E"/>
    <w:rsid w:val="008B4179"/>
    <w:rsid w:val="008C576E"/>
    <w:rsid w:val="008C7D35"/>
    <w:rsid w:val="008F2B74"/>
    <w:rsid w:val="0093397F"/>
    <w:rsid w:val="00954A76"/>
    <w:rsid w:val="00956EE2"/>
    <w:rsid w:val="00960BBF"/>
    <w:rsid w:val="009620BE"/>
    <w:rsid w:val="00963E98"/>
    <w:rsid w:val="00964239"/>
    <w:rsid w:val="00991069"/>
    <w:rsid w:val="009933E6"/>
    <w:rsid w:val="009C5B8E"/>
    <w:rsid w:val="009F6E71"/>
    <w:rsid w:val="00A01666"/>
    <w:rsid w:val="00A05950"/>
    <w:rsid w:val="00A361E8"/>
    <w:rsid w:val="00A40C94"/>
    <w:rsid w:val="00A540A5"/>
    <w:rsid w:val="00A572E8"/>
    <w:rsid w:val="00A6266C"/>
    <w:rsid w:val="00A72358"/>
    <w:rsid w:val="00A87286"/>
    <w:rsid w:val="00A90869"/>
    <w:rsid w:val="00AA4E63"/>
    <w:rsid w:val="00AC4328"/>
    <w:rsid w:val="00AD1365"/>
    <w:rsid w:val="00AE0BB7"/>
    <w:rsid w:val="00AE182C"/>
    <w:rsid w:val="00AE1BA7"/>
    <w:rsid w:val="00AF59EC"/>
    <w:rsid w:val="00B06017"/>
    <w:rsid w:val="00B43FA9"/>
    <w:rsid w:val="00B716EC"/>
    <w:rsid w:val="00B726C0"/>
    <w:rsid w:val="00B735CD"/>
    <w:rsid w:val="00B81BBF"/>
    <w:rsid w:val="00B933BC"/>
    <w:rsid w:val="00BA57FD"/>
    <w:rsid w:val="00BC249C"/>
    <w:rsid w:val="00BD2208"/>
    <w:rsid w:val="00BE2B46"/>
    <w:rsid w:val="00BE6C6B"/>
    <w:rsid w:val="00BF075D"/>
    <w:rsid w:val="00BF5A40"/>
    <w:rsid w:val="00C10C81"/>
    <w:rsid w:val="00C143C8"/>
    <w:rsid w:val="00C17879"/>
    <w:rsid w:val="00C43832"/>
    <w:rsid w:val="00C45F39"/>
    <w:rsid w:val="00C55F2F"/>
    <w:rsid w:val="00C62E82"/>
    <w:rsid w:val="00C8099D"/>
    <w:rsid w:val="00C84CCD"/>
    <w:rsid w:val="00CA6718"/>
    <w:rsid w:val="00CE0328"/>
    <w:rsid w:val="00CE37A1"/>
    <w:rsid w:val="00CE395B"/>
    <w:rsid w:val="00CE6F61"/>
    <w:rsid w:val="00CF55F8"/>
    <w:rsid w:val="00CF7F0C"/>
    <w:rsid w:val="00D1195C"/>
    <w:rsid w:val="00D16175"/>
    <w:rsid w:val="00D1759C"/>
    <w:rsid w:val="00D20C44"/>
    <w:rsid w:val="00D26227"/>
    <w:rsid w:val="00D27970"/>
    <w:rsid w:val="00D31F1E"/>
    <w:rsid w:val="00D54998"/>
    <w:rsid w:val="00D549C3"/>
    <w:rsid w:val="00D552D6"/>
    <w:rsid w:val="00D57448"/>
    <w:rsid w:val="00D721D7"/>
    <w:rsid w:val="00D8629A"/>
    <w:rsid w:val="00D923CD"/>
    <w:rsid w:val="00D951C3"/>
    <w:rsid w:val="00DA4610"/>
    <w:rsid w:val="00DB6A19"/>
    <w:rsid w:val="00DD42BE"/>
    <w:rsid w:val="00DE57BD"/>
    <w:rsid w:val="00E105EC"/>
    <w:rsid w:val="00E110D3"/>
    <w:rsid w:val="00E16697"/>
    <w:rsid w:val="00E21FF4"/>
    <w:rsid w:val="00E27599"/>
    <w:rsid w:val="00E337C9"/>
    <w:rsid w:val="00E33F66"/>
    <w:rsid w:val="00E340F8"/>
    <w:rsid w:val="00E464EA"/>
    <w:rsid w:val="00E54FD2"/>
    <w:rsid w:val="00E62CCD"/>
    <w:rsid w:val="00E80A68"/>
    <w:rsid w:val="00E82D31"/>
    <w:rsid w:val="00E90A02"/>
    <w:rsid w:val="00E97EDE"/>
    <w:rsid w:val="00EB6AE4"/>
    <w:rsid w:val="00EC1FE9"/>
    <w:rsid w:val="00EE153D"/>
    <w:rsid w:val="00F00D82"/>
    <w:rsid w:val="00F10124"/>
    <w:rsid w:val="00F145B3"/>
    <w:rsid w:val="00F3332A"/>
    <w:rsid w:val="00F611C0"/>
    <w:rsid w:val="00F72A94"/>
    <w:rsid w:val="00F75AFE"/>
    <w:rsid w:val="00F771E1"/>
    <w:rsid w:val="00F84955"/>
    <w:rsid w:val="00F972F9"/>
    <w:rsid w:val="00FA638D"/>
    <w:rsid w:val="00FB0364"/>
    <w:rsid w:val="00FB041F"/>
    <w:rsid w:val="00FB071F"/>
    <w:rsid w:val="00FC055C"/>
    <w:rsid w:val="00FC1008"/>
    <w:rsid w:val="00FF1D61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200ED1-DA5F-4E2D-8D6F-125838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B041F"/>
    <w:pPr>
      <w:keepNext/>
      <w:keepLines/>
      <w:spacing w:before="480"/>
      <w:ind w:left="794" w:hanging="794"/>
      <w:outlineLvl w:val="0"/>
    </w:pPr>
    <w:rPr>
      <w:rFonts w:cs="Times New Roman Bold"/>
      <w:b/>
      <w:color w:val="4F81BD" w:themeColor="accent1"/>
      <w:sz w:val="26"/>
    </w:rPr>
  </w:style>
  <w:style w:type="paragraph" w:styleId="Heading2">
    <w:name w:val="heading 2"/>
    <w:basedOn w:val="Heading1"/>
    <w:next w:val="Normal"/>
    <w:link w:val="Heading2Char"/>
    <w:qFormat/>
    <w:rsid w:val="0088044F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110D3"/>
    <w:pPr>
      <w:spacing w:before="80"/>
      <w:ind w:left="794" w:hanging="794"/>
    </w:pPr>
  </w:style>
  <w:style w:type="paragraph" w:customStyle="1" w:styleId="enumlev2">
    <w:name w:val="enumlev2"/>
    <w:basedOn w:val="enumlev1"/>
    <w:rsid w:val="00886A1D"/>
    <w:pPr>
      <w:ind w:left="1191" w:hanging="39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396FB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6FB6"/>
    <w:rPr>
      <w:rFonts w:ascii="Calibri" w:eastAsia="Times New Roman" w:hAnsi="Calibri" w:cs="Times New Roman"/>
      <w:sz w:val="20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B041F"/>
    <w:rPr>
      <w:rFonts w:ascii="Calibri" w:eastAsia="Times New Roman" w:hAnsi="Calibri" w:cs="Times New Roman Bold"/>
      <w:b/>
      <w:color w:val="4F81BD" w:themeColor="accent1"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044F"/>
    <w:rPr>
      <w:rFonts w:ascii="Calibri" w:eastAsia="Times New Roman" w:hAnsi="Calibri" w:cs="Times New Roman Bold"/>
      <w:b/>
      <w:color w:val="4F81BD" w:themeColor="accent1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E37A1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rsid w:val="00690B52"/>
    <w:pPr>
      <w:framePr w:hSpace="180" w:wrap="around" w:vAnchor="page" w:hAnchor="margin" w:y="905"/>
      <w:spacing w:before="720"/>
      <w:jc w:val="center"/>
    </w:pPr>
    <w:rPr>
      <w:b/>
      <w:sz w:val="26"/>
      <w:lang w:val="ru-RU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8F2B7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8F2B74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CE395B"/>
    <w:pPr>
      <w:ind w:left="1698"/>
    </w:pPr>
    <w:rPr>
      <w:rFonts w:asciiTheme="minorHAnsi" w:hAnsiTheme="minorHAnsi"/>
      <w:sz w:val="24"/>
      <w:szCs w:val="20"/>
    </w:rPr>
  </w:style>
  <w:style w:type="paragraph" w:styleId="Index6">
    <w:name w:val="index 6"/>
    <w:basedOn w:val="Normal"/>
    <w:next w:val="Normal"/>
    <w:rsid w:val="00CE395B"/>
    <w:pPr>
      <w:ind w:left="1415"/>
    </w:pPr>
    <w:rPr>
      <w:rFonts w:asciiTheme="minorHAnsi" w:hAnsiTheme="minorHAnsi"/>
      <w:sz w:val="24"/>
      <w:szCs w:val="20"/>
    </w:rPr>
  </w:style>
  <w:style w:type="paragraph" w:styleId="Index5">
    <w:name w:val="index 5"/>
    <w:basedOn w:val="Normal"/>
    <w:next w:val="Normal"/>
    <w:rsid w:val="00CE395B"/>
    <w:pPr>
      <w:ind w:left="1132"/>
    </w:pPr>
    <w:rPr>
      <w:rFonts w:asciiTheme="minorHAnsi" w:hAnsiTheme="minorHAnsi"/>
      <w:sz w:val="24"/>
      <w:szCs w:val="20"/>
    </w:rPr>
  </w:style>
  <w:style w:type="paragraph" w:styleId="Index4">
    <w:name w:val="index 4"/>
    <w:basedOn w:val="Normal"/>
    <w:next w:val="Normal"/>
    <w:rsid w:val="00CE395B"/>
    <w:pPr>
      <w:ind w:left="849"/>
    </w:pPr>
    <w:rPr>
      <w:rFonts w:asciiTheme="minorHAnsi" w:hAnsiTheme="minorHAnsi"/>
      <w:sz w:val="24"/>
      <w:szCs w:val="20"/>
    </w:rPr>
  </w:style>
  <w:style w:type="paragraph" w:styleId="Index3">
    <w:name w:val="index 3"/>
    <w:basedOn w:val="Normal"/>
    <w:next w:val="Normal"/>
    <w:rsid w:val="00CE395B"/>
    <w:pPr>
      <w:ind w:left="566"/>
    </w:pPr>
    <w:rPr>
      <w:rFonts w:asciiTheme="minorHAnsi" w:hAnsiTheme="minorHAnsi"/>
      <w:sz w:val="24"/>
      <w:szCs w:val="20"/>
    </w:rPr>
  </w:style>
  <w:style w:type="paragraph" w:styleId="Index2">
    <w:name w:val="index 2"/>
    <w:basedOn w:val="Normal"/>
    <w:next w:val="Normal"/>
    <w:rsid w:val="00CE395B"/>
    <w:pPr>
      <w:ind w:left="283"/>
    </w:pPr>
    <w:rPr>
      <w:rFonts w:asciiTheme="minorHAnsi" w:hAnsiTheme="minorHAnsi"/>
      <w:sz w:val="24"/>
      <w:szCs w:val="20"/>
    </w:rPr>
  </w:style>
  <w:style w:type="paragraph" w:styleId="Index1">
    <w:name w:val="index 1"/>
    <w:basedOn w:val="Normal"/>
    <w:next w:val="Normal"/>
    <w:rsid w:val="00CE395B"/>
    <w:rPr>
      <w:rFonts w:asciiTheme="minorHAnsi" w:hAnsiTheme="minorHAnsi"/>
      <w:sz w:val="24"/>
      <w:szCs w:val="20"/>
    </w:rPr>
  </w:style>
  <w:style w:type="character" w:styleId="LineNumber">
    <w:name w:val="line number"/>
    <w:basedOn w:val="DefaultParagraphFont"/>
    <w:rsid w:val="00CE395B"/>
  </w:style>
  <w:style w:type="paragraph" w:styleId="IndexHeading">
    <w:name w:val="index heading"/>
    <w:basedOn w:val="Normal"/>
    <w:next w:val="Index1"/>
    <w:rsid w:val="00CE395B"/>
    <w:rPr>
      <w:rFonts w:asciiTheme="minorHAnsi" w:hAnsiTheme="minorHAnsi"/>
      <w:sz w:val="24"/>
      <w:szCs w:val="20"/>
    </w:rPr>
  </w:style>
  <w:style w:type="paragraph" w:customStyle="1" w:styleId="Equation">
    <w:name w:val="Equation"/>
    <w:basedOn w:val="Normal"/>
    <w:rsid w:val="00CE39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</w:rPr>
  </w:style>
  <w:style w:type="paragraph" w:customStyle="1" w:styleId="ASN1">
    <w:name w:val="ASN.1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</w:rPr>
  </w:style>
  <w:style w:type="paragraph" w:styleId="TOC9">
    <w:name w:val="toc 9"/>
    <w:basedOn w:val="TOC3"/>
    <w:next w:val="Normal"/>
    <w:rsid w:val="00CE395B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</w:rPr>
  </w:style>
  <w:style w:type="paragraph" w:customStyle="1" w:styleId="Title4">
    <w:name w:val="Title 4"/>
    <w:basedOn w:val="Title3"/>
    <w:next w:val="Heading1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left"/>
    </w:pPr>
    <w:rPr>
      <w:rFonts w:asciiTheme="minorHAnsi" w:hAnsiTheme="minorHAnsi" w:cs="Times New Roman Bold"/>
      <w:b/>
      <w:sz w:val="24"/>
      <w:szCs w:val="20"/>
      <w:lang w:val="en-GB"/>
    </w:rPr>
  </w:style>
  <w:style w:type="character" w:customStyle="1" w:styleId="Appdef">
    <w:name w:val="App_def"/>
    <w:basedOn w:val="DefaultParagraphFont"/>
    <w:rsid w:val="00CE395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CE395B"/>
    <w:rPr>
      <w:rFonts w:asciiTheme="minorHAnsi" w:hAnsiTheme="minorHAnsi"/>
    </w:rPr>
  </w:style>
  <w:style w:type="character" w:customStyle="1" w:styleId="Artdef">
    <w:name w:val="Art_def"/>
    <w:basedOn w:val="DefaultParagraphFont"/>
    <w:rsid w:val="00CE395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CE395B"/>
  </w:style>
  <w:style w:type="paragraph" w:customStyle="1" w:styleId="ddate">
    <w:name w:val="ddate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paragraph" w:customStyle="1" w:styleId="dnum">
    <w:name w:val="dnum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</w:rPr>
  </w:style>
  <w:style w:type="paragraph" w:customStyle="1" w:styleId="dorlang">
    <w:name w:val="dorlang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character" w:styleId="EndnoteReference">
    <w:name w:val="endnote reference"/>
    <w:basedOn w:val="DefaultParagraphFont"/>
    <w:rsid w:val="00CE395B"/>
    <w:rPr>
      <w:vertAlign w:val="superscript"/>
    </w:rPr>
  </w:style>
  <w:style w:type="paragraph" w:customStyle="1" w:styleId="Equationlegend">
    <w:name w:val="Equation_legend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</w:rPr>
  </w:style>
  <w:style w:type="paragraph" w:customStyle="1" w:styleId="Figurelegend">
    <w:name w:val="Figure_legend"/>
    <w:basedOn w:val="Normal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</w:rPr>
  </w:style>
  <w:style w:type="paragraph" w:customStyle="1" w:styleId="FigureNo">
    <w:name w:val="Figure_No"/>
    <w:basedOn w:val="Normal"/>
    <w:next w:val="Figuretitle"/>
    <w:rsid w:val="00CE395B"/>
    <w:pPr>
      <w:keepNext/>
      <w:keepLines/>
      <w:spacing w:before="480" w:after="120"/>
      <w:jc w:val="center"/>
    </w:pPr>
    <w:rPr>
      <w:rFonts w:asciiTheme="minorHAnsi" w:hAnsiTheme="minorHAnsi"/>
      <w:caps/>
      <w:sz w:val="24"/>
      <w:szCs w:val="20"/>
    </w:rPr>
  </w:style>
  <w:style w:type="paragraph" w:customStyle="1" w:styleId="Figuretitle">
    <w:name w:val="Figure_title"/>
    <w:basedOn w:val="Tabletitle"/>
    <w:next w:val="Normal"/>
    <w:rsid w:val="00E110D3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Cs w:val="20"/>
    </w:rPr>
  </w:style>
  <w:style w:type="paragraph" w:customStyle="1" w:styleId="Figurewithouttitle">
    <w:name w:val="Figure_without_title"/>
    <w:basedOn w:val="FigureNo"/>
    <w:next w:val="Normal"/>
    <w:rsid w:val="00CE395B"/>
    <w:pPr>
      <w:keepNext w:val="0"/>
    </w:pPr>
  </w:style>
  <w:style w:type="paragraph" w:customStyle="1" w:styleId="PartNo">
    <w:name w:val="Part_No"/>
    <w:basedOn w:val="AnnexNo"/>
    <w:next w:val="Partref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Partref">
    <w:name w:val="Part_ref"/>
    <w:basedOn w:val="Annexref"/>
    <w:next w:val="Parttitle"/>
    <w:rsid w:val="00CE395B"/>
    <w:pPr>
      <w:keepNext/>
      <w:keepLines/>
      <w:spacing w:after="280"/>
    </w:pPr>
    <w:rPr>
      <w:rFonts w:asciiTheme="minorHAnsi" w:hAnsiTheme="minorHAnsi"/>
      <w:sz w:val="24"/>
      <w:szCs w:val="20"/>
    </w:rPr>
  </w:style>
  <w:style w:type="paragraph" w:customStyle="1" w:styleId="Parttitle">
    <w:name w:val="Part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Recref">
    <w:name w:val="Rec_ref"/>
    <w:basedOn w:val="Rectitle"/>
    <w:next w:val="Recdate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</w:rPr>
  </w:style>
  <w:style w:type="paragraph" w:customStyle="1" w:styleId="Recdate">
    <w:name w:val="Rec_date"/>
    <w:basedOn w:val="Recref"/>
    <w:next w:val="Normalaftertitle"/>
    <w:rsid w:val="00CE39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E395B"/>
  </w:style>
  <w:style w:type="paragraph" w:customStyle="1" w:styleId="QuestionNo">
    <w:name w:val="Question_No"/>
    <w:basedOn w:val="RecNo"/>
    <w:next w:val="Question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Questionref">
    <w:name w:val="Question_ref"/>
    <w:basedOn w:val="Recref"/>
    <w:next w:val="Questiondate"/>
    <w:rsid w:val="00CE395B"/>
  </w:style>
  <w:style w:type="character" w:customStyle="1" w:styleId="Recdef">
    <w:name w:val="Rec_def"/>
    <w:basedOn w:val="DefaultParagraphFont"/>
    <w:rsid w:val="00CE395B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CE395B"/>
  </w:style>
  <w:style w:type="paragraph" w:customStyle="1" w:styleId="RepNo">
    <w:name w:val="Rep_No"/>
    <w:basedOn w:val="RecNo"/>
    <w:next w:val="Rep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Reptitle">
    <w:name w:val="Rep_title"/>
    <w:basedOn w:val="Rectitle"/>
    <w:next w:val="Rep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Repref">
    <w:name w:val="Rep_ref"/>
    <w:basedOn w:val="Recref"/>
    <w:next w:val="Repdate"/>
    <w:rsid w:val="00CE395B"/>
  </w:style>
  <w:style w:type="paragraph" w:customStyle="1" w:styleId="Resdate">
    <w:name w:val="Res_date"/>
    <w:basedOn w:val="Recdate"/>
    <w:next w:val="Normalaftertitle"/>
    <w:rsid w:val="00CE395B"/>
  </w:style>
  <w:style w:type="character" w:customStyle="1" w:styleId="Resdef">
    <w:name w:val="Res_def"/>
    <w:basedOn w:val="DefaultParagraphFont"/>
    <w:rsid w:val="00CE395B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95B"/>
  </w:style>
  <w:style w:type="paragraph" w:customStyle="1" w:styleId="SectionNo">
    <w:name w:val="Section_No"/>
    <w:basedOn w:val="AnnexNo"/>
    <w:next w:val="Sectiontitle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Sectiontitle">
    <w:name w:val="Section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SpecialFooter">
    <w:name w:val="Special Footer"/>
    <w:basedOn w:val="Footer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CE395B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CE395B"/>
    <w:pPr>
      <w:keepNext/>
      <w:spacing w:before="0" w:after="120"/>
      <w:jc w:val="center"/>
    </w:pPr>
    <w:rPr>
      <w:rFonts w:asciiTheme="minorHAnsi" w:hAnsiTheme="minorHAnsi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CE39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95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9F6E71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</w:rPr>
  </w:style>
  <w:style w:type="paragraph" w:styleId="List">
    <w:name w:val="List"/>
    <w:basedOn w:val="Normal"/>
    <w:rsid w:val="009F6E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</w:rPr>
  </w:style>
  <w:style w:type="paragraph" w:customStyle="1" w:styleId="docnoted">
    <w:name w:val="docnoted"/>
    <w:basedOn w:val="Normal"/>
    <w:next w:val="Head"/>
    <w:rsid w:val="009F6E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</w:rPr>
  </w:style>
  <w:style w:type="paragraph" w:customStyle="1" w:styleId="meeting">
    <w:name w:val="meeting"/>
    <w:basedOn w:val="Head"/>
    <w:next w:val="Head"/>
    <w:rsid w:val="009F6E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6E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</w:rPr>
  </w:style>
  <w:style w:type="paragraph" w:customStyle="1" w:styleId="Object">
    <w:name w:val="Object"/>
    <w:basedOn w:val="Subject"/>
    <w:next w:val="Subject"/>
    <w:rsid w:val="009F6E71"/>
  </w:style>
  <w:style w:type="paragraph" w:customStyle="1" w:styleId="Data">
    <w:name w:val="Data"/>
    <w:basedOn w:val="Subject"/>
    <w:next w:val="Subject"/>
    <w:rsid w:val="009F6E71"/>
  </w:style>
  <w:style w:type="paragraph" w:customStyle="1" w:styleId="Figure">
    <w:name w:val="Figure"/>
    <w:basedOn w:val="Normal"/>
    <w:next w:val="Figuretitle"/>
    <w:rsid w:val="009F6E71"/>
    <w:pPr>
      <w:keepNext/>
      <w:keepLines/>
      <w:spacing w:after="1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9F6E71"/>
    <w:pPr>
      <w:ind w:left="720"/>
      <w:contextualSpacing/>
    </w:pPr>
    <w:rPr>
      <w:szCs w:val="20"/>
    </w:rPr>
  </w:style>
  <w:style w:type="character" w:customStyle="1" w:styleId="enumlev1Char">
    <w:name w:val="enumlev1 Char"/>
    <w:basedOn w:val="DefaultParagraphFont"/>
    <w:link w:val="enumlev1"/>
    <w:locked/>
    <w:rsid w:val="00E110D3"/>
    <w:rPr>
      <w:rFonts w:ascii="Calibri" w:eastAsia="Times New Roman" w:hAnsi="Calibri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6E71"/>
    <w:rPr>
      <w:rFonts w:asciiTheme="majorHAnsi" w:eastAsiaTheme="majorEastAsia" w:hAnsiTheme="majorHAnsi" w:cstheme="majorBidi"/>
      <w:spacing w:val="-10"/>
      <w:kern w:val="28"/>
      <w:sz w:val="52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F6E71"/>
    <w:rPr>
      <w:color w:val="808080"/>
    </w:rPr>
  </w:style>
  <w:style w:type="character" w:styleId="Strong">
    <w:name w:val="Strong"/>
    <w:basedOn w:val="DefaultParagraphFont"/>
    <w:uiPriority w:val="22"/>
    <w:qFormat/>
    <w:rsid w:val="009F6E7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71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71"/>
    <w:rPr>
      <w:rFonts w:eastAsiaTheme="minorHAnsi"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F6E7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6E7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9F6E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9F6E71"/>
    <w:rPr>
      <w:rFonts w:eastAsiaTheme="minorHAnsi"/>
      <w:b/>
      <w:lang w:val="en-US" w:eastAsia="en-US"/>
    </w:rPr>
  </w:style>
  <w:style w:type="paragraph" w:customStyle="1" w:styleId="Ideas">
    <w:name w:val="Ideas"/>
    <w:basedOn w:val="Heading1"/>
    <w:link w:val="IdeasChar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9F6E71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71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71"/>
    <w:rPr>
      <w:rFonts w:eastAsiaTheme="minorHAnsi"/>
      <w:b/>
      <w:bCs/>
      <w:sz w:val="20"/>
      <w:szCs w:val="20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9F6E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9F6E71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table" w:customStyle="1" w:styleId="GridTable4-Accent12">
    <w:name w:val="Grid Table 4 - Accent 12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customStyle="1" w:styleId="SourceChar">
    <w:name w:val="Source Char"/>
    <w:link w:val="Source"/>
    <w:locked/>
    <w:rsid w:val="00690B52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9933E6"/>
    <w:rPr>
      <w:rFonts w:ascii="Calibri" w:eastAsia="Times New Roman" w:hAnsi="Calibri" w:cs="Times New Roman"/>
      <w:caps/>
      <w:sz w:val="26"/>
      <w:lang w:val="ru-RU" w:eastAsia="en-US"/>
    </w:rPr>
  </w:style>
  <w:style w:type="table" w:styleId="GridTable4-Accent1">
    <w:name w:val="Grid Table 4 Accent 1"/>
    <w:basedOn w:val="TableNormal"/>
    <w:uiPriority w:val="49"/>
    <w:rsid w:val="00D20C4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esNoChar">
    <w:name w:val="Res_No Char"/>
    <w:basedOn w:val="DefaultParagraphFont"/>
    <w:link w:val="ResNo"/>
    <w:locked/>
    <w:rsid w:val="00690B52"/>
    <w:rPr>
      <w:rFonts w:ascii="Calibri" w:eastAsia="Times New Roman" w:hAnsi="Calibri" w:cs="Times New Roman"/>
      <w:caps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540BE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13">
    <w:name w:val="Grid Table 4 - Accent 13"/>
    <w:basedOn w:val="TableNormal"/>
    <w:next w:val="GridTable4-Accent1"/>
    <w:uiPriority w:val="49"/>
    <w:rsid w:val="004853F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93397F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dms_pub/itu-s/opb/conf/S-CONF-ACTF-2014-PDF-E.pdf" TargetMode="External"/><Relationship Id="rId18" Type="http://schemas.openxmlformats.org/officeDocument/2006/relationships/image" Target="media/image2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euroconsult-ec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Basic-Texts/convention-e.docx" TargetMode="Externa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32/en" TargetMode="External"/><Relationship Id="rId24" Type="http://schemas.openxmlformats.org/officeDocument/2006/relationships/hyperlink" Target="https://www.gsa.europ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gvf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council/Basic-Texts/convention-e.docx" TargetMode="External"/><Relationship Id="rId19" Type="http://schemas.openxmlformats.org/officeDocument/2006/relationships/package" Target="embeddings/Microsoft_PowerPoint_Slide1.sldx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convention-e.docx" TargetMode="External"/><Relationship Id="rId14" Type="http://schemas.openxmlformats.org/officeDocument/2006/relationships/hyperlink" Target="http://www.itu.int/dms_pub/itu-s/opb/conf/S-CONF-ACTF-2014-PDF-E.pdf" TargetMode="External"/><Relationship Id="rId22" Type="http://schemas.openxmlformats.org/officeDocument/2006/relationships/hyperlink" Target="http://www.euroconsult-ec.com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61</c:v>
                </c:pt>
                <c:pt idx="1">
                  <c:v>14</c:v>
                </c:pt>
                <c:pt idx="2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5233-3228-4B1D-ADA1-EEBC80ED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 for the Radiocommunication Sector for 2018-2021</dc:title>
  <dc:subject>Council 2017</dc:subject>
  <dc:creator>Tsarapkina, Yulia</dc:creator>
  <cp:keywords>C2017, C17</cp:keywords>
  <dc:description/>
  <cp:lastModifiedBy>Fedosova, Elena</cp:lastModifiedBy>
  <cp:revision>8</cp:revision>
  <cp:lastPrinted>2017-04-20T08:50:00Z</cp:lastPrinted>
  <dcterms:created xsi:type="dcterms:W3CDTF">2017-04-25T09:53:00Z</dcterms:created>
  <dcterms:modified xsi:type="dcterms:W3CDTF">2017-05-10T14:16:00Z</dcterms:modified>
</cp:coreProperties>
</file>