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093EEB">
            <w:pPr>
              <w:spacing w:before="360"/>
              <w:rPr>
                <w:szCs w:val="24"/>
              </w:rPr>
            </w:pPr>
            <w:bookmarkStart w:id="0" w:name="dc06"/>
            <w:bookmarkStart w:id="1" w:name="dbluepink" w:colFirst="0" w:colLast="0"/>
            <w:bookmarkEnd w:id="0"/>
            <w:r w:rsidRPr="00093EEB">
              <w:rPr>
                <w:b/>
                <w:bCs/>
                <w:sz w:val="30"/>
                <w:szCs w:val="30"/>
              </w:rPr>
              <w:t>Consejo 2017</w:t>
            </w:r>
            <w:r w:rsidRPr="00093EEB">
              <w:rPr>
                <w:b/>
                <w:bCs/>
                <w:sz w:val="26"/>
                <w:szCs w:val="26"/>
              </w:rPr>
              <w:br/>
            </w:r>
            <w:r w:rsidRPr="00093EEB">
              <w:rPr>
                <w:b/>
                <w:bCs/>
                <w:szCs w:val="24"/>
              </w:rPr>
              <w:t>Ginebra, 15-25 de mayo de 2017</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0D44D4">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0D44D4">
              <w:rPr>
                <w:rFonts w:cs="Times"/>
                <w:b/>
                <w:szCs w:val="24"/>
              </w:rPr>
              <w:t>Punto del orden del día: ADM 8</w:t>
            </w:r>
          </w:p>
        </w:tc>
        <w:tc>
          <w:tcPr>
            <w:tcW w:w="3261" w:type="dxa"/>
          </w:tcPr>
          <w:p w:rsidR="00093EEB" w:rsidRPr="00093EEB" w:rsidRDefault="00093EEB" w:rsidP="000D44D4">
            <w:pPr>
              <w:spacing w:before="0"/>
              <w:rPr>
                <w:b/>
                <w:bCs/>
                <w:szCs w:val="24"/>
              </w:rPr>
            </w:pPr>
            <w:r>
              <w:rPr>
                <w:b/>
                <w:bCs/>
                <w:szCs w:val="24"/>
              </w:rPr>
              <w:t>Documento C17/</w:t>
            </w:r>
            <w:r w:rsidR="000D44D4">
              <w:rPr>
                <w:b/>
                <w:bCs/>
                <w:szCs w:val="24"/>
              </w:rPr>
              <w:t>22</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0D44D4" w:rsidP="00093EEB">
            <w:pPr>
              <w:spacing w:before="0"/>
              <w:rPr>
                <w:b/>
                <w:bCs/>
                <w:szCs w:val="24"/>
              </w:rPr>
            </w:pPr>
            <w:r w:rsidRPr="000D44D4">
              <w:rPr>
                <w:b/>
                <w:bCs/>
                <w:szCs w:val="24"/>
              </w:rPr>
              <w:t>17 de mayo de 2017</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093EEB">
            <w:pPr>
              <w:spacing w:before="0"/>
              <w:rPr>
                <w:b/>
                <w:bCs/>
                <w:szCs w:val="24"/>
              </w:rPr>
            </w:pPr>
            <w:r>
              <w:rPr>
                <w:b/>
                <w:bCs/>
                <w:szCs w:val="24"/>
              </w:rPr>
              <w:t>Original: inglés</w:t>
            </w:r>
          </w:p>
        </w:tc>
      </w:tr>
      <w:tr w:rsidR="00093EEB" w:rsidRPr="000B0D00">
        <w:trPr>
          <w:cantSplit/>
        </w:trPr>
        <w:tc>
          <w:tcPr>
            <w:tcW w:w="10173" w:type="dxa"/>
            <w:gridSpan w:val="2"/>
          </w:tcPr>
          <w:p w:rsidR="00093EEB" w:rsidRPr="000B0D00" w:rsidRDefault="000D44D4">
            <w:pPr>
              <w:pStyle w:val="Source"/>
            </w:pPr>
            <w:bookmarkStart w:id="7" w:name="dsource" w:colFirst="0" w:colLast="0"/>
            <w:bookmarkEnd w:id="1"/>
            <w:bookmarkEnd w:id="6"/>
            <w:r w:rsidRPr="000D44D4">
              <w:t>Informe del Secretario General</w:t>
            </w:r>
          </w:p>
        </w:tc>
      </w:tr>
      <w:tr w:rsidR="00093EEB" w:rsidRPr="000B0D00">
        <w:trPr>
          <w:cantSplit/>
        </w:trPr>
        <w:tc>
          <w:tcPr>
            <w:tcW w:w="10173" w:type="dxa"/>
            <w:gridSpan w:val="2"/>
          </w:tcPr>
          <w:p w:rsidR="00093EEB" w:rsidRPr="000B0D00" w:rsidRDefault="000D44D4" w:rsidP="000D44D4">
            <w:pPr>
              <w:pStyle w:val="Title1"/>
            </w:pPr>
            <w:bookmarkStart w:id="8" w:name="dtitle1" w:colFirst="0" w:colLast="0"/>
            <w:bookmarkEnd w:id="7"/>
            <w:r>
              <w:t xml:space="preserve">SEXTO INFORME ANUAL DEL </w:t>
            </w:r>
            <w:r>
              <w:br/>
            </w:r>
            <w:r>
              <w:t>COMITÉ ASESOR INDEPENDIENTE SOBRE LA GESTIÓN (CAIG)</w:t>
            </w:r>
          </w:p>
        </w:tc>
      </w:tr>
      <w:bookmarkEnd w:id="8"/>
    </w:tbl>
    <w:p w:rsidR="00093EEB" w:rsidRDefault="00093EEB"/>
    <w:p w:rsidR="000D44D4" w:rsidRDefault="000D44D4">
      <w:r w:rsidRPr="000D44D4">
        <w:t xml:space="preserve">Tengo el honor de transmitir a los Estados Miembros del Consejo un Informe del Presidente del </w:t>
      </w:r>
      <w:r w:rsidRPr="000D44D4">
        <w:rPr>
          <w:cs/>
        </w:rPr>
        <w:t>‎</w:t>
      </w:r>
      <w:r w:rsidRPr="000D44D4">
        <w:t>Comité Asesor Independiente sobre la Gestión (CAIG).</w:t>
      </w:r>
    </w:p>
    <w:p w:rsidR="000D44D4" w:rsidRPr="003601DE" w:rsidRDefault="000D44D4" w:rsidP="000D44D4">
      <w:pPr>
        <w:tabs>
          <w:tab w:val="clear" w:pos="2268"/>
          <w:tab w:val="clear" w:pos="2835"/>
          <w:tab w:val="center" w:pos="7088"/>
        </w:tabs>
        <w:spacing w:before="1440"/>
      </w:pPr>
      <w:r w:rsidRPr="003601DE">
        <w:tab/>
      </w:r>
      <w:r w:rsidRPr="003601DE">
        <w:tab/>
      </w:r>
      <w:r w:rsidRPr="003601DE">
        <w:tab/>
      </w:r>
      <w:r w:rsidRPr="003601DE">
        <w:tab/>
        <w:t>Houlin ZHAO</w:t>
      </w:r>
      <w:r w:rsidRPr="003601DE">
        <w:br/>
      </w:r>
      <w:r w:rsidRPr="003601DE">
        <w:tab/>
      </w:r>
      <w:r w:rsidRPr="003601DE">
        <w:tab/>
      </w:r>
      <w:r w:rsidRPr="003601DE">
        <w:tab/>
      </w:r>
      <w:r w:rsidRPr="003601DE">
        <w:tab/>
        <w:t>Secretario General</w:t>
      </w:r>
    </w:p>
    <w:p w:rsidR="000D44D4" w:rsidRDefault="000D44D4">
      <w:pPr>
        <w:tabs>
          <w:tab w:val="clear" w:pos="567"/>
          <w:tab w:val="clear" w:pos="1134"/>
          <w:tab w:val="clear" w:pos="1701"/>
          <w:tab w:val="clear" w:pos="2268"/>
          <w:tab w:val="clear" w:pos="2835"/>
        </w:tabs>
        <w:overflowPunct/>
        <w:autoSpaceDE/>
        <w:autoSpaceDN/>
        <w:adjustRightInd/>
        <w:spacing w:before="0"/>
        <w:textAlignment w:val="auto"/>
      </w:pPr>
      <w:r>
        <w:br w:type="page"/>
      </w:r>
    </w:p>
    <w:p w:rsidR="000D44D4" w:rsidRPr="000D44D4" w:rsidRDefault="000D44D4" w:rsidP="000D44D4">
      <w:pPr>
        <w:pStyle w:val="Title1"/>
      </w:pPr>
      <w:r w:rsidRPr="000D44D4">
        <w:lastRenderedPageBreak/>
        <w:t xml:space="preserve">SEXTO INFORME ANUAL DEL </w:t>
      </w:r>
      <w:r w:rsidRPr="000D44D4">
        <w:br/>
        <w:t>COMITÉ ASESOR INDEPENDIENTE SOBRE LA GESTIÓN (CAIG)</w:t>
      </w:r>
    </w:p>
    <w:p w:rsidR="000D44D4" w:rsidRPr="000B0D00" w:rsidRDefault="000D44D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0B0D00" w:rsidRDefault="00093EEB">
            <w:pPr>
              <w:pStyle w:val="Headingb"/>
              <w:rPr>
                <w:lang w:val="es-ES"/>
              </w:rPr>
            </w:pPr>
            <w:r w:rsidRPr="000B0D00">
              <w:rPr>
                <w:lang w:val="es-ES"/>
              </w:rPr>
              <w:t>Resumen</w:t>
            </w:r>
          </w:p>
          <w:p w:rsidR="000D44D4" w:rsidRPr="000D44D4" w:rsidRDefault="000D44D4" w:rsidP="000D44D4">
            <w:r w:rsidRPr="000D44D4">
              <w:t xml:space="preserve">En el presente documento se recoge el Informe Anual del Comité Asesor </w:t>
            </w:r>
            <w:r w:rsidRPr="000D44D4">
              <w:rPr>
                <w:cs/>
                <w:lang w:val="es-ES"/>
              </w:rPr>
              <w:t>‎</w:t>
            </w:r>
            <w:r w:rsidRPr="000D44D4">
              <w:t xml:space="preserve">Independiente sobre la Gestión (CAIG) al Consejo de la UIT, que contiene </w:t>
            </w:r>
            <w:r w:rsidRPr="000D44D4">
              <w:rPr>
                <w:cs/>
                <w:lang w:val="es-ES"/>
              </w:rPr>
              <w:t>‎</w:t>
            </w:r>
            <w:r w:rsidRPr="000D44D4">
              <w:t xml:space="preserve">conclusiones y recomendaciones que se someten a la consideración del Consejo </w:t>
            </w:r>
            <w:r w:rsidRPr="000D44D4">
              <w:rPr>
                <w:cs/>
                <w:lang w:val="es-ES"/>
              </w:rPr>
              <w:t>‎</w:t>
            </w:r>
            <w:r w:rsidRPr="000D44D4">
              <w:t xml:space="preserve">y tratan de la función de Auditoría Interna, la gestión de riesgos y los controles </w:t>
            </w:r>
            <w:r w:rsidRPr="000D44D4">
              <w:rPr>
                <w:cs/>
                <w:lang w:val="es-ES"/>
              </w:rPr>
              <w:t>‎</w:t>
            </w:r>
            <w:r w:rsidRPr="000D44D4">
              <w:t xml:space="preserve">internos, los estados financieros, la contabilidad, la Auditoría Externa y la evaluación, con </w:t>
            </w:r>
            <w:r w:rsidRPr="000D44D4">
              <w:rPr>
                <w:cs/>
                <w:lang w:val="es-ES"/>
              </w:rPr>
              <w:t>‎</w:t>
            </w:r>
            <w:r w:rsidRPr="000D44D4">
              <w:t>arreglo al mandato del CAIG.</w:t>
            </w:r>
          </w:p>
          <w:p w:rsidR="000D44D4" w:rsidRPr="000D44D4" w:rsidRDefault="000D44D4" w:rsidP="000D44D4">
            <w:r w:rsidRPr="000D44D4">
              <w:t xml:space="preserve">Este sexto Informe Anual del CAIG al Consejo de la UIT facilita información </w:t>
            </w:r>
            <w:r w:rsidRPr="000D44D4">
              <w:rPr>
                <w:cs/>
                <w:lang w:val="es-ES"/>
              </w:rPr>
              <w:t>‎</w:t>
            </w:r>
            <w:r w:rsidRPr="000D44D4">
              <w:t xml:space="preserve">actualizada sobre los temas tratados y las actividades realizadas en el Comité desde junio de </w:t>
            </w:r>
            <w:r w:rsidRPr="000D44D4">
              <w:rPr>
                <w:cs/>
                <w:lang w:val="es-ES"/>
              </w:rPr>
              <w:t>‎‎</w:t>
            </w:r>
            <w:r w:rsidRPr="000D44D4">
              <w:t xml:space="preserve">2016 y presenta recomendaciones específicas encaminadas a mejorar las </w:t>
            </w:r>
            <w:r w:rsidRPr="000D44D4">
              <w:rPr>
                <w:cs/>
                <w:lang w:val="es-ES"/>
              </w:rPr>
              <w:t>‎</w:t>
            </w:r>
            <w:r w:rsidRPr="000D44D4">
              <w:t xml:space="preserve">disposiciones en materia de supervisión, control interno y gobernanza con </w:t>
            </w:r>
            <w:r w:rsidRPr="000D44D4">
              <w:rPr>
                <w:cs/>
                <w:lang w:val="es-ES"/>
              </w:rPr>
              <w:t>‎</w:t>
            </w:r>
            <w:r w:rsidRPr="000D44D4">
              <w:t>objeto de atender mejor las necesidades actuales de la organización.</w:t>
            </w:r>
          </w:p>
          <w:p w:rsidR="000D44D4" w:rsidRPr="000D44D4" w:rsidRDefault="000D44D4" w:rsidP="000D44D4">
            <w:r w:rsidRPr="000D44D4">
              <w:t xml:space="preserve">El CAIG invita al Consejo a aprobar sus recomendaciones </w:t>
            </w:r>
            <w:r w:rsidRPr="000D44D4">
              <w:rPr>
                <w:cs/>
                <w:lang w:val="es-ES"/>
              </w:rPr>
              <w:t>‎</w:t>
            </w:r>
            <w:r w:rsidRPr="000D44D4">
              <w:t>con la intención de seguir fomentando una respuesta efectiva y la adopción de medidas oportunas que puedan reforzar el principio de responsabilidad.</w:t>
            </w:r>
          </w:p>
          <w:p w:rsidR="00093EEB" w:rsidRPr="000B0D00" w:rsidRDefault="00093EEB">
            <w:pPr>
              <w:pStyle w:val="Headingb"/>
              <w:rPr>
                <w:lang w:val="es-ES"/>
              </w:rPr>
            </w:pPr>
            <w:r w:rsidRPr="000B0D00">
              <w:rPr>
                <w:lang w:val="es-ES"/>
              </w:rPr>
              <w:t>Acción solicitada</w:t>
            </w:r>
          </w:p>
          <w:p w:rsidR="000D44D4" w:rsidRPr="000D44D4" w:rsidRDefault="000D44D4" w:rsidP="000D44D4">
            <w:r w:rsidRPr="000D44D4">
              <w:t xml:space="preserve">Se invita al Consejo a </w:t>
            </w:r>
            <w:r w:rsidRPr="000D44D4">
              <w:rPr>
                <w:b/>
                <w:bCs/>
              </w:rPr>
              <w:t xml:space="preserve">aprobar </w:t>
            </w:r>
            <w:r w:rsidRPr="000D44D4">
              <w:t>el Informe del CAIG y sus recomendaciones.</w:t>
            </w:r>
          </w:p>
          <w:p w:rsidR="00093EEB" w:rsidRPr="000B0D00" w:rsidRDefault="00093EEB">
            <w:pPr>
              <w:pStyle w:val="Table"/>
              <w:keepNext w:val="0"/>
              <w:spacing w:before="0" w:after="0"/>
              <w:rPr>
                <w:caps w:val="0"/>
                <w:sz w:val="22"/>
                <w:lang w:val="es-ES"/>
              </w:rPr>
            </w:pPr>
            <w:r w:rsidRPr="000B0D00">
              <w:rPr>
                <w:caps w:val="0"/>
                <w:sz w:val="22"/>
                <w:lang w:val="es-ES"/>
              </w:rPr>
              <w:t>____________</w:t>
            </w:r>
          </w:p>
          <w:p w:rsidR="00093EEB" w:rsidRPr="000B0D00" w:rsidRDefault="00093EEB">
            <w:pPr>
              <w:pStyle w:val="Headingb"/>
              <w:rPr>
                <w:lang w:val="es-ES"/>
              </w:rPr>
            </w:pPr>
            <w:r w:rsidRPr="000B0D00">
              <w:rPr>
                <w:lang w:val="es-ES"/>
              </w:rPr>
              <w:t>Referencia</w:t>
            </w:r>
            <w:r w:rsidR="004D2E27">
              <w:rPr>
                <w:lang w:val="es-ES"/>
              </w:rPr>
              <w:t>s</w:t>
            </w:r>
          </w:p>
          <w:p w:rsidR="00093EEB" w:rsidRPr="000B0D00" w:rsidRDefault="000D44D4" w:rsidP="000D44D4">
            <w:pPr>
              <w:spacing w:after="120"/>
              <w:rPr>
                <w:i/>
                <w:iCs/>
                <w:lang w:val="es-ES"/>
              </w:rPr>
            </w:pPr>
            <w:hyperlink r:id="rId9" w:history="1">
              <w:r w:rsidRPr="000D44D4">
                <w:rPr>
                  <w:rStyle w:val="Hyperlink"/>
                  <w:i/>
                  <w:iCs/>
                </w:rPr>
                <w:t xml:space="preserve">Resolución </w:t>
              </w:r>
              <w:r w:rsidRPr="000D44D4">
                <w:rPr>
                  <w:rStyle w:val="Hyperlink"/>
                  <w:i/>
                  <w:iCs/>
                </w:rPr>
                <w:t>1</w:t>
              </w:r>
              <w:r w:rsidRPr="000D44D4">
                <w:rPr>
                  <w:rStyle w:val="Hyperlink"/>
                  <w:i/>
                  <w:iCs/>
                </w:rPr>
                <w:t>62</w:t>
              </w:r>
            </w:hyperlink>
            <w:r w:rsidRPr="000D44D4">
              <w:rPr>
                <w:i/>
                <w:iCs/>
              </w:rPr>
              <w:t xml:space="preserve"> (Rev. Busán, 2014); </w:t>
            </w:r>
            <w:hyperlink r:id="rId10" w:history="1">
              <w:r w:rsidRPr="000D44D4">
                <w:rPr>
                  <w:rStyle w:val="Hyperlink"/>
                  <w:i/>
                  <w:iCs/>
                </w:rPr>
                <w:t>Acuer</w:t>
              </w:r>
              <w:r w:rsidRPr="000D44D4">
                <w:rPr>
                  <w:rStyle w:val="Hyperlink"/>
                  <w:i/>
                  <w:iCs/>
                </w:rPr>
                <w:t>d</w:t>
              </w:r>
              <w:r w:rsidRPr="000D44D4">
                <w:rPr>
                  <w:rStyle w:val="Hyperlink"/>
                  <w:i/>
                  <w:iCs/>
                </w:rPr>
                <w:t>o 565</w:t>
              </w:r>
            </w:hyperlink>
            <w:r w:rsidRPr="000D44D4">
              <w:rPr>
                <w:i/>
                <w:iCs/>
              </w:rPr>
              <w:t xml:space="preserve"> del Consejo; Documentos </w:t>
            </w:r>
            <w:hyperlink r:id="rId11" w:history="1">
              <w:r w:rsidRPr="000D44D4">
                <w:rPr>
                  <w:rStyle w:val="Hyperlink"/>
                  <w:i/>
                  <w:iCs/>
                </w:rPr>
                <w:t>C1</w:t>
              </w:r>
              <w:r w:rsidRPr="000D44D4">
                <w:rPr>
                  <w:rStyle w:val="Hyperlink"/>
                  <w:i/>
                  <w:iCs/>
                </w:rPr>
                <w:t>2</w:t>
              </w:r>
              <w:r w:rsidRPr="000D44D4">
                <w:rPr>
                  <w:rStyle w:val="Hyperlink"/>
                  <w:i/>
                  <w:iCs/>
                </w:rPr>
                <w:t>/44</w:t>
              </w:r>
            </w:hyperlink>
            <w:r w:rsidRPr="000D44D4">
              <w:rPr>
                <w:i/>
                <w:iCs/>
              </w:rPr>
              <w:t xml:space="preserve"> (Primer </w:t>
            </w:r>
            <w:r w:rsidR="004D2E27" w:rsidRPr="000D44D4">
              <w:rPr>
                <w:i/>
                <w:iCs/>
              </w:rPr>
              <w:t xml:space="preserve">Informe Anual </w:t>
            </w:r>
            <w:r w:rsidRPr="000D44D4">
              <w:rPr>
                <w:i/>
                <w:iCs/>
              </w:rPr>
              <w:t xml:space="preserve">del CAIG al Consejo), </w:t>
            </w:r>
            <w:hyperlink r:id="rId12" w:history="1">
              <w:r w:rsidRPr="000D44D4">
                <w:rPr>
                  <w:rStyle w:val="Hyperlink"/>
                  <w:i/>
                  <w:iCs/>
                </w:rPr>
                <w:t>C1</w:t>
              </w:r>
              <w:r w:rsidRPr="000D44D4">
                <w:rPr>
                  <w:rStyle w:val="Hyperlink"/>
                  <w:i/>
                  <w:iCs/>
                </w:rPr>
                <w:t>3</w:t>
              </w:r>
              <w:r w:rsidR="00BD3AC1">
                <w:rPr>
                  <w:rStyle w:val="Hyperlink"/>
                  <w:i/>
                  <w:iCs/>
                </w:rPr>
                <w:t>/65 + Corr.</w:t>
              </w:r>
              <w:r w:rsidRPr="000D44D4">
                <w:rPr>
                  <w:rStyle w:val="Hyperlink"/>
                  <w:i/>
                  <w:iCs/>
                </w:rPr>
                <w:t>1</w:t>
              </w:r>
            </w:hyperlink>
            <w:r w:rsidRPr="000D44D4">
              <w:rPr>
                <w:i/>
                <w:iCs/>
              </w:rPr>
              <w:t xml:space="preserve"> (Segundo </w:t>
            </w:r>
            <w:r w:rsidR="004D2E27" w:rsidRPr="000D44D4">
              <w:rPr>
                <w:i/>
                <w:iCs/>
              </w:rPr>
              <w:t xml:space="preserve">Informe Anual </w:t>
            </w:r>
            <w:r w:rsidRPr="000D44D4">
              <w:rPr>
                <w:i/>
                <w:iCs/>
              </w:rPr>
              <w:t xml:space="preserve">del CAIG al Consejo), </w:t>
            </w:r>
            <w:hyperlink r:id="rId13" w:history="1">
              <w:r w:rsidRPr="000D44D4">
                <w:rPr>
                  <w:rStyle w:val="Hyperlink"/>
                  <w:i/>
                  <w:iCs/>
                </w:rPr>
                <w:t>C14/</w:t>
              </w:r>
              <w:r w:rsidRPr="000D44D4">
                <w:rPr>
                  <w:rStyle w:val="Hyperlink"/>
                  <w:i/>
                  <w:iCs/>
                </w:rPr>
                <w:t>2</w:t>
              </w:r>
              <w:r w:rsidRPr="000D44D4">
                <w:rPr>
                  <w:rStyle w:val="Hyperlink"/>
                  <w:i/>
                  <w:iCs/>
                </w:rPr>
                <w:t>2 + Add.1</w:t>
              </w:r>
            </w:hyperlink>
            <w:r w:rsidRPr="000D44D4">
              <w:rPr>
                <w:i/>
                <w:iCs/>
              </w:rPr>
              <w:t xml:space="preserve"> (Tercer </w:t>
            </w:r>
            <w:r w:rsidR="004D2E27" w:rsidRPr="000D44D4">
              <w:rPr>
                <w:i/>
                <w:iCs/>
              </w:rPr>
              <w:t xml:space="preserve">Informe Anual </w:t>
            </w:r>
            <w:r w:rsidRPr="000D44D4">
              <w:rPr>
                <w:i/>
                <w:iCs/>
              </w:rPr>
              <w:t xml:space="preserve">del CAIG al Consejo), </w:t>
            </w:r>
            <w:hyperlink r:id="rId14" w:history="1">
              <w:r w:rsidRPr="000D44D4">
                <w:rPr>
                  <w:rStyle w:val="Hyperlink"/>
                  <w:i/>
                  <w:iCs/>
                </w:rPr>
                <w:t xml:space="preserve">C15/22 </w:t>
              </w:r>
              <w:r w:rsidRPr="000D44D4">
                <w:rPr>
                  <w:rStyle w:val="Hyperlink"/>
                  <w:i/>
                  <w:iCs/>
                </w:rPr>
                <w:t>+</w:t>
              </w:r>
              <w:r w:rsidRPr="000D44D4">
                <w:rPr>
                  <w:rStyle w:val="Hyperlink"/>
                  <w:i/>
                  <w:iCs/>
                </w:rPr>
                <w:t xml:space="preserve"> Add.1-2</w:t>
              </w:r>
            </w:hyperlink>
            <w:r w:rsidRPr="000D44D4">
              <w:rPr>
                <w:i/>
                <w:iCs/>
              </w:rPr>
              <w:t xml:space="preserve"> (Cuarto </w:t>
            </w:r>
            <w:r w:rsidR="004D2E27" w:rsidRPr="000D44D4">
              <w:rPr>
                <w:i/>
                <w:iCs/>
              </w:rPr>
              <w:t xml:space="preserve">Informe Anual </w:t>
            </w:r>
            <w:r w:rsidRPr="000D44D4">
              <w:rPr>
                <w:i/>
                <w:iCs/>
              </w:rPr>
              <w:t xml:space="preserve">del CAIG al Consejo); </w:t>
            </w:r>
            <w:hyperlink r:id="rId15" w:history="1">
              <w:r w:rsidRPr="000D44D4">
                <w:rPr>
                  <w:rStyle w:val="Hyperlink"/>
                  <w:i/>
                  <w:iCs/>
                </w:rPr>
                <w:t>C16/</w:t>
              </w:r>
              <w:r w:rsidRPr="000D44D4">
                <w:rPr>
                  <w:rStyle w:val="Hyperlink"/>
                  <w:i/>
                  <w:iCs/>
                </w:rPr>
                <w:t>2</w:t>
              </w:r>
              <w:r w:rsidRPr="000D44D4">
                <w:rPr>
                  <w:rStyle w:val="Hyperlink"/>
                  <w:i/>
                  <w:iCs/>
                </w:rPr>
                <w:t>2 + Add.1</w:t>
              </w:r>
            </w:hyperlink>
            <w:r w:rsidRPr="000D44D4">
              <w:rPr>
                <w:i/>
                <w:iCs/>
              </w:rPr>
              <w:t xml:space="preserve"> (Quinto </w:t>
            </w:r>
            <w:r w:rsidR="004D2E27" w:rsidRPr="000D44D4">
              <w:rPr>
                <w:i/>
                <w:iCs/>
              </w:rPr>
              <w:t xml:space="preserve">Informe Anual </w:t>
            </w:r>
            <w:r w:rsidRPr="000D44D4">
              <w:rPr>
                <w:i/>
                <w:iCs/>
              </w:rPr>
              <w:t>del CAIG al Consejo).</w:t>
            </w:r>
          </w:p>
        </w:tc>
      </w:tr>
    </w:tbl>
    <w:p w:rsidR="000D44D4" w:rsidRPr="000D44D4" w:rsidRDefault="000D44D4" w:rsidP="000D44D4">
      <w:pPr>
        <w:pStyle w:val="Heading1"/>
      </w:pPr>
      <w:r>
        <w:t>1</w:t>
      </w:r>
      <w:r>
        <w:tab/>
      </w:r>
      <w:r w:rsidRPr="000D44D4">
        <w:t>Introducción</w:t>
      </w:r>
    </w:p>
    <w:p w:rsidR="000D44D4" w:rsidRPr="000D44D4" w:rsidRDefault="00F21D6A" w:rsidP="004D2E27">
      <w:r>
        <w:t>1.1</w:t>
      </w:r>
      <w:r>
        <w:tab/>
      </w:r>
      <w:r w:rsidR="000D44D4" w:rsidRPr="000D44D4">
        <w:t xml:space="preserve">El Comité Asesor Independiente sobre la Gestión (CAIG) ejerce funciones de asesoría especializada </w:t>
      </w:r>
      <w:r w:rsidR="000D44D4" w:rsidRPr="000D44D4">
        <w:rPr>
          <w:cs/>
        </w:rPr>
        <w:t>‎</w:t>
      </w:r>
      <w:r w:rsidR="000D44D4" w:rsidRPr="000D44D4">
        <w:t xml:space="preserve">para ayudar al Consejo y al Secretario General en el ejercicio de sus responsabilidades de gobernanza en materia </w:t>
      </w:r>
      <w:r w:rsidR="000D44D4" w:rsidRPr="000D44D4">
        <w:rPr>
          <w:cs/>
        </w:rPr>
        <w:t>‎</w:t>
      </w:r>
      <w:r w:rsidR="000D44D4" w:rsidRPr="000D44D4">
        <w:t xml:space="preserve">de elaboración de informes financieros, sistemas de control internos, gestión de riesgos y procesos de gobernanza, así como de otros asuntos relacionados con la auditoría de acuerdo con los términos de referencia del CAIG. El CAIG contribuye de esta manera a mejorar la transparencia, la rendición de cuentas y la buena </w:t>
      </w:r>
      <w:r w:rsidR="000D44D4" w:rsidRPr="000D44D4">
        <w:rPr>
          <w:cs/>
        </w:rPr>
        <w:t>‎</w:t>
      </w:r>
      <w:r w:rsidR="000D44D4" w:rsidRPr="000D44D4">
        <w:t xml:space="preserve">gobernanza. Aunque no realiza tareas de auditoría ni duplica ninguna función de responsabilidad o </w:t>
      </w:r>
      <w:r w:rsidR="000D44D4" w:rsidRPr="000D44D4">
        <w:rPr>
          <w:cs/>
        </w:rPr>
        <w:t>‎</w:t>
      </w:r>
      <w:r w:rsidR="000D44D4" w:rsidRPr="000D44D4">
        <w:t xml:space="preserve">de </w:t>
      </w:r>
      <w:r w:rsidR="004D2E27">
        <w:t>a</w:t>
      </w:r>
      <w:r w:rsidR="000D44D4" w:rsidRPr="000D44D4">
        <w:t xml:space="preserve">uditoría, </w:t>
      </w:r>
      <w:r w:rsidR="004D2E27">
        <w:t>i</w:t>
      </w:r>
      <w:r w:rsidR="000D44D4" w:rsidRPr="000D44D4">
        <w:t xml:space="preserve">nterna o </w:t>
      </w:r>
      <w:r w:rsidR="004D2E27">
        <w:t>e</w:t>
      </w:r>
      <w:r w:rsidR="000D44D4" w:rsidRPr="000D44D4">
        <w:t xml:space="preserve">xterna, el CAIG vela por una utilización óptima de los recursos asignados a </w:t>
      </w:r>
      <w:r w:rsidR="000D44D4" w:rsidRPr="000D44D4">
        <w:rPr>
          <w:cs/>
        </w:rPr>
        <w:t>‎</w:t>
      </w:r>
      <w:r w:rsidR="000D44D4" w:rsidRPr="000D44D4">
        <w:t>las auditorías u otras actividades, conforme al marco general de la UIT en materia de garantías.</w:t>
      </w:r>
    </w:p>
    <w:p w:rsidR="000D44D4" w:rsidRPr="000D44D4" w:rsidRDefault="00F21D6A" w:rsidP="00F21D6A">
      <w:pPr>
        <w:keepNext/>
      </w:pPr>
      <w:r>
        <w:lastRenderedPageBreak/>
        <w:t>1.2</w:t>
      </w:r>
      <w:r>
        <w:tab/>
      </w:r>
      <w:r w:rsidR="000D44D4" w:rsidRPr="000D44D4">
        <w:t>Los miembros actuales del CAIG son los siguientes:</w:t>
      </w:r>
    </w:p>
    <w:p w:rsidR="000D44D4" w:rsidRPr="000D44D4" w:rsidRDefault="00F21D6A" w:rsidP="00F21D6A">
      <w:pPr>
        <w:pStyle w:val="enumlev1"/>
      </w:pPr>
      <w:r>
        <w:t>–</w:t>
      </w:r>
      <w:r>
        <w:tab/>
      </w:r>
      <w:r w:rsidR="000D44D4" w:rsidRPr="000D44D4">
        <w:t>Dra. Beate Degen (Presidenta)</w:t>
      </w:r>
    </w:p>
    <w:p w:rsidR="000D44D4" w:rsidRPr="00F21D6A" w:rsidRDefault="00F21D6A" w:rsidP="00F21D6A">
      <w:pPr>
        <w:pStyle w:val="enumlev1"/>
        <w:rPr>
          <w:lang w:val="de-DE"/>
        </w:rPr>
      </w:pPr>
      <w:r w:rsidRPr="00F21D6A">
        <w:rPr>
          <w:lang w:val="de-DE"/>
        </w:rPr>
        <w:t>–</w:t>
      </w:r>
      <w:r w:rsidRPr="00F21D6A">
        <w:rPr>
          <w:lang w:val="de-DE"/>
        </w:rPr>
        <w:tab/>
      </w:r>
      <w:r w:rsidR="000D44D4" w:rsidRPr="00F21D6A">
        <w:rPr>
          <w:lang w:val="de-DE"/>
        </w:rPr>
        <w:t>Sr. Abdessalam El Harouchy</w:t>
      </w:r>
    </w:p>
    <w:p w:rsidR="000D44D4" w:rsidRPr="00F21D6A" w:rsidRDefault="00F21D6A" w:rsidP="00F21D6A">
      <w:pPr>
        <w:pStyle w:val="enumlev1"/>
        <w:rPr>
          <w:lang w:val="de-DE"/>
        </w:rPr>
      </w:pPr>
      <w:r w:rsidRPr="00F21D6A">
        <w:rPr>
          <w:lang w:val="de-DE"/>
        </w:rPr>
        <w:t>–</w:t>
      </w:r>
      <w:r w:rsidRPr="00F21D6A">
        <w:rPr>
          <w:lang w:val="de-DE"/>
        </w:rPr>
        <w:tab/>
      </w:r>
      <w:r w:rsidR="000D44D4" w:rsidRPr="00F21D6A">
        <w:rPr>
          <w:lang w:val="de-DE"/>
        </w:rPr>
        <w:t>Sr. Graham Miller</w:t>
      </w:r>
    </w:p>
    <w:p w:rsidR="000D44D4" w:rsidRPr="000D44D4" w:rsidRDefault="00F21D6A" w:rsidP="00F21D6A">
      <w:pPr>
        <w:pStyle w:val="enumlev1"/>
      </w:pPr>
      <w:r>
        <w:t>–</w:t>
      </w:r>
      <w:r>
        <w:tab/>
      </w:r>
      <w:r w:rsidR="000D44D4" w:rsidRPr="000D44D4">
        <w:t>Sra. Aline Vienneau</w:t>
      </w:r>
    </w:p>
    <w:p w:rsidR="000D44D4" w:rsidRPr="000D44D4" w:rsidRDefault="00F21D6A" w:rsidP="00F21D6A">
      <w:pPr>
        <w:pStyle w:val="enumlev1"/>
      </w:pPr>
      <w:r>
        <w:t>–</w:t>
      </w:r>
      <w:r>
        <w:tab/>
      </w:r>
      <w:r w:rsidR="000D44D4" w:rsidRPr="000D44D4">
        <w:t>Sr. Kamlesh Vikamsey</w:t>
      </w:r>
    </w:p>
    <w:p w:rsidR="000D44D4" w:rsidRPr="000D44D4" w:rsidRDefault="00F21D6A" w:rsidP="00473990">
      <w:r>
        <w:t>1.3</w:t>
      </w:r>
      <w:r>
        <w:tab/>
      </w:r>
      <w:r w:rsidR="000D44D4" w:rsidRPr="000D44D4">
        <w:t>Desde que p</w:t>
      </w:r>
      <w:r w:rsidR="00473990">
        <w:t xml:space="preserve">resentó su quinto Informe Anual </w:t>
      </w:r>
      <w:r w:rsidR="000D44D4" w:rsidRPr="000D44D4">
        <w:t xml:space="preserve">(Documento </w:t>
      </w:r>
      <w:hyperlink r:id="rId16" w:history="1">
        <w:r w:rsidR="000D44D4" w:rsidRPr="000D44D4">
          <w:rPr>
            <w:rStyle w:val="Hyperlink"/>
          </w:rPr>
          <w:t>C16/22 + Add.1</w:t>
        </w:r>
      </w:hyperlink>
      <w:r w:rsidR="000D44D4" w:rsidRPr="000D44D4">
        <w:t>) y su Addéndum</w:t>
      </w:r>
      <w:r>
        <w:t> </w:t>
      </w:r>
      <w:r w:rsidR="000D44D4" w:rsidRPr="000D44D4">
        <w:t>1 al Consejo en su reunión de 2016, el CAIG se ha reunido del 10 al 12 de octubre de</w:t>
      </w:r>
      <w:r>
        <w:t> </w:t>
      </w:r>
      <w:r w:rsidR="000D44D4" w:rsidRPr="000D44D4">
        <w:t xml:space="preserve">2016, los días 2 y 3 de marzo de 2017, y del 9 al 11 de mayo de 2017. Las conclusiones de las reuniones de octubre, marzo y mayo se han integrado en este sexto </w:t>
      </w:r>
      <w:r w:rsidR="000D44D4" w:rsidRPr="000D44D4">
        <w:rPr>
          <w:cs/>
        </w:rPr>
        <w:t>‎</w:t>
      </w:r>
      <w:r w:rsidR="000D44D4" w:rsidRPr="000D44D4">
        <w:t xml:space="preserve">Informe Anual que el Comité presenta al Consejo. Los </w:t>
      </w:r>
      <w:r w:rsidR="004D2E27" w:rsidRPr="000D44D4">
        <w:t xml:space="preserve">Miembros </w:t>
      </w:r>
      <w:r w:rsidR="000D44D4" w:rsidRPr="000D44D4">
        <w:t xml:space="preserve">de la UIT pueden consultar los </w:t>
      </w:r>
      <w:r w:rsidR="000D44D4" w:rsidRPr="000D44D4">
        <w:rPr>
          <w:cs/>
        </w:rPr>
        <w:t>‎</w:t>
      </w:r>
      <w:r w:rsidR="000D44D4" w:rsidRPr="000D44D4">
        <w:t xml:space="preserve">Informes de las reuniones del Comité y sus Informes Anuales, así como otros documentos </w:t>
      </w:r>
      <w:r w:rsidR="000D44D4" w:rsidRPr="000D44D4">
        <w:rPr>
          <w:cs/>
        </w:rPr>
        <w:t>‎</w:t>
      </w:r>
      <w:r w:rsidR="000D44D4" w:rsidRPr="000D44D4">
        <w:t>esenciales, en la página web de la UIT dedicada al</w:t>
      </w:r>
      <w:r w:rsidR="00473990">
        <w:t> </w:t>
      </w:r>
      <w:hyperlink r:id="rId17" w:history="1">
        <w:r w:rsidR="000D44D4" w:rsidRPr="000D44D4">
          <w:rPr>
            <w:rStyle w:val="Hyperlink"/>
          </w:rPr>
          <w:t>CAI</w:t>
        </w:r>
        <w:r w:rsidR="000D44D4" w:rsidRPr="000D44D4">
          <w:rPr>
            <w:rStyle w:val="Hyperlink"/>
          </w:rPr>
          <w:t>G</w:t>
        </w:r>
      </w:hyperlink>
      <w:r w:rsidR="000D44D4" w:rsidRPr="000D44D4">
        <w:t xml:space="preserve"> accesible a través de la página del </w:t>
      </w:r>
      <w:hyperlink r:id="rId18" w:history="1">
        <w:r w:rsidR="000D44D4" w:rsidRPr="000D44D4">
          <w:rPr>
            <w:rStyle w:val="Hyperlink"/>
          </w:rPr>
          <w:t>Consejo</w:t>
        </w:r>
        <w:r w:rsidR="000D44D4" w:rsidRPr="000D44D4">
          <w:rPr>
            <w:rStyle w:val="Hyperlink"/>
          </w:rPr>
          <w:t xml:space="preserve"> </w:t>
        </w:r>
        <w:r w:rsidR="000D44D4" w:rsidRPr="000D44D4">
          <w:rPr>
            <w:rStyle w:val="Hyperlink"/>
          </w:rPr>
          <w:t>de la UIT</w:t>
        </w:r>
      </w:hyperlink>
      <w:r w:rsidR="000D44D4" w:rsidRPr="000D44D4">
        <w:t>.</w:t>
      </w:r>
    </w:p>
    <w:p w:rsidR="000D44D4" w:rsidRPr="000D44D4" w:rsidRDefault="00F21D6A" w:rsidP="00F21D6A">
      <w:r>
        <w:t>1.4</w:t>
      </w:r>
      <w:r>
        <w:tab/>
      </w:r>
      <w:r w:rsidR="000D44D4" w:rsidRPr="000D44D4">
        <w:t>Asistencia a las reuniones del CAIG: la Dra. Degen, el Sr. El Harouchy, el Sr. Miller y el Sr.</w:t>
      </w:r>
      <w:r>
        <w:t> </w:t>
      </w:r>
      <w:r w:rsidR="000D44D4" w:rsidRPr="000D44D4">
        <w:t>Vikamsey asistieron a las tres reuniones. La Sra. Vienneau asistió a dos de las tres reuniones del</w:t>
      </w:r>
      <w:r>
        <w:t> </w:t>
      </w:r>
      <w:r w:rsidR="000D44D4" w:rsidRPr="000D44D4">
        <w:t>CAIG.</w:t>
      </w:r>
    </w:p>
    <w:p w:rsidR="000D44D4" w:rsidRPr="000D44D4" w:rsidRDefault="00F21D6A" w:rsidP="00E9425C">
      <w:r>
        <w:t>1.5</w:t>
      </w:r>
      <w:r>
        <w:tab/>
      </w:r>
      <w:r w:rsidR="000D44D4" w:rsidRPr="000D44D4">
        <w:t xml:space="preserve">Desde la presentación de su último Informe Anual al Consejo en su reunión de 2016, el CAIG ha examinado todas sus responsabilidades, a saber, la función de Auditoría Interna, la gestión de riesgos, el control interno, la evaluación, los estados financieros verificados de la organización y la elaboración de </w:t>
      </w:r>
      <w:r w:rsidR="00E9425C">
        <w:t>i</w:t>
      </w:r>
      <w:r w:rsidR="000D44D4" w:rsidRPr="000D44D4">
        <w:t xml:space="preserve">nformes </w:t>
      </w:r>
      <w:r w:rsidR="00E9425C">
        <w:t>f</w:t>
      </w:r>
      <w:r w:rsidR="000D44D4" w:rsidRPr="000D44D4">
        <w:t>inancieros, así como la Auditoría Externa.</w:t>
      </w:r>
    </w:p>
    <w:p w:rsidR="000D44D4" w:rsidRPr="000D44D4" w:rsidRDefault="00F21D6A" w:rsidP="000D44D4">
      <w:r>
        <w:t>1.6</w:t>
      </w:r>
      <w:r>
        <w:tab/>
      </w:r>
      <w:r w:rsidR="000D44D4" w:rsidRPr="000D44D4">
        <w:t>La Presidenta del CAIG participó a distancia en la reunión del Grupo de Trabajo del Consejo sobre Recursos Humanos y Financieros (GTC</w:t>
      </w:r>
      <w:r w:rsidR="000D44D4" w:rsidRPr="000D44D4">
        <w:noBreakHyphen/>
        <w:t>RHF) celebrada el 1 de febrero de 2017, en la que informó a los Estados Miembros sobre cuestiones relativas a las esferas de competencia del Comité.</w:t>
      </w:r>
    </w:p>
    <w:p w:rsidR="000D44D4" w:rsidRPr="000D44D4" w:rsidRDefault="00F21D6A" w:rsidP="004D2E27">
      <w:r>
        <w:t>1.7</w:t>
      </w:r>
      <w:r>
        <w:tab/>
      </w:r>
      <w:r w:rsidR="000D44D4" w:rsidRPr="000D44D4">
        <w:t xml:space="preserve">La Presidenta del CAIG participó también en la primera reunión de los Comités de Supervisión de las Naciones Unidas, que se celebró el 28 de noviembre de 2016 en la </w:t>
      </w:r>
      <w:r w:rsidR="004D2E27" w:rsidRPr="000D44D4">
        <w:t xml:space="preserve">Sede </w:t>
      </w:r>
      <w:r w:rsidR="000D44D4" w:rsidRPr="000D44D4">
        <w:t>de las Naciones Unidas en Nueva York y contó con la participación de los comités de supervisión de 19</w:t>
      </w:r>
      <w:r w:rsidR="004D2E27">
        <w:t> </w:t>
      </w:r>
      <w:r w:rsidR="000D44D4" w:rsidRPr="000D44D4">
        <w:t>organismos del sistema de las Naciones Unidas. El principal objetivo de la reunión era intercambiar información sobre desafíos comunes y posibles buenas prácticas en el desempeño de la labor de los comités de supervisión. Los participantes discutieron los riesgos actuales e incipientes (por ejemplo</w:t>
      </w:r>
      <w:r w:rsidR="004D2E27">
        <w:t>,</w:t>
      </w:r>
      <w:r w:rsidR="000D44D4" w:rsidRPr="000D44D4">
        <w:t xml:space="preserve"> en relación con el fraude y la corrupción), la ciberseguridad y la transformación digital, y la madurez de los enfoques institucionales en relación con la gestión de riesgos en todo el sistema de las Naciones Unidas.</w:t>
      </w:r>
    </w:p>
    <w:p w:rsidR="000D44D4" w:rsidRPr="000D44D4" w:rsidRDefault="00F21D6A" w:rsidP="000D44D4">
      <w:r>
        <w:t>1.8</w:t>
      </w:r>
      <w:r>
        <w:tab/>
      </w:r>
      <w:r w:rsidR="000D44D4" w:rsidRPr="000D44D4">
        <w:t>En el curso de sus reuniones, el CAIG mantuvo debates sobre cuestiones de fondo con el Secretario General y el Vicesecretario General, el Departamento de Planificación Estratégica y Relaciones con los Miembros, el Departamento de Gestión de Recursos Financieros, el Oficial de Ética, el Auditor Interno, el Auditor Externo y otros representantes de la administración, según las necesidades.</w:t>
      </w:r>
    </w:p>
    <w:p w:rsidR="000D44D4" w:rsidRDefault="000D44D4" w:rsidP="004D2E27">
      <w:pPr>
        <w:pStyle w:val="Heading1"/>
      </w:pPr>
      <w:r w:rsidRPr="000D44D4">
        <w:lastRenderedPageBreak/>
        <w:t>2</w:t>
      </w:r>
      <w:r w:rsidRPr="000D44D4">
        <w:tab/>
        <w:t>Seguimiento dado al quinto Informe Anual presentado por el CAIG al Consejo en su reunión de 201</w:t>
      </w:r>
      <w:r w:rsidR="004D2E27">
        <w:t>6</w:t>
      </w:r>
      <w:r w:rsidRPr="000D44D4">
        <w:t xml:space="preserve"> y estado de aplicación de las recomendaciones del Comité</w:t>
      </w:r>
    </w:p>
    <w:p w:rsidR="000D44D4" w:rsidRPr="000D44D4" w:rsidRDefault="00F21D6A" w:rsidP="00716CE2">
      <w:r>
        <w:t>2.1</w:t>
      </w:r>
      <w:r>
        <w:tab/>
      </w:r>
      <w:r w:rsidR="000D44D4" w:rsidRPr="000D44D4">
        <w:t xml:space="preserve">Para ayudar al Consejo a seguir las medidas adoptadas en respuesta a las recomendaciones del </w:t>
      </w:r>
      <w:r w:rsidR="000D44D4" w:rsidRPr="000D44D4">
        <w:rPr>
          <w:cs/>
        </w:rPr>
        <w:t>‎</w:t>
      </w:r>
      <w:r w:rsidR="000D44D4" w:rsidRPr="000D44D4">
        <w:t>CAIG, el Comité ha examinado el estado de aplicación de sus recomendaciones anteriores: se han aplicado 10 de las 14 recomendaciones formuladas por el Comité desde 2016; las 6</w:t>
      </w:r>
      <w:r>
        <w:t> </w:t>
      </w:r>
      <w:r w:rsidR="000D44D4" w:rsidRPr="000D44D4">
        <w:t xml:space="preserve">recomendaciones formuladas </w:t>
      </w:r>
      <w:r w:rsidR="000D44D4" w:rsidRPr="000D44D4">
        <w:rPr>
          <w:cs/>
        </w:rPr>
        <w:t>‎</w:t>
      </w:r>
      <w:r w:rsidR="000D44D4" w:rsidRPr="000D44D4">
        <w:t>desde 2015; las 9 recomendaciones formuladas desde 2014; 7 de las</w:t>
      </w:r>
      <w:r>
        <w:t> 8</w:t>
      </w:r>
      <w:r w:rsidR="000D44D4" w:rsidRPr="000D44D4">
        <w:t xml:space="preserve"> recomendaciones formuladas desde 2013 y 5 de las 6 recomendaciones formuladas desde</w:t>
      </w:r>
      <w:r w:rsidR="00716CE2">
        <w:t> </w:t>
      </w:r>
      <w:r w:rsidR="000D44D4" w:rsidRPr="000D44D4">
        <w:t>2012</w:t>
      </w:r>
      <w:r w:rsidR="004D2E27">
        <w:t>.</w:t>
      </w:r>
    </w:p>
    <w:p w:rsidR="000D44D4" w:rsidRPr="000D44D4" w:rsidRDefault="00716CE2" w:rsidP="000D44D4">
      <w:r>
        <w:t>2.2</w:t>
      </w:r>
      <w:r>
        <w:tab/>
      </w:r>
      <w:r w:rsidR="000D44D4" w:rsidRPr="000D44D4">
        <w:t>El Comité elogió el progreso realizado con respecto a la aplicación de sus recomendaciones anteriores y observó que el ritmo de aplicación estaba mejorando; las recomendaciones se estaban aplicando más rápidamente y se estaban incluyendo plazos en las recomendaciones en curso.</w:t>
      </w:r>
    </w:p>
    <w:p w:rsidR="000D44D4" w:rsidRPr="000D44D4" w:rsidRDefault="00716CE2" w:rsidP="000D44D4">
      <w:r>
        <w:t>2.3</w:t>
      </w:r>
      <w:r>
        <w:tab/>
      </w:r>
      <w:r w:rsidR="000D44D4" w:rsidRPr="000D44D4">
        <w:t>El Anexo 1 contiene estadísticas detalladas sobre el ritmo de aplicación de las recomendaciones formuladas por el CAIG.</w:t>
      </w:r>
    </w:p>
    <w:p w:rsidR="000D44D4" w:rsidRPr="000D44D4" w:rsidRDefault="00716CE2" w:rsidP="00716CE2">
      <w:pPr>
        <w:pStyle w:val="Heading1"/>
      </w:pPr>
      <w:r>
        <w:t>3</w:t>
      </w:r>
      <w:r>
        <w:tab/>
      </w:r>
      <w:r w:rsidR="000D44D4" w:rsidRPr="000D44D4">
        <w:t>Observaciones, conclusiones y recomendaciones para 2017</w:t>
      </w:r>
    </w:p>
    <w:p w:rsidR="000D44D4" w:rsidRPr="000D44D4" w:rsidRDefault="000D44D4" w:rsidP="00716CE2">
      <w:pPr>
        <w:pStyle w:val="Headingb"/>
      </w:pPr>
      <w:r w:rsidRPr="000D44D4">
        <w:t>Gestión financiera</w:t>
      </w:r>
    </w:p>
    <w:p w:rsidR="000D44D4" w:rsidRPr="000D44D4" w:rsidRDefault="00716CE2" w:rsidP="000D44D4">
      <w:r>
        <w:t>3.1</w:t>
      </w:r>
      <w:r>
        <w:tab/>
      </w:r>
      <w:r w:rsidR="000D44D4" w:rsidRPr="000D44D4">
        <w:t>El CAIG examinó el Informe de Gestión Financiera de la UIT para 2016, así como los resultados financieros y los problemas con la Dirección. También observó que el Auditor Externo había emitido una opinión de auditoría sin salvedades que, al igual que en 2015, incluía un párrafo de énfasis relativo a los activos netos negativos debido a los pasivos actuariales relacionados con las prestaciones a largo plazo adeudadas al personal. Dicho párrafo de énfasis no cambia la opinión de auditoría sin salvedades, pero llama la atención sobre un asunto que a juicio del Auditor Externo es fundamental para que los usuarios comprendan el informe de los estados financieros.</w:t>
      </w:r>
    </w:p>
    <w:p w:rsidR="000D44D4" w:rsidRPr="000D44D4" w:rsidRDefault="00716CE2" w:rsidP="000D44D4">
      <w:r>
        <w:t>3.2</w:t>
      </w:r>
      <w:r>
        <w:tab/>
      </w:r>
      <w:r w:rsidR="000D44D4" w:rsidRPr="000D44D4">
        <w:t>El CAIG elogió a la Dirección por haber obtenido nuevamente como grato resultado una opinión de auditoría sin salvedades.</w:t>
      </w:r>
    </w:p>
    <w:p w:rsidR="000D44D4" w:rsidRPr="000D44D4" w:rsidRDefault="00716CE2" w:rsidP="000D44D4">
      <w:r>
        <w:t>3.3</w:t>
      </w:r>
      <w:r>
        <w:tab/>
      </w:r>
      <w:r w:rsidR="000D44D4" w:rsidRPr="000D44D4">
        <w:t xml:space="preserve">El CAIG tomó nota de que todas las recomendaciones formuladas por el Comité en </w:t>
      </w:r>
      <w:r w:rsidR="00E9425C" w:rsidRPr="000D44D4">
        <w:t xml:space="preserve">Informes Anuales </w:t>
      </w:r>
      <w:r w:rsidR="000D44D4" w:rsidRPr="000D44D4">
        <w:t>anteriores con respecto a la gestión financiera habían sido aplicadas o se estaban aplicando.</w:t>
      </w:r>
    </w:p>
    <w:p w:rsidR="000D44D4" w:rsidRPr="000D44D4" w:rsidRDefault="00716CE2" w:rsidP="000D44D4">
      <w:r>
        <w:t>3.4</w:t>
      </w:r>
      <w:r>
        <w:tab/>
      </w:r>
      <w:r w:rsidR="000D44D4" w:rsidRPr="000D44D4">
        <w:t>En los ámbitos en que el CAIG había recomendado que se mejoraran los informes financieros, la UIT ha aplicado las recomendaciones del Comité y ha introducido mejoras en los estados financieros para 2016 que se presentan al Consejo en su reunión de 2017. Las recomendaciones formuladas en relación con la evaluación actuarial y el Plan ASHI, y la coordinación con el Grupo de Trabajo de las Naciones Unidas sobre los problemas del ASHI, siguen en curso.</w:t>
      </w:r>
    </w:p>
    <w:p w:rsidR="000D44D4" w:rsidRPr="000D44D4" w:rsidRDefault="00716CE2" w:rsidP="000D44D4">
      <w:r>
        <w:t>3.5</w:t>
      </w:r>
      <w:r>
        <w:tab/>
      </w:r>
      <w:r w:rsidR="000D44D4" w:rsidRPr="000D44D4">
        <w:t>El CAIG agradece al Departamento de Gestión de Recursos Financieros la manera positiva en que ha apoyado la labor del Comité y ha cooperado con el Comité para contribuir a entablar una relación de trabajo eficaz.</w:t>
      </w:r>
    </w:p>
    <w:p w:rsidR="000D44D4" w:rsidRPr="000D44D4" w:rsidRDefault="000D44D4" w:rsidP="00716CE2">
      <w:pPr>
        <w:pStyle w:val="Headingb"/>
      </w:pPr>
      <w:r w:rsidRPr="000D44D4">
        <w:lastRenderedPageBreak/>
        <w:t>Gestión de riesgos</w:t>
      </w:r>
    </w:p>
    <w:p w:rsidR="000D44D4" w:rsidRPr="000D44D4" w:rsidRDefault="00716CE2" w:rsidP="000D44D4">
      <w:r>
        <w:t>3.6</w:t>
      </w:r>
      <w:r>
        <w:tab/>
      </w:r>
      <w:r w:rsidR="000D44D4" w:rsidRPr="000D44D4">
        <w:t>En términos de disposiciones de gestión de riesgos en la UIT, el CAIG siempre ha colaborado con el Departamento de Planificación Estratégica y Relaciones con los Miembros, y ha prestado asesoramiento y ha aportado contribuciones para hacer avanzar los nuevos procedimientos de gestión de riesgos.</w:t>
      </w:r>
    </w:p>
    <w:p w:rsidR="000D44D4" w:rsidRPr="000D44D4" w:rsidRDefault="00716CE2" w:rsidP="000D44D4">
      <w:r>
        <w:t>3.7</w:t>
      </w:r>
      <w:r>
        <w:tab/>
      </w:r>
      <w:r w:rsidR="000D44D4" w:rsidRPr="000D44D4">
        <w:t>Desde el último Informe Anual del CAIG, el Comité ha observado que la Secretaría ha realizado progresos impresionantes en lo que se refiere a la preparación de una Política de Gestión de Riesgos y de una Declaración de Asunción de Riesgos para la UIT.</w:t>
      </w:r>
    </w:p>
    <w:p w:rsidR="000D44D4" w:rsidRPr="000D44D4" w:rsidRDefault="00716CE2" w:rsidP="004D2E27">
      <w:r>
        <w:t>3.8</w:t>
      </w:r>
      <w:r>
        <w:tab/>
      </w:r>
      <w:r w:rsidR="000D44D4" w:rsidRPr="000D44D4">
        <w:t xml:space="preserve">El CAIG hizo suyas la Política de Gestión de Riesgos y la Declaración de Asunción de Riesgos, y alienta a la Dirección de la UIT a poner la </w:t>
      </w:r>
      <w:r w:rsidR="004D2E27">
        <w:t>p</w:t>
      </w:r>
      <w:r w:rsidR="000D44D4" w:rsidRPr="000D44D4">
        <w:t>olítica en práctica.</w:t>
      </w:r>
    </w:p>
    <w:p w:rsidR="000D44D4" w:rsidRPr="000D44D4" w:rsidRDefault="00716CE2" w:rsidP="000D44D4">
      <w:r>
        <w:t>3.9</w:t>
      </w:r>
      <w:r>
        <w:tab/>
      </w:r>
      <w:r w:rsidR="000D44D4" w:rsidRPr="000D44D4">
        <w:t>El CAIG seguirá realizando tareas de supervisión y prestando asesoramiento, como queda estipulado en las disposiciones de gestión de riesgos.</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1 (2017)</w:t>
      </w:r>
      <w:r w:rsidRPr="00637971">
        <w:t xml:space="preserve">: </w:t>
      </w:r>
      <w:r w:rsidRPr="000D44D4">
        <w:t>Una vez que el Secretario General lo someta a la consideración del Consejo, el CAIG recomienda que la UIT apruebe y aplique la Política de Gestión de Riesgos y la Declaración de Asunción de Riesgos.</w:t>
      </w:r>
    </w:p>
    <w:p w:rsidR="000D44D4" w:rsidRPr="000D44D4" w:rsidRDefault="000D44D4" w:rsidP="00716CE2">
      <w:pPr>
        <w:pStyle w:val="Headingb"/>
      </w:pPr>
      <w:r w:rsidRPr="000D44D4">
        <w:t xml:space="preserve">Auditoría Externa e Informe del Auditor Externo para </w:t>
      </w:r>
      <w:r w:rsidRPr="000D44D4">
        <w:rPr>
          <w:iCs/>
        </w:rPr>
        <w:t>2016</w:t>
      </w:r>
    </w:p>
    <w:p w:rsidR="000D44D4" w:rsidRPr="000D44D4" w:rsidRDefault="00716CE2" w:rsidP="000D44D4">
      <w:r>
        <w:t>3.10</w:t>
      </w:r>
      <w:r>
        <w:tab/>
      </w:r>
      <w:r w:rsidR="000D44D4" w:rsidRPr="000D44D4">
        <w:t xml:space="preserve">El CAIG tuvo reuniones regulares con el Auditor Externo para discutir sobre el enfoque y los avances de la auditoría, y abordar cuestiones que iban surgiendo. </w:t>
      </w:r>
    </w:p>
    <w:p w:rsidR="000D44D4" w:rsidRPr="000D44D4" w:rsidRDefault="00716CE2" w:rsidP="000D44D4">
      <w:r>
        <w:t>3.11</w:t>
      </w:r>
      <w:r>
        <w:tab/>
      </w:r>
      <w:r w:rsidR="000D44D4" w:rsidRPr="000D44D4">
        <w:t>El Comité examinó con el equipo de auditoria el Informe del Auditor Externo sobre la verificación de los estados financieros de la UIT para 2016 que se somete a la consideración del Consejo. El Comité preguntó al Auditor Externo y ofreció garantías sobre el proceso, el alcance, las conclusiones y las recomendaciones de la auditoría; la independencia de los auditores; el seguimiento de las recomendaciones anteriores de la Auditoría Externa; y otras cuestiones técnicas. El CAIG elogia al Auditor Externo por la presentación a tiempo de su informe de auditoría, que le ha permitido examinarlo pese al calendario extremadamente ajustado que ha tenido que implantarse para tener en cuenta la reunión del Consejo de este año.</w:t>
      </w:r>
    </w:p>
    <w:p w:rsidR="000D44D4" w:rsidRPr="000D44D4" w:rsidRDefault="00716CE2" w:rsidP="004D2E27">
      <w:r>
        <w:t>3.12</w:t>
      </w:r>
      <w:r>
        <w:tab/>
      </w:r>
      <w:r w:rsidR="000D44D4" w:rsidRPr="000D44D4">
        <w:t>El Informe del Auditor Externo es completo y útil para el Consejo, ya que contiene 12</w:t>
      </w:r>
      <w:r w:rsidR="004D2E27">
        <w:t> </w:t>
      </w:r>
      <w:r w:rsidR="000D44D4" w:rsidRPr="000D44D4">
        <w:t>recomendaciones formales y cuatro sugerencias para la atención de la Dirección. Además de las observaciones formuladas por los auditores con respecto a los estados financieros y el desempeño financiero de la UIT, una parte importante del Informe de Auditoría Externa contiene un extenso comentario sobre la auditoría de desempeño y recomendaciones sobre las compras. La Dirección puede abordar muchas de las recomendaciones en el contexto de la preparación y adopción de un manual de compras exhaustivo y global (de la que carece actualmente la organización) y de algunos procedimientos y políticas mejorados.</w:t>
      </w:r>
    </w:p>
    <w:p w:rsidR="000D44D4" w:rsidRPr="000D44D4" w:rsidRDefault="00716CE2" w:rsidP="000D44D4">
      <w:r>
        <w:t>3.13</w:t>
      </w:r>
      <w:r>
        <w:tab/>
      </w:r>
      <w:r w:rsidR="000D44D4" w:rsidRPr="000D44D4">
        <w:t xml:space="preserve">La UIT carece del alcance o el valor de las compras operacionales que tienen muchos otros organismos de las Naciones Unidas. El CAIG considera que varios requisitos fundamentales y funciones básicas pueden abordarse eficazmente, a un coste y por un esfuerzo aceptables, teniendo en cuenta la relación coste/beneficio de los avances propuestos y basándose en la práctica actual en otros organismos. Se trata de aprender de la experiencia de otros organismos del sistema de las Naciones Unidas, no de </w:t>
      </w:r>
      <w:r w:rsidR="00637971">
        <w:t>"</w:t>
      </w:r>
      <w:r w:rsidR="000D44D4" w:rsidRPr="000D44D4">
        <w:t>reinventar la rueda</w:t>
      </w:r>
      <w:r w:rsidR="00637971">
        <w:t>"</w:t>
      </w:r>
      <w:r w:rsidR="000D44D4" w:rsidRPr="000D44D4">
        <w:t xml:space="preserve">. El CAIG opina que este enfoque (punto de referencia) puede aplicarse en el ámbito de las compras, pero también en otros, como la ética. También considera que es conveniente que las disposiciones de la UIT sean no solamente adecuadas y eficaces, sino también proporcionales al tamaño, a la naturaleza y a las circunstancias </w:t>
      </w:r>
      <w:r w:rsidR="000D44D4" w:rsidRPr="000D44D4">
        <w:lastRenderedPageBreak/>
        <w:t>de la organización. En su reunión de otoño de 2017 y teniendo presentes las recomendaciones del Auditor Externo, el CAIG examinará el tema de las compras con más detalle, con miras a ofrecer asesoramiento adicional a la Dirección.</w:t>
      </w:r>
    </w:p>
    <w:p w:rsidR="000D44D4" w:rsidRPr="000D44D4" w:rsidRDefault="00716CE2" w:rsidP="000D44D4">
      <w:r>
        <w:t>3.14</w:t>
      </w:r>
      <w:r>
        <w:tab/>
      </w:r>
      <w:r w:rsidR="000D44D4" w:rsidRPr="000D44D4">
        <w:t>El CAIG encomia la atención prestada por el Consejo a las observaciones del Auditor Externo y a la Recomendación 1 de la auditoria relativa a los importantes problemas y desafíos que plantea la inminente y posible jubilación de numerosos miembros del personal, y la ausencia de un plan estratégico de recursos humanos actualizado y de una estrategia de planificación de reemplazos. El CAIG considera que esta situación entraña un riesgo considerable para la UIT. En el contexto del entorno en rápida evolución de la UIT y de la posible necesidad de precisar el objetivo de la UIT a largo plazo, es imprescindible abordar con mayor urgencia y alcance el tema de la brecha en la dotación de persona</w:t>
      </w:r>
      <w:r w:rsidR="004D2E27">
        <w:t>l</w:t>
      </w:r>
      <w:r w:rsidR="000D44D4" w:rsidRPr="000D44D4">
        <w:t>, para garantizar que la UIT cuente con las aptitudes y competencias necesarias para el futuro. El CAIG tratará nuevamente este tema en su próxima reunión con el fin de seguir analizando los nuevos riesgos que existen.</w:t>
      </w:r>
    </w:p>
    <w:p w:rsidR="000D44D4" w:rsidRPr="000D44D4" w:rsidRDefault="00716CE2" w:rsidP="000D44D4">
      <w:r>
        <w:t>3.15</w:t>
      </w:r>
      <w:r>
        <w:tab/>
      </w:r>
      <w:r w:rsidR="000D44D4" w:rsidRPr="000D44D4">
        <w:t>El Anexo 1 al Informe del Auditor Externo contiene información sobre el estado de la aplicación de las recomendaciones de auditoría formuladas en años anteriores.</w:t>
      </w:r>
    </w:p>
    <w:p w:rsidR="000D44D4" w:rsidRPr="000D44D4" w:rsidRDefault="000D44D4" w:rsidP="00716CE2">
      <w:pPr>
        <w:pStyle w:val="Headingb"/>
      </w:pPr>
      <w:r w:rsidRPr="000D44D4">
        <w:t>Auditoría Interna</w:t>
      </w:r>
    </w:p>
    <w:p w:rsidR="000D44D4" w:rsidRPr="000D44D4" w:rsidRDefault="00716CE2" w:rsidP="000D44D4">
      <w:r>
        <w:t>3.16</w:t>
      </w:r>
      <w:r>
        <w:tab/>
      </w:r>
      <w:r w:rsidR="000D44D4" w:rsidRPr="000D44D4">
        <w:t xml:space="preserve">El CAIG siguió con atención las actividades de la Unidad de Auditoría Interna de la UIT durante el </w:t>
      </w:r>
      <w:r w:rsidR="000D44D4" w:rsidRPr="000D44D4">
        <w:rPr>
          <w:cs/>
        </w:rPr>
        <w:t>‎</w:t>
      </w:r>
      <w:r w:rsidR="000D44D4" w:rsidRPr="000D44D4">
        <w:t xml:space="preserve">último año. También examinó la planificación y los avances de las actividades de </w:t>
      </w:r>
      <w:r w:rsidR="00A97479" w:rsidRPr="000D44D4">
        <w:t>Auditoría Interna</w:t>
      </w:r>
      <w:r w:rsidR="000D44D4" w:rsidRPr="000D44D4">
        <w:t>, y los resultados de los informes de auditoría de 2016/2017.</w:t>
      </w:r>
    </w:p>
    <w:p w:rsidR="000D44D4" w:rsidRPr="000D44D4" w:rsidRDefault="00716CE2" w:rsidP="000D44D4">
      <w:r>
        <w:t>3.17</w:t>
      </w:r>
      <w:r>
        <w:tab/>
      </w:r>
      <w:r w:rsidR="000D44D4" w:rsidRPr="000D44D4">
        <w:t>El CAIG examinó los informes de Auditoría Interna siguientes:</w:t>
      </w:r>
    </w:p>
    <w:p w:rsidR="000D44D4" w:rsidRPr="000D44D4" w:rsidRDefault="00716CE2" w:rsidP="00716CE2">
      <w:pPr>
        <w:pStyle w:val="enumlev1"/>
      </w:pPr>
      <w:r>
        <w:t>–</w:t>
      </w:r>
      <w:r>
        <w:tab/>
      </w:r>
      <w:r w:rsidR="000D44D4" w:rsidRPr="000D44D4">
        <w:t>Inspección de los contratos de expertos externos;</w:t>
      </w:r>
    </w:p>
    <w:p w:rsidR="000D44D4" w:rsidRPr="000D44D4" w:rsidRDefault="00716CE2" w:rsidP="00716CE2">
      <w:pPr>
        <w:pStyle w:val="enumlev1"/>
      </w:pPr>
      <w:r>
        <w:t>–</w:t>
      </w:r>
      <w:r>
        <w:tab/>
      </w:r>
      <w:r w:rsidR="000D44D4" w:rsidRPr="000D44D4">
        <w:t>Auditoría de los Fondos Fiduciarios;</w:t>
      </w:r>
    </w:p>
    <w:p w:rsidR="000D44D4" w:rsidRPr="000D44D4" w:rsidRDefault="00716CE2" w:rsidP="00716CE2">
      <w:pPr>
        <w:pStyle w:val="enumlev1"/>
      </w:pPr>
      <w:r>
        <w:t>–</w:t>
      </w:r>
      <w:r>
        <w:tab/>
      </w:r>
      <w:r w:rsidR="000D44D4" w:rsidRPr="000D44D4">
        <w:t>Evaluación del riesgo de fraude institucional;</w:t>
      </w:r>
    </w:p>
    <w:p w:rsidR="000D44D4" w:rsidRPr="000D44D4" w:rsidRDefault="00716CE2" w:rsidP="00716CE2">
      <w:pPr>
        <w:pStyle w:val="enumlev1"/>
      </w:pPr>
      <w:r>
        <w:t>–</w:t>
      </w:r>
      <w:r>
        <w:tab/>
      </w:r>
      <w:r w:rsidR="000D44D4" w:rsidRPr="000D44D4">
        <w:t>Auditoría del aprendizaje, la formación y el desarrollo profesional;</w:t>
      </w:r>
    </w:p>
    <w:p w:rsidR="000D44D4" w:rsidRPr="000D44D4" w:rsidRDefault="00716CE2" w:rsidP="00716CE2">
      <w:pPr>
        <w:pStyle w:val="enumlev1"/>
      </w:pPr>
      <w:r>
        <w:t>–</w:t>
      </w:r>
      <w:r>
        <w:tab/>
      </w:r>
      <w:r w:rsidR="000D44D4" w:rsidRPr="000D44D4">
        <w:t>Auditoría de los servicios de contratación, arrendamiento y mantenimiento de TI;</w:t>
      </w:r>
    </w:p>
    <w:p w:rsidR="000D44D4" w:rsidRPr="000D44D4" w:rsidRDefault="00716CE2" w:rsidP="00716CE2">
      <w:pPr>
        <w:pStyle w:val="enumlev1"/>
      </w:pPr>
      <w:r>
        <w:t>–</w:t>
      </w:r>
      <w:r>
        <w:tab/>
      </w:r>
      <w:r w:rsidR="000D44D4" w:rsidRPr="000D44D4">
        <w:t>Auditoría de igualdad e integración de género en la UIT.</w:t>
      </w:r>
    </w:p>
    <w:p w:rsidR="000D44D4" w:rsidRPr="000D44D4" w:rsidRDefault="00716CE2" w:rsidP="00BD3AC1">
      <w:r>
        <w:t>3.18</w:t>
      </w:r>
      <w:r>
        <w:tab/>
      </w:r>
      <w:r w:rsidR="000D44D4" w:rsidRPr="000D44D4">
        <w:t xml:space="preserve">El Comité también tomó nota del Informe Anual del Auditor Interno sobre las actividades de </w:t>
      </w:r>
      <w:r w:rsidR="00A97479" w:rsidRPr="000D44D4">
        <w:t xml:space="preserve">Auditoría Interna </w:t>
      </w:r>
      <w:r w:rsidR="000D44D4" w:rsidRPr="000D44D4">
        <w:t>que se somete a la consideración del Consejo en su reunión de 2017 (Doc</w:t>
      </w:r>
      <w:r w:rsidR="00BD3AC1">
        <w:t>umento</w:t>
      </w:r>
      <w:r>
        <w:t> </w:t>
      </w:r>
      <w:hyperlink r:id="rId19" w:history="1">
        <w:r w:rsidR="000D44D4" w:rsidRPr="000D44D4">
          <w:rPr>
            <w:rStyle w:val="Hyperlink"/>
          </w:rPr>
          <w:t>C17/</w:t>
        </w:r>
        <w:r w:rsidR="000D44D4" w:rsidRPr="000D44D4">
          <w:rPr>
            <w:rStyle w:val="Hyperlink"/>
          </w:rPr>
          <w:t>4</w:t>
        </w:r>
        <w:r w:rsidR="000D44D4" w:rsidRPr="000D44D4">
          <w:rPr>
            <w:rStyle w:val="Hyperlink"/>
          </w:rPr>
          <w:t>4</w:t>
        </w:r>
      </w:hyperlink>
      <w:r w:rsidR="000D44D4" w:rsidRPr="000D44D4">
        <w:t>). En ese Informe se resumen las auditorías realizadas en el per</w:t>
      </w:r>
      <w:r w:rsidR="00BD3AC1">
        <w:t>i</w:t>
      </w:r>
      <w:r w:rsidR="000D44D4" w:rsidRPr="000D44D4">
        <w:t>odo entre marzo de 2016 y febrero de 2017, y los informes disponibles, que el CAIG pone en conocimiento del Consejo.</w:t>
      </w:r>
    </w:p>
    <w:p w:rsidR="000D44D4" w:rsidRPr="000D44D4" w:rsidRDefault="00716CE2" w:rsidP="000D44D4">
      <w:r>
        <w:t>3.19</w:t>
      </w:r>
      <w:r>
        <w:tab/>
      </w:r>
      <w:r w:rsidR="000D44D4" w:rsidRPr="000D44D4">
        <w:t>En más de la mitad de los informes de auditoría, el Auditor Interno opinaba que la gobernanza, los procesos de gestión de riesgos y los controles internos relativos a las esferas examinadas no eran suficientemente adecuadas ni eficaces.</w:t>
      </w:r>
    </w:p>
    <w:p w:rsidR="000D44D4" w:rsidRPr="000D44D4" w:rsidRDefault="00716CE2" w:rsidP="000D44D4">
      <w:r>
        <w:t>3.20</w:t>
      </w:r>
      <w:r>
        <w:tab/>
      </w:r>
      <w:r w:rsidR="000D44D4" w:rsidRPr="000D44D4">
        <w:t>El CAIG señaló que la Auditoría Interna había detectado deficiencias y procedimientos inadecuados, en muchos casos sobre cuestiones de gran importancia, en sus informes. El Comité alienta a la Dirección a dar prioridad a la acción y reforzar los procedimientos en los ámbitos abarcados en las recomendaciones de auditoría, y a velar por que, una vez aprobadas las recomendaciones de la Auditoría Interna, se apliquen sin demora.</w:t>
      </w:r>
    </w:p>
    <w:p w:rsidR="000D44D4" w:rsidRPr="000D44D4" w:rsidRDefault="00716CE2" w:rsidP="003356E3">
      <w:r>
        <w:t>3.21</w:t>
      </w:r>
      <w:r>
        <w:tab/>
      </w:r>
      <w:r w:rsidR="000D44D4" w:rsidRPr="000D44D4">
        <w:t xml:space="preserve">El CAIG también observó que en la lista de temas de </w:t>
      </w:r>
      <w:r w:rsidR="00A97479" w:rsidRPr="000D44D4">
        <w:t xml:space="preserve">Auditoría Interna </w:t>
      </w:r>
      <w:r w:rsidR="000D44D4" w:rsidRPr="000D44D4">
        <w:t xml:space="preserve">abordados en 2017 figuraba la auditoría de la política de igualdad e integración de género en la UIT. Si bien este tema es importante que lo aborde la Dirección de la Unión, no surge de un riesgo de </w:t>
      </w:r>
      <w:r w:rsidR="00A97479" w:rsidRPr="000D44D4">
        <w:t xml:space="preserve">Auditoría Interna </w:t>
      </w:r>
      <w:r w:rsidR="000D44D4" w:rsidRPr="000D44D4">
        <w:t xml:space="preserve">claramente identificado. En opinión del CAIG, sería más conveniente que de esta evaluación y revisión se ocuparan otros expertos en gestión de la organización, en lugar de utilizar los recursos y la experiencia profesional en materia de auditoría limitados de la Unidad de Auditoría Interna. En su Informe Anual de 2015, el CAIG ya había señalado que convenía que algunos temas examinados por la Unidad de Auditoría Interna </w:t>
      </w:r>
      <w:bookmarkStart w:id="9" w:name="_GoBack"/>
      <w:bookmarkEnd w:id="9"/>
      <w:r w:rsidR="000D44D4" w:rsidRPr="000D44D4">
        <w:t>fueran examinados por la Dirección, por ejemplo</w:t>
      </w:r>
      <w:r w:rsidR="004D2E27">
        <w:t>,</w:t>
      </w:r>
      <w:r w:rsidR="000D44D4" w:rsidRPr="000D44D4">
        <w:t xml:space="preserve"> el informe de auditoría sobre el uso del papel en la Secretaría.</w:t>
      </w:r>
    </w:p>
    <w:p w:rsidR="000D44D4" w:rsidRPr="000D44D4" w:rsidRDefault="00716CE2" w:rsidP="000D44D4">
      <w:r>
        <w:t>3.22</w:t>
      </w:r>
      <w:r>
        <w:tab/>
      </w:r>
      <w:r w:rsidR="000D44D4" w:rsidRPr="000D44D4">
        <w:t>El CAIG recibió información más detallada sobre la metodología de evaluación de riesgos en que se basaban los planes de Auditoría Interna, y tomó nota del grado de detalle y análisis disponible para respaldar la planificación anual. El Comité espera seguir recibiendo este tipo de información para apoyar su examen de los proyectos de plan de auditoría anual y garantizar un plan de trabajo de Auditoría Interna basado en los riesgos y bien fundamentado.</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2 (2017)</w:t>
      </w:r>
      <w:r w:rsidRPr="000D44D4">
        <w:t>: El CAIG recomienda que la Auditoría Interna impulse la adopción de una planificación de la auditoría basada en los riesgos y plurianual, que incluya un ciclo continuo de cobertura, para asegurar una supervisión adecuada de las esferas fundamentales y las actividades operacionales con el tiempo, haciendo el mejor uso posible de los limitados recursos de la Auditoría Interna.</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3 (2017)</w:t>
      </w:r>
      <w:r w:rsidRPr="000D44D4">
        <w:t>: Siguiendo la recomendación formulada por el CAIG en 2016, es importante que los limitados recursos de la Unidad de Auditoría Interna se empleen para examinar los ámbitos que representan los riesgos de mayor prioridad para la organización.</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4 (2017)</w:t>
      </w:r>
      <w:r w:rsidRPr="000D44D4">
        <w:t>: Para asegurar una gestión oportuna de la respuesta a las recomendaciones de la Auditoría Interna, el CAIG recomienda que todas las recomendaciones de la Auditoría Interna acordadas por la dirección operacional incluyan plazos para su aplicación</w:t>
      </w:r>
      <w:r w:rsidR="00473990">
        <w:t>.</w:t>
      </w:r>
    </w:p>
    <w:p w:rsidR="000D44D4" w:rsidRPr="000D44D4" w:rsidRDefault="000D44D4" w:rsidP="00716CE2">
      <w:pPr>
        <w:pStyle w:val="Headingb"/>
      </w:pPr>
      <w:r w:rsidRPr="000D44D4">
        <w:t>Ética</w:t>
      </w:r>
    </w:p>
    <w:p w:rsidR="000D44D4" w:rsidRPr="000D44D4" w:rsidRDefault="00716CE2" w:rsidP="004D2E27">
      <w:r>
        <w:t>3.23</w:t>
      </w:r>
      <w:r>
        <w:tab/>
      </w:r>
      <w:r w:rsidR="000D44D4" w:rsidRPr="000D44D4">
        <w:t>La UIT acaba de crear el puesto de Oficial de Ética y, según el mandato del Comité, éste se encarga de supervis</w:t>
      </w:r>
      <w:r w:rsidR="004D2E27">
        <w:t>a</w:t>
      </w:r>
      <w:r w:rsidR="000D44D4" w:rsidRPr="000D44D4">
        <w:t>r las políticas y los procedimientos en materia de ética de la organización.</w:t>
      </w:r>
    </w:p>
    <w:p w:rsidR="000D44D4" w:rsidRPr="000D44D4" w:rsidRDefault="00716CE2" w:rsidP="000D44D4">
      <w:r>
        <w:t>3.24</w:t>
      </w:r>
      <w:r>
        <w:tab/>
      </w:r>
      <w:r w:rsidR="000D44D4" w:rsidRPr="000D44D4">
        <w:t>Como práctica de buena gobernanza, y a fin de velar por la transparencia y la eficacia de los acuerdos de la UIT con la población y con las entidades externas o terceras partes relacionadas con la organización, será importante que los elementos pertinentes de las disposiciones en materia de ética de la UIT se conozcan y puedan consultarse fácilmente.</w:t>
      </w:r>
    </w:p>
    <w:p w:rsidR="000D44D4" w:rsidRPr="000D44D4" w:rsidRDefault="000D44D4" w:rsidP="00716CE2">
      <w:pPr>
        <w:pBdr>
          <w:top w:val="single" w:sz="4" w:space="1" w:color="auto"/>
          <w:left w:val="single" w:sz="4" w:space="4" w:color="auto"/>
          <w:bottom w:val="single" w:sz="4" w:space="1" w:color="auto"/>
          <w:right w:val="single" w:sz="4" w:space="4" w:color="auto"/>
        </w:pBdr>
        <w:rPr>
          <w:b/>
          <w:bCs/>
        </w:rPr>
      </w:pPr>
      <w:r w:rsidRPr="000D44D4">
        <w:rPr>
          <w:b/>
          <w:bCs/>
        </w:rPr>
        <w:t>Recomendación 5 (2017)</w:t>
      </w:r>
      <w:r w:rsidRPr="00716CE2">
        <w:t xml:space="preserve">: </w:t>
      </w:r>
      <w:r w:rsidRPr="000D44D4">
        <w:t xml:space="preserve">El CAIG </w:t>
      </w:r>
      <w:r w:rsidRPr="000D44D4">
        <w:rPr>
          <w:bCs/>
        </w:rPr>
        <w:t>recomienda que la política, la práctica y los procedimientos de ética de la UIT se den a conocer en el sitio web público de la organización a medida que se definan.</w:t>
      </w:r>
    </w:p>
    <w:p w:rsidR="000D44D4" w:rsidRPr="000D44D4" w:rsidRDefault="000D44D4" w:rsidP="00716CE2">
      <w:pPr>
        <w:pStyle w:val="Headingb"/>
      </w:pPr>
      <w:r w:rsidRPr="000D44D4">
        <w:t>Cumplimiento y gestión del riesgo de fraude</w:t>
      </w:r>
    </w:p>
    <w:p w:rsidR="000D44D4" w:rsidRPr="000D44D4" w:rsidRDefault="00716CE2" w:rsidP="000D44D4">
      <w:r>
        <w:t>3.25</w:t>
      </w:r>
      <w:r>
        <w:tab/>
      </w:r>
      <w:r w:rsidR="000D44D4" w:rsidRPr="000D44D4">
        <w:t xml:space="preserve">Desde el último Informe Anual del CAIG, y a la luz de las conclusiones generales y las inquietudes planteadas en los informes de Auditoría Interna, el CAIG ha iniciado un diálogo con la Dirección sobre el entorno general de control en la ITU, en particular en relación con el cumplimiento y la gestión del riesgo de fraude. Este objetivo conjuga consideraciones operacionales relacionadas con la </w:t>
      </w:r>
      <w:r w:rsidR="00A97479" w:rsidRPr="000D44D4">
        <w:t>Auditoría Interna</w:t>
      </w:r>
      <w:r w:rsidR="000D44D4" w:rsidRPr="000D44D4">
        <w:t>, la gestión financiera, los medios legales, las compras y los recursos humanos.</w:t>
      </w:r>
    </w:p>
    <w:p w:rsidR="000D44D4" w:rsidRPr="000D44D4" w:rsidRDefault="00716CE2" w:rsidP="000D44D4">
      <w:r>
        <w:t>3.26</w:t>
      </w:r>
      <w:r>
        <w:tab/>
      </w:r>
      <w:r w:rsidR="000D44D4" w:rsidRPr="000D44D4">
        <w:t>Este asunto es especialmente importante en relación con el riesgo de fraude, ya que la organización carece actualmente de una política sobre fraude, incluidos el soborno y la corrupción, y es necesario mejorar muchos aspectos del cumplimiento y la gestión de riesgos.</w:t>
      </w:r>
    </w:p>
    <w:p w:rsidR="000D44D4" w:rsidRPr="000D44D4" w:rsidRDefault="00716CE2" w:rsidP="000D44D4">
      <w:r>
        <w:lastRenderedPageBreak/>
        <w:t>3.27</w:t>
      </w:r>
      <w:r>
        <w:tab/>
      </w:r>
      <w:r w:rsidR="000D44D4" w:rsidRPr="000D44D4">
        <w:t>La Auditoría Interna encargó una evaluación del riesgo de fraude para la UIT, siguiendo las recomendaciones formuladas por la Dependencia Común de Inspección de las Naciones Unidas. El CAIG alaba el hecho de que se haya realizado una evaluación adecuada de este asunto.</w:t>
      </w:r>
    </w:p>
    <w:p w:rsidR="000D44D4" w:rsidRPr="000D44D4" w:rsidRDefault="00716CE2" w:rsidP="000D44D4">
      <w:r>
        <w:t>3.28</w:t>
      </w:r>
      <w:r>
        <w:tab/>
      </w:r>
      <w:r w:rsidR="000D44D4" w:rsidRPr="000D44D4">
        <w:t>El CAIG ha examinado el informe de evaluación del riesgo de fraude, en el que se indican los ámbitos en que se considera que la UIT está expuesta a cierto riesgo de fraude o que pueden contribuir a aumentar las posibilidades de que se cometa algún tipo de fraude. La evaluación se basa en marcos reglamentarios en los que el fraude se alertaría, detectaría o desalentaría por medio de transacciones, procesos, directrices y procedimientos, y en entrevistas que permiten determinar la manera en que miembros clave del personal de la UIT perciben la vulnerabilidad de la organización.</w:t>
      </w:r>
    </w:p>
    <w:p w:rsidR="000D44D4" w:rsidRPr="000D44D4" w:rsidRDefault="00716CE2" w:rsidP="000D44D4">
      <w:r>
        <w:t>3.29</w:t>
      </w:r>
      <w:r>
        <w:tab/>
      </w:r>
      <w:r w:rsidR="000D44D4" w:rsidRPr="000D44D4">
        <w:t>El CAIG opina que este Informe contiene recomendaciones útiles. El Comité desea animar a la Secretaría a que actúe a tenor de las prioridades, pero sin menoscabo de las diversas funciones implicadas en la aplicación de las recomendaciones. En términos de las diferentes aptitudes y la experiencia profesional necesarias para llevar adelante las medidas mejoradas, será necesario mantener una distinción de las aptitudes y las competencias profesionales que requieren las distintas funciones (por ejemplo, entre las funciones de la autoridad jerárquica, de la Auditoría Interna y del Oficial de Ética). Es importante que las medidas que se elaboren y las soluciones a que se llegue guarden proporción con el tamaño y las necesidades de la organización. Por ejemplo, en opinión del CAIG, existe una distinción clara entre cumplimiento, control y ética, pero la función de la Oficina de Ética no debe necesariamente ser brindar formación en materia de lucha contra el fraude, lo cual podría ser comprometedor si se convirtiese en un mecanismo de prevención del fraude. El CAIG seguirá ejerciendo funciones de supervisión y ofreciendo asesoramiento a la Dirección en lo que respecta a las medidas de lucha contra el fraude en la UIT.</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6 (2017)</w:t>
      </w:r>
      <w:r w:rsidRPr="00716CE2">
        <w:t xml:space="preserve">: </w:t>
      </w:r>
      <w:r w:rsidRPr="000D44D4">
        <w:t>El CAIG recomienda que, con carácter prioritario y como medida de buena gestión, la Secretaría elabore una política oficial de lucha contra el fraude, ofrezca cursos de formación al respecto y tome otras medidas coherentes con las buenas prácticas. Se recomienda que la solución sea proporcional al tamaño de la organización y vele por que las funciones no se vean comprometidas por objetivos antagónicos.</w:t>
      </w:r>
    </w:p>
    <w:p w:rsidR="000D44D4" w:rsidRPr="000D44D4" w:rsidRDefault="000D44D4" w:rsidP="00716CE2">
      <w:pPr>
        <w:pStyle w:val="Headingb"/>
      </w:pPr>
      <w:r w:rsidRPr="000D44D4">
        <w:t>Control de las actividades fuera de la Sede</w:t>
      </w:r>
    </w:p>
    <w:p w:rsidR="000D44D4" w:rsidRPr="000D44D4" w:rsidRDefault="00716CE2" w:rsidP="000D44D4">
      <w:r>
        <w:t>3.30</w:t>
      </w:r>
      <w:r>
        <w:tab/>
      </w:r>
      <w:r w:rsidR="000D44D4" w:rsidRPr="000D44D4">
        <w:t>En vista de las conclusiones de las anteriores auditorías internas, el CAIG ha recibido información de la Oficina de Desarrollo de las Telecomunicaciones (BDT) sobre las medidas tomadas para hacer frente a los problemas relacionados con las actividades sobre el terreno, en particular el cumplimiento de las medidas de seguridad y los requisitos financieros, el presupuesto y la gestión de proyectos, y la supervisión de la Dirección.</w:t>
      </w:r>
    </w:p>
    <w:p w:rsidR="000D44D4" w:rsidRPr="000D44D4" w:rsidRDefault="00716CE2" w:rsidP="000D44D4">
      <w:r>
        <w:t>3.31</w:t>
      </w:r>
      <w:r>
        <w:tab/>
      </w:r>
      <w:r w:rsidR="000D44D4" w:rsidRPr="000D44D4">
        <w:t>El CAIG alienta a la BDT a que siga tomando medidas para garantizar un control adecuado de la gestión institucional de las operaciones y las prácticas de gestión sobre el terreno, en particular para velar por el cumplimiento de las normas y los reglamentos financieros/de gestión de la UIT, y las normas de seguridad de las Naciones Unidas en las oficinas sobre el terreno.</w:t>
      </w:r>
    </w:p>
    <w:p w:rsidR="000D44D4" w:rsidRPr="000D44D4" w:rsidRDefault="000D44D4" w:rsidP="00716CE2">
      <w:pPr>
        <w:pStyle w:val="Headingb"/>
      </w:pPr>
      <w:r w:rsidRPr="000D44D4">
        <w:t>Proyecto de co</w:t>
      </w:r>
      <w:r w:rsidR="00716CE2">
        <w:t>nstrucción de la Sede de la UIT</w:t>
      </w:r>
    </w:p>
    <w:p w:rsidR="000D44D4" w:rsidRPr="000D44D4" w:rsidRDefault="00716CE2" w:rsidP="000D44D4">
      <w:r>
        <w:t>3.32</w:t>
      </w:r>
      <w:r>
        <w:tab/>
      </w:r>
      <w:r w:rsidR="000D44D4" w:rsidRPr="000D44D4">
        <w:t>El CAIG ha recibido información sobre la evolución del proyecto de construcción de las instalaciones de la Sede y, a la luz de la importancia que tiene el proyecto para la organización, tiene la intención de seguir interactuando con el equipo de la UIT encargado de la aplicación del proyecto.</w:t>
      </w:r>
    </w:p>
    <w:p w:rsidR="000D44D4" w:rsidRPr="000D44D4" w:rsidRDefault="00716CE2" w:rsidP="000D44D4">
      <w:r>
        <w:lastRenderedPageBreak/>
        <w:t>3.33</w:t>
      </w:r>
      <w:r>
        <w:tab/>
      </w:r>
      <w:r w:rsidR="000D44D4" w:rsidRPr="000D44D4">
        <w:t>El Comité reconoce y agradece el profesionalismo y la transparencia con que se está llevando adelante el proyecto y se logra avanzar al respecto.</w:t>
      </w:r>
    </w:p>
    <w:p w:rsidR="000D44D4" w:rsidRPr="000D44D4" w:rsidRDefault="00716CE2" w:rsidP="000D44D4">
      <w:r>
        <w:t>3.34</w:t>
      </w:r>
      <w:r>
        <w:tab/>
      </w:r>
      <w:r w:rsidR="000D44D4" w:rsidRPr="000D44D4">
        <w:t>El CAIG comprueba con agrado que la UIT va a contratar a un experto en grandes proyectos de construcción. Habida cuenta de la complejidad técnica y del riesgo que conlleva este tipo de proyectos grandes de construcción e infraestructura, y para garantizar a la Dirección y al Consejo que el proyecto se está gestionando adecuadamente desde los puntos de vista de la economía, la eficiencia, la eficacia y el medio ambiente, el CAIG opina que la UIT debería considerar la conveniencia de pedir ayuda a un experto en auditorías de procesos y procedimientos como los que est</w:t>
      </w:r>
      <w:r w:rsidR="00473990">
        <w:t>án implicados en este proyecto.</w:t>
      </w:r>
    </w:p>
    <w:p w:rsidR="000D44D4" w:rsidRPr="000D44D4" w:rsidRDefault="00716CE2" w:rsidP="000D44D4">
      <w:r>
        <w:t>3.35</w:t>
      </w:r>
      <w:r>
        <w:tab/>
      </w:r>
      <w:r w:rsidR="000D44D4" w:rsidRPr="000D44D4">
        <w:t>El CAIG también alentaría a todos los grupos regionales a nombrar a miembros para conformar el Grupo Asesor de los Estados Miembros sobre las Instalaciones (MSAG).</w:t>
      </w:r>
    </w:p>
    <w:p w:rsidR="000D44D4" w:rsidRPr="000D44D4" w:rsidRDefault="00716CE2" w:rsidP="000D44D4">
      <w:r>
        <w:t>3.36</w:t>
      </w:r>
      <w:r>
        <w:tab/>
      </w:r>
      <w:r w:rsidR="000D44D4" w:rsidRPr="000D44D4">
        <w:t>El Comité anima a la Dirección de la UIT a proseguir la labor positiva que está realizando a este respecto.</w:t>
      </w:r>
    </w:p>
    <w:p w:rsidR="000D44D4" w:rsidRPr="000D44D4" w:rsidRDefault="000D44D4" w:rsidP="00716CE2">
      <w:pPr>
        <w:pBdr>
          <w:top w:val="single" w:sz="4" w:space="1" w:color="auto"/>
          <w:left w:val="single" w:sz="4" w:space="4" w:color="auto"/>
          <w:bottom w:val="single" w:sz="4" w:space="1" w:color="auto"/>
          <w:right w:val="single" w:sz="4" w:space="4" w:color="auto"/>
        </w:pBdr>
      </w:pPr>
      <w:r w:rsidRPr="000D44D4">
        <w:rPr>
          <w:b/>
          <w:bCs/>
        </w:rPr>
        <w:t>Recomendación 7 (2017)</w:t>
      </w:r>
      <w:r w:rsidRPr="00637971">
        <w:t xml:space="preserve">: </w:t>
      </w:r>
      <w:r w:rsidRPr="000D44D4">
        <w:t>El CAIG recomienda que la UIT considere la conveniencia de contratar a un auditor con conocimientos especializados en este ámbito y, a su debido tiempo, realizar una auditoría independiente de la cuenta creada para la construcción del edificio.</w:t>
      </w:r>
    </w:p>
    <w:p w:rsidR="000D44D4" w:rsidRPr="000D44D4" w:rsidRDefault="000D44D4" w:rsidP="00716CE2">
      <w:pPr>
        <w:pStyle w:val="Headingb"/>
      </w:pPr>
      <w:r w:rsidRPr="000D44D4">
        <w:t>Evaluación</w:t>
      </w:r>
    </w:p>
    <w:p w:rsidR="000D44D4" w:rsidRPr="000D44D4" w:rsidRDefault="00716CE2" w:rsidP="008E5837">
      <w:r>
        <w:t>3.37</w:t>
      </w:r>
      <w:r>
        <w:tab/>
      </w:r>
      <w:r w:rsidR="000D44D4" w:rsidRPr="000D44D4">
        <w:t>Durante su última reunión, celebrada en mayo de 2017, el CAIG recibió un informe que contenía un estudio de viabilidad de la evaluación de la UIT. El Comité encomia a la Dirección de la</w:t>
      </w:r>
      <w:r>
        <w:t> </w:t>
      </w:r>
      <w:r w:rsidR="000D44D4" w:rsidRPr="000D44D4">
        <w:t>UIT por haber tomado la iniciativa de determinar la necesidad y posibles medidas para una función de evaluación, y está dispuesto a ofrecer asesoramiento a la Dirección de la UIT de ser necesario.</w:t>
      </w:r>
    </w:p>
    <w:p w:rsidR="000D44D4" w:rsidRPr="000D44D4" w:rsidRDefault="00716CE2" w:rsidP="000D44D4">
      <w:r>
        <w:t>3.38</w:t>
      </w:r>
      <w:r>
        <w:tab/>
      </w:r>
      <w:r w:rsidR="000D44D4" w:rsidRPr="000D44D4">
        <w:t>El Comité examinará el informe con el estudio de viabilidad en su próxima reunión.</w:t>
      </w:r>
    </w:p>
    <w:p w:rsidR="000D44D4" w:rsidRPr="000D44D4" w:rsidRDefault="00716CE2" w:rsidP="00716CE2">
      <w:pPr>
        <w:pStyle w:val="Heading1"/>
      </w:pPr>
      <w:r>
        <w:t>4</w:t>
      </w:r>
      <w:r>
        <w:tab/>
      </w:r>
      <w:r w:rsidR="000D44D4" w:rsidRPr="000D44D4">
        <w:t>Otros asuntos</w:t>
      </w:r>
    </w:p>
    <w:p w:rsidR="000D44D4" w:rsidRPr="000D44D4" w:rsidRDefault="00716CE2" w:rsidP="000D44D4">
      <w:r>
        <w:t>4.1</w:t>
      </w:r>
      <w:r>
        <w:tab/>
      </w:r>
      <w:r w:rsidR="000D44D4" w:rsidRPr="000D44D4">
        <w:t>El CAIG celebrará su próxima reunión en otoño de 2017.</w:t>
      </w:r>
    </w:p>
    <w:p w:rsidR="000D44D4" w:rsidRPr="000D44D4" w:rsidRDefault="00716CE2" w:rsidP="000D44D4">
      <w:r>
        <w:t>4.2</w:t>
      </w:r>
      <w:r>
        <w:tab/>
      </w:r>
      <w:r w:rsidR="000D44D4" w:rsidRPr="000D44D4">
        <w:t xml:space="preserve">Los miembros del CAIG desean agradecer a los Estados Miembros, al GTC-RHF, al GTC-SEDE, al Secretario General y a los funcionarios de la UIT su apoyo, su cooperación y su </w:t>
      </w:r>
      <w:r w:rsidR="000D44D4" w:rsidRPr="000D44D4">
        <w:rPr>
          <w:cs/>
        </w:rPr>
        <w:t>‎</w:t>
      </w:r>
      <w:r w:rsidR="000D44D4" w:rsidRPr="000D44D4">
        <w:t xml:space="preserve">actitud positiva en el funcionamiento efectivo del </w:t>
      </w:r>
      <w:r w:rsidR="000D44D4" w:rsidRPr="000D44D4">
        <w:rPr>
          <w:cs/>
        </w:rPr>
        <w:t>‎</w:t>
      </w:r>
      <w:r w:rsidR="000D44D4" w:rsidRPr="000D44D4">
        <w:t>Comité.</w:t>
      </w:r>
    </w:p>
    <w:p w:rsidR="000D44D4" w:rsidRPr="000D44D4" w:rsidRDefault="00716CE2" w:rsidP="008E5837">
      <w:r>
        <w:t>4.3</w:t>
      </w:r>
      <w:r>
        <w:tab/>
      </w:r>
      <w:r w:rsidR="000D44D4" w:rsidRPr="000D44D4">
        <w:t xml:space="preserve">Los miembros del CAIG, sus responsabilidades, su mandato y sus </w:t>
      </w:r>
      <w:r w:rsidR="008E5837">
        <w:t>i</w:t>
      </w:r>
      <w:r w:rsidR="000D44D4" w:rsidRPr="000D44D4">
        <w:t xml:space="preserve">nformes están disponibles en </w:t>
      </w:r>
      <w:r w:rsidR="000D44D4" w:rsidRPr="000D44D4">
        <w:rPr>
          <w:cs/>
        </w:rPr>
        <w:t>‎</w:t>
      </w:r>
      <w:r w:rsidR="000D44D4" w:rsidRPr="000D44D4">
        <w:t xml:space="preserve">la página web pública de la UIT sobre el CAIG: </w:t>
      </w:r>
      <w:hyperlink r:id="rId20" w:history="1">
        <w:r w:rsidR="000D44D4" w:rsidRPr="000D44D4">
          <w:rPr>
            <w:rStyle w:val="Hyperlink"/>
          </w:rPr>
          <w:t>http://www.itu</w:t>
        </w:r>
        <w:r w:rsidR="000D44D4" w:rsidRPr="000D44D4">
          <w:rPr>
            <w:rStyle w:val="Hyperlink"/>
          </w:rPr>
          <w:t>.</w:t>
        </w:r>
        <w:r w:rsidR="000D44D4" w:rsidRPr="000D44D4">
          <w:rPr>
            <w:rStyle w:val="Hyperlink"/>
          </w:rPr>
          <w:t>int/en/council/Pages/imac.aspx</w:t>
        </w:r>
      </w:hyperlink>
      <w:r w:rsidR="000D44D4" w:rsidRPr="000D44D4">
        <w:t>.</w:t>
      </w:r>
    </w:p>
    <w:p w:rsidR="000D44D4" w:rsidRDefault="000D44D4" w:rsidP="00637971">
      <w:r>
        <w:br w:type="page"/>
      </w:r>
    </w:p>
    <w:p w:rsidR="0048739E" w:rsidRDefault="000D44D4" w:rsidP="0048739E">
      <w:pPr>
        <w:pStyle w:val="AnnexNo"/>
      </w:pPr>
      <w:r w:rsidRPr="000D44D4">
        <w:lastRenderedPageBreak/>
        <w:t>ANEXO 1</w:t>
      </w:r>
    </w:p>
    <w:p w:rsidR="000D44D4" w:rsidRPr="000D44D4" w:rsidRDefault="0048739E" w:rsidP="0048739E">
      <w:pPr>
        <w:pStyle w:val="Annextitle"/>
      </w:pPr>
      <w:r w:rsidRPr="000D44D4">
        <w:t xml:space="preserve">Estadísticas de aplicación de las Recomendaciones del </w:t>
      </w:r>
      <w:r w:rsidR="000D44D4" w:rsidRPr="000D44D4">
        <w:t>CAIG</w:t>
      </w: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none" w:sz="0" w:space="0" w:color="auto"/>
        </w:tblBorders>
        <w:tblLook w:val="04A0" w:firstRow="1" w:lastRow="0" w:firstColumn="1" w:lastColumn="0" w:noHBand="0" w:noVBand="1"/>
      </w:tblPr>
      <w:tblGrid>
        <w:gridCol w:w="3420"/>
        <w:gridCol w:w="6219"/>
      </w:tblGrid>
      <w:tr w:rsidR="000D44D4" w:rsidRPr="00ED4715" w:rsidTr="00762D17">
        <w:tc>
          <w:tcPr>
            <w:tcW w:w="3420" w:type="dxa"/>
            <w:vAlign w:val="center"/>
          </w:tcPr>
          <w:tbl>
            <w:tblPr>
              <w:tblStyle w:val="ListTable6Colorful-Accent11"/>
              <w:tblW w:w="3204" w:type="dxa"/>
              <w:tblLook w:val="04A0" w:firstRow="1" w:lastRow="0" w:firstColumn="1" w:lastColumn="0" w:noHBand="0" w:noVBand="1"/>
            </w:tblPr>
            <w:tblGrid>
              <w:gridCol w:w="2090"/>
              <w:gridCol w:w="556"/>
              <w:gridCol w:w="558"/>
            </w:tblGrid>
            <w:tr w:rsidR="000D44D4" w:rsidRPr="001138B9" w:rsidTr="001138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 xml:space="preserve">Estado general de </w:t>
                  </w:r>
                  <w:r w:rsidR="001138B9">
                    <w:rPr>
                      <w:color w:val="auto"/>
                      <w:sz w:val="18"/>
                      <w:szCs w:val="18"/>
                      <w:lang w:eastAsia="zh-CN"/>
                    </w:rPr>
                    <w:br/>
                  </w:r>
                  <w:r w:rsidRPr="001138B9">
                    <w:rPr>
                      <w:color w:val="auto"/>
                      <w:sz w:val="18"/>
                      <w:szCs w:val="18"/>
                      <w:lang w:eastAsia="zh-CN"/>
                    </w:rPr>
                    <w:t xml:space="preserve">la aplicación de las recomendaciones </w:t>
                  </w:r>
                  <w:r w:rsidR="001138B9">
                    <w:rPr>
                      <w:color w:val="auto"/>
                      <w:sz w:val="18"/>
                      <w:szCs w:val="18"/>
                      <w:lang w:eastAsia="zh-CN"/>
                    </w:rPr>
                    <w:br/>
                  </w:r>
                  <w:r w:rsidRPr="001138B9">
                    <w:rPr>
                      <w:color w:val="auto"/>
                      <w:sz w:val="18"/>
                      <w:szCs w:val="18"/>
                      <w:lang w:eastAsia="zh-CN"/>
                    </w:rPr>
                    <w:t>del CAIG 2012-2016</w:t>
                  </w:r>
                </w:p>
              </w:tc>
              <w:tc>
                <w:tcPr>
                  <w:tcW w:w="556"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558"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1138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Total</w:t>
                  </w:r>
                </w:p>
              </w:tc>
              <w:tc>
                <w:tcPr>
                  <w:tcW w:w="556" w:type="dxa"/>
                  <w:noWrap/>
                  <w:hideMark/>
                </w:tcPr>
                <w:p w:rsidR="000D44D4" w:rsidRPr="001138B9" w:rsidRDefault="000D44D4" w:rsidP="001138B9">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b/>
                      <w:bCs/>
                      <w:color w:val="auto"/>
                      <w:sz w:val="18"/>
                      <w:szCs w:val="18"/>
                      <w:lang w:eastAsia="zh-CN"/>
                    </w:rPr>
                  </w:pPr>
                  <w:r w:rsidRPr="001138B9">
                    <w:rPr>
                      <w:b/>
                      <w:bCs/>
                      <w:color w:val="auto"/>
                      <w:sz w:val="18"/>
                      <w:szCs w:val="18"/>
                      <w:lang w:eastAsia="zh-CN"/>
                    </w:rPr>
                    <w:t>43</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b/>
                      <w:bCs/>
                      <w:color w:val="auto"/>
                      <w:sz w:val="18"/>
                      <w:szCs w:val="18"/>
                      <w:lang w:eastAsia="zh-CN"/>
                    </w:rPr>
                  </w:pPr>
                  <w:r w:rsidRPr="001138B9">
                    <w:rPr>
                      <w:b/>
                      <w:bCs/>
                      <w:color w:val="auto"/>
                      <w:sz w:val="18"/>
                      <w:szCs w:val="18"/>
                      <w:lang w:eastAsia="zh-CN"/>
                    </w:rPr>
                    <w:t>100</w:t>
                  </w:r>
                </w:p>
              </w:tc>
            </w:tr>
            <w:tr w:rsidR="000D44D4" w:rsidRPr="001138B9" w:rsidTr="001138B9">
              <w:trPr>
                <w:trHeight w:val="300"/>
              </w:trPr>
              <w:tc>
                <w:tcPr>
                  <w:cnfStyle w:val="001000000000" w:firstRow="0" w:lastRow="0" w:firstColumn="1" w:lastColumn="0" w:oddVBand="0" w:evenVBand="0" w:oddHBand="0" w:evenHBand="0" w:firstRowFirstColumn="0" w:firstRowLastColumn="0" w:lastRowFirstColumn="0" w:lastRowLastColumn="0"/>
                  <w:tcW w:w="209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556" w:type="dxa"/>
                  <w:noWrap/>
                  <w:hideMark/>
                </w:tcPr>
                <w:p w:rsidR="000D44D4" w:rsidRPr="001138B9" w:rsidRDefault="000D44D4" w:rsidP="001138B9">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37</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86</w:t>
                  </w:r>
                </w:p>
              </w:tc>
            </w:tr>
            <w:tr w:rsidR="000D44D4" w:rsidRPr="001138B9" w:rsidTr="001138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556" w:type="dxa"/>
                  <w:noWrap/>
                  <w:hideMark/>
                </w:tcPr>
                <w:p w:rsidR="000D44D4" w:rsidRPr="001138B9" w:rsidRDefault="000D44D4" w:rsidP="001138B9">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6</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14</w:t>
                  </w:r>
                </w:p>
              </w:tc>
            </w:tr>
            <w:tr w:rsidR="000D44D4" w:rsidRPr="001138B9" w:rsidTr="001138B9">
              <w:trPr>
                <w:trHeight w:val="300"/>
              </w:trPr>
              <w:tc>
                <w:tcPr>
                  <w:cnfStyle w:val="001000000000" w:firstRow="0" w:lastRow="0" w:firstColumn="1" w:lastColumn="0" w:oddVBand="0" w:evenVBand="0" w:oddHBand="0" w:evenHBand="0" w:firstRowFirstColumn="0" w:firstRowLastColumn="0" w:lastRowFirstColumn="0" w:lastRowLastColumn="0"/>
                  <w:tcW w:w="209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556" w:type="dxa"/>
                  <w:noWrap/>
                  <w:hideMark/>
                </w:tcPr>
                <w:p w:rsidR="000D44D4" w:rsidRPr="001138B9" w:rsidRDefault="000D44D4" w:rsidP="001138B9">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762D17">
            <w:pPr>
              <w:tabs>
                <w:tab w:val="clear" w:pos="567"/>
                <w:tab w:val="clear" w:pos="1134"/>
                <w:tab w:val="clear" w:pos="1701"/>
                <w:tab w:val="clear" w:pos="2268"/>
                <w:tab w:val="clear" w:pos="2835"/>
              </w:tabs>
              <w:spacing w:after="120"/>
              <w:jc w:val="center"/>
              <w:rPr>
                <w:rFonts w:asciiTheme="minorHAnsi" w:hAnsiTheme="minorHAnsi"/>
                <w:szCs w:val="24"/>
              </w:rPr>
            </w:pPr>
          </w:p>
        </w:tc>
        <w:tc>
          <w:tcPr>
            <w:tcW w:w="6219" w:type="dxa"/>
          </w:tcPr>
          <w:p w:rsidR="000D44D4" w:rsidRPr="00ED4715" w:rsidRDefault="000D44D4" w:rsidP="00762D17">
            <w:pPr>
              <w:tabs>
                <w:tab w:val="clear" w:pos="567"/>
                <w:tab w:val="clear" w:pos="1134"/>
                <w:tab w:val="clear" w:pos="1701"/>
                <w:tab w:val="clear" w:pos="2268"/>
                <w:tab w:val="clear" w:pos="2835"/>
              </w:tabs>
              <w:spacing w:after="120"/>
              <w:jc w:val="center"/>
              <w:rPr>
                <w:rFonts w:asciiTheme="minorHAnsi" w:hAnsiTheme="minorHAnsi"/>
                <w:szCs w:val="24"/>
              </w:rPr>
            </w:pPr>
            <w:r w:rsidRPr="00ED4715">
              <w:rPr>
                <w:noProof/>
                <w:lang w:eastAsia="zh-CN"/>
              </w:rPr>
              <w:drawing>
                <wp:inline distT="0" distB="0" distL="0" distR="0" wp14:anchorId="2410A957" wp14:editId="2E3D473F">
                  <wp:extent cx="3486151" cy="2476499"/>
                  <wp:effectExtent l="0" t="0" r="0" b="635"/>
                  <wp:docPr id="3" name="Chart 3">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0D44D4" w:rsidRPr="00ED4715" w:rsidTr="00762D17">
        <w:tc>
          <w:tcPr>
            <w:tcW w:w="3420" w:type="dxa"/>
            <w:vAlign w:val="center"/>
          </w:tcPr>
          <w:tbl>
            <w:tblPr>
              <w:tblStyle w:val="ListTable6Colorful-Accent11"/>
              <w:tblW w:w="3204" w:type="dxa"/>
              <w:tblLook w:val="04A0" w:firstRow="1" w:lastRow="0" w:firstColumn="1" w:lastColumn="0" w:noHBand="0" w:noVBand="1"/>
            </w:tblPr>
            <w:tblGrid>
              <w:gridCol w:w="2091"/>
              <w:gridCol w:w="555"/>
              <w:gridCol w:w="558"/>
            </w:tblGrid>
            <w:tr w:rsidR="000D44D4" w:rsidRPr="001138B9" w:rsidTr="004B6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 xml:space="preserve">Estado de las recomendaciones </w:t>
                  </w:r>
                  <w:r w:rsidR="001138B9">
                    <w:rPr>
                      <w:color w:val="auto"/>
                      <w:sz w:val="18"/>
                      <w:szCs w:val="18"/>
                      <w:lang w:eastAsia="zh-CN"/>
                    </w:rPr>
                    <w:br/>
                  </w:r>
                  <w:r w:rsidRPr="001138B9">
                    <w:rPr>
                      <w:color w:val="auto"/>
                      <w:sz w:val="18"/>
                      <w:szCs w:val="18"/>
                      <w:lang w:eastAsia="zh-CN"/>
                    </w:rPr>
                    <w:t>de 2016 del CAIG</w:t>
                  </w:r>
                </w:p>
              </w:tc>
              <w:tc>
                <w:tcPr>
                  <w:tcW w:w="555"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558"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1"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sz w:val="18"/>
                      <w:szCs w:val="18"/>
                      <w:lang w:eastAsia="zh-CN"/>
                    </w:rPr>
                  </w:pPr>
                  <w:r w:rsidRPr="001138B9">
                    <w:rPr>
                      <w:color w:val="auto"/>
                      <w:sz w:val="18"/>
                      <w:szCs w:val="18"/>
                      <w:lang w:eastAsia="zh-CN"/>
                    </w:rPr>
                    <w:t>Total</w:t>
                  </w:r>
                </w:p>
              </w:tc>
              <w:tc>
                <w:tcPr>
                  <w:tcW w:w="555"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14</w:t>
                  </w:r>
                </w:p>
              </w:tc>
              <w:tc>
                <w:tcPr>
                  <w:tcW w:w="558"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100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09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555"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10</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71</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555"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4</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29</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09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555"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55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762D17">
            <w:pPr>
              <w:tabs>
                <w:tab w:val="clear" w:pos="567"/>
                <w:tab w:val="clear" w:pos="1134"/>
                <w:tab w:val="clear" w:pos="1701"/>
                <w:tab w:val="clear" w:pos="2268"/>
                <w:tab w:val="clear" w:pos="2835"/>
              </w:tabs>
              <w:spacing w:before="0"/>
              <w:jc w:val="center"/>
              <w:rPr>
                <w:rFonts w:asciiTheme="minorHAnsi" w:hAnsiTheme="minorHAnsi"/>
                <w:szCs w:val="24"/>
              </w:rPr>
            </w:pPr>
          </w:p>
        </w:tc>
        <w:tc>
          <w:tcPr>
            <w:tcW w:w="6219" w:type="dxa"/>
          </w:tcPr>
          <w:p w:rsidR="000D44D4" w:rsidRPr="00ED4715" w:rsidRDefault="000D44D4" w:rsidP="00762D17">
            <w:pPr>
              <w:tabs>
                <w:tab w:val="clear" w:pos="567"/>
                <w:tab w:val="clear" w:pos="1134"/>
                <w:tab w:val="clear" w:pos="1701"/>
                <w:tab w:val="clear" w:pos="2268"/>
                <w:tab w:val="clear" w:pos="2835"/>
              </w:tabs>
              <w:spacing w:after="120"/>
              <w:jc w:val="center"/>
              <w:rPr>
                <w:rFonts w:asciiTheme="minorHAnsi" w:hAnsiTheme="minorHAnsi"/>
                <w:szCs w:val="24"/>
              </w:rPr>
            </w:pPr>
            <w:r w:rsidRPr="00ED4715">
              <w:rPr>
                <w:noProof/>
                <w:lang w:eastAsia="zh-CN"/>
              </w:rPr>
              <w:drawing>
                <wp:inline distT="0" distB="0" distL="0" distR="0" wp14:anchorId="7FE31127" wp14:editId="4515FA22">
                  <wp:extent cx="3124200" cy="2628901"/>
                  <wp:effectExtent l="0" t="0" r="0" b="0"/>
                  <wp:docPr id="4" name="Chart 4">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0D44D4" w:rsidRPr="00ED4715" w:rsidTr="00762D17">
        <w:tc>
          <w:tcPr>
            <w:tcW w:w="3420" w:type="dxa"/>
            <w:vAlign w:val="center"/>
          </w:tcPr>
          <w:tbl>
            <w:tblPr>
              <w:tblStyle w:val="ListTable6Colorful-Accent11"/>
              <w:tblW w:w="3278" w:type="dxa"/>
              <w:tblLook w:val="04A0" w:firstRow="1" w:lastRow="0" w:firstColumn="1" w:lastColumn="0" w:noHBand="0" w:noVBand="1"/>
            </w:tblPr>
            <w:tblGrid>
              <w:gridCol w:w="2105"/>
              <w:gridCol w:w="541"/>
              <w:gridCol w:w="558"/>
            </w:tblGrid>
            <w:tr w:rsidR="000D44D4" w:rsidRPr="001138B9" w:rsidTr="004B6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 xml:space="preserve">Estado de las recomendaciones </w:t>
                  </w:r>
                  <w:r w:rsidR="001138B9">
                    <w:rPr>
                      <w:color w:val="auto"/>
                      <w:sz w:val="18"/>
                      <w:szCs w:val="18"/>
                      <w:lang w:eastAsia="zh-CN"/>
                    </w:rPr>
                    <w:br/>
                  </w:r>
                  <w:r w:rsidRPr="001138B9">
                    <w:rPr>
                      <w:color w:val="auto"/>
                      <w:sz w:val="18"/>
                      <w:szCs w:val="18"/>
                      <w:lang w:eastAsia="zh-CN"/>
                    </w:rPr>
                    <w:t>de 2015 del CAIG</w:t>
                  </w:r>
                </w:p>
              </w:tc>
              <w:tc>
                <w:tcPr>
                  <w:tcW w:w="550"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568"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sz w:val="18"/>
                      <w:szCs w:val="18"/>
                      <w:lang w:eastAsia="zh-CN"/>
                    </w:rPr>
                  </w:pPr>
                  <w:r w:rsidRPr="001138B9">
                    <w:rPr>
                      <w:color w:val="auto"/>
                      <w:sz w:val="18"/>
                      <w:szCs w:val="18"/>
                      <w:lang w:eastAsia="zh-CN"/>
                    </w:rPr>
                    <w:t>Total</w:t>
                  </w:r>
                </w:p>
              </w:tc>
              <w:tc>
                <w:tcPr>
                  <w:tcW w:w="550"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6</w:t>
                  </w:r>
                </w:p>
              </w:tc>
              <w:tc>
                <w:tcPr>
                  <w:tcW w:w="568"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100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55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6</w:t>
                  </w:r>
                </w:p>
              </w:tc>
              <w:tc>
                <w:tcPr>
                  <w:tcW w:w="56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100</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55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56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55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568"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762D17">
            <w:pPr>
              <w:tabs>
                <w:tab w:val="clear" w:pos="567"/>
                <w:tab w:val="clear" w:pos="1134"/>
                <w:tab w:val="clear" w:pos="1701"/>
                <w:tab w:val="clear" w:pos="2268"/>
                <w:tab w:val="clear" w:pos="2835"/>
              </w:tabs>
              <w:spacing w:before="0"/>
              <w:jc w:val="center"/>
              <w:rPr>
                <w:rFonts w:asciiTheme="minorHAnsi" w:hAnsiTheme="minorHAnsi"/>
                <w:szCs w:val="24"/>
              </w:rPr>
            </w:pPr>
          </w:p>
        </w:tc>
        <w:tc>
          <w:tcPr>
            <w:tcW w:w="6219" w:type="dxa"/>
          </w:tcPr>
          <w:p w:rsidR="000D44D4" w:rsidRPr="00ED4715" w:rsidRDefault="000D44D4" w:rsidP="00762D17">
            <w:pPr>
              <w:tabs>
                <w:tab w:val="clear" w:pos="567"/>
                <w:tab w:val="clear" w:pos="1134"/>
                <w:tab w:val="clear" w:pos="1701"/>
                <w:tab w:val="clear" w:pos="2268"/>
                <w:tab w:val="clear" w:pos="2835"/>
              </w:tabs>
              <w:spacing w:after="120"/>
              <w:rPr>
                <w:rFonts w:asciiTheme="minorHAnsi" w:hAnsiTheme="minorHAnsi"/>
                <w:szCs w:val="24"/>
              </w:rPr>
            </w:pPr>
            <w:r w:rsidRPr="00ED4715">
              <w:rPr>
                <w:noProof/>
                <w:lang w:eastAsia="zh-CN"/>
              </w:rPr>
              <w:drawing>
                <wp:inline distT="0" distB="0" distL="0" distR="0" wp14:anchorId="7729B2A8" wp14:editId="15B7BBBD">
                  <wp:extent cx="3952240" cy="2476500"/>
                  <wp:effectExtent l="0" t="0" r="0" b="0"/>
                  <wp:docPr id="5" name="Chart 5">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D44D4" w:rsidRPr="00ED4715" w:rsidTr="00762D17">
        <w:tc>
          <w:tcPr>
            <w:tcW w:w="3420" w:type="dxa"/>
            <w:vAlign w:val="center"/>
          </w:tcPr>
          <w:tbl>
            <w:tblPr>
              <w:tblStyle w:val="ListTable6Colorful-Accent11"/>
              <w:tblW w:w="3298" w:type="dxa"/>
              <w:tblCellMar>
                <w:left w:w="57" w:type="dxa"/>
                <w:right w:w="57" w:type="dxa"/>
              </w:tblCellMar>
              <w:tblLook w:val="04A0" w:firstRow="1" w:lastRow="0" w:firstColumn="1" w:lastColumn="0" w:noHBand="0" w:noVBand="1"/>
            </w:tblPr>
            <w:tblGrid>
              <w:gridCol w:w="2095"/>
              <w:gridCol w:w="467"/>
              <w:gridCol w:w="642"/>
            </w:tblGrid>
            <w:tr w:rsidR="000D44D4" w:rsidRPr="001138B9" w:rsidTr="004B6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lastRenderedPageBreak/>
                    <w:t xml:space="preserve">Estado de las recomendaciones </w:t>
                  </w:r>
                  <w:r w:rsidR="001138B9">
                    <w:rPr>
                      <w:color w:val="auto"/>
                      <w:sz w:val="18"/>
                      <w:szCs w:val="18"/>
                      <w:lang w:eastAsia="zh-CN"/>
                    </w:rPr>
                    <w:br/>
                  </w:r>
                  <w:r w:rsidRPr="001138B9">
                    <w:rPr>
                      <w:color w:val="auto"/>
                      <w:sz w:val="18"/>
                      <w:szCs w:val="18"/>
                      <w:lang w:eastAsia="zh-CN"/>
                    </w:rPr>
                    <w:t>de 2014 del CAIG</w:t>
                  </w:r>
                </w:p>
              </w:tc>
              <w:tc>
                <w:tcPr>
                  <w:tcW w:w="479"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659"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sz w:val="18"/>
                      <w:szCs w:val="18"/>
                      <w:lang w:eastAsia="zh-CN"/>
                    </w:rPr>
                  </w:pPr>
                  <w:r w:rsidRPr="001138B9">
                    <w:rPr>
                      <w:color w:val="auto"/>
                      <w:sz w:val="18"/>
                      <w:szCs w:val="18"/>
                      <w:lang w:eastAsia="zh-CN"/>
                    </w:rPr>
                    <w:t>Total</w:t>
                  </w:r>
                </w:p>
              </w:tc>
              <w:tc>
                <w:tcPr>
                  <w:tcW w:w="479"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9</w:t>
                  </w:r>
                </w:p>
              </w:tc>
              <w:tc>
                <w:tcPr>
                  <w:tcW w:w="659"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100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47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9</w:t>
                  </w:r>
                </w:p>
              </w:tc>
              <w:tc>
                <w:tcPr>
                  <w:tcW w:w="65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100</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47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65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47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659"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p>
        </w:tc>
        <w:tc>
          <w:tcPr>
            <w:tcW w:w="6219" w:type="dxa"/>
          </w:tcPr>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r w:rsidRPr="00ED4715">
              <w:rPr>
                <w:noProof/>
                <w:lang w:eastAsia="zh-CN"/>
              </w:rPr>
              <w:drawing>
                <wp:inline distT="0" distB="0" distL="0" distR="0" wp14:anchorId="44A9F9EE" wp14:editId="47E6091C">
                  <wp:extent cx="3429000" cy="2476500"/>
                  <wp:effectExtent l="0" t="0" r="0" b="0"/>
                  <wp:docPr id="6" name="Chart 6">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D44D4" w:rsidRPr="00ED4715" w:rsidTr="00762D17">
        <w:tc>
          <w:tcPr>
            <w:tcW w:w="3420" w:type="dxa"/>
            <w:vAlign w:val="center"/>
          </w:tcPr>
          <w:tbl>
            <w:tblPr>
              <w:tblStyle w:val="ListTable6Colorful-Accent11"/>
              <w:tblW w:w="3298" w:type="dxa"/>
              <w:tblCellMar>
                <w:left w:w="57" w:type="dxa"/>
                <w:right w:w="57" w:type="dxa"/>
              </w:tblCellMar>
              <w:tblLook w:val="04A0" w:firstRow="1" w:lastRow="0" w:firstColumn="1" w:lastColumn="0" w:noHBand="0" w:noVBand="1"/>
            </w:tblPr>
            <w:tblGrid>
              <w:gridCol w:w="2095"/>
              <w:gridCol w:w="475"/>
              <w:gridCol w:w="634"/>
            </w:tblGrid>
            <w:tr w:rsidR="000D44D4" w:rsidRPr="001138B9" w:rsidTr="004B6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 xml:space="preserve">Estado de las recomendaciones </w:t>
                  </w:r>
                  <w:r w:rsidR="001138B9">
                    <w:rPr>
                      <w:color w:val="auto"/>
                      <w:sz w:val="18"/>
                      <w:szCs w:val="18"/>
                      <w:lang w:eastAsia="zh-CN"/>
                    </w:rPr>
                    <w:br/>
                  </w:r>
                  <w:r w:rsidRPr="001138B9">
                    <w:rPr>
                      <w:color w:val="auto"/>
                      <w:sz w:val="18"/>
                      <w:szCs w:val="18"/>
                      <w:lang w:eastAsia="zh-CN"/>
                    </w:rPr>
                    <w:t>de 2013 del CAIG</w:t>
                  </w:r>
                </w:p>
              </w:tc>
              <w:tc>
                <w:tcPr>
                  <w:tcW w:w="487"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651"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sz w:val="18"/>
                      <w:szCs w:val="18"/>
                      <w:lang w:eastAsia="zh-CN"/>
                    </w:rPr>
                  </w:pPr>
                  <w:r w:rsidRPr="001138B9">
                    <w:rPr>
                      <w:color w:val="auto"/>
                      <w:sz w:val="18"/>
                      <w:szCs w:val="18"/>
                      <w:lang w:eastAsia="zh-CN"/>
                    </w:rPr>
                    <w:t>Total</w:t>
                  </w:r>
                </w:p>
              </w:tc>
              <w:tc>
                <w:tcPr>
                  <w:tcW w:w="487"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8</w:t>
                  </w:r>
                </w:p>
              </w:tc>
              <w:tc>
                <w:tcPr>
                  <w:tcW w:w="651"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100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487"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7</w:t>
                  </w:r>
                </w:p>
              </w:tc>
              <w:tc>
                <w:tcPr>
                  <w:tcW w:w="65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87</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487"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1</w:t>
                  </w:r>
                </w:p>
              </w:tc>
              <w:tc>
                <w:tcPr>
                  <w:tcW w:w="65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13</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487"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651"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p>
        </w:tc>
        <w:tc>
          <w:tcPr>
            <w:tcW w:w="6219" w:type="dxa"/>
          </w:tcPr>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r w:rsidRPr="00ED4715">
              <w:rPr>
                <w:noProof/>
                <w:lang w:eastAsia="zh-CN"/>
              </w:rPr>
              <w:drawing>
                <wp:inline distT="0" distB="0" distL="0" distR="0" wp14:anchorId="5EF8555B" wp14:editId="77EF6A42">
                  <wp:extent cx="3324225" cy="2486025"/>
                  <wp:effectExtent l="0" t="0" r="0" b="0"/>
                  <wp:docPr id="13" name="Chart 13">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D44D4" w:rsidRPr="00ED4715" w:rsidTr="00762D17">
        <w:tc>
          <w:tcPr>
            <w:tcW w:w="3420" w:type="dxa"/>
            <w:vAlign w:val="center"/>
          </w:tcPr>
          <w:tbl>
            <w:tblPr>
              <w:tblStyle w:val="ListTable6Colorful-Accent11"/>
              <w:tblW w:w="3296" w:type="dxa"/>
              <w:tblCellMar>
                <w:left w:w="57" w:type="dxa"/>
                <w:right w:w="57" w:type="dxa"/>
              </w:tblCellMar>
              <w:tblLook w:val="04A0" w:firstRow="1" w:lastRow="0" w:firstColumn="1" w:lastColumn="0" w:noHBand="0" w:noVBand="1"/>
            </w:tblPr>
            <w:tblGrid>
              <w:gridCol w:w="2096"/>
              <w:gridCol w:w="463"/>
              <w:gridCol w:w="645"/>
            </w:tblGrid>
            <w:tr w:rsidR="000D44D4" w:rsidRPr="001138B9" w:rsidTr="004B6E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color w:val="auto"/>
                      <w:sz w:val="18"/>
                      <w:szCs w:val="18"/>
                      <w:lang w:eastAsia="zh-CN"/>
                    </w:rPr>
                  </w:pPr>
                  <w:r w:rsidRPr="001138B9">
                    <w:rPr>
                      <w:color w:val="auto"/>
                      <w:sz w:val="18"/>
                      <w:szCs w:val="18"/>
                      <w:lang w:eastAsia="zh-CN"/>
                    </w:rPr>
                    <w:t xml:space="preserve">Estado de las recomendaciones </w:t>
                  </w:r>
                  <w:r w:rsidR="001138B9">
                    <w:rPr>
                      <w:color w:val="auto"/>
                      <w:sz w:val="18"/>
                      <w:szCs w:val="18"/>
                      <w:lang w:eastAsia="zh-CN"/>
                    </w:rPr>
                    <w:br/>
                  </w:r>
                  <w:r w:rsidRPr="001138B9">
                    <w:rPr>
                      <w:color w:val="auto"/>
                      <w:sz w:val="18"/>
                      <w:szCs w:val="18"/>
                      <w:lang w:eastAsia="zh-CN"/>
                    </w:rPr>
                    <w:t>de 2012 del CAIG</w:t>
                  </w:r>
                </w:p>
              </w:tc>
              <w:tc>
                <w:tcPr>
                  <w:tcW w:w="474"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Nº</w:t>
                  </w:r>
                </w:p>
              </w:tc>
              <w:tc>
                <w:tcPr>
                  <w:tcW w:w="662" w:type="dxa"/>
                  <w:noWrap/>
                  <w:vAlign w:val="center"/>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sz w:val="18"/>
                      <w:szCs w:val="18"/>
                      <w:lang w:eastAsia="zh-CN"/>
                    </w:rPr>
                  </w:pPr>
                  <w:r w:rsidRPr="001138B9">
                    <w:rPr>
                      <w:color w:val="auto"/>
                      <w:sz w:val="18"/>
                      <w:szCs w:val="18"/>
                      <w:lang w:eastAsia="zh-CN"/>
                    </w:rPr>
                    <w:t>Total</w:t>
                  </w:r>
                </w:p>
              </w:tc>
              <w:tc>
                <w:tcPr>
                  <w:tcW w:w="474"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6</w:t>
                  </w:r>
                </w:p>
              </w:tc>
              <w:tc>
                <w:tcPr>
                  <w:tcW w:w="662" w:type="dxa"/>
                  <w:noWrap/>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sz w:val="18"/>
                      <w:szCs w:val="18"/>
                      <w:lang w:eastAsia="zh-CN"/>
                    </w:rPr>
                  </w:pPr>
                  <w:r w:rsidRPr="001138B9">
                    <w:rPr>
                      <w:b/>
                      <w:bCs/>
                      <w:color w:val="auto"/>
                      <w:sz w:val="18"/>
                      <w:szCs w:val="18"/>
                      <w:lang w:eastAsia="zh-CN"/>
                    </w:rPr>
                    <w:t>100</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Aplicadas</w:t>
                  </w:r>
                </w:p>
              </w:tc>
              <w:tc>
                <w:tcPr>
                  <w:tcW w:w="474"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5</w:t>
                  </w:r>
                </w:p>
              </w:tc>
              <w:tc>
                <w:tcPr>
                  <w:tcW w:w="662"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83</w:t>
                  </w:r>
                </w:p>
              </w:tc>
            </w:tr>
            <w:tr w:rsidR="000D44D4" w:rsidRPr="001138B9" w:rsidTr="004B6E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En curso</w:t>
                  </w:r>
                </w:p>
              </w:tc>
              <w:tc>
                <w:tcPr>
                  <w:tcW w:w="474"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1</w:t>
                  </w:r>
                </w:p>
              </w:tc>
              <w:tc>
                <w:tcPr>
                  <w:tcW w:w="662"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100000" w:firstRow="0" w:lastRow="0" w:firstColumn="0" w:lastColumn="0" w:oddVBand="0" w:evenVBand="0" w:oddHBand="1" w:evenHBand="0" w:firstRowFirstColumn="0" w:firstRowLastColumn="0" w:lastRowFirstColumn="0" w:lastRowLastColumn="0"/>
                    <w:rPr>
                      <w:color w:val="auto"/>
                      <w:sz w:val="18"/>
                      <w:szCs w:val="18"/>
                      <w:lang w:eastAsia="zh-CN"/>
                    </w:rPr>
                  </w:pPr>
                  <w:r w:rsidRPr="001138B9">
                    <w:rPr>
                      <w:color w:val="auto"/>
                      <w:sz w:val="18"/>
                      <w:szCs w:val="18"/>
                      <w:lang w:eastAsia="zh-CN"/>
                    </w:rPr>
                    <w:t>17</w:t>
                  </w:r>
                </w:p>
              </w:tc>
            </w:tr>
            <w:tr w:rsidR="000D44D4" w:rsidRPr="001138B9" w:rsidTr="004B6EE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textAlignment w:val="auto"/>
                    <w:rPr>
                      <w:b w:val="0"/>
                      <w:bCs w:val="0"/>
                      <w:color w:val="auto"/>
                      <w:sz w:val="18"/>
                      <w:szCs w:val="18"/>
                      <w:lang w:eastAsia="zh-CN"/>
                    </w:rPr>
                  </w:pPr>
                  <w:r w:rsidRPr="001138B9">
                    <w:rPr>
                      <w:b w:val="0"/>
                      <w:bCs w:val="0"/>
                      <w:color w:val="auto"/>
                      <w:sz w:val="18"/>
                      <w:szCs w:val="18"/>
                      <w:lang w:eastAsia="zh-CN"/>
                    </w:rPr>
                    <w:t>No aceptadas</w:t>
                  </w:r>
                </w:p>
              </w:tc>
              <w:tc>
                <w:tcPr>
                  <w:tcW w:w="474"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c>
                <w:tcPr>
                  <w:tcW w:w="662" w:type="dxa"/>
                  <w:noWrap/>
                  <w:hideMark/>
                </w:tcPr>
                <w:p w:rsidR="000D44D4" w:rsidRPr="001138B9" w:rsidRDefault="000D44D4" w:rsidP="004B6EE8">
                  <w:pPr>
                    <w:tabs>
                      <w:tab w:val="clear" w:pos="567"/>
                      <w:tab w:val="clear" w:pos="1134"/>
                      <w:tab w:val="clear" w:pos="1701"/>
                      <w:tab w:val="clear" w:pos="2268"/>
                      <w:tab w:val="clear" w:pos="283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color w:val="auto"/>
                      <w:sz w:val="18"/>
                      <w:szCs w:val="18"/>
                      <w:lang w:eastAsia="zh-CN"/>
                    </w:rPr>
                  </w:pPr>
                  <w:r w:rsidRPr="001138B9">
                    <w:rPr>
                      <w:color w:val="auto"/>
                      <w:sz w:val="18"/>
                      <w:szCs w:val="18"/>
                      <w:lang w:eastAsia="zh-CN"/>
                    </w:rPr>
                    <w:t>0</w:t>
                  </w:r>
                </w:p>
              </w:tc>
            </w:tr>
          </w:tbl>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p>
        </w:tc>
        <w:tc>
          <w:tcPr>
            <w:tcW w:w="6219" w:type="dxa"/>
          </w:tcPr>
          <w:p w:rsidR="000D44D4" w:rsidRPr="00ED4715" w:rsidRDefault="000D44D4" w:rsidP="004B6EE8">
            <w:pPr>
              <w:tabs>
                <w:tab w:val="clear" w:pos="567"/>
                <w:tab w:val="clear" w:pos="1134"/>
                <w:tab w:val="clear" w:pos="1701"/>
                <w:tab w:val="clear" w:pos="2268"/>
                <w:tab w:val="clear" w:pos="2835"/>
              </w:tabs>
              <w:spacing w:after="120"/>
              <w:jc w:val="center"/>
              <w:rPr>
                <w:rFonts w:asciiTheme="minorHAnsi" w:hAnsiTheme="minorHAnsi"/>
                <w:szCs w:val="24"/>
              </w:rPr>
            </w:pPr>
            <w:r w:rsidRPr="00ED4715">
              <w:rPr>
                <w:noProof/>
                <w:lang w:eastAsia="zh-CN"/>
              </w:rPr>
              <w:drawing>
                <wp:inline distT="0" distB="0" distL="0" distR="0" wp14:anchorId="36CC5CE3" wp14:editId="5914547E">
                  <wp:extent cx="3324225" cy="2476500"/>
                  <wp:effectExtent l="0" t="0" r="0" b="0"/>
                  <wp:docPr id="14" name="Chart 14">
                    <a:extLst xmlns:a="http://schemas.openxmlformats.org/drawingml/2006/main">
                      <a:ext uri="{FF2B5EF4-FFF2-40B4-BE49-F238E27FC236}">
                        <a16:creationId xmlns:mo="http://schemas.microsoft.com/office/mac/office/2008/main" xmlns:mv="urn:schemas-microsoft-com:mac:vml"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0D44D4" w:rsidRDefault="000D44D4" w:rsidP="0032202E">
      <w:pPr>
        <w:pStyle w:val="Reasons"/>
      </w:pPr>
    </w:p>
    <w:p w:rsidR="000D44D4" w:rsidRDefault="000D44D4">
      <w:pPr>
        <w:jc w:val="center"/>
      </w:pPr>
      <w:r>
        <w:t>______________</w:t>
      </w:r>
    </w:p>
    <w:sectPr w:rsidR="000D44D4" w:rsidSect="006710F6">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D4" w:rsidRDefault="000D44D4">
      <w:r>
        <w:separator/>
      </w:r>
    </w:p>
  </w:endnote>
  <w:endnote w:type="continuationSeparator" w:id="0">
    <w:p w:rsidR="000D44D4" w:rsidRDefault="000D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F21D6A" w:rsidRDefault="00F21D6A" w:rsidP="00F21D6A">
    <w:pPr>
      <w:pStyle w:val="Footer"/>
      <w:rPr>
        <w:lang w:val="fr-CH"/>
      </w:rPr>
    </w:pPr>
    <w:r>
      <w:fldChar w:fldCharType="begin"/>
    </w:r>
    <w:r w:rsidRPr="00F21D6A">
      <w:rPr>
        <w:lang w:val="fr-CH"/>
      </w:rPr>
      <w:instrText xml:space="preserve"> FILENAME \p  \* MERGEFORMAT </w:instrText>
    </w:r>
    <w:r>
      <w:fldChar w:fldCharType="separate"/>
    </w:r>
    <w:r w:rsidR="00FB29B0">
      <w:rPr>
        <w:lang w:val="fr-CH"/>
      </w:rPr>
      <w:t>P:\ESP\SG\CONSEIL\C17\000\022S.docx</w:t>
    </w:r>
    <w:r>
      <w:fldChar w:fldCharType="end"/>
    </w:r>
    <w:r w:rsidRPr="00F21D6A">
      <w:rPr>
        <w:lang w:val="fr-CH"/>
      </w:rPr>
      <w:t xml:space="preserve"> (</w:t>
    </w:r>
    <w:r>
      <w:rPr>
        <w:lang w:val="fr-CH"/>
      </w:rPr>
      <w:t>409472</w:t>
    </w:r>
    <w:r w:rsidRPr="00F21D6A">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D4" w:rsidRDefault="000D44D4">
      <w:r>
        <w:t>____________________</w:t>
      </w:r>
    </w:p>
  </w:footnote>
  <w:footnote w:type="continuationSeparator" w:id="0">
    <w:p w:rsidR="000D44D4" w:rsidRDefault="000D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3356E3">
      <w:rPr>
        <w:noProof/>
      </w:rPr>
      <w:t>11</w:t>
    </w:r>
    <w:r>
      <w:rPr>
        <w:noProof/>
      </w:rPr>
      <w:fldChar w:fldCharType="end"/>
    </w:r>
  </w:p>
  <w:p w:rsidR="00760F1C" w:rsidRDefault="00760F1C" w:rsidP="00F21D6A">
    <w:pPr>
      <w:pStyle w:val="Header"/>
    </w:pPr>
    <w:r>
      <w:t>C</w:t>
    </w:r>
    <w:r w:rsidR="007F350B">
      <w:t>1</w:t>
    </w:r>
    <w:r w:rsidR="00B8298E">
      <w:t>7</w:t>
    </w:r>
    <w:r>
      <w:t>/</w:t>
    </w:r>
    <w:r w:rsidR="00F21D6A">
      <w:t>22</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31523"/>
    <w:multiLevelType w:val="hybridMultilevel"/>
    <w:tmpl w:val="77F67C96"/>
    <w:lvl w:ilvl="0" w:tplc="760ADC5C">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D4"/>
    <w:rsid w:val="00093EEB"/>
    <w:rsid w:val="000B0D00"/>
    <w:rsid w:val="000B7C15"/>
    <w:rsid w:val="000D1D0F"/>
    <w:rsid w:val="000D44D4"/>
    <w:rsid w:val="000F5290"/>
    <w:rsid w:val="0010165C"/>
    <w:rsid w:val="001138B9"/>
    <w:rsid w:val="00146BFB"/>
    <w:rsid w:val="001F14A2"/>
    <w:rsid w:val="002801AA"/>
    <w:rsid w:val="002C4676"/>
    <w:rsid w:val="002C70B0"/>
    <w:rsid w:val="002F3CC4"/>
    <w:rsid w:val="003356E3"/>
    <w:rsid w:val="00473990"/>
    <w:rsid w:val="0048739E"/>
    <w:rsid w:val="004D2E27"/>
    <w:rsid w:val="00513630"/>
    <w:rsid w:val="00560125"/>
    <w:rsid w:val="00585553"/>
    <w:rsid w:val="005B34D9"/>
    <w:rsid w:val="005D0CCF"/>
    <w:rsid w:val="005F410F"/>
    <w:rsid w:val="0060149A"/>
    <w:rsid w:val="00601924"/>
    <w:rsid w:val="00637971"/>
    <w:rsid w:val="006447EA"/>
    <w:rsid w:val="0064731F"/>
    <w:rsid w:val="006710F6"/>
    <w:rsid w:val="006837AB"/>
    <w:rsid w:val="006C1B56"/>
    <w:rsid w:val="006D4761"/>
    <w:rsid w:val="00716CE2"/>
    <w:rsid w:val="00726872"/>
    <w:rsid w:val="00760F1C"/>
    <w:rsid w:val="00762D17"/>
    <w:rsid w:val="007657F0"/>
    <w:rsid w:val="0077252D"/>
    <w:rsid w:val="007E5DD3"/>
    <w:rsid w:val="007F350B"/>
    <w:rsid w:val="00820BE4"/>
    <w:rsid w:val="008451E8"/>
    <w:rsid w:val="008E5837"/>
    <w:rsid w:val="00913B9C"/>
    <w:rsid w:val="00956E77"/>
    <w:rsid w:val="00A97479"/>
    <w:rsid w:val="00AA390C"/>
    <w:rsid w:val="00B0200A"/>
    <w:rsid w:val="00B574DB"/>
    <w:rsid w:val="00B826C2"/>
    <w:rsid w:val="00B8298E"/>
    <w:rsid w:val="00BD0723"/>
    <w:rsid w:val="00BD2518"/>
    <w:rsid w:val="00BD3AC1"/>
    <w:rsid w:val="00BF1D1C"/>
    <w:rsid w:val="00C20C59"/>
    <w:rsid w:val="00C55B1F"/>
    <w:rsid w:val="00CF1A67"/>
    <w:rsid w:val="00D2750E"/>
    <w:rsid w:val="00D62446"/>
    <w:rsid w:val="00DA4EA2"/>
    <w:rsid w:val="00DC3D3E"/>
    <w:rsid w:val="00DE2C90"/>
    <w:rsid w:val="00DE3B24"/>
    <w:rsid w:val="00E06947"/>
    <w:rsid w:val="00E3592D"/>
    <w:rsid w:val="00E92DE8"/>
    <w:rsid w:val="00E9425C"/>
    <w:rsid w:val="00EB1212"/>
    <w:rsid w:val="00ED65AB"/>
    <w:rsid w:val="00F12850"/>
    <w:rsid w:val="00F21D6A"/>
    <w:rsid w:val="00F33BF4"/>
    <w:rsid w:val="00F7105E"/>
    <w:rsid w:val="00F75F57"/>
    <w:rsid w:val="00F82FEE"/>
    <w:rsid w:val="00FB29B0"/>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DF5628-9F09-4889-8FF4-55A304E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TableGrid">
    <w:name w:val="Table Grid"/>
    <w:basedOn w:val="TableNormal"/>
    <w:rsid w:val="000D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11">
    <w:name w:val="List Table 6 Colorful - Accent 11"/>
    <w:basedOn w:val="TableNormal"/>
    <w:uiPriority w:val="51"/>
    <w:rsid w:val="000D44D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4-CL-C-0022/es" TargetMode="External"/><Relationship Id="rId18" Type="http://schemas.openxmlformats.org/officeDocument/2006/relationships/hyperlink" Target="http://www.itu.int/es/council/2017/Pages/default.asp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itu.int/md/S13-CL-C-0065/es" TargetMode="External"/><Relationship Id="rId17" Type="http://schemas.openxmlformats.org/officeDocument/2006/relationships/hyperlink" Target="http://www.itu.int/en/council/Pages/imac.asp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www.itu.int/md/S16-CL-C-0022/es" TargetMode="External"/><Relationship Id="rId20" Type="http://schemas.openxmlformats.org/officeDocument/2006/relationships/hyperlink" Target="http://www.itu.int/en/council/Pages/imac.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2-CL-C-0044/es"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itu.int/md/S16-CL-C-0022/es" TargetMode="External"/><Relationship Id="rId23" Type="http://schemas.openxmlformats.org/officeDocument/2006/relationships/chart" Target="charts/chart3.xml"/><Relationship Id="rId28" Type="http://schemas.openxmlformats.org/officeDocument/2006/relationships/footer" Target="footer1.xml"/><Relationship Id="rId10" Type="http://schemas.openxmlformats.org/officeDocument/2006/relationships/hyperlink" Target="https://www.itu.int/md/S11-CL-C-0109/es" TargetMode="External"/><Relationship Id="rId19" Type="http://schemas.openxmlformats.org/officeDocument/2006/relationships/hyperlink" Target="https://www.itu.int/md/S17-CL-C-0044/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S-CONF-PLEN-2015/es" TargetMode="External"/><Relationship Id="rId14" Type="http://schemas.openxmlformats.org/officeDocument/2006/relationships/hyperlink" Target="https://www.itu.int/md/S15-CL-C-0022/es" TargetMode="External"/><Relationship Id="rId22" Type="http://schemas.openxmlformats.org/officeDocument/2006/relationships/chart" Target="charts/chart2.xm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7.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OneDrive\ITU\10%20IMAC\03%20FOLLOW-UP%20Recommendations\IMAC-Follow-up_of_IMAC_Recommendations-2017-05-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gglesis\OneDrive\ITU\10%20IMAC\03%20FOLLOW-UP%20Recommendations\IMAC-Follow-up_of_IMAC_Recommendations-2017-05-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gglesis\OneDrive\ITU\10%20IMAC\03%20FOLLOW-UP%20Recommendations\IMAC-Follow-up_of_IMAC_Recommendations-2017-05-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gglesis\OneDrive\ITU\10%20IMAC\03%20FOLLOW-UP%20Recommendations\IMAC-Follow-up_of_IMAC_Recommendations-2017-05-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3ddb6122f47c68a/ITU/10%20IMAC/FOLLOW-UP%20Recommendations/IMAC-Follow-up_of_IMAC_Recommendations-rev02-16051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3ddb6122f47c68a/ITU/10%20IMAC/FOLLOW-UP%20Recommendations/IMAC-Follow-up_of_IMAC_Recommendations-rev02-16051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Todas las recomendaciones</a:t>
            </a:r>
            <a:r>
              <a:rPr lang="en-US" sz="1100" b="1" baseline="0">
                <a:solidFill>
                  <a:sysClr val="windowText" lastClr="000000"/>
                </a:solidFill>
              </a:rPr>
              <a:t> </a:t>
            </a:r>
            <a:br>
              <a:rPr lang="en-US" sz="1100" b="1" baseline="0">
                <a:solidFill>
                  <a:sysClr val="windowText" lastClr="000000"/>
                </a:solidFill>
              </a:rPr>
            </a:br>
            <a:r>
              <a:rPr lang="en-US" sz="1100" b="1" baseline="0">
                <a:solidFill>
                  <a:sysClr val="windowText" lastClr="000000"/>
                </a:solidFill>
              </a:rPr>
              <a:t>del CAIG </a:t>
            </a:r>
            <a:r>
              <a:rPr lang="en-US" sz="1100" b="1">
                <a:solidFill>
                  <a:sysClr val="windowText" lastClr="000000"/>
                </a:solidFill>
              </a:rPr>
              <a:t>2012-2016</a:t>
            </a:r>
          </a:p>
        </c:rich>
      </c:tx>
      <c:layout>
        <c:manualLayout>
          <c:xMode val="edge"/>
          <c:yMode val="edge"/>
          <c:x val="0.25618404256844945"/>
          <c:y val="8.20513234768454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316391056645701"/>
          <c:y val="0.259397641590003"/>
          <c:w val="0.51132897251082599"/>
          <c:h val="0.67652763033621299"/>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688D-4FE0-9FF6-0ABF1D92EA63}"/>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688D-4FE0-9FF6-0ABF1D92EA63}"/>
              </c:ext>
            </c:extLst>
          </c:dPt>
          <c:dPt>
            <c:idx val="2"/>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688D-4FE0-9FF6-0ABF1D92EA63}"/>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688D-4FE0-9FF6-0ABF1D92EA63}"/>
              </c:ext>
            </c:extLst>
          </c:dPt>
          <c:dLbls>
            <c:dLbl>
              <c:idx val="0"/>
              <c:layout>
                <c:manualLayout>
                  <c:x val="0.204194109778951"/>
                  <c:y val="-3.1201304745127E-3"/>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sz="1000"/>
                      <a:t>Aplicadas</a:t>
                    </a:r>
                    <a:r>
                      <a:rPr lang="en-US" sz="1000" baseline="0"/>
                      <a:t>; </a:t>
                    </a:r>
                    <a:fld id="{3FFE6DDD-BAAE-48F4-B85C-9E03CDDA2558}" type="VALUE">
                      <a:rPr lang="en-US" sz="1000" baseline="0"/>
                      <a:pPr>
                        <a:defRPr sz="1100" b="1"/>
                      </a:pPr>
                      <a:t>[VALUE]</a:t>
                    </a:fld>
                    <a:r>
                      <a:rPr lang="en-US" sz="1000" baseline="0"/>
                      <a:t>; </a:t>
                    </a:r>
                    <a:fld id="{62794525-051C-436C-B850-2E56A648AE7E}" type="PERCENTAGE">
                      <a:rPr lang="en-US" sz="1000" baseline="0"/>
                      <a:pPr>
                        <a:defRPr sz="11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7367065667785401"/>
                      <c:h val="0.15533339605628799"/>
                    </c:manualLayout>
                  </c15:layout>
                  <c15:dlblFieldTable/>
                  <c15:showDataLabelsRange val="0"/>
                </c:ext>
              </c:extLst>
            </c:dLbl>
            <c:dLbl>
              <c:idx val="1"/>
              <c:layout>
                <c:manualLayout>
                  <c:x val="-0.26941417626488401"/>
                  <c:y val="3.0382002980820898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sz="1000"/>
                      <a:t>En curso</a:t>
                    </a:r>
                    <a:r>
                      <a:rPr lang="en-US" sz="1000" baseline="0"/>
                      <a:t>; </a:t>
                    </a:r>
                    <a:fld id="{1776873C-8BAC-4E64-8DB2-9F9B7A52CFE0}" type="VALUE">
                      <a:rPr lang="en-US" sz="1000" baseline="0"/>
                      <a:pPr>
                        <a:defRPr sz="1100" b="1"/>
                      </a:pPr>
                      <a:t>[VALUE]</a:t>
                    </a:fld>
                    <a:r>
                      <a:rPr lang="en-US" sz="1000" baseline="0"/>
                      <a:t>; </a:t>
                    </a:r>
                    <a:fld id="{621B1887-DA60-41E2-8100-7CAC20297505}" type="PERCENTAGE">
                      <a:rPr lang="en-US" sz="1000" baseline="0"/>
                      <a:pPr>
                        <a:defRPr sz="11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3444999649555101"/>
                      <c:h val="0.160461603255241"/>
                    </c:manualLayout>
                  </c15:layout>
                  <c15:dlblFieldTable/>
                  <c15:showDataLabelsRange val="0"/>
                </c:ext>
              </c:extLst>
            </c:dLbl>
            <c:dLbl>
              <c:idx val="2"/>
              <c:delete val="1"/>
              <c:extLst>
                <c:ext xmlns:c15="http://schemas.microsoft.com/office/drawing/2012/chart" uri="{CE6537A1-D6FC-4f65-9D91-7224C49458BB}"/>
              </c:extLst>
            </c:dLbl>
            <c:dLbl>
              <c:idx val="3"/>
              <c:layout>
                <c:manualLayout>
                  <c:x val="0.290514811320565"/>
                  <c:y val="6.0426028841521803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r>
                      <a:rPr lang="en-US" sz="1000"/>
                      <a:t>No aceptadas</a:t>
                    </a:r>
                    <a:r>
                      <a:rPr lang="en-US" sz="1000" baseline="0"/>
                      <a:t>; </a:t>
                    </a:r>
                    <a:fld id="{6359D78D-B720-44E0-8F55-BF581743EE90}" type="VALUE">
                      <a:rPr lang="en-US" sz="1000" baseline="0"/>
                      <a:pPr>
                        <a:defRPr sz="1100" b="1"/>
                      </a:pPr>
                      <a:t>[VALUE]</a:t>
                    </a:fld>
                    <a:r>
                      <a:rPr lang="en-US" sz="1000" baseline="0"/>
                      <a:t>; </a:t>
                    </a:r>
                    <a:fld id="{3FC9A815-2098-46EF-8DBD-2CC81000C0FB}" type="PERCENTAGE">
                      <a:rPr lang="en-US" sz="1000" baseline="0"/>
                      <a:pPr>
                        <a:defRPr sz="11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688D-4FE0-9FF6-0ABF1D92EA63}"/>
                </c:ext>
                <c:ext xmlns:c15="http://schemas.microsoft.com/office/drawing/2012/chart" uri="{CE6537A1-D6FC-4f65-9D91-7224C49458BB}">
                  <c15:layout>
                    <c:manualLayout>
                      <c:w val="0.28106884820339101"/>
                      <c:h val="0.15533339605628799"/>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statistics!$A$2:$A$5</c:f>
              <c:strCache>
                <c:ptCount val="4"/>
                <c:pt idx="0">
                  <c:v>Implemented</c:v>
                </c:pt>
                <c:pt idx="1">
                  <c:v>In progress</c:v>
                </c:pt>
                <c:pt idx="2">
                  <c:v>Under consideration</c:v>
                </c:pt>
                <c:pt idx="3">
                  <c:v>Not accepted</c:v>
                </c:pt>
              </c:strCache>
            </c:strRef>
          </c:cat>
          <c:val>
            <c:numRef>
              <c:f>statistics!$B$2:$B$5</c:f>
              <c:numCache>
                <c:formatCode>General</c:formatCode>
                <c:ptCount val="4"/>
                <c:pt idx="0">
                  <c:v>37</c:v>
                </c:pt>
                <c:pt idx="1">
                  <c:v>6</c:v>
                </c:pt>
                <c:pt idx="2">
                  <c:v>0</c:v>
                </c:pt>
                <c:pt idx="3">
                  <c:v>0</c:v>
                </c:pt>
              </c:numCache>
            </c:numRef>
          </c:val>
          <c:extLst xmlns:c16r2="http://schemas.microsoft.com/office/drawing/2015/06/chart">
            <c:ext xmlns:c16="http://schemas.microsoft.com/office/drawing/2014/chart" uri="{C3380CC4-5D6E-409C-BE32-E72D297353CC}">
              <c16:uniqueId val="{00000008-688D-4FE0-9FF6-0ABF1D92EA63}"/>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Recomendaciones del CAIG 2016</a:t>
            </a:r>
          </a:p>
        </c:rich>
      </c:tx>
      <c:layout>
        <c:manualLayout>
          <c:xMode val="edge"/>
          <c:yMode val="edge"/>
          <c:x val="0.22777465076728401"/>
          <c:y val="8.71794871794872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378252945334"/>
          <c:y val="0.238884716333535"/>
          <c:w val="0.51384927714992301"/>
          <c:h val="0.69171976579850603"/>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FE98-4CCC-9911-46B4E0CDB3A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FE98-4CCC-9911-46B4E0CDB3AE}"/>
              </c:ext>
            </c:extLst>
          </c:dPt>
          <c:dPt>
            <c:idx val="2"/>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FE98-4CCC-9911-46B4E0CDB3A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FE98-4CCC-9911-46B4E0CDB3AE}"/>
              </c:ext>
            </c:extLst>
          </c:dPt>
          <c:dLbls>
            <c:dLbl>
              <c:idx val="0"/>
              <c:layout>
                <c:manualLayout>
                  <c:x val="6.6878400870622801E-2"/>
                  <c:y val="-0.44585722322750099"/>
                </c:manualLayout>
              </c:layout>
              <c:tx>
                <c:rich>
                  <a:bodyPr/>
                  <a:lstStyle/>
                  <a:p>
                    <a:r>
                      <a:rPr lang="en-US"/>
                      <a:t>Aplicadas</a:t>
                    </a:r>
                    <a:r>
                      <a:rPr lang="en-US" baseline="0"/>
                      <a:t>; </a:t>
                    </a:r>
                    <a:fld id="{7DA7138A-2D0F-4907-AE61-E3ADA65611FA}" type="VALUE">
                      <a:rPr lang="en-US" baseline="0"/>
                      <a:pPr/>
                      <a:t>[VALUE]</a:t>
                    </a:fld>
                    <a:r>
                      <a:rPr lang="en-US" baseline="0"/>
                      <a:t>; </a:t>
                    </a:r>
                    <a:fld id="{A4249662-629B-47CE-8F93-E6B02839FAB3}"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FE98-4CCC-9911-46B4E0CDB3AE}"/>
                </c:ext>
                <c:ext xmlns:c15="http://schemas.microsoft.com/office/drawing/2012/chart" uri="{CE6537A1-D6FC-4f65-9D91-7224C49458BB}">
                  <c15:layout>
                    <c:manualLayout>
                      <c:w val="0.31881486757102101"/>
                      <c:h val="0.15312820512820499"/>
                    </c:manualLayout>
                  </c15:layout>
                  <c15:dlblFieldTable/>
                  <c15:showDataLabelsRange val="0"/>
                </c:ext>
              </c:extLst>
            </c:dLbl>
            <c:dLbl>
              <c:idx val="1"/>
              <c:layout>
                <c:manualLayout>
                  <c:x val="-0.20557934831316799"/>
                  <c:y val="0.40513944800507901"/>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r>
                      <a:rPr lang="en-US" sz="1000"/>
                      <a:t>En curso</a:t>
                    </a:r>
                    <a:r>
                      <a:rPr lang="en-US" sz="1000" baseline="0"/>
                      <a:t>; </a:t>
                    </a:r>
                    <a:fld id="{1AD3D9CD-4845-4013-BE76-C5BDA6453BBF}" type="VALUE">
                      <a:rPr lang="en-US" sz="1000" baseline="0"/>
                      <a:pPr>
                        <a:defRPr sz="1000" b="1"/>
                      </a:pPr>
                      <a:t>[VALUE]</a:t>
                    </a:fld>
                    <a:r>
                      <a:rPr lang="en-US" sz="1000" baseline="0"/>
                      <a:t>; </a:t>
                    </a:r>
                    <a:fld id="{34ED4236-E84E-44F7-9946-E2D7784AAF30}" type="PERCENTAGE">
                      <a:rPr lang="en-US" sz="1000" baseline="0"/>
                      <a:pPr>
                        <a:defRPr sz="10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5192209205556598"/>
                      <c:h val="0.160461348677641"/>
                    </c:manualLayout>
                  </c15:layout>
                  <c15:dlblFieldTable/>
                  <c15:showDataLabelsRange val="0"/>
                </c:ext>
              </c:extLst>
            </c:dLbl>
            <c:dLbl>
              <c:idx val="2"/>
              <c:delete val="1"/>
              <c:extLst>
                <c:ext xmlns:c15="http://schemas.microsoft.com/office/drawing/2012/chart" uri="{CE6537A1-D6FC-4f65-9D91-7224C49458BB}"/>
              </c:extLst>
            </c:dLbl>
            <c:dLbl>
              <c:idx val="3"/>
              <c:layout>
                <c:manualLayout>
                  <c:x val="-0.34672140067857399"/>
                  <c:y val="1.068583411851570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r>
                      <a:rPr lang="en-US" sz="1000"/>
                      <a:t>No aceptadas</a:t>
                    </a:r>
                    <a:r>
                      <a:rPr lang="en-US" sz="1000" baseline="0"/>
                      <a:t>; </a:t>
                    </a:r>
                    <a:fld id="{4A681F7A-5EAB-486D-8264-F01DE9942B22}" type="VALUE">
                      <a:rPr lang="en-US" sz="1000" baseline="0"/>
                      <a:pPr>
                        <a:defRPr sz="1000" b="1"/>
                      </a:pPr>
                      <a:t>[VALUE]</a:t>
                    </a:fld>
                    <a:r>
                      <a:rPr lang="en-US" sz="1000" baseline="0"/>
                      <a:t>; </a:t>
                    </a:r>
                    <a:fld id="{C4FC103D-F3ED-4F2D-B636-CB81A1BC9642}" type="PERCENTAGE">
                      <a:rPr lang="en-US" sz="1000" baseline="0"/>
                      <a:pPr>
                        <a:defRPr sz="10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31994063981034299"/>
                      <c:h val="0.16558974358974399"/>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statistics!$A$10:$A$13</c:f>
              <c:strCache>
                <c:ptCount val="4"/>
                <c:pt idx="0">
                  <c:v>Implemented</c:v>
                </c:pt>
                <c:pt idx="1">
                  <c:v>In progress</c:v>
                </c:pt>
                <c:pt idx="2">
                  <c:v>Under consideration</c:v>
                </c:pt>
                <c:pt idx="3">
                  <c:v>Not accepted</c:v>
                </c:pt>
              </c:strCache>
            </c:strRef>
          </c:cat>
          <c:val>
            <c:numRef>
              <c:f>statistics!$B$10:$B$13</c:f>
              <c:numCache>
                <c:formatCode>General</c:formatCode>
                <c:ptCount val="4"/>
                <c:pt idx="0">
                  <c:v>10</c:v>
                </c:pt>
                <c:pt idx="1">
                  <c:v>4</c:v>
                </c:pt>
                <c:pt idx="2">
                  <c:v>0</c:v>
                </c:pt>
                <c:pt idx="3">
                  <c:v>0</c:v>
                </c:pt>
              </c:numCache>
            </c:numRef>
          </c:val>
          <c:extLst xmlns:c16r2="http://schemas.microsoft.com/office/drawing/2015/06/chart">
            <c:ext xmlns:c16="http://schemas.microsoft.com/office/drawing/2014/chart" uri="{C3380CC4-5D6E-409C-BE32-E72D297353CC}">
              <c16:uniqueId val="{00000008-FE98-4CCC-9911-46B4E0CDB3A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Recomendaciones</a:t>
            </a:r>
            <a:r>
              <a:rPr lang="en-US" sz="1100" b="1" baseline="0">
                <a:solidFill>
                  <a:sysClr val="windowText" lastClr="000000"/>
                </a:solidFill>
              </a:rPr>
              <a:t> del CAIG</a:t>
            </a:r>
            <a:r>
              <a:rPr lang="en-US" sz="1100" b="1">
                <a:solidFill>
                  <a:sysClr val="windowText" lastClr="000000"/>
                </a:solidFill>
              </a:rPr>
              <a:t> 2015</a:t>
            </a:r>
          </a:p>
        </c:rich>
      </c:tx>
      <c:layout>
        <c:manualLayout>
          <c:xMode val="edge"/>
          <c:yMode val="edge"/>
          <c:x val="0.24820816798315501"/>
          <c:y val="8.71794871794872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378252945334"/>
          <c:y val="0.238884716333535"/>
          <c:w val="0.51384927714992301"/>
          <c:h val="0.69171976579850603"/>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FE98-4CCC-9911-46B4E0CDB3A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FE98-4CCC-9911-46B4E0CDB3A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FE98-4CCC-9911-46B4E0CDB3A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FE98-4CCC-9911-46B4E0CDB3AE}"/>
              </c:ext>
            </c:extLst>
          </c:dPt>
          <c:dLbls>
            <c:dLbl>
              <c:idx val="0"/>
              <c:layout>
                <c:manualLayout>
                  <c:x val="0.253982703339728"/>
                  <c:y val="-5.6243084998990597E-2"/>
                </c:manualLayout>
              </c:layout>
              <c:tx>
                <c:rich>
                  <a:bodyPr/>
                  <a:lstStyle/>
                  <a:p>
                    <a:r>
                      <a:rPr lang="en-US"/>
                      <a:t>Aplicadas</a:t>
                    </a:r>
                    <a:r>
                      <a:rPr lang="en-US" baseline="0"/>
                      <a:t>; </a:t>
                    </a:r>
                    <a:fld id="{5F16D2A9-013B-4E2F-9E2C-241C56882BD4}" type="VALUE">
                      <a:rPr lang="en-US" baseline="0"/>
                      <a:pPr/>
                      <a:t>[VALUE]</a:t>
                    </a:fld>
                    <a:r>
                      <a:rPr lang="en-US" baseline="0"/>
                      <a:t>; </a:t>
                    </a:r>
                    <a:fld id="{61B13130-248F-485E-B16F-749C333813EB}"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31800210634795"/>
                      <c:h val="0.15312820512820499"/>
                    </c:manualLayout>
                  </c15:layout>
                  <c15:dlblFieldTable/>
                  <c15:showDataLabelsRange val="0"/>
                </c:ext>
              </c:extLst>
            </c:dLbl>
            <c:dLbl>
              <c:idx val="1"/>
              <c:layout>
                <c:manualLayout>
                  <c:x val="-0.28120800046163702"/>
                  <c:y val="3.8074298405007097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r>
                      <a:rPr lang="en-US" sz="1000"/>
                      <a:t>En curso</a:t>
                    </a:r>
                    <a:r>
                      <a:rPr lang="en-US" sz="1000" baseline="0"/>
                      <a:t>; </a:t>
                    </a:r>
                    <a:fld id="{00935F1C-1EB1-467B-BBD3-44DAE0C6CBC3}" type="VALUE">
                      <a:rPr lang="en-US" sz="1000" baseline="0"/>
                      <a:pPr>
                        <a:defRPr sz="1000" b="1"/>
                      </a:pPr>
                      <a:t>[VALUE]</a:t>
                    </a:fld>
                    <a:r>
                      <a:rPr lang="en-US" sz="1000" baseline="0"/>
                      <a:t>; </a:t>
                    </a:r>
                    <a:fld id="{C588EF1A-107E-4627-A99C-3C08BED7EF56}" type="PERCENTAGE">
                      <a:rPr lang="en-US" sz="1000" baseline="0"/>
                      <a:pPr>
                        <a:defRPr sz="10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19722493869195401"/>
                      <c:h val="0.16558974358974399"/>
                    </c:manualLayout>
                  </c15:layout>
                  <c15:dlblFieldTable/>
                  <c15:showDataLabelsRange val="0"/>
                </c:ext>
              </c:extLst>
            </c:dLbl>
            <c:dLbl>
              <c:idx val="2"/>
              <c:layout>
                <c:manualLayout>
                  <c:x val="0.26187995212072701"/>
                  <c:y val="4.4389259034928297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r>
                      <a:rPr lang="en-US" sz="1000"/>
                      <a:t>No aceptadas</a:t>
                    </a:r>
                    <a:r>
                      <a:rPr lang="en-US" sz="1000" baseline="0"/>
                      <a:t>; </a:t>
                    </a:r>
                    <a:fld id="{D410051B-121C-44D3-B70A-9BDAACAA8E95}" type="VALUE">
                      <a:rPr lang="en-US" sz="1000" baseline="0"/>
                      <a:pPr>
                        <a:defRPr sz="1000" b="1"/>
                      </a:pPr>
                      <a:t>[VALUE]</a:t>
                    </a:fld>
                    <a:r>
                      <a:rPr lang="en-US" sz="1000" baseline="0"/>
                      <a:t>; </a:t>
                    </a:r>
                    <a:fld id="{5D4A9394-905B-4F96-9E39-DC387A8D165C}" type="PERCENTAGE">
                      <a:rPr lang="en-US" sz="1000" baseline="0"/>
                      <a:pPr>
                        <a:defRPr sz="1000"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extLst>
                <c:ext xmlns:c15="http://schemas.microsoft.com/office/drawing/2012/chart" uri="{CE6537A1-D6FC-4f65-9D91-7224C49458BB}">
                  <c15:layout>
                    <c:manualLayout>
                      <c:w val="0.251652400222379"/>
                      <c:h val="0.15651806985665301"/>
                    </c:manualLayout>
                  </c15:layout>
                  <c15:dlblFieldTable/>
                  <c15:showDataLabelsRange val="0"/>
                </c:ext>
              </c:extLst>
            </c:dLbl>
            <c:dLbl>
              <c:idx val="3"/>
              <c:layout>
                <c:manualLayout>
                  <c:x val="5.9547186231350697E-2"/>
                  <c:y val="-0.137920622071774"/>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FE98-4CCC-9911-46B4E0CDB3A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statistics!$A$17:$A$19</c:f>
              <c:strCache>
                <c:ptCount val="3"/>
                <c:pt idx="0">
                  <c:v>Implemented</c:v>
                </c:pt>
                <c:pt idx="1">
                  <c:v>In progress</c:v>
                </c:pt>
                <c:pt idx="2">
                  <c:v>Not accepted</c:v>
                </c:pt>
              </c:strCache>
            </c:strRef>
          </c:cat>
          <c:val>
            <c:numRef>
              <c:f>statistics!$B$17:$B$19</c:f>
              <c:numCache>
                <c:formatCode>General</c:formatCode>
                <c:ptCount val="3"/>
                <c:pt idx="0">
                  <c:v>6</c:v>
                </c:pt>
                <c:pt idx="1">
                  <c:v>0</c:v>
                </c:pt>
                <c:pt idx="2">
                  <c:v>0</c:v>
                </c:pt>
              </c:numCache>
            </c:numRef>
          </c:val>
          <c:extLst xmlns:c16r2="http://schemas.microsoft.com/office/drawing/2015/06/chart">
            <c:ext xmlns:c16="http://schemas.microsoft.com/office/drawing/2014/chart" uri="{C3380CC4-5D6E-409C-BE32-E72D297353CC}">
              <c16:uniqueId val="{00000008-FE98-4CCC-9911-46B4E0CDB3A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Recomendaciones del CAIG 2014</a:t>
            </a:r>
          </a:p>
        </c:rich>
      </c:tx>
      <c:layout>
        <c:manualLayout>
          <c:xMode val="edge"/>
          <c:yMode val="edge"/>
          <c:x val="0.21113881598133599"/>
          <c:y val="9.23076923076922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351825340014299"/>
          <c:y val="0.271929335756107"/>
          <c:w val="0.52494472973487005"/>
          <c:h val="0.69656127599434703"/>
        </c:manualLayout>
      </c:layout>
      <c:doughnutChart>
        <c:varyColors val="1"/>
        <c:ser>
          <c:idx val="0"/>
          <c:order val="0"/>
          <c:tx>
            <c:strRef>
              <c:f>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3ED1-46B2-8533-FDC9922DEBD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ED1-46B2-8533-FDC9922DEBD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3ED1-46B2-8533-FDC9922DEBD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3ED1-46B2-8533-FDC9922DEBDE}"/>
              </c:ext>
            </c:extLst>
          </c:dPt>
          <c:dLbls>
            <c:dLbl>
              <c:idx val="0"/>
              <c:layout>
                <c:manualLayout>
                  <c:x val="0.31662204724409448"/>
                  <c:y val="-2.21934181304261E-2"/>
                </c:manualLayout>
              </c:layout>
              <c:tx>
                <c:rich>
                  <a:bodyPr/>
                  <a:lstStyle/>
                  <a:p>
                    <a:r>
                      <a:rPr lang="en-US"/>
                      <a:t>Aplicadas</a:t>
                    </a:r>
                    <a:r>
                      <a:rPr lang="en-US" baseline="0"/>
                      <a:t>; </a:t>
                    </a:r>
                    <a:fld id="{C8BA922D-C417-4401-A6B0-280067F62130}" type="VALUE">
                      <a:rPr lang="en-US" baseline="0"/>
                      <a:pPr/>
                      <a:t>[VALUE]</a:t>
                    </a:fld>
                    <a:r>
                      <a:rPr lang="en-US" baseline="0"/>
                      <a:t>; </a:t>
                    </a:r>
                    <a:fld id="{2BBFE654-ED2A-40C2-89D4-E993CF579DE9}"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6673391912967398"/>
                      <c:h val="0.13892590349283301"/>
                    </c:manualLayout>
                  </c15:layout>
                  <c15:dlblFieldTable/>
                  <c15:showDataLabelsRange val="0"/>
                </c:ext>
              </c:extLst>
            </c:dLbl>
            <c:dLbl>
              <c:idx val="1"/>
              <c:layout>
                <c:manualLayout>
                  <c:x val="-0.3241764362787985"/>
                  <c:y val="2.5253987482333939E-2"/>
                </c:manualLayout>
              </c:layout>
              <c:tx>
                <c:rich>
                  <a:bodyPr/>
                  <a:lstStyle/>
                  <a:p>
                    <a:r>
                      <a:rPr lang="en-US"/>
                      <a:t>En curso</a:t>
                    </a:r>
                    <a:r>
                      <a:rPr lang="en-US" baseline="0"/>
                      <a:t>; </a:t>
                    </a:r>
                    <a:fld id="{15572B67-E7DF-423A-94CD-E8AE4EA18BF1}" type="VALUE">
                      <a:rPr lang="en-US" baseline="0"/>
                      <a:pPr/>
                      <a:t>[VALUE]</a:t>
                    </a:fld>
                    <a:r>
                      <a:rPr lang="en-US" baseline="0"/>
                      <a:t>; </a:t>
                    </a:r>
                    <a:br>
                      <a:rPr lang="en-US" baseline="0"/>
                    </a:br>
                    <a:fld id="{C43AEAD6-5C42-4F83-81EA-2A1D8477697D}"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3ED1-46B2-8533-FDC9922DEBDE}"/>
                </c:ext>
                <c:ext xmlns:c15="http://schemas.microsoft.com/office/drawing/2012/chart" uri="{CE6537A1-D6FC-4f65-9D91-7224C49458BB}">
                  <c15:layout>
                    <c:manualLayout>
                      <c:w val="0.241573890220244"/>
                      <c:h val="0.147094690086816"/>
                    </c:manualLayout>
                  </c15:layout>
                  <c15:dlblFieldTable/>
                  <c15:showDataLabelsRange val="0"/>
                </c:ext>
              </c:extLst>
            </c:dLbl>
            <c:dLbl>
              <c:idx val="2"/>
              <c:layout>
                <c:manualLayout>
                  <c:x val="0.26840759961822902"/>
                  <c:y val="1.28265697557036E-2"/>
                </c:manualLayout>
              </c:layout>
              <c:tx>
                <c:rich>
                  <a:bodyPr/>
                  <a:lstStyle/>
                  <a:p>
                    <a:r>
                      <a:rPr lang="en-US"/>
                      <a:t>No aceptadas</a:t>
                    </a:r>
                    <a:r>
                      <a:rPr lang="en-US" baseline="0"/>
                      <a:t>; </a:t>
                    </a:r>
                    <a:fld id="{E0484412-2811-4D58-9E34-8E59D01054DD}" type="VALUE">
                      <a:rPr lang="en-US" baseline="0"/>
                      <a:pPr/>
                      <a:t>[VALUE]</a:t>
                    </a:fld>
                    <a:r>
                      <a:rPr lang="en-US" baseline="0"/>
                      <a:t>; </a:t>
                    </a:r>
                    <a:fld id="{2D3BF3E4-6F79-4612-B912-1EA4CBF27CCF}"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3ED1-46B2-8533-FDC9922DEBDE}"/>
                </c:ext>
                <c:ext xmlns:c15="http://schemas.microsoft.com/office/drawing/2012/chart" uri="{CE6537A1-D6FC-4f65-9D91-7224C49458BB}">
                  <c15:layout>
                    <c:manualLayout>
                      <c:w val="0.27323062878009802"/>
                      <c:h val="0.157351100343226"/>
                    </c:manualLayout>
                  </c15:layout>
                  <c15:dlblFieldTable/>
                  <c15:showDataLabelsRange val="0"/>
                </c:ext>
              </c:extLst>
            </c:dLbl>
            <c:dLbl>
              <c:idx val="3"/>
              <c:layout>
                <c:manualLayout>
                  <c:x val="-3.3922192390707602E-2"/>
                  <c:y val="-0.136855628089224"/>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3ED1-46B2-8533-FDC9922DEBDE}"/>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statistics!$A$24:$A$26</c:f>
              <c:strCache>
                <c:ptCount val="3"/>
                <c:pt idx="0">
                  <c:v>Implemented</c:v>
                </c:pt>
                <c:pt idx="1">
                  <c:v>In progress</c:v>
                </c:pt>
                <c:pt idx="2">
                  <c:v>Not accepted</c:v>
                </c:pt>
              </c:strCache>
            </c:strRef>
          </c:cat>
          <c:val>
            <c:numRef>
              <c:f>statistics!$B$24:$B$26</c:f>
              <c:numCache>
                <c:formatCode>General</c:formatCode>
                <c:ptCount val="3"/>
                <c:pt idx="0">
                  <c:v>9</c:v>
                </c:pt>
                <c:pt idx="1">
                  <c:v>0</c:v>
                </c:pt>
                <c:pt idx="2">
                  <c:v>0</c:v>
                </c:pt>
              </c:numCache>
            </c:numRef>
          </c:val>
          <c:extLst xmlns:c16r2="http://schemas.microsoft.com/office/drawing/2015/06/chart">
            <c:ext xmlns:c16="http://schemas.microsoft.com/office/drawing/2014/chart" uri="{C3380CC4-5D6E-409C-BE32-E72D297353CC}">
              <c16:uniqueId val="{00000008-3ED1-46B2-8533-FDC9922DEBD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Recomendaciones del CAIG 2013</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315742767111101"/>
          <c:y val="0.27212598425196899"/>
          <c:w val="0.52045363957012503"/>
          <c:h val="0.69593226134089603"/>
        </c:manualLayout>
      </c:layout>
      <c:doughnutChart>
        <c:varyColors val="1"/>
        <c:ser>
          <c:idx val="0"/>
          <c:order val="0"/>
          <c:tx>
            <c:strRef>
              <c:f>'[IMAC-Follow-up_of_IMAC_Recommendations-rev02-160514.xlsx]statistics'!$B$1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74DC-4E51-B9D6-87D8C19602FE}"/>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74DC-4E51-B9D6-87D8C19602FE}"/>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74DC-4E51-B9D6-87D8C19602FE}"/>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74DC-4E51-B9D6-87D8C19602FE}"/>
              </c:ext>
            </c:extLst>
          </c:dPt>
          <c:dLbls>
            <c:dLbl>
              <c:idx val="0"/>
              <c:layout>
                <c:manualLayout>
                  <c:x val="0.22655370800712901"/>
                  <c:y val="1.13405939200129E-2"/>
                </c:manualLayout>
              </c:layout>
              <c:tx>
                <c:rich>
                  <a:bodyPr/>
                  <a:lstStyle/>
                  <a:p>
                    <a:r>
                      <a:rPr lang="en-US"/>
                      <a:t>Aplicadas</a:t>
                    </a:r>
                    <a:r>
                      <a:rPr lang="en-US" baseline="0"/>
                      <a:t>; </a:t>
                    </a:r>
                    <a:fld id="{E2156BAB-41A9-4E65-B577-26EFAC15C054}" type="VALUE">
                      <a:rPr lang="en-US" baseline="0"/>
                      <a:pPr/>
                      <a:t>[VALUE]</a:t>
                    </a:fld>
                    <a:r>
                      <a:rPr lang="en-US" baseline="0"/>
                      <a:t>; </a:t>
                    </a:r>
                    <a:fld id="{45003A67-F3FC-4CE8-8A9C-ADBB7740F051}"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6673405079379398"/>
                      <c:h val="0.143897185265635"/>
                    </c:manualLayout>
                  </c15:layout>
                  <c15:dlblFieldTable/>
                  <c15:showDataLabelsRange val="0"/>
                </c:ext>
              </c:extLst>
            </c:dLbl>
            <c:dLbl>
              <c:idx val="1"/>
              <c:layout>
                <c:manualLayout>
                  <c:x val="-0.23351623310696501"/>
                  <c:y val="-4.1314548325137597E-2"/>
                </c:manualLayout>
              </c:layout>
              <c:tx>
                <c:rich>
                  <a:bodyPr/>
                  <a:lstStyle/>
                  <a:p>
                    <a:r>
                      <a:rPr lang="en-US"/>
                      <a:t>En curso</a:t>
                    </a:r>
                    <a:r>
                      <a:rPr lang="en-US" baseline="0"/>
                      <a:t>; </a:t>
                    </a:r>
                    <a:fld id="{7E5979C0-0637-4232-8981-13099F567B89}" type="VALUE">
                      <a:rPr lang="en-US" baseline="0"/>
                      <a:pPr/>
                      <a:t>[VALUE]</a:t>
                    </a:fld>
                    <a:r>
                      <a:rPr lang="en-US" baseline="0"/>
                      <a:t>; </a:t>
                    </a:r>
                    <a:fld id="{6E463737-237D-4103-9715-4C6551EBA0F7}"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74DC-4E51-B9D6-87D8C19602FE}"/>
                </c:ext>
                <c:ext xmlns:c15="http://schemas.microsoft.com/office/drawing/2012/chart" uri="{CE6537A1-D6FC-4f65-9D91-7224C49458BB}">
                  <c15:layout>
                    <c:manualLayout>
                      <c:w val="0.242625574381999"/>
                      <c:h val="0.151639665731439"/>
                    </c:manualLayout>
                  </c15:layout>
                  <c15:dlblFieldTable/>
                  <c15:showDataLabelsRange val="0"/>
                </c:ext>
              </c:extLst>
            </c:dLbl>
            <c:dLbl>
              <c:idx val="2"/>
              <c:layout>
                <c:manualLayout>
                  <c:x val="0.28186614925283299"/>
                  <c:y val="-2.3935398879737699E-2"/>
                </c:manualLayout>
              </c:layout>
              <c:tx>
                <c:rich>
                  <a:bodyPr/>
                  <a:lstStyle/>
                  <a:p>
                    <a:r>
                      <a:rPr lang="en-US"/>
                      <a:t>No aceptadas</a:t>
                    </a:r>
                    <a:r>
                      <a:rPr lang="en-US" baseline="0"/>
                      <a:t>; </a:t>
                    </a:r>
                    <a:fld id="{3D5800E9-5FA1-4EB2-A362-3BA588B02721}" type="VALUE">
                      <a:rPr lang="en-US" baseline="0"/>
                      <a:pPr/>
                      <a:t>[VALUE]</a:t>
                    </a:fld>
                    <a:r>
                      <a:rPr lang="en-US" baseline="0"/>
                      <a:t>; </a:t>
                    </a:r>
                    <a:fld id="{7D224216-20C5-42D8-956D-4D29430804A9}"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74DC-4E51-B9D6-87D8C19602FE}"/>
                </c:ext>
                <c:ext xmlns:c15="http://schemas.microsoft.com/office/drawing/2012/chart" uri="{CE6537A1-D6FC-4f65-9D91-7224C49458BB}">
                  <c15:layout>
                    <c:manualLayout>
                      <c:w val="0.277739924343268"/>
                      <c:h val="0.14142255206604901"/>
                    </c:manualLayout>
                  </c15:layout>
                  <c15:dlblFieldTable/>
                  <c15:showDataLabelsRange val="0"/>
                </c:ext>
              </c:extLst>
            </c:dLbl>
            <c:dLbl>
              <c:idx val="3"/>
              <c:layout>
                <c:manualLayout>
                  <c:x val="0.24496988019763999"/>
                  <c:y val="-0.174842332742595"/>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74DC-4E51-B9D6-87D8C19602FE}"/>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'[IMAC-Follow-up_of_IMAC_Recommendations-rev02-160514.xlsx]statistics'!$A$26:$A$28</c:f>
              <c:strCache>
                <c:ptCount val="3"/>
                <c:pt idx="0">
                  <c:v>Implemented</c:v>
                </c:pt>
                <c:pt idx="1">
                  <c:v>In progress</c:v>
                </c:pt>
                <c:pt idx="2">
                  <c:v>Not accepted</c:v>
                </c:pt>
              </c:strCache>
            </c:strRef>
          </c:cat>
          <c:val>
            <c:numRef>
              <c:f>'[IMAC-Follow-up_of_IMAC_Recommendations-rev02-160514.xlsx]statistics'!$B$26:$B$28</c:f>
              <c:numCache>
                <c:formatCode>General</c:formatCode>
                <c:ptCount val="3"/>
                <c:pt idx="0">
                  <c:v>7</c:v>
                </c:pt>
                <c:pt idx="1">
                  <c:v>1</c:v>
                </c:pt>
                <c:pt idx="2">
                  <c:v>0</c:v>
                </c:pt>
              </c:numCache>
            </c:numRef>
          </c:val>
          <c:extLst xmlns:c16r2="http://schemas.microsoft.com/office/drawing/2015/06/chart">
            <c:ext xmlns:c16="http://schemas.microsoft.com/office/drawing/2014/chart" uri="{C3380CC4-5D6E-409C-BE32-E72D297353CC}">
              <c16:uniqueId val="{00000008-74DC-4E51-B9D6-87D8C19602FE}"/>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rPr>
              <a:t>Recomendaciones del CAIG 2012</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114500372267199"/>
          <c:y val="0.25654472037149201"/>
          <c:w val="0.53094089599831595"/>
          <c:h val="0.712686048859277"/>
        </c:manualLayout>
      </c:layout>
      <c:doughnutChart>
        <c:varyColors val="1"/>
        <c:ser>
          <c:idx val="0"/>
          <c:order val="0"/>
          <c:tx>
            <c:strRef>
              <c:f>'[IMAC-Follow-up_of_IMAC_Recommendations-rev02-160514.xlsx]statistics'!$B$1</c:f>
              <c:strCache>
                <c:ptCount val="1"/>
                <c:pt idx="0">
                  <c:v>No.</c:v>
                </c:pt>
              </c:strCache>
            </c:strRef>
          </c:tx>
          <c:dPt>
            <c:idx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8297-420A-A7E2-2A10A74D3E84}"/>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8297-420A-A7E2-2A10A74D3E84}"/>
              </c:ext>
            </c:extLst>
          </c:dPt>
          <c:dPt>
            <c:idx val="2"/>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5-8297-420A-A7E2-2A10A74D3E84}"/>
              </c:ext>
            </c:extLst>
          </c:dPt>
          <c:dPt>
            <c:idx val="3"/>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7-8297-420A-A7E2-2A10A74D3E84}"/>
              </c:ext>
            </c:extLst>
          </c:dPt>
          <c:dLbls>
            <c:dLbl>
              <c:idx val="0"/>
              <c:layout>
                <c:manualLayout>
                  <c:x val="0.19981063255345199"/>
                  <c:y val="4.7623460528972303E-2"/>
                </c:manualLayout>
              </c:layout>
              <c:tx>
                <c:rich>
                  <a:bodyPr/>
                  <a:lstStyle/>
                  <a:p>
                    <a:r>
                      <a:rPr lang="en-US"/>
                      <a:t>Aplicadas</a:t>
                    </a:r>
                    <a:r>
                      <a:rPr lang="en-US" baseline="0"/>
                      <a:t>; </a:t>
                    </a:r>
                    <a:fld id="{9D03739E-050F-47CD-913A-CD0E97A887F4}" type="VALUE">
                      <a:rPr lang="en-US" baseline="0"/>
                      <a:pPr/>
                      <a:t>[VALUE]</a:t>
                    </a:fld>
                    <a:r>
                      <a:rPr lang="en-US" baseline="0"/>
                      <a:t>; </a:t>
                    </a:r>
                    <a:fld id="{3643E39E-5F11-4183-B6D7-584518151737}" type="PERCENTAGE">
                      <a:rPr lang="en-US" baseline="0"/>
                      <a:pPr/>
                      <a:t>[PERCENTAGE]</a:t>
                    </a:fld>
                    <a:endParaRPr lang="en-US" baseline="0"/>
                  </a:p>
                </c:rich>
              </c:tx>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8297-420A-A7E2-2A10A74D3E84}"/>
                </c:ext>
                <c:ext xmlns:c15="http://schemas.microsoft.com/office/drawing/2012/chart" uri="{CE6537A1-D6FC-4f65-9D91-7224C49458BB}">
                  <c15:layout>
                    <c:manualLayout>
                      <c:w val="0.26673405079379398"/>
                      <c:h val="0.13892590349283301"/>
                    </c:manualLayout>
                  </c15:layout>
                  <c15:dlblFieldTable/>
                  <c15:showDataLabelsRange val="0"/>
                </c:ext>
              </c:extLst>
            </c:dLbl>
            <c:dLbl>
              <c:idx val="1"/>
              <c:layout>
                <c:manualLayout>
                  <c:x val="-0.21059389782580901"/>
                  <c:y val="-4.4356955380577399E-2"/>
                </c:manualLayout>
              </c:layout>
              <c:tx>
                <c:rich>
                  <a:bodyPr/>
                  <a:lstStyle/>
                  <a:p>
                    <a:r>
                      <a:rPr lang="en-US"/>
                      <a:t>En</a:t>
                    </a:r>
                    <a:r>
                      <a:rPr lang="en-US" baseline="0"/>
                      <a:t> curso; </a:t>
                    </a:r>
                    <a:fld id="{D38A0E90-F1B6-4139-BF95-C9AE1D8E1998}" type="VALUE">
                      <a:rPr lang="en-US" baseline="0"/>
                      <a:pPr/>
                      <a:t>[VALUE]</a:t>
                    </a:fld>
                    <a:r>
                      <a:rPr lang="en-US" baseline="0"/>
                      <a:t>; </a:t>
                    </a:r>
                    <a:fld id="{382F0B8D-F323-4B1A-9FBA-EEBEC7D403FD}"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3498469568094801"/>
                      <c:h val="0.152222895215021"/>
                    </c:manualLayout>
                  </c15:layout>
                  <c15:dlblFieldTable/>
                  <c15:showDataLabelsRange val="0"/>
                </c:ext>
              </c:extLst>
            </c:dLbl>
            <c:dLbl>
              <c:idx val="2"/>
              <c:layout>
                <c:manualLayout>
                  <c:x val="0.30096834600546002"/>
                  <c:y val="4.8495861094286297E-3"/>
                </c:manualLayout>
              </c:layout>
              <c:tx>
                <c:rich>
                  <a:bodyPr/>
                  <a:lstStyle/>
                  <a:p>
                    <a:r>
                      <a:rPr lang="en-US"/>
                      <a:t>No aceptadas</a:t>
                    </a:r>
                    <a:r>
                      <a:rPr lang="en-US" baseline="0"/>
                      <a:t>; </a:t>
                    </a:r>
                    <a:fld id="{31A01ACE-2B1D-470A-9A4A-23052C48F4CD}" type="VALUE">
                      <a:rPr lang="en-US" baseline="0"/>
                      <a:pPr/>
                      <a:t>[VALUE]</a:t>
                    </a:fld>
                    <a:r>
                      <a:rPr lang="en-US" baseline="0"/>
                      <a:t>; </a:t>
                    </a:r>
                    <a:fld id="{F73FB957-80FD-4E63-B6E4-C8D46461D204}" type="PERCENTAGE">
                      <a:rPr lang="en-US" baseline="0"/>
                      <a:pPr/>
                      <a:t>[PERCENTAGE]</a:t>
                    </a:fld>
                    <a:endParaRPr lang="en-US" baseline="0"/>
                  </a:p>
                </c:rich>
              </c:tx>
              <c:showLegendKey val="1"/>
              <c:showVal val="1"/>
              <c:showCatName val="1"/>
              <c:showSerName val="0"/>
              <c:showPercent val="1"/>
              <c:showBubbleSize val="0"/>
              <c:separator>, </c:separator>
              <c:extLst>
                <c:ext xmlns:c15="http://schemas.microsoft.com/office/drawing/2012/chart" uri="{CE6537A1-D6FC-4f65-9D91-7224C49458BB}">
                  <c15:layout>
                    <c:manualLayout>
                      <c:w val="0.27009904564221698"/>
                      <c:h val="0.147094690086816"/>
                    </c:manualLayout>
                  </c15:layout>
                  <c15:dlblFieldTable/>
                  <c15:showDataLabelsRange val="0"/>
                </c:ext>
              </c:extLst>
            </c:dLbl>
            <c:dLbl>
              <c:idx val="3"/>
              <c:layout>
                <c:manualLayout>
                  <c:x val="-4.5383510442283503E-2"/>
                  <c:y val="-0.136855628089224"/>
                </c:manualLayout>
              </c:layou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8297-420A-A7E2-2A10A74D3E84}"/>
                </c:ext>
                <c:ext xmlns:c15="http://schemas.microsoft.com/office/drawing/2012/chart" uri="{CE6537A1-D6FC-4f65-9D91-7224C49458BB}"/>
              </c:extLst>
            </c:dLbl>
            <c:spPr>
              <a:noFill/>
              <a:ln>
                <a:noFill/>
              </a:ln>
              <a:effectLst/>
            </c:spPr>
            <c:txPr>
              <a:bodyPr rot="0" spcFirstLastPara="1" vertOverflow="clip" horzOverflow="clip" vert="horz" wrap="square" lIns="0" tIns="0" rIns="0" bIns="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'[IMAC-Follow-up_of_IMAC_Recommendations-rev02-160514.xlsx]statistics'!$A$34:$A$36</c:f>
              <c:strCache>
                <c:ptCount val="3"/>
                <c:pt idx="0">
                  <c:v>Implemented</c:v>
                </c:pt>
                <c:pt idx="1">
                  <c:v>In progress</c:v>
                </c:pt>
                <c:pt idx="2">
                  <c:v>Not accepted</c:v>
                </c:pt>
              </c:strCache>
            </c:strRef>
          </c:cat>
          <c:val>
            <c:numRef>
              <c:f>'[IMAC-Follow-up_of_IMAC_Recommendations-rev02-160514.xlsx]statistics'!$B$34:$B$36</c:f>
              <c:numCache>
                <c:formatCode>General</c:formatCode>
                <c:ptCount val="3"/>
                <c:pt idx="0">
                  <c:v>5</c:v>
                </c:pt>
                <c:pt idx="1">
                  <c:v>1</c:v>
                </c:pt>
                <c:pt idx="2">
                  <c:v>0</c:v>
                </c:pt>
              </c:numCache>
            </c:numRef>
          </c:val>
          <c:extLst xmlns:c16r2="http://schemas.microsoft.com/office/drawing/2015/06/chart">
            <c:ext xmlns:c16="http://schemas.microsoft.com/office/drawing/2014/chart" uri="{C3380CC4-5D6E-409C-BE32-E72D297353CC}">
              <c16:uniqueId val="{00000008-8297-420A-A7E2-2A10A74D3E84}"/>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615F-4D10-49C2-A4F6-3BA72384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PS_C17.dotx</Template>
  <TotalTime>72</TotalTime>
  <Pages>11</Pages>
  <Words>4203</Words>
  <Characters>22350</Characters>
  <Application>Microsoft Office Word</Application>
  <DocSecurity>0</DocSecurity>
  <Lines>186</Lines>
  <Paragraphs>52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26501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FHernández</dc:creator>
  <cp:keywords>C2010, C10</cp:keywords>
  <dc:description>Documento C17/-S  Para: _x000d_Fecha del documento: enero de 2017_x000d_Registrado por ITU51009317 a 15:32:38 el 06/04/2017</dc:description>
  <cp:lastModifiedBy>FHernández</cp:lastModifiedBy>
  <cp:revision>12</cp:revision>
  <cp:lastPrinted>2017-05-18T09:14:00Z</cp:lastPrinted>
  <dcterms:created xsi:type="dcterms:W3CDTF">2017-05-18T08:32:00Z</dcterms:created>
  <dcterms:modified xsi:type="dcterms:W3CDTF">2017-05-18T12:44:00Z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