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90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520F36" w:rsidRPr="0092392D">
        <w:trPr>
          <w:cantSplit/>
        </w:trPr>
        <w:tc>
          <w:tcPr>
            <w:tcW w:w="6912" w:type="dxa"/>
          </w:tcPr>
          <w:p w:rsidR="00520F36" w:rsidRPr="0092392D" w:rsidRDefault="00520F36" w:rsidP="000B0BEF">
            <w:pPr>
              <w:rPr>
                <w:lang w:val="fr-CH"/>
              </w:rPr>
            </w:pPr>
            <w:bookmarkStart w:id="0" w:name="dc06"/>
            <w:bookmarkEnd w:id="0"/>
            <w:r w:rsidRPr="00520F36">
              <w:rPr>
                <w:b/>
                <w:bCs/>
                <w:sz w:val="30"/>
                <w:szCs w:val="30"/>
                <w:lang w:val="fr-CH"/>
              </w:rPr>
              <w:t>Conseil 2017</w:t>
            </w:r>
            <w:r w:rsidRPr="00520F36">
              <w:rPr>
                <w:rFonts w:ascii="Verdana" w:hAnsi="Verdana"/>
                <w:b/>
                <w:bCs/>
                <w:sz w:val="26"/>
                <w:szCs w:val="26"/>
                <w:lang w:val="fr-CH"/>
              </w:rPr>
              <w:br/>
            </w:r>
            <w:r w:rsidRPr="00520F36">
              <w:rPr>
                <w:b/>
                <w:bCs/>
                <w:szCs w:val="24"/>
                <w:lang w:val="fr-CH"/>
              </w:rPr>
              <w:t>Gen</w:t>
            </w:r>
            <w:r w:rsidRPr="00520F36">
              <w:rPr>
                <w:b/>
                <w:bCs/>
                <w:szCs w:val="24"/>
                <w:lang w:val="en-US"/>
              </w:rPr>
              <w:t>ève</w:t>
            </w:r>
            <w:r w:rsidRPr="00520F36">
              <w:rPr>
                <w:b/>
                <w:bCs/>
                <w:szCs w:val="24"/>
                <w:lang w:val="fr-CH"/>
              </w:rPr>
              <w:t>, 15-25 mai 2017</w:t>
            </w:r>
          </w:p>
        </w:tc>
        <w:tc>
          <w:tcPr>
            <w:tcW w:w="3261" w:type="dxa"/>
          </w:tcPr>
          <w:p w:rsidR="00520F36" w:rsidRPr="0092392D" w:rsidRDefault="00520F36" w:rsidP="000B0BEF">
            <w:pPr>
              <w:rPr>
                <w:lang w:val="fr-CH"/>
              </w:rPr>
            </w:pPr>
            <w:bookmarkStart w:id="1" w:name="ditulogo"/>
            <w:bookmarkEnd w:id="1"/>
            <w:r w:rsidRPr="00520F36">
              <w:rPr>
                <w:rFonts w:cstheme="minorHAnsi"/>
                <w:b/>
                <w:bCs/>
                <w:noProof/>
                <w:lang w:val="en-US" w:eastAsia="zh-CN"/>
              </w:rPr>
              <w:drawing>
                <wp:inline distT="0" distB="0" distL="0" distR="0" wp14:anchorId="483F5B98" wp14:editId="41A9B441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0F36" w:rsidRPr="0092392D" w:rsidTr="004C6E0F">
        <w:trPr>
          <w:cantSplit/>
          <w:trHeight w:val="20"/>
        </w:trPr>
        <w:tc>
          <w:tcPr>
            <w:tcW w:w="6912" w:type="dxa"/>
            <w:tcBorders>
              <w:bottom w:val="single" w:sz="12" w:space="0" w:color="auto"/>
            </w:tcBorders>
            <w:vAlign w:val="center"/>
          </w:tcPr>
          <w:p w:rsidR="00520F36" w:rsidRPr="00361350" w:rsidRDefault="00520F36" w:rsidP="000B0BEF">
            <w:pPr>
              <w:rPr>
                <w:b/>
                <w:bCs/>
                <w:sz w:val="26"/>
                <w:szCs w:val="26"/>
                <w:lang w:val="fr-CH"/>
              </w:rPr>
            </w:pP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:rsidR="00520F36" w:rsidRPr="0092392D" w:rsidRDefault="00520F36" w:rsidP="000B0BEF">
            <w:pPr>
              <w:rPr>
                <w:b/>
                <w:bCs/>
              </w:rPr>
            </w:pP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520F36" w:rsidRPr="0092392D" w:rsidRDefault="00520F36" w:rsidP="000B0BEF">
            <w:pPr>
              <w:rPr>
                <w:smallCaps/>
                <w:sz w:val="22"/>
                <w:lang w:val="fr-CH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520F36" w:rsidRPr="0092392D" w:rsidRDefault="00520F36" w:rsidP="000B0BEF">
            <w:pPr>
              <w:rPr>
                <w:b/>
                <w:bCs/>
              </w:rPr>
            </w:pP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vMerge w:val="restart"/>
          </w:tcPr>
          <w:p w:rsidR="00520F36" w:rsidRPr="00520F36" w:rsidRDefault="00B966B4" w:rsidP="003D2B40">
            <w:pPr>
              <w:rPr>
                <w:rFonts w:cs="Times"/>
                <w:b/>
                <w:bCs/>
                <w:szCs w:val="24"/>
                <w:lang w:val="fr-CH"/>
              </w:rPr>
            </w:pPr>
            <w:bookmarkStart w:id="2" w:name="dnum" w:colFirst="1" w:colLast="1"/>
            <w:bookmarkStart w:id="3" w:name="dmeeting" w:colFirst="0" w:colLast="0"/>
            <w:r>
              <w:rPr>
                <w:rFonts w:cs="Times"/>
                <w:b/>
                <w:bCs/>
                <w:szCs w:val="24"/>
                <w:lang w:val="fr-CH"/>
              </w:rPr>
              <w:t>Point de l</w:t>
            </w:r>
            <w:r w:rsidR="003D2B40">
              <w:rPr>
                <w:rFonts w:cs="Times"/>
                <w:b/>
                <w:bCs/>
                <w:szCs w:val="24"/>
                <w:lang w:val="fr-CH"/>
              </w:rPr>
              <w:t>'</w:t>
            </w:r>
            <w:r>
              <w:rPr>
                <w:rFonts w:cs="Times"/>
                <w:b/>
                <w:bCs/>
                <w:szCs w:val="24"/>
                <w:lang w:val="fr-CH"/>
              </w:rPr>
              <w:t>ordre du jour:</w:t>
            </w:r>
            <w:r w:rsidR="003927FB">
              <w:rPr>
                <w:rFonts w:cs="Times"/>
                <w:b/>
                <w:bCs/>
                <w:szCs w:val="24"/>
                <w:lang w:val="fr-CH"/>
              </w:rPr>
              <w:t xml:space="preserve"> </w:t>
            </w:r>
            <w:r>
              <w:rPr>
                <w:rFonts w:cs="Times"/>
                <w:b/>
                <w:bCs/>
                <w:szCs w:val="24"/>
                <w:lang w:val="fr-CH"/>
              </w:rPr>
              <w:t xml:space="preserve">ADM 8 </w:t>
            </w:r>
          </w:p>
        </w:tc>
        <w:tc>
          <w:tcPr>
            <w:tcW w:w="3261" w:type="dxa"/>
          </w:tcPr>
          <w:p w:rsidR="00520F36" w:rsidRPr="00520F36" w:rsidRDefault="00520F36" w:rsidP="000B0BEF">
            <w:pPr>
              <w:rPr>
                <w:b/>
                <w:bCs/>
              </w:rPr>
            </w:pPr>
            <w:r>
              <w:rPr>
                <w:b/>
                <w:bCs/>
              </w:rPr>
              <w:t>Document C17/</w:t>
            </w:r>
            <w:r w:rsidR="00083A9D">
              <w:rPr>
                <w:b/>
                <w:bCs/>
              </w:rPr>
              <w:t>22</w:t>
            </w:r>
            <w:r>
              <w:rPr>
                <w:b/>
                <w:bCs/>
              </w:rPr>
              <w:t>-F</w:t>
            </w: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vMerge/>
          </w:tcPr>
          <w:p w:rsidR="00520F36" w:rsidRPr="0092392D" w:rsidRDefault="00520F36" w:rsidP="000B0BEF">
            <w:pPr>
              <w:rPr>
                <w:smallCaps/>
                <w:lang w:val="fr-CH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261" w:type="dxa"/>
          </w:tcPr>
          <w:p w:rsidR="00520F36" w:rsidRPr="00520F36" w:rsidRDefault="00B03BB9" w:rsidP="000B0BE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17 </w:t>
            </w:r>
            <w:r w:rsidR="00083A9D">
              <w:rPr>
                <w:b/>
                <w:bCs/>
              </w:rPr>
              <w:t>mai</w:t>
            </w:r>
            <w:r w:rsidR="00520F36">
              <w:rPr>
                <w:b/>
                <w:bCs/>
              </w:rPr>
              <w:t xml:space="preserve"> 2017</w:t>
            </w: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vMerge/>
          </w:tcPr>
          <w:p w:rsidR="00520F36" w:rsidRPr="0092392D" w:rsidRDefault="00520F36" w:rsidP="000B0BEF">
            <w:pPr>
              <w:rPr>
                <w:smallCaps/>
                <w:lang w:val="fr-CH"/>
              </w:rPr>
            </w:pPr>
            <w:bookmarkStart w:id="5" w:name="dorlang" w:colFirst="1" w:colLast="1"/>
            <w:bookmarkEnd w:id="4"/>
          </w:p>
        </w:tc>
        <w:tc>
          <w:tcPr>
            <w:tcW w:w="3261" w:type="dxa"/>
          </w:tcPr>
          <w:p w:rsidR="00520F36" w:rsidRPr="00520F36" w:rsidRDefault="00520F36" w:rsidP="000B0BEF">
            <w:pPr>
              <w:rPr>
                <w:b/>
                <w:bCs/>
              </w:rPr>
            </w:pPr>
            <w:r>
              <w:rPr>
                <w:b/>
                <w:bCs/>
              </w:rPr>
              <w:t>Original: anglais</w:t>
            </w:r>
          </w:p>
        </w:tc>
      </w:tr>
      <w:tr w:rsidR="00520F36" w:rsidRPr="0092392D">
        <w:trPr>
          <w:cantSplit/>
        </w:trPr>
        <w:tc>
          <w:tcPr>
            <w:tcW w:w="10173" w:type="dxa"/>
            <w:gridSpan w:val="2"/>
          </w:tcPr>
          <w:p w:rsidR="00520F36" w:rsidRPr="0092392D" w:rsidRDefault="00083A9D" w:rsidP="000B0BEF">
            <w:pPr>
              <w:pStyle w:val="Source"/>
            </w:pPr>
            <w:bookmarkStart w:id="6" w:name="dsource" w:colFirst="0" w:colLast="0"/>
            <w:bookmarkEnd w:id="5"/>
            <w:r>
              <w:t>Rapport du Secrétaire général</w:t>
            </w:r>
          </w:p>
        </w:tc>
      </w:tr>
      <w:tr w:rsidR="00520F36" w:rsidRPr="00E778FD">
        <w:trPr>
          <w:cantSplit/>
        </w:trPr>
        <w:tc>
          <w:tcPr>
            <w:tcW w:w="10173" w:type="dxa"/>
            <w:gridSpan w:val="2"/>
          </w:tcPr>
          <w:p w:rsidR="00520F36" w:rsidRPr="00E778FD" w:rsidRDefault="00E778FD" w:rsidP="000B0BEF">
            <w:pPr>
              <w:pStyle w:val="Title1"/>
              <w:rPr>
                <w:lang w:val="fr-CH"/>
              </w:rPr>
            </w:pPr>
            <w:bookmarkStart w:id="7" w:name="dtitle1" w:colFirst="0" w:colLast="0"/>
            <w:bookmarkEnd w:id="6"/>
            <w:r>
              <w:rPr>
                <w:lang w:val="fr-CH"/>
              </w:rPr>
              <w:t>Sixième</w:t>
            </w:r>
            <w:r w:rsidRPr="00F53DDC">
              <w:rPr>
                <w:lang w:val="fr-CH"/>
              </w:rPr>
              <w:t xml:space="preserve"> RAPPORT ANNUEL DU COMIT</w:t>
            </w:r>
            <w:r>
              <w:rPr>
                <w:lang w:val="fr-CH"/>
              </w:rPr>
              <w:t>é CONSULTATIF INDé</w:t>
            </w:r>
            <w:r w:rsidRPr="00F53DDC">
              <w:rPr>
                <w:lang w:val="fr-CH"/>
              </w:rPr>
              <w:t>PENDAN</w:t>
            </w:r>
            <w:r>
              <w:rPr>
                <w:lang w:val="fr-CH"/>
              </w:rPr>
              <w:t>T</w:t>
            </w:r>
            <w:r w:rsidRPr="00F53DDC">
              <w:rPr>
                <w:lang w:val="fr-CH"/>
              </w:rPr>
              <w:t xml:space="preserve"> </w:t>
            </w:r>
            <w:r>
              <w:rPr>
                <w:lang w:val="fr-CH"/>
              </w:rPr>
              <w:br/>
            </w:r>
            <w:r w:rsidRPr="00F53DDC">
              <w:rPr>
                <w:lang w:val="fr-CH"/>
              </w:rPr>
              <w:t>POUR LES QUESTIONS DE GESTION (CCIG)</w:t>
            </w:r>
          </w:p>
        </w:tc>
      </w:tr>
      <w:bookmarkEnd w:id="7"/>
    </w:tbl>
    <w:p w:rsidR="00774CF8" w:rsidRDefault="00774CF8" w:rsidP="00326BBB">
      <w:pPr>
        <w:spacing w:before="360"/>
        <w:rPr>
          <w:lang w:val="fr-CH"/>
        </w:rPr>
      </w:pPr>
    </w:p>
    <w:p w:rsidR="00083A9D" w:rsidRPr="00E778FD" w:rsidRDefault="00E778FD" w:rsidP="00326BBB">
      <w:pPr>
        <w:spacing w:before="360"/>
        <w:rPr>
          <w:rFonts w:asciiTheme="minorHAnsi" w:hAnsiTheme="minorHAnsi"/>
          <w:b/>
          <w:szCs w:val="24"/>
          <w:lang w:val="fr-CH" w:eastAsia="zh-CN"/>
        </w:rPr>
      </w:pPr>
      <w:r w:rsidRPr="00F53DDC">
        <w:rPr>
          <w:lang w:val="fr-CH"/>
        </w:rPr>
        <w:t>J</w:t>
      </w:r>
      <w:r w:rsidR="003D2B40">
        <w:rPr>
          <w:lang w:val="fr-CH"/>
        </w:rPr>
        <w:t>'</w:t>
      </w:r>
      <w:r w:rsidRPr="00F53DDC">
        <w:rPr>
          <w:lang w:val="fr-CH"/>
        </w:rPr>
        <w:t>ai l</w:t>
      </w:r>
      <w:r w:rsidR="003D2B40">
        <w:rPr>
          <w:lang w:val="fr-CH"/>
        </w:rPr>
        <w:t>'</w:t>
      </w:r>
      <w:r w:rsidRPr="00F53DDC">
        <w:rPr>
          <w:lang w:val="fr-CH"/>
        </w:rPr>
        <w:t xml:space="preserve">honneur de </w:t>
      </w:r>
      <w:r w:rsidR="000B0BEF">
        <w:rPr>
          <w:lang w:val="fr-CH"/>
        </w:rPr>
        <w:t>transmettre</w:t>
      </w:r>
      <w:r w:rsidRPr="00F53DDC">
        <w:rPr>
          <w:lang w:val="fr-CH"/>
        </w:rPr>
        <w:t xml:space="preserve"> aux Etats Membres du Conseil un rapport </w:t>
      </w:r>
      <w:r w:rsidR="000B0BEF">
        <w:rPr>
          <w:lang w:val="fr-CH"/>
        </w:rPr>
        <w:t xml:space="preserve">de la </w:t>
      </w:r>
      <w:r w:rsidRPr="00F53DDC">
        <w:rPr>
          <w:lang w:val="fr-CH"/>
        </w:rPr>
        <w:t>Président</w:t>
      </w:r>
      <w:r w:rsidR="000B0BEF">
        <w:rPr>
          <w:lang w:val="fr-CH"/>
        </w:rPr>
        <w:t>e</w:t>
      </w:r>
      <w:r w:rsidRPr="00F53DDC">
        <w:rPr>
          <w:lang w:val="fr-CH"/>
        </w:rPr>
        <w:t xml:space="preserve"> du Comité consultatif indépendant pour les questions de gestion (CCIG).</w:t>
      </w:r>
    </w:p>
    <w:p w:rsidR="00083A9D" w:rsidRPr="00B966B4" w:rsidRDefault="0008412C" w:rsidP="000B0BEF">
      <w:pPr>
        <w:tabs>
          <w:tab w:val="center" w:pos="6521"/>
        </w:tabs>
        <w:spacing w:before="1440"/>
        <w:rPr>
          <w:rFonts w:asciiTheme="minorHAnsi" w:hAnsiTheme="minorHAnsi"/>
          <w:szCs w:val="24"/>
          <w:lang w:val="fr-CH" w:eastAsia="zh-CN"/>
        </w:rPr>
      </w:pPr>
      <w:r>
        <w:rPr>
          <w:rFonts w:asciiTheme="minorHAnsi" w:hAnsiTheme="minorHAnsi"/>
          <w:szCs w:val="24"/>
          <w:lang w:val="fr-CH" w:eastAsia="zh-CN"/>
        </w:rPr>
        <w:tab/>
      </w:r>
      <w:r>
        <w:rPr>
          <w:rFonts w:asciiTheme="minorHAnsi" w:hAnsiTheme="minorHAnsi"/>
          <w:szCs w:val="24"/>
          <w:lang w:val="fr-CH" w:eastAsia="zh-CN"/>
        </w:rPr>
        <w:tab/>
      </w:r>
      <w:r>
        <w:rPr>
          <w:rFonts w:asciiTheme="minorHAnsi" w:hAnsiTheme="minorHAnsi"/>
          <w:szCs w:val="24"/>
          <w:lang w:val="fr-CH" w:eastAsia="zh-CN"/>
        </w:rPr>
        <w:tab/>
      </w:r>
      <w:r>
        <w:rPr>
          <w:rFonts w:asciiTheme="minorHAnsi" w:hAnsiTheme="minorHAnsi"/>
          <w:szCs w:val="24"/>
          <w:lang w:val="fr-CH" w:eastAsia="zh-CN"/>
        </w:rPr>
        <w:tab/>
      </w:r>
      <w:r>
        <w:rPr>
          <w:rFonts w:asciiTheme="minorHAnsi" w:hAnsiTheme="minorHAnsi"/>
          <w:szCs w:val="24"/>
          <w:lang w:val="fr-CH" w:eastAsia="zh-CN"/>
        </w:rPr>
        <w:tab/>
      </w:r>
      <w:r w:rsidR="00083A9D" w:rsidRPr="00E778FD">
        <w:rPr>
          <w:rFonts w:asciiTheme="minorHAnsi" w:hAnsiTheme="minorHAnsi"/>
          <w:szCs w:val="24"/>
          <w:lang w:val="fr-CH" w:eastAsia="zh-CN"/>
        </w:rPr>
        <w:tab/>
      </w:r>
      <w:r w:rsidR="00083A9D" w:rsidRPr="00B966B4">
        <w:rPr>
          <w:rFonts w:asciiTheme="minorHAnsi" w:hAnsiTheme="minorHAnsi"/>
          <w:szCs w:val="24"/>
          <w:lang w:val="fr-CH" w:eastAsia="zh-CN"/>
        </w:rPr>
        <w:t>Houlin ZHAO</w:t>
      </w:r>
      <w:r w:rsidR="00083A9D" w:rsidRPr="00B966B4">
        <w:rPr>
          <w:rFonts w:asciiTheme="minorHAnsi" w:hAnsiTheme="minorHAnsi"/>
          <w:szCs w:val="24"/>
          <w:lang w:val="fr-CH" w:eastAsia="zh-CN"/>
        </w:rPr>
        <w:br/>
      </w:r>
      <w:r w:rsidRPr="00B966B4">
        <w:rPr>
          <w:rFonts w:asciiTheme="minorHAnsi" w:hAnsiTheme="minorHAnsi"/>
          <w:szCs w:val="24"/>
          <w:lang w:val="fr-CH" w:eastAsia="zh-CN"/>
        </w:rPr>
        <w:tab/>
      </w:r>
      <w:r w:rsidRPr="00B966B4">
        <w:rPr>
          <w:rFonts w:asciiTheme="minorHAnsi" w:hAnsiTheme="minorHAnsi"/>
          <w:szCs w:val="24"/>
          <w:lang w:val="fr-CH" w:eastAsia="zh-CN"/>
        </w:rPr>
        <w:tab/>
      </w:r>
      <w:r w:rsidRPr="00B966B4">
        <w:rPr>
          <w:rFonts w:asciiTheme="minorHAnsi" w:hAnsiTheme="minorHAnsi"/>
          <w:szCs w:val="24"/>
          <w:lang w:val="fr-CH" w:eastAsia="zh-CN"/>
        </w:rPr>
        <w:tab/>
      </w:r>
      <w:r w:rsidRPr="00B966B4">
        <w:rPr>
          <w:rFonts w:asciiTheme="minorHAnsi" w:hAnsiTheme="minorHAnsi"/>
          <w:szCs w:val="24"/>
          <w:lang w:val="fr-CH" w:eastAsia="zh-CN"/>
        </w:rPr>
        <w:tab/>
      </w:r>
      <w:r w:rsidRPr="00B966B4">
        <w:rPr>
          <w:rFonts w:asciiTheme="minorHAnsi" w:hAnsiTheme="minorHAnsi"/>
          <w:szCs w:val="24"/>
          <w:lang w:val="fr-CH" w:eastAsia="zh-CN"/>
        </w:rPr>
        <w:tab/>
      </w:r>
      <w:r w:rsidR="00083A9D" w:rsidRPr="00B966B4">
        <w:rPr>
          <w:rFonts w:asciiTheme="minorHAnsi" w:hAnsiTheme="minorHAnsi"/>
          <w:szCs w:val="24"/>
          <w:lang w:val="fr-CH" w:eastAsia="zh-CN"/>
        </w:rPr>
        <w:tab/>
      </w:r>
      <w:r w:rsidR="00B966B4">
        <w:rPr>
          <w:rFonts w:asciiTheme="minorHAnsi" w:hAnsiTheme="minorHAnsi"/>
          <w:szCs w:val="24"/>
          <w:lang w:val="fr-CH" w:eastAsia="zh-CN"/>
        </w:rPr>
        <w:t>Secrétaire général</w:t>
      </w:r>
    </w:p>
    <w:p w:rsidR="00083A9D" w:rsidRPr="00B966B4" w:rsidRDefault="00083A9D" w:rsidP="001020E4">
      <w:pPr>
        <w:spacing w:line="480" w:lineRule="auto"/>
        <w:rPr>
          <w:lang w:val="fr-CH"/>
        </w:rPr>
      </w:pPr>
      <w:r w:rsidRPr="00B966B4">
        <w:rPr>
          <w:lang w:val="fr-CH"/>
        </w:rPr>
        <w:br w:type="page"/>
      </w:r>
    </w:p>
    <w:p w:rsidR="00083A9D" w:rsidRPr="00E778FD" w:rsidRDefault="00E778FD" w:rsidP="000B0BEF">
      <w:pPr>
        <w:pStyle w:val="Title1"/>
        <w:spacing w:after="240"/>
        <w:rPr>
          <w:lang w:val="fr-CH"/>
        </w:rPr>
      </w:pPr>
      <w:r w:rsidRPr="00E778FD">
        <w:rPr>
          <w:lang w:val="fr-CH"/>
        </w:rPr>
        <w:lastRenderedPageBreak/>
        <w:t xml:space="preserve">SIXIÈME RAPPORT ANNUEL DU COMITÉ CONSULTATIF INDÉPENDANT </w:t>
      </w:r>
      <w:r w:rsidRPr="00E778FD">
        <w:rPr>
          <w:lang w:val="fr-CH"/>
        </w:rPr>
        <w:br/>
        <w:t>POUR LES QUESTIONS DE GESTION (CCIG)</w:t>
      </w: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520F36" w:rsidRPr="00083A9D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0F36" w:rsidRPr="00B966B4" w:rsidRDefault="00520F36" w:rsidP="000B0BEF">
            <w:pPr>
              <w:pStyle w:val="Headingb"/>
              <w:rPr>
                <w:lang w:val="fr-CH"/>
              </w:rPr>
            </w:pPr>
            <w:r w:rsidRPr="00B966B4">
              <w:rPr>
                <w:lang w:val="fr-CH"/>
              </w:rPr>
              <w:t>Résumé</w:t>
            </w:r>
          </w:p>
          <w:p w:rsidR="00520F36" w:rsidRDefault="00E778FD" w:rsidP="000B0BEF">
            <w:pPr>
              <w:rPr>
                <w:rFonts w:asciiTheme="minorHAnsi" w:hAnsiTheme="minorHAnsi"/>
                <w:szCs w:val="24"/>
                <w:lang w:val="fr-CH"/>
              </w:rPr>
            </w:pPr>
            <w:r w:rsidRPr="00F53DDC">
              <w:rPr>
                <w:lang w:val="fr-CH"/>
              </w:rPr>
              <w:t>Le présent document constitue le rapport annuel que le Comité consultatif indépendant pour les questions de gestion (CCIG) soumet au Conseil de l</w:t>
            </w:r>
            <w:r w:rsidR="003D2B40">
              <w:rPr>
                <w:lang w:val="fr-CH"/>
              </w:rPr>
              <w:t>'</w:t>
            </w:r>
            <w:r w:rsidR="003927FB">
              <w:rPr>
                <w:lang w:val="fr-CH"/>
              </w:rPr>
              <w:t>UIT. Ce </w:t>
            </w:r>
            <w:r w:rsidRPr="00F53DDC">
              <w:rPr>
                <w:lang w:val="fr-CH"/>
              </w:rPr>
              <w:t>rapport contient les conclusions et les recommandations qu</w:t>
            </w:r>
            <w:r w:rsidR="003D2B40">
              <w:rPr>
                <w:lang w:val="fr-CH"/>
              </w:rPr>
              <w:t>'</w:t>
            </w:r>
            <w:r w:rsidRPr="00F53DDC">
              <w:rPr>
                <w:lang w:val="fr-CH"/>
              </w:rPr>
              <w:t>il a formulées, conformément à son mandat, concernant la fonction d</w:t>
            </w:r>
            <w:r w:rsidR="003D2B40">
              <w:rPr>
                <w:lang w:val="fr-CH"/>
              </w:rPr>
              <w:t>'</w:t>
            </w:r>
            <w:r w:rsidRPr="00F53DDC">
              <w:rPr>
                <w:lang w:val="fr-CH"/>
              </w:rPr>
              <w:t>audit interne, la gestion des risques et les contrôles internes, les états</w:t>
            </w:r>
            <w:r>
              <w:rPr>
                <w:lang w:val="fr-CH"/>
              </w:rPr>
              <w:t xml:space="preserve"> financiers, la comptabilité, </w:t>
            </w:r>
            <w:r w:rsidRPr="00F53DDC">
              <w:rPr>
                <w:lang w:val="fr-CH"/>
              </w:rPr>
              <w:t xml:space="preserve">la vérification extérieure des comptes et </w:t>
            </w:r>
            <w:r>
              <w:rPr>
                <w:lang w:val="fr-CH"/>
              </w:rPr>
              <w:t>l</w:t>
            </w:r>
            <w:r w:rsidR="003D2B40">
              <w:rPr>
                <w:lang w:val="fr-CH"/>
              </w:rPr>
              <w:t>'</w:t>
            </w:r>
            <w:r>
              <w:rPr>
                <w:lang w:val="fr-CH"/>
              </w:rPr>
              <w:t>évaluation, en vue de leur examen par le Conseil</w:t>
            </w:r>
            <w:r w:rsidRPr="00C905A3">
              <w:rPr>
                <w:rFonts w:asciiTheme="minorHAnsi" w:hAnsiTheme="minorHAnsi"/>
                <w:szCs w:val="24"/>
                <w:lang w:val="fr-CH"/>
              </w:rPr>
              <w:t>.</w:t>
            </w:r>
          </w:p>
          <w:p w:rsidR="00E778FD" w:rsidRPr="00AE1B56" w:rsidRDefault="00E778FD" w:rsidP="000B0BEF">
            <w:pPr>
              <w:rPr>
                <w:rFonts w:asciiTheme="minorHAnsi" w:hAnsiTheme="minorHAnsi"/>
                <w:szCs w:val="24"/>
                <w:lang w:val="fr-CH"/>
              </w:rPr>
            </w:pPr>
            <w:r w:rsidRPr="00C905A3">
              <w:rPr>
                <w:lang w:val="fr-CH"/>
              </w:rPr>
              <w:t xml:space="preserve">Dans ce </w:t>
            </w:r>
            <w:r>
              <w:rPr>
                <w:lang w:val="fr-CH"/>
              </w:rPr>
              <w:t>sixième</w:t>
            </w:r>
            <w:r w:rsidRPr="00C905A3">
              <w:rPr>
                <w:lang w:val="fr-CH"/>
              </w:rPr>
              <w:t xml:space="preserve"> rapport annuel qu</w:t>
            </w:r>
            <w:r w:rsidR="003D2B40">
              <w:rPr>
                <w:lang w:val="fr-CH"/>
              </w:rPr>
              <w:t>'</w:t>
            </w:r>
            <w:r w:rsidRPr="00C905A3">
              <w:rPr>
                <w:lang w:val="fr-CH"/>
              </w:rPr>
              <w:t>il soumet au Conseil de l</w:t>
            </w:r>
            <w:r w:rsidR="003D2B40">
              <w:rPr>
                <w:lang w:val="fr-CH"/>
              </w:rPr>
              <w:t>'</w:t>
            </w:r>
            <w:r w:rsidRPr="00C905A3">
              <w:rPr>
                <w:lang w:val="fr-CH"/>
              </w:rPr>
              <w:t xml:space="preserve">UIT, le </w:t>
            </w:r>
            <w:r w:rsidR="000B0BEF">
              <w:rPr>
                <w:lang w:val="fr-CH"/>
              </w:rPr>
              <w:t>CCIG</w:t>
            </w:r>
            <w:r w:rsidRPr="00C905A3">
              <w:rPr>
                <w:lang w:val="fr-CH"/>
              </w:rPr>
              <w:t xml:space="preserve"> fait le point des sujets qu</w:t>
            </w:r>
            <w:r w:rsidR="003D2B40">
              <w:rPr>
                <w:lang w:val="fr-CH"/>
              </w:rPr>
              <w:t>'</w:t>
            </w:r>
            <w:r w:rsidRPr="00C905A3">
              <w:rPr>
                <w:lang w:val="fr-CH"/>
              </w:rPr>
              <w:t>il a traités et des act</w:t>
            </w:r>
            <w:r>
              <w:rPr>
                <w:lang w:val="fr-CH"/>
              </w:rPr>
              <w:t>ivités qu</w:t>
            </w:r>
            <w:r w:rsidR="003D2B40">
              <w:rPr>
                <w:lang w:val="fr-CH"/>
              </w:rPr>
              <w:t>'</w:t>
            </w:r>
            <w:r>
              <w:rPr>
                <w:lang w:val="fr-CH"/>
              </w:rPr>
              <w:t xml:space="preserve">il a </w:t>
            </w:r>
            <w:r w:rsidR="00B966B4">
              <w:rPr>
                <w:lang w:val="fr-CH"/>
              </w:rPr>
              <w:t xml:space="preserve">menées </w:t>
            </w:r>
            <w:r>
              <w:rPr>
                <w:lang w:val="fr-CH"/>
              </w:rPr>
              <w:t>depuis juin 2016</w:t>
            </w:r>
            <w:r w:rsidRPr="00C905A3">
              <w:rPr>
                <w:lang w:val="fr-CH"/>
              </w:rPr>
              <w:t>. Il présente des recommandations concrètes, dans le but d</w:t>
            </w:r>
            <w:r w:rsidR="003D2B40">
              <w:rPr>
                <w:lang w:val="fr-CH"/>
              </w:rPr>
              <w:t>'</w:t>
            </w:r>
            <w:r w:rsidRPr="00C905A3">
              <w:rPr>
                <w:lang w:val="fr-CH"/>
              </w:rPr>
              <w:t xml:space="preserve">améliorer les modalités relatives </w:t>
            </w:r>
            <w:r w:rsidR="000B0BEF">
              <w:rPr>
                <w:lang w:val="fr-CH"/>
              </w:rPr>
              <w:t>à la supervision</w:t>
            </w:r>
            <w:r w:rsidRPr="00C905A3">
              <w:rPr>
                <w:lang w:val="fr-CH"/>
              </w:rPr>
              <w:t xml:space="preserve">, aux contrôles internes et à la gouvernance, afin de mieux répondre aux besoins actuels de </w:t>
            </w:r>
            <w:r w:rsidR="00B966B4">
              <w:rPr>
                <w:lang w:val="fr-CH"/>
              </w:rPr>
              <w:t>l</w:t>
            </w:r>
            <w:r w:rsidR="003D2B40">
              <w:rPr>
                <w:lang w:val="fr-CH"/>
              </w:rPr>
              <w:t>'</w:t>
            </w:r>
            <w:r w:rsidR="00B966B4">
              <w:rPr>
                <w:lang w:val="fr-CH"/>
              </w:rPr>
              <w:t>organisation</w:t>
            </w:r>
            <w:r w:rsidR="003927FB">
              <w:rPr>
                <w:lang w:val="fr-CH"/>
              </w:rPr>
              <w:t>.</w:t>
            </w:r>
          </w:p>
          <w:p w:rsidR="00E778FD" w:rsidRPr="00E778FD" w:rsidRDefault="00E778FD" w:rsidP="003D2B40">
            <w:pPr>
              <w:rPr>
                <w:lang w:val="fr-CH"/>
              </w:rPr>
            </w:pPr>
            <w:r>
              <w:rPr>
                <w:lang w:val="fr-CH"/>
              </w:rPr>
              <w:t>L</w:t>
            </w:r>
            <w:r w:rsidRPr="00C905A3">
              <w:rPr>
                <w:lang w:val="fr-CH"/>
              </w:rPr>
              <w:t>e CCIG invite le Conseil à approuver ses recommandations</w:t>
            </w:r>
            <w:r w:rsidR="00B966B4">
              <w:rPr>
                <w:lang w:val="fr-CH"/>
              </w:rPr>
              <w:t>, afin d</w:t>
            </w:r>
            <w:r w:rsidR="003D2B40">
              <w:rPr>
                <w:lang w:val="fr-CH"/>
              </w:rPr>
              <w:t>'</w:t>
            </w:r>
            <w:r w:rsidR="00B966B4">
              <w:rPr>
                <w:lang w:val="fr-CH"/>
              </w:rPr>
              <w:t>encourager</w:t>
            </w:r>
            <w:r w:rsidR="006C49E3">
              <w:rPr>
                <w:lang w:val="fr-CH"/>
              </w:rPr>
              <w:t xml:space="preserve"> </w:t>
            </w:r>
            <w:r w:rsidR="00B966B4">
              <w:rPr>
                <w:lang w:val="fr-CH"/>
              </w:rPr>
              <w:t>l</w:t>
            </w:r>
            <w:r w:rsidR="003D2B40">
              <w:rPr>
                <w:lang w:val="fr-CH"/>
              </w:rPr>
              <w:t>'</w:t>
            </w:r>
            <w:r w:rsidR="00B966B4">
              <w:rPr>
                <w:lang w:val="fr-CH"/>
              </w:rPr>
              <w:t>adoption</w:t>
            </w:r>
            <w:r w:rsidRPr="00C905A3">
              <w:rPr>
                <w:lang w:val="fr-CH"/>
              </w:rPr>
              <w:t xml:space="preserve"> dans les meilleurs délais</w:t>
            </w:r>
            <w:r w:rsidR="00641152">
              <w:rPr>
                <w:lang w:val="fr-CH"/>
              </w:rPr>
              <w:t xml:space="preserve"> </w:t>
            </w:r>
            <w:r w:rsidRPr="00C905A3">
              <w:rPr>
                <w:lang w:val="fr-CH"/>
              </w:rPr>
              <w:t>de</w:t>
            </w:r>
            <w:r w:rsidR="00796393">
              <w:rPr>
                <w:lang w:val="fr-CH"/>
              </w:rPr>
              <w:t xml:space="preserve"> </w:t>
            </w:r>
            <w:r w:rsidRPr="00C905A3">
              <w:rPr>
                <w:lang w:val="fr-CH"/>
              </w:rPr>
              <w:t>mesures constructives susceptibles de renforcer le principe de responsabilité</w:t>
            </w:r>
            <w:r w:rsidRPr="00C905A3">
              <w:rPr>
                <w:rFonts w:asciiTheme="minorHAnsi" w:hAnsiTheme="minorHAnsi"/>
                <w:szCs w:val="24"/>
                <w:lang w:val="fr-CH"/>
              </w:rPr>
              <w:t>.</w:t>
            </w:r>
          </w:p>
          <w:p w:rsidR="00520F36" w:rsidRPr="00B966B4" w:rsidRDefault="00520F36" w:rsidP="000B0BEF">
            <w:pPr>
              <w:pStyle w:val="Headingb"/>
              <w:rPr>
                <w:lang w:val="fr-CH"/>
              </w:rPr>
            </w:pPr>
            <w:r w:rsidRPr="00B966B4">
              <w:rPr>
                <w:lang w:val="fr-CH"/>
              </w:rPr>
              <w:t>Suite à donner</w:t>
            </w:r>
          </w:p>
          <w:p w:rsidR="00520F36" w:rsidRPr="00E778FD" w:rsidRDefault="00E778FD" w:rsidP="000B0BEF">
            <w:pPr>
              <w:rPr>
                <w:lang w:val="fr-CH"/>
              </w:rPr>
            </w:pPr>
            <w:r w:rsidRPr="00C905A3">
              <w:rPr>
                <w:color w:val="000000"/>
                <w:lang w:val="fr-CH"/>
              </w:rPr>
              <w:t xml:space="preserve">Le Conseil est invité à </w:t>
            </w:r>
            <w:r w:rsidRPr="00C905A3">
              <w:rPr>
                <w:b/>
                <w:bCs/>
                <w:color w:val="000000"/>
                <w:lang w:val="fr-CH"/>
              </w:rPr>
              <w:t>approuver</w:t>
            </w:r>
            <w:r w:rsidRPr="00C905A3">
              <w:rPr>
                <w:color w:val="000000"/>
                <w:lang w:val="fr-CH"/>
              </w:rPr>
              <w:t xml:space="preserve"> le rapport du CCIG et ses recommandations</w:t>
            </w:r>
            <w:r w:rsidRPr="00C905A3">
              <w:rPr>
                <w:rFonts w:asciiTheme="minorHAnsi" w:hAnsiTheme="minorHAnsi"/>
                <w:szCs w:val="24"/>
                <w:lang w:val="fr-CH"/>
              </w:rPr>
              <w:t>.</w:t>
            </w:r>
          </w:p>
          <w:p w:rsidR="00520F36" w:rsidRPr="00B966B4" w:rsidRDefault="00520F36" w:rsidP="006C49E3">
            <w:pPr>
              <w:pStyle w:val="Table"/>
              <w:spacing w:before="240"/>
              <w:rPr>
                <w:rFonts w:ascii="Calibri" w:hAnsi="Calibri"/>
                <w:caps w:val="0"/>
                <w:sz w:val="22"/>
                <w:lang w:val="fr-CH"/>
              </w:rPr>
            </w:pPr>
            <w:r w:rsidRPr="00B966B4">
              <w:rPr>
                <w:rFonts w:ascii="Calibri" w:hAnsi="Calibri"/>
                <w:caps w:val="0"/>
                <w:sz w:val="22"/>
                <w:lang w:val="fr-CH"/>
              </w:rPr>
              <w:t>____________</w:t>
            </w:r>
          </w:p>
          <w:p w:rsidR="00520F36" w:rsidRPr="00B966B4" w:rsidRDefault="00520F36" w:rsidP="000B0BEF">
            <w:pPr>
              <w:pStyle w:val="Headingb"/>
              <w:rPr>
                <w:lang w:val="fr-CH"/>
              </w:rPr>
            </w:pPr>
            <w:r w:rsidRPr="00B966B4">
              <w:rPr>
                <w:lang w:val="fr-CH"/>
              </w:rPr>
              <w:t>Références</w:t>
            </w:r>
          </w:p>
          <w:p w:rsidR="00520F36" w:rsidRPr="006C49E3" w:rsidRDefault="00774CF8" w:rsidP="006C49E3">
            <w:pPr>
              <w:spacing w:after="120"/>
              <w:rPr>
                <w:i/>
                <w:iCs/>
              </w:rPr>
            </w:pPr>
            <w:hyperlink r:id="rId9" w:history="1">
              <w:r w:rsidR="00E778FD" w:rsidRPr="00717D4E">
                <w:rPr>
                  <w:rStyle w:val="Hyperlink"/>
                  <w:i/>
                  <w:iCs/>
                  <w:lang w:val="fr-CH"/>
                </w:rPr>
                <w:t>Résolution 162</w:t>
              </w:r>
            </w:hyperlink>
            <w:r w:rsidR="00E778FD" w:rsidRPr="00717D4E">
              <w:rPr>
                <w:i/>
                <w:iCs/>
                <w:color w:val="000000"/>
                <w:lang w:val="fr-CH"/>
              </w:rPr>
              <w:t xml:space="preserve"> (Rév. Busan, 2014) de la Conférence de plénipotentiaires; </w:t>
            </w:r>
            <w:hyperlink r:id="rId10" w:history="1">
              <w:r w:rsidR="00E778FD" w:rsidRPr="00717D4E">
                <w:rPr>
                  <w:rStyle w:val="Hyperlink"/>
                  <w:i/>
                  <w:iCs/>
                  <w:lang w:val="fr-CH"/>
                </w:rPr>
                <w:t>Décision 565</w:t>
              </w:r>
            </w:hyperlink>
            <w:r w:rsidR="008A1D1D">
              <w:rPr>
                <w:lang w:val="fr-CH"/>
              </w:rPr>
              <w:t xml:space="preserve"> </w:t>
            </w:r>
            <w:r w:rsidR="008A1D1D">
              <w:t>d</w:t>
            </w:r>
            <w:r w:rsidR="006C49E3" w:rsidRPr="006C49E3">
              <w:t>u Conseil</w:t>
            </w:r>
            <w:r w:rsidR="00E778FD" w:rsidRPr="00717D4E">
              <w:rPr>
                <w:i/>
                <w:iCs/>
                <w:color w:val="000000"/>
                <w:lang w:val="fr-CH"/>
              </w:rPr>
              <w:t xml:space="preserve">; </w:t>
            </w:r>
            <w:hyperlink r:id="rId11" w:history="1">
              <w:r w:rsidR="00E778FD" w:rsidRPr="00717D4E">
                <w:rPr>
                  <w:rStyle w:val="Hyperlink"/>
                  <w:i/>
                  <w:iCs/>
                  <w:lang w:val="fr-CH"/>
                </w:rPr>
                <w:t>Document</w:t>
              </w:r>
            </w:hyperlink>
            <w:r w:rsidR="008A1D1D" w:rsidRPr="008A1D1D">
              <w:rPr>
                <w:rStyle w:val="Hyperlink"/>
              </w:rPr>
              <w:t xml:space="preserve"> </w:t>
            </w:r>
            <w:hyperlink r:id="rId12" w:history="1">
              <w:r w:rsidR="00E778FD" w:rsidRPr="00717D4E">
                <w:rPr>
                  <w:rStyle w:val="Hyperlink"/>
                  <w:i/>
                  <w:iCs/>
                  <w:lang w:val="fr-CH"/>
                </w:rPr>
                <w:t>C12/44</w:t>
              </w:r>
            </w:hyperlink>
            <w:r w:rsidR="00E778FD" w:rsidRPr="00717D4E">
              <w:rPr>
                <w:i/>
                <w:iCs/>
                <w:color w:val="000000"/>
                <w:lang w:val="fr-CH"/>
              </w:rPr>
              <w:t xml:space="preserve"> (Premier rapport annuel du CCIG au Conseil); </w:t>
            </w:r>
            <w:hyperlink r:id="rId13" w:history="1">
              <w:r w:rsidR="00E778FD" w:rsidRPr="00717D4E">
                <w:rPr>
                  <w:rStyle w:val="Hyperlink"/>
                  <w:i/>
                  <w:iCs/>
                  <w:lang w:val="fr-CH"/>
                </w:rPr>
                <w:t>Document C13/65 + Corr.1</w:t>
              </w:r>
            </w:hyperlink>
            <w:r w:rsidR="00E778FD" w:rsidRPr="00717D4E">
              <w:rPr>
                <w:i/>
                <w:iCs/>
                <w:color w:val="000000"/>
                <w:lang w:val="fr-CH"/>
              </w:rPr>
              <w:t xml:space="preserve"> (Deuxième rapport annuel du CCIG au Conseil); </w:t>
            </w:r>
            <w:hyperlink r:id="rId14" w:history="1">
              <w:r w:rsidR="00E778FD" w:rsidRPr="00717D4E">
                <w:rPr>
                  <w:rStyle w:val="Hyperlink"/>
                  <w:i/>
                  <w:iCs/>
                  <w:lang w:val="fr-CH"/>
                </w:rPr>
                <w:t>Document C14/22 + Add.1</w:t>
              </w:r>
            </w:hyperlink>
            <w:r w:rsidR="00E778FD" w:rsidRPr="00717D4E">
              <w:rPr>
                <w:i/>
                <w:iCs/>
                <w:color w:val="000000"/>
                <w:lang w:val="fr-CH"/>
              </w:rPr>
              <w:t xml:space="preserve"> Troisième rapport annuel du CCIG au Conseil et </w:t>
            </w:r>
            <w:hyperlink r:id="rId15" w:history="1">
              <w:r w:rsidR="006C49E3">
                <w:rPr>
                  <w:rStyle w:val="Hyperlink"/>
                  <w:i/>
                  <w:iCs/>
                  <w:lang w:val="fr-CH"/>
                </w:rPr>
                <w:t xml:space="preserve">Document C15/22 + Add.1 et </w:t>
              </w:r>
              <w:r w:rsidR="00E778FD" w:rsidRPr="00717D4E">
                <w:rPr>
                  <w:rStyle w:val="Hyperlink"/>
                  <w:i/>
                  <w:iCs/>
                  <w:lang w:val="fr-CH"/>
                </w:rPr>
                <w:t>2</w:t>
              </w:r>
            </w:hyperlink>
            <w:r w:rsidR="00E778FD" w:rsidRPr="00717D4E">
              <w:rPr>
                <w:i/>
                <w:iCs/>
                <w:color w:val="000000"/>
                <w:lang w:val="fr-CH"/>
              </w:rPr>
              <w:t xml:space="preserve"> (Quatrième rapport annuel du CCIG au Conseil).</w:t>
            </w:r>
            <w:r w:rsidR="006C49E3">
              <w:rPr>
                <w:i/>
                <w:iCs/>
                <w:color w:val="000000"/>
                <w:lang w:val="fr-CH"/>
              </w:rPr>
              <w:t xml:space="preserve"> </w:t>
            </w:r>
            <w:hyperlink r:id="rId16" w:history="1">
              <w:r w:rsidR="00083A9D" w:rsidRPr="006C49E3">
                <w:rPr>
                  <w:rStyle w:val="Hyperlink"/>
                  <w:rFonts w:asciiTheme="minorHAnsi" w:hAnsiTheme="minorHAnsi"/>
                  <w:i/>
                  <w:iCs/>
                  <w:szCs w:val="24"/>
                </w:rPr>
                <w:t>C16/22 + Add.1</w:t>
              </w:r>
            </w:hyperlink>
            <w:r w:rsidR="00083A9D" w:rsidRPr="006C49E3">
              <w:rPr>
                <w:rFonts w:asciiTheme="minorHAnsi" w:hAnsiTheme="minorHAnsi"/>
                <w:i/>
                <w:iCs/>
                <w:szCs w:val="24"/>
              </w:rPr>
              <w:t xml:space="preserve"> (</w:t>
            </w:r>
            <w:r w:rsidR="00E778FD" w:rsidRPr="006C49E3">
              <w:t xml:space="preserve">Cinquième rapport annuel </w:t>
            </w:r>
            <w:r w:rsidR="00E778FD" w:rsidRPr="00717D4E">
              <w:rPr>
                <w:i/>
                <w:iCs/>
                <w:color w:val="000000"/>
                <w:lang w:val="fr-CH"/>
              </w:rPr>
              <w:t>du CCIG au Conseil</w:t>
            </w:r>
            <w:r w:rsidR="00083A9D" w:rsidRPr="006C49E3">
              <w:rPr>
                <w:rFonts w:asciiTheme="minorHAnsi" w:hAnsiTheme="minorHAnsi"/>
                <w:i/>
                <w:iCs/>
                <w:szCs w:val="24"/>
              </w:rPr>
              <w:t>).</w:t>
            </w:r>
          </w:p>
        </w:tc>
      </w:tr>
    </w:tbl>
    <w:p w:rsidR="00083A9D" w:rsidRPr="00796393" w:rsidRDefault="0081193E" w:rsidP="006C49E3">
      <w:pPr>
        <w:pStyle w:val="Heading1"/>
        <w:rPr>
          <w:sz w:val="24"/>
          <w:szCs w:val="18"/>
          <w:lang w:val="en-US"/>
        </w:rPr>
      </w:pPr>
      <w:r w:rsidRPr="00796393">
        <w:rPr>
          <w:sz w:val="24"/>
          <w:szCs w:val="18"/>
          <w:lang w:val="en-US"/>
        </w:rPr>
        <w:t>1</w:t>
      </w:r>
      <w:r w:rsidRPr="00796393">
        <w:rPr>
          <w:sz w:val="24"/>
          <w:szCs w:val="18"/>
          <w:lang w:val="en-US"/>
        </w:rPr>
        <w:tab/>
      </w:r>
      <w:r w:rsidR="00083A9D" w:rsidRPr="00796393">
        <w:rPr>
          <w:sz w:val="24"/>
          <w:szCs w:val="18"/>
          <w:lang w:val="en-US"/>
        </w:rPr>
        <w:t>Introduction</w:t>
      </w:r>
    </w:p>
    <w:p w:rsidR="00083A9D" w:rsidRPr="00B550FB" w:rsidRDefault="0081193E" w:rsidP="006C49E3">
      <w:pPr>
        <w:rPr>
          <w:lang w:val="fr-CH"/>
        </w:rPr>
      </w:pPr>
      <w:r w:rsidRPr="00641152">
        <w:rPr>
          <w:lang w:val="fr-CH"/>
        </w:rPr>
        <w:t>1.1</w:t>
      </w:r>
      <w:r w:rsidRPr="00641152">
        <w:rPr>
          <w:lang w:val="fr-CH"/>
        </w:rPr>
        <w:tab/>
      </w:r>
      <w:r w:rsidR="00641152">
        <w:rPr>
          <w:color w:val="000000"/>
        </w:rPr>
        <w:t xml:space="preserve">Le </w:t>
      </w:r>
      <w:r w:rsidR="006C49E3">
        <w:rPr>
          <w:color w:val="000000"/>
        </w:rPr>
        <w:t>CCIG</w:t>
      </w:r>
      <w:r w:rsidR="00641152">
        <w:rPr>
          <w:color w:val="000000"/>
        </w:rPr>
        <w:t xml:space="preserve"> exerce des fonctions consultatives spécialisées</w:t>
      </w:r>
      <w:r w:rsidR="006C49E3">
        <w:rPr>
          <w:color w:val="000000"/>
        </w:rPr>
        <w:t>,</w:t>
      </w:r>
      <w:r w:rsidR="00641152">
        <w:rPr>
          <w:color w:val="000000"/>
        </w:rPr>
        <w:t xml:space="preserve"> afin d</w:t>
      </w:r>
      <w:r w:rsidR="003D2B40">
        <w:rPr>
          <w:color w:val="000000"/>
        </w:rPr>
        <w:t>'</w:t>
      </w:r>
      <w:r w:rsidR="00641152">
        <w:rPr>
          <w:color w:val="000000"/>
        </w:rPr>
        <w:t>aider le Conseil ainsi que le Secrétaire général à s</w:t>
      </w:r>
      <w:r w:rsidR="003D2B40">
        <w:rPr>
          <w:color w:val="000000"/>
        </w:rPr>
        <w:t>'</w:t>
      </w:r>
      <w:r w:rsidR="00641152">
        <w:rPr>
          <w:color w:val="000000"/>
        </w:rPr>
        <w:t>acquitter de leurs responsabilités en matière de gouvernance pour ce qui est de l</w:t>
      </w:r>
      <w:r w:rsidR="003D2B40">
        <w:rPr>
          <w:color w:val="000000"/>
        </w:rPr>
        <w:t>'</w:t>
      </w:r>
      <w:r w:rsidR="00641152">
        <w:rPr>
          <w:color w:val="000000"/>
        </w:rPr>
        <w:t>établissement de rapports financiers, des modalités relatives aux contrôles internes, des procédures de gestion des risques et des procédures de gouvernance ainsi que d</w:t>
      </w:r>
      <w:r w:rsidR="003D2B40">
        <w:rPr>
          <w:color w:val="000000"/>
        </w:rPr>
        <w:t>'</w:t>
      </w:r>
      <w:r w:rsidR="00641152">
        <w:rPr>
          <w:color w:val="000000"/>
        </w:rPr>
        <w:t xml:space="preserve">autres questions </w:t>
      </w:r>
      <w:r w:rsidR="006C49E3">
        <w:rPr>
          <w:color w:val="000000"/>
        </w:rPr>
        <w:t>relatives aux</w:t>
      </w:r>
      <w:r w:rsidR="00641152">
        <w:rPr>
          <w:color w:val="000000"/>
        </w:rPr>
        <w:t xml:space="preserve"> audits, conformément à son mandat. </w:t>
      </w:r>
      <w:r w:rsidR="00641152" w:rsidRPr="00641152">
        <w:rPr>
          <w:color w:val="000000"/>
          <w:lang w:val="fr-CH"/>
        </w:rPr>
        <w:t>Le CCIG contribue donc à améliorer la transparence, à renforcer le principe de responsabilité et à favoriser une bonne gouvernance.</w:t>
      </w:r>
      <w:r w:rsidR="00796393">
        <w:rPr>
          <w:color w:val="000000"/>
          <w:lang w:val="fr-CH"/>
        </w:rPr>
        <w:t xml:space="preserve"> </w:t>
      </w:r>
      <w:r w:rsidR="00B550FB">
        <w:rPr>
          <w:color w:val="000000"/>
        </w:rPr>
        <w:t>Le CCIG ne procède à aucun audit et ses fonctions ne font pas double emploi avec les fonctions de responsabilité ou d</w:t>
      </w:r>
      <w:r w:rsidR="003D2B40">
        <w:rPr>
          <w:color w:val="000000"/>
        </w:rPr>
        <w:t>'</w:t>
      </w:r>
      <w:r w:rsidR="00B550FB">
        <w:rPr>
          <w:color w:val="000000"/>
        </w:rPr>
        <w:t>audit, internes ou externes. Il veille à garantir une utilisation optimale des ressources affectées aux audits ou autres, conformément au cadre général de l</w:t>
      </w:r>
      <w:r w:rsidR="003D2B40">
        <w:rPr>
          <w:color w:val="000000"/>
        </w:rPr>
        <w:t>'</w:t>
      </w:r>
      <w:r w:rsidR="00B550FB">
        <w:rPr>
          <w:color w:val="000000"/>
        </w:rPr>
        <w:t>UIT donnant des assurances.</w:t>
      </w:r>
    </w:p>
    <w:p w:rsidR="00083A9D" w:rsidRPr="00B550FB" w:rsidRDefault="0081193E" w:rsidP="00341FA9">
      <w:pPr>
        <w:rPr>
          <w:lang w:val="fr-CH"/>
        </w:rPr>
      </w:pPr>
      <w:r w:rsidRPr="00B550FB">
        <w:rPr>
          <w:lang w:val="fr-CH"/>
        </w:rPr>
        <w:lastRenderedPageBreak/>
        <w:t>1.2</w:t>
      </w:r>
      <w:r w:rsidRPr="00B550FB">
        <w:rPr>
          <w:lang w:val="fr-CH"/>
        </w:rPr>
        <w:tab/>
      </w:r>
      <w:r w:rsidR="00B550FB">
        <w:rPr>
          <w:color w:val="000000"/>
        </w:rPr>
        <w:t>La composition actuelle du CCIG est la suivante</w:t>
      </w:r>
      <w:r w:rsidR="006C49E3">
        <w:rPr>
          <w:color w:val="000000"/>
        </w:rPr>
        <w:t>:</w:t>
      </w:r>
    </w:p>
    <w:p w:rsidR="00083A9D" w:rsidRPr="00B966B4" w:rsidRDefault="0081193E" w:rsidP="00341FA9">
      <w:pPr>
        <w:pStyle w:val="enumlev1"/>
        <w:rPr>
          <w:lang w:val="fr-CH"/>
        </w:rPr>
      </w:pPr>
      <w:r w:rsidRPr="00B966B4">
        <w:rPr>
          <w:lang w:val="fr-CH"/>
        </w:rPr>
        <w:t>–</w:t>
      </w:r>
      <w:r w:rsidRPr="00B966B4">
        <w:rPr>
          <w:lang w:val="fr-CH"/>
        </w:rPr>
        <w:tab/>
      </w:r>
      <w:r w:rsidR="00083A9D" w:rsidRPr="00B966B4">
        <w:rPr>
          <w:lang w:val="fr-CH"/>
        </w:rPr>
        <w:t>Dr Beate Degen (</w:t>
      </w:r>
      <w:r w:rsidRPr="00B966B4">
        <w:rPr>
          <w:lang w:val="fr-CH"/>
        </w:rPr>
        <w:t>Présidente</w:t>
      </w:r>
      <w:r w:rsidR="00083A9D" w:rsidRPr="00B966B4">
        <w:rPr>
          <w:lang w:val="fr-CH"/>
        </w:rPr>
        <w:t>)</w:t>
      </w:r>
    </w:p>
    <w:p w:rsidR="00083A9D" w:rsidRPr="00B966B4" w:rsidRDefault="0081193E" w:rsidP="00341FA9">
      <w:pPr>
        <w:pStyle w:val="enumlev1"/>
        <w:rPr>
          <w:lang w:val="fr-CH"/>
        </w:rPr>
      </w:pPr>
      <w:r w:rsidRPr="00B966B4">
        <w:rPr>
          <w:lang w:val="fr-CH"/>
        </w:rPr>
        <w:t>–</w:t>
      </w:r>
      <w:r w:rsidRPr="00B966B4">
        <w:rPr>
          <w:lang w:val="fr-CH"/>
        </w:rPr>
        <w:tab/>
      </w:r>
      <w:r w:rsidR="00083A9D" w:rsidRPr="00B966B4">
        <w:rPr>
          <w:lang w:val="fr-CH"/>
        </w:rPr>
        <w:t>M. Abdessalam El Harouchy</w:t>
      </w:r>
    </w:p>
    <w:p w:rsidR="00083A9D" w:rsidRPr="00B966B4" w:rsidRDefault="0081193E" w:rsidP="00341FA9">
      <w:pPr>
        <w:pStyle w:val="enumlev1"/>
        <w:rPr>
          <w:lang w:val="fr-CH"/>
        </w:rPr>
      </w:pPr>
      <w:r w:rsidRPr="00B966B4">
        <w:rPr>
          <w:lang w:val="fr-CH"/>
        </w:rPr>
        <w:t>–</w:t>
      </w:r>
      <w:r w:rsidRPr="00B966B4">
        <w:rPr>
          <w:lang w:val="fr-CH"/>
        </w:rPr>
        <w:tab/>
        <w:t>M</w:t>
      </w:r>
      <w:r w:rsidR="00083A9D" w:rsidRPr="00B966B4">
        <w:rPr>
          <w:lang w:val="fr-CH"/>
        </w:rPr>
        <w:t>. Graham Miller</w:t>
      </w:r>
    </w:p>
    <w:p w:rsidR="00083A9D" w:rsidRPr="00B966B4" w:rsidRDefault="0081193E" w:rsidP="00341FA9">
      <w:pPr>
        <w:pStyle w:val="enumlev1"/>
        <w:rPr>
          <w:lang w:val="fr-CH"/>
        </w:rPr>
      </w:pPr>
      <w:r w:rsidRPr="00B966B4">
        <w:rPr>
          <w:lang w:val="fr-CH"/>
        </w:rPr>
        <w:t>–</w:t>
      </w:r>
      <w:r w:rsidRPr="00B966B4">
        <w:rPr>
          <w:lang w:val="fr-CH"/>
        </w:rPr>
        <w:tab/>
      </w:r>
      <w:r w:rsidR="00083A9D" w:rsidRPr="00B966B4">
        <w:rPr>
          <w:lang w:val="fr-CH"/>
        </w:rPr>
        <w:t>M</w:t>
      </w:r>
      <w:r w:rsidRPr="00B966B4">
        <w:rPr>
          <w:lang w:val="fr-CH"/>
        </w:rPr>
        <w:t>me</w:t>
      </w:r>
      <w:r w:rsidR="00083A9D" w:rsidRPr="00B966B4">
        <w:rPr>
          <w:lang w:val="fr-CH"/>
        </w:rPr>
        <w:t xml:space="preserve"> Aline Vienneau</w:t>
      </w:r>
    </w:p>
    <w:p w:rsidR="00083A9D" w:rsidRPr="00B966B4" w:rsidRDefault="000E6D82" w:rsidP="00341FA9">
      <w:pPr>
        <w:pStyle w:val="enumlev1"/>
        <w:rPr>
          <w:lang w:val="fr-CH"/>
        </w:rPr>
      </w:pPr>
      <w:r w:rsidRPr="00B966B4">
        <w:rPr>
          <w:lang w:val="fr-CH"/>
        </w:rPr>
        <w:t>–</w:t>
      </w:r>
      <w:r w:rsidR="0081193E" w:rsidRPr="00B966B4">
        <w:rPr>
          <w:lang w:val="fr-CH"/>
        </w:rPr>
        <w:tab/>
      </w:r>
      <w:r w:rsidR="00083A9D" w:rsidRPr="00B966B4">
        <w:rPr>
          <w:lang w:val="fr-CH"/>
        </w:rPr>
        <w:t>M. Kamlesh Vikamsey</w:t>
      </w:r>
    </w:p>
    <w:p w:rsidR="000E6D82" w:rsidRPr="000E6D82" w:rsidRDefault="000E6D82" w:rsidP="00341FA9">
      <w:pPr>
        <w:rPr>
          <w:lang w:val="fr-CH"/>
        </w:rPr>
      </w:pPr>
      <w:r w:rsidRPr="000E6D82">
        <w:rPr>
          <w:lang w:val="fr-CH"/>
        </w:rPr>
        <w:t>1.3</w:t>
      </w:r>
      <w:r w:rsidRPr="000E6D82">
        <w:rPr>
          <w:lang w:val="fr-CH"/>
        </w:rPr>
        <w:tab/>
      </w:r>
      <w:r w:rsidRPr="00B26F98">
        <w:rPr>
          <w:lang w:val="fr-CH"/>
        </w:rPr>
        <w:t>Depuis qu</w:t>
      </w:r>
      <w:r w:rsidR="003D2B40">
        <w:rPr>
          <w:lang w:val="fr-CH"/>
        </w:rPr>
        <w:t>'</w:t>
      </w:r>
      <w:r w:rsidRPr="00B26F98">
        <w:rPr>
          <w:lang w:val="fr-CH"/>
        </w:rPr>
        <w:t xml:space="preserve">il a soumis </w:t>
      </w:r>
      <w:r w:rsidR="00341FA9">
        <w:rPr>
          <w:lang w:val="fr-CH"/>
        </w:rPr>
        <w:t>au Conseil</w:t>
      </w:r>
      <w:r w:rsidR="00B550FB">
        <w:rPr>
          <w:lang w:val="fr-CH"/>
        </w:rPr>
        <w:t xml:space="preserve"> à sa session de 2016 </w:t>
      </w:r>
      <w:r w:rsidRPr="00B26F98">
        <w:rPr>
          <w:lang w:val="fr-CH"/>
        </w:rPr>
        <w:t xml:space="preserve">son </w:t>
      </w:r>
      <w:r>
        <w:rPr>
          <w:lang w:val="fr-CH"/>
        </w:rPr>
        <w:t>cinquième</w:t>
      </w:r>
      <w:r w:rsidRPr="00B26F98">
        <w:rPr>
          <w:lang w:val="fr-CH"/>
        </w:rPr>
        <w:t xml:space="preserve"> rapport </w:t>
      </w:r>
      <w:r>
        <w:rPr>
          <w:lang w:val="fr-CH"/>
        </w:rPr>
        <w:t xml:space="preserve">annuel </w:t>
      </w:r>
      <w:r w:rsidRPr="00B26F98">
        <w:rPr>
          <w:lang w:val="fr-CH"/>
        </w:rPr>
        <w:t xml:space="preserve">(Document </w:t>
      </w:r>
      <w:hyperlink r:id="rId17" w:history="1">
        <w:r w:rsidR="000204E4" w:rsidRPr="00C67E30">
          <w:rPr>
            <w:rStyle w:val="Hyperlink"/>
          </w:rPr>
          <w:t>C16/22 + Add.1</w:t>
        </w:r>
      </w:hyperlink>
      <w:r w:rsidRPr="00B26F98">
        <w:rPr>
          <w:lang w:val="fr-CH"/>
        </w:rPr>
        <w:t>) et</w:t>
      </w:r>
      <w:r w:rsidR="00796393">
        <w:rPr>
          <w:lang w:val="fr-CH"/>
        </w:rPr>
        <w:t xml:space="preserve"> </w:t>
      </w:r>
      <w:r w:rsidR="00B550FB">
        <w:rPr>
          <w:lang w:val="fr-CH"/>
        </w:rPr>
        <w:t>par la suite,</w:t>
      </w:r>
      <w:r>
        <w:rPr>
          <w:lang w:val="fr-CH"/>
        </w:rPr>
        <w:t xml:space="preserve"> </w:t>
      </w:r>
      <w:r w:rsidR="00B550FB">
        <w:rPr>
          <w:lang w:val="fr-CH"/>
        </w:rPr>
        <w:t>l</w:t>
      </w:r>
      <w:r w:rsidR="003D2B40">
        <w:rPr>
          <w:lang w:val="fr-CH"/>
        </w:rPr>
        <w:t>'</w:t>
      </w:r>
      <w:r>
        <w:rPr>
          <w:lang w:val="fr-CH"/>
        </w:rPr>
        <w:t>Addend</w:t>
      </w:r>
      <w:r w:rsidR="00B550FB">
        <w:rPr>
          <w:lang w:val="fr-CH"/>
        </w:rPr>
        <w:t>um</w:t>
      </w:r>
      <w:r w:rsidRPr="00B26F98">
        <w:rPr>
          <w:lang w:val="fr-CH"/>
        </w:rPr>
        <w:t xml:space="preserve"> 1</w:t>
      </w:r>
      <w:r w:rsidR="00796393">
        <w:rPr>
          <w:lang w:val="fr-CH"/>
        </w:rPr>
        <w:t xml:space="preserve"> </w:t>
      </w:r>
      <w:r w:rsidR="00B550FB">
        <w:rPr>
          <w:lang w:val="fr-CH"/>
        </w:rPr>
        <w:t>à ce rapport,</w:t>
      </w:r>
      <w:r w:rsidRPr="00B26F98">
        <w:rPr>
          <w:lang w:val="fr-CH"/>
        </w:rPr>
        <w:t xml:space="preserve"> le CCIG s</w:t>
      </w:r>
      <w:r w:rsidR="003D2B40">
        <w:rPr>
          <w:lang w:val="fr-CH"/>
        </w:rPr>
        <w:t>'</w:t>
      </w:r>
      <w:r w:rsidRPr="00B26F98">
        <w:rPr>
          <w:lang w:val="fr-CH"/>
        </w:rPr>
        <w:t xml:space="preserve">est réuni </w:t>
      </w:r>
      <w:r w:rsidR="00341FA9">
        <w:rPr>
          <w:lang w:val="fr-CH"/>
        </w:rPr>
        <w:t>du</w:t>
      </w:r>
      <w:r w:rsidRPr="00B26F98">
        <w:rPr>
          <w:lang w:val="fr-CH"/>
        </w:rPr>
        <w:t xml:space="preserve"> </w:t>
      </w:r>
      <w:r w:rsidR="00B550FB">
        <w:rPr>
          <w:lang w:val="fr-CH"/>
        </w:rPr>
        <w:t>1</w:t>
      </w:r>
      <w:r w:rsidR="00341FA9">
        <w:rPr>
          <w:lang w:val="fr-CH"/>
        </w:rPr>
        <w:t>0 au</w:t>
      </w:r>
      <w:r>
        <w:rPr>
          <w:lang w:val="fr-CH"/>
        </w:rPr>
        <w:t xml:space="preserve"> </w:t>
      </w:r>
      <w:r w:rsidR="00B550FB">
        <w:rPr>
          <w:lang w:val="fr-CH"/>
        </w:rPr>
        <w:t>1</w:t>
      </w:r>
      <w:r>
        <w:rPr>
          <w:lang w:val="fr-CH"/>
        </w:rPr>
        <w:t>2</w:t>
      </w:r>
      <w:r w:rsidR="00796393">
        <w:rPr>
          <w:lang w:val="fr-CH"/>
        </w:rPr>
        <w:t xml:space="preserve"> </w:t>
      </w:r>
      <w:r>
        <w:rPr>
          <w:lang w:val="fr-CH"/>
        </w:rPr>
        <w:t>octobre 201</w:t>
      </w:r>
      <w:r w:rsidR="00B550FB">
        <w:rPr>
          <w:lang w:val="fr-CH"/>
        </w:rPr>
        <w:t>6</w:t>
      </w:r>
      <w:r>
        <w:rPr>
          <w:lang w:val="fr-CH"/>
        </w:rPr>
        <w:t>, les 2</w:t>
      </w:r>
      <w:r w:rsidR="00796393">
        <w:rPr>
          <w:lang w:val="fr-CH"/>
        </w:rPr>
        <w:t xml:space="preserve"> </w:t>
      </w:r>
      <w:r>
        <w:rPr>
          <w:lang w:val="fr-CH"/>
        </w:rPr>
        <w:t>et</w:t>
      </w:r>
      <w:r w:rsidR="00B550FB">
        <w:rPr>
          <w:lang w:val="fr-CH"/>
        </w:rPr>
        <w:t xml:space="preserve"> 3 mars</w:t>
      </w:r>
      <w:r w:rsidR="00796393">
        <w:rPr>
          <w:lang w:val="fr-CH"/>
        </w:rPr>
        <w:t xml:space="preserve"> </w:t>
      </w:r>
      <w:r>
        <w:rPr>
          <w:lang w:val="fr-CH"/>
        </w:rPr>
        <w:t>201</w:t>
      </w:r>
      <w:r w:rsidR="00B550FB">
        <w:rPr>
          <w:lang w:val="fr-CH"/>
        </w:rPr>
        <w:t>7</w:t>
      </w:r>
      <w:r>
        <w:rPr>
          <w:lang w:val="fr-CH"/>
        </w:rPr>
        <w:t xml:space="preserve"> et du 9 au 11 mai 201</w:t>
      </w:r>
      <w:r w:rsidR="00B550FB">
        <w:rPr>
          <w:lang w:val="fr-CH"/>
        </w:rPr>
        <w:t>7</w:t>
      </w:r>
      <w:r w:rsidRPr="00B26F98">
        <w:rPr>
          <w:lang w:val="fr-CH"/>
        </w:rPr>
        <w:t xml:space="preserve">. Il a intégré les conclusions de ses réunions </w:t>
      </w:r>
      <w:r w:rsidR="00341FA9">
        <w:rPr>
          <w:lang w:val="fr-CH"/>
        </w:rPr>
        <w:t>d</w:t>
      </w:r>
      <w:r w:rsidR="003D2B40">
        <w:rPr>
          <w:lang w:val="fr-CH"/>
        </w:rPr>
        <w:t>'</w:t>
      </w:r>
      <w:r w:rsidR="00341FA9">
        <w:rPr>
          <w:lang w:val="fr-CH"/>
        </w:rPr>
        <w:t>octobre,</w:t>
      </w:r>
      <w:r>
        <w:rPr>
          <w:lang w:val="fr-CH"/>
        </w:rPr>
        <w:t xml:space="preserve"> de </w:t>
      </w:r>
      <w:r w:rsidR="00B550FB">
        <w:rPr>
          <w:lang w:val="fr-CH"/>
        </w:rPr>
        <w:t>mars</w:t>
      </w:r>
      <w:r>
        <w:rPr>
          <w:lang w:val="fr-CH"/>
        </w:rPr>
        <w:t xml:space="preserve"> et de mai</w:t>
      </w:r>
      <w:r w:rsidRPr="00B26F98">
        <w:rPr>
          <w:lang w:val="fr-CH"/>
        </w:rPr>
        <w:t xml:space="preserve"> dans le présent</w:t>
      </w:r>
      <w:r w:rsidR="00796393">
        <w:rPr>
          <w:lang w:val="fr-CH"/>
        </w:rPr>
        <w:t xml:space="preserve"> </w:t>
      </w:r>
      <w:r w:rsidR="00B550FB">
        <w:rPr>
          <w:lang w:val="fr-CH"/>
        </w:rPr>
        <w:t xml:space="preserve">sixième </w:t>
      </w:r>
      <w:r w:rsidRPr="00B26F98">
        <w:rPr>
          <w:lang w:val="fr-CH"/>
        </w:rPr>
        <w:t>rapport annuel qu</w:t>
      </w:r>
      <w:r w:rsidR="003D2B40">
        <w:rPr>
          <w:lang w:val="fr-CH"/>
        </w:rPr>
        <w:t>'</w:t>
      </w:r>
      <w:r w:rsidRPr="00B26F98">
        <w:rPr>
          <w:lang w:val="fr-CH"/>
        </w:rPr>
        <w:t>il soumet au Conseil. Les rapports des réunions du Comité</w:t>
      </w:r>
      <w:r w:rsidR="00341FA9">
        <w:rPr>
          <w:lang w:val="fr-CH"/>
        </w:rPr>
        <w:t>,</w:t>
      </w:r>
      <w:r w:rsidRPr="00B26F98">
        <w:rPr>
          <w:lang w:val="fr-CH"/>
        </w:rPr>
        <w:t xml:space="preserve"> ainsi que ses rapports annuels et d</w:t>
      </w:r>
      <w:r w:rsidR="003D2B40">
        <w:rPr>
          <w:lang w:val="fr-CH"/>
        </w:rPr>
        <w:t>'</w:t>
      </w:r>
      <w:r w:rsidRPr="00B26F98">
        <w:rPr>
          <w:lang w:val="fr-CH"/>
        </w:rPr>
        <w:t>autres documents essentiels</w:t>
      </w:r>
      <w:r w:rsidR="00341FA9">
        <w:rPr>
          <w:lang w:val="fr-CH"/>
        </w:rPr>
        <w:t>,</w:t>
      </w:r>
      <w:r w:rsidRPr="00B26F98">
        <w:rPr>
          <w:lang w:val="fr-CH"/>
        </w:rPr>
        <w:t xml:space="preserve"> peuvent être consultés par les membres de l</w:t>
      </w:r>
      <w:r w:rsidR="003D2B40">
        <w:rPr>
          <w:lang w:val="fr-CH"/>
        </w:rPr>
        <w:t>'</w:t>
      </w:r>
      <w:r w:rsidRPr="00B26F98">
        <w:rPr>
          <w:lang w:val="fr-CH"/>
        </w:rPr>
        <w:t xml:space="preserve">UIT dans la partie du site web </w:t>
      </w:r>
      <w:r w:rsidR="00B550FB">
        <w:rPr>
          <w:color w:val="000000"/>
        </w:rPr>
        <w:t xml:space="preserve">public </w:t>
      </w:r>
      <w:r w:rsidRPr="00B26F98">
        <w:rPr>
          <w:lang w:val="fr-CH"/>
        </w:rPr>
        <w:t>de l</w:t>
      </w:r>
      <w:r w:rsidR="003D2B40">
        <w:rPr>
          <w:lang w:val="fr-CH"/>
        </w:rPr>
        <w:t>'</w:t>
      </w:r>
      <w:r w:rsidRPr="00B26F98">
        <w:rPr>
          <w:lang w:val="fr-CH"/>
        </w:rPr>
        <w:t xml:space="preserve">UIT consacrée </w:t>
      </w:r>
      <w:hyperlink r:id="rId18" w:history="1">
        <w:r w:rsidRPr="0079329A">
          <w:rPr>
            <w:rStyle w:val="Hyperlink"/>
            <w:lang w:val="fr-CH"/>
          </w:rPr>
          <w:t>au CCIG</w:t>
        </w:r>
      </w:hyperlink>
      <w:r w:rsidRPr="00B26F98">
        <w:rPr>
          <w:lang w:val="fr-CH"/>
        </w:rPr>
        <w:t xml:space="preserve">, </w:t>
      </w:r>
      <w:r w:rsidR="004B3438">
        <w:rPr>
          <w:lang w:val="fr-CH"/>
        </w:rPr>
        <w:t xml:space="preserve">ainsi que </w:t>
      </w:r>
      <w:r w:rsidRPr="00B26F98">
        <w:rPr>
          <w:lang w:val="fr-CH"/>
        </w:rPr>
        <w:t xml:space="preserve">sous </w:t>
      </w:r>
      <w:hyperlink r:id="rId19" w:history="1">
        <w:r w:rsidRPr="0079329A">
          <w:rPr>
            <w:rStyle w:val="Hyperlink"/>
            <w:lang w:val="fr-CH"/>
          </w:rPr>
          <w:t>Conseil de l</w:t>
        </w:r>
        <w:r w:rsidR="003D2B40">
          <w:rPr>
            <w:rStyle w:val="Hyperlink"/>
            <w:lang w:val="fr-CH"/>
          </w:rPr>
          <w:t>'</w:t>
        </w:r>
        <w:r w:rsidRPr="0079329A">
          <w:rPr>
            <w:rStyle w:val="Hyperlink"/>
            <w:lang w:val="fr-CH"/>
          </w:rPr>
          <w:t>UIT</w:t>
        </w:r>
      </w:hyperlink>
      <w:r w:rsidRPr="00B26F98">
        <w:rPr>
          <w:lang w:val="fr-CH"/>
        </w:rPr>
        <w:t>.</w:t>
      </w:r>
    </w:p>
    <w:p w:rsidR="00083A9D" w:rsidRPr="000204E4" w:rsidRDefault="000204E4" w:rsidP="00341FA9">
      <w:pPr>
        <w:rPr>
          <w:lang w:val="fr-CH"/>
        </w:rPr>
      </w:pPr>
      <w:r w:rsidRPr="000204E4">
        <w:rPr>
          <w:lang w:val="fr-CH"/>
        </w:rPr>
        <w:t>1.4</w:t>
      </w:r>
      <w:r w:rsidRPr="000204E4">
        <w:rPr>
          <w:lang w:val="fr-CH"/>
        </w:rPr>
        <w:tab/>
        <w:t>Participation aux réunions du CCIG</w:t>
      </w:r>
      <w:r w:rsidR="00083A9D" w:rsidRPr="000204E4">
        <w:rPr>
          <w:lang w:val="fr-CH"/>
        </w:rPr>
        <w:t xml:space="preserve">: Dr Degen, M. El Harouchy, </w:t>
      </w:r>
      <w:r w:rsidRPr="000204E4">
        <w:rPr>
          <w:lang w:val="fr-CH"/>
        </w:rPr>
        <w:t>M</w:t>
      </w:r>
      <w:r w:rsidR="00083A9D" w:rsidRPr="000204E4">
        <w:rPr>
          <w:lang w:val="fr-CH"/>
        </w:rPr>
        <w:t xml:space="preserve">. Miller </w:t>
      </w:r>
      <w:r w:rsidRPr="000204E4">
        <w:rPr>
          <w:lang w:val="fr-CH"/>
        </w:rPr>
        <w:t>et M</w:t>
      </w:r>
      <w:r w:rsidR="00083A9D" w:rsidRPr="000204E4">
        <w:rPr>
          <w:lang w:val="fr-CH"/>
        </w:rPr>
        <w:t xml:space="preserve">. Vikamsey </w:t>
      </w:r>
      <w:r w:rsidRPr="00AD7E73">
        <w:rPr>
          <w:lang w:val="fr-CH"/>
        </w:rPr>
        <w:t>ont assi</w:t>
      </w:r>
      <w:r>
        <w:rPr>
          <w:lang w:val="fr-CH"/>
        </w:rPr>
        <w:t>sté aux trois réunions</w:t>
      </w:r>
      <w:r w:rsidR="00083A9D" w:rsidRPr="000204E4">
        <w:rPr>
          <w:lang w:val="fr-CH"/>
        </w:rPr>
        <w:t xml:space="preserve">. </w:t>
      </w:r>
      <w:r w:rsidRPr="000204E4">
        <w:rPr>
          <w:lang w:val="fr-CH"/>
        </w:rPr>
        <w:t>Mme</w:t>
      </w:r>
      <w:r w:rsidR="00083A9D" w:rsidRPr="000204E4">
        <w:rPr>
          <w:lang w:val="fr-CH"/>
        </w:rPr>
        <w:t xml:space="preserve"> Vienneau </w:t>
      </w:r>
      <w:r w:rsidR="00B03BB9">
        <w:rPr>
          <w:lang w:val="fr-CH"/>
        </w:rPr>
        <w:t>a</w:t>
      </w:r>
      <w:r w:rsidR="00796393">
        <w:rPr>
          <w:lang w:val="fr-CH"/>
        </w:rPr>
        <w:t xml:space="preserve"> </w:t>
      </w:r>
      <w:r w:rsidRPr="00AD7E73">
        <w:rPr>
          <w:lang w:val="fr-CH"/>
        </w:rPr>
        <w:t>assist</w:t>
      </w:r>
      <w:r w:rsidR="00B03BB9">
        <w:rPr>
          <w:lang w:val="fr-CH"/>
        </w:rPr>
        <w:t>é à deux des trois réunions du</w:t>
      </w:r>
      <w:r w:rsidR="00B03BB9" w:rsidRPr="00B03BB9">
        <w:rPr>
          <w:lang w:val="fr-CH"/>
        </w:rPr>
        <w:t xml:space="preserve"> </w:t>
      </w:r>
      <w:r w:rsidR="00B03BB9" w:rsidRPr="000204E4">
        <w:rPr>
          <w:lang w:val="fr-CH"/>
        </w:rPr>
        <w:t>CCIG</w:t>
      </w:r>
      <w:r w:rsidR="00CA0172">
        <w:rPr>
          <w:lang w:val="fr-CH"/>
        </w:rPr>
        <w:t>.</w:t>
      </w:r>
    </w:p>
    <w:p w:rsidR="00083A9D" w:rsidRPr="000204E4" w:rsidRDefault="000204E4" w:rsidP="00341FA9">
      <w:pPr>
        <w:rPr>
          <w:lang w:val="fr-CH"/>
        </w:rPr>
      </w:pPr>
      <w:r w:rsidRPr="000204E4">
        <w:rPr>
          <w:lang w:val="fr-CH"/>
        </w:rPr>
        <w:t>1.5</w:t>
      </w:r>
      <w:r w:rsidRPr="000204E4">
        <w:rPr>
          <w:lang w:val="fr-CH"/>
        </w:rPr>
        <w:tab/>
      </w:r>
      <w:r w:rsidRPr="00AD7E73">
        <w:rPr>
          <w:lang w:val="fr-CH"/>
        </w:rPr>
        <w:t>Depuis le dernier rapport annuel qu</w:t>
      </w:r>
      <w:r w:rsidR="003D2B40">
        <w:rPr>
          <w:lang w:val="fr-CH"/>
        </w:rPr>
        <w:t>'</w:t>
      </w:r>
      <w:r w:rsidRPr="00AD7E73">
        <w:rPr>
          <w:lang w:val="fr-CH"/>
        </w:rPr>
        <w:t>il a soumis</w:t>
      </w:r>
      <w:r>
        <w:rPr>
          <w:lang w:val="fr-CH"/>
        </w:rPr>
        <w:t xml:space="preserve"> au Conseil à sa session de 2016</w:t>
      </w:r>
      <w:r w:rsidRPr="00AD7E73">
        <w:rPr>
          <w:lang w:val="fr-CH"/>
        </w:rPr>
        <w:t>, le CCIG a examiné toutes ses responsabilités, à savoir la fonction d</w:t>
      </w:r>
      <w:r w:rsidR="003D2B40">
        <w:rPr>
          <w:lang w:val="fr-CH"/>
        </w:rPr>
        <w:t>'</w:t>
      </w:r>
      <w:r w:rsidRPr="00AD7E73">
        <w:rPr>
          <w:lang w:val="fr-CH"/>
        </w:rPr>
        <w:t>audit interne, la gestion des risques, les contrôles internes,</w:t>
      </w:r>
      <w:r>
        <w:rPr>
          <w:lang w:val="fr-CH"/>
        </w:rPr>
        <w:t xml:space="preserve"> l</w:t>
      </w:r>
      <w:r w:rsidR="003D2B40">
        <w:rPr>
          <w:lang w:val="fr-CH"/>
        </w:rPr>
        <w:t>'</w:t>
      </w:r>
      <w:r>
        <w:rPr>
          <w:lang w:val="fr-CH"/>
        </w:rPr>
        <w:t>évaluation,</w:t>
      </w:r>
      <w:r w:rsidRPr="00AD7E73">
        <w:rPr>
          <w:lang w:val="fr-CH"/>
        </w:rPr>
        <w:t xml:space="preserve"> les états financiers vérifiés et l</w:t>
      </w:r>
      <w:r w:rsidR="003D2B40">
        <w:rPr>
          <w:lang w:val="fr-CH"/>
        </w:rPr>
        <w:t>'</w:t>
      </w:r>
      <w:r w:rsidRPr="00AD7E73">
        <w:rPr>
          <w:lang w:val="fr-CH"/>
        </w:rPr>
        <w:t xml:space="preserve">établissement de rapports financiers </w:t>
      </w:r>
      <w:r w:rsidR="00341FA9">
        <w:rPr>
          <w:lang w:val="fr-CH"/>
        </w:rPr>
        <w:t xml:space="preserve">ainsi que </w:t>
      </w:r>
      <w:r w:rsidRPr="00AD7E73">
        <w:rPr>
          <w:lang w:val="fr-CH"/>
        </w:rPr>
        <w:t>la vérification extérieure des comptes</w:t>
      </w:r>
      <w:r>
        <w:rPr>
          <w:lang w:val="fr-CH"/>
        </w:rPr>
        <w:t>.</w:t>
      </w:r>
    </w:p>
    <w:p w:rsidR="00083A9D" w:rsidRPr="00D9563D" w:rsidRDefault="000204E4" w:rsidP="0052263B">
      <w:pPr>
        <w:rPr>
          <w:lang w:val="fr-CH"/>
        </w:rPr>
      </w:pPr>
      <w:r w:rsidRPr="00D9563D">
        <w:rPr>
          <w:lang w:val="fr-CH"/>
        </w:rPr>
        <w:t>1.6</w:t>
      </w:r>
      <w:r w:rsidRPr="00D9563D">
        <w:rPr>
          <w:lang w:val="fr-CH"/>
        </w:rPr>
        <w:tab/>
      </w:r>
      <w:r w:rsidR="004B3438" w:rsidRPr="004B3438">
        <w:rPr>
          <w:lang w:val="fr-CH"/>
        </w:rPr>
        <w:t>La Présidente</w:t>
      </w:r>
      <w:r w:rsidR="00796393">
        <w:rPr>
          <w:lang w:val="fr-CH"/>
        </w:rPr>
        <w:t xml:space="preserve"> </w:t>
      </w:r>
      <w:r w:rsidR="004B3438" w:rsidRPr="004B3438">
        <w:rPr>
          <w:lang w:val="fr-CH"/>
        </w:rPr>
        <w:t xml:space="preserve">du </w:t>
      </w:r>
      <w:r w:rsidR="00341FA9">
        <w:rPr>
          <w:lang w:val="fr-CH"/>
        </w:rPr>
        <w:t>CCIG, qui</w:t>
      </w:r>
      <w:r w:rsidR="004B3438">
        <w:rPr>
          <w:lang w:val="fr-CH"/>
        </w:rPr>
        <w:t xml:space="preserve"> particip</w:t>
      </w:r>
      <w:r w:rsidR="00341FA9">
        <w:rPr>
          <w:lang w:val="fr-CH"/>
        </w:rPr>
        <w:t>ait</w:t>
      </w:r>
      <w:r w:rsidR="004B3438">
        <w:rPr>
          <w:lang w:val="fr-CH"/>
        </w:rPr>
        <w:t xml:space="preserve"> à distance à la réunion du</w:t>
      </w:r>
      <w:r w:rsidR="004B3438" w:rsidRPr="004B3438">
        <w:rPr>
          <w:lang w:val="fr-CH"/>
        </w:rPr>
        <w:t xml:space="preserve"> </w:t>
      </w:r>
      <w:r w:rsidR="004B3438">
        <w:rPr>
          <w:lang w:val="fr-CH"/>
        </w:rPr>
        <w:t>GTC-FHR</w:t>
      </w:r>
      <w:r w:rsidR="00796393">
        <w:rPr>
          <w:lang w:val="fr-CH"/>
        </w:rPr>
        <w:t xml:space="preserve"> </w:t>
      </w:r>
      <w:r w:rsidR="004B3438">
        <w:rPr>
          <w:lang w:val="fr-CH"/>
        </w:rPr>
        <w:t>tenue</w:t>
      </w:r>
      <w:r w:rsidR="00796393">
        <w:rPr>
          <w:lang w:val="fr-CH"/>
        </w:rPr>
        <w:t xml:space="preserve"> </w:t>
      </w:r>
      <w:r w:rsidR="004B3438">
        <w:rPr>
          <w:lang w:val="fr-CH"/>
        </w:rPr>
        <w:t>le</w:t>
      </w:r>
      <w:r w:rsidR="00796393">
        <w:rPr>
          <w:lang w:val="fr-CH"/>
        </w:rPr>
        <w:t xml:space="preserve"> </w:t>
      </w:r>
      <w:r w:rsidR="00083A9D" w:rsidRPr="00D9563D">
        <w:rPr>
          <w:lang w:val="fr-CH"/>
        </w:rPr>
        <w:t>1</w:t>
      </w:r>
      <w:r w:rsidR="00D9563D" w:rsidRPr="008A1D1D">
        <w:t>er</w:t>
      </w:r>
      <w:r w:rsidR="008A1D1D">
        <w:rPr>
          <w:lang w:val="fr-CH"/>
        </w:rPr>
        <w:t> </w:t>
      </w:r>
      <w:r w:rsidR="00D9563D">
        <w:rPr>
          <w:lang w:val="fr-CH"/>
        </w:rPr>
        <w:t>février</w:t>
      </w:r>
      <w:r w:rsidR="008A1D1D">
        <w:rPr>
          <w:lang w:val="fr-CH"/>
        </w:rPr>
        <w:t> </w:t>
      </w:r>
      <w:r w:rsidR="00083A9D" w:rsidRPr="00D9563D">
        <w:rPr>
          <w:lang w:val="fr-CH"/>
        </w:rPr>
        <w:t>2017,</w:t>
      </w:r>
      <w:r w:rsidR="0095347F">
        <w:rPr>
          <w:lang w:val="fr-CH"/>
        </w:rPr>
        <w:t xml:space="preserve"> </w:t>
      </w:r>
      <w:r w:rsidR="00341FA9">
        <w:rPr>
          <w:lang w:val="fr-CH"/>
        </w:rPr>
        <w:t>a présenté</w:t>
      </w:r>
      <w:r w:rsidR="00796393">
        <w:rPr>
          <w:lang w:val="fr-CH"/>
        </w:rPr>
        <w:t xml:space="preserve"> </w:t>
      </w:r>
      <w:r w:rsidR="0095347F">
        <w:rPr>
          <w:lang w:val="fr-CH"/>
        </w:rPr>
        <w:t xml:space="preserve">aux </w:t>
      </w:r>
      <w:r w:rsidR="0052263B">
        <w:rPr>
          <w:lang w:val="fr-CH"/>
        </w:rPr>
        <w:t>E</w:t>
      </w:r>
      <w:r w:rsidR="0095347F">
        <w:rPr>
          <w:lang w:val="fr-CH"/>
        </w:rPr>
        <w:t xml:space="preserve">tats Membres </w:t>
      </w:r>
      <w:r w:rsidR="00341FA9">
        <w:rPr>
          <w:lang w:val="fr-CH"/>
        </w:rPr>
        <w:t xml:space="preserve">un exposé </w:t>
      </w:r>
      <w:r w:rsidR="0095347F">
        <w:rPr>
          <w:lang w:val="fr-CH"/>
        </w:rPr>
        <w:t>sur des</w:t>
      </w:r>
      <w:r w:rsidR="00796393">
        <w:rPr>
          <w:lang w:val="fr-CH"/>
        </w:rPr>
        <w:t xml:space="preserve"> </w:t>
      </w:r>
      <w:r w:rsidR="00D9563D" w:rsidRPr="00AD7E73">
        <w:rPr>
          <w:lang w:val="fr-CH"/>
        </w:rPr>
        <w:t>questions relatives aux domaines de compétence du Comité</w:t>
      </w:r>
      <w:r w:rsidR="00083A9D" w:rsidRPr="00D9563D">
        <w:rPr>
          <w:lang w:val="fr-CH"/>
        </w:rPr>
        <w:t>.</w:t>
      </w:r>
    </w:p>
    <w:p w:rsidR="00083A9D" w:rsidRPr="0095347F" w:rsidRDefault="000204E4" w:rsidP="0052263B">
      <w:pPr>
        <w:rPr>
          <w:lang w:val="fr-CH"/>
        </w:rPr>
      </w:pPr>
      <w:r w:rsidRPr="0095347F">
        <w:rPr>
          <w:lang w:val="fr-CH"/>
        </w:rPr>
        <w:t>1.7</w:t>
      </w:r>
      <w:r w:rsidRPr="0095347F">
        <w:rPr>
          <w:lang w:val="fr-CH"/>
        </w:rPr>
        <w:tab/>
      </w:r>
      <w:r w:rsidR="004B3438" w:rsidRPr="0095347F">
        <w:rPr>
          <w:lang w:val="fr-CH"/>
        </w:rPr>
        <w:t>La Présidente</w:t>
      </w:r>
      <w:r w:rsidR="00796393">
        <w:rPr>
          <w:lang w:val="fr-CH"/>
        </w:rPr>
        <w:t xml:space="preserve"> </w:t>
      </w:r>
      <w:r w:rsidR="004B3438" w:rsidRPr="0095347F">
        <w:rPr>
          <w:lang w:val="fr-CH"/>
        </w:rPr>
        <w:t>du CCIG</w:t>
      </w:r>
      <w:r w:rsidR="0095347F" w:rsidRPr="0095347F">
        <w:rPr>
          <w:lang w:val="fr-CH"/>
        </w:rPr>
        <w:t xml:space="preserve"> a également participé à</w:t>
      </w:r>
      <w:r w:rsidR="00796393">
        <w:rPr>
          <w:lang w:val="fr-CH"/>
        </w:rPr>
        <w:t xml:space="preserve"> </w:t>
      </w:r>
      <w:r w:rsidR="0095347F" w:rsidRPr="0095347F">
        <w:rPr>
          <w:color w:val="000000"/>
          <w:lang w:val="fr-CH"/>
        </w:rPr>
        <w:t>la première réunion des Comités de contrôle du système des Nations Unies,</w:t>
      </w:r>
      <w:r w:rsidR="0095347F" w:rsidRPr="0095347F">
        <w:rPr>
          <w:color w:val="000000"/>
        </w:rPr>
        <w:t xml:space="preserve"> </w:t>
      </w:r>
      <w:r w:rsidR="0095347F">
        <w:rPr>
          <w:color w:val="000000"/>
        </w:rPr>
        <w:t>qui s</w:t>
      </w:r>
      <w:r w:rsidR="003D2B40">
        <w:rPr>
          <w:color w:val="000000"/>
        </w:rPr>
        <w:t>'</w:t>
      </w:r>
      <w:r w:rsidR="0095347F">
        <w:rPr>
          <w:color w:val="000000"/>
        </w:rPr>
        <w:t xml:space="preserve">est tenue le </w:t>
      </w:r>
      <w:r w:rsidR="0079389D">
        <w:rPr>
          <w:color w:val="000000"/>
        </w:rPr>
        <w:t>28 novembre 2016 au siège de l</w:t>
      </w:r>
      <w:r w:rsidR="003D2B40">
        <w:rPr>
          <w:color w:val="000000"/>
        </w:rPr>
        <w:t>'</w:t>
      </w:r>
      <w:r w:rsidR="0079389D">
        <w:rPr>
          <w:color w:val="000000"/>
        </w:rPr>
        <w:t>O</w:t>
      </w:r>
      <w:r w:rsidR="0095347F">
        <w:rPr>
          <w:color w:val="000000"/>
        </w:rPr>
        <w:t xml:space="preserve">rganisation des Nations </w:t>
      </w:r>
      <w:r w:rsidR="0079389D">
        <w:rPr>
          <w:color w:val="000000"/>
        </w:rPr>
        <w:t>U</w:t>
      </w:r>
      <w:r w:rsidR="0052263B">
        <w:rPr>
          <w:color w:val="000000"/>
        </w:rPr>
        <w:t>nies à New York,</w:t>
      </w:r>
      <w:r w:rsidR="0095347F">
        <w:rPr>
          <w:color w:val="000000"/>
        </w:rPr>
        <w:t xml:space="preserve"> avec la participation de </w:t>
      </w:r>
      <w:r w:rsidR="0079389D">
        <w:rPr>
          <w:color w:val="000000"/>
        </w:rPr>
        <w:t>C</w:t>
      </w:r>
      <w:r w:rsidR="0095347F">
        <w:rPr>
          <w:color w:val="000000"/>
        </w:rPr>
        <w:t xml:space="preserve">omités de contrôle de 19 </w:t>
      </w:r>
      <w:r w:rsidR="0079389D">
        <w:rPr>
          <w:color w:val="000000"/>
        </w:rPr>
        <w:t>entités du système des Nations U</w:t>
      </w:r>
      <w:r w:rsidR="003D2B40">
        <w:rPr>
          <w:color w:val="000000"/>
        </w:rPr>
        <w:t>nies</w:t>
      </w:r>
      <w:r w:rsidR="0095347F">
        <w:rPr>
          <w:color w:val="000000"/>
        </w:rPr>
        <w:t xml:space="preserve">. </w:t>
      </w:r>
      <w:r w:rsidR="0095347F" w:rsidRPr="0095347F">
        <w:rPr>
          <w:color w:val="000000"/>
        </w:rPr>
        <w:t>Cette réunion avait principalement pour objectif d</w:t>
      </w:r>
      <w:r w:rsidR="003D2B40">
        <w:rPr>
          <w:color w:val="000000"/>
        </w:rPr>
        <w:t>'</w:t>
      </w:r>
      <w:r w:rsidR="0095347F" w:rsidRPr="0095347F">
        <w:rPr>
          <w:color w:val="000000"/>
        </w:rPr>
        <w:t xml:space="preserve">échanger </w:t>
      </w:r>
      <w:r w:rsidR="0095347F">
        <w:rPr>
          <w:color w:val="000000"/>
        </w:rPr>
        <w:t>des renseignements</w:t>
      </w:r>
      <w:r w:rsidR="00796393">
        <w:rPr>
          <w:color w:val="000000"/>
        </w:rPr>
        <w:t xml:space="preserve"> </w:t>
      </w:r>
      <w:r w:rsidR="0095347F" w:rsidRPr="0095347F">
        <w:rPr>
          <w:color w:val="000000"/>
        </w:rPr>
        <w:t>sur les problèmes communs</w:t>
      </w:r>
      <w:r w:rsidR="0095347F" w:rsidRPr="0095347F">
        <w:rPr>
          <w:color w:val="000000"/>
          <w:lang w:val="fr-CH"/>
        </w:rPr>
        <w:t xml:space="preserve"> </w:t>
      </w:r>
      <w:r w:rsidR="0095347F">
        <w:rPr>
          <w:color w:val="000000"/>
          <w:lang w:val="fr-CH"/>
        </w:rPr>
        <w:t>a</w:t>
      </w:r>
      <w:r w:rsidR="0095347F" w:rsidRPr="0095347F">
        <w:rPr>
          <w:color w:val="000000"/>
          <w:lang w:val="fr-CH"/>
        </w:rPr>
        <w:t>insi que sur les bonnes pratiques qui pourraient être adopté</w:t>
      </w:r>
      <w:r w:rsidR="0095347F">
        <w:rPr>
          <w:color w:val="000000"/>
          <w:lang w:val="fr-CH"/>
        </w:rPr>
        <w:t>e</w:t>
      </w:r>
      <w:r w:rsidR="0095347F" w:rsidRPr="0095347F">
        <w:rPr>
          <w:color w:val="000000"/>
          <w:lang w:val="fr-CH"/>
        </w:rPr>
        <w:t>s</w:t>
      </w:r>
      <w:r w:rsidR="0095347F">
        <w:rPr>
          <w:color w:val="000000"/>
        </w:rPr>
        <w:t xml:space="preserve"> par les Comités de contrôle dans leurs travaux.</w:t>
      </w:r>
      <w:r w:rsidR="003D2B40">
        <w:rPr>
          <w:color w:val="000000"/>
        </w:rPr>
        <w:t xml:space="preserve"> </w:t>
      </w:r>
      <w:r w:rsidR="0095347F">
        <w:rPr>
          <w:lang w:val="fr-CH"/>
        </w:rPr>
        <w:t>Les participants ont débattu des risques,</w:t>
      </w:r>
      <w:r w:rsidR="00796393">
        <w:rPr>
          <w:lang w:val="fr-CH"/>
        </w:rPr>
        <w:t xml:space="preserve"> </w:t>
      </w:r>
      <w:r w:rsidR="0095347F" w:rsidRPr="0095347F">
        <w:rPr>
          <w:color w:val="000000"/>
          <w:lang w:val="fr-CH"/>
        </w:rPr>
        <w:t>connus et émergents</w:t>
      </w:r>
      <w:r w:rsidR="00083A9D" w:rsidRPr="0095347F">
        <w:rPr>
          <w:lang w:val="fr-CH"/>
        </w:rPr>
        <w:t xml:space="preserve"> (</w:t>
      </w:r>
      <w:r w:rsidR="002F5656">
        <w:rPr>
          <w:lang w:val="fr-CH"/>
        </w:rPr>
        <w:t>notamment</w:t>
      </w:r>
      <w:r w:rsidR="0095347F">
        <w:rPr>
          <w:lang w:val="fr-CH"/>
        </w:rPr>
        <w:t xml:space="preserve"> en ce qui concerne la fraude et la corruption), de </w:t>
      </w:r>
      <w:r w:rsidR="002F5656">
        <w:rPr>
          <w:lang w:val="fr-CH"/>
        </w:rPr>
        <w:t>la cyber</w:t>
      </w:r>
      <w:r w:rsidR="0095347F">
        <w:rPr>
          <w:lang w:val="fr-CH"/>
        </w:rPr>
        <w:t xml:space="preserve">sécurité et de la transformation numérique </w:t>
      </w:r>
      <w:r w:rsidR="00D43257">
        <w:rPr>
          <w:lang w:val="fr-CH"/>
        </w:rPr>
        <w:t xml:space="preserve">et </w:t>
      </w:r>
      <w:r w:rsidR="002F5656">
        <w:rPr>
          <w:lang w:val="fr-CH"/>
        </w:rPr>
        <w:t xml:space="preserve">de </w:t>
      </w:r>
      <w:r w:rsidR="00D43257">
        <w:rPr>
          <w:lang w:val="fr-CH"/>
        </w:rPr>
        <w:t>l</w:t>
      </w:r>
      <w:r w:rsidR="003D2B40">
        <w:rPr>
          <w:lang w:val="fr-CH"/>
        </w:rPr>
        <w:t>'</w:t>
      </w:r>
      <w:r w:rsidR="00D43257">
        <w:rPr>
          <w:lang w:val="fr-CH"/>
        </w:rPr>
        <w:t>état d</w:t>
      </w:r>
      <w:r w:rsidR="003D2B40">
        <w:rPr>
          <w:lang w:val="fr-CH"/>
        </w:rPr>
        <w:t>'</w:t>
      </w:r>
      <w:r w:rsidR="00D43257">
        <w:rPr>
          <w:lang w:val="fr-CH"/>
        </w:rPr>
        <w:t>avancement des</w:t>
      </w:r>
      <w:r w:rsidR="00796393">
        <w:rPr>
          <w:lang w:val="fr-CH"/>
        </w:rPr>
        <w:t xml:space="preserve"> </w:t>
      </w:r>
      <w:r w:rsidR="00D43257">
        <w:rPr>
          <w:color w:val="000000"/>
        </w:rPr>
        <w:t>méthodes de gestion des risques</w:t>
      </w:r>
      <w:r w:rsidR="00D43257" w:rsidRPr="00D43257">
        <w:rPr>
          <w:color w:val="000000"/>
        </w:rPr>
        <w:t xml:space="preserve"> </w:t>
      </w:r>
      <w:r w:rsidR="00D43257">
        <w:rPr>
          <w:color w:val="000000"/>
        </w:rPr>
        <w:t>à l</w:t>
      </w:r>
      <w:r w:rsidR="003D2B40">
        <w:rPr>
          <w:color w:val="000000"/>
        </w:rPr>
        <w:t>'</w:t>
      </w:r>
      <w:r w:rsidR="00D43257">
        <w:rPr>
          <w:color w:val="000000"/>
        </w:rPr>
        <w:t>échelle de l</w:t>
      </w:r>
      <w:r w:rsidR="003D2B40">
        <w:rPr>
          <w:color w:val="000000"/>
        </w:rPr>
        <w:t>'</w:t>
      </w:r>
      <w:r w:rsidR="00D43257">
        <w:rPr>
          <w:color w:val="000000"/>
        </w:rPr>
        <w:t>organisation appliquées</w:t>
      </w:r>
      <w:r w:rsidR="00796393">
        <w:rPr>
          <w:color w:val="000000"/>
        </w:rPr>
        <w:t xml:space="preserve"> </w:t>
      </w:r>
      <w:r w:rsidR="00D43257">
        <w:rPr>
          <w:color w:val="000000"/>
        </w:rPr>
        <w:t>dans l</w:t>
      </w:r>
      <w:r w:rsidR="003D2B40">
        <w:rPr>
          <w:color w:val="000000"/>
        </w:rPr>
        <w:t>'</w:t>
      </w:r>
      <w:r w:rsidR="00D43257">
        <w:rPr>
          <w:color w:val="000000"/>
        </w:rPr>
        <w:t>ensemble du système des Nations Unies</w:t>
      </w:r>
      <w:r w:rsidR="00CA0172">
        <w:rPr>
          <w:color w:val="000000"/>
        </w:rPr>
        <w:t>.</w:t>
      </w:r>
    </w:p>
    <w:p w:rsidR="00083A9D" w:rsidRPr="00F75F3E" w:rsidRDefault="00F75F3E" w:rsidP="00343A49">
      <w:pPr>
        <w:rPr>
          <w:lang w:val="fr-CH"/>
        </w:rPr>
      </w:pPr>
      <w:r w:rsidRPr="00F75F3E">
        <w:rPr>
          <w:lang w:val="fr-CH"/>
        </w:rPr>
        <w:t>1.8</w:t>
      </w:r>
      <w:r w:rsidRPr="00F75F3E">
        <w:rPr>
          <w:lang w:val="fr-CH"/>
        </w:rPr>
        <w:tab/>
      </w:r>
      <w:r w:rsidRPr="00AD7E73">
        <w:rPr>
          <w:lang w:val="fr-CH"/>
        </w:rPr>
        <w:t xml:space="preserve">Au cours de ses réunions, le CCIG a eu des discussions sur les questions de fond avec le Secrétaire général et le Vice-Secrétaire général, </w:t>
      </w:r>
      <w:r>
        <w:rPr>
          <w:lang w:val="fr-CH"/>
        </w:rPr>
        <w:t xml:space="preserve">le Département de la planification stratégique et des relations avec les membres, </w:t>
      </w:r>
      <w:r w:rsidRPr="00AD7E73">
        <w:rPr>
          <w:lang w:val="fr-CH"/>
        </w:rPr>
        <w:t>le Département de la gestion des ressources financières,</w:t>
      </w:r>
      <w:r w:rsidR="00796393">
        <w:rPr>
          <w:lang w:val="fr-CH"/>
        </w:rPr>
        <w:t xml:space="preserve"> </w:t>
      </w:r>
      <w:r w:rsidR="00920186">
        <w:rPr>
          <w:lang w:val="fr-CH"/>
        </w:rPr>
        <w:t xml:space="preserve">le </w:t>
      </w:r>
      <w:r w:rsidR="00796393">
        <w:rPr>
          <w:color w:val="000000"/>
        </w:rPr>
        <w:t>R</w:t>
      </w:r>
      <w:r w:rsidR="00920186">
        <w:rPr>
          <w:color w:val="000000"/>
        </w:rPr>
        <w:t>esponsable de l</w:t>
      </w:r>
      <w:r w:rsidR="003D2B40">
        <w:rPr>
          <w:color w:val="000000"/>
        </w:rPr>
        <w:t>'</w:t>
      </w:r>
      <w:r w:rsidR="00920186">
        <w:rPr>
          <w:color w:val="000000"/>
        </w:rPr>
        <w:t>éthique</w:t>
      </w:r>
      <w:r w:rsidRPr="00F75F3E">
        <w:rPr>
          <w:lang w:val="fr-CH"/>
        </w:rPr>
        <w:t xml:space="preserve">, </w:t>
      </w:r>
      <w:r w:rsidRPr="00AD7E73">
        <w:rPr>
          <w:lang w:val="fr-CH"/>
        </w:rPr>
        <w:t>l</w:t>
      </w:r>
      <w:r w:rsidR="003D2B40">
        <w:rPr>
          <w:lang w:val="fr-CH"/>
        </w:rPr>
        <w:t>'</w:t>
      </w:r>
      <w:r w:rsidRPr="00AD7E73">
        <w:rPr>
          <w:lang w:val="fr-CH"/>
        </w:rPr>
        <w:t>Auditeur interne, le Vérificateur extérieur des comptes et d</w:t>
      </w:r>
      <w:r w:rsidR="003D2B40">
        <w:rPr>
          <w:lang w:val="fr-CH"/>
        </w:rPr>
        <w:t>'</w:t>
      </w:r>
      <w:r w:rsidRPr="00AD7E73">
        <w:rPr>
          <w:lang w:val="fr-CH"/>
        </w:rPr>
        <w:t>autres représentants de la direction, selon les besoins</w:t>
      </w:r>
      <w:r>
        <w:rPr>
          <w:lang w:val="fr-CH"/>
        </w:rPr>
        <w:t>.</w:t>
      </w:r>
    </w:p>
    <w:p w:rsidR="00083A9D" w:rsidRPr="00796393" w:rsidRDefault="00F75F3E" w:rsidP="00343A49">
      <w:pPr>
        <w:pStyle w:val="Heading1"/>
        <w:rPr>
          <w:sz w:val="24"/>
          <w:szCs w:val="18"/>
          <w:lang w:val="fr-CH"/>
        </w:rPr>
      </w:pPr>
      <w:r w:rsidRPr="00796393">
        <w:rPr>
          <w:sz w:val="24"/>
          <w:szCs w:val="18"/>
          <w:lang w:val="fr-CH"/>
        </w:rPr>
        <w:t>2</w:t>
      </w:r>
      <w:r w:rsidRPr="00796393">
        <w:rPr>
          <w:sz w:val="24"/>
          <w:szCs w:val="18"/>
          <w:lang w:val="fr-CH"/>
        </w:rPr>
        <w:tab/>
      </w:r>
      <w:r w:rsidR="00FD3825" w:rsidRPr="00796393">
        <w:rPr>
          <w:sz w:val="24"/>
          <w:szCs w:val="18"/>
          <w:lang w:val="fr-CH"/>
        </w:rPr>
        <w:t>Suite donnée au cinquième rapport soumis par le CCIG au Conseil à sa session de 2016 et état d</w:t>
      </w:r>
      <w:r w:rsidR="003D2B40">
        <w:rPr>
          <w:sz w:val="24"/>
          <w:szCs w:val="18"/>
          <w:lang w:val="fr-CH"/>
        </w:rPr>
        <w:t>'</w:t>
      </w:r>
      <w:r w:rsidR="00FD3825" w:rsidRPr="00796393">
        <w:rPr>
          <w:sz w:val="24"/>
          <w:szCs w:val="18"/>
          <w:lang w:val="fr-CH"/>
        </w:rPr>
        <w:t>avancement de la mise en oeuvre des recommandations du CCIG</w:t>
      </w:r>
    </w:p>
    <w:p w:rsidR="00FD3825" w:rsidRPr="00796393" w:rsidRDefault="00FD3825" w:rsidP="00796393">
      <w:pPr>
        <w:rPr>
          <w:lang w:val="fr-CH"/>
        </w:rPr>
      </w:pPr>
      <w:r w:rsidRPr="00796393">
        <w:rPr>
          <w:lang w:val="fr-CH"/>
        </w:rPr>
        <w:t>2.1</w:t>
      </w:r>
      <w:r w:rsidRPr="00796393">
        <w:rPr>
          <w:lang w:val="fr-CH"/>
        </w:rPr>
        <w:tab/>
        <w:t>Afin d</w:t>
      </w:r>
      <w:r w:rsidR="003D2B40">
        <w:rPr>
          <w:lang w:val="fr-CH"/>
        </w:rPr>
        <w:t>'</w:t>
      </w:r>
      <w:r w:rsidRPr="00796393">
        <w:rPr>
          <w:lang w:val="fr-CH"/>
        </w:rPr>
        <w:t>aider le Conseil à suivre les mesures prises en application des recommandations du CCIG, le Comité a examiné l</w:t>
      </w:r>
      <w:r w:rsidR="003D2B40">
        <w:rPr>
          <w:lang w:val="fr-CH"/>
        </w:rPr>
        <w:t>'</w:t>
      </w:r>
      <w:r w:rsidRPr="00796393">
        <w:rPr>
          <w:lang w:val="fr-CH"/>
        </w:rPr>
        <w:t>état d</w:t>
      </w:r>
      <w:r w:rsidR="003D2B40">
        <w:rPr>
          <w:lang w:val="fr-CH"/>
        </w:rPr>
        <w:t>'</w:t>
      </w:r>
      <w:r w:rsidRPr="00796393">
        <w:rPr>
          <w:lang w:val="fr-CH"/>
        </w:rPr>
        <w:t>avancement de la mise en oeuvre des recommandations qu</w:t>
      </w:r>
      <w:r w:rsidR="003D2B40">
        <w:rPr>
          <w:lang w:val="fr-CH"/>
        </w:rPr>
        <w:t>'</w:t>
      </w:r>
      <w:r w:rsidRPr="00796393">
        <w:rPr>
          <w:lang w:val="fr-CH"/>
        </w:rPr>
        <w:t xml:space="preserve">il </w:t>
      </w:r>
      <w:r w:rsidRPr="00796393">
        <w:rPr>
          <w:lang w:val="fr-CH"/>
        </w:rPr>
        <w:lastRenderedPageBreak/>
        <w:t>avait formulées précédemment: 10 des 14 recommandations qu</w:t>
      </w:r>
      <w:r w:rsidR="003D2B40">
        <w:rPr>
          <w:lang w:val="fr-CH"/>
        </w:rPr>
        <w:t>'</w:t>
      </w:r>
      <w:r w:rsidRPr="00796393">
        <w:rPr>
          <w:lang w:val="fr-CH"/>
        </w:rPr>
        <w:t xml:space="preserve">il avait formulées en 2016 ont été mises en </w:t>
      </w:r>
      <w:r w:rsidR="0052263B">
        <w:rPr>
          <w:lang w:val="fr-CH"/>
        </w:rPr>
        <w:t>œuvre;</w:t>
      </w:r>
      <w:r w:rsidR="00796393" w:rsidRPr="00796393">
        <w:rPr>
          <w:lang w:val="fr-CH"/>
        </w:rPr>
        <w:t xml:space="preserve"> </w:t>
      </w:r>
      <w:r w:rsidRPr="00796393">
        <w:rPr>
          <w:lang w:val="fr-CH"/>
        </w:rPr>
        <w:t>les 6 recommandations qu</w:t>
      </w:r>
      <w:r w:rsidR="003D2B40">
        <w:rPr>
          <w:lang w:val="fr-CH"/>
        </w:rPr>
        <w:t>'</w:t>
      </w:r>
      <w:r w:rsidRPr="00796393">
        <w:rPr>
          <w:lang w:val="fr-CH"/>
        </w:rPr>
        <w:t>il avait formulées en 2015</w:t>
      </w:r>
      <w:r w:rsidR="00796393" w:rsidRPr="00796393">
        <w:rPr>
          <w:lang w:val="fr-CH"/>
        </w:rPr>
        <w:t xml:space="preserve"> ont été mises en oeuvre</w:t>
      </w:r>
      <w:r w:rsidR="00796393">
        <w:rPr>
          <w:lang w:val="fr-CH"/>
        </w:rPr>
        <w:t>; les </w:t>
      </w:r>
      <w:r w:rsidR="00796393" w:rsidRPr="00796393">
        <w:rPr>
          <w:lang w:val="fr-CH"/>
        </w:rPr>
        <w:t>9 </w:t>
      </w:r>
      <w:r w:rsidRPr="00796393">
        <w:rPr>
          <w:lang w:val="fr-CH"/>
        </w:rPr>
        <w:t>recommandations qu</w:t>
      </w:r>
      <w:r w:rsidR="003D2B40">
        <w:rPr>
          <w:lang w:val="fr-CH"/>
        </w:rPr>
        <w:t>'</w:t>
      </w:r>
      <w:r w:rsidRPr="00796393">
        <w:rPr>
          <w:lang w:val="fr-CH"/>
        </w:rPr>
        <w:t>il avait formulées en 2014</w:t>
      </w:r>
      <w:r w:rsidR="00796393" w:rsidRPr="00796393">
        <w:rPr>
          <w:lang w:val="fr-CH"/>
        </w:rPr>
        <w:t xml:space="preserve"> ont été mises en oeuvre; 7</w:t>
      </w:r>
      <w:r w:rsidR="00796393">
        <w:rPr>
          <w:lang w:val="fr-CH"/>
        </w:rPr>
        <w:t> des </w:t>
      </w:r>
      <w:r w:rsidR="00796393" w:rsidRPr="00796393">
        <w:rPr>
          <w:lang w:val="fr-CH"/>
        </w:rPr>
        <w:t>8</w:t>
      </w:r>
      <w:r w:rsidR="00796393">
        <w:rPr>
          <w:lang w:val="fr-CH"/>
        </w:rPr>
        <w:t> </w:t>
      </w:r>
      <w:r w:rsidRPr="00796393">
        <w:rPr>
          <w:lang w:val="fr-CH"/>
        </w:rPr>
        <w:t>recommandations qu</w:t>
      </w:r>
      <w:r w:rsidR="003D2B40">
        <w:rPr>
          <w:lang w:val="fr-CH"/>
        </w:rPr>
        <w:t>'</w:t>
      </w:r>
      <w:r w:rsidRPr="00796393">
        <w:rPr>
          <w:lang w:val="fr-CH"/>
        </w:rPr>
        <w:t>il avait formulées en 2013</w:t>
      </w:r>
      <w:r w:rsidR="00796393" w:rsidRPr="00796393">
        <w:rPr>
          <w:lang w:val="fr-CH"/>
        </w:rPr>
        <w:t xml:space="preserve"> ont été mises en oeuvre; et 5</w:t>
      </w:r>
      <w:r w:rsidR="00796393">
        <w:rPr>
          <w:lang w:val="fr-CH"/>
        </w:rPr>
        <w:t> </w:t>
      </w:r>
      <w:r w:rsidR="00796393" w:rsidRPr="00796393">
        <w:rPr>
          <w:lang w:val="fr-CH"/>
        </w:rPr>
        <w:t>des</w:t>
      </w:r>
      <w:r w:rsidR="00796393">
        <w:rPr>
          <w:lang w:val="fr-CH"/>
        </w:rPr>
        <w:t> </w:t>
      </w:r>
      <w:r w:rsidR="00796393" w:rsidRPr="00796393">
        <w:rPr>
          <w:lang w:val="fr-CH"/>
        </w:rPr>
        <w:t>6</w:t>
      </w:r>
      <w:r w:rsidR="00796393">
        <w:rPr>
          <w:lang w:val="fr-CH"/>
        </w:rPr>
        <w:t> </w:t>
      </w:r>
      <w:r w:rsidRPr="00796393">
        <w:rPr>
          <w:lang w:val="fr-CH"/>
        </w:rPr>
        <w:t>recommandations qu</w:t>
      </w:r>
      <w:r w:rsidR="003D2B40">
        <w:rPr>
          <w:lang w:val="fr-CH"/>
        </w:rPr>
        <w:t>'</w:t>
      </w:r>
      <w:r w:rsidRPr="00796393">
        <w:rPr>
          <w:lang w:val="fr-CH"/>
        </w:rPr>
        <w:t>il avait formulées en 2012</w:t>
      </w:r>
      <w:r w:rsidR="00796393" w:rsidRPr="00796393">
        <w:rPr>
          <w:lang w:val="fr-CH"/>
        </w:rPr>
        <w:t xml:space="preserve"> ont été mises en oeuvre.</w:t>
      </w:r>
    </w:p>
    <w:p w:rsidR="00083A9D" w:rsidRPr="00920186" w:rsidRDefault="00FD3825" w:rsidP="003D2B40">
      <w:pPr>
        <w:rPr>
          <w:lang w:val="fr-CH"/>
        </w:rPr>
      </w:pPr>
      <w:r w:rsidRPr="00920186">
        <w:rPr>
          <w:lang w:val="fr-CH"/>
        </w:rPr>
        <w:t>2.2</w:t>
      </w:r>
      <w:r w:rsidRPr="00920186">
        <w:rPr>
          <w:lang w:val="fr-CH"/>
        </w:rPr>
        <w:tab/>
      </w:r>
      <w:r w:rsidR="00920186" w:rsidRPr="00920186">
        <w:rPr>
          <w:color w:val="000000"/>
          <w:lang w:val="fr-CH"/>
        </w:rPr>
        <w:t xml:space="preserve">Le </w:t>
      </w:r>
      <w:r w:rsidR="00920186" w:rsidRPr="00920186">
        <w:rPr>
          <w:lang w:val="fr-CH"/>
        </w:rPr>
        <w:t>Comité</w:t>
      </w:r>
      <w:r w:rsidR="00920186" w:rsidRPr="00920186">
        <w:rPr>
          <w:color w:val="000000"/>
          <w:lang w:val="fr-CH"/>
        </w:rPr>
        <w:t xml:space="preserve"> s</w:t>
      </w:r>
      <w:r w:rsidR="003D2B40">
        <w:rPr>
          <w:color w:val="000000"/>
          <w:lang w:val="fr-CH"/>
        </w:rPr>
        <w:t>'</w:t>
      </w:r>
      <w:r w:rsidR="00920186" w:rsidRPr="00920186">
        <w:rPr>
          <w:color w:val="000000"/>
          <w:lang w:val="fr-CH"/>
        </w:rPr>
        <w:t>est félicité des progrès accomplis dans la mise en oeuvre des recommandations qu</w:t>
      </w:r>
      <w:r w:rsidR="003D2B40">
        <w:rPr>
          <w:color w:val="000000"/>
          <w:lang w:val="fr-CH"/>
        </w:rPr>
        <w:t>'</w:t>
      </w:r>
      <w:r w:rsidR="00920186" w:rsidRPr="00920186">
        <w:rPr>
          <w:color w:val="000000"/>
          <w:lang w:val="fr-CH"/>
        </w:rPr>
        <w:t>il avait formulées précédemment</w:t>
      </w:r>
      <w:r w:rsidR="00796393">
        <w:rPr>
          <w:lang w:val="fr-CH"/>
        </w:rPr>
        <w:t xml:space="preserve"> et a</w:t>
      </w:r>
      <w:r w:rsidR="00920186">
        <w:rPr>
          <w:lang w:val="fr-CH"/>
        </w:rPr>
        <w:t xml:space="preserve"> noté que le taux d</w:t>
      </w:r>
      <w:r w:rsidR="003D2B40">
        <w:rPr>
          <w:lang w:val="fr-CH"/>
        </w:rPr>
        <w:t>'</w:t>
      </w:r>
      <w:r w:rsidR="00920186">
        <w:rPr>
          <w:lang w:val="fr-CH"/>
        </w:rPr>
        <w:t>application s</w:t>
      </w:r>
      <w:r w:rsidR="003D2B40">
        <w:rPr>
          <w:lang w:val="fr-CH"/>
        </w:rPr>
        <w:t>'</w:t>
      </w:r>
      <w:r w:rsidR="00920186">
        <w:rPr>
          <w:lang w:val="fr-CH"/>
        </w:rPr>
        <w:t>améliorait</w:t>
      </w:r>
      <w:r w:rsidR="00083A9D" w:rsidRPr="00920186">
        <w:rPr>
          <w:lang w:val="fr-CH"/>
        </w:rPr>
        <w:t xml:space="preserve">; </w:t>
      </w:r>
      <w:r w:rsidR="00920186">
        <w:rPr>
          <w:lang w:val="fr-CH"/>
        </w:rPr>
        <w:t xml:space="preserve">désormais, les recommandations sont mises en œuvre plus rapidement et des </w:t>
      </w:r>
      <w:r w:rsidR="00796393">
        <w:rPr>
          <w:lang w:val="fr-CH"/>
        </w:rPr>
        <w:t>délais</w:t>
      </w:r>
      <w:r w:rsidR="00920186">
        <w:rPr>
          <w:lang w:val="fr-CH"/>
        </w:rPr>
        <w:t xml:space="preserve"> sont </w:t>
      </w:r>
      <w:r w:rsidR="00796393">
        <w:rPr>
          <w:lang w:val="fr-CH"/>
        </w:rPr>
        <w:t>indiqués</w:t>
      </w:r>
      <w:r w:rsidR="00920186">
        <w:rPr>
          <w:lang w:val="fr-CH"/>
        </w:rPr>
        <w:t xml:space="preserve"> dans les recommandations en cours d</w:t>
      </w:r>
      <w:r w:rsidR="003D2B40">
        <w:rPr>
          <w:lang w:val="fr-CH"/>
        </w:rPr>
        <w:t>'</w:t>
      </w:r>
      <w:r w:rsidR="00920186">
        <w:rPr>
          <w:lang w:val="fr-CH"/>
        </w:rPr>
        <w:t>élaboration.</w:t>
      </w:r>
      <w:r w:rsidR="00796393">
        <w:rPr>
          <w:lang w:val="fr-CH"/>
        </w:rPr>
        <w:t xml:space="preserve"> </w:t>
      </w:r>
    </w:p>
    <w:p w:rsidR="00083A9D" w:rsidRPr="00920186" w:rsidRDefault="00BB32B3" w:rsidP="00796393">
      <w:pPr>
        <w:rPr>
          <w:lang w:val="fr-CH"/>
        </w:rPr>
      </w:pPr>
      <w:r w:rsidRPr="00920186">
        <w:rPr>
          <w:lang w:val="fr-CH"/>
        </w:rPr>
        <w:t>2.3</w:t>
      </w:r>
      <w:r w:rsidRPr="00920186">
        <w:rPr>
          <w:lang w:val="fr-CH"/>
        </w:rPr>
        <w:tab/>
      </w:r>
      <w:r w:rsidR="00920186">
        <w:rPr>
          <w:color w:val="000000"/>
        </w:rPr>
        <w:t>Des statistiques détaillées sur le taux de mise en oeuvre</w:t>
      </w:r>
      <w:r w:rsidR="00796393">
        <w:rPr>
          <w:color w:val="000000"/>
        </w:rPr>
        <w:t xml:space="preserve"> des r</w:t>
      </w:r>
      <w:r w:rsidR="00920186">
        <w:rPr>
          <w:color w:val="000000"/>
        </w:rPr>
        <w:t>ecommandations du CCIG sont données dans l</w:t>
      </w:r>
      <w:r w:rsidR="003D2B40">
        <w:rPr>
          <w:color w:val="000000"/>
        </w:rPr>
        <w:t>'</w:t>
      </w:r>
      <w:r w:rsidR="00920186">
        <w:rPr>
          <w:color w:val="000000"/>
        </w:rPr>
        <w:t>Annexe 1.</w:t>
      </w:r>
      <w:r w:rsidR="00796393">
        <w:rPr>
          <w:color w:val="000000"/>
        </w:rPr>
        <w:t xml:space="preserve"> </w:t>
      </w:r>
    </w:p>
    <w:p w:rsidR="00083A9D" w:rsidRPr="00796393" w:rsidRDefault="004B4969" w:rsidP="00796393">
      <w:pPr>
        <w:pStyle w:val="Heading1"/>
        <w:rPr>
          <w:sz w:val="24"/>
          <w:szCs w:val="18"/>
          <w:lang w:val="fr-CH"/>
        </w:rPr>
      </w:pPr>
      <w:r w:rsidRPr="00796393">
        <w:rPr>
          <w:sz w:val="24"/>
          <w:szCs w:val="18"/>
          <w:lang w:val="fr-CH"/>
        </w:rPr>
        <w:t>3</w:t>
      </w:r>
      <w:r w:rsidRPr="00796393">
        <w:rPr>
          <w:sz w:val="24"/>
          <w:szCs w:val="18"/>
          <w:lang w:val="fr-CH"/>
        </w:rPr>
        <w:tab/>
      </w:r>
      <w:r w:rsidR="00FB5C36" w:rsidRPr="00796393">
        <w:rPr>
          <w:sz w:val="24"/>
          <w:szCs w:val="18"/>
          <w:lang w:val="fr-CH"/>
        </w:rPr>
        <w:t xml:space="preserve">Principales questions examinées, conclusions et recommandations pour </w:t>
      </w:r>
      <w:r w:rsidR="00083A9D" w:rsidRPr="00796393">
        <w:rPr>
          <w:sz w:val="24"/>
          <w:szCs w:val="18"/>
          <w:lang w:val="fr-CH"/>
        </w:rPr>
        <w:t>2017</w:t>
      </w:r>
    </w:p>
    <w:p w:rsidR="00083A9D" w:rsidRPr="00BF2944" w:rsidRDefault="00FB5C36" w:rsidP="00796393">
      <w:pPr>
        <w:pStyle w:val="Headingb"/>
        <w:rPr>
          <w:lang w:val="fr-CH"/>
        </w:rPr>
      </w:pPr>
      <w:r w:rsidRPr="00BF2944">
        <w:rPr>
          <w:lang w:val="fr-CH"/>
        </w:rPr>
        <w:t>Gestion financière</w:t>
      </w:r>
    </w:p>
    <w:p w:rsidR="00083A9D" w:rsidRDefault="004B4969" w:rsidP="00796393">
      <w:r w:rsidRPr="004C6E0F">
        <w:rPr>
          <w:lang w:val="fr-CH"/>
        </w:rPr>
        <w:t>3.1</w:t>
      </w:r>
      <w:r w:rsidRPr="004C6E0F">
        <w:rPr>
          <w:lang w:val="fr-CH"/>
        </w:rPr>
        <w:tab/>
      </w:r>
      <w:r w:rsidR="00920186" w:rsidRPr="004C6E0F">
        <w:rPr>
          <w:lang w:val="fr-CH"/>
        </w:rPr>
        <w:t xml:space="preserve">Le </w:t>
      </w:r>
      <w:r w:rsidR="004B3438" w:rsidRPr="004C6E0F">
        <w:rPr>
          <w:lang w:val="fr-CH"/>
        </w:rPr>
        <w:t xml:space="preserve">CCIG </w:t>
      </w:r>
      <w:r w:rsidR="00920186" w:rsidRPr="004C6E0F">
        <w:rPr>
          <w:lang w:val="fr-CH"/>
        </w:rPr>
        <w:t>a examiné le</w:t>
      </w:r>
      <w:r w:rsidR="00796393">
        <w:rPr>
          <w:lang w:val="fr-CH"/>
        </w:rPr>
        <w:t xml:space="preserve"> </w:t>
      </w:r>
      <w:r w:rsidR="00796393">
        <w:rPr>
          <w:color w:val="000000"/>
          <w:lang w:val="fr-CH"/>
        </w:rPr>
        <w:t>r</w:t>
      </w:r>
      <w:r w:rsidR="00920186" w:rsidRPr="004C6E0F">
        <w:rPr>
          <w:color w:val="000000"/>
          <w:lang w:val="fr-CH"/>
        </w:rPr>
        <w:t>apport de gestion financière de l</w:t>
      </w:r>
      <w:r w:rsidR="003D2B40">
        <w:rPr>
          <w:color w:val="000000"/>
          <w:lang w:val="fr-CH"/>
        </w:rPr>
        <w:t>'</w:t>
      </w:r>
      <w:r w:rsidR="00920186" w:rsidRPr="004C6E0F">
        <w:rPr>
          <w:color w:val="000000"/>
          <w:lang w:val="fr-CH"/>
        </w:rPr>
        <w:t xml:space="preserve">UIT pour </w:t>
      </w:r>
      <w:r w:rsidR="00083A9D" w:rsidRPr="004C6E0F">
        <w:rPr>
          <w:lang w:val="fr-CH"/>
        </w:rPr>
        <w:t xml:space="preserve">2016 </w:t>
      </w:r>
      <w:r w:rsidR="004C6E0F" w:rsidRPr="004C6E0F">
        <w:rPr>
          <w:lang w:val="fr-CH"/>
        </w:rPr>
        <w:t xml:space="preserve">et </w:t>
      </w:r>
      <w:r w:rsidR="00796393">
        <w:rPr>
          <w:lang w:val="fr-CH"/>
        </w:rPr>
        <w:t>a</w:t>
      </w:r>
      <w:r w:rsidR="004C6E0F" w:rsidRPr="004C6E0F">
        <w:rPr>
          <w:lang w:val="fr-CH"/>
        </w:rPr>
        <w:t xml:space="preserve"> analys</w:t>
      </w:r>
      <w:r w:rsidR="00796393">
        <w:rPr>
          <w:lang w:val="fr-CH"/>
        </w:rPr>
        <w:t>é</w:t>
      </w:r>
      <w:r w:rsidR="004C6E0F" w:rsidRPr="004C6E0F">
        <w:rPr>
          <w:lang w:val="fr-CH"/>
        </w:rPr>
        <w:t xml:space="preserve"> les résultats financiers et les questions financières avec la direction. Il a noté que les Vérificateurs</w:t>
      </w:r>
      <w:r w:rsidR="00796393">
        <w:rPr>
          <w:lang w:val="fr-CH"/>
        </w:rPr>
        <w:t xml:space="preserve"> </w:t>
      </w:r>
      <w:r w:rsidR="004C6E0F" w:rsidRPr="004C6E0F">
        <w:rPr>
          <w:lang w:val="fr-CH"/>
        </w:rPr>
        <w:t>extérieurs des comptes</w:t>
      </w:r>
      <w:r w:rsidR="00796393">
        <w:rPr>
          <w:lang w:val="fr-CH"/>
        </w:rPr>
        <w:t xml:space="preserve"> </w:t>
      </w:r>
      <w:r w:rsidR="004C6E0F" w:rsidRPr="004C6E0F">
        <w:rPr>
          <w:lang w:val="fr-CH"/>
        </w:rPr>
        <w:t>avaient</w:t>
      </w:r>
      <w:r w:rsidR="00083A9D" w:rsidRPr="004C6E0F">
        <w:rPr>
          <w:lang w:val="fr-CH"/>
        </w:rPr>
        <w:t xml:space="preserve"> </w:t>
      </w:r>
      <w:r w:rsidR="004C6E0F" w:rsidRPr="004C6E0F">
        <w:rPr>
          <w:color w:val="000000"/>
          <w:lang w:val="fr-CH"/>
        </w:rPr>
        <w:t>formulé un</w:t>
      </w:r>
      <w:r w:rsidR="00796393">
        <w:rPr>
          <w:color w:val="000000"/>
          <w:lang w:val="fr-CH"/>
        </w:rPr>
        <w:t xml:space="preserve"> </w:t>
      </w:r>
      <w:r w:rsidR="004C6E0F" w:rsidRPr="004C6E0F">
        <w:rPr>
          <w:color w:val="000000"/>
          <w:lang w:val="fr-CH"/>
        </w:rPr>
        <w:t>avis sans réserve</w:t>
      </w:r>
      <w:r w:rsidR="00796393">
        <w:rPr>
          <w:color w:val="000000"/>
          <w:lang w:val="fr-CH"/>
        </w:rPr>
        <w:t xml:space="preserve">, </w:t>
      </w:r>
      <w:r w:rsidR="004C6E0F">
        <w:rPr>
          <w:lang w:val="fr-CH"/>
        </w:rPr>
        <w:t>assorti</w:t>
      </w:r>
      <w:r w:rsidR="00796393">
        <w:rPr>
          <w:lang w:val="fr-CH"/>
        </w:rPr>
        <w:t xml:space="preserve"> en 2015</w:t>
      </w:r>
      <w:r w:rsidR="004C6E0F">
        <w:rPr>
          <w:lang w:val="fr-CH"/>
        </w:rPr>
        <w:t xml:space="preserve"> </w:t>
      </w:r>
      <w:r w:rsidR="004C6E0F">
        <w:rPr>
          <w:color w:val="000000"/>
        </w:rPr>
        <w:t>d</w:t>
      </w:r>
      <w:r w:rsidR="003D2B40">
        <w:rPr>
          <w:color w:val="000000"/>
        </w:rPr>
        <w:t>'</w:t>
      </w:r>
      <w:r w:rsidR="004C6E0F">
        <w:rPr>
          <w:color w:val="000000"/>
        </w:rPr>
        <w:t>u</w:t>
      </w:r>
      <w:r w:rsidR="00796393">
        <w:rPr>
          <w:color w:val="000000"/>
        </w:rPr>
        <w:t>n exposé de la situation relative</w:t>
      </w:r>
      <w:r w:rsidR="004C6E0F">
        <w:rPr>
          <w:color w:val="000000"/>
        </w:rPr>
        <w:t xml:space="preserve"> à l</w:t>
      </w:r>
      <w:r w:rsidR="003D2B40">
        <w:rPr>
          <w:color w:val="000000"/>
        </w:rPr>
        <w:t>'</w:t>
      </w:r>
      <w:r w:rsidR="004C6E0F">
        <w:rPr>
          <w:color w:val="000000"/>
        </w:rPr>
        <w:t>actif net négatif imputable aux passifs actuariels correspondant aux prestations à long terme dues aux employés</w:t>
      </w:r>
      <w:r w:rsidR="00BD3430">
        <w:rPr>
          <w:color w:val="000000"/>
        </w:rPr>
        <w:t>.</w:t>
      </w:r>
      <w:r w:rsidR="00796393">
        <w:rPr>
          <w:lang w:val="fr-CH"/>
        </w:rPr>
        <w:t xml:space="preserve"> </w:t>
      </w:r>
      <w:r w:rsidR="00D279ED" w:rsidRPr="00BA0BD6">
        <w:t>Cet exposé de la situation ne modifie pas l</w:t>
      </w:r>
      <w:r w:rsidR="003D2B40">
        <w:t>'</w:t>
      </w:r>
      <w:r w:rsidR="00D279ED" w:rsidRPr="00BA0BD6">
        <w:t>avis sans réserve formulé sur les états financiers</w:t>
      </w:r>
      <w:r w:rsidR="00D279ED">
        <w:t>, mais fait ressortir une question qui, de l</w:t>
      </w:r>
      <w:r w:rsidR="003D2B40">
        <w:t>'</w:t>
      </w:r>
      <w:r w:rsidR="00D279ED">
        <w:t xml:space="preserve">avis de des Vérificateurs extérieurs des comptes, revêt une telle importance </w:t>
      </w:r>
      <w:r w:rsidR="00D279ED">
        <w:rPr>
          <w:rFonts w:eastAsia="SimSun" w:cs="SimSun"/>
          <w:lang w:eastAsia="en-GB" w:bidi="en-US"/>
        </w:rPr>
        <w:t>qu</w:t>
      </w:r>
      <w:r w:rsidR="003D2B40">
        <w:rPr>
          <w:rFonts w:eastAsia="SimSun" w:cs="SimSun"/>
          <w:lang w:eastAsia="en-GB" w:bidi="en-US"/>
        </w:rPr>
        <w:t>'</w:t>
      </w:r>
      <w:r w:rsidR="00D279ED">
        <w:rPr>
          <w:rFonts w:eastAsia="SimSun" w:cs="SimSun"/>
          <w:lang w:eastAsia="en-GB" w:bidi="en-US"/>
        </w:rPr>
        <w:t>elle est essentielle pour permettre aux utilisateurs de comprendre les états financiers</w:t>
      </w:r>
      <w:r w:rsidR="00083A9D">
        <w:t>.</w:t>
      </w:r>
    </w:p>
    <w:p w:rsidR="00083A9D" w:rsidRPr="003F6B39" w:rsidRDefault="004B4969" w:rsidP="00796393">
      <w:r w:rsidRPr="003F6B39">
        <w:t>3.2</w:t>
      </w:r>
      <w:r w:rsidRPr="003F6B39">
        <w:tab/>
      </w:r>
      <w:r w:rsidR="004C6E0F" w:rsidRPr="003F6B39">
        <w:t xml:space="preserve">Le </w:t>
      </w:r>
      <w:r w:rsidR="004B3438" w:rsidRPr="003F6B39">
        <w:t>CCIG</w:t>
      </w:r>
      <w:r w:rsidR="00796393">
        <w:t xml:space="preserve"> </w:t>
      </w:r>
      <w:r w:rsidR="004C6E0F" w:rsidRPr="003F6B39">
        <w:t>félicite la direction</w:t>
      </w:r>
      <w:r w:rsidR="003F6B39" w:rsidRPr="003F6B39">
        <w:t xml:space="preserve"> d</w:t>
      </w:r>
      <w:r w:rsidR="003D2B40">
        <w:t>'</w:t>
      </w:r>
      <w:r w:rsidR="003F6B39" w:rsidRPr="003F6B39">
        <w:t>avoir à nouveau obtenu</w:t>
      </w:r>
      <w:r w:rsidR="004C6E0F" w:rsidRPr="003F6B39">
        <w:t xml:space="preserve"> </w:t>
      </w:r>
      <w:r w:rsidR="003F6B39">
        <w:t>le résultat souhaité, à savoir l</w:t>
      </w:r>
      <w:r w:rsidR="003D2B40">
        <w:rPr>
          <w:color w:val="000000"/>
          <w:lang w:val="fr-CH"/>
        </w:rPr>
        <w:t>'</w:t>
      </w:r>
      <w:r w:rsidR="003F6B39" w:rsidRPr="004C6E0F">
        <w:rPr>
          <w:color w:val="000000"/>
          <w:lang w:val="fr-CH"/>
        </w:rPr>
        <w:t>avis</w:t>
      </w:r>
      <w:r w:rsidR="00796393">
        <w:rPr>
          <w:color w:val="000000"/>
          <w:lang w:val="fr-CH"/>
        </w:rPr>
        <w:t xml:space="preserve"> </w:t>
      </w:r>
      <w:r w:rsidR="003F6B39">
        <w:t>sans réserve formulé par</w:t>
      </w:r>
      <w:r w:rsidR="00796393">
        <w:t xml:space="preserve"> </w:t>
      </w:r>
      <w:r w:rsidR="003F6B39" w:rsidRPr="004C6E0F">
        <w:rPr>
          <w:lang w:val="fr-CH"/>
        </w:rPr>
        <w:t>les Vérificateurs</w:t>
      </w:r>
      <w:r w:rsidR="00796393">
        <w:rPr>
          <w:lang w:val="fr-CH"/>
        </w:rPr>
        <w:t xml:space="preserve"> </w:t>
      </w:r>
      <w:r w:rsidR="003F6B39" w:rsidRPr="004C6E0F">
        <w:rPr>
          <w:lang w:val="fr-CH"/>
        </w:rPr>
        <w:t>extérieurs des comptes</w:t>
      </w:r>
      <w:r w:rsidR="00CA0172">
        <w:rPr>
          <w:lang w:val="fr-CH"/>
        </w:rPr>
        <w:t>.</w:t>
      </w:r>
      <w:r w:rsidR="00796393">
        <w:rPr>
          <w:lang w:val="fr-CH"/>
        </w:rPr>
        <w:t xml:space="preserve"> </w:t>
      </w:r>
    </w:p>
    <w:p w:rsidR="00083A9D" w:rsidRPr="003F6B39" w:rsidRDefault="004B4969" w:rsidP="00796393">
      <w:pPr>
        <w:rPr>
          <w:lang w:val="fr-CH"/>
        </w:rPr>
      </w:pPr>
      <w:r w:rsidRPr="003F6B39">
        <w:t>3.3</w:t>
      </w:r>
      <w:r w:rsidRPr="003F6B39">
        <w:tab/>
      </w:r>
      <w:r w:rsidR="003F6B39" w:rsidRPr="003F6B39">
        <w:t xml:space="preserve">Le </w:t>
      </w:r>
      <w:r w:rsidR="004B3438" w:rsidRPr="003F6B39">
        <w:t xml:space="preserve">CCIG </w:t>
      </w:r>
      <w:r w:rsidR="003F6B39" w:rsidRPr="003F6B39">
        <w:t>a relevé que toutes les recommandations</w:t>
      </w:r>
      <w:r w:rsidR="00796393">
        <w:t xml:space="preserve"> figurant dans le</w:t>
      </w:r>
      <w:r w:rsidR="003F6B39" w:rsidRPr="003F6B39">
        <w:t xml:space="preserve"> rapport annuel pr</w:t>
      </w:r>
      <w:r w:rsidR="00796393">
        <w:t>é</w:t>
      </w:r>
      <w:r w:rsidR="003F6B39" w:rsidRPr="003F6B39">
        <w:t>c</w:t>
      </w:r>
      <w:r w:rsidR="00796393">
        <w:t>é</w:t>
      </w:r>
      <w:r w:rsidR="003F6B39" w:rsidRPr="003F6B39">
        <w:t>dent du</w:t>
      </w:r>
      <w:r w:rsidR="00796393">
        <w:t xml:space="preserve"> </w:t>
      </w:r>
      <w:r w:rsidR="004B3438" w:rsidRPr="003F6B39">
        <w:t>CCIG</w:t>
      </w:r>
      <w:r w:rsidR="00796393">
        <w:t xml:space="preserve"> </w:t>
      </w:r>
      <w:r w:rsidR="003F6B39" w:rsidRPr="003F6B39">
        <w:t xml:space="preserve">concernant la gestion financière </w:t>
      </w:r>
      <w:r w:rsidR="003F6B39">
        <w:t>avaient été prises en compte ou étaient en cours de mise en œuvre.</w:t>
      </w:r>
      <w:r w:rsidR="00796393">
        <w:t xml:space="preserve"> </w:t>
      </w:r>
    </w:p>
    <w:p w:rsidR="00083A9D" w:rsidRPr="003F6B39" w:rsidRDefault="004B4969" w:rsidP="00796393">
      <w:pPr>
        <w:rPr>
          <w:lang w:val="fr-CH"/>
        </w:rPr>
      </w:pPr>
      <w:r w:rsidRPr="003F6B39">
        <w:rPr>
          <w:lang w:val="fr-CH"/>
        </w:rPr>
        <w:t>3.4</w:t>
      </w:r>
      <w:r w:rsidRPr="003F6B39">
        <w:rPr>
          <w:lang w:val="fr-CH"/>
        </w:rPr>
        <w:tab/>
      </w:r>
      <w:r w:rsidR="00796393">
        <w:rPr>
          <w:lang w:val="fr-CH"/>
        </w:rPr>
        <w:t xml:space="preserve"> </w:t>
      </w:r>
      <w:r w:rsidR="003F6B39" w:rsidRPr="003F6B39">
        <w:rPr>
          <w:lang w:val="fr-CH"/>
        </w:rPr>
        <w:t>Dans les domaines dans lesquels le CCIG a</w:t>
      </w:r>
      <w:r w:rsidR="00796393">
        <w:rPr>
          <w:lang w:val="fr-CH"/>
        </w:rPr>
        <w:t>vait</w:t>
      </w:r>
      <w:r w:rsidR="003F6B39" w:rsidRPr="003F6B39">
        <w:rPr>
          <w:lang w:val="fr-CH"/>
        </w:rPr>
        <w:t xml:space="preserve"> recommandé une amélioration</w:t>
      </w:r>
      <w:r w:rsidR="00796393">
        <w:rPr>
          <w:lang w:val="fr-CH"/>
        </w:rPr>
        <w:t xml:space="preserve"> </w:t>
      </w:r>
      <w:r w:rsidR="003F6B39" w:rsidRPr="003F6B39">
        <w:rPr>
          <w:lang w:val="fr-CH"/>
        </w:rPr>
        <w:t>de</w:t>
      </w:r>
      <w:r w:rsidR="00796393">
        <w:rPr>
          <w:lang w:val="fr-CH"/>
        </w:rPr>
        <w:t xml:space="preserve"> </w:t>
      </w:r>
      <w:r w:rsidR="003F6B39" w:rsidRPr="003F6B39">
        <w:rPr>
          <w:color w:val="000000"/>
          <w:lang w:val="fr-CH"/>
        </w:rPr>
        <w:t>l</w:t>
      </w:r>
      <w:r w:rsidR="003D2B40">
        <w:rPr>
          <w:color w:val="000000"/>
          <w:lang w:val="fr-CH"/>
        </w:rPr>
        <w:t>'</w:t>
      </w:r>
      <w:r w:rsidR="003F6B39" w:rsidRPr="003F6B39">
        <w:rPr>
          <w:color w:val="000000"/>
          <w:lang w:val="fr-CH"/>
        </w:rPr>
        <w:t>établissement de rapports financiers,</w:t>
      </w:r>
      <w:r w:rsidR="003F6B39" w:rsidRPr="003F6B39">
        <w:rPr>
          <w:lang w:val="fr-CH"/>
        </w:rPr>
        <w:t xml:space="preserve"> l</w:t>
      </w:r>
      <w:r w:rsidR="003D2B40">
        <w:rPr>
          <w:lang w:val="fr-CH"/>
        </w:rPr>
        <w:t>'</w:t>
      </w:r>
      <w:r w:rsidR="003F6B39" w:rsidRPr="003F6B39">
        <w:rPr>
          <w:lang w:val="fr-CH"/>
        </w:rPr>
        <w:t xml:space="preserve">UIT a appliqué les recommandations formulées par le Comité </w:t>
      </w:r>
      <w:r w:rsidR="00796393">
        <w:rPr>
          <w:lang w:val="fr-CH"/>
        </w:rPr>
        <w:t>et</w:t>
      </w:r>
      <w:r w:rsidR="003F6B39">
        <w:rPr>
          <w:lang w:val="fr-CH"/>
        </w:rPr>
        <w:t xml:space="preserve"> apporté des améliorations aux états financiers pour 2016 qui sont présentés au</w:t>
      </w:r>
      <w:r w:rsidR="00796393">
        <w:rPr>
          <w:lang w:val="fr-CH"/>
        </w:rPr>
        <w:t xml:space="preserve"> Conseil à sa session de 2017. </w:t>
      </w:r>
      <w:r w:rsidR="003F6B39" w:rsidRPr="003F6B39">
        <w:rPr>
          <w:lang w:val="fr-CH"/>
        </w:rPr>
        <w:t>Pour ce qui est des recommandations formulées à propos de l</w:t>
      </w:r>
      <w:r w:rsidR="003D2B40">
        <w:rPr>
          <w:lang w:val="fr-CH"/>
        </w:rPr>
        <w:t>'</w:t>
      </w:r>
      <w:r w:rsidR="003F6B39" w:rsidRPr="003F6B39">
        <w:rPr>
          <w:lang w:val="fr-CH"/>
        </w:rPr>
        <w:t>évaluation actuarielle</w:t>
      </w:r>
      <w:r w:rsidR="00796393">
        <w:rPr>
          <w:lang w:val="fr-CH"/>
        </w:rPr>
        <w:t xml:space="preserve"> </w:t>
      </w:r>
      <w:r w:rsidR="003F6B39" w:rsidRPr="003F6B39">
        <w:rPr>
          <w:lang w:val="fr-CH"/>
        </w:rPr>
        <w:t>et l</w:t>
      </w:r>
      <w:r w:rsidR="003D2B40">
        <w:rPr>
          <w:lang w:val="fr-CH"/>
        </w:rPr>
        <w:t>'</w:t>
      </w:r>
      <w:r w:rsidR="00796393">
        <w:rPr>
          <w:lang w:val="fr-CH"/>
        </w:rPr>
        <w:t>ASHI ainsi que</w:t>
      </w:r>
      <w:r w:rsidR="003F6B39">
        <w:rPr>
          <w:lang w:val="fr-CH"/>
        </w:rPr>
        <w:t xml:space="preserve"> de la coordination avec le</w:t>
      </w:r>
      <w:r w:rsidR="00083A9D" w:rsidRPr="003F6B39">
        <w:rPr>
          <w:lang w:val="fr-CH"/>
        </w:rPr>
        <w:t xml:space="preserve"> </w:t>
      </w:r>
      <w:r w:rsidR="003F6B39">
        <w:rPr>
          <w:color w:val="000000"/>
        </w:rPr>
        <w:t>Groupe de travail des Nations Unies sur l</w:t>
      </w:r>
      <w:r w:rsidR="003D2B40">
        <w:rPr>
          <w:color w:val="000000"/>
        </w:rPr>
        <w:t>'</w:t>
      </w:r>
      <w:r w:rsidR="003F6B39">
        <w:rPr>
          <w:color w:val="000000"/>
        </w:rPr>
        <w:t>ASHI</w:t>
      </w:r>
      <w:r w:rsidR="00083A9D" w:rsidRPr="003F6B39">
        <w:rPr>
          <w:lang w:val="fr-CH"/>
        </w:rPr>
        <w:t>,</w:t>
      </w:r>
      <w:r w:rsidR="007F23F6">
        <w:rPr>
          <w:lang w:val="fr-CH"/>
        </w:rPr>
        <w:t xml:space="preserve"> celles-ci sont toujours en cours de mise en œuvre</w:t>
      </w:r>
      <w:r w:rsidR="001427FF">
        <w:rPr>
          <w:lang w:val="fr-CH"/>
        </w:rPr>
        <w:t>.</w:t>
      </w:r>
    </w:p>
    <w:p w:rsidR="00083A9D" w:rsidRPr="007F23F6" w:rsidRDefault="004B4969" w:rsidP="00796393">
      <w:pPr>
        <w:rPr>
          <w:lang w:val="fr-CH"/>
        </w:rPr>
      </w:pPr>
      <w:r w:rsidRPr="007F23F6">
        <w:rPr>
          <w:lang w:val="fr-CH"/>
        </w:rPr>
        <w:t>3.5</w:t>
      </w:r>
      <w:r w:rsidRPr="007F23F6">
        <w:rPr>
          <w:lang w:val="fr-CH"/>
        </w:rPr>
        <w:tab/>
      </w:r>
      <w:r w:rsidR="007F23F6" w:rsidRPr="007F23F6">
        <w:rPr>
          <w:lang w:val="fr-CH"/>
        </w:rPr>
        <w:t>Le CCIG est reconnaissant au Département de la gestion des ressources financières d</w:t>
      </w:r>
      <w:r w:rsidR="003D2B40">
        <w:rPr>
          <w:lang w:val="fr-CH"/>
        </w:rPr>
        <w:t>'</w:t>
      </w:r>
      <w:r w:rsidR="007F23F6" w:rsidRPr="007F23F6">
        <w:rPr>
          <w:lang w:val="fr-CH"/>
        </w:rPr>
        <w:t>avoir contribué de manière constructive</w:t>
      </w:r>
      <w:r w:rsidR="007F23F6">
        <w:rPr>
          <w:lang w:val="fr-CH"/>
        </w:rPr>
        <w:t xml:space="preserve"> aux</w:t>
      </w:r>
      <w:r w:rsidR="00796393">
        <w:rPr>
          <w:lang w:val="fr-CH"/>
        </w:rPr>
        <w:t xml:space="preserve"> </w:t>
      </w:r>
      <w:r w:rsidR="007F23F6" w:rsidRPr="007F23F6">
        <w:rPr>
          <w:lang w:val="fr-CH"/>
        </w:rPr>
        <w:t>travaux du Comité et d</w:t>
      </w:r>
      <w:r w:rsidR="003D2B40">
        <w:rPr>
          <w:lang w:val="fr-CH"/>
        </w:rPr>
        <w:t>'</w:t>
      </w:r>
      <w:r w:rsidR="007F23F6" w:rsidRPr="007F23F6">
        <w:rPr>
          <w:lang w:val="fr-CH"/>
        </w:rPr>
        <w:t xml:space="preserve">avoir coopéré avec lui </w:t>
      </w:r>
      <w:r w:rsidR="00796393">
        <w:rPr>
          <w:lang w:val="fr-CH"/>
        </w:rPr>
        <w:t>en vue d</w:t>
      </w:r>
      <w:r w:rsidR="003D2B40">
        <w:rPr>
          <w:lang w:val="fr-CH"/>
        </w:rPr>
        <w:t>'</w:t>
      </w:r>
      <w:r w:rsidR="007F23F6">
        <w:rPr>
          <w:lang w:val="fr-CH"/>
        </w:rPr>
        <w:t>instaurer une relation de travail</w:t>
      </w:r>
      <w:r w:rsidR="00796393">
        <w:rPr>
          <w:lang w:val="fr-CH"/>
        </w:rPr>
        <w:t xml:space="preserve"> </w:t>
      </w:r>
      <w:r w:rsidR="007F23F6">
        <w:rPr>
          <w:lang w:val="fr-CH"/>
        </w:rPr>
        <w:t>efficace.</w:t>
      </w:r>
    </w:p>
    <w:p w:rsidR="00083A9D" w:rsidRPr="00BF2944" w:rsidRDefault="00D279ED" w:rsidP="002B69A3">
      <w:pPr>
        <w:pStyle w:val="Headingb"/>
        <w:rPr>
          <w:rFonts w:asciiTheme="minorHAnsi" w:hAnsiTheme="minorHAnsi"/>
          <w:bCs/>
          <w:szCs w:val="24"/>
          <w:lang w:val="fr-CH"/>
        </w:rPr>
      </w:pPr>
      <w:r w:rsidRPr="00BF2944">
        <w:rPr>
          <w:lang w:val="fr-CH"/>
        </w:rPr>
        <w:t>Gestion des risques</w:t>
      </w:r>
    </w:p>
    <w:p w:rsidR="00083A9D" w:rsidRPr="007F23F6" w:rsidRDefault="00D279ED" w:rsidP="002B69A3">
      <w:pPr>
        <w:rPr>
          <w:lang w:val="fr-CH" w:eastAsia="zh-CN"/>
        </w:rPr>
      </w:pPr>
      <w:r w:rsidRPr="007F23F6">
        <w:rPr>
          <w:lang w:val="fr-CH" w:eastAsia="zh-CN"/>
        </w:rPr>
        <w:t>3.6</w:t>
      </w:r>
      <w:r w:rsidRPr="007F23F6">
        <w:rPr>
          <w:lang w:val="fr-CH" w:eastAsia="zh-CN"/>
        </w:rPr>
        <w:tab/>
      </w:r>
      <w:r w:rsidR="007F23F6" w:rsidRPr="007F23F6">
        <w:rPr>
          <w:lang w:val="fr-CH" w:eastAsia="zh-CN"/>
        </w:rPr>
        <w:t xml:space="preserve"> En ce qui concerne les</w:t>
      </w:r>
      <w:r w:rsidR="00083A9D" w:rsidRPr="007F23F6">
        <w:rPr>
          <w:lang w:val="fr-CH" w:eastAsia="zh-CN"/>
        </w:rPr>
        <w:t xml:space="preserve"> </w:t>
      </w:r>
      <w:r w:rsidR="007F23F6" w:rsidRPr="007F23F6">
        <w:rPr>
          <w:color w:val="000000"/>
          <w:lang w:val="fr-CH"/>
        </w:rPr>
        <w:t>modalités pour la gestion des risques à l</w:t>
      </w:r>
      <w:r w:rsidR="003D2B40">
        <w:rPr>
          <w:color w:val="000000"/>
          <w:lang w:val="fr-CH"/>
        </w:rPr>
        <w:t>'</w:t>
      </w:r>
      <w:r w:rsidR="007F23F6" w:rsidRPr="007F23F6">
        <w:rPr>
          <w:color w:val="000000"/>
          <w:lang w:val="fr-CH"/>
        </w:rPr>
        <w:t>UIT, le CCIG a</w:t>
      </w:r>
      <w:r w:rsidR="00796393">
        <w:rPr>
          <w:color w:val="000000"/>
          <w:lang w:val="fr-CH"/>
        </w:rPr>
        <w:t xml:space="preserve"> </w:t>
      </w:r>
      <w:r w:rsidR="007F23F6" w:rsidRPr="007F23F6">
        <w:rPr>
          <w:color w:val="000000"/>
          <w:lang w:val="fr-CH"/>
        </w:rPr>
        <w:t>constamment collaboré avec le Département de la</w:t>
      </w:r>
      <w:r w:rsidR="00796393">
        <w:rPr>
          <w:color w:val="000000"/>
          <w:lang w:val="fr-CH"/>
        </w:rPr>
        <w:t xml:space="preserve"> </w:t>
      </w:r>
      <w:r w:rsidR="007F23F6" w:rsidRPr="007F23F6">
        <w:rPr>
          <w:color w:val="000000"/>
          <w:lang w:val="fr-CH"/>
        </w:rPr>
        <w:t>planification stratégique et</w:t>
      </w:r>
      <w:r w:rsidR="00796393">
        <w:rPr>
          <w:color w:val="000000"/>
          <w:lang w:val="fr-CH"/>
        </w:rPr>
        <w:t xml:space="preserve"> </w:t>
      </w:r>
      <w:r w:rsidR="007F23F6" w:rsidRPr="007F23F6">
        <w:rPr>
          <w:color w:val="000000"/>
          <w:lang w:val="fr-CH"/>
        </w:rPr>
        <w:t xml:space="preserve">des relations avec les membres et </w:t>
      </w:r>
      <w:r w:rsidR="002B69A3">
        <w:rPr>
          <w:color w:val="000000"/>
          <w:lang w:val="fr-CH"/>
        </w:rPr>
        <w:t>a</w:t>
      </w:r>
      <w:r w:rsidR="007F23F6" w:rsidRPr="007F23F6">
        <w:rPr>
          <w:color w:val="000000"/>
          <w:lang w:val="fr-CH"/>
        </w:rPr>
        <w:t xml:space="preserve"> prodigu</w:t>
      </w:r>
      <w:r w:rsidR="007F23F6">
        <w:rPr>
          <w:color w:val="000000"/>
          <w:lang w:val="fr-CH"/>
        </w:rPr>
        <w:t>é</w:t>
      </w:r>
      <w:r w:rsidR="007F23F6" w:rsidRPr="007F23F6">
        <w:rPr>
          <w:color w:val="000000"/>
          <w:lang w:val="fr-CH"/>
        </w:rPr>
        <w:t xml:space="preserve"> des avis et </w:t>
      </w:r>
      <w:r w:rsidR="007F23F6">
        <w:rPr>
          <w:color w:val="000000"/>
          <w:lang w:val="fr-CH"/>
        </w:rPr>
        <w:t>fourni</w:t>
      </w:r>
      <w:r w:rsidR="00796393">
        <w:rPr>
          <w:color w:val="000000"/>
          <w:lang w:val="fr-CH"/>
        </w:rPr>
        <w:t xml:space="preserve"> </w:t>
      </w:r>
      <w:r w:rsidR="007F23F6">
        <w:rPr>
          <w:color w:val="000000"/>
          <w:lang w:val="fr-CH"/>
        </w:rPr>
        <w:t>des contributions destinées à</w:t>
      </w:r>
      <w:r w:rsidR="00A014BA">
        <w:rPr>
          <w:color w:val="000000"/>
          <w:lang w:val="fr-CH"/>
        </w:rPr>
        <w:t xml:space="preserve"> donner une impulsion </w:t>
      </w:r>
      <w:r w:rsidR="007F23F6">
        <w:rPr>
          <w:color w:val="000000"/>
          <w:lang w:val="fr-CH"/>
        </w:rPr>
        <w:t>aux nouvelles</w:t>
      </w:r>
      <w:r w:rsidR="00796393">
        <w:rPr>
          <w:color w:val="000000"/>
          <w:lang w:val="fr-CH"/>
        </w:rPr>
        <w:t xml:space="preserve"> </w:t>
      </w:r>
      <w:r w:rsidR="007F23F6">
        <w:rPr>
          <w:color w:val="000000"/>
          <w:lang w:val="fr-CH"/>
        </w:rPr>
        <w:t>procédures de gestion des risques.</w:t>
      </w:r>
    </w:p>
    <w:p w:rsidR="00083A9D" w:rsidRPr="007F23F6" w:rsidRDefault="00D279ED" w:rsidP="001427FF">
      <w:pPr>
        <w:rPr>
          <w:lang w:val="fr-CH" w:eastAsia="zh-CN"/>
        </w:rPr>
      </w:pPr>
      <w:r w:rsidRPr="007F23F6">
        <w:rPr>
          <w:lang w:val="fr-CH" w:eastAsia="zh-CN"/>
        </w:rPr>
        <w:lastRenderedPageBreak/>
        <w:t>3.7</w:t>
      </w:r>
      <w:r w:rsidRPr="007F23F6">
        <w:rPr>
          <w:lang w:val="fr-CH" w:eastAsia="zh-CN"/>
        </w:rPr>
        <w:tab/>
      </w:r>
      <w:r w:rsidR="007F23F6" w:rsidRPr="007F23F6">
        <w:rPr>
          <w:lang w:val="fr-CH" w:eastAsia="zh-CN"/>
        </w:rPr>
        <w:t>Depuis son dernier rapport annuel,</w:t>
      </w:r>
      <w:r w:rsidR="00796393">
        <w:rPr>
          <w:lang w:val="fr-CH" w:eastAsia="zh-CN"/>
        </w:rPr>
        <w:t xml:space="preserve"> </w:t>
      </w:r>
      <w:r w:rsidR="007F23F6" w:rsidRPr="007F23F6">
        <w:rPr>
          <w:lang w:val="fr-CH" w:eastAsia="zh-CN"/>
        </w:rPr>
        <w:t xml:space="preserve">le Comité a pris note des progrès remarquables accomplis par le secrétariat, en vue de faire </w:t>
      </w:r>
      <w:r w:rsidR="007F23F6">
        <w:rPr>
          <w:lang w:val="fr-CH" w:eastAsia="zh-CN"/>
        </w:rPr>
        <w:t>progresser l</w:t>
      </w:r>
      <w:r w:rsidR="003D2B40">
        <w:rPr>
          <w:lang w:val="fr-CH" w:eastAsia="zh-CN"/>
        </w:rPr>
        <w:t>'</w:t>
      </w:r>
      <w:r w:rsidR="007F23F6">
        <w:rPr>
          <w:lang w:val="fr-CH" w:eastAsia="zh-CN"/>
        </w:rPr>
        <w:t>élaborati</w:t>
      </w:r>
      <w:r w:rsidR="001427FF">
        <w:rPr>
          <w:lang w:val="fr-CH" w:eastAsia="zh-CN"/>
        </w:rPr>
        <w:t>on d</w:t>
      </w:r>
      <w:r w:rsidR="003D2B40">
        <w:rPr>
          <w:lang w:val="fr-CH" w:eastAsia="zh-CN"/>
        </w:rPr>
        <w:t>'</w:t>
      </w:r>
      <w:r w:rsidR="001427FF">
        <w:rPr>
          <w:lang w:val="fr-CH" w:eastAsia="zh-CN"/>
        </w:rPr>
        <w:t>une P</w:t>
      </w:r>
      <w:r w:rsidR="007F23F6">
        <w:rPr>
          <w:lang w:val="fr-CH" w:eastAsia="zh-CN"/>
        </w:rPr>
        <w:t>olitique en matière de gestion des risques</w:t>
      </w:r>
      <w:r w:rsidR="00796393">
        <w:rPr>
          <w:lang w:val="fr-CH" w:eastAsia="zh-CN"/>
        </w:rPr>
        <w:t xml:space="preserve"> </w:t>
      </w:r>
      <w:r w:rsidR="007F23F6">
        <w:rPr>
          <w:lang w:val="fr-CH" w:eastAsia="zh-CN"/>
        </w:rPr>
        <w:t>et de</w:t>
      </w:r>
      <w:r w:rsidR="00796393">
        <w:rPr>
          <w:lang w:val="fr-CH" w:eastAsia="zh-CN"/>
        </w:rPr>
        <w:t xml:space="preserve"> </w:t>
      </w:r>
      <w:r w:rsidR="001427FF">
        <w:rPr>
          <w:lang w:val="fr-CH" w:eastAsia="zh-CN"/>
        </w:rPr>
        <w:t>D</w:t>
      </w:r>
      <w:r w:rsidR="007F23F6">
        <w:rPr>
          <w:color w:val="000000"/>
        </w:rPr>
        <w:t>éclaration relative à la propension au risque pour l</w:t>
      </w:r>
      <w:r w:rsidR="003D2B40">
        <w:rPr>
          <w:color w:val="000000"/>
        </w:rPr>
        <w:t>'</w:t>
      </w:r>
      <w:r w:rsidR="007F23F6">
        <w:rPr>
          <w:color w:val="000000"/>
        </w:rPr>
        <w:t>UIT.</w:t>
      </w:r>
    </w:p>
    <w:p w:rsidR="00083A9D" w:rsidRPr="00A014BA" w:rsidRDefault="00D279ED" w:rsidP="001427FF">
      <w:pPr>
        <w:rPr>
          <w:lang w:val="fr-CH" w:eastAsia="zh-CN"/>
        </w:rPr>
      </w:pPr>
      <w:r w:rsidRPr="00A014BA">
        <w:rPr>
          <w:lang w:val="fr-CH" w:eastAsia="zh-CN"/>
        </w:rPr>
        <w:t>3.8</w:t>
      </w:r>
      <w:r w:rsidRPr="00A014BA">
        <w:rPr>
          <w:lang w:val="fr-CH" w:eastAsia="zh-CN"/>
        </w:rPr>
        <w:tab/>
      </w:r>
      <w:r w:rsidR="00A014BA">
        <w:rPr>
          <w:lang w:val="fr-CH" w:eastAsia="zh-CN"/>
        </w:rPr>
        <w:t xml:space="preserve">Le </w:t>
      </w:r>
      <w:r w:rsidR="004B3438" w:rsidRPr="00A014BA">
        <w:rPr>
          <w:lang w:val="fr-CH" w:eastAsia="zh-CN"/>
        </w:rPr>
        <w:t>CCIG</w:t>
      </w:r>
      <w:r w:rsidR="00A014BA">
        <w:rPr>
          <w:lang w:val="fr-CH" w:eastAsia="zh-CN"/>
        </w:rPr>
        <w:t xml:space="preserve"> a approuvé</w:t>
      </w:r>
      <w:r w:rsidR="00796393">
        <w:rPr>
          <w:lang w:val="fr-CH" w:eastAsia="zh-CN"/>
        </w:rPr>
        <w:t xml:space="preserve"> </w:t>
      </w:r>
      <w:r w:rsidR="001427FF">
        <w:rPr>
          <w:color w:val="000000"/>
        </w:rPr>
        <w:t>la P</w:t>
      </w:r>
      <w:r w:rsidR="00A014BA">
        <w:rPr>
          <w:color w:val="000000"/>
        </w:rPr>
        <w:t>olitique</w:t>
      </w:r>
      <w:r w:rsidR="00796393">
        <w:rPr>
          <w:color w:val="000000"/>
        </w:rPr>
        <w:t xml:space="preserve"> </w:t>
      </w:r>
      <w:r w:rsidR="00A014BA">
        <w:rPr>
          <w:color w:val="000000"/>
        </w:rPr>
        <w:t>en matière de gestion des risques</w:t>
      </w:r>
      <w:r w:rsidR="00796393">
        <w:rPr>
          <w:lang w:val="fr-CH" w:eastAsia="zh-CN"/>
        </w:rPr>
        <w:t xml:space="preserve"> </w:t>
      </w:r>
      <w:r w:rsidR="00A014BA">
        <w:rPr>
          <w:lang w:val="fr-CH" w:eastAsia="zh-CN"/>
        </w:rPr>
        <w:t xml:space="preserve">et la </w:t>
      </w:r>
      <w:r w:rsidR="001427FF">
        <w:rPr>
          <w:color w:val="000000"/>
          <w:lang w:val="fr-CH"/>
        </w:rPr>
        <w:t>D</w:t>
      </w:r>
      <w:r w:rsidR="00A014BA" w:rsidRPr="00A014BA">
        <w:rPr>
          <w:color w:val="000000"/>
          <w:lang w:val="fr-CH"/>
        </w:rPr>
        <w:t>éclaration relative à la propension au risque</w:t>
      </w:r>
      <w:r w:rsidR="00A014BA">
        <w:rPr>
          <w:color w:val="000000"/>
          <w:lang w:val="fr-CH"/>
        </w:rPr>
        <w:t xml:space="preserve"> et encourage la direction de l</w:t>
      </w:r>
      <w:r w:rsidR="003D2B40">
        <w:rPr>
          <w:color w:val="000000"/>
          <w:lang w:val="fr-CH"/>
        </w:rPr>
        <w:t>'</w:t>
      </w:r>
      <w:r w:rsidR="00A014BA">
        <w:rPr>
          <w:color w:val="000000"/>
          <w:lang w:val="fr-CH"/>
        </w:rPr>
        <w:t>UIT</w:t>
      </w:r>
      <w:r w:rsidR="00A014BA">
        <w:rPr>
          <w:lang w:val="fr-CH" w:eastAsia="zh-CN"/>
        </w:rPr>
        <w:t xml:space="preserve"> à mettre</w:t>
      </w:r>
      <w:r w:rsidR="00796393">
        <w:rPr>
          <w:lang w:val="fr-CH" w:eastAsia="zh-CN"/>
        </w:rPr>
        <w:t xml:space="preserve"> </w:t>
      </w:r>
      <w:r w:rsidR="00A014BA">
        <w:rPr>
          <w:lang w:val="fr-CH" w:eastAsia="zh-CN"/>
        </w:rPr>
        <w:t>cette</w:t>
      </w:r>
      <w:r w:rsidR="00796393">
        <w:rPr>
          <w:lang w:val="fr-CH" w:eastAsia="zh-CN"/>
        </w:rPr>
        <w:t xml:space="preserve"> </w:t>
      </w:r>
      <w:r w:rsidR="00A014BA">
        <w:rPr>
          <w:lang w:val="fr-CH" w:eastAsia="zh-CN"/>
        </w:rPr>
        <w:t>politique en pratique.</w:t>
      </w:r>
      <w:r w:rsidR="00796393">
        <w:rPr>
          <w:lang w:val="fr-CH" w:eastAsia="zh-CN"/>
        </w:rPr>
        <w:t xml:space="preserve"> </w:t>
      </w:r>
    </w:p>
    <w:p w:rsidR="00083A9D" w:rsidRPr="00A014BA" w:rsidRDefault="00D279ED" w:rsidP="001427FF">
      <w:pPr>
        <w:spacing w:after="120"/>
        <w:rPr>
          <w:lang w:val="fr-CH" w:eastAsia="zh-CN"/>
        </w:rPr>
      </w:pPr>
      <w:r w:rsidRPr="00A014BA">
        <w:rPr>
          <w:lang w:val="fr-CH" w:eastAsia="zh-CN"/>
        </w:rPr>
        <w:t>3.9</w:t>
      </w:r>
      <w:r w:rsidRPr="00A014BA">
        <w:rPr>
          <w:lang w:val="fr-CH" w:eastAsia="zh-CN"/>
        </w:rPr>
        <w:tab/>
      </w:r>
      <w:r w:rsidR="00A014BA" w:rsidRPr="00A014BA">
        <w:rPr>
          <w:lang w:val="fr-CH" w:eastAsia="zh-CN"/>
        </w:rPr>
        <w:t xml:space="preserve">Le </w:t>
      </w:r>
      <w:r w:rsidR="004B3438" w:rsidRPr="00A014BA">
        <w:rPr>
          <w:lang w:val="fr-CH" w:eastAsia="zh-CN"/>
        </w:rPr>
        <w:t>CCIG</w:t>
      </w:r>
      <w:r w:rsidR="00A014BA" w:rsidRPr="00A014BA">
        <w:rPr>
          <w:lang w:val="fr-CH" w:eastAsia="zh-CN"/>
        </w:rPr>
        <w:t xml:space="preserve"> continuera de suivre de près les modalités pour la gestion des risques</w:t>
      </w:r>
      <w:r w:rsidR="00A014BA">
        <w:rPr>
          <w:lang w:val="fr-CH" w:eastAsia="zh-CN"/>
        </w:rPr>
        <w:t xml:space="preserve"> et de donner des avis à cet égard, selon qu</w:t>
      </w:r>
      <w:r w:rsidR="003D2B40">
        <w:rPr>
          <w:lang w:val="fr-CH" w:eastAsia="zh-CN"/>
        </w:rPr>
        <w:t>'</w:t>
      </w:r>
      <w:r w:rsidR="00A014BA">
        <w:rPr>
          <w:lang w:val="fr-CH" w:eastAsia="zh-CN"/>
        </w:rPr>
        <w:t>il conviendra.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D279ED" w:rsidRPr="00A014BA" w:rsidTr="00D279ED">
        <w:tc>
          <w:tcPr>
            <w:tcW w:w="9629" w:type="dxa"/>
          </w:tcPr>
          <w:p w:rsidR="00D279ED" w:rsidRPr="00A014BA" w:rsidRDefault="00D279ED" w:rsidP="001427FF">
            <w:pPr>
              <w:spacing w:before="60" w:after="60"/>
              <w:rPr>
                <w:lang w:val="fr-CH" w:eastAsia="zh-CN"/>
              </w:rPr>
            </w:pPr>
            <w:r w:rsidRPr="00A014BA">
              <w:rPr>
                <w:rFonts w:asciiTheme="minorHAnsi" w:hAnsiTheme="minorHAnsi"/>
                <w:b/>
                <w:bCs/>
                <w:szCs w:val="24"/>
                <w:lang w:val="fr-CH"/>
              </w:rPr>
              <w:t>Recommandation 1 (2017)</w:t>
            </w:r>
            <w:r w:rsidRPr="001427FF">
              <w:rPr>
                <w:rFonts w:asciiTheme="minorHAnsi" w:hAnsiTheme="minorHAnsi"/>
                <w:szCs w:val="24"/>
                <w:lang w:val="fr-CH"/>
              </w:rPr>
              <w:t>:</w:t>
            </w:r>
            <w:r w:rsidR="00A014BA" w:rsidRPr="00A014BA">
              <w:rPr>
                <w:rFonts w:asciiTheme="minorHAnsi" w:hAnsiTheme="minorHAnsi"/>
                <w:b/>
                <w:bCs/>
                <w:szCs w:val="24"/>
                <w:lang w:val="fr-CH"/>
              </w:rPr>
              <w:t xml:space="preserve"> </w:t>
            </w:r>
            <w:r w:rsidR="00A014BA" w:rsidRPr="00A014BA">
              <w:rPr>
                <w:rFonts w:asciiTheme="minorHAnsi" w:hAnsiTheme="minorHAnsi"/>
                <w:szCs w:val="24"/>
                <w:lang w:val="fr-CH"/>
              </w:rPr>
              <w:t>Suite à leur soumission par le Secrétaire général au Conseil, le CC</w:t>
            </w:r>
            <w:r w:rsidR="00A014BA">
              <w:rPr>
                <w:rFonts w:asciiTheme="minorHAnsi" w:hAnsiTheme="minorHAnsi"/>
                <w:szCs w:val="24"/>
                <w:lang w:val="fr-CH"/>
              </w:rPr>
              <w:t>I</w:t>
            </w:r>
            <w:r w:rsidR="00A014BA" w:rsidRPr="00A014BA">
              <w:rPr>
                <w:rFonts w:asciiTheme="minorHAnsi" w:hAnsiTheme="minorHAnsi"/>
                <w:szCs w:val="24"/>
                <w:lang w:val="fr-CH"/>
              </w:rPr>
              <w:t>G recommande que l</w:t>
            </w:r>
            <w:r w:rsidR="003D2B40">
              <w:rPr>
                <w:rFonts w:asciiTheme="minorHAnsi" w:hAnsiTheme="minorHAnsi"/>
                <w:szCs w:val="24"/>
                <w:lang w:val="fr-CH"/>
              </w:rPr>
              <w:t>'</w:t>
            </w:r>
            <w:r w:rsidR="00A014BA" w:rsidRPr="00A014BA">
              <w:rPr>
                <w:rFonts w:asciiTheme="minorHAnsi" w:hAnsiTheme="minorHAnsi"/>
                <w:szCs w:val="24"/>
                <w:lang w:val="fr-CH"/>
              </w:rPr>
              <w:t>UIT approuve et mette</w:t>
            </w:r>
            <w:r w:rsidR="00796393">
              <w:rPr>
                <w:rFonts w:asciiTheme="minorHAnsi" w:hAnsiTheme="minorHAnsi"/>
                <w:szCs w:val="24"/>
                <w:lang w:val="fr-CH"/>
              </w:rPr>
              <w:t xml:space="preserve"> </w:t>
            </w:r>
            <w:r w:rsidR="00A014BA" w:rsidRPr="00A014BA">
              <w:rPr>
                <w:rFonts w:asciiTheme="minorHAnsi" w:hAnsiTheme="minorHAnsi"/>
                <w:szCs w:val="24"/>
                <w:lang w:val="fr-CH"/>
              </w:rPr>
              <w:t xml:space="preserve">en pratique la </w:t>
            </w:r>
            <w:r w:rsidR="001427FF">
              <w:rPr>
                <w:rFonts w:asciiTheme="minorHAnsi" w:hAnsiTheme="minorHAnsi"/>
                <w:szCs w:val="24"/>
                <w:lang w:val="fr-CH"/>
              </w:rPr>
              <w:t>P</w:t>
            </w:r>
            <w:r w:rsidR="00A014BA" w:rsidRPr="00A014BA">
              <w:rPr>
                <w:rFonts w:asciiTheme="minorHAnsi" w:hAnsiTheme="minorHAnsi"/>
                <w:szCs w:val="24"/>
                <w:lang w:val="fr-CH"/>
              </w:rPr>
              <w:t>olitique en matièr</w:t>
            </w:r>
            <w:r w:rsidR="001427FF">
              <w:rPr>
                <w:rFonts w:asciiTheme="minorHAnsi" w:hAnsiTheme="minorHAnsi"/>
                <w:szCs w:val="24"/>
                <w:lang w:val="fr-CH"/>
              </w:rPr>
              <w:t>e de gestion des risques et la D</w:t>
            </w:r>
            <w:r w:rsidR="00A014BA" w:rsidRPr="00A014BA">
              <w:rPr>
                <w:rFonts w:asciiTheme="minorHAnsi" w:hAnsiTheme="minorHAnsi"/>
                <w:szCs w:val="24"/>
                <w:lang w:val="fr-CH"/>
              </w:rPr>
              <w:t>éclaration relative à la propension au risque.</w:t>
            </w:r>
            <w:r w:rsidR="00796393">
              <w:rPr>
                <w:rFonts w:asciiTheme="minorHAnsi" w:hAnsiTheme="minorHAnsi"/>
                <w:szCs w:val="24"/>
                <w:lang w:val="fr-CH"/>
              </w:rPr>
              <w:t xml:space="preserve"> </w:t>
            </w:r>
          </w:p>
        </w:tc>
      </w:tr>
    </w:tbl>
    <w:p w:rsidR="00083A9D" w:rsidRPr="003F0CC0" w:rsidRDefault="003F0CC0" w:rsidP="003F0CC0">
      <w:pPr>
        <w:pStyle w:val="Headingb"/>
        <w:rPr>
          <w:rFonts w:cs="Times New Roman Bold"/>
          <w:spacing w:val="-2"/>
          <w:lang w:val="fr-CH"/>
        </w:rPr>
      </w:pPr>
      <w:r w:rsidRPr="003F0CC0">
        <w:rPr>
          <w:rFonts w:cs="Times New Roman Bold"/>
          <w:spacing w:val="-2"/>
          <w:lang w:val="fr-CH"/>
        </w:rPr>
        <w:t>V</w:t>
      </w:r>
      <w:r w:rsidR="00A014BA" w:rsidRPr="003F0CC0">
        <w:rPr>
          <w:rFonts w:cs="Times New Roman Bold"/>
          <w:spacing w:val="-2"/>
          <w:lang w:val="fr-CH"/>
        </w:rPr>
        <w:t>érification extérieure des comptes</w:t>
      </w:r>
      <w:r w:rsidR="00796393" w:rsidRPr="003F0CC0">
        <w:rPr>
          <w:rFonts w:cs="Times New Roman Bold"/>
          <w:spacing w:val="-2"/>
          <w:lang w:val="fr-CH"/>
        </w:rPr>
        <w:t xml:space="preserve"> </w:t>
      </w:r>
      <w:r w:rsidR="00A014BA" w:rsidRPr="003F0CC0">
        <w:rPr>
          <w:rFonts w:cs="Times New Roman Bold"/>
          <w:spacing w:val="-2"/>
          <w:lang w:val="fr-CH"/>
        </w:rPr>
        <w:t>et</w:t>
      </w:r>
      <w:r w:rsidR="00796393" w:rsidRPr="003F0CC0">
        <w:rPr>
          <w:rFonts w:cs="Times New Roman Bold"/>
          <w:spacing w:val="-2"/>
          <w:lang w:val="fr-CH"/>
        </w:rPr>
        <w:t xml:space="preserve"> </w:t>
      </w:r>
      <w:r w:rsidR="00A014BA" w:rsidRPr="003F0CC0">
        <w:rPr>
          <w:rFonts w:cs="Times New Roman Bold"/>
          <w:spacing w:val="-2"/>
          <w:lang w:val="fr-CH"/>
        </w:rPr>
        <w:t>rapport des Vérificateurs extérieurs des comptes pour</w:t>
      </w:r>
      <w:r w:rsidR="00796393" w:rsidRPr="003F0CC0">
        <w:rPr>
          <w:rFonts w:cs="Times New Roman Bold"/>
          <w:spacing w:val="-2"/>
          <w:lang w:val="fr-CH"/>
        </w:rPr>
        <w:t xml:space="preserve"> </w:t>
      </w:r>
      <w:r w:rsidRPr="003F0CC0">
        <w:rPr>
          <w:rFonts w:cs="Times New Roman Bold"/>
          <w:spacing w:val="-2"/>
          <w:lang w:val="fr-CH"/>
        </w:rPr>
        <w:t>2016</w:t>
      </w:r>
    </w:p>
    <w:p w:rsidR="00083A9D" w:rsidRPr="0076458F" w:rsidRDefault="00934BE1" w:rsidP="003F0CC0">
      <w:pPr>
        <w:rPr>
          <w:lang w:val="fr-CH"/>
        </w:rPr>
      </w:pPr>
      <w:r w:rsidRPr="00A014BA">
        <w:rPr>
          <w:lang w:val="fr-CH"/>
        </w:rPr>
        <w:t>3.10</w:t>
      </w:r>
      <w:r w:rsidRPr="00A014BA">
        <w:rPr>
          <w:lang w:val="fr-CH"/>
        </w:rPr>
        <w:tab/>
      </w:r>
      <w:r w:rsidR="00A014BA" w:rsidRPr="00A014BA">
        <w:rPr>
          <w:lang w:val="fr-CH"/>
        </w:rPr>
        <w:t xml:space="preserve">Le </w:t>
      </w:r>
      <w:r w:rsidR="004B3438" w:rsidRPr="00A014BA">
        <w:rPr>
          <w:lang w:val="fr-CH"/>
        </w:rPr>
        <w:t>CCIG</w:t>
      </w:r>
      <w:r w:rsidR="00796393">
        <w:rPr>
          <w:lang w:val="fr-CH"/>
        </w:rPr>
        <w:t xml:space="preserve"> </w:t>
      </w:r>
      <w:r w:rsidR="00A014BA">
        <w:rPr>
          <w:color w:val="000000"/>
        </w:rPr>
        <w:t xml:space="preserve">a continué de rencontrer régulièrement les </w:t>
      </w:r>
      <w:r w:rsidR="003F0CC0">
        <w:rPr>
          <w:color w:val="000000"/>
        </w:rPr>
        <w:t>V</w:t>
      </w:r>
      <w:r w:rsidR="00A014BA">
        <w:rPr>
          <w:color w:val="000000"/>
        </w:rPr>
        <w:t>érificateurs extérieurs des comptes pour examiner</w:t>
      </w:r>
      <w:r w:rsidR="00A014BA" w:rsidRPr="00A014BA">
        <w:rPr>
          <w:lang w:val="fr-CH"/>
        </w:rPr>
        <w:t xml:space="preserve"> </w:t>
      </w:r>
      <w:r w:rsidR="00A014BA">
        <w:rPr>
          <w:lang w:val="fr-CH"/>
        </w:rPr>
        <w:t>l</w:t>
      </w:r>
      <w:r w:rsidR="003D2B40">
        <w:rPr>
          <w:lang w:val="fr-CH"/>
        </w:rPr>
        <w:t>'</w:t>
      </w:r>
      <w:r w:rsidR="00A014BA">
        <w:rPr>
          <w:lang w:val="fr-CH"/>
        </w:rPr>
        <w:t xml:space="preserve">approche suivie </w:t>
      </w:r>
      <w:r w:rsidR="0076458F">
        <w:rPr>
          <w:lang w:val="fr-CH"/>
        </w:rPr>
        <w:t xml:space="preserve">et les progrès accomplis en ce qui concerne la vérification extérieure des comptes </w:t>
      </w:r>
      <w:r w:rsidR="003F0CC0">
        <w:rPr>
          <w:lang w:val="fr-CH"/>
        </w:rPr>
        <w:t xml:space="preserve">et </w:t>
      </w:r>
      <w:r w:rsidR="0076458F">
        <w:rPr>
          <w:lang w:val="fr-CH"/>
        </w:rPr>
        <w:t>les</w:t>
      </w:r>
      <w:r w:rsidR="003F0CC0">
        <w:rPr>
          <w:lang w:val="fr-CH"/>
        </w:rPr>
        <w:t xml:space="preserve"> questions nouvelles</w:t>
      </w:r>
      <w:r w:rsidR="0076458F">
        <w:rPr>
          <w:lang w:val="fr-CH"/>
        </w:rPr>
        <w:t>.</w:t>
      </w:r>
      <w:r w:rsidR="00796393">
        <w:rPr>
          <w:lang w:val="fr-CH"/>
        </w:rPr>
        <w:t xml:space="preserve"> </w:t>
      </w:r>
    </w:p>
    <w:p w:rsidR="00083A9D" w:rsidRPr="00534AF7" w:rsidRDefault="00934BE1" w:rsidP="00097B5F">
      <w:pPr>
        <w:rPr>
          <w:lang w:val="fr-CH"/>
        </w:rPr>
      </w:pPr>
      <w:r w:rsidRPr="0076458F">
        <w:rPr>
          <w:lang w:val="fr-CH"/>
        </w:rPr>
        <w:t>3.11</w:t>
      </w:r>
      <w:r w:rsidRPr="0076458F">
        <w:rPr>
          <w:lang w:val="fr-CH"/>
        </w:rPr>
        <w:tab/>
      </w:r>
      <w:r w:rsidR="0076458F" w:rsidRPr="0076458F">
        <w:rPr>
          <w:lang w:val="fr-CH"/>
        </w:rPr>
        <w:t>Le Comité</w:t>
      </w:r>
      <w:r w:rsidR="00796393">
        <w:rPr>
          <w:lang w:val="fr-CH"/>
        </w:rPr>
        <w:t xml:space="preserve"> </w:t>
      </w:r>
      <w:r w:rsidR="0076458F" w:rsidRPr="0076458F">
        <w:rPr>
          <w:lang w:val="fr-CH"/>
        </w:rPr>
        <w:t>a examiné et étudié, avec l</w:t>
      </w:r>
      <w:r w:rsidR="003D2B40">
        <w:rPr>
          <w:lang w:val="fr-CH"/>
        </w:rPr>
        <w:t>'</w:t>
      </w:r>
      <w:r w:rsidR="0076458F" w:rsidRPr="0076458F">
        <w:rPr>
          <w:lang w:val="fr-CH"/>
        </w:rPr>
        <w:t>équipe chargée de</w:t>
      </w:r>
      <w:r w:rsidR="0076458F">
        <w:rPr>
          <w:lang w:val="fr-CH"/>
        </w:rPr>
        <w:t xml:space="preserve"> la vérification</w:t>
      </w:r>
      <w:r w:rsidR="0076458F" w:rsidRPr="0076458F">
        <w:rPr>
          <w:lang w:val="fr-CH"/>
        </w:rPr>
        <w:t xml:space="preserve"> des comptes, le rapport du Vérificateur extérieur des comptes sur</w:t>
      </w:r>
      <w:r w:rsidR="0076458F">
        <w:rPr>
          <w:lang w:val="fr-CH"/>
        </w:rPr>
        <w:t xml:space="preserve"> la vérification</w:t>
      </w:r>
      <w:r w:rsidR="0076458F" w:rsidRPr="0076458F">
        <w:rPr>
          <w:lang w:val="fr-CH"/>
        </w:rPr>
        <w:t xml:space="preserve"> </w:t>
      </w:r>
      <w:r w:rsidR="0076458F">
        <w:rPr>
          <w:color w:val="000000"/>
        </w:rPr>
        <w:t>des états financiers de l</w:t>
      </w:r>
      <w:r w:rsidR="003D2B40">
        <w:rPr>
          <w:color w:val="000000"/>
        </w:rPr>
        <w:t>'</w:t>
      </w:r>
      <w:r w:rsidR="0076458F">
        <w:rPr>
          <w:color w:val="000000"/>
        </w:rPr>
        <w:t>UIT pour l</w:t>
      </w:r>
      <w:r w:rsidR="003D2B40">
        <w:rPr>
          <w:color w:val="000000"/>
        </w:rPr>
        <w:t>'</w:t>
      </w:r>
      <w:r w:rsidR="0076458F">
        <w:rPr>
          <w:color w:val="000000"/>
        </w:rPr>
        <w:t>exercice</w:t>
      </w:r>
      <w:r w:rsidR="00796393">
        <w:rPr>
          <w:lang w:val="fr-CH"/>
        </w:rPr>
        <w:t xml:space="preserve"> </w:t>
      </w:r>
      <w:r w:rsidR="00083A9D" w:rsidRPr="0076458F">
        <w:rPr>
          <w:lang w:val="fr-CH"/>
        </w:rPr>
        <w:t>2016</w:t>
      </w:r>
      <w:r w:rsidR="0076458F">
        <w:rPr>
          <w:lang w:val="fr-CH"/>
        </w:rPr>
        <w:t xml:space="preserve"> qui sont soumis au Conseil.</w:t>
      </w:r>
      <w:r w:rsidR="00796393">
        <w:rPr>
          <w:lang w:val="fr-CH"/>
        </w:rPr>
        <w:t xml:space="preserve"> </w:t>
      </w:r>
      <w:r w:rsidR="0076458F" w:rsidRPr="0076458F">
        <w:rPr>
          <w:color w:val="000000"/>
          <w:lang w:val="fr-CH"/>
        </w:rPr>
        <w:t>Le Comité a interrogé le Vérificateur extérieur des comptes</w:t>
      </w:r>
      <w:r w:rsidR="00534AF7">
        <w:rPr>
          <w:color w:val="000000"/>
          <w:lang w:val="fr-CH"/>
        </w:rPr>
        <w:t xml:space="preserve"> et confirmé les garanties en ce qui concerne le processus, la portée, les conclusions et les recommandations de la vérification,</w:t>
      </w:r>
      <w:r w:rsidR="00796393">
        <w:rPr>
          <w:lang w:val="fr-CH"/>
        </w:rPr>
        <w:t xml:space="preserve"> </w:t>
      </w:r>
      <w:r w:rsidR="00534AF7">
        <w:rPr>
          <w:color w:val="000000"/>
        </w:rPr>
        <w:t>l</w:t>
      </w:r>
      <w:r w:rsidR="003D2B40">
        <w:rPr>
          <w:color w:val="000000"/>
        </w:rPr>
        <w:t>'</w:t>
      </w:r>
      <w:r w:rsidR="0076458F">
        <w:rPr>
          <w:color w:val="000000"/>
        </w:rPr>
        <w:t>indépendance des vérificateurs,</w:t>
      </w:r>
      <w:r w:rsidR="00083A9D" w:rsidRPr="0076458F">
        <w:rPr>
          <w:lang w:val="fr-CH"/>
        </w:rPr>
        <w:t xml:space="preserve"> </w:t>
      </w:r>
      <w:r w:rsidR="00534AF7">
        <w:rPr>
          <w:lang w:val="fr-CH"/>
        </w:rPr>
        <w:t xml:space="preserve">la </w:t>
      </w:r>
      <w:r w:rsidR="0076458F">
        <w:rPr>
          <w:color w:val="000000"/>
        </w:rPr>
        <w:t>suite donnée aux recommandations précédentes du Vérificateur extérieur des comptes</w:t>
      </w:r>
      <w:r w:rsidR="00534AF7">
        <w:rPr>
          <w:color w:val="000000"/>
        </w:rPr>
        <w:t xml:space="preserve"> et d</w:t>
      </w:r>
      <w:r w:rsidR="003D2B40">
        <w:rPr>
          <w:color w:val="000000"/>
        </w:rPr>
        <w:t>'</w:t>
      </w:r>
      <w:r w:rsidR="00534AF7">
        <w:rPr>
          <w:color w:val="000000"/>
        </w:rPr>
        <w:t>autres questions techniques</w:t>
      </w:r>
      <w:r w:rsidR="0076458F">
        <w:rPr>
          <w:color w:val="000000"/>
        </w:rPr>
        <w:t>.</w:t>
      </w:r>
      <w:r w:rsidR="00796393">
        <w:rPr>
          <w:lang w:val="fr-CH"/>
        </w:rPr>
        <w:t xml:space="preserve"> </w:t>
      </w:r>
      <w:r w:rsidR="00534AF7" w:rsidRPr="00534AF7">
        <w:rPr>
          <w:lang w:val="fr-CH"/>
        </w:rPr>
        <w:t>Le</w:t>
      </w:r>
      <w:r w:rsidR="00796393">
        <w:rPr>
          <w:lang w:val="fr-CH"/>
        </w:rPr>
        <w:t xml:space="preserve"> </w:t>
      </w:r>
      <w:r w:rsidR="004B3438" w:rsidRPr="00534AF7">
        <w:rPr>
          <w:lang w:val="fr-CH"/>
        </w:rPr>
        <w:t>CCIG</w:t>
      </w:r>
      <w:r w:rsidR="00534AF7" w:rsidRPr="00534AF7">
        <w:rPr>
          <w:lang w:val="fr-CH"/>
        </w:rPr>
        <w:t xml:space="preserve"> félicite le Vérificateur extérieur des comptes d</w:t>
      </w:r>
      <w:r w:rsidR="003D2B40">
        <w:rPr>
          <w:lang w:val="fr-CH"/>
        </w:rPr>
        <w:t>'</w:t>
      </w:r>
      <w:r w:rsidR="00534AF7" w:rsidRPr="00534AF7">
        <w:rPr>
          <w:lang w:val="fr-CH"/>
        </w:rPr>
        <w:t xml:space="preserve">avoir soumis dans les délais </w:t>
      </w:r>
      <w:r w:rsidR="003F0CC0">
        <w:rPr>
          <w:lang w:val="fr-CH"/>
        </w:rPr>
        <w:t>son</w:t>
      </w:r>
      <w:r w:rsidR="00534AF7" w:rsidRPr="00534AF7">
        <w:rPr>
          <w:lang w:val="fr-CH"/>
        </w:rPr>
        <w:t xml:space="preserve"> rapport de vé</w:t>
      </w:r>
      <w:r w:rsidR="003F0CC0">
        <w:rPr>
          <w:lang w:val="fr-CH"/>
        </w:rPr>
        <w:t>rification, pour permettre au Comité</w:t>
      </w:r>
      <w:r w:rsidR="00534AF7" w:rsidRPr="00534AF7">
        <w:rPr>
          <w:lang w:val="fr-CH"/>
        </w:rPr>
        <w:t xml:space="preserve"> de l</w:t>
      </w:r>
      <w:r w:rsidR="003D2B40">
        <w:rPr>
          <w:lang w:val="fr-CH"/>
        </w:rPr>
        <w:t>'</w:t>
      </w:r>
      <w:r w:rsidR="00534AF7" w:rsidRPr="00534AF7">
        <w:rPr>
          <w:lang w:val="fr-CH"/>
        </w:rPr>
        <w:t>examiner</w:t>
      </w:r>
      <w:r w:rsidR="00796393">
        <w:rPr>
          <w:lang w:val="fr-CH"/>
        </w:rPr>
        <w:t xml:space="preserve"> </w:t>
      </w:r>
      <w:r w:rsidR="00534AF7">
        <w:rPr>
          <w:lang w:val="fr-CH"/>
        </w:rPr>
        <w:t>malgré les délais extrêmement serrés à respecter compte</w:t>
      </w:r>
      <w:r w:rsidR="003F0CC0">
        <w:rPr>
          <w:lang w:val="fr-CH"/>
        </w:rPr>
        <w:t xml:space="preserve"> tenu</w:t>
      </w:r>
      <w:r w:rsidR="00534AF7">
        <w:rPr>
          <w:lang w:val="fr-CH"/>
        </w:rPr>
        <w:t xml:space="preserve"> des dates de la session de cette année du Conseil</w:t>
      </w:r>
      <w:r w:rsidR="00CA0172">
        <w:rPr>
          <w:lang w:val="fr-CH"/>
        </w:rPr>
        <w:t>.</w:t>
      </w:r>
      <w:r w:rsidR="00796393">
        <w:rPr>
          <w:lang w:val="fr-CH"/>
        </w:rPr>
        <w:t xml:space="preserve"> </w:t>
      </w:r>
    </w:p>
    <w:p w:rsidR="00083A9D" w:rsidRPr="00C14A8C" w:rsidRDefault="00934BE1" w:rsidP="003F0CC0">
      <w:pPr>
        <w:rPr>
          <w:lang w:val="fr-CH"/>
        </w:rPr>
      </w:pPr>
      <w:r w:rsidRPr="00534AF7">
        <w:rPr>
          <w:lang w:val="fr-CH"/>
        </w:rPr>
        <w:t>3.12</w:t>
      </w:r>
      <w:r w:rsidRPr="00534AF7">
        <w:rPr>
          <w:lang w:val="fr-CH"/>
        </w:rPr>
        <w:tab/>
      </w:r>
      <w:r w:rsidR="00534AF7">
        <w:rPr>
          <w:lang w:val="fr-CH"/>
        </w:rPr>
        <w:t>Le rapport</w:t>
      </w:r>
      <w:r w:rsidR="00796393">
        <w:rPr>
          <w:lang w:val="fr-CH"/>
        </w:rPr>
        <w:t xml:space="preserve"> </w:t>
      </w:r>
      <w:r w:rsidR="00534AF7">
        <w:rPr>
          <w:lang w:val="fr-CH"/>
        </w:rPr>
        <w:t xml:space="preserve">du Vérificateur extérieur des comptes, qui comprend 12 recommandations </w:t>
      </w:r>
      <w:r w:rsidR="00E27D08">
        <w:rPr>
          <w:lang w:val="fr-CH"/>
        </w:rPr>
        <w:t>officielles et quatre suggestions</w:t>
      </w:r>
      <w:r w:rsidR="00796393">
        <w:rPr>
          <w:lang w:val="fr-CH"/>
        </w:rPr>
        <w:t xml:space="preserve"> </w:t>
      </w:r>
      <w:r w:rsidR="003F0CC0">
        <w:rPr>
          <w:lang w:val="fr-CH"/>
        </w:rPr>
        <w:t>à l</w:t>
      </w:r>
      <w:r w:rsidR="003D2B40">
        <w:rPr>
          <w:lang w:val="fr-CH"/>
        </w:rPr>
        <w:t>'</w:t>
      </w:r>
      <w:r w:rsidR="003F0CC0">
        <w:rPr>
          <w:lang w:val="fr-CH"/>
        </w:rPr>
        <w:t>at</w:t>
      </w:r>
      <w:r w:rsidR="00E27D08">
        <w:rPr>
          <w:lang w:val="fr-CH"/>
        </w:rPr>
        <w:t>tention de la direction, constitue un rapport</w:t>
      </w:r>
      <w:r w:rsidR="00796393">
        <w:rPr>
          <w:lang w:val="fr-CH"/>
        </w:rPr>
        <w:t xml:space="preserve"> </w:t>
      </w:r>
      <w:r w:rsidR="00E27D08">
        <w:rPr>
          <w:lang w:val="fr-CH"/>
        </w:rPr>
        <w:t xml:space="preserve">exhaustif et utile. Outre les </w:t>
      </w:r>
      <w:r w:rsidR="003F0CC0">
        <w:rPr>
          <w:lang w:val="fr-CH"/>
        </w:rPr>
        <w:t>observations formulées par les V</w:t>
      </w:r>
      <w:r w:rsidR="00E27D08">
        <w:rPr>
          <w:lang w:val="fr-CH"/>
        </w:rPr>
        <w:t>érificateurs extérieurs sur les états financiers</w:t>
      </w:r>
      <w:r w:rsidR="00796393">
        <w:rPr>
          <w:lang w:val="fr-CH"/>
        </w:rPr>
        <w:t xml:space="preserve"> </w:t>
      </w:r>
      <w:r w:rsidR="00E27D08">
        <w:rPr>
          <w:lang w:val="fr-CH"/>
        </w:rPr>
        <w:t>et</w:t>
      </w:r>
      <w:r w:rsidR="00796393">
        <w:rPr>
          <w:lang w:val="fr-CH"/>
        </w:rPr>
        <w:t xml:space="preserve"> </w:t>
      </w:r>
      <w:r w:rsidR="00E27D08">
        <w:rPr>
          <w:lang w:val="fr-CH"/>
        </w:rPr>
        <w:t>la performance financière de l</w:t>
      </w:r>
      <w:r w:rsidR="003D2B40">
        <w:rPr>
          <w:lang w:val="fr-CH"/>
        </w:rPr>
        <w:t>'</w:t>
      </w:r>
      <w:r w:rsidR="00E27D08">
        <w:rPr>
          <w:lang w:val="fr-CH"/>
        </w:rPr>
        <w:t>UIT,</w:t>
      </w:r>
      <w:r w:rsidR="00796393">
        <w:rPr>
          <w:lang w:val="fr-CH"/>
        </w:rPr>
        <w:t xml:space="preserve"> </w:t>
      </w:r>
      <w:r w:rsidR="00E27D08">
        <w:rPr>
          <w:lang w:val="fr-CH"/>
        </w:rPr>
        <w:t>une gr</w:t>
      </w:r>
      <w:r w:rsidR="003F0CC0">
        <w:rPr>
          <w:lang w:val="fr-CH"/>
        </w:rPr>
        <w:t>ande partie du rapport des V</w:t>
      </w:r>
      <w:r w:rsidR="00E27D08">
        <w:rPr>
          <w:lang w:val="fr-CH"/>
        </w:rPr>
        <w:t xml:space="preserve">érificateurs extérieurs </w:t>
      </w:r>
      <w:r w:rsidR="003F0CC0">
        <w:rPr>
          <w:lang w:val="fr-CH"/>
        </w:rPr>
        <w:t>est constituée</w:t>
      </w:r>
      <w:r w:rsidR="00E27D08">
        <w:rPr>
          <w:lang w:val="fr-CH"/>
        </w:rPr>
        <w:t xml:space="preserve"> de commentaires détaillés sur la vérification de la performance ainsi que</w:t>
      </w:r>
      <w:r w:rsidR="00796393">
        <w:rPr>
          <w:lang w:val="fr-CH"/>
        </w:rPr>
        <w:t xml:space="preserve"> </w:t>
      </w:r>
      <w:r w:rsidR="003F0CC0">
        <w:rPr>
          <w:lang w:val="fr-CH"/>
        </w:rPr>
        <w:t>de</w:t>
      </w:r>
      <w:r w:rsidR="00E27D08">
        <w:rPr>
          <w:lang w:val="fr-CH"/>
        </w:rPr>
        <w:t xml:space="preserve"> recommandations sur la passation de marchés. Bon nombres des recommandations peuvent être examiné</w:t>
      </w:r>
      <w:r w:rsidR="003F0CC0">
        <w:rPr>
          <w:lang w:val="fr-CH"/>
        </w:rPr>
        <w:t>e</w:t>
      </w:r>
      <w:r w:rsidR="00E27D08">
        <w:rPr>
          <w:lang w:val="fr-CH"/>
        </w:rPr>
        <w:t>s par la direction dans le contexte de l</w:t>
      </w:r>
      <w:r w:rsidR="003D2B40">
        <w:rPr>
          <w:lang w:val="fr-CH"/>
        </w:rPr>
        <w:t>'</w:t>
      </w:r>
      <w:r w:rsidR="00E27D08">
        <w:rPr>
          <w:lang w:val="fr-CH"/>
        </w:rPr>
        <w:t xml:space="preserve">élaboration </w:t>
      </w:r>
      <w:r w:rsidR="003F0CC0">
        <w:rPr>
          <w:lang w:val="fr-CH"/>
        </w:rPr>
        <w:t xml:space="preserve">et </w:t>
      </w:r>
      <w:r w:rsidR="00E27D08">
        <w:rPr>
          <w:lang w:val="fr-CH"/>
        </w:rPr>
        <w:t>de l</w:t>
      </w:r>
      <w:r w:rsidR="003D2B40">
        <w:rPr>
          <w:lang w:val="fr-CH"/>
        </w:rPr>
        <w:t>'</w:t>
      </w:r>
      <w:r w:rsidR="00E27D08">
        <w:rPr>
          <w:lang w:val="fr-CH"/>
        </w:rPr>
        <w:t>adoption d</w:t>
      </w:r>
      <w:r w:rsidR="003D2B40">
        <w:rPr>
          <w:lang w:val="fr-CH"/>
        </w:rPr>
        <w:t>'</w:t>
      </w:r>
      <w:r w:rsidR="00E27D08">
        <w:rPr>
          <w:lang w:val="fr-CH"/>
        </w:rPr>
        <w:t>un</w:t>
      </w:r>
      <w:r w:rsidR="003F0CC0">
        <w:rPr>
          <w:lang w:val="fr-CH"/>
        </w:rPr>
        <w:t xml:space="preserve"> manuel sur la</w:t>
      </w:r>
      <w:r w:rsidR="00E27D08">
        <w:rPr>
          <w:lang w:val="fr-CH"/>
        </w:rPr>
        <w:t xml:space="preserve"> passation de</w:t>
      </w:r>
      <w:r w:rsidR="00796393">
        <w:rPr>
          <w:lang w:val="fr-CH"/>
        </w:rPr>
        <w:t xml:space="preserve"> </w:t>
      </w:r>
      <w:r w:rsidR="00E27D08">
        <w:rPr>
          <w:lang w:val="fr-CH"/>
        </w:rPr>
        <w:t>marchés</w:t>
      </w:r>
      <w:r w:rsidR="00E27D08" w:rsidRPr="00E27D08">
        <w:t xml:space="preserve"> </w:t>
      </w:r>
      <w:r w:rsidR="00E27D08">
        <w:t>complet et global</w:t>
      </w:r>
      <w:r w:rsidR="00796393">
        <w:t xml:space="preserve"> </w:t>
      </w:r>
      <w:r w:rsidR="00083A9D" w:rsidRPr="00E27D08">
        <w:rPr>
          <w:lang w:val="fr-CH"/>
        </w:rPr>
        <w:t>(</w:t>
      </w:r>
      <w:r w:rsidR="00C14A8C">
        <w:rPr>
          <w:lang w:val="fr-CH"/>
        </w:rPr>
        <w:t>dont l</w:t>
      </w:r>
      <w:r w:rsidR="003D2B40">
        <w:rPr>
          <w:lang w:val="fr-CH"/>
        </w:rPr>
        <w:t>'</w:t>
      </w:r>
      <w:r w:rsidR="00C14A8C">
        <w:rPr>
          <w:lang w:val="fr-CH"/>
        </w:rPr>
        <w:t xml:space="preserve">organisation est actuellement dépourvue) </w:t>
      </w:r>
      <w:r w:rsidR="003F0CC0">
        <w:rPr>
          <w:lang w:val="fr-CH"/>
        </w:rPr>
        <w:t>ainsi que</w:t>
      </w:r>
      <w:r w:rsidR="00C14A8C">
        <w:rPr>
          <w:lang w:val="fr-CH"/>
        </w:rPr>
        <w:t xml:space="preserve"> de politiques générales et de</w:t>
      </w:r>
      <w:r w:rsidR="00796393">
        <w:rPr>
          <w:lang w:val="fr-CH"/>
        </w:rPr>
        <w:t xml:space="preserve"> </w:t>
      </w:r>
      <w:r w:rsidR="00C14A8C">
        <w:rPr>
          <w:lang w:val="fr-CH"/>
        </w:rPr>
        <w:t>procédures améliorées.</w:t>
      </w:r>
      <w:r w:rsidR="00796393">
        <w:rPr>
          <w:lang w:val="fr-CH"/>
        </w:rPr>
        <w:t xml:space="preserve"> </w:t>
      </w:r>
    </w:p>
    <w:p w:rsidR="00083A9D" w:rsidRPr="009344A8" w:rsidRDefault="00934BE1" w:rsidP="00BA3167">
      <w:pPr>
        <w:rPr>
          <w:lang w:val="fr-CH"/>
        </w:rPr>
      </w:pPr>
      <w:r w:rsidRPr="00CD2BC2">
        <w:rPr>
          <w:lang w:val="fr-CH"/>
        </w:rPr>
        <w:t>3.13</w:t>
      </w:r>
      <w:r w:rsidRPr="00CD2BC2">
        <w:rPr>
          <w:lang w:val="fr-CH"/>
        </w:rPr>
        <w:tab/>
      </w:r>
      <w:r w:rsidR="00796393">
        <w:rPr>
          <w:lang w:val="fr-CH"/>
        </w:rPr>
        <w:t xml:space="preserve"> </w:t>
      </w:r>
      <w:r w:rsidR="00BF2944">
        <w:rPr>
          <w:lang w:val="fr-CH"/>
        </w:rPr>
        <w:t>L</w:t>
      </w:r>
      <w:r w:rsidR="003D2B40">
        <w:rPr>
          <w:lang w:val="fr-CH"/>
        </w:rPr>
        <w:t>'</w:t>
      </w:r>
      <w:r w:rsidR="00CD2BC2">
        <w:rPr>
          <w:lang w:val="fr-CH"/>
        </w:rPr>
        <w:t>UIT</w:t>
      </w:r>
      <w:r w:rsidR="00796393">
        <w:rPr>
          <w:lang w:val="fr-CH"/>
        </w:rPr>
        <w:t xml:space="preserve"> </w:t>
      </w:r>
      <w:r w:rsidR="009B58A1">
        <w:rPr>
          <w:lang w:val="fr-CH"/>
        </w:rPr>
        <w:t>n</w:t>
      </w:r>
      <w:r w:rsidR="003D2B40">
        <w:rPr>
          <w:lang w:val="fr-CH"/>
        </w:rPr>
        <w:t>'</w:t>
      </w:r>
      <w:r w:rsidR="009B58A1">
        <w:rPr>
          <w:lang w:val="fr-CH"/>
        </w:rPr>
        <w:t>a pas</w:t>
      </w:r>
      <w:r w:rsidR="00CA3A64">
        <w:rPr>
          <w:lang w:val="fr-CH"/>
        </w:rPr>
        <w:t xml:space="preserve"> autant</w:t>
      </w:r>
      <w:r w:rsidR="00796393">
        <w:rPr>
          <w:lang w:val="fr-CH"/>
        </w:rPr>
        <w:t xml:space="preserve"> </w:t>
      </w:r>
      <w:r w:rsidR="009B58A1">
        <w:rPr>
          <w:lang w:val="fr-CH"/>
        </w:rPr>
        <w:t>recours</w:t>
      </w:r>
      <w:r w:rsidR="005579F8">
        <w:rPr>
          <w:lang w:val="fr-CH"/>
        </w:rPr>
        <w:t xml:space="preserve"> que de nombreuses autres entités du système des Nations Unies à des</w:t>
      </w:r>
      <w:r w:rsidR="003E775D">
        <w:rPr>
          <w:lang w:val="fr-CH"/>
        </w:rPr>
        <w:t xml:space="preserve"> procédures opérationnelles de passation des marchés</w:t>
      </w:r>
      <w:r w:rsidR="00CA3A64">
        <w:rPr>
          <w:lang w:val="fr-CH"/>
        </w:rPr>
        <w:t>, en volume</w:t>
      </w:r>
      <w:r w:rsidR="00796393">
        <w:rPr>
          <w:lang w:val="fr-CH"/>
        </w:rPr>
        <w:t xml:space="preserve"> </w:t>
      </w:r>
      <w:r w:rsidR="005579F8">
        <w:rPr>
          <w:lang w:val="fr-CH"/>
        </w:rPr>
        <w:t>ou en valeur.</w:t>
      </w:r>
      <w:r w:rsidR="00796393">
        <w:rPr>
          <w:lang w:val="fr-CH"/>
        </w:rPr>
        <w:t xml:space="preserve"> </w:t>
      </w:r>
      <w:r w:rsidR="00CD2BC2">
        <w:rPr>
          <w:lang w:val="fr-CH"/>
        </w:rPr>
        <w:t>Le</w:t>
      </w:r>
      <w:r w:rsidR="006F2FC9">
        <w:rPr>
          <w:lang w:val="fr-CH"/>
        </w:rPr>
        <w:t> </w:t>
      </w:r>
      <w:r w:rsidR="004B3438" w:rsidRPr="00CD2BC2">
        <w:rPr>
          <w:lang w:val="fr-CH"/>
        </w:rPr>
        <w:t>CCIG</w:t>
      </w:r>
      <w:r w:rsidR="00796393">
        <w:rPr>
          <w:lang w:val="fr-CH"/>
        </w:rPr>
        <w:t xml:space="preserve"> </w:t>
      </w:r>
      <w:r w:rsidR="00CD2BC2">
        <w:rPr>
          <w:lang w:val="fr-CH"/>
        </w:rPr>
        <w:t xml:space="preserve">est </w:t>
      </w:r>
      <w:r w:rsidR="005579F8">
        <w:rPr>
          <w:lang w:val="fr-CH"/>
        </w:rPr>
        <w:t>convaincu</w:t>
      </w:r>
      <w:r w:rsidR="00CD2BC2">
        <w:rPr>
          <w:lang w:val="fr-CH"/>
        </w:rPr>
        <w:t xml:space="preserve"> qu</w:t>
      </w:r>
      <w:r w:rsidR="003D2B40">
        <w:rPr>
          <w:lang w:val="fr-CH"/>
        </w:rPr>
        <w:t>'</w:t>
      </w:r>
      <w:r w:rsidR="00CD2BC2">
        <w:rPr>
          <w:lang w:val="fr-CH"/>
        </w:rPr>
        <w:t xml:space="preserve">il est possible </w:t>
      </w:r>
      <w:r w:rsidR="005579F8">
        <w:rPr>
          <w:lang w:val="fr-CH"/>
        </w:rPr>
        <w:t>de traiter</w:t>
      </w:r>
      <w:r w:rsidR="00CA3A64">
        <w:rPr>
          <w:lang w:val="fr-CH"/>
        </w:rPr>
        <w:t xml:space="preserve"> </w:t>
      </w:r>
      <w:r w:rsidR="00CD2BC2">
        <w:rPr>
          <w:lang w:val="fr-CH"/>
        </w:rPr>
        <w:t>efficacement</w:t>
      </w:r>
      <w:r w:rsidR="00796393">
        <w:rPr>
          <w:lang w:val="fr-CH"/>
        </w:rPr>
        <w:t xml:space="preserve"> </w:t>
      </w:r>
      <w:r w:rsidR="00CD2BC2">
        <w:rPr>
          <w:lang w:val="fr-CH"/>
        </w:rPr>
        <w:t>un certain nombre de fonctions de base et d</w:t>
      </w:r>
      <w:r w:rsidR="003D2B40">
        <w:rPr>
          <w:lang w:val="fr-CH"/>
        </w:rPr>
        <w:t>'</w:t>
      </w:r>
      <w:r w:rsidR="00CD2BC2">
        <w:rPr>
          <w:lang w:val="fr-CH"/>
        </w:rPr>
        <w:t>exigences</w:t>
      </w:r>
      <w:r w:rsidR="00796393">
        <w:rPr>
          <w:lang w:val="fr-CH"/>
        </w:rPr>
        <w:t xml:space="preserve"> </w:t>
      </w:r>
      <w:r w:rsidR="00CD2BC2">
        <w:rPr>
          <w:lang w:val="fr-CH"/>
        </w:rPr>
        <w:t>essentielles,</w:t>
      </w:r>
      <w:r w:rsidR="00796393">
        <w:rPr>
          <w:lang w:val="fr-CH"/>
        </w:rPr>
        <w:t xml:space="preserve"> </w:t>
      </w:r>
      <w:r w:rsidR="005579F8">
        <w:rPr>
          <w:lang w:val="fr-CH"/>
        </w:rPr>
        <w:t>à</w:t>
      </w:r>
      <w:r w:rsidR="00CD2BC2">
        <w:rPr>
          <w:lang w:val="fr-CH"/>
        </w:rPr>
        <w:t xml:space="preserve"> un coût et moyennant des efforts acceptables, en tenant compte du rapport coût</w:t>
      </w:r>
      <w:r w:rsidR="005579F8">
        <w:rPr>
          <w:lang w:val="fr-CH"/>
        </w:rPr>
        <w:t>s</w:t>
      </w:r>
      <w:r w:rsidR="00CD2BC2">
        <w:rPr>
          <w:lang w:val="fr-CH"/>
        </w:rPr>
        <w:t>/avantage</w:t>
      </w:r>
      <w:r w:rsidR="005579F8">
        <w:rPr>
          <w:lang w:val="fr-CH"/>
        </w:rPr>
        <w:t>s</w:t>
      </w:r>
      <w:r w:rsidR="00CD2BC2">
        <w:rPr>
          <w:lang w:val="fr-CH"/>
        </w:rPr>
        <w:t xml:space="preserve"> des évolutions en projet</w:t>
      </w:r>
      <w:r w:rsidR="005579F8">
        <w:rPr>
          <w:lang w:val="fr-CH"/>
        </w:rPr>
        <w:t>,</w:t>
      </w:r>
      <w:r w:rsidR="00CD2BC2">
        <w:rPr>
          <w:lang w:val="fr-CH"/>
        </w:rPr>
        <w:t xml:space="preserve"> et en s</w:t>
      </w:r>
      <w:r w:rsidR="003D2B40">
        <w:rPr>
          <w:lang w:val="fr-CH"/>
        </w:rPr>
        <w:t>'</w:t>
      </w:r>
      <w:r w:rsidR="00CD2BC2">
        <w:rPr>
          <w:lang w:val="fr-CH"/>
        </w:rPr>
        <w:t>appuyant sur la pratique actuellement suivie dans d</w:t>
      </w:r>
      <w:r w:rsidR="003D2B40">
        <w:rPr>
          <w:lang w:val="fr-CH"/>
        </w:rPr>
        <w:t>'</w:t>
      </w:r>
      <w:r w:rsidR="00CD2BC2">
        <w:rPr>
          <w:lang w:val="fr-CH"/>
        </w:rPr>
        <w:t xml:space="preserve">autres organisations. </w:t>
      </w:r>
      <w:r w:rsidR="00CD2BC2" w:rsidRPr="00CD2BC2">
        <w:rPr>
          <w:lang w:val="fr-CH"/>
        </w:rPr>
        <w:t>Pour ce faire, il convient</w:t>
      </w:r>
      <w:r w:rsidR="005579F8">
        <w:rPr>
          <w:lang w:val="fr-CH"/>
        </w:rPr>
        <w:t xml:space="preserve"> notamment</w:t>
      </w:r>
      <w:r w:rsidR="00CD2BC2" w:rsidRPr="00CD2BC2">
        <w:rPr>
          <w:lang w:val="fr-CH"/>
        </w:rPr>
        <w:t xml:space="preserve"> de s</w:t>
      </w:r>
      <w:r w:rsidR="003D2B40">
        <w:rPr>
          <w:lang w:val="fr-CH"/>
        </w:rPr>
        <w:t>'</w:t>
      </w:r>
      <w:r w:rsidR="00CD2BC2" w:rsidRPr="00CD2BC2">
        <w:rPr>
          <w:lang w:val="fr-CH"/>
        </w:rPr>
        <w:t>inspirer d</w:t>
      </w:r>
      <w:r w:rsidR="00BA3167">
        <w:rPr>
          <w:lang w:val="fr-CH"/>
        </w:rPr>
        <w:t>'</w:t>
      </w:r>
      <w:r w:rsidR="00CD2BC2" w:rsidRPr="00CD2BC2">
        <w:rPr>
          <w:lang w:val="fr-CH"/>
        </w:rPr>
        <w:t>exemple</w:t>
      </w:r>
      <w:r w:rsidR="005579F8">
        <w:rPr>
          <w:lang w:val="fr-CH"/>
        </w:rPr>
        <w:t>s</w:t>
      </w:r>
      <w:r w:rsidR="00CD2BC2" w:rsidRPr="00CD2BC2">
        <w:rPr>
          <w:lang w:val="fr-CH"/>
        </w:rPr>
        <w:t xml:space="preserve"> suivi</w:t>
      </w:r>
      <w:r w:rsidR="005579F8">
        <w:rPr>
          <w:lang w:val="fr-CH"/>
        </w:rPr>
        <w:t>s</w:t>
      </w:r>
      <w:r w:rsidR="00CD2BC2" w:rsidRPr="00CD2BC2">
        <w:rPr>
          <w:lang w:val="fr-CH"/>
        </w:rPr>
        <w:t xml:space="preserve"> par d</w:t>
      </w:r>
      <w:r w:rsidR="003D2B40">
        <w:rPr>
          <w:lang w:val="fr-CH"/>
        </w:rPr>
        <w:t>'</w:t>
      </w:r>
      <w:r w:rsidR="00CD2BC2" w:rsidRPr="00CD2BC2">
        <w:rPr>
          <w:lang w:val="fr-CH"/>
        </w:rPr>
        <w:t xml:space="preserve">autres entités du système des Nations </w:t>
      </w:r>
      <w:r w:rsidR="005579F8">
        <w:rPr>
          <w:lang w:val="fr-CH"/>
        </w:rPr>
        <w:t>U</w:t>
      </w:r>
      <w:r w:rsidR="00CD2BC2" w:rsidRPr="00CD2BC2">
        <w:rPr>
          <w:lang w:val="fr-CH"/>
        </w:rPr>
        <w:t>nies</w:t>
      </w:r>
      <w:r w:rsidR="00CD2BC2">
        <w:rPr>
          <w:lang w:val="fr-CH"/>
        </w:rPr>
        <w:t>, et de</w:t>
      </w:r>
      <w:r w:rsidR="005579F8">
        <w:rPr>
          <w:lang w:val="fr-CH"/>
        </w:rPr>
        <w:t xml:space="preserve"> ne pas</w:t>
      </w:r>
      <w:r w:rsidR="00796393">
        <w:rPr>
          <w:lang w:val="fr-CH"/>
        </w:rPr>
        <w:t xml:space="preserve"> </w:t>
      </w:r>
      <w:r w:rsidR="00CD2BC2" w:rsidRPr="00CD2BC2">
        <w:rPr>
          <w:color w:val="000000"/>
          <w:lang w:val="fr-CH"/>
        </w:rPr>
        <w:t>"réinventer la roue".</w:t>
      </w:r>
      <w:r w:rsidR="005579F8">
        <w:rPr>
          <w:color w:val="000000"/>
          <w:lang w:val="fr-CH"/>
        </w:rPr>
        <w:t xml:space="preserve"> </w:t>
      </w:r>
      <w:r w:rsidR="009344A8">
        <w:rPr>
          <w:color w:val="000000"/>
          <w:lang w:val="fr-CH"/>
        </w:rPr>
        <w:t xml:space="preserve">Le </w:t>
      </w:r>
      <w:r w:rsidR="004B3438" w:rsidRPr="00CD2BC2">
        <w:rPr>
          <w:lang w:val="fr-CH"/>
        </w:rPr>
        <w:t xml:space="preserve">CCIG </w:t>
      </w:r>
      <w:r w:rsidR="009344A8">
        <w:rPr>
          <w:lang w:val="fr-CH"/>
        </w:rPr>
        <w:t>considère que cette approche</w:t>
      </w:r>
      <w:r w:rsidR="00B03BB9" w:rsidRPr="00B03BB9">
        <w:rPr>
          <w:color w:val="000000"/>
        </w:rPr>
        <w:t xml:space="preserve"> </w:t>
      </w:r>
      <w:r w:rsidR="00B03BB9">
        <w:rPr>
          <w:color w:val="000000"/>
        </w:rPr>
        <w:t>(évaluation comparative)</w:t>
      </w:r>
      <w:r w:rsidR="009344A8">
        <w:rPr>
          <w:lang w:val="fr-CH"/>
        </w:rPr>
        <w:t xml:space="preserve"> peut être appliquée </w:t>
      </w:r>
      <w:r w:rsidR="003E775D">
        <w:rPr>
          <w:lang w:val="fr-CH"/>
        </w:rPr>
        <w:t>à</w:t>
      </w:r>
      <w:r w:rsidR="009344A8">
        <w:rPr>
          <w:lang w:val="fr-CH"/>
        </w:rPr>
        <w:t xml:space="preserve"> la</w:t>
      </w:r>
      <w:r w:rsidR="009344A8" w:rsidRPr="009344A8">
        <w:rPr>
          <w:lang w:val="fr-CH"/>
        </w:rPr>
        <w:t xml:space="preserve"> </w:t>
      </w:r>
      <w:r w:rsidR="009344A8">
        <w:rPr>
          <w:lang w:val="fr-CH"/>
        </w:rPr>
        <w:t>passation</w:t>
      </w:r>
      <w:r w:rsidR="00796393">
        <w:rPr>
          <w:lang w:val="fr-CH"/>
        </w:rPr>
        <w:t xml:space="preserve"> </w:t>
      </w:r>
      <w:r w:rsidR="009344A8">
        <w:rPr>
          <w:lang w:val="fr-CH"/>
        </w:rPr>
        <w:t>de marchés, mais également à d</w:t>
      </w:r>
      <w:r w:rsidR="003D2B40">
        <w:rPr>
          <w:lang w:val="fr-CH"/>
        </w:rPr>
        <w:t>'</w:t>
      </w:r>
      <w:r w:rsidR="009344A8">
        <w:rPr>
          <w:lang w:val="fr-CH"/>
        </w:rPr>
        <w:t>autres domaines, comme celui de l</w:t>
      </w:r>
      <w:r w:rsidR="003D2B40">
        <w:rPr>
          <w:lang w:val="fr-CH"/>
        </w:rPr>
        <w:t>'</w:t>
      </w:r>
      <w:r w:rsidR="009344A8">
        <w:rPr>
          <w:lang w:val="fr-CH"/>
        </w:rPr>
        <w:t xml:space="preserve">éthique. </w:t>
      </w:r>
      <w:r w:rsidR="009344A8" w:rsidRPr="009344A8">
        <w:rPr>
          <w:lang w:val="fr-CH"/>
        </w:rPr>
        <w:t>Selon le</w:t>
      </w:r>
      <w:r w:rsidR="00796393">
        <w:rPr>
          <w:lang w:val="fr-CH"/>
        </w:rPr>
        <w:t xml:space="preserve"> </w:t>
      </w:r>
      <w:r w:rsidR="004B3438" w:rsidRPr="009344A8">
        <w:rPr>
          <w:lang w:val="fr-CH"/>
        </w:rPr>
        <w:t>CCIG</w:t>
      </w:r>
      <w:r w:rsidR="009344A8" w:rsidRPr="009344A8">
        <w:rPr>
          <w:lang w:val="fr-CH"/>
        </w:rPr>
        <w:t xml:space="preserve">, il convient que les modalités </w:t>
      </w:r>
      <w:r w:rsidR="005579F8">
        <w:rPr>
          <w:lang w:val="fr-CH"/>
        </w:rPr>
        <w:t>retenues</w:t>
      </w:r>
      <w:r w:rsidR="009344A8" w:rsidRPr="009344A8">
        <w:rPr>
          <w:lang w:val="fr-CH"/>
        </w:rPr>
        <w:t xml:space="preserve"> par l</w:t>
      </w:r>
      <w:r w:rsidR="003D2B40">
        <w:rPr>
          <w:lang w:val="fr-CH"/>
        </w:rPr>
        <w:t>'</w:t>
      </w:r>
      <w:r w:rsidR="009344A8" w:rsidRPr="009344A8">
        <w:rPr>
          <w:lang w:val="fr-CH"/>
        </w:rPr>
        <w:t>UIT soient non seulement appropriées et efficaces, mais aussi adapté</w:t>
      </w:r>
      <w:r w:rsidR="009344A8">
        <w:rPr>
          <w:lang w:val="fr-CH"/>
        </w:rPr>
        <w:t>es</w:t>
      </w:r>
      <w:r w:rsidR="009344A8" w:rsidRPr="009344A8">
        <w:rPr>
          <w:lang w:val="fr-CH"/>
        </w:rPr>
        <w:t xml:space="preserve"> à la taille, à la nature</w:t>
      </w:r>
      <w:r w:rsidR="009344A8">
        <w:rPr>
          <w:lang w:val="fr-CH"/>
        </w:rPr>
        <w:t xml:space="preserve"> et au</w:t>
      </w:r>
      <w:r w:rsidR="00796393">
        <w:rPr>
          <w:lang w:val="fr-CH"/>
        </w:rPr>
        <w:t xml:space="preserve"> </w:t>
      </w:r>
      <w:r w:rsidR="009344A8">
        <w:rPr>
          <w:lang w:val="fr-CH"/>
        </w:rPr>
        <w:t>contexte</w:t>
      </w:r>
      <w:r w:rsidR="00796393">
        <w:rPr>
          <w:lang w:val="fr-CH"/>
        </w:rPr>
        <w:t xml:space="preserve"> </w:t>
      </w:r>
      <w:r w:rsidR="009344A8">
        <w:rPr>
          <w:lang w:val="fr-CH"/>
        </w:rPr>
        <w:t>de l</w:t>
      </w:r>
      <w:r w:rsidR="003D2B40">
        <w:rPr>
          <w:lang w:val="fr-CH"/>
        </w:rPr>
        <w:t>'</w:t>
      </w:r>
      <w:r w:rsidR="009344A8">
        <w:rPr>
          <w:lang w:val="fr-CH"/>
        </w:rPr>
        <w:t>organisation</w:t>
      </w:r>
      <w:r w:rsidR="00083A9D" w:rsidRPr="009344A8">
        <w:rPr>
          <w:lang w:val="fr-CH"/>
        </w:rPr>
        <w:t xml:space="preserve">. </w:t>
      </w:r>
      <w:r w:rsidR="009344A8" w:rsidRPr="009344A8">
        <w:rPr>
          <w:lang w:val="fr-CH"/>
        </w:rPr>
        <w:t xml:space="preserve">Lors de la </w:t>
      </w:r>
      <w:r w:rsidR="009344A8" w:rsidRPr="009344A8">
        <w:rPr>
          <w:lang w:val="fr-CH"/>
        </w:rPr>
        <w:lastRenderedPageBreak/>
        <w:t>réunion qu</w:t>
      </w:r>
      <w:r w:rsidR="003D2B40">
        <w:rPr>
          <w:lang w:val="fr-CH"/>
        </w:rPr>
        <w:t>'</w:t>
      </w:r>
      <w:r w:rsidR="009344A8" w:rsidRPr="009344A8">
        <w:rPr>
          <w:lang w:val="fr-CH"/>
        </w:rPr>
        <w:t>il tiendra à l</w:t>
      </w:r>
      <w:r w:rsidR="003D2B40">
        <w:rPr>
          <w:lang w:val="fr-CH"/>
        </w:rPr>
        <w:t>'</w:t>
      </w:r>
      <w:r w:rsidR="009344A8" w:rsidRPr="009344A8">
        <w:rPr>
          <w:lang w:val="fr-CH"/>
        </w:rPr>
        <w:t>automne 2017, et en s</w:t>
      </w:r>
      <w:r w:rsidR="003D2B40">
        <w:rPr>
          <w:lang w:val="fr-CH"/>
        </w:rPr>
        <w:t>'</w:t>
      </w:r>
      <w:r w:rsidR="009344A8" w:rsidRPr="009344A8">
        <w:rPr>
          <w:lang w:val="fr-CH"/>
        </w:rPr>
        <w:t>appuyant sur les recommandations formulées par le Vérificateur extérieur des comptes, le</w:t>
      </w:r>
      <w:r w:rsidR="00796393">
        <w:rPr>
          <w:lang w:val="fr-CH"/>
        </w:rPr>
        <w:t xml:space="preserve"> </w:t>
      </w:r>
      <w:r w:rsidR="004B3438" w:rsidRPr="009344A8">
        <w:rPr>
          <w:lang w:val="fr-CH"/>
        </w:rPr>
        <w:t>CCIG</w:t>
      </w:r>
      <w:r w:rsidR="00796393">
        <w:rPr>
          <w:lang w:val="fr-CH"/>
        </w:rPr>
        <w:t xml:space="preserve"> </w:t>
      </w:r>
      <w:r w:rsidR="009344A8">
        <w:rPr>
          <w:lang w:val="fr-CH"/>
        </w:rPr>
        <w:t>examinera de manière plus approfondie la question de la passation de marché</w:t>
      </w:r>
      <w:r w:rsidR="005579F8">
        <w:rPr>
          <w:lang w:val="fr-CH"/>
        </w:rPr>
        <w:t>s</w:t>
      </w:r>
      <w:r w:rsidR="009344A8">
        <w:rPr>
          <w:lang w:val="fr-CH"/>
        </w:rPr>
        <w:t xml:space="preserve">, en vue de fournir </w:t>
      </w:r>
      <w:r w:rsidR="005579F8">
        <w:rPr>
          <w:lang w:val="fr-CH"/>
        </w:rPr>
        <w:t>d</w:t>
      </w:r>
      <w:r w:rsidR="003D2B40">
        <w:rPr>
          <w:lang w:val="fr-CH"/>
        </w:rPr>
        <w:t>'</w:t>
      </w:r>
      <w:r w:rsidR="005579F8">
        <w:rPr>
          <w:lang w:val="fr-CH"/>
        </w:rPr>
        <w:t>autres</w:t>
      </w:r>
      <w:r w:rsidR="009344A8">
        <w:rPr>
          <w:lang w:val="fr-CH"/>
        </w:rPr>
        <w:t xml:space="preserve"> avis à la direction</w:t>
      </w:r>
      <w:r w:rsidR="005579F8">
        <w:rPr>
          <w:lang w:val="fr-CH"/>
        </w:rPr>
        <w:t>.</w:t>
      </w:r>
      <w:r w:rsidR="00796393">
        <w:rPr>
          <w:lang w:val="fr-CH"/>
        </w:rPr>
        <w:t xml:space="preserve"> </w:t>
      </w:r>
    </w:p>
    <w:p w:rsidR="00083A9D" w:rsidRPr="005B06BF" w:rsidRDefault="00934BE1" w:rsidP="00025DB5">
      <w:pPr>
        <w:rPr>
          <w:lang w:val="fr-CH"/>
        </w:rPr>
      </w:pPr>
      <w:r w:rsidRPr="009344A8">
        <w:rPr>
          <w:lang w:val="fr-CH"/>
        </w:rPr>
        <w:t>3.14</w:t>
      </w:r>
      <w:r w:rsidRPr="009344A8">
        <w:rPr>
          <w:lang w:val="fr-CH"/>
        </w:rPr>
        <w:tab/>
      </w:r>
      <w:r w:rsidR="009344A8" w:rsidRPr="009344A8">
        <w:rPr>
          <w:lang w:val="fr-CH"/>
        </w:rPr>
        <w:t xml:space="preserve">Le </w:t>
      </w:r>
      <w:r w:rsidR="004B3438" w:rsidRPr="009344A8">
        <w:rPr>
          <w:lang w:val="fr-CH"/>
        </w:rPr>
        <w:t xml:space="preserve">CCIG </w:t>
      </w:r>
      <w:r w:rsidR="009344A8" w:rsidRPr="009344A8">
        <w:rPr>
          <w:lang w:val="fr-CH"/>
        </w:rPr>
        <w:t>se félicite de l</w:t>
      </w:r>
      <w:r w:rsidR="003D2B40">
        <w:rPr>
          <w:lang w:val="fr-CH"/>
        </w:rPr>
        <w:t>'</w:t>
      </w:r>
      <w:r w:rsidR="009344A8" w:rsidRPr="009344A8">
        <w:rPr>
          <w:lang w:val="fr-CH"/>
        </w:rPr>
        <w:t>attention que le Conseil a accordée aux observations formulées par le Vérificateur extérieur des comptes ainsi qu</w:t>
      </w:r>
      <w:r w:rsidR="003D2B40">
        <w:rPr>
          <w:lang w:val="fr-CH"/>
        </w:rPr>
        <w:t>'</w:t>
      </w:r>
      <w:r w:rsidR="009344A8">
        <w:rPr>
          <w:lang w:val="fr-CH"/>
        </w:rPr>
        <w:t>à la</w:t>
      </w:r>
      <w:r w:rsidR="00796393">
        <w:rPr>
          <w:lang w:val="fr-CH"/>
        </w:rPr>
        <w:t xml:space="preserve"> </w:t>
      </w:r>
      <w:r w:rsidR="00025DB5">
        <w:rPr>
          <w:lang w:val="fr-CH"/>
        </w:rPr>
        <w:t>R</w:t>
      </w:r>
      <w:r w:rsidR="009344A8" w:rsidRPr="009344A8">
        <w:rPr>
          <w:lang w:val="fr-CH"/>
        </w:rPr>
        <w:t xml:space="preserve">ecommandation 1 </w:t>
      </w:r>
      <w:r w:rsidR="009344A8">
        <w:rPr>
          <w:lang w:val="fr-CH"/>
        </w:rPr>
        <w:t xml:space="preserve">concernant les graves problèmes </w:t>
      </w:r>
      <w:r w:rsidR="00025DB5">
        <w:rPr>
          <w:lang w:val="fr-CH"/>
        </w:rPr>
        <w:t xml:space="preserve">que posent le </w:t>
      </w:r>
      <w:r w:rsidR="009344A8">
        <w:rPr>
          <w:lang w:val="fr-CH"/>
        </w:rPr>
        <w:t>nombre très élevé de fonctionnaires sur le point de partir à la retraite</w:t>
      </w:r>
      <w:r w:rsidR="00796393">
        <w:rPr>
          <w:lang w:val="fr-CH"/>
        </w:rPr>
        <w:t xml:space="preserve"> </w:t>
      </w:r>
      <w:r w:rsidR="009344A8">
        <w:rPr>
          <w:lang w:val="fr-CH"/>
        </w:rPr>
        <w:t>et l</w:t>
      </w:r>
      <w:r w:rsidR="003D2B40">
        <w:rPr>
          <w:lang w:val="fr-CH"/>
        </w:rPr>
        <w:t>'</w:t>
      </w:r>
      <w:r w:rsidR="009344A8">
        <w:rPr>
          <w:lang w:val="fr-CH"/>
        </w:rPr>
        <w:t xml:space="preserve">absence de plan stratégique </w:t>
      </w:r>
      <w:r w:rsidR="00025DB5">
        <w:rPr>
          <w:lang w:val="fr-CH"/>
        </w:rPr>
        <w:t>actualisé pour les</w:t>
      </w:r>
      <w:r w:rsidR="009344A8">
        <w:rPr>
          <w:lang w:val="fr-CH"/>
        </w:rPr>
        <w:t xml:space="preserve"> ressources humaines et de stratégie en matière de renouvellement des effectifs.</w:t>
      </w:r>
      <w:r w:rsidR="00796393">
        <w:rPr>
          <w:lang w:val="fr-CH"/>
        </w:rPr>
        <w:t xml:space="preserve"> </w:t>
      </w:r>
      <w:r w:rsidR="009344A8" w:rsidRPr="005B06BF">
        <w:rPr>
          <w:lang w:val="fr-CH"/>
        </w:rPr>
        <w:t xml:space="preserve">Le </w:t>
      </w:r>
      <w:r w:rsidR="004B3438" w:rsidRPr="005B06BF">
        <w:rPr>
          <w:lang w:val="fr-CH"/>
        </w:rPr>
        <w:t xml:space="preserve">CCIG </w:t>
      </w:r>
      <w:r w:rsidR="009344A8" w:rsidRPr="005B06BF">
        <w:rPr>
          <w:lang w:val="fr-CH"/>
        </w:rPr>
        <w:t>estime qu</w:t>
      </w:r>
      <w:r w:rsidR="003D2B40">
        <w:rPr>
          <w:lang w:val="fr-CH"/>
        </w:rPr>
        <w:t>'</w:t>
      </w:r>
      <w:r w:rsidR="009344A8" w:rsidRPr="005B06BF">
        <w:rPr>
          <w:lang w:val="fr-CH"/>
        </w:rPr>
        <w:t>une telle situation fait peser des risques considérables</w:t>
      </w:r>
      <w:r w:rsidR="00796393">
        <w:rPr>
          <w:lang w:val="fr-CH"/>
        </w:rPr>
        <w:t xml:space="preserve"> </w:t>
      </w:r>
      <w:r w:rsidR="00025DB5">
        <w:rPr>
          <w:lang w:val="fr-CH"/>
        </w:rPr>
        <w:t>pour</w:t>
      </w:r>
      <w:r w:rsidR="009344A8" w:rsidRPr="005B06BF">
        <w:rPr>
          <w:lang w:val="fr-CH"/>
        </w:rPr>
        <w:t xml:space="preserve"> l</w:t>
      </w:r>
      <w:r w:rsidR="003D2B40">
        <w:rPr>
          <w:lang w:val="fr-CH"/>
        </w:rPr>
        <w:t>'</w:t>
      </w:r>
      <w:r w:rsidR="009344A8" w:rsidRPr="005B06BF">
        <w:rPr>
          <w:lang w:val="fr-CH"/>
        </w:rPr>
        <w:t>UIT</w:t>
      </w:r>
      <w:r w:rsidR="00025DB5">
        <w:rPr>
          <w:lang w:val="fr-CH"/>
        </w:rPr>
        <w:t>. Alors que l</w:t>
      </w:r>
      <w:r w:rsidR="003D2B40">
        <w:rPr>
          <w:lang w:val="fr-CH"/>
        </w:rPr>
        <w:t>'</w:t>
      </w:r>
      <w:r w:rsidR="00025DB5">
        <w:rPr>
          <w:lang w:val="fr-CH"/>
        </w:rPr>
        <w:t>Union</w:t>
      </w:r>
      <w:r w:rsidR="005B06BF" w:rsidRPr="005B06BF">
        <w:rPr>
          <w:lang w:val="fr-CH"/>
        </w:rPr>
        <w:t xml:space="preserve"> évolue dans un environnement en mutation rapide et </w:t>
      </w:r>
      <w:r w:rsidR="00BF2944">
        <w:rPr>
          <w:lang w:val="fr-CH"/>
        </w:rPr>
        <w:t>étant donné</w:t>
      </w:r>
      <w:r w:rsidR="00796393">
        <w:rPr>
          <w:lang w:val="fr-CH"/>
        </w:rPr>
        <w:t xml:space="preserve"> </w:t>
      </w:r>
      <w:r w:rsidR="005B06BF" w:rsidRPr="005B06BF">
        <w:rPr>
          <w:lang w:val="fr-CH"/>
        </w:rPr>
        <w:t>qu</w:t>
      </w:r>
      <w:r w:rsidR="003D2B40">
        <w:rPr>
          <w:lang w:val="fr-CH"/>
        </w:rPr>
        <w:t>'</w:t>
      </w:r>
      <w:r w:rsidR="005B06BF" w:rsidRPr="005B06BF">
        <w:rPr>
          <w:lang w:val="fr-CH"/>
        </w:rPr>
        <w:t xml:space="preserve">il faudra peut-être définir de façon plus précise </w:t>
      </w:r>
      <w:r w:rsidR="005B06BF">
        <w:rPr>
          <w:lang w:val="fr-CH"/>
        </w:rPr>
        <w:t>l</w:t>
      </w:r>
      <w:r w:rsidR="003D2B40">
        <w:rPr>
          <w:lang w:val="fr-CH"/>
        </w:rPr>
        <w:t>'</w:t>
      </w:r>
      <w:r w:rsidR="005B06BF" w:rsidRPr="005B06BF">
        <w:rPr>
          <w:lang w:val="fr-CH"/>
        </w:rPr>
        <w:t>objectif</w:t>
      </w:r>
      <w:r w:rsidR="00796393">
        <w:rPr>
          <w:lang w:val="fr-CH"/>
        </w:rPr>
        <w:t xml:space="preserve"> </w:t>
      </w:r>
      <w:r w:rsidR="005B06BF" w:rsidRPr="005B06BF">
        <w:rPr>
          <w:lang w:val="fr-CH"/>
        </w:rPr>
        <w:t xml:space="preserve">à long terme de </w:t>
      </w:r>
      <w:r w:rsidR="00025DB5">
        <w:rPr>
          <w:lang w:val="fr-CH"/>
        </w:rPr>
        <w:t>l</w:t>
      </w:r>
      <w:r w:rsidR="003D2B40">
        <w:rPr>
          <w:lang w:val="fr-CH"/>
        </w:rPr>
        <w:t>'</w:t>
      </w:r>
      <w:r w:rsidR="00025DB5">
        <w:rPr>
          <w:lang w:val="fr-CH"/>
        </w:rPr>
        <w:t>UIT</w:t>
      </w:r>
      <w:r w:rsidR="005B06BF" w:rsidRPr="005B06BF">
        <w:rPr>
          <w:lang w:val="fr-CH"/>
        </w:rPr>
        <w:t xml:space="preserve">, il est impératif </w:t>
      </w:r>
      <w:r w:rsidR="005B06BF">
        <w:rPr>
          <w:lang w:val="fr-CH"/>
        </w:rPr>
        <w:t>d</w:t>
      </w:r>
      <w:r w:rsidR="003D2B40">
        <w:rPr>
          <w:lang w:val="fr-CH"/>
        </w:rPr>
        <w:t>'</w:t>
      </w:r>
      <w:r w:rsidR="005B06BF">
        <w:rPr>
          <w:lang w:val="fr-CH"/>
        </w:rPr>
        <w:t>examiner de toute urgence et d</w:t>
      </w:r>
      <w:r w:rsidR="003D2B40">
        <w:rPr>
          <w:lang w:val="fr-CH"/>
        </w:rPr>
        <w:t>'</w:t>
      </w:r>
      <w:r w:rsidR="005B06BF">
        <w:rPr>
          <w:lang w:val="fr-CH"/>
        </w:rPr>
        <w:t>une manière plus générale les lacunes à combler sur le plan des effectifs, pour faire en sorte que le personnel de l</w:t>
      </w:r>
      <w:r w:rsidR="003D2B40">
        <w:rPr>
          <w:lang w:val="fr-CH"/>
        </w:rPr>
        <w:t>'</w:t>
      </w:r>
      <w:r w:rsidR="005B06BF">
        <w:rPr>
          <w:lang w:val="fr-CH"/>
        </w:rPr>
        <w:t>UIT</w:t>
      </w:r>
      <w:r w:rsidR="00796393">
        <w:rPr>
          <w:lang w:val="fr-CH"/>
        </w:rPr>
        <w:t xml:space="preserve"> </w:t>
      </w:r>
      <w:r w:rsidR="00BF2944">
        <w:rPr>
          <w:lang w:val="fr-CH"/>
        </w:rPr>
        <w:t xml:space="preserve">possède </w:t>
      </w:r>
      <w:r w:rsidR="005B06BF">
        <w:rPr>
          <w:lang w:val="fr-CH"/>
        </w:rPr>
        <w:t>les compétences et les aptitudes qui seront nécessaires dans l</w:t>
      </w:r>
      <w:r w:rsidR="003D2B40">
        <w:rPr>
          <w:lang w:val="fr-CH"/>
        </w:rPr>
        <w:t>'</w:t>
      </w:r>
      <w:r w:rsidR="005B06BF">
        <w:rPr>
          <w:lang w:val="fr-CH"/>
        </w:rPr>
        <w:t>avenir</w:t>
      </w:r>
      <w:r w:rsidR="00083A9D" w:rsidRPr="005B06BF">
        <w:rPr>
          <w:lang w:val="fr-CH"/>
        </w:rPr>
        <w:t xml:space="preserve">. </w:t>
      </w:r>
      <w:r w:rsidR="005B06BF" w:rsidRPr="005B06BF">
        <w:rPr>
          <w:lang w:val="fr-CH"/>
        </w:rPr>
        <w:t xml:space="preserve">Le </w:t>
      </w:r>
      <w:r w:rsidR="004B3438" w:rsidRPr="005B06BF">
        <w:rPr>
          <w:lang w:val="fr-CH"/>
        </w:rPr>
        <w:t xml:space="preserve">CCIG </w:t>
      </w:r>
      <w:r w:rsidR="005B06BF" w:rsidRPr="005B06BF">
        <w:rPr>
          <w:lang w:val="fr-CH"/>
        </w:rPr>
        <w:t>suivr</w:t>
      </w:r>
      <w:r w:rsidR="00BF2944">
        <w:rPr>
          <w:lang w:val="fr-CH"/>
        </w:rPr>
        <w:t>a</w:t>
      </w:r>
      <w:r w:rsidR="005B06BF" w:rsidRPr="005B06BF">
        <w:rPr>
          <w:lang w:val="fr-CH"/>
        </w:rPr>
        <w:t xml:space="preserve"> de près cette question lors de sa prochaine réunion, afin d</w:t>
      </w:r>
      <w:r w:rsidR="003D2B40">
        <w:rPr>
          <w:lang w:val="fr-CH"/>
        </w:rPr>
        <w:t>'</w:t>
      </w:r>
      <w:r w:rsidR="005B06BF" w:rsidRPr="005B06BF">
        <w:rPr>
          <w:lang w:val="fr-CH"/>
        </w:rPr>
        <w:t>analyser de manière plus approfondie</w:t>
      </w:r>
      <w:r w:rsidR="00083A9D" w:rsidRPr="005B06BF">
        <w:rPr>
          <w:lang w:val="fr-CH"/>
        </w:rPr>
        <w:t xml:space="preserve"> </w:t>
      </w:r>
      <w:r w:rsidR="005B06BF">
        <w:rPr>
          <w:lang w:val="fr-CH"/>
        </w:rPr>
        <w:t xml:space="preserve">ce nouveau risque. </w:t>
      </w:r>
    </w:p>
    <w:p w:rsidR="00083A9D" w:rsidRPr="00934BE1" w:rsidRDefault="00934BE1" w:rsidP="00025DB5">
      <w:pPr>
        <w:rPr>
          <w:lang w:val="fr-CH"/>
        </w:rPr>
      </w:pPr>
      <w:r w:rsidRPr="00934BE1">
        <w:rPr>
          <w:lang w:val="fr-CH"/>
        </w:rPr>
        <w:t>3.15</w:t>
      </w:r>
      <w:r w:rsidRPr="00934BE1">
        <w:rPr>
          <w:lang w:val="fr-CH"/>
        </w:rPr>
        <w:tab/>
      </w:r>
      <w:r w:rsidRPr="00BA0BD6">
        <w:rPr>
          <w:rFonts w:eastAsia="SimSun"/>
          <w:lang w:eastAsia="en-GB" w:bidi="en-US"/>
        </w:rPr>
        <w:t>L</w:t>
      </w:r>
      <w:r w:rsidR="003D2B40">
        <w:rPr>
          <w:rFonts w:eastAsia="SimSun"/>
          <w:lang w:eastAsia="en-GB" w:bidi="en-US"/>
        </w:rPr>
        <w:t>'</w:t>
      </w:r>
      <w:r w:rsidRPr="00BA0BD6">
        <w:rPr>
          <w:rFonts w:eastAsia="SimSun"/>
          <w:lang w:eastAsia="en-GB" w:bidi="en-US"/>
        </w:rPr>
        <w:t xml:space="preserve">Annexe 1 du rapport des Vérificateurs extérieurs </w:t>
      </w:r>
      <w:r w:rsidR="00BF2944">
        <w:rPr>
          <w:rFonts w:eastAsia="SimSun"/>
          <w:lang w:eastAsia="en-GB" w:bidi="en-US"/>
        </w:rPr>
        <w:t>donne</w:t>
      </w:r>
      <w:r w:rsidRPr="00BA0BD6">
        <w:rPr>
          <w:rFonts w:eastAsia="SimSun"/>
          <w:lang w:eastAsia="en-GB" w:bidi="en-US"/>
        </w:rPr>
        <w:t xml:space="preserve"> des renseignements sur l</w:t>
      </w:r>
      <w:r w:rsidR="003D2B40">
        <w:rPr>
          <w:rFonts w:eastAsia="SimSun"/>
          <w:lang w:eastAsia="en-GB" w:bidi="en-US"/>
        </w:rPr>
        <w:t>'</w:t>
      </w:r>
      <w:r w:rsidRPr="00BA0BD6">
        <w:rPr>
          <w:rFonts w:eastAsia="SimSun"/>
          <w:lang w:eastAsia="en-GB" w:bidi="en-US"/>
        </w:rPr>
        <w:t>état d</w:t>
      </w:r>
      <w:r w:rsidR="003D2B40">
        <w:rPr>
          <w:rFonts w:eastAsia="SimSun"/>
          <w:lang w:eastAsia="en-GB" w:bidi="en-US"/>
        </w:rPr>
        <w:t>'</w:t>
      </w:r>
      <w:r w:rsidRPr="00BA0BD6">
        <w:rPr>
          <w:rFonts w:eastAsia="SimSun"/>
          <w:lang w:eastAsia="en-GB" w:bidi="en-US"/>
        </w:rPr>
        <w:t>avancement de la mise en oeuvre des recommandations des Vérificateurs pour les années précédentes</w:t>
      </w:r>
      <w:r w:rsidR="00025DB5">
        <w:rPr>
          <w:rFonts w:eastAsia="SimSun"/>
          <w:lang w:eastAsia="en-GB" w:bidi="en-US"/>
        </w:rPr>
        <w:t>.</w:t>
      </w:r>
    </w:p>
    <w:p w:rsidR="00083A9D" w:rsidRPr="001B57EF" w:rsidRDefault="00934BE1" w:rsidP="000F0EA4">
      <w:pPr>
        <w:pStyle w:val="Headingb"/>
      </w:pPr>
      <w:r>
        <w:t>A</w:t>
      </w:r>
      <w:r w:rsidR="00083A9D" w:rsidRPr="001B57EF">
        <w:t>udit</w:t>
      </w:r>
      <w:r>
        <w:t xml:space="preserve"> interne</w:t>
      </w:r>
    </w:p>
    <w:p w:rsidR="00083A9D" w:rsidRPr="00CA0172" w:rsidRDefault="002B553A" w:rsidP="000F0EA4">
      <w:pPr>
        <w:rPr>
          <w:spacing w:val="-2"/>
          <w:lang w:val="fr-CH"/>
        </w:rPr>
      </w:pPr>
      <w:r>
        <w:rPr>
          <w:lang w:val="fr-CH"/>
        </w:rPr>
        <w:t>3.16</w:t>
      </w:r>
      <w:r>
        <w:rPr>
          <w:lang w:val="fr-CH"/>
        </w:rPr>
        <w:tab/>
      </w:r>
      <w:r w:rsidR="00934BE1" w:rsidRPr="00CA0172">
        <w:rPr>
          <w:spacing w:val="-2"/>
          <w:lang w:val="fr-CH"/>
        </w:rPr>
        <w:t>Le CCIG a continué de suivre avec attention les activités de l</w:t>
      </w:r>
      <w:r w:rsidR="003D2B40" w:rsidRPr="00CA0172">
        <w:rPr>
          <w:spacing w:val="-2"/>
          <w:lang w:val="fr-CH"/>
        </w:rPr>
        <w:t>'</w:t>
      </w:r>
      <w:r w:rsidR="00934BE1" w:rsidRPr="00CA0172">
        <w:rPr>
          <w:spacing w:val="-2"/>
          <w:lang w:val="fr-CH"/>
        </w:rPr>
        <w:t>Unité de l</w:t>
      </w:r>
      <w:r w:rsidR="003D2B40" w:rsidRPr="00CA0172">
        <w:rPr>
          <w:spacing w:val="-2"/>
          <w:lang w:val="fr-CH"/>
        </w:rPr>
        <w:t>'</w:t>
      </w:r>
      <w:r w:rsidR="00934BE1" w:rsidRPr="00CA0172">
        <w:rPr>
          <w:spacing w:val="-2"/>
          <w:lang w:val="fr-CH"/>
        </w:rPr>
        <w:t>audit interne de l</w:t>
      </w:r>
      <w:r w:rsidR="003D2B40" w:rsidRPr="00CA0172">
        <w:rPr>
          <w:spacing w:val="-2"/>
          <w:lang w:val="fr-CH"/>
        </w:rPr>
        <w:t>'</w:t>
      </w:r>
      <w:r w:rsidR="00934BE1" w:rsidRPr="00CA0172">
        <w:rPr>
          <w:spacing w:val="-2"/>
          <w:lang w:val="fr-CH"/>
        </w:rPr>
        <w:t>UIT au cours de l</w:t>
      </w:r>
      <w:r w:rsidR="003D2B40" w:rsidRPr="00CA0172">
        <w:rPr>
          <w:spacing w:val="-2"/>
          <w:lang w:val="fr-CH"/>
        </w:rPr>
        <w:t>'</w:t>
      </w:r>
      <w:r w:rsidR="00934BE1" w:rsidRPr="00CA0172">
        <w:rPr>
          <w:spacing w:val="-2"/>
          <w:lang w:val="fr-CH"/>
        </w:rPr>
        <w:t>année</w:t>
      </w:r>
      <w:r w:rsidR="00796393" w:rsidRPr="00CA0172">
        <w:rPr>
          <w:spacing w:val="-2"/>
          <w:lang w:val="fr-CH"/>
        </w:rPr>
        <w:t xml:space="preserve"> </w:t>
      </w:r>
      <w:r w:rsidR="00934BE1" w:rsidRPr="00CA0172">
        <w:rPr>
          <w:spacing w:val="-2"/>
          <w:lang w:val="fr-CH"/>
        </w:rPr>
        <w:t>écoulée</w:t>
      </w:r>
      <w:r w:rsidR="00083A9D" w:rsidRPr="00CA0172">
        <w:rPr>
          <w:spacing w:val="-2"/>
        </w:rPr>
        <w:t xml:space="preserve">. </w:t>
      </w:r>
      <w:r w:rsidR="00025DB5" w:rsidRPr="00CA0172">
        <w:rPr>
          <w:spacing w:val="-2"/>
          <w:lang w:val="fr-CH"/>
        </w:rPr>
        <w:t xml:space="preserve">Il </w:t>
      </w:r>
      <w:r w:rsidR="00BF2944" w:rsidRPr="00CA0172">
        <w:rPr>
          <w:spacing w:val="-2"/>
          <w:lang w:val="fr-CH"/>
        </w:rPr>
        <w:t>a examiné la programmation des activités d</w:t>
      </w:r>
      <w:r w:rsidR="003D2B40" w:rsidRPr="00CA0172">
        <w:rPr>
          <w:spacing w:val="-2"/>
          <w:lang w:val="fr-CH"/>
        </w:rPr>
        <w:t>'</w:t>
      </w:r>
      <w:r w:rsidR="00BF2944" w:rsidRPr="00CA0172">
        <w:rPr>
          <w:spacing w:val="-2"/>
          <w:lang w:val="fr-CH"/>
        </w:rPr>
        <w:t>audit interne et les progrès accomplis en la matière</w:t>
      </w:r>
      <w:r w:rsidR="00796393" w:rsidRPr="00CA0172">
        <w:rPr>
          <w:spacing w:val="-2"/>
          <w:lang w:val="fr-CH"/>
        </w:rPr>
        <w:t xml:space="preserve"> </w:t>
      </w:r>
      <w:r w:rsidR="00934BE1" w:rsidRPr="00CA0172">
        <w:rPr>
          <w:spacing w:val="-2"/>
          <w:lang w:val="fr-CH"/>
        </w:rPr>
        <w:t>et</w:t>
      </w:r>
      <w:r w:rsidR="00083A9D" w:rsidRPr="00CA0172">
        <w:rPr>
          <w:spacing w:val="-2"/>
          <w:lang w:val="fr-CH"/>
        </w:rPr>
        <w:t xml:space="preserve"> </w:t>
      </w:r>
      <w:r w:rsidR="00025DB5" w:rsidRPr="00CA0172">
        <w:rPr>
          <w:spacing w:val="-2"/>
          <w:lang w:val="fr-CH"/>
        </w:rPr>
        <w:t xml:space="preserve">a </w:t>
      </w:r>
      <w:r w:rsidR="00934BE1" w:rsidRPr="00CA0172">
        <w:rPr>
          <w:spacing w:val="-2"/>
          <w:lang w:val="fr-CH"/>
        </w:rPr>
        <w:t>passé en revue les résultats des rapports d</w:t>
      </w:r>
      <w:r w:rsidR="003D2B40" w:rsidRPr="00CA0172">
        <w:rPr>
          <w:spacing w:val="-2"/>
          <w:lang w:val="fr-CH"/>
        </w:rPr>
        <w:t>'</w:t>
      </w:r>
      <w:r w:rsidR="00934BE1" w:rsidRPr="00CA0172">
        <w:rPr>
          <w:spacing w:val="-2"/>
          <w:lang w:val="fr-CH"/>
        </w:rPr>
        <w:t xml:space="preserve">audit pour </w:t>
      </w:r>
      <w:r w:rsidR="00083A9D" w:rsidRPr="00CA0172">
        <w:rPr>
          <w:spacing w:val="-2"/>
          <w:lang w:val="fr-CH"/>
        </w:rPr>
        <w:t>2016/2017.</w:t>
      </w:r>
    </w:p>
    <w:p w:rsidR="003E775D" w:rsidRDefault="002B553A" w:rsidP="00BA3167">
      <w:pPr>
        <w:rPr>
          <w:color w:val="000000"/>
        </w:rPr>
      </w:pPr>
      <w:r w:rsidRPr="003E775D">
        <w:rPr>
          <w:lang w:val="fr-CH"/>
        </w:rPr>
        <w:t>3.17</w:t>
      </w:r>
      <w:r w:rsidRPr="003E775D">
        <w:rPr>
          <w:lang w:val="fr-CH"/>
        </w:rPr>
        <w:tab/>
      </w:r>
      <w:r w:rsidR="003E775D">
        <w:rPr>
          <w:color w:val="000000"/>
        </w:rPr>
        <w:t xml:space="preserve">Le </w:t>
      </w:r>
      <w:r w:rsidR="003E775D" w:rsidRPr="003E775D">
        <w:rPr>
          <w:lang w:val="fr-CH"/>
        </w:rPr>
        <w:t>CCIG</w:t>
      </w:r>
      <w:r w:rsidR="003E775D">
        <w:rPr>
          <w:color w:val="000000"/>
        </w:rPr>
        <w:t xml:space="preserve"> a </w:t>
      </w:r>
      <w:r w:rsidR="00025DB5">
        <w:rPr>
          <w:color w:val="000000"/>
        </w:rPr>
        <w:t>examiné les</w:t>
      </w:r>
      <w:r w:rsidR="003E775D">
        <w:rPr>
          <w:color w:val="000000"/>
        </w:rPr>
        <w:t xml:space="preserve"> rapports d</w:t>
      </w:r>
      <w:r w:rsidR="003D2B40">
        <w:rPr>
          <w:color w:val="000000"/>
        </w:rPr>
        <w:t>'</w:t>
      </w:r>
      <w:r w:rsidR="003E775D">
        <w:rPr>
          <w:color w:val="000000"/>
        </w:rPr>
        <w:t xml:space="preserve">audit </w:t>
      </w:r>
      <w:r w:rsidR="00025DB5">
        <w:rPr>
          <w:color w:val="000000"/>
        </w:rPr>
        <w:t xml:space="preserve">interne </w:t>
      </w:r>
      <w:r w:rsidR="003D2B40">
        <w:rPr>
          <w:color w:val="000000"/>
        </w:rPr>
        <w:t>ci-après</w:t>
      </w:r>
      <w:r w:rsidR="003E775D">
        <w:rPr>
          <w:color w:val="000000"/>
        </w:rPr>
        <w:t>:</w:t>
      </w:r>
    </w:p>
    <w:p w:rsidR="00083A9D" w:rsidRPr="0017687B" w:rsidRDefault="002B553A" w:rsidP="00E37BAC">
      <w:pPr>
        <w:spacing w:before="80"/>
        <w:rPr>
          <w:lang w:val="fr-CH"/>
        </w:rPr>
      </w:pPr>
      <w:r w:rsidRPr="0017687B">
        <w:rPr>
          <w:lang w:val="fr-CH"/>
        </w:rPr>
        <w:t>–</w:t>
      </w:r>
      <w:r w:rsidRPr="0017687B">
        <w:rPr>
          <w:lang w:val="fr-CH"/>
        </w:rPr>
        <w:tab/>
      </w:r>
      <w:r w:rsidR="0017687B" w:rsidRPr="0017687B">
        <w:rPr>
          <w:lang w:val="fr-CH"/>
        </w:rPr>
        <w:t>Vérification des contrats relatifs aux experts extérieurs</w:t>
      </w:r>
      <w:r w:rsidR="00083A9D" w:rsidRPr="0017687B">
        <w:rPr>
          <w:lang w:val="fr-CH"/>
        </w:rPr>
        <w:t>;</w:t>
      </w:r>
    </w:p>
    <w:p w:rsidR="00083A9D" w:rsidRPr="0017687B" w:rsidRDefault="006D2114" w:rsidP="00E37BAC">
      <w:pPr>
        <w:pStyle w:val="enumlev1"/>
        <w:spacing w:before="80"/>
        <w:rPr>
          <w:lang w:val="fr-CH"/>
        </w:rPr>
      </w:pPr>
      <w:r w:rsidRPr="0017687B">
        <w:rPr>
          <w:lang w:val="fr-CH"/>
        </w:rPr>
        <w:t>–</w:t>
      </w:r>
      <w:r w:rsidRPr="0017687B">
        <w:rPr>
          <w:lang w:val="fr-CH"/>
        </w:rPr>
        <w:tab/>
      </w:r>
      <w:r w:rsidR="0017687B" w:rsidRPr="0017687B">
        <w:t>Audit des fonds d</w:t>
      </w:r>
      <w:r w:rsidR="003D2B40">
        <w:t>'</w:t>
      </w:r>
      <w:r w:rsidR="0017687B" w:rsidRPr="0017687B">
        <w:t>affectation spéciale</w:t>
      </w:r>
      <w:r w:rsidR="00083A9D" w:rsidRPr="0017687B">
        <w:rPr>
          <w:lang w:val="fr-CH"/>
        </w:rPr>
        <w:t>;</w:t>
      </w:r>
    </w:p>
    <w:p w:rsidR="00083A9D" w:rsidRPr="0017687B" w:rsidRDefault="006D2114" w:rsidP="00E37BAC">
      <w:pPr>
        <w:pStyle w:val="enumlev1"/>
        <w:spacing w:before="80"/>
        <w:rPr>
          <w:lang w:val="fr-CH"/>
        </w:rPr>
      </w:pPr>
      <w:r w:rsidRPr="0017687B">
        <w:rPr>
          <w:lang w:val="fr-CH"/>
        </w:rPr>
        <w:t>–</w:t>
      </w:r>
      <w:r w:rsidRPr="0017687B">
        <w:rPr>
          <w:lang w:val="fr-CH"/>
        </w:rPr>
        <w:tab/>
      </w:r>
      <w:r w:rsidR="0017687B" w:rsidRPr="0017687B">
        <w:rPr>
          <w:lang w:val="fr-CH"/>
        </w:rPr>
        <w:t>Evaluation des risques de fraude institutionnelle</w:t>
      </w:r>
      <w:r w:rsidR="00083A9D" w:rsidRPr="0017687B">
        <w:rPr>
          <w:lang w:val="fr-CH"/>
        </w:rPr>
        <w:t>;</w:t>
      </w:r>
    </w:p>
    <w:p w:rsidR="00083A9D" w:rsidRPr="0017687B" w:rsidRDefault="006D2114" w:rsidP="00E37BAC">
      <w:pPr>
        <w:pStyle w:val="enumlev1"/>
        <w:spacing w:before="80"/>
        <w:rPr>
          <w:lang w:val="fr-CH"/>
        </w:rPr>
      </w:pPr>
      <w:r w:rsidRPr="0017687B">
        <w:rPr>
          <w:lang w:val="fr-CH"/>
        </w:rPr>
        <w:t>–</w:t>
      </w:r>
      <w:r w:rsidRPr="0017687B">
        <w:rPr>
          <w:lang w:val="fr-CH"/>
        </w:rPr>
        <w:tab/>
      </w:r>
      <w:r w:rsidR="0017687B" w:rsidRPr="0017687B">
        <w:t>Audit des activités relatives à l</w:t>
      </w:r>
      <w:r w:rsidR="003D2B40">
        <w:t>'</w:t>
      </w:r>
      <w:r w:rsidR="0017687B" w:rsidRPr="0017687B">
        <w:t>apprentissage,</w:t>
      </w:r>
      <w:r w:rsidR="00025DB5">
        <w:t xml:space="preserve"> à</w:t>
      </w:r>
      <w:r w:rsidR="0017687B" w:rsidRPr="0017687B">
        <w:t xml:space="preserve"> la formation professionnelle et </w:t>
      </w:r>
      <w:r w:rsidR="00025DB5">
        <w:t xml:space="preserve">à </w:t>
      </w:r>
      <w:r w:rsidR="0017687B" w:rsidRPr="0017687B">
        <w:t>la formation continue</w:t>
      </w:r>
      <w:r w:rsidR="00083A9D" w:rsidRPr="0017687B">
        <w:rPr>
          <w:lang w:val="fr-CH"/>
        </w:rPr>
        <w:t>;</w:t>
      </w:r>
    </w:p>
    <w:p w:rsidR="00083A9D" w:rsidRPr="0017687B" w:rsidRDefault="006D2114" w:rsidP="00E37BAC">
      <w:pPr>
        <w:pStyle w:val="enumlev1"/>
        <w:spacing w:before="80"/>
        <w:rPr>
          <w:lang w:val="fr-CH"/>
        </w:rPr>
      </w:pPr>
      <w:r w:rsidRPr="0017687B">
        <w:rPr>
          <w:lang w:val="fr-CH"/>
        </w:rPr>
        <w:t>–</w:t>
      </w:r>
      <w:r w:rsidRPr="0017687B">
        <w:rPr>
          <w:lang w:val="fr-CH"/>
        </w:rPr>
        <w:tab/>
      </w:r>
      <w:r w:rsidR="0017687B" w:rsidRPr="00B966B4">
        <w:rPr>
          <w:lang w:val="fr-CH"/>
        </w:rPr>
        <w:t>Audit des contrats ainsi que des services</w:t>
      </w:r>
      <w:r w:rsidR="00796393">
        <w:rPr>
          <w:lang w:val="fr-CH"/>
        </w:rPr>
        <w:t xml:space="preserve"> </w:t>
      </w:r>
      <w:r w:rsidR="0017687B" w:rsidRPr="00B966B4">
        <w:rPr>
          <w:lang w:val="fr-CH"/>
        </w:rPr>
        <w:t>de location et de maintenance pour les équipements informatiques</w:t>
      </w:r>
      <w:r w:rsidR="00083A9D" w:rsidRPr="00B966B4">
        <w:rPr>
          <w:lang w:val="fr-CH"/>
        </w:rPr>
        <w:t>;</w:t>
      </w:r>
    </w:p>
    <w:p w:rsidR="00083A9D" w:rsidRPr="003E775D" w:rsidRDefault="006D2114" w:rsidP="00E37BAC">
      <w:pPr>
        <w:pStyle w:val="enumlev1"/>
        <w:spacing w:before="80"/>
        <w:rPr>
          <w:lang w:val="fr-CH"/>
        </w:rPr>
      </w:pPr>
      <w:r w:rsidRPr="003E775D">
        <w:rPr>
          <w:lang w:val="fr-CH"/>
        </w:rPr>
        <w:t>–</w:t>
      </w:r>
      <w:r w:rsidRPr="003E775D">
        <w:rPr>
          <w:lang w:val="fr-CH"/>
        </w:rPr>
        <w:tab/>
      </w:r>
      <w:r w:rsidR="00083A9D" w:rsidRPr="003E775D">
        <w:rPr>
          <w:lang w:val="fr-CH"/>
        </w:rPr>
        <w:t>Audit</w:t>
      </w:r>
      <w:r w:rsidR="003E775D">
        <w:rPr>
          <w:lang w:val="fr-CH"/>
        </w:rPr>
        <w:t xml:space="preserve"> des activités</w:t>
      </w:r>
      <w:r w:rsidR="00083A9D" w:rsidRPr="003E775D">
        <w:rPr>
          <w:lang w:val="fr-CH"/>
        </w:rPr>
        <w:t xml:space="preserve"> </w:t>
      </w:r>
      <w:r w:rsidR="003E775D">
        <w:rPr>
          <w:color w:val="000000"/>
        </w:rPr>
        <w:t>relatives à l</w:t>
      </w:r>
      <w:r w:rsidR="003D2B40">
        <w:rPr>
          <w:color w:val="000000"/>
        </w:rPr>
        <w:t>'</w:t>
      </w:r>
      <w:r w:rsidR="003E775D">
        <w:rPr>
          <w:color w:val="000000"/>
        </w:rPr>
        <w:t>égalité hommes</w:t>
      </w:r>
      <w:r w:rsidR="003E775D">
        <w:rPr>
          <w:color w:val="000000"/>
        </w:rPr>
        <w:noBreakHyphen/>
        <w:t>femmes et à l</w:t>
      </w:r>
      <w:r w:rsidR="003D2B40">
        <w:rPr>
          <w:color w:val="000000"/>
        </w:rPr>
        <w:t>'</w:t>
      </w:r>
      <w:r w:rsidR="003E775D">
        <w:rPr>
          <w:color w:val="000000"/>
        </w:rPr>
        <w:t>intégration du principe de l</w:t>
      </w:r>
      <w:r w:rsidR="003D2B40">
        <w:rPr>
          <w:color w:val="000000"/>
        </w:rPr>
        <w:t>'</w:t>
      </w:r>
      <w:r w:rsidR="003E775D">
        <w:rPr>
          <w:color w:val="000000"/>
        </w:rPr>
        <w:t>égalité hommes</w:t>
      </w:r>
      <w:r w:rsidR="003E775D">
        <w:rPr>
          <w:color w:val="000000"/>
        </w:rPr>
        <w:noBreakHyphen/>
        <w:t>femmes à l</w:t>
      </w:r>
      <w:r w:rsidR="003D2B40">
        <w:rPr>
          <w:color w:val="000000"/>
        </w:rPr>
        <w:t>'</w:t>
      </w:r>
      <w:r w:rsidR="003E775D">
        <w:rPr>
          <w:color w:val="000000"/>
        </w:rPr>
        <w:t xml:space="preserve">UIT. </w:t>
      </w:r>
    </w:p>
    <w:p w:rsidR="00083A9D" w:rsidRPr="003E775D" w:rsidRDefault="002B553A" w:rsidP="00307FD6">
      <w:pPr>
        <w:rPr>
          <w:lang w:val="fr-CH"/>
        </w:rPr>
      </w:pPr>
      <w:r w:rsidRPr="003E775D">
        <w:rPr>
          <w:lang w:val="fr-CH"/>
        </w:rPr>
        <w:t>3.18</w:t>
      </w:r>
      <w:r w:rsidRPr="003E775D">
        <w:rPr>
          <w:lang w:val="fr-CH"/>
        </w:rPr>
        <w:tab/>
      </w:r>
      <w:r w:rsidR="003E775D" w:rsidRPr="00307FD6">
        <w:rPr>
          <w:spacing w:val="-2"/>
          <w:lang w:val="fr-CH"/>
        </w:rPr>
        <w:t>En outre, le Comité a pris note du rapport annuel de l</w:t>
      </w:r>
      <w:r w:rsidR="003D2B40">
        <w:rPr>
          <w:spacing w:val="-2"/>
          <w:lang w:val="fr-CH"/>
        </w:rPr>
        <w:t>'</w:t>
      </w:r>
      <w:r w:rsidR="00307FD6" w:rsidRPr="00307FD6">
        <w:rPr>
          <w:spacing w:val="-2"/>
          <w:lang w:val="fr-CH"/>
        </w:rPr>
        <w:t>A</w:t>
      </w:r>
      <w:r w:rsidR="003E775D" w:rsidRPr="00307FD6">
        <w:rPr>
          <w:spacing w:val="-2"/>
          <w:lang w:val="fr-CH"/>
        </w:rPr>
        <w:t>uditeur interne sur les activités d</w:t>
      </w:r>
      <w:r w:rsidR="003D2B40">
        <w:rPr>
          <w:spacing w:val="-2"/>
          <w:lang w:val="fr-CH"/>
        </w:rPr>
        <w:t>'</w:t>
      </w:r>
      <w:r w:rsidR="003E775D" w:rsidRPr="00307FD6">
        <w:rPr>
          <w:spacing w:val="-2"/>
          <w:lang w:val="fr-CH"/>
        </w:rPr>
        <w:t>audit interne qui est soumis au Conseil à sa session de 2017</w:t>
      </w:r>
      <w:r w:rsidR="00796393" w:rsidRPr="00307FD6">
        <w:rPr>
          <w:spacing w:val="-2"/>
          <w:lang w:val="fr-CH"/>
        </w:rPr>
        <w:t xml:space="preserve"> </w:t>
      </w:r>
      <w:r w:rsidR="00083A9D" w:rsidRPr="00307FD6">
        <w:rPr>
          <w:spacing w:val="-2"/>
          <w:lang w:val="fr-CH"/>
        </w:rPr>
        <w:t xml:space="preserve">(Doc. </w:t>
      </w:r>
      <w:hyperlink r:id="rId20" w:history="1">
        <w:r w:rsidR="00083A9D" w:rsidRPr="00307FD6">
          <w:rPr>
            <w:rStyle w:val="Hyperlink"/>
            <w:spacing w:val="-2"/>
          </w:rPr>
          <w:t>C17/44</w:t>
        </w:r>
      </w:hyperlink>
      <w:r w:rsidR="00083A9D" w:rsidRPr="00307FD6">
        <w:rPr>
          <w:spacing w:val="-2"/>
        </w:rPr>
        <w:t xml:space="preserve">). </w:t>
      </w:r>
      <w:r w:rsidR="003E775D" w:rsidRPr="00307FD6">
        <w:rPr>
          <w:spacing w:val="-2"/>
          <w:lang w:val="fr-CH"/>
        </w:rPr>
        <w:t>Ce rapport offre une vue d</w:t>
      </w:r>
      <w:r w:rsidR="003D2B40">
        <w:rPr>
          <w:spacing w:val="-2"/>
          <w:lang w:val="fr-CH"/>
        </w:rPr>
        <w:t>'</w:t>
      </w:r>
      <w:r w:rsidR="003E775D" w:rsidRPr="00307FD6">
        <w:rPr>
          <w:spacing w:val="-2"/>
          <w:lang w:val="fr-CH"/>
        </w:rPr>
        <w:t>ensemble des audits effectués pendant la période considérée</w:t>
      </w:r>
      <w:r w:rsidR="00796393" w:rsidRPr="00307FD6">
        <w:rPr>
          <w:spacing w:val="-2"/>
          <w:lang w:val="fr-CH"/>
        </w:rPr>
        <w:t xml:space="preserve"> </w:t>
      </w:r>
      <w:r w:rsidR="00083A9D" w:rsidRPr="00307FD6">
        <w:rPr>
          <w:spacing w:val="-2"/>
          <w:lang w:val="fr-CH"/>
        </w:rPr>
        <w:t>(</w:t>
      </w:r>
      <w:r w:rsidR="00307FD6" w:rsidRPr="00307FD6">
        <w:rPr>
          <w:spacing w:val="-2"/>
          <w:lang w:val="fr-CH"/>
        </w:rPr>
        <w:t>mars 2016-février 2017)</w:t>
      </w:r>
      <w:r w:rsidR="00796393" w:rsidRPr="00307FD6">
        <w:rPr>
          <w:spacing w:val="-2"/>
          <w:lang w:val="fr-CH"/>
        </w:rPr>
        <w:t xml:space="preserve"> </w:t>
      </w:r>
      <w:r w:rsidR="003E775D" w:rsidRPr="00307FD6">
        <w:rPr>
          <w:spacing w:val="-2"/>
          <w:lang w:val="fr-CH"/>
        </w:rPr>
        <w:t>et présente brièvement les différents rapports disponibles,</w:t>
      </w:r>
      <w:r w:rsidR="00083A9D" w:rsidRPr="00307FD6">
        <w:rPr>
          <w:spacing w:val="-2"/>
          <w:lang w:val="fr-CH"/>
        </w:rPr>
        <w:t xml:space="preserve"> </w:t>
      </w:r>
      <w:r w:rsidR="003E775D" w:rsidRPr="00307FD6">
        <w:rPr>
          <w:spacing w:val="-2"/>
          <w:lang w:val="fr-CH"/>
        </w:rPr>
        <w:t>que le CCIG soumet à l</w:t>
      </w:r>
      <w:r w:rsidR="003D2B40">
        <w:rPr>
          <w:spacing w:val="-2"/>
          <w:lang w:val="fr-CH"/>
        </w:rPr>
        <w:t>'</w:t>
      </w:r>
      <w:r w:rsidR="003E775D" w:rsidRPr="00307FD6">
        <w:rPr>
          <w:spacing w:val="-2"/>
          <w:lang w:val="fr-CH"/>
        </w:rPr>
        <w:t xml:space="preserve">attention du </w:t>
      </w:r>
      <w:r w:rsidR="00307FD6" w:rsidRPr="00307FD6">
        <w:rPr>
          <w:spacing w:val="-2"/>
          <w:lang w:val="fr-CH"/>
        </w:rPr>
        <w:t>C</w:t>
      </w:r>
      <w:r w:rsidR="003E775D" w:rsidRPr="00307FD6">
        <w:rPr>
          <w:spacing w:val="-2"/>
          <w:lang w:val="fr-CH"/>
        </w:rPr>
        <w:t>onseil</w:t>
      </w:r>
      <w:r w:rsidR="00307FD6" w:rsidRPr="00307FD6">
        <w:rPr>
          <w:spacing w:val="-2"/>
          <w:lang w:val="fr-CH"/>
        </w:rPr>
        <w:t>.</w:t>
      </w:r>
    </w:p>
    <w:p w:rsidR="00083A9D" w:rsidRPr="003E775D" w:rsidRDefault="002B553A" w:rsidP="00754CB4">
      <w:pPr>
        <w:rPr>
          <w:lang w:val="fr-CH"/>
        </w:rPr>
      </w:pPr>
      <w:r w:rsidRPr="003E775D">
        <w:rPr>
          <w:lang w:val="fr-CH"/>
        </w:rPr>
        <w:t>3.19</w:t>
      </w:r>
      <w:r w:rsidRPr="003E775D">
        <w:rPr>
          <w:lang w:val="fr-CH"/>
        </w:rPr>
        <w:tab/>
      </w:r>
      <w:r w:rsidR="00754CB4">
        <w:rPr>
          <w:lang w:val="fr-CH"/>
        </w:rPr>
        <w:t>D</w:t>
      </w:r>
      <w:r w:rsidR="003E775D" w:rsidRPr="003E775D">
        <w:rPr>
          <w:lang w:val="fr-CH"/>
        </w:rPr>
        <w:t>ans plus de la moitié des rapports d</w:t>
      </w:r>
      <w:r w:rsidR="003D2B40">
        <w:rPr>
          <w:lang w:val="fr-CH"/>
        </w:rPr>
        <w:t>'</w:t>
      </w:r>
      <w:r w:rsidR="003E775D" w:rsidRPr="003E775D">
        <w:rPr>
          <w:lang w:val="fr-CH"/>
        </w:rPr>
        <w:t xml:space="preserve">audit, </w:t>
      </w:r>
      <w:r w:rsidR="00213F80">
        <w:rPr>
          <w:color w:val="000000"/>
        </w:rPr>
        <w:t>l</w:t>
      </w:r>
      <w:r w:rsidR="003D2B40">
        <w:rPr>
          <w:color w:val="000000"/>
        </w:rPr>
        <w:t>'</w:t>
      </w:r>
      <w:r w:rsidR="00213F80">
        <w:rPr>
          <w:color w:val="000000"/>
        </w:rPr>
        <w:t>Unité de l</w:t>
      </w:r>
      <w:r w:rsidR="003D2B40">
        <w:rPr>
          <w:color w:val="000000"/>
        </w:rPr>
        <w:t>'</w:t>
      </w:r>
      <w:r w:rsidR="00213F80">
        <w:rPr>
          <w:color w:val="000000"/>
        </w:rPr>
        <w:t xml:space="preserve">audit interne </w:t>
      </w:r>
      <w:r w:rsidR="003E775D">
        <w:rPr>
          <w:lang w:val="fr-CH"/>
        </w:rPr>
        <w:t>est avis que la gouvernance,</w:t>
      </w:r>
      <w:r w:rsidR="00796393">
        <w:rPr>
          <w:lang w:val="fr-CH"/>
        </w:rPr>
        <w:t xml:space="preserve"> </w:t>
      </w:r>
      <w:r w:rsidR="003E775D">
        <w:rPr>
          <w:color w:val="000000"/>
        </w:rPr>
        <w:t>les processus</w:t>
      </w:r>
      <w:r w:rsidR="00796393">
        <w:rPr>
          <w:color w:val="000000"/>
        </w:rPr>
        <w:t xml:space="preserve"> </w:t>
      </w:r>
      <w:r w:rsidR="003E775D">
        <w:rPr>
          <w:color w:val="000000"/>
        </w:rPr>
        <w:t>de gestion des risques et les contrôles internes ne sont pas adaptés ni suffisamment efficaces.</w:t>
      </w:r>
      <w:r w:rsidR="00213F80">
        <w:rPr>
          <w:lang w:val="fr-CH"/>
        </w:rPr>
        <w:t xml:space="preserve"> </w:t>
      </w:r>
    </w:p>
    <w:p w:rsidR="00083A9D" w:rsidRPr="00213F80" w:rsidRDefault="002B553A" w:rsidP="00CA0172">
      <w:pPr>
        <w:rPr>
          <w:lang w:val="fr-CH"/>
        </w:rPr>
      </w:pPr>
      <w:r w:rsidRPr="00213F80">
        <w:rPr>
          <w:lang w:val="fr-CH"/>
        </w:rPr>
        <w:t>3.20</w:t>
      </w:r>
      <w:r w:rsidRPr="00213F80">
        <w:rPr>
          <w:lang w:val="fr-CH"/>
        </w:rPr>
        <w:tab/>
      </w:r>
      <w:r w:rsidR="003E775D" w:rsidRPr="00213F80">
        <w:rPr>
          <w:lang w:val="fr-CH"/>
        </w:rPr>
        <w:t xml:space="preserve">Le </w:t>
      </w:r>
      <w:r w:rsidR="004B3438" w:rsidRPr="00213F80">
        <w:rPr>
          <w:lang w:val="fr-CH"/>
        </w:rPr>
        <w:t>CCIG</w:t>
      </w:r>
      <w:r w:rsidR="00796393">
        <w:rPr>
          <w:lang w:val="fr-CH"/>
        </w:rPr>
        <w:t xml:space="preserve"> </w:t>
      </w:r>
      <w:r w:rsidR="00213F80" w:rsidRPr="00213F80">
        <w:rPr>
          <w:lang w:val="fr-CH"/>
        </w:rPr>
        <w:t xml:space="preserve">a noté que </w:t>
      </w:r>
      <w:r w:rsidR="00213F80" w:rsidRPr="00213F80">
        <w:rPr>
          <w:color w:val="000000"/>
          <w:lang w:val="fr-CH"/>
        </w:rPr>
        <w:t>l</w:t>
      </w:r>
      <w:r w:rsidR="003D2B40">
        <w:rPr>
          <w:color w:val="000000"/>
          <w:lang w:val="fr-CH"/>
        </w:rPr>
        <w:t>'</w:t>
      </w:r>
      <w:r w:rsidR="00213F80" w:rsidRPr="00213F80">
        <w:rPr>
          <w:color w:val="000000"/>
          <w:lang w:val="fr-CH"/>
        </w:rPr>
        <w:t>Unité de l</w:t>
      </w:r>
      <w:r w:rsidR="003D2B40">
        <w:rPr>
          <w:color w:val="000000"/>
          <w:lang w:val="fr-CH"/>
        </w:rPr>
        <w:t>'</w:t>
      </w:r>
      <w:r w:rsidR="00213F80" w:rsidRPr="00213F80">
        <w:rPr>
          <w:color w:val="000000"/>
          <w:lang w:val="fr-CH"/>
        </w:rPr>
        <w:t xml:space="preserve">audit interne </w:t>
      </w:r>
      <w:r w:rsidR="00213F80">
        <w:rPr>
          <w:color w:val="000000"/>
          <w:lang w:val="fr-CH"/>
        </w:rPr>
        <w:t>avait mis en évidence</w:t>
      </w:r>
      <w:r w:rsidR="00754CB4">
        <w:rPr>
          <w:color w:val="000000"/>
          <w:lang w:val="fr-CH"/>
        </w:rPr>
        <w:t>,</w:t>
      </w:r>
      <w:r w:rsidR="00213F80">
        <w:rPr>
          <w:color w:val="000000"/>
          <w:lang w:val="fr-CH"/>
        </w:rPr>
        <w:t xml:space="preserve"> dans ses rapports</w:t>
      </w:r>
      <w:r w:rsidR="00754CB4">
        <w:rPr>
          <w:color w:val="000000"/>
          <w:lang w:val="fr-CH"/>
        </w:rPr>
        <w:t>,</w:t>
      </w:r>
      <w:r w:rsidR="00213F80">
        <w:rPr>
          <w:color w:val="000000"/>
          <w:lang w:val="fr-CH"/>
        </w:rPr>
        <w:t xml:space="preserve"> des lacunes et des procédures inadaptées, dans un certain nombre de cas concernant des questions très importantes</w:t>
      </w:r>
      <w:r w:rsidR="00213F80">
        <w:rPr>
          <w:lang w:val="fr-CH"/>
        </w:rPr>
        <w:t xml:space="preserve">. </w:t>
      </w:r>
      <w:r w:rsidR="00213F80" w:rsidRPr="00213F80">
        <w:rPr>
          <w:lang w:val="fr-CH"/>
        </w:rPr>
        <w:t>Le Comité encourage la direction à hiérarchiser les activités à entreprendre et à renforcer les procédures dans les domaines</w:t>
      </w:r>
      <w:r w:rsidR="00796393">
        <w:rPr>
          <w:lang w:val="fr-CH"/>
        </w:rPr>
        <w:t xml:space="preserve"> </w:t>
      </w:r>
      <w:r w:rsidR="00213F80">
        <w:rPr>
          <w:lang w:val="fr-CH"/>
        </w:rPr>
        <w:t>visés dans les</w:t>
      </w:r>
      <w:r w:rsidR="00083A9D" w:rsidRPr="00213F80">
        <w:rPr>
          <w:lang w:val="fr-CH"/>
        </w:rPr>
        <w:t xml:space="preserve"> </w:t>
      </w:r>
      <w:r w:rsidR="00213F80">
        <w:rPr>
          <w:color w:val="000000"/>
        </w:rPr>
        <w:t>recommandations issues des audits</w:t>
      </w:r>
      <w:r w:rsidR="00213F80">
        <w:rPr>
          <w:lang w:val="fr-CH"/>
        </w:rPr>
        <w:t xml:space="preserve">, en </w:t>
      </w:r>
      <w:r w:rsidR="00213F80">
        <w:rPr>
          <w:lang w:val="fr-CH"/>
        </w:rPr>
        <w:lastRenderedPageBreak/>
        <w:t xml:space="preserve">veillant à ce que les </w:t>
      </w:r>
      <w:r w:rsidR="00213F80">
        <w:rPr>
          <w:color w:val="000000"/>
        </w:rPr>
        <w:t>recommandations formulées par l</w:t>
      </w:r>
      <w:r w:rsidR="003D2B40">
        <w:rPr>
          <w:color w:val="000000"/>
        </w:rPr>
        <w:t>'</w:t>
      </w:r>
      <w:r w:rsidR="00213F80">
        <w:rPr>
          <w:color w:val="000000"/>
        </w:rPr>
        <w:t>Unité de l</w:t>
      </w:r>
      <w:r w:rsidR="003D2B40">
        <w:rPr>
          <w:color w:val="000000"/>
        </w:rPr>
        <w:t>'</w:t>
      </w:r>
      <w:r w:rsidR="00213F80">
        <w:rPr>
          <w:color w:val="000000"/>
        </w:rPr>
        <w:t>audit interne</w:t>
      </w:r>
      <w:r w:rsidR="00083A9D" w:rsidRPr="00213F80">
        <w:rPr>
          <w:lang w:val="fr-CH"/>
        </w:rPr>
        <w:t xml:space="preserve">, </w:t>
      </w:r>
      <w:r w:rsidR="00213F80">
        <w:rPr>
          <w:lang w:val="fr-CH"/>
        </w:rPr>
        <w:t>une fois adoptées, soient mises en œuvre sans tarder.</w:t>
      </w:r>
      <w:r w:rsidR="00796393">
        <w:rPr>
          <w:lang w:val="fr-CH"/>
        </w:rPr>
        <w:t xml:space="preserve"> </w:t>
      </w:r>
    </w:p>
    <w:p w:rsidR="002B553A" w:rsidRPr="00F54F6C" w:rsidRDefault="002B553A" w:rsidP="00B113B4">
      <w:pPr>
        <w:rPr>
          <w:lang w:val="fr-CH"/>
        </w:rPr>
      </w:pPr>
      <w:r w:rsidRPr="00213F80">
        <w:rPr>
          <w:lang w:val="fr-CH"/>
        </w:rPr>
        <w:t>3.21</w:t>
      </w:r>
      <w:r w:rsidRPr="00213F80">
        <w:rPr>
          <w:lang w:val="fr-CH"/>
        </w:rPr>
        <w:tab/>
      </w:r>
      <w:r w:rsidR="00213F80" w:rsidRPr="00213F80">
        <w:rPr>
          <w:lang w:val="fr-CH"/>
        </w:rPr>
        <w:t xml:space="preserve">De plus, le </w:t>
      </w:r>
      <w:r w:rsidR="004B3438" w:rsidRPr="00213F80">
        <w:rPr>
          <w:lang w:val="fr-CH"/>
        </w:rPr>
        <w:t>CCIG</w:t>
      </w:r>
      <w:r w:rsidR="00796393">
        <w:rPr>
          <w:lang w:val="fr-CH"/>
        </w:rPr>
        <w:t xml:space="preserve"> </w:t>
      </w:r>
      <w:r w:rsidR="00213F80" w:rsidRPr="00213F80">
        <w:rPr>
          <w:lang w:val="fr-CH"/>
        </w:rPr>
        <w:t xml:space="preserve">a relevé que </w:t>
      </w:r>
      <w:r w:rsidR="00213F80">
        <w:rPr>
          <w:color w:val="000000"/>
        </w:rPr>
        <w:t>l</w:t>
      </w:r>
      <w:r w:rsidR="003D2B40">
        <w:rPr>
          <w:color w:val="000000"/>
        </w:rPr>
        <w:t>'</w:t>
      </w:r>
      <w:r w:rsidR="00213F80">
        <w:rPr>
          <w:color w:val="000000"/>
        </w:rPr>
        <w:t>a</w:t>
      </w:r>
      <w:r w:rsidR="00213F80" w:rsidRPr="003E775D">
        <w:rPr>
          <w:lang w:val="fr-CH"/>
        </w:rPr>
        <w:t>udit</w:t>
      </w:r>
      <w:r w:rsidR="00213F80">
        <w:rPr>
          <w:lang w:val="fr-CH"/>
        </w:rPr>
        <w:t xml:space="preserve"> des activités</w:t>
      </w:r>
      <w:r w:rsidR="00213F80" w:rsidRPr="003E775D">
        <w:rPr>
          <w:lang w:val="fr-CH"/>
        </w:rPr>
        <w:t xml:space="preserve"> </w:t>
      </w:r>
      <w:r w:rsidR="00213F80">
        <w:rPr>
          <w:color w:val="000000"/>
        </w:rPr>
        <w:t>relatives à l</w:t>
      </w:r>
      <w:r w:rsidR="003D2B40">
        <w:rPr>
          <w:color w:val="000000"/>
        </w:rPr>
        <w:t>'</w:t>
      </w:r>
      <w:r w:rsidR="00213F80">
        <w:rPr>
          <w:color w:val="000000"/>
        </w:rPr>
        <w:t>égalité hommes</w:t>
      </w:r>
      <w:r w:rsidR="00213F80">
        <w:rPr>
          <w:color w:val="000000"/>
        </w:rPr>
        <w:noBreakHyphen/>
        <w:t>femmes et à l</w:t>
      </w:r>
      <w:r w:rsidR="003D2B40">
        <w:rPr>
          <w:color w:val="000000"/>
        </w:rPr>
        <w:t>'</w:t>
      </w:r>
      <w:r w:rsidR="00213F80">
        <w:rPr>
          <w:color w:val="000000"/>
        </w:rPr>
        <w:t>intégration du principe de l</w:t>
      </w:r>
      <w:r w:rsidR="003D2B40">
        <w:rPr>
          <w:color w:val="000000"/>
        </w:rPr>
        <w:t>'</w:t>
      </w:r>
      <w:r w:rsidR="00213F80">
        <w:rPr>
          <w:color w:val="000000"/>
        </w:rPr>
        <w:t>égalité hommes</w:t>
      </w:r>
      <w:r w:rsidR="00213F80">
        <w:rPr>
          <w:color w:val="000000"/>
        </w:rPr>
        <w:noBreakHyphen/>
        <w:t>femmes à l</w:t>
      </w:r>
      <w:r w:rsidR="003D2B40">
        <w:rPr>
          <w:color w:val="000000"/>
        </w:rPr>
        <w:t>'</w:t>
      </w:r>
      <w:r w:rsidR="00213F80">
        <w:rPr>
          <w:color w:val="000000"/>
        </w:rPr>
        <w:t xml:space="preserve">UIT figurait </w:t>
      </w:r>
      <w:r w:rsidR="00213F80" w:rsidRPr="00213F80">
        <w:rPr>
          <w:lang w:val="fr-CH"/>
        </w:rPr>
        <w:t>dans la liste des</w:t>
      </w:r>
      <w:r w:rsidR="00213F80" w:rsidRPr="00213F80">
        <w:rPr>
          <w:color w:val="000000"/>
          <w:lang w:val="fr-CH"/>
        </w:rPr>
        <w:t xml:space="preserve"> sujets d</w:t>
      </w:r>
      <w:r w:rsidR="003D2B40">
        <w:rPr>
          <w:color w:val="000000"/>
          <w:lang w:val="fr-CH"/>
        </w:rPr>
        <w:t>'</w:t>
      </w:r>
      <w:r w:rsidR="00213F80" w:rsidRPr="00213F80">
        <w:rPr>
          <w:color w:val="000000"/>
          <w:lang w:val="fr-CH"/>
        </w:rPr>
        <w:t>audit interne pour 2017</w:t>
      </w:r>
      <w:r w:rsidR="00213F80">
        <w:rPr>
          <w:color w:val="000000"/>
          <w:lang w:val="fr-CH"/>
        </w:rPr>
        <w:t xml:space="preserve">. </w:t>
      </w:r>
      <w:r w:rsidR="00213F80" w:rsidRPr="00213F80">
        <w:rPr>
          <w:color w:val="000000"/>
          <w:lang w:val="fr-CH"/>
        </w:rPr>
        <w:t>Bien que ce sujet constitue une question im</w:t>
      </w:r>
      <w:r w:rsidR="00754CB4">
        <w:rPr>
          <w:color w:val="000000"/>
          <w:lang w:val="fr-CH"/>
        </w:rPr>
        <w:t>portante que la direction de l</w:t>
      </w:r>
      <w:r w:rsidR="003D2B40">
        <w:rPr>
          <w:color w:val="000000"/>
          <w:lang w:val="fr-CH"/>
        </w:rPr>
        <w:t>'</w:t>
      </w:r>
      <w:r w:rsidR="00754CB4">
        <w:rPr>
          <w:color w:val="000000"/>
          <w:lang w:val="fr-CH"/>
        </w:rPr>
        <w:t>U</w:t>
      </w:r>
      <w:r w:rsidR="00213F80" w:rsidRPr="00213F80">
        <w:rPr>
          <w:color w:val="000000"/>
          <w:lang w:val="fr-CH"/>
        </w:rPr>
        <w:t>nion doit traiter,</w:t>
      </w:r>
      <w:r w:rsidR="00796393">
        <w:rPr>
          <w:color w:val="000000"/>
          <w:lang w:val="fr-CH"/>
        </w:rPr>
        <w:t xml:space="preserve"> </w:t>
      </w:r>
      <w:r w:rsidR="00213F80">
        <w:rPr>
          <w:lang w:val="fr-CH"/>
        </w:rPr>
        <w:t>il ne découle</w:t>
      </w:r>
      <w:r w:rsidR="00796393">
        <w:rPr>
          <w:lang w:val="fr-CH"/>
        </w:rPr>
        <w:t xml:space="preserve"> </w:t>
      </w:r>
      <w:r w:rsidR="00213F80">
        <w:rPr>
          <w:lang w:val="fr-CH"/>
        </w:rPr>
        <w:t>pas d</w:t>
      </w:r>
      <w:r w:rsidR="003D2B40">
        <w:rPr>
          <w:lang w:val="fr-CH"/>
        </w:rPr>
        <w:t>'</w:t>
      </w:r>
      <w:r w:rsidR="00213F80">
        <w:rPr>
          <w:lang w:val="fr-CH"/>
        </w:rPr>
        <w:t>un risque d</w:t>
      </w:r>
      <w:r w:rsidR="003D2B40">
        <w:rPr>
          <w:lang w:val="fr-CH"/>
        </w:rPr>
        <w:t>'</w:t>
      </w:r>
      <w:r w:rsidR="00213F80">
        <w:rPr>
          <w:lang w:val="fr-CH"/>
        </w:rPr>
        <w:t xml:space="preserve">audit interne clairement identifié. </w:t>
      </w:r>
      <w:r w:rsidR="00213F80" w:rsidRPr="005565CD">
        <w:rPr>
          <w:lang w:val="fr-CH"/>
        </w:rPr>
        <w:t>De l</w:t>
      </w:r>
      <w:r w:rsidR="003D2B40">
        <w:rPr>
          <w:lang w:val="fr-CH"/>
        </w:rPr>
        <w:t>'</w:t>
      </w:r>
      <w:r w:rsidR="00213F80" w:rsidRPr="005565CD">
        <w:rPr>
          <w:lang w:val="fr-CH"/>
        </w:rPr>
        <w:t>avis du</w:t>
      </w:r>
      <w:r w:rsidR="00796393">
        <w:rPr>
          <w:lang w:val="fr-CH"/>
        </w:rPr>
        <w:t xml:space="preserve"> </w:t>
      </w:r>
      <w:r w:rsidR="004B3438" w:rsidRPr="005565CD">
        <w:rPr>
          <w:lang w:val="fr-CH"/>
        </w:rPr>
        <w:t>CCIG</w:t>
      </w:r>
      <w:r w:rsidR="00213F80" w:rsidRPr="005565CD">
        <w:rPr>
          <w:lang w:val="fr-CH"/>
        </w:rPr>
        <w:t>,</w:t>
      </w:r>
      <w:r w:rsidR="00796393">
        <w:rPr>
          <w:lang w:val="fr-CH"/>
        </w:rPr>
        <w:t xml:space="preserve"> </w:t>
      </w:r>
      <w:r w:rsidR="005565CD" w:rsidRPr="005565CD">
        <w:rPr>
          <w:lang w:val="fr-CH"/>
        </w:rPr>
        <w:t>il aurait été plus rationnel que cet examen et cette évaluation soi</w:t>
      </w:r>
      <w:r w:rsidR="005565CD">
        <w:rPr>
          <w:lang w:val="fr-CH"/>
        </w:rPr>
        <w:t>en</w:t>
      </w:r>
      <w:r w:rsidR="005565CD" w:rsidRPr="005565CD">
        <w:rPr>
          <w:lang w:val="fr-CH"/>
        </w:rPr>
        <w:t>t mené</w:t>
      </w:r>
      <w:r w:rsidR="005565CD">
        <w:rPr>
          <w:lang w:val="fr-CH"/>
        </w:rPr>
        <w:t>s</w:t>
      </w:r>
      <w:r w:rsidR="005565CD" w:rsidRPr="005565CD">
        <w:rPr>
          <w:lang w:val="fr-CH"/>
        </w:rPr>
        <w:t xml:space="preserve"> à bien par d</w:t>
      </w:r>
      <w:r w:rsidR="003D2B40">
        <w:rPr>
          <w:lang w:val="fr-CH"/>
        </w:rPr>
        <w:t>'</w:t>
      </w:r>
      <w:r w:rsidR="005565CD" w:rsidRPr="005565CD">
        <w:rPr>
          <w:lang w:val="fr-CH"/>
        </w:rPr>
        <w:t>autres experts de la direction</w:t>
      </w:r>
      <w:r w:rsidR="005565CD">
        <w:rPr>
          <w:lang w:val="fr-CH"/>
        </w:rPr>
        <w:t xml:space="preserve"> au sein de l</w:t>
      </w:r>
      <w:r w:rsidR="003D2B40">
        <w:rPr>
          <w:lang w:val="fr-CH"/>
        </w:rPr>
        <w:t>'</w:t>
      </w:r>
      <w:r w:rsidR="005565CD">
        <w:rPr>
          <w:lang w:val="fr-CH"/>
        </w:rPr>
        <w:t>organisation,</w:t>
      </w:r>
      <w:r w:rsidR="00796393">
        <w:rPr>
          <w:lang w:val="fr-CH"/>
        </w:rPr>
        <w:t xml:space="preserve"> </w:t>
      </w:r>
      <w:r w:rsidR="005565CD">
        <w:rPr>
          <w:lang w:val="fr-CH"/>
        </w:rPr>
        <w:t>plutôt que par l</w:t>
      </w:r>
      <w:r w:rsidR="003D2B40">
        <w:rPr>
          <w:lang w:val="fr-CH"/>
        </w:rPr>
        <w:t>'</w:t>
      </w:r>
      <w:r w:rsidR="00754CB4">
        <w:rPr>
          <w:lang w:val="fr-CH"/>
        </w:rPr>
        <w:t>U</w:t>
      </w:r>
      <w:r w:rsidR="005565CD">
        <w:rPr>
          <w:lang w:val="fr-CH"/>
        </w:rPr>
        <w:t>nité d</w:t>
      </w:r>
      <w:r w:rsidR="00754CB4">
        <w:rPr>
          <w:lang w:val="fr-CH"/>
        </w:rPr>
        <w:t>e l</w:t>
      </w:r>
      <w:r w:rsidR="003D2B40">
        <w:rPr>
          <w:lang w:val="fr-CH"/>
        </w:rPr>
        <w:t>'</w:t>
      </w:r>
      <w:r w:rsidR="005565CD">
        <w:rPr>
          <w:lang w:val="fr-CH"/>
        </w:rPr>
        <w:t>audit interne, dont les ressources et le nombre de professionnels de l</w:t>
      </w:r>
      <w:r w:rsidR="003D2B40">
        <w:rPr>
          <w:lang w:val="fr-CH"/>
        </w:rPr>
        <w:t>'</w:t>
      </w:r>
      <w:r w:rsidR="005565CD">
        <w:rPr>
          <w:lang w:val="fr-CH"/>
        </w:rPr>
        <w:t>audit sont limités</w:t>
      </w:r>
      <w:r w:rsidR="00796393">
        <w:rPr>
          <w:lang w:val="fr-CH"/>
        </w:rPr>
        <w:t xml:space="preserve"> </w:t>
      </w:r>
      <w:r w:rsidR="00F54F6C">
        <w:rPr>
          <w:lang w:val="fr-CH"/>
        </w:rPr>
        <w:t>Dans son rapport annuel de</w:t>
      </w:r>
      <w:r w:rsidR="00083A9D" w:rsidRPr="00F54F6C">
        <w:rPr>
          <w:lang w:val="fr-CH"/>
        </w:rPr>
        <w:t xml:space="preserve"> 2015, </w:t>
      </w:r>
      <w:r w:rsidR="00F54F6C">
        <w:rPr>
          <w:lang w:val="fr-CH"/>
        </w:rPr>
        <w:t>le CCIG</w:t>
      </w:r>
      <w:r w:rsidR="00F54F6C" w:rsidRPr="00924C92">
        <w:rPr>
          <w:lang w:val="fr-CH"/>
        </w:rPr>
        <w:t xml:space="preserve"> a</w:t>
      </w:r>
      <w:r w:rsidR="005565CD">
        <w:rPr>
          <w:lang w:val="fr-CH"/>
        </w:rPr>
        <w:t>vait déjà</w:t>
      </w:r>
      <w:r w:rsidR="00F54F6C" w:rsidRPr="00924C92">
        <w:rPr>
          <w:lang w:val="fr-CH"/>
        </w:rPr>
        <w:t xml:space="preserve"> relevé qu</w:t>
      </w:r>
      <w:r w:rsidR="003D2B40">
        <w:rPr>
          <w:lang w:val="fr-CH"/>
        </w:rPr>
        <w:t>'</w:t>
      </w:r>
      <w:r w:rsidR="00F54F6C" w:rsidRPr="00924C92">
        <w:rPr>
          <w:lang w:val="fr-CH"/>
        </w:rPr>
        <w:t>il serait préférable que</w:t>
      </w:r>
      <w:r w:rsidR="00F54F6C">
        <w:rPr>
          <w:lang w:val="fr-CH"/>
        </w:rPr>
        <w:t xml:space="preserve"> la direction</w:t>
      </w:r>
      <w:r w:rsidR="005565CD">
        <w:rPr>
          <w:lang w:val="fr-CH"/>
        </w:rPr>
        <w:t xml:space="preserve"> étudie</w:t>
      </w:r>
      <w:r w:rsidR="00F54F6C" w:rsidRPr="00924C92">
        <w:rPr>
          <w:lang w:val="fr-CH"/>
        </w:rPr>
        <w:t xml:space="preserve"> certaines questions</w:t>
      </w:r>
      <w:r w:rsidR="00796393">
        <w:rPr>
          <w:lang w:val="fr-CH"/>
        </w:rPr>
        <w:t xml:space="preserve"> </w:t>
      </w:r>
      <w:r w:rsidR="00754CB4">
        <w:rPr>
          <w:lang w:val="fr-CH"/>
        </w:rPr>
        <w:t>examinées par l</w:t>
      </w:r>
      <w:r w:rsidR="003D2B40">
        <w:rPr>
          <w:lang w:val="fr-CH"/>
        </w:rPr>
        <w:t>'</w:t>
      </w:r>
      <w:r w:rsidR="00754CB4">
        <w:rPr>
          <w:lang w:val="fr-CH"/>
        </w:rPr>
        <w:t>U</w:t>
      </w:r>
      <w:r w:rsidR="005565CD">
        <w:rPr>
          <w:lang w:val="fr-CH"/>
        </w:rPr>
        <w:t>nité d</w:t>
      </w:r>
      <w:r w:rsidR="00754CB4">
        <w:rPr>
          <w:lang w:val="fr-CH"/>
        </w:rPr>
        <w:t>e l</w:t>
      </w:r>
      <w:r w:rsidR="003D2B40">
        <w:rPr>
          <w:lang w:val="fr-CH"/>
        </w:rPr>
        <w:t>'</w:t>
      </w:r>
      <w:r w:rsidR="005565CD">
        <w:rPr>
          <w:lang w:val="fr-CH"/>
        </w:rPr>
        <w:t>audit interne</w:t>
      </w:r>
      <w:r w:rsidR="00F54F6C" w:rsidRPr="00924C92">
        <w:rPr>
          <w:lang w:val="fr-CH"/>
        </w:rPr>
        <w:t>, par exemple le rapport d</w:t>
      </w:r>
      <w:r w:rsidR="003D2B40">
        <w:rPr>
          <w:lang w:val="fr-CH"/>
        </w:rPr>
        <w:t>'</w:t>
      </w:r>
      <w:r w:rsidR="00F54F6C" w:rsidRPr="00924C92">
        <w:rPr>
          <w:lang w:val="fr-CH"/>
        </w:rPr>
        <w:t>audit sur l</w:t>
      </w:r>
      <w:r w:rsidR="003D2B40">
        <w:rPr>
          <w:lang w:val="fr-CH"/>
        </w:rPr>
        <w:t>'</w:t>
      </w:r>
      <w:r w:rsidR="00F54F6C" w:rsidRPr="00924C92">
        <w:rPr>
          <w:lang w:val="fr-CH"/>
        </w:rPr>
        <w:t>utilisation du papier en interne au sein du secrétariat</w:t>
      </w:r>
      <w:r w:rsidR="00083A9D" w:rsidRPr="00F54F6C">
        <w:rPr>
          <w:lang w:val="fr-CH"/>
        </w:rPr>
        <w:t>.</w:t>
      </w:r>
    </w:p>
    <w:p w:rsidR="00083A9D" w:rsidRPr="00262DA4" w:rsidRDefault="002B553A" w:rsidP="00F948F1">
      <w:pPr>
        <w:spacing w:after="120"/>
        <w:rPr>
          <w:lang w:val="fr-CH"/>
        </w:rPr>
      </w:pPr>
      <w:r w:rsidRPr="005565CD">
        <w:rPr>
          <w:lang w:val="fr-CH"/>
        </w:rPr>
        <w:t>3.22</w:t>
      </w:r>
      <w:r w:rsidRPr="005565CD">
        <w:rPr>
          <w:lang w:val="fr-CH"/>
        </w:rPr>
        <w:tab/>
      </w:r>
      <w:r w:rsidR="005565CD" w:rsidRPr="005565CD">
        <w:rPr>
          <w:lang w:val="fr-CH"/>
        </w:rPr>
        <w:t xml:space="preserve">Le </w:t>
      </w:r>
      <w:r w:rsidR="004B3438" w:rsidRPr="005565CD">
        <w:rPr>
          <w:lang w:val="fr-CH"/>
        </w:rPr>
        <w:t>CCIG</w:t>
      </w:r>
      <w:r w:rsidR="00796393">
        <w:rPr>
          <w:lang w:val="fr-CH"/>
        </w:rPr>
        <w:t xml:space="preserve"> </w:t>
      </w:r>
      <w:r w:rsidR="005565CD" w:rsidRPr="005565CD">
        <w:rPr>
          <w:lang w:val="fr-CH"/>
        </w:rPr>
        <w:t xml:space="preserve">a été informé de manière plus détaillée </w:t>
      </w:r>
      <w:r w:rsidR="00754CB4">
        <w:rPr>
          <w:lang w:val="fr-CH"/>
        </w:rPr>
        <w:t>de</w:t>
      </w:r>
      <w:r w:rsidR="005565CD" w:rsidRPr="005565CD">
        <w:rPr>
          <w:lang w:val="fr-CH"/>
        </w:rPr>
        <w:t xml:space="preserve"> la méthode d</w:t>
      </w:r>
      <w:r w:rsidR="003D2B40">
        <w:rPr>
          <w:lang w:val="fr-CH"/>
        </w:rPr>
        <w:t>'</w:t>
      </w:r>
      <w:r w:rsidR="005565CD" w:rsidRPr="005565CD">
        <w:rPr>
          <w:lang w:val="fr-CH"/>
        </w:rPr>
        <w:t xml:space="preserve">évaluation des risques </w:t>
      </w:r>
      <w:r w:rsidR="005565CD">
        <w:rPr>
          <w:lang w:val="fr-CH"/>
        </w:rPr>
        <w:t>sur la base d</w:t>
      </w:r>
      <w:r w:rsidR="00754CB4">
        <w:rPr>
          <w:lang w:val="fr-CH"/>
        </w:rPr>
        <w:t>e laquelle</w:t>
      </w:r>
      <w:r w:rsidR="005565CD">
        <w:rPr>
          <w:lang w:val="fr-CH"/>
        </w:rPr>
        <w:t xml:space="preserve"> les</w:t>
      </w:r>
      <w:r w:rsidR="00796393">
        <w:rPr>
          <w:lang w:val="fr-CH"/>
        </w:rPr>
        <w:t xml:space="preserve"> </w:t>
      </w:r>
      <w:r w:rsidR="005565CD" w:rsidRPr="005565CD">
        <w:rPr>
          <w:color w:val="000000"/>
          <w:lang w:val="fr-CH"/>
        </w:rPr>
        <w:t>plans d</w:t>
      </w:r>
      <w:r w:rsidR="003D2B40">
        <w:rPr>
          <w:color w:val="000000"/>
          <w:lang w:val="fr-CH"/>
        </w:rPr>
        <w:t>'</w:t>
      </w:r>
      <w:r w:rsidR="005565CD" w:rsidRPr="005565CD">
        <w:rPr>
          <w:color w:val="000000"/>
          <w:lang w:val="fr-CH"/>
        </w:rPr>
        <w:t>audit interne</w:t>
      </w:r>
      <w:r w:rsidR="005565CD">
        <w:rPr>
          <w:color w:val="000000"/>
          <w:lang w:val="fr-CH"/>
        </w:rPr>
        <w:t xml:space="preserve"> sont élaborés et a pris note du niveau de détail et de l</w:t>
      </w:r>
      <w:r w:rsidR="003D2B40">
        <w:rPr>
          <w:color w:val="000000"/>
          <w:lang w:val="fr-CH"/>
        </w:rPr>
        <w:t>'</w:t>
      </w:r>
      <w:r w:rsidR="005565CD">
        <w:rPr>
          <w:color w:val="000000"/>
          <w:lang w:val="fr-CH"/>
        </w:rPr>
        <w:t>analyse qui vien</w:t>
      </w:r>
      <w:r w:rsidR="00262DA4">
        <w:rPr>
          <w:color w:val="000000"/>
          <w:lang w:val="fr-CH"/>
        </w:rPr>
        <w:t>nent</w:t>
      </w:r>
      <w:r w:rsidR="00796393">
        <w:rPr>
          <w:color w:val="000000"/>
          <w:lang w:val="fr-CH"/>
        </w:rPr>
        <w:t xml:space="preserve"> </w:t>
      </w:r>
      <w:r w:rsidR="005565CD">
        <w:rPr>
          <w:color w:val="000000"/>
          <w:lang w:val="fr-CH"/>
        </w:rPr>
        <w:t>appuyer la planification annuelle</w:t>
      </w:r>
      <w:r w:rsidR="00262DA4">
        <w:rPr>
          <w:lang w:val="fr-CH"/>
        </w:rPr>
        <w:t xml:space="preserve">. </w:t>
      </w:r>
      <w:r w:rsidR="00262DA4" w:rsidRPr="00262DA4">
        <w:rPr>
          <w:lang w:val="fr-CH"/>
        </w:rPr>
        <w:t>Le Comité attend avec intérêt de continuer de recevoir ces informations pour faciliter l</w:t>
      </w:r>
      <w:r w:rsidR="003D2B40">
        <w:rPr>
          <w:lang w:val="fr-CH"/>
        </w:rPr>
        <w:t>'</w:t>
      </w:r>
      <w:r w:rsidR="00262DA4" w:rsidRPr="00262DA4">
        <w:rPr>
          <w:lang w:val="fr-CH"/>
        </w:rPr>
        <w:t xml:space="preserve">examen des projets de </w:t>
      </w:r>
      <w:r w:rsidR="00262DA4" w:rsidRPr="00262DA4">
        <w:rPr>
          <w:color w:val="000000"/>
          <w:lang w:val="fr-CH"/>
        </w:rPr>
        <w:t>plans d</w:t>
      </w:r>
      <w:r w:rsidR="003D2B40">
        <w:rPr>
          <w:color w:val="000000"/>
          <w:lang w:val="fr-CH"/>
        </w:rPr>
        <w:t>'</w:t>
      </w:r>
      <w:r w:rsidR="00262DA4" w:rsidRPr="00262DA4">
        <w:rPr>
          <w:color w:val="000000"/>
          <w:lang w:val="fr-CH"/>
        </w:rPr>
        <w:t>audit annuels,</w:t>
      </w:r>
      <w:r w:rsidR="00796393">
        <w:rPr>
          <w:color w:val="000000"/>
          <w:lang w:val="fr-CH"/>
        </w:rPr>
        <w:t xml:space="preserve"> </w:t>
      </w:r>
      <w:r w:rsidR="00262DA4">
        <w:rPr>
          <w:lang w:val="fr-CH"/>
        </w:rPr>
        <w:t xml:space="preserve">de façon à ce que le </w:t>
      </w:r>
      <w:r w:rsidR="00262DA4">
        <w:rPr>
          <w:color w:val="000000"/>
        </w:rPr>
        <w:t>programme de travail en matière d</w:t>
      </w:r>
      <w:r w:rsidR="003D2B40">
        <w:rPr>
          <w:color w:val="000000"/>
        </w:rPr>
        <w:t>'</w:t>
      </w:r>
      <w:r w:rsidR="00262DA4">
        <w:rPr>
          <w:color w:val="000000"/>
        </w:rPr>
        <w:t>audit</w:t>
      </w:r>
      <w:r w:rsidR="00F948F1">
        <w:rPr>
          <w:color w:val="000000"/>
        </w:rPr>
        <w:t xml:space="preserve"> interne</w:t>
      </w:r>
      <w:r w:rsidR="00262DA4">
        <w:rPr>
          <w:color w:val="000000"/>
        </w:rPr>
        <w:t xml:space="preserve"> fondé sur</w:t>
      </w:r>
      <w:r w:rsidR="00796393">
        <w:rPr>
          <w:color w:val="000000"/>
        </w:rPr>
        <w:t xml:space="preserve"> </w:t>
      </w:r>
      <w:r w:rsidR="00262DA4">
        <w:rPr>
          <w:color w:val="000000"/>
        </w:rPr>
        <w:t>une analyse des risques</w:t>
      </w:r>
      <w:r w:rsidR="00F948F1">
        <w:rPr>
          <w:color w:val="000000"/>
        </w:rPr>
        <w:t xml:space="preserve"> r</w:t>
      </w:r>
      <w:r w:rsidR="00262DA4">
        <w:t>epose sur des bases solides</w:t>
      </w:r>
      <w:r w:rsidR="00F948F1">
        <w:rPr>
          <w:lang w:val="fr-CH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0F6500" w:rsidRPr="005029CA" w:rsidTr="00D279ED">
        <w:tc>
          <w:tcPr>
            <w:tcW w:w="9629" w:type="dxa"/>
          </w:tcPr>
          <w:p w:rsidR="000F6500" w:rsidRPr="00B01329" w:rsidRDefault="000D73E4" w:rsidP="00F948F1">
            <w:pPr>
              <w:spacing w:before="60" w:after="60"/>
              <w:rPr>
                <w:rFonts w:asciiTheme="minorHAnsi" w:hAnsiTheme="minorHAnsi"/>
                <w:szCs w:val="24"/>
                <w:lang w:val="fr-CH"/>
              </w:rPr>
            </w:pPr>
            <w:r w:rsidRPr="00B01329">
              <w:rPr>
                <w:rFonts w:asciiTheme="minorHAnsi" w:hAnsiTheme="minorHAnsi"/>
                <w:b/>
                <w:bCs/>
                <w:szCs w:val="24"/>
                <w:lang w:val="fr-CH"/>
              </w:rPr>
              <w:t>Recommandation</w:t>
            </w:r>
            <w:r w:rsidR="000F6500" w:rsidRPr="00B01329">
              <w:rPr>
                <w:rFonts w:asciiTheme="minorHAnsi" w:hAnsiTheme="minorHAnsi"/>
                <w:b/>
                <w:bCs/>
                <w:szCs w:val="24"/>
                <w:lang w:val="fr-CH"/>
              </w:rPr>
              <w:t xml:space="preserve"> 2 (2017)</w:t>
            </w:r>
            <w:r w:rsidR="000F6500" w:rsidRPr="00B01329">
              <w:rPr>
                <w:rFonts w:asciiTheme="minorHAnsi" w:hAnsiTheme="minorHAnsi"/>
                <w:szCs w:val="24"/>
                <w:lang w:val="fr-CH"/>
              </w:rPr>
              <w:t>:</w:t>
            </w:r>
            <w:r w:rsidR="00796393">
              <w:rPr>
                <w:rFonts w:asciiTheme="minorHAnsi" w:hAnsiTheme="minorHAnsi"/>
                <w:szCs w:val="24"/>
                <w:lang w:val="fr-CH"/>
              </w:rPr>
              <w:t xml:space="preserve"> </w:t>
            </w:r>
            <w:r w:rsidR="00262DA4" w:rsidRPr="00B01329">
              <w:rPr>
                <w:rFonts w:asciiTheme="minorHAnsi" w:hAnsiTheme="minorHAnsi"/>
                <w:szCs w:val="24"/>
                <w:lang w:val="fr-CH"/>
              </w:rPr>
              <w:t xml:space="preserve">Le </w:t>
            </w:r>
            <w:r w:rsidR="004B3438" w:rsidRPr="00B01329">
              <w:rPr>
                <w:rFonts w:asciiTheme="minorHAnsi" w:hAnsiTheme="minorHAnsi"/>
                <w:szCs w:val="24"/>
                <w:lang w:val="fr-CH"/>
              </w:rPr>
              <w:t>CCIG</w:t>
            </w:r>
            <w:r w:rsidR="00796393">
              <w:rPr>
                <w:rFonts w:asciiTheme="minorHAnsi" w:hAnsiTheme="minorHAnsi"/>
                <w:szCs w:val="24"/>
                <w:lang w:val="fr-CH"/>
              </w:rPr>
              <w:t xml:space="preserve"> </w:t>
            </w:r>
            <w:r w:rsidR="00262DA4" w:rsidRPr="00B01329">
              <w:rPr>
                <w:rFonts w:asciiTheme="minorHAnsi" w:hAnsiTheme="minorHAnsi"/>
                <w:szCs w:val="24"/>
                <w:lang w:val="fr-CH"/>
              </w:rPr>
              <w:t>recommande</w:t>
            </w:r>
            <w:r w:rsidR="00796393">
              <w:rPr>
                <w:rFonts w:asciiTheme="minorHAnsi" w:hAnsiTheme="minorHAnsi"/>
                <w:szCs w:val="24"/>
                <w:lang w:val="fr-CH"/>
              </w:rPr>
              <w:t xml:space="preserve"> </w:t>
            </w:r>
            <w:r w:rsidR="00B01329" w:rsidRPr="00B01329">
              <w:rPr>
                <w:rFonts w:asciiTheme="minorHAnsi" w:hAnsiTheme="minorHAnsi"/>
                <w:szCs w:val="24"/>
                <w:lang w:val="fr-CH"/>
              </w:rPr>
              <w:t>à</w:t>
            </w:r>
            <w:r w:rsidR="00796393">
              <w:rPr>
                <w:rFonts w:asciiTheme="minorHAnsi" w:hAnsiTheme="minorHAnsi"/>
                <w:szCs w:val="24"/>
                <w:lang w:val="fr-CH"/>
              </w:rPr>
              <w:t xml:space="preserve"> </w:t>
            </w:r>
            <w:r w:rsidR="00F948F1">
              <w:rPr>
                <w:lang w:val="fr-CH"/>
              </w:rPr>
              <w:t>l</w:t>
            </w:r>
            <w:r w:rsidR="003D2B40">
              <w:rPr>
                <w:lang w:val="fr-CH"/>
              </w:rPr>
              <w:t>'</w:t>
            </w:r>
            <w:r w:rsidR="00F948F1">
              <w:rPr>
                <w:lang w:val="fr-CH"/>
              </w:rPr>
              <w:t>U</w:t>
            </w:r>
            <w:r w:rsidR="00262DA4" w:rsidRPr="00B01329">
              <w:rPr>
                <w:lang w:val="fr-CH"/>
              </w:rPr>
              <w:t>nité d</w:t>
            </w:r>
            <w:r w:rsidR="00F948F1">
              <w:rPr>
                <w:lang w:val="fr-CH"/>
              </w:rPr>
              <w:t>e l</w:t>
            </w:r>
            <w:r w:rsidR="003D2B40">
              <w:rPr>
                <w:lang w:val="fr-CH"/>
              </w:rPr>
              <w:t>'</w:t>
            </w:r>
            <w:r w:rsidR="00262DA4" w:rsidRPr="00B01329">
              <w:rPr>
                <w:lang w:val="fr-CH"/>
              </w:rPr>
              <w:t>audit interne</w:t>
            </w:r>
            <w:r w:rsidR="000F6500" w:rsidRPr="00B01329">
              <w:rPr>
                <w:rFonts w:asciiTheme="minorHAnsi" w:hAnsiTheme="minorHAnsi"/>
                <w:szCs w:val="24"/>
                <w:lang w:val="fr-CH"/>
              </w:rPr>
              <w:t xml:space="preserve"> </w:t>
            </w:r>
            <w:r w:rsidR="00B01329" w:rsidRPr="00B01329">
              <w:rPr>
                <w:rFonts w:asciiTheme="minorHAnsi" w:hAnsiTheme="minorHAnsi"/>
                <w:szCs w:val="24"/>
                <w:lang w:val="fr-CH"/>
              </w:rPr>
              <w:t>de promouvoir l</w:t>
            </w:r>
            <w:r w:rsidR="003D2B40">
              <w:rPr>
                <w:rFonts w:asciiTheme="minorHAnsi" w:hAnsiTheme="minorHAnsi"/>
                <w:szCs w:val="24"/>
                <w:lang w:val="fr-CH"/>
              </w:rPr>
              <w:t>'</w:t>
            </w:r>
            <w:r w:rsidR="00B01329" w:rsidRPr="00B01329">
              <w:rPr>
                <w:rFonts w:asciiTheme="minorHAnsi" w:hAnsiTheme="minorHAnsi"/>
                <w:szCs w:val="24"/>
                <w:lang w:val="fr-CH"/>
              </w:rPr>
              <w:t>adoption d</w:t>
            </w:r>
            <w:r w:rsidR="003D2B40">
              <w:rPr>
                <w:rFonts w:asciiTheme="minorHAnsi" w:hAnsiTheme="minorHAnsi"/>
                <w:szCs w:val="24"/>
                <w:lang w:val="fr-CH"/>
              </w:rPr>
              <w:t>'</w:t>
            </w:r>
            <w:r w:rsidR="00B01329" w:rsidRPr="00B01329">
              <w:rPr>
                <w:rFonts w:asciiTheme="minorHAnsi" w:hAnsiTheme="minorHAnsi"/>
                <w:szCs w:val="24"/>
                <w:lang w:val="fr-CH"/>
              </w:rPr>
              <w:t>une</w:t>
            </w:r>
            <w:r w:rsidR="00B01329" w:rsidRPr="00B01329">
              <w:rPr>
                <w:color w:val="000000"/>
                <w:lang w:val="fr-CH"/>
              </w:rPr>
              <w:t xml:space="preserve"> planification pluriannuelle des activités d</w:t>
            </w:r>
            <w:r w:rsidR="003D2B40">
              <w:rPr>
                <w:color w:val="000000"/>
                <w:lang w:val="fr-CH"/>
              </w:rPr>
              <w:t>'</w:t>
            </w:r>
            <w:r w:rsidR="00B01329" w:rsidRPr="00B01329">
              <w:rPr>
                <w:color w:val="000000"/>
                <w:lang w:val="fr-CH"/>
              </w:rPr>
              <w:t>audit basée</w:t>
            </w:r>
            <w:r w:rsidR="00796393">
              <w:rPr>
                <w:color w:val="000000"/>
                <w:lang w:val="fr-CH"/>
              </w:rPr>
              <w:t xml:space="preserve"> </w:t>
            </w:r>
            <w:r w:rsidR="00B01329" w:rsidRPr="00B01329">
              <w:rPr>
                <w:color w:val="000000"/>
                <w:lang w:val="fr-CH"/>
              </w:rPr>
              <w:t>sur les risques</w:t>
            </w:r>
            <w:r w:rsidR="00B01329">
              <w:rPr>
                <w:color w:val="000000"/>
                <w:lang w:val="fr-CH"/>
              </w:rPr>
              <w:t xml:space="preserve">, comprenant un cycle continu de couverture, </w:t>
            </w:r>
            <w:r w:rsidR="00F948F1">
              <w:rPr>
                <w:color w:val="000000"/>
                <w:lang w:val="fr-CH"/>
              </w:rPr>
              <w:t>de façon à</w:t>
            </w:r>
            <w:r w:rsidR="00B01329">
              <w:rPr>
                <w:color w:val="000000"/>
                <w:lang w:val="fr-CH"/>
              </w:rPr>
              <w:t xml:space="preserve"> assurer une supervision appropriée des </w:t>
            </w:r>
            <w:r w:rsidR="00B01329" w:rsidRPr="00F948F1">
              <w:t>domaines clés et des activités opérationnelles à terme</w:t>
            </w:r>
            <w:r w:rsidR="001974A6" w:rsidRPr="00F948F1">
              <w:t xml:space="preserve"> et</w:t>
            </w:r>
            <w:r w:rsidR="00796393" w:rsidRPr="00F948F1">
              <w:t xml:space="preserve"> </w:t>
            </w:r>
            <w:r w:rsidR="00B113B4">
              <w:t xml:space="preserve">à </w:t>
            </w:r>
            <w:r w:rsidR="001974A6" w:rsidRPr="00F948F1">
              <w:t>optimiser l</w:t>
            </w:r>
            <w:r w:rsidR="003D2B40">
              <w:t>'</w:t>
            </w:r>
            <w:r w:rsidR="001974A6" w:rsidRPr="00F948F1">
              <w:t>utilisation des ressources limitées de l</w:t>
            </w:r>
            <w:r w:rsidR="003D2B40">
              <w:t>'</w:t>
            </w:r>
            <w:r w:rsidR="00F948F1">
              <w:t>U</w:t>
            </w:r>
            <w:r w:rsidR="001974A6" w:rsidRPr="00F948F1">
              <w:t>nité d</w:t>
            </w:r>
            <w:r w:rsidR="00F948F1">
              <w:t>e l</w:t>
            </w:r>
            <w:r w:rsidR="003D2B40">
              <w:t>'</w:t>
            </w:r>
            <w:r w:rsidR="001974A6" w:rsidRPr="00F948F1">
              <w:t>audit interne</w:t>
            </w:r>
            <w:r w:rsidR="00F948F1">
              <w:rPr>
                <w:sz w:val="22"/>
                <w:szCs w:val="22"/>
              </w:rPr>
              <w:t>.</w:t>
            </w:r>
          </w:p>
          <w:p w:rsidR="000F6500" w:rsidRPr="00CA0172" w:rsidRDefault="000D73E4" w:rsidP="00B31AA9">
            <w:pPr>
              <w:spacing w:before="60" w:after="60"/>
              <w:rPr>
                <w:rFonts w:asciiTheme="minorHAnsi" w:hAnsiTheme="minorHAnsi"/>
                <w:spacing w:val="-6"/>
                <w:szCs w:val="24"/>
                <w:lang w:val="fr-CH"/>
              </w:rPr>
            </w:pPr>
            <w:r w:rsidRPr="001974A6">
              <w:rPr>
                <w:rFonts w:asciiTheme="minorHAnsi" w:hAnsiTheme="minorHAnsi"/>
                <w:b/>
                <w:bCs/>
                <w:szCs w:val="24"/>
                <w:lang w:val="fr-CH"/>
              </w:rPr>
              <w:t>Recommandation</w:t>
            </w:r>
            <w:r w:rsidR="000F6500" w:rsidRPr="001974A6">
              <w:rPr>
                <w:rFonts w:asciiTheme="minorHAnsi" w:hAnsiTheme="minorHAnsi"/>
                <w:b/>
                <w:bCs/>
                <w:szCs w:val="24"/>
                <w:lang w:val="fr-CH"/>
              </w:rPr>
              <w:t xml:space="preserve"> 3 (2017)</w:t>
            </w:r>
            <w:r w:rsidR="000F6500" w:rsidRPr="001974A6">
              <w:rPr>
                <w:rFonts w:asciiTheme="minorHAnsi" w:hAnsiTheme="minorHAnsi"/>
                <w:szCs w:val="24"/>
                <w:lang w:val="fr-CH"/>
              </w:rPr>
              <w:t>:</w:t>
            </w:r>
            <w:r w:rsidR="001974A6" w:rsidRPr="001974A6">
              <w:rPr>
                <w:rFonts w:asciiTheme="minorHAnsi" w:hAnsiTheme="minorHAnsi"/>
                <w:szCs w:val="24"/>
                <w:lang w:val="fr-CH"/>
              </w:rPr>
              <w:t xml:space="preserve"> </w:t>
            </w:r>
            <w:r w:rsidR="001974A6" w:rsidRPr="000F0EA4">
              <w:rPr>
                <w:rFonts w:asciiTheme="minorHAnsi" w:hAnsiTheme="minorHAnsi"/>
                <w:szCs w:val="24"/>
                <w:lang w:val="fr-CH"/>
              </w:rPr>
              <w:t>Comme l</w:t>
            </w:r>
            <w:r w:rsidR="003D2B40" w:rsidRPr="000F0EA4">
              <w:rPr>
                <w:rFonts w:asciiTheme="minorHAnsi" w:hAnsiTheme="minorHAnsi"/>
                <w:szCs w:val="24"/>
                <w:lang w:val="fr-CH"/>
              </w:rPr>
              <w:t>'</w:t>
            </w:r>
            <w:r w:rsidR="001974A6" w:rsidRPr="000F0EA4">
              <w:rPr>
                <w:rFonts w:asciiTheme="minorHAnsi" w:hAnsiTheme="minorHAnsi"/>
                <w:szCs w:val="24"/>
                <w:lang w:val="fr-CH"/>
              </w:rPr>
              <w:t xml:space="preserve">avait recommandé le </w:t>
            </w:r>
            <w:r w:rsidR="004B3438" w:rsidRPr="000F0EA4">
              <w:rPr>
                <w:rFonts w:asciiTheme="minorHAnsi" w:hAnsiTheme="minorHAnsi"/>
                <w:szCs w:val="24"/>
                <w:lang w:val="fr-CH"/>
              </w:rPr>
              <w:t>CCIG</w:t>
            </w:r>
            <w:r w:rsidR="00796393" w:rsidRPr="000F0EA4">
              <w:rPr>
                <w:rFonts w:asciiTheme="minorHAnsi" w:hAnsiTheme="minorHAnsi"/>
                <w:szCs w:val="24"/>
                <w:lang w:val="fr-CH"/>
              </w:rPr>
              <w:t xml:space="preserve"> </w:t>
            </w:r>
            <w:r w:rsidR="001974A6" w:rsidRPr="000F0EA4">
              <w:rPr>
                <w:rFonts w:asciiTheme="minorHAnsi" w:hAnsiTheme="minorHAnsi"/>
                <w:szCs w:val="24"/>
                <w:lang w:val="fr-CH"/>
              </w:rPr>
              <w:t>en</w:t>
            </w:r>
            <w:r w:rsidR="000F6500" w:rsidRPr="000F0EA4">
              <w:rPr>
                <w:rFonts w:asciiTheme="minorHAnsi" w:hAnsiTheme="minorHAnsi"/>
                <w:szCs w:val="24"/>
                <w:lang w:val="fr-CH"/>
              </w:rPr>
              <w:t xml:space="preserve"> 2016,</w:t>
            </w:r>
            <w:r w:rsidR="001974A6" w:rsidRPr="000F0EA4">
              <w:rPr>
                <w:rFonts w:asciiTheme="minorHAnsi" w:hAnsiTheme="minorHAnsi"/>
                <w:szCs w:val="24"/>
                <w:lang w:val="fr-CH"/>
              </w:rPr>
              <w:t xml:space="preserve"> il est important que les ress</w:t>
            </w:r>
            <w:r w:rsidR="00B31AA9" w:rsidRPr="000F0EA4">
              <w:rPr>
                <w:rFonts w:asciiTheme="minorHAnsi" w:hAnsiTheme="minorHAnsi"/>
                <w:szCs w:val="24"/>
                <w:lang w:val="fr-CH"/>
              </w:rPr>
              <w:t>ources limitées dont dispose l</w:t>
            </w:r>
            <w:r w:rsidR="003D2B40" w:rsidRPr="000F0EA4">
              <w:rPr>
                <w:rFonts w:asciiTheme="minorHAnsi" w:hAnsiTheme="minorHAnsi"/>
                <w:szCs w:val="24"/>
                <w:lang w:val="fr-CH"/>
              </w:rPr>
              <w:t>'</w:t>
            </w:r>
            <w:r w:rsidR="00B31AA9" w:rsidRPr="000F0EA4">
              <w:rPr>
                <w:rFonts w:asciiTheme="minorHAnsi" w:hAnsiTheme="minorHAnsi"/>
                <w:szCs w:val="24"/>
                <w:lang w:val="fr-CH"/>
              </w:rPr>
              <w:t>U</w:t>
            </w:r>
            <w:r w:rsidR="001974A6" w:rsidRPr="000F0EA4">
              <w:rPr>
                <w:rFonts w:asciiTheme="minorHAnsi" w:hAnsiTheme="minorHAnsi"/>
                <w:szCs w:val="24"/>
                <w:lang w:val="fr-CH"/>
              </w:rPr>
              <w:t>nité de l</w:t>
            </w:r>
            <w:r w:rsidR="003D2B40" w:rsidRPr="000F0EA4">
              <w:rPr>
                <w:rFonts w:asciiTheme="minorHAnsi" w:hAnsiTheme="minorHAnsi"/>
                <w:szCs w:val="24"/>
                <w:lang w:val="fr-CH"/>
              </w:rPr>
              <w:t>'</w:t>
            </w:r>
            <w:r w:rsidR="001974A6" w:rsidRPr="000F0EA4">
              <w:rPr>
                <w:rFonts w:asciiTheme="minorHAnsi" w:hAnsiTheme="minorHAnsi"/>
                <w:szCs w:val="24"/>
                <w:lang w:val="fr-CH"/>
              </w:rPr>
              <w:t xml:space="preserve">audit interne </w:t>
            </w:r>
            <w:r w:rsidR="00B31AA9" w:rsidRPr="000F0EA4">
              <w:rPr>
                <w:rFonts w:asciiTheme="minorHAnsi" w:hAnsiTheme="minorHAnsi"/>
                <w:szCs w:val="24"/>
                <w:lang w:val="fr-CH"/>
              </w:rPr>
              <w:t xml:space="preserve">soient </w:t>
            </w:r>
            <w:r w:rsidR="001974A6" w:rsidRPr="000F0EA4">
              <w:rPr>
                <w:rFonts w:asciiTheme="minorHAnsi" w:hAnsiTheme="minorHAnsi"/>
                <w:szCs w:val="24"/>
                <w:lang w:val="fr-CH"/>
              </w:rPr>
              <w:t>utilisées pour examiner les domaines qui représentent les risques les plus élevés auxquels</w:t>
            </w:r>
            <w:r w:rsidR="00796393" w:rsidRPr="000F0EA4">
              <w:rPr>
                <w:rFonts w:asciiTheme="minorHAnsi" w:hAnsiTheme="minorHAnsi"/>
                <w:szCs w:val="24"/>
                <w:lang w:val="fr-CH"/>
              </w:rPr>
              <w:t xml:space="preserve"> </w:t>
            </w:r>
            <w:r w:rsidR="001974A6" w:rsidRPr="000F0EA4">
              <w:rPr>
                <w:rFonts w:asciiTheme="minorHAnsi" w:hAnsiTheme="minorHAnsi"/>
                <w:szCs w:val="24"/>
                <w:lang w:val="fr-CH"/>
              </w:rPr>
              <w:t>l</w:t>
            </w:r>
            <w:r w:rsidR="003D2B40" w:rsidRPr="000F0EA4">
              <w:rPr>
                <w:rFonts w:asciiTheme="minorHAnsi" w:hAnsiTheme="minorHAnsi"/>
                <w:szCs w:val="24"/>
                <w:lang w:val="fr-CH"/>
              </w:rPr>
              <w:t>'</w:t>
            </w:r>
            <w:r w:rsidR="001974A6" w:rsidRPr="000F0EA4">
              <w:rPr>
                <w:rFonts w:asciiTheme="minorHAnsi" w:hAnsiTheme="minorHAnsi"/>
                <w:szCs w:val="24"/>
                <w:lang w:val="fr-CH"/>
              </w:rPr>
              <w:t>organisation est exposée</w:t>
            </w:r>
            <w:r w:rsidR="00796393" w:rsidRPr="000F0EA4">
              <w:rPr>
                <w:rFonts w:asciiTheme="minorHAnsi" w:hAnsiTheme="minorHAnsi"/>
                <w:szCs w:val="24"/>
                <w:lang w:val="fr-CH"/>
              </w:rPr>
              <w:t xml:space="preserve"> </w:t>
            </w:r>
            <w:r w:rsidR="001974A6" w:rsidRPr="000F0EA4">
              <w:rPr>
                <w:rFonts w:asciiTheme="minorHAnsi" w:hAnsiTheme="minorHAnsi"/>
                <w:szCs w:val="24"/>
                <w:lang w:val="fr-CH"/>
              </w:rPr>
              <w:t>en priorité</w:t>
            </w:r>
            <w:r w:rsidR="00B31AA9" w:rsidRPr="000F0EA4">
              <w:rPr>
                <w:rFonts w:asciiTheme="minorHAnsi" w:hAnsiTheme="minorHAnsi"/>
                <w:szCs w:val="24"/>
                <w:lang w:val="fr-CH"/>
              </w:rPr>
              <w:t>.</w:t>
            </w:r>
            <w:r w:rsidR="00796393" w:rsidRPr="00CA0172">
              <w:rPr>
                <w:rFonts w:asciiTheme="minorHAnsi" w:hAnsiTheme="minorHAnsi"/>
                <w:spacing w:val="-6"/>
                <w:szCs w:val="24"/>
                <w:lang w:val="fr-CH"/>
              </w:rPr>
              <w:t xml:space="preserve"> </w:t>
            </w:r>
          </w:p>
          <w:p w:rsidR="000F6500" w:rsidRPr="005029CA" w:rsidRDefault="000D73E4" w:rsidP="00B31AA9">
            <w:pPr>
              <w:spacing w:before="60" w:after="60"/>
              <w:rPr>
                <w:lang w:val="fr-CH" w:eastAsia="zh-CN"/>
              </w:rPr>
            </w:pPr>
            <w:r w:rsidRPr="005029CA">
              <w:rPr>
                <w:rFonts w:asciiTheme="minorHAnsi" w:hAnsiTheme="minorHAnsi"/>
                <w:b/>
                <w:bCs/>
                <w:szCs w:val="24"/>
                <w:lang w:val="fr-CH"/>
              </w:rPr>
              <w:t>Recommandation</w:t>
            </w:r>
            <w:r w:rsidR="000F6500" w:rsidRPr="005029CA">
              <w:rPr>
                <w:rFonts w:asciiTheme="minorHAnsi" w:hAnsiTheme="minorHAnsi"/>
                <w:b/>
                <w:bCs/>
                <w:szCs w:val="24"/>
                <w:lang w:val="fr-CH"/>
              </w:rPr>
              <w:t xml:space="preserve"> 4 (2017)</w:t>
            </w:r>
            <w:r w:rsidR="000F6500" w:rsidRPr="005029CA">
              <w:rPr>
                <w:rFonts w:asciiTheme="minorHAnsi" w:hAnsiTheme="minorHAnsi"/>
                <w:szCs w:val="24"/>
                <w:lang w:val="fr-CH"/>
              </w:rPr>
              <w:t>:</w:t>
            </w:r>
            <w:r w:rsidR="00796393">
              <w:rPr>
                <w:rFonts w:asciiTheme="minorHAnsi" w:hAnsiTheme="minorHAnsi"/>
                <w:szCs w:val="24"/>
                <w:lang w:val="fr-CH"/>
              </w:rPr>
              <w:t xml:space="preserve"> </w:t>
            </w:r>
            <w:r w:rsidR="00B31AA9">
              <w:rPr>
                <w:rFonts w:asciiTheme="minorHAnsi" w:hAnsiTheme="minorHAnsi"/>
                <w:szCs w:val="24"/>
                <w:lang w:val="fr-CH"/>
              </w:rPr>
              <w:t>Afin d</w:t>
            </w:r>
            <w:r w:rsidR="003D2B40">
              <w:rPr>
                <w:rFonts w:asciiTheme="minorHAnsi" w:hAnsiTheme="minorHAnsi"/>
                <w:szCs w:val="24"/>
                <w:lang w:val="fr-CH"/>
              </w:rPr>
              <w:t>'</w:t>
            </w:r>
            <w:r w:rsidR="005029CA" w:rsidRPr="005029CA">
              <w:rPr>
                <w:rFonts w:asciiTheme="minorHAnsi" w:hAnsiTheme="minorHAnsi"/>
                <w:szCs w:val="24"/>
                <w:lang w:val="fr-CH"/>
              </w:rPr>
              <w:t xml:space="preserve">assurer </w:t>
            </w:r>
            <w:r w:rsidR="00B31AA9">
              <w:rPr>
                <w:rFonts w:asciiTheme="minorHAnsi" w:hAnsiTheme="minorHAnsi"/>
                <w:szCs w:val="24"/>
                <w:lang w:val="fr-CH"/>
              </w:rPr>
              <w:t>une</w:t>
            </w:r>
            <w:r w:rsidR="005029CA" w:rsidRPr="005029CA">
              <w:rPr>
                <w:rFonts w:asciiTheme="minorHAnsi" w:hAnsiTheme="minorHAnsi"/>
                <w:szCs w:val="24"/>
                <w:lang w:val="fr-CH"/>
              </w:rPr>
              <w:t xml:space="preserve"> gestion </w:t>
            </w:r>
            <w:r w:rsidR="00B31AA9">
              <w:rPr>
                <w:rFonts w:asciiTheme="minorHAnsi" w:hAnsiTheme="minorHAnsi"/>
                <w:szCs w:val="24"/>
                <w:lang w:val="fr-CH"/>
              </w:rPr>
              <w:t xml:space="preserve">rapide </w:t>
            </w:r>
            <w:r w:rsidR="005029CA" w:rsidRPr="005029CA">
              <w:rPr>
                <w:rFonts w:asciiTheme="minorHAnsi" w:hAnsiTheme="minorHAnsi"/>
                <w:szCs w:val="24"/>
                <w:lang w:val="fr-CH"/>
              </w:rPr>
              <w:t xml:space="preserve">de la réactivité </w:t>
            </w:r>
            <w:r w:rsidR="005029CA">
              <w:rPr>
                <w:rFonts w:asciiTheme="minorHAnsi" w:hAnsiTheme="minorHAnsi"/>
                <w:szCs w:val="24"/>
                <w:lang w:val="fr-CH"/>
              </w:rPr>
              <w:t>aux r</w:t>
            </w:r>
            <w:r w:rsidR="00B31AA9">
              <w:rPr>
                <w:rFonts w:asciiTheme="minorHAnsi" w:hAnsiTheme="minorHAnsi"/>
                <w:szCs w:val="24"/>
                <w:lang w:val="fr-CH"/>
              </w:rPr>
              <w:t>ecommandations formulées par l</w:t>
            </w:r>
            <w:r w:rsidR="003D2B40">
              <w:rPr>
                <w:rFonts w:asciiTheme="minorHAnsi" w:hAnsiTheme="minorHAnsi"/>
                <w:szCs w:val="24"/>
                <w:lang w:val="fr-CH"/>
              </w:rPr>
              <w:t>'</w:t>
            </w:r>
            <w:r w:rsidR="00B31AA9">
              <w:rPr>
                <w:rFonts w:asciiTheme="minorHAnsi" w:hAnsiTheme="minorHAnsi"/>
                <w:szCs w:val="24"/>
                <w:lang w:val="fr-CH"/>
              </w:rPr>
              <w:t>U</w:t>
            </w:r>
            <w:r w:rsidR="005029CA">
              <w:rPr>
                <w:rFonts w:asciiTheme="minorHAnsi" w:hAnsiTheme="minorHAnsi"/>
                <w:szCs w:val="24"/>
                <w:lang w:val="fr-CH"/>
              </w:rPr>
              <w:t>nité de l</w:t>
            </w:r>
            <w:r w:rsidR="003D2B40">
              <w:rPr>
                <w:rFonts w:asciiTheme="minorHAnsi" w:hAnsiTheme="minorHAnsi"/>
                <w:szCs w:val="24"/>
                <w:lang w:val="fr-CH"/>
              </w:rPr>
              <w:t>'</w:t>
            </w:r>
            <w:r w:rsidR="005029CA">
              <w:rPr>
                <w:rFonts w:asciiTheme="minorHAnsi" w:hAnsiTheme="minorHAnsi"/>
                <w:szCs w:val="24"/>
                <w:lang w:val="fr-CH"/>
              </w:rPr>
              <w:t xml:space="preserve">audit interne, le </w:t>
            </w:r>
            <w:r w:rsidR="004B3438" w:rsidRPr="005029CA">
              <w:rPr>
                <w:rFonts w:asciiTheme="minorHAnsi" w:hAnsiTheme="minorHAnsi"/>
                <w:szCs w:val="24"/>
                <w:lang w:val="fr-CH"/>
              </w:rPr>
              <w:t xml:space="preserve">CCIG </w:t>
            </w:r>
            <w:r w:rsidR="005029CA">
              <w:rPr>
                <w:rFonts w:asciiTheme="minorHAnsi" w:hAnsiTheme="minorHAnsi"/>
                <w:szCs w:val="24"/>
                <w:lang w:val="fr-CH"/>
              </w:rPr>
              <w:t>recommande que t</w:t>
            </w:r>
            <w:r w:rsidR="00B31AA9">
              <w:rPr>
                <w:rFonts w:asciiTheme="minorHAnsi" w:hAnsiTheme="minorHAnsi"/>
                <w:szCs w:val="24"/>
                <w:lang w:val="fr-CH"/>
              </w:rPr>
              <w:t>outes les recommandations de l</w:t>
            </w:r>
            <w:r w:rsidR="003D2B40">
              <w:rPr>
                <w:rFonts w:asciiTheme="minorHAnsi" w:hAnsiTheme="minorHAnsi"/>
                <w:szCs w:val="24"/>
                <w:lang w:val="fr-CH"/>
              </w:rPr>
              <w:t>'</w:t>
            </w:r>
            <w:r w:rsidR="00B31AA9">
              <w:rPr>
                <w:rFonts w:asciiTheme="minorHAnsi" w:hAnsiTheme="minorHAnsi"/>
                <w:szCs w:val="24"/>
                <w:lang w:val="fr-CH"/>
              </w:rPr>
              <w:t>U</w:t>
            </w:r>
            <w:r w:rsidR="005029CA">
              <w:rPr>
                <w:rFonts w:asciiTheme="minorHAnsi" w:hAnsiTheme="minorHAnsi"/>
                <w:szCs w:val="24"/>
                <w:lang w:val="fr-CH"/>
              </w:rPr>
              <w:t>nité de l</w:t>
            </w:r>
            <w:r w:rsidR="003D2B40">
              <w:rPr>
                <w:rFonts w:asciiTheme="minorHAnsi" w:hAnsiTheme="minorHAnsi"/>
                <w:szCs w:val="24"/>
                <w:lang w:val="fr-CH"/>
              </w:rPr>
              <w:t>'</w:t>
            </w:r>
            <w:r w:rsidR="005029CA">
              <w:rPr>
                <w:rFonts w:asciiTheme="minorHAnsi" w:hAnsiTheme="minorHAnsi"/>
                <w:szCs w:val="24"/>
                <w:lang w:val="fr-CH"/>
              </w:rPr>
              <w:t>audit interne approuvées par</w:t>
            </w:r>
            <w:r w:rsidR="005029CA">
              <w:t xml:space="preserve"> les </w:t>
            </w:r>
            <w:r w:rsidR="005029CA" w:rsidRPr="005029CA">
              <w:rPr>
                <w:rFonts w:asciiTheme="minorHAnsi" w:hAnsiTheme="minorHAnsi"/>
                <w:szCs w:val="24"/>
                <w:lang w:val="fr-CH"/>
              </w:rPr>
              <w:t>supérieurs hiérarchiques</w:t>
            </w:r>
            <w:r w:rsidR="005029CA">
              <w:rPr>
                <w:rFonts w:asciiTheme="minorHAnsi" w:hAnsiTheme="minorHAnsi"/>
                <w:szCs w:val="24"/>
                <w:lang w:val="fr-CH"/>
              </w:rPr>
              <w:t xml:space="preserve"> comprennent des échéances ou des délais concernant leur mise</w:t>
            </w:r>
            <w:r w:rsidR="00796393">
              <w:rPr>
                <w:rFonts w:asciiTheme="minorHAnsi" w:hAnsiTheme="minorHAnsi"/>
                <w:szCs w:val="24"/>
                <w:lang w:val="fr-CH"/>
              </w:rPr>
              <w:t xml:space="preserve"> </w:t>
            </w:r>
            <w:r w:rsidR="005029CA">
              <w:rPr>
                <w:rFonts w:asciiTheme="minorHAnsi" w:hAnsiTheme="minorHAnsi"/>
                <w:szCs w:val="24"/>
                <w:lang w:val="fr-CH"/>
              </w:rPr>
              <w:t>en œuvre</w:t>
            </w:r>
            <w:r w:rsidR="00B31AA9">
              <w:rPr>
                <w:rFonts w:asciiTheme="minorHAnsi" w:hAnsiTheme="minorHAnsi"/>
                <w:szCs w:val="24"/>
                <w:lang w:val="fr-CH"/>
              </w:rPr>
              <w:t>.</w:t>
            </w:r>
          </w:p>
        </w:tc>
      </w:tr>
    </w:tbl>
    <w:p w:rsidR="00083A9D" w:rsidRPr="000B0BEF" w:rsidRDefault="00083A9D" w:rsidP="00B31AA9">
      <w:pPr>
        <w:pStyle w:val="Headingb"/>
      </w:pPr>
      <w:r w:rsidRPr="000B0BEF">
        <w:t>Ethi</w:t>
      </w:r>
      <w:r w:rsidR="005029CA" w:rsidRPr="000B0BEF">
        <w:t>que</w:t>
      </w:r>
    </w:p>
    <w:p w:rsidR="00083A9D" w:rsidRPr="005029CA" w:rsidRDefault="009F4624" w:rsidP="00B31AA9">
      <w:pPr>
        <w:rPr>
          <w:lang w:val="fr-CH"/>
        </w:rPr>
      </w:pPr>
      <w:r w:rsidRPr="000B0BEF">
        <w:t>3.23</w:t>
      </w:r>
      <w:r w:rsidRPr="000B0BEF">
        <w:tab/>
      </w:r>
      <w:r w:rsidR="005029CA" w:rsidRPr="005029CA">
        <w:rPr>
          <w:lang w:val="fr-CH"/>
        </w:rPr>
        <w:t xml:space="preserve">Un </w:t>
      </w:r>
      <w:r w:rsidR="00B31AA9">
        <w:rPr>
          <w:lang w:val="fr-CH"/>
        </w:rPr>
        <w:t>R</w:t>
      </w:r>
      <w:r w:rsidR="005029CA" w:rsidRPr="005029CA">
        <w:rPr>
          <w:lang w:val="fr-CH"/>
        </w:rPr>
        <w:t>esponsable de l</w:t>
      </w:r>
      <w:r w:rsidR="003D2B40">
        <w:rPr>
          <w:lang w:val="fr-CH"/>
        </w:rPr>
        <w:t>'</w:t>
      </w:r>
      <w:r w:rsidR="005029CA" w:rsidRPr="005029CA">
        <w:rPr>
          <w:lang w:val="fr-CH"/>
        </w:rPr>
        <w:t>éthique exerce à présent</w:t>
      </w:r>
      <w:r w:rsidR="00796393">
        <w:rPr>
          <w:lang w:val="fr-CH"/>
        </w:rPr>
        <w:t xml:space="preserve"> </w:t>
      </w:r>
      <w:r w:rsidR="005029CA" w:rsidRPr="005029CA">
        <w:rPr>
          <w:lang w:val="fr-CH"/>
        </w:rPr>
        <w:t>ses fonctions à l</w:t>
      </w:r>
      <w:r w:rsidR="003D2B40">
        <w:rPr>
          <w:lang w:val="fr-CH"/>
        </w:rPr>
        <w:t>'</w:t>
      </w:r>
      <w:r w:rsidR="005029CA" w:rsidRPr="005029CA">
        <w:rPr>
          <w:lang w:val="fr-CH"/>
        </w:rPr>
        <w:t>UIT et le Comité, conformément à son mandat, suit de près l</w:t>
      </w:r>
      <w:r w:rsidR="003D2B40">
        <w:rPr>
          <w:lang w:val="fr-CH"/>
        </w:rPr>
        <w:t>'</w:t>
      </w:r>
      <w:r w:rsidR="005029CA" w:rsidRPr="005029CA">
        <w:rPr>
          <w:lang w:val="fr-CH"/>
        </w:rPr>
        <w:t xml:space="preserve">évolution des politiques et procédures </w:t>
      </w:r>
      <w:r w:rsidR="00B31AA9" w:rsidRPr="005029CA">
        <w:rPr>
          <w:lang w:val="fr-CH"/>
        </w:rPr>
        <w:t>en matière d</w:t>
      </w:r>
      <w:r w:rsidR="003D2B40">
        <w:rPr>
          <w:lang w:val="fr-CH"/>
        </w:rPr>
        <w:t>'</w:t>
      </w:r>
      <w:r w:rsidR="00B31AA9" w:rsidRPr="005029CA">
        <w:rPr>
          <w:lang w:val="fr-CH"/>
        </w:rPr>
        <w:t>éthique</w:t>
      </w:r>
      <w:r w:rsidR="00B31AA9">
        <w:rPr>
          <w:lang w:val="fr-CH"/>
        </w:rPr>
        <w:t xml:space="preserve"> au sein de l</w:t>
      </w:r>
      <w:r w:rsidR="003D2B40">
        <w:rPr>
          <w:lang w:val="fr-CH"/>
        </w:rPr>
        <w:t>'</w:t>
      </w:r>
      <w:r w:rsidR="00B31AA9">
        <w:rPr>
          <w:lang w:val="fr-CH"/>
        </w:rPr>
        <w:t>organisation.</w:t>
      </w:r>
    </w:p>
    <w:p w:rsidR="00083A9D" w:rsidRPr="001976D6" w:rsidRDefault="009F4624" w:rsidP="00362990">
      <w:pPr>
        <w:spacing w:after="120"/>
        <w:rPr>
          <w:lang w:val="fr-CH"/>
        </w:rPr>
      </w:pPr>
      <w:r w:rsidRPr="001976D6">
        <w:rPr>
          <w:lang w:val="fr-CH"/>
        </w:rPr>
        <w:t>3.24</w:t>
      </w:r>
      <w:r w:rsidRPr="001976D6">
        <w:rPr>
          <w:lang w:val="fr-CH"/>
        </w:rPr>
        <w:tab/>
      </w:r>
      <w:r w:rsidR="005029CA" w:rsidRPr="001976D6">
        <w:rPr>
          <w:color w:val="000000"/>
          <w:lang w:val="fr-CH"/>
        </w:rPr>
        <w:t>A titre de bonne pratique</w:t>
      </w:r>
      <w:r w:rsidR="005029CA" w:rsidRPr="001976D6">
        <w:rPr>
          <w:lang w:val="fr-CH"/>
        </w:rPr>
        <w:t xml:space="preserve"> en matière de gouvernance, et dans un souci de transparence et d</w:t>
      </w:r>
      <w:r w:rsidR="003D2B40">
        <w:rPr>
          <w:lang w:val="fr-CH"/>
        </w:rPr>
        <w:t>'</w:t>
      </w:r>
      <w:r w:rsidR="005029CA" w:rsidRPr="001976D6">
        <w:rPr>
          <w:lang w:val="fr-CH"/>
        </w:rPr>
        <w:t>efficacité</w:t>
      </w:r>
      <w:r w:rsidR="001976D6" w:rsidRPr="001976D6">
        <w:rPr>
          <w:lang w:val="fr-CH"/>
        </w:rPr>
        <w:t xml:space="preserve"> des dispositions prises par l</w:t>
      </w:r>
      <w:r w:rsidR="003D2B40">
        <w:rPr>
          <w:lang w:val="fr-CH"/>
        </w:rPr>
        <w:t>'</w:t>
      </w:r>
      <w:r w:rsidR="001976D6" w:rsidRPr="001976D6">
        <w:rPr>
          <w:lang w:val="fr-CH"/>
        </w:rPr>
        <w:t>UIT à l</w:t>
      </w:r>
      <w:r w:rsidR="003D2B40">
        <w:rPr>
          <w:lang w:val="fr-CH"/>
        </w:rPr>
        <w:t>'</w:t>
      </w:r>
      <w:r w:rsidR="001976D6" w:rsidRPr="001976D6">
        <w:rPr>
          <w:lang w:val="fr-CH"/>
        </w:rPr>
        <w:t>égard du public et des entités</w:t>
      </w:r>
      <w:r w:rsidR="001976D6">
        <w:rPr>
          <w:lang w:val="fr-CH"/>
        </w:rPr>
        <w:t xml:space="preserve"> extérieures ou des parties tierces ayant des relations avec l</w:t>
      </w:r>
      <w:r w:rsidR="003D2B40">
        <w:rPr>
          <w:lang w:val="fr-CH"/>
        </w:rPr>
        <w:t>'</w:t>
      </w:r>
      <w:r w:rsidR="001976D6">
        <w:rPr>
          <w:lang w:val="fr-CH"/>
        </w:rPr>
        <w:t>organisation, il sera important que les éléments pertinents des dispositions prises par l</w:t>
      </w:r>
      <w:r w:rsidR="003D2B40">
        <w:rPr>
          <w:lang w:val="fr-CH"/>
        </w:rPr>
        <w:t>'</w:t>
      </w:r>
      <w:r w:rsidR="001976D6">
        <w:rPr>
          <w:lang w:val="fr-CH"/>
        </w:rPr>
        <w:t>UIT en matière d</w:t>
      </w:r>
      <w:r w:rsidR="003D2B40">
        <w:rPr>
          <w:lang w:val="fr-CH"/>
        </w:rPr>
        <w:t>'</w:t>
      </w:r>
      <w:r w:rsidR="001976D6">
        <w:rPr>
          <w:lang w:val="fr-CH"/>
        </w:rPr>
        <w:t>éthique soient connus et</w:t>
      </w:r>
      <w:r w:rsidR="00796393">
        <w:rPr>
          <w:lang w:val="fr-CH"/>
        </w:rPr>
        <w:t xml:space="preserve"> </w:t>
      </w:r>
      <w:r w:rsidR="001976D6">
        <w:rPr>
          <w:color w:val="000000"/>
        </w:rPr>
        <w:t>facilement accessibles</w:t>
      </w:r>
      <w:r w:rsidR="00362990">
        <w:rPr>
          <w:color w:val="00000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9F4624" w:rsidRPr="001976D6" w:rsidTr="00D279ED">
        <w:tc>
          <w:tcPr>
            <w:tcW w:w="9629" w:type="dxa"/>
          </w:tcPr>
          <w:p w:rsidR="009F4624" w:rsidRPr="001976D6" w:rsidRDefault="000D73E4" w:rsidP="00362990">
            <w:pPr>
              <w:spacing w:before="60" w:after="60"/>
              <w:rPr>
                <w:lang w:val="fr-CH" w:eastAsia="zh-CN"/>
              </w:rPr>
            </w:pPr>
            <w:r w:rsidRPr="001976D6">
              <w:rPr>
                <w:rFonts w:asciiTheme="minorHAnsi" w:hAnsiTheme="minorHAnsi"/>
                <w:b/>
                <w:bCs/>
                <w:szCs w:val="24"/>
                <w:lang w:val="fr-CH"/>
              </w:rPr>
              <w:t>Recommandation</w:t>
            </w:r>
            <w:r w:rsidR="009F4624" w:rsidRPr="001976D6">
              <w:rPr>
                <w:rFonts w:asciiTheme="minorHAnsi" w:hAnsiTheme="minorHAnsi"/>
                <w:b/>
                <w:bCs/>
                <w:szCs w:val="24"/>
                <w:lang w:val="fr-CH"/>
              </w:rPr>
              <w:t xml:space="preserve"> 5 (2017)</w:t>
            </w:r>
            <w:r w:rsidR="009F4624" w:rsidRPr="006F2FC9">
              <w:rPr>
                <w:rFonts w:asciiTheme="minorHAnsi" w:hAnsiTheme="minorHAnsi"/>
                <w:szCs w:val="24"/>
                <w:lang w:val="fr-CH"/>
              </w:rPr>
              <w:t xml:space="preserve">: </w:t>
            </w:r>
            <w:r w:rsidR="001976D6" w:rsidRPr="006F2FC9">
              <w:rPr>
                <w:rFonts w:asciiTheme="minorHAnsi" w:hAnsiTheme="minorHAnsi"/>
                <w:szCs w:val="24"/>
                <w:lang w:val="fr-CH"/>
              </w:rPr>
              <w:t>Le</w:t>
            </w:r>
            <w:r w:rsidR="001976D6" w:rsidRPr="001976D6">
              <w:rPr>
                <w:rFonts w:asciiTheme="minorHAnsi" w:hAnsiTheme="minorHAnsi"/>
                <w:b/>
                <w:bCs/>
                <w:szCs w:val="24"/>
                <w:lang w:val="fr-CH"/>
              </w:rPr>
              <w:t xml:space="preserve"> </w:t>
            </w:r>
            <w:r w:rsidR="004B3438" w:rsidRPr="001976D6">
              <w:rPr>
                <w:rFonts w:asciiTheme="minorHAnsi" w:hAnsiTheme="minorHAnsi"/>
                <w:bCs/>
                <w:szCs w:val="24"/>
                <w:lang w:val="fr-CH"/>
              </w:rPr>
              <w:t xml:space="preserve">CCIG </w:t>
            </w:r>
            <w:r w:rsidR="003D2B40">
              <w:rPr>
                <w:rFonts w:asciiTheme="minorHAnsi" w:hAnsiTheme="minorHAnsi"/>
                <w:bCs/>
                <w:szCs w:val="24"/>
                <w:lang w:val="fr-CH"/>
              </w:rPr>
              <w:t>recommande que la politique</w:t>
            </w:r>
            <w:r w:rsidR="001976D6" w:rsidRPr="001976D6">
              <w:rPr>
                <w:rFonts w:asciiTheme="minorHAnsi" w:hAnsiTheme="minorHAnsi"/>
                <w:bCs/>
                <w:szCs w:val="24"/>
                <w:lang w:val="fr-CH"/>
              </w:rPr>
              <w:t>, les pratiques et les procédures de l</w:t>
            </w:r>
            <w:r w:rsidR="003D2B40">
              <w:rPr>
                <w:rFonts w:asciiTheme="minorHAnsi" w:hAnsiTheme="minorHAnsi"/>
                <w:bCs/>
                <w:szCs w:val="24"/>
                <w:lang w:val="fr-CH"/>
              </w:rPr>
              <w:t>'</w:t>
            </w:r>
            <w:r w:rsidR="001976D6" w:rsidRPr="001976D6">
              <w:rPr>
                <w:rFonts w:asciiTheme="minorHAnsi" w:hAnsiTheme="minorHAnsi"/>
                <w:bCs/>
                <w:szCs w:val="24"/>
                <w:lang w:val="fr-CH"/>
              </w:rPr>
              <w:t>UIT en matière d</w:t>
            </w:r>
            <w:r w:rsidR="003D2B40">
              <w:rPr>
                <w:rFonts w:asciiTheme="minorHAnsi" w:hAnsiTheme="minorHAnsi"/>
                <w:bCs/>
                <w:szCs w:val="24"/>
                <w:lang w:val="fr-CH"/>
              </w:rPr>
              <w:t>'</w:t>
            </w:r>
            <w:r w:rsidR="001976D6" w:rsidRPr="001976D6">
              <w:rPr>
                <w:rFonts w:asciiTheme="minorHAnsi" w:hAnsiTheme="minorHAnsi"/>
                <w:bCs/>
                <w:szCs w:val="24"/>
                <w:lang w:val="fr-CH"/>
              </w:rPr>
              <w:t>éthique soient</w:t>
            </w:r>
            <w:r w:rsidR="001976D6">
              <w:rPr>
                <w:rFonts w:asciiTheme="minorHAnsi" w:hAnsiTheme="minorHAnsi"/>
                <w:bCs/>
                <w:szCs w:val="24"/>
                <w:lang w:val="fr-CH"/>
              </w:rPr>
              <w:t xml:space="preserve"> placées sur le site web public de l</w:t>
            </w:r>
            <w:r w:rsidR="003D2B40">
              <w:rPr>
                <w:rFonts w:asciiTheme="minorHAnsi" w:hAnsiTheme="minorHAnsi"/>
                <w:bCs/>
                <w:szCs w:val="24"/>
                <w:lang w:val="fr-CH"/>
              </w:rPr>
              <w:t>'</w:t>
            </w:r>
            <w:r w:rsidR="001976D6">
              <w:rPr>
                <w:rFonts w:asciiTheme="minorHAnsi" w:hAnsiTheme="minorHAnsi"/>
                <w:bCs/>
                <w:szCs w:val="24"/>
                <w:lang w:val="fr-CH"/>
              </w:rPr>
              <w:t>organisation</w:t>
            </w:r>
            <w:r w:rsidR="009F4624" w:rsidRPr="001976D6">
              <w:rPr>
                <w:rFonts w:asciiTheme="minorHAnsi" w:hAnsiTheme="minorHAnsi"/>
                <w:bCs/>
                <w:szCs w:val="24"/>
                <w:lang w:val="fr-CH"/>
              </w:rPr>
              <w:t xml:space="preserve"> </w:t>
            </w:r>
            <w:r w:rsidR="001976D6">
              <w:t>à mesure qu</w:t>
            </w:r>
            <w:r w:rsidR="003D2B40">
              <w:t>'</w:t>
            </w:r>
            <w:r w:rsidR="001976D6">
              <w:t xml:space="preserve">elles sont </w:t>
            </w:r>
            <w:r w:rsidR="00362990">
              <w:t>élaborées.</w:t>
            </w:r>
            <w:r w:rsidR="00796393">
              <w:t xml:space="preserve"> </w:t>
            </w:r>
          </w:p>
        </w:tc>
      </w:tr>
    </w:tbl>
    <w:p w:rsidR="00083A9D" w:rsidRPr="001976D6" w:rsidRDefault="001976D6" w:rsidP="00CA0172">
      <w:pPr>
        <w:pStyle w:val="Headingb"/>
        <w:rPr>
          <w:lang w:val="fr-CH"/>
        </w:rPr>
      </w:pPr>
      <w:r w:rsidRPr="001976D6">
        <w:rPr>
          <w:lang w:val="fr-CH"/>
        </w:rPr>
        <w:lastRenderedPageBreak/>
        <w:t xml:space="preserve">Conformité et gestion des risques de fraude </w:t>
      </w:r>
    </w:p>
    <w:p w:rsidR="00083A9D" w:rsidRPr="00061512" w:rsidRDefault="009F4624" w:rsidP="00CA0172">
      <w:pPr>
        <w:rPr>
          <w:lang w:val="fr-CH"/>
        </w:rPr>
      </w:pPr>
      <w:r w:rsidRPr="001976D6">
        <w:rPr>
          <w:lang w:val="fr-CH"/>
        </w:rPr>
        <w:t>3.25</w:t>
      </w:r>
      <w:r w:rsidRPr="001976D6">
        <w:rPr>
          <w:lang w:val="fr-CH"/>
        </w:rPr>
        <w:tab/>
      </w:r>
      <w:r w:rsidR="001976D6" w:rsidRPr="001976D6">
        <w:rPr>
          <w:lang w:val="fr-CH"/>
        </w:rPr>
        <w:t>Depuis le dernier rapport annuel du</w:t>
      </w:r>
      <w:r w:rsidR="00796393">
        <w:rPr>
          <w:lang w:val="fr-CH"/>
        </w:rPr>
        <w:t xml:space="preserve"> </w:t>
      </w:r>
      <w:r w:rsidR="004B3438" w:rsidRPr="001976D6">
        <w:rPr>
          <w:lang w:val="fr-CH"/>
        </w:rPr>
        <w:t>CCIG</w:t>
      </w:r>
      <w:r w:rsidR="001976D6" w:rsidRPr="001976D6">
        <w:rPr>
          <w:lang w:val="fr-CH"/>
        </w:rPr>
        <w:t xml:space="preserve">, </w:t>
      </w:r>
      <w:r w:rsidR="00B113B4">
        <w:rPr>
          <w:lang w:val="fr-CH"/>
        </w:rPr>
        <w:t xml:space="preserve">et </w:t>
      </w:r>
      <w:r w:rsidR="00362990">
        <w:rPr>
          <w:lang w:val="fr-CH"/>
        </w:rPr>
        <w:t>à la lumière</w:t>
      </w:r>
      <w:r w:rsidR="001976D6" w:rsidRPr="001976D6">
        <w:rPr>
          <w:lang w:val="fr-CH"/>
        </w:rPr>
        <w:t xml:space="preserve"> des conclusions générales</w:t>
      </w:r>
      <w:r w:rsidR="001976D6">
        <w:rPr>
          <w:lang w:val="fr-CH"/>
        </w:rPr>
        <w:t xml:space="preserve"> figurant</w:t>
      </w:r>
      <w:r w:rsidR="001976D6" w:rsidRPr="001976D6">
        <w:rPr>
          <w:lang w:val="fr-CH"/>
        </w:rPr>
        <w:t xml:space="preserve"> </w:t>
      </w:r>
      <w:r w:rsidR="001976D6">
        <w:rPr>
          <w:lang w:val="fr-CH"/>
        </w:rPr>
        <w:t>dans les rapports</w:t>
      </w:r>
      <w:r w:rsidR="001976D6" w:rsidRPr="001976D6">
        <w:rPr>
          <w:lang w:val="fr-CH"/>
        </w:rPr>
        <w:t xml:space="preserve"> </w:t>
      </w:r>
      <w:r w:rsidR="001976D6">
        <w:rPr>
          <w:color w:val="000000"/>
        </w:rPr>
        <w:t>d</w:t>
      </w:r>
      <w:r w:rsidR="003D2B40">
        <w:rPr>
          <w:color w:val="000000"/>
        </w:rPr>
        <w:t>'</w:t>
      </w:r>
      <w:r w:rsidR="001976D6">
        <w:rPr>
          <w:color w:val="000000"/>
        </w:rPr>
        <w:t>audit interne</w:t>
      </w:r>
      <w:r w:rsidR="00796393">
        <w:rPr>
          <w:color w:val="000000"/>
        </w:rPr>
        <w:t xml:space="preserve"> </w:t>
      </w:r>
      <w:r w:rsidR="001976D6" w:rsidRPr="001976D6">
        <w:rPr>
          <w:lang w:val="fr-CH"/>
        </w:rPr>
        <w:t>ainsi que des préoccupations</w:t>
      </w:r>
      <w:r w:rsidR="001976D6">
        <w:rPr>
          <w:lang w:val="fr-CH"/>
        </w:rPr>
        <w:t xml:space="preserve"> qui y sont soulevées, le</w:t>
      </w:r>
      <w:r w:rsidR="00083A9D" w:rsidRPr="001976D6">
        <w:rPr>
          <w:lang w:val="fr-CH"/>
        </w:rPr>
        <w:t xml:space="preserve"> </w:t>
      </w:r>
      <w:r w:rsidR="004B3438" w:rsidRPr="001976D6">
        <w:rPr>
          <w:lang w:val="fr-CH"/>
        </w:rPr>
        <w:t>CCIG</w:t>
      </w:r>
      <w:r w:rsidR="00796393">
        <w:rPr>
          <w:lang w:val="fr-CH"/>
        </w:rPr>
        <w:t xml:space="preserve"> </w:t>
      </w:r>
      <w:r w:rsidR="001976D6">
        <w:rPr>
          <w:lang w:val="fr-CH"/>
        </w:rPr>
        <w:t>a commencé à instaurer un dialogue avec la direction sur</w:t>
      </w:r>
      <w:r w:rsidR="00796393">
        <w:rPr>
          <w:lang w:val="fr-CH"/>
        </w:rPr>
        <w:t xml:space="preserve"> </w:t>
      </w:r>
      <w:r w:rsidR="001976D6">
        <w:rPr>
          <w:color w:val="000000"/>
        </w:rPr>
        <w:t>les modalités générales des contrôles au sein de l</w:t>
      </w:r>
      <w:r w:rsidR="003D2B40">
        <w:rPr>
          <w:color w:val="000000"/>
        </w:rPr>
        <w:t>'</w:t>
      </w:r>
      <w:r w:rsidR="001976D6">
        <w:rPr>
          <w:color w:val="000000"/>
        </w:rPr>
        <w:t>UIT,</w:t>
      </w:r>
      <w:r w:rsidR="001976D6">
        <w:rPr>
          <w:lang w:val="fr-CH"/>
        </w:rPr>
        <w:t xml:space="preserve"> notamment sous l</w:t>
      </w:r>
      <w:r w:rsidR="003D2B40">
        <w:rPr>
          <w:lang w:val="fr-CH"/>
        </w:rPr>
        <w:t>'</w:t>
      </w:r>
      <w:r w:rsidR="001976D6">
        <w:rPr>
          <w:lang w:val="fr-CH"/>
        </w:rPr>
        <w:t>angle de la conformité et de la gestion des risques de fraude.</w:t>
      </w:r>
      <w:r w:rsidR="00061512">
        <w:rPr>
          <w:lang w:val="fr-CH"/>
        </w:rPr>
        <w:t xml:space="preserve"> Ce dialogue vise à aborder diverses questions d</w:t>
      </w:r>
      <w:r w:rsidR="003D2B40">
        <w:rPr>
          <w:lang w:val="fr-CH"/>
        </w:rPr>
        <w:t>'</w:t>
      </w:r>
      <w:r w:rsidR="00061512">
        <w:rPr>
          <w:lang w:val="fr-CH"/>
        </w:rPr>
        <w:t xml:space="preserve">ordre opérationnel, notamment </w:t>
      </w:r>
      <w:r w:rsidR="00362990">
        <w:rPr>
          <w:lang w:val="fr-CH"/>
        </w:rPr>
        <w:t xml:space="preserve">en ce qui concerne </w:t>
      </w:r>
      <w:r w:rsidR="00061512">
        <w:rPr>
          <w:lang w:val="fr-CH"/>
        </w:rPr>
        <w:t>l</w:t>
      </w:r>
      <w:r w:rsidR="003D2B40">
        <w:rPr>
          <w:lang w:val="fr-CH"/>
        </w:rPr>
        <w:t>'</w:t>
      </w:r>
      <w:r w:rsidR="00061512">
        <w:rPr>
          <w:lang w:val="fr-CH"/>
        </w:rPr>
        <w:t>audit interne, la gestion financière, les questions juridiques, la passation de marchés et les ressources humaines</w:t>
      </w:r>
      <w:r w:rsidR="00362990">
        <w:rPr>
          <w:lang w:val="fr-CH"/>
        </w:rPr>
        <w:t>.</w:t>
      </w:r>
      <w:r w:rsidR="00796393">
        <w:rPr>
          <w:lang w:val="fr-CH"/>
        </w:rPr>
        <w:t xml:space="preserve"> </w:t>
      </w:r>
    </w:p>
    <w:p w:rsidR="00083A9D" w:rsidRPr="00061512" w:rsidRDefault="009F4624" w:rsidP="00362990">
      <w:pPr>
        <w:rPr>
          <w:lang w:val="fr-CH"/>
        </w:rPr>
      </w:pPr>
      <w:r w:rsidRPr="000B0BEF">
        <w:t>3.26</w:t>
      </w:r>
      <w:r w:rsidRPr="000B0BEF">
        <w:tab/>
      </w:r>
      <w:r w:rsidR="00061512" w:rsidRPr="00061512">
        <w:rPr>
          <w:lang w:val="fr-CH"/>
        </w:rPr>
        <w:t>Cette question</w:t>
      </w:r>
      <w:r w:rsidR="00061512">
        <w:rPr>
          <w:lang w:val="fr-CH"/>
        </w:rPr>
        <w:t xml:space="preserve"> revêt</w:t>
      </w:r>
      <w:r w:rsidR="00061512" w:rsidRPr="00061512">
        <w:rPr>
          <w:lang w:val="fr-CH"/>
        </w:rPr>
        <w:t xml:space="preserve"> une importance particulière</w:t>
      </w:r>
      <w:r w:rsidR="00796393">
        <w:rPr>
          <w:lang w:val="fr-CH"/>
        </w:rPr>
        <w:t xml:space="preserve"> </w:t>
      </w:r>
      <w:r w:rsidR="00061512">
        <w:rPr>
          <w:lang w:val="fr-CH"/>
        </w:rPr>
        <w:t xml:space="preserve">dans le cadre </w:t>
      </w:r>
      <w:r w:rsidR="00061512" w:rsidRPr="00061512">
        <w:rPr>
          <w:lang w:val="fr-CH"/>
        </w:rPr>
        <w:t>des risques de fraude, puisque l</w:t>
      </w:r>
      <w:r w:rsidR="003D2B40">
        <w:rPr>
          <w:lang w:val="fr-CH"/>
        </w:rPr>
        <w:t>'</w:t>
      </w:r>
      <w:r w:rsidR="00061512" w:rsidRPr="00061512">
        <w:rPr>
          <w:lang w:val="fr-CH"/>
        </w:rPr>
        <w:t>organisation ne dispose actuellement d</w:t>
      </w:r>
      <w:r w:rsidR="003D2B40">
        <w:rPr>
          <w:lang w:val="fr-CH"/>
        </w:rPr>
        <w:t>'</w:t>
      </w:r>
      <w:r w:rsidR="00061512" w:rsidRPr="00061512">
        <w:rPr>
          <w:lang w:val="fr-CH"/>
        </w:rPr>
        <w:t>aucune politique en matière de fraude, notamment en matière de subordination et de corruption</w:t>
      </w:r>
      <w:r w:rsidR="00061512">
        <w:rPr>
          <w:lang w:val="fr-CH"/>
        </w:rPr>
        <w:t>; de plus,</w:t>
      </w:r>
      <w:r w:rsidR="00362990">
        <w:rPr>
          <w:lang w:val="fr-CH"/>
        </w:rPr>
        <w:t xml:space="preserve"> il serait utile que</w:t>
      </w:r>
      <w:r w:rsidR="00796393">
        <w:rPr>
          <w:lang w:val="fr-CH"/>
        </w:rPr>
        <w:t xml:space="preserve"> </w:t>
      </w:r>
      <w:r w:rsidR="00BD0636">
        <w:rPr>
          <w:lang w:val="fr-CH"/>
        </w:rPr>
        <w:t>de nombreux aspect</w:t>
      </w:r>
      <w:r w:rsidR="00362990">
        <w:rPr>
          <w:lang w:val="fr-CH"/>
        </w:rPr>
        <w:t>s</w:t>
      </w:r>
      <w:r w:rsidR="00BD0636">
        <w:rPr>
          <w:lang w:val="fr-CH"/>
        </w:rPr>
        <w:t xml:space="preserve"> de la conformité et de la gestion des risques </w:t>
      </w:r>
      <w:r w:rsidR="00362990">
        <w:rPr>
          <w:lang w:val="fr-CH"/>
        </w:rPr>
        <w:t>fassent l</w:t>
      </w:r>
      <w:r w:rsidR="003D2B40">
        <w:rPr>
          <w:lang w:val="fr-CH"/>
        </w:rPr>
        <w:t>'</w:t>
      </w:r>
      <w:r w:rsidR="00362990">
        <w:rPr>
          <w:lang w:val="fr-CH"/>
        </w:rPr>
        <w:t>objet</w:t>
      </w:r>
      <w:r w:rsidR="00BD0636">
        <w:rPr>
          <w:lang w:val="fr-CH"/>
        </w:rPr>
        <w:t xml:space="preserve"> de modalités améliorées</w:t>
      </w:r>
      <w:r w:rsidR="00362990">
        <w:rPr>
          <w:lang w:val="fr-CH"/>
        </w:rPr>
        <w:t>.</w:t>
      </w:r>
    </w:p>
    <w:p w:rsidR="00083A9D" w:rsidRPr="00BD0636" w:rsidRDefault="009F4624" w:rsidP="00362990">
      <w:r w:rsidRPr="00BD0636">
        <w:rPr>
          <w:lang w:val="fr-CH"/>
        </w:rPr>
        <w:t>3.27</w:t>
      </w:r>
      <w:r w:rsidRPr="00BD0636">
        <w:rPr>
          <w:lang w:val="fr-CH"/>
        </w:rPr>
        <w:tab/>
      </w:r>
      <w:r w:rsidR="00BD0636" w:rsidRPr="00BD0636">
        <w:rPr>
          <w:lang w:val="fr-CH"/>
        </w:rPr>
        <w:t>L</w:t>
      </w:r>
      <w:r w:rsidR="003D2B40">
        <w:rPr>
          <w:lang w:val="fr-CH"/>
        </w:rPr>
        <w:t>'</w:t>
      </w:r>
      <w:r w:rsidR="002E1C88" w:rsidRPr="00BD0636">
        <w:rPr>
          <w:lang w:val="fr-CH"/>
        </w:rPr>
        <w:t>U</w:t>
      </w:r>
      <w:r w:rsidR="00BD0636" w:rsidRPr="00BD0636">
        <w:rPr>
          <w:lang w:val="fr-CH"/>
        </w:rPr>
        <w:t>nité de l</w:t>
      </w:r>
      <w:r w:rsidR="003D2B40">
        <w:rPr>
          <w:lang w:val="fr-CH"/>
        </w:rPr>
        <w:t>'</w:t>
      </w:r>
      <w:r w:rsidR="00BD0636" w:rsidRPr="00BD0636">
        <w:rPr>
          <w:lang w:val="fr-CH"/>
        </w:rPr>
        <w:t>audit interne a fait procéder à une évaluation des risques de fraude</w:t>
      </w:r>
      <w:r w:rsidR="00BD0636">
        <w:rPr>
          <w:lang w:val="fr-CH"/>
        </w:rPr>
        <w:t xml:space="preserve"> pour l</w:t>
      </w:r>
      <w:r w:rsidR="003D2B40">
        <w:rPr>
          <w:lang w:val="fr-CH"/>
        </w:rPr>
        <w:t>'</w:t>
      </w:r>
      <w:r w:rsidR="00BD0636">
        <w:rPr>
          <w:lang w:val="fr-CH"/>
        </w:rPr>
        <w:t>UIT,</w:t>
      </w:r>
      <w:r w:rsidR="00BD0636" w:rsidRPr="00BD0636">
        <w:rPr>
          <w:lang w:val="fr-CH"/>
        </w:rPr>
        <w:t xml:space="preserve"> </w:t>
      </w:r>
      <w:r w:rsidR="00BD0636">
        <w:rPr>
          <w:lang w:val="fr-CH"/>
        </w:rPr>
        <w:t>conformément aux recommandations formulées par le</w:t>
      </w:r>
      <w:r w:rsidR="00796393">
        <w:rPr>
          <w:lang w:val="fr-CH"/>
        </w:rPr>
        <w:t xml:space="preserve"> </w:t>
      </w:r>
      <w:r w:rsidR="00BD0636">
        <w:rPr>
          <w:color w:val="000000"/>
        </w:rPr>
        <w:t>Corps commun d</w:t>
      </w:r>
      <w:r w:rsidR="003D2B40">
        <w:rPr>
          <w:color w:val="000000"/>
        </w:rPr>
        <w:t>'</w:t>
      </w:r>
      <w:r w:rsidR="00BD0636">
        <w:rPr>
          <w:color w:val="000000"/>
        </w:rPr>
        <w:t xml:space="preserve">inspection des Nations Unies. </w:t>
      </w:r>
      <w:r w:rsidR="00BD0636" w:rsidRPr="00BD0636">
        <w:rPr>
          <w:color w:val="000000"/>
        </w:rPr>
        <w:t xml:space="preserve">Le </w:t>
      </w:r>
      <w:r w:rsidR="004B3438" w:rsidRPr="00BD0636">
        <w:t>CCIG</w:t>
      </w:r>
      <w:r w:rsidR="00796393">
        <w:t xml:space="preserve"> </w:t>
      </w:r>
      <w:r w:rsidR="00BD0636" w:rsidRPr="00BD0636">
        <w:t xml:space="preserve">se félicite </w:t>
      </w:r>
      <w:r w:rsidR="00362990">
        <w:t>de constater</w:t>
      </w:r>
      <w:r w:rsidR="00796393">
        <w:t xml:space="preserve"> </w:t>
      </w:r>
      <w:r w:rsidR="00BD0636" w:rsidRPr="00BD0636">
        <w:t>qu</w:t>
      </w:r>
      <w:r w:rsidR="003D2B40">
        <w:t>'</w:t>
      </w:r>
      <w:r w:rsidR="00BD0636" w:rsidRPr="00BD0636">
        <w:t xml:space="preserve">une évaluation </w:t>
      </w:r>
      <w:r w:rsidR="00362990">
        <w:t xml:space="preserve">en bonne et due forme a </w:t>
      </w:r>
      <w:r w:rsidR="00BD0636" w:rsidRPr="00BD0636">
        <w:t>été effectuée pour traiter cette question</w:t>
      </w:r>
      <w:r w:rsidR="00362990">
        <w:t>.</w:t>
      </w:r>
    </w:p>
    <w:p w:rsidR="00083A9D" w:rsidRPr="00AA1093" w:rsidRDefault="009F4624" w:rsidP="00673C75">
      <w:pPr>
        <w:rPr>
          <w:lang w:val="fr-CH"/>
        </w:rPr>
      </w:pPr>
      <w:r w:rsidRPr="00AA1093">
        <w:t>3.28</w:t>
      </w:r>
      <w:r w:rsidRPr="00AA1093">
        <w:tab/>
      </w:r>
      <w:r w:rsidR="00BD0636" w:rsidRPr="00AA1093">
        <w:t xml:space="preserve">Le </w:t>
      </w:r>
      <w:r w:rsidR="004B3438" w:rsidRPr="00AA1093">
        <w:t>CCIG</w:t>
      </w:r>
      <w:r w:rsidR="00796393">
        <w:t xml:space="preserve"> </w:t>
      </w:r>
      <w:r w:rsidR="00BD0636" w:rsidRPr="00AA1093">
        <w:t>a examiné le</w:t>
      </w:r>
      <w:r w:rsidR="00083A9D" w:rsidRPr="00AA1093">
        <w:t xml:space="preserve"> </w:t>
      </w:r>
      <w:r w:rsidR="00BD0636" w:rsidRPr="00AA1093">
        <w:rPr>
          <w:color w:val="000000"/>
        </w:rPr>
        <w:t>rapport sur l</w:t>
      </w:r>
      <w:r w:rsidR="003D2B40">
        <w:rPr>
          <w:color w:val="000000"/>
        </w:rPr>
        <w:t>'</w:t>
      </w:r>
      <w:r w:rsidR="00BD0636" w:rsidRPr="00AA1093">
        <w:rPr>
          <w:color w:val="000000"/>
        </w:rPr>
        <w:t xml:space="preserve">évaluation des risques de fraude, qui </w:t>
      </w:r>
      <w:r w:rsidR="00AA1093" w:rsidRPr="00AA1093">
        <w:rPr>
          <w:color w:val="000000"/>
        </w:rPr>
        <w:t>met en évidence les domaines dans lesquels UIT</w:t>
      </w:r>
      <w:r w:rsidR="00796393">
        <w:rPr>
          <w:color w:val="000000"/>
        </w:rPr>
        <w:t xml:space="preserve"> </w:t>
      </w:r>
      <w:r w:rsidR="00AA1093" w:rsidRPr="00AA1093">
        <w:rPr>
          <w:color w:val="000000"/>
        </w:rPr>
        <w:t>est considérée comme étant exposée</w:t>
      </w:r>
      <w:r w:rsidR="00AA1093">
        <w:rPr>
          <w:color w:val="000000"/>
        </w:rPr>
        <w:t xml:space="preserve"> à un risque de fraude, ou qui pourrai</w:t>
      </w:r>
      <w:r w:rsidR="00673C75">
        <w:rPr>
          <w:color w:val="000000"/>
        </w:rPr>
        <w:t>en</w:t>
      </w:r>
      <w:r w:rsidR="00AA1093">
        <w:rPr>
          <w:color w:val="000000"/>
        </w:rPr>
        <w:t>t contribuer à</w:t>
      </w:r>
      <w:r w:rsidR="00673C75">
        <w:rPr>
          <w:color w:val="000000"/>
        </w:rPr>
        <w:t xml:space="preserve"> accroître la probabilité qu</w:t>
      </w:r>
      <w:r w:rsidR="003D2B40">
        <w:rPr>
          <w:color w:val="000000"/>
        </w:rPr>
        <w:t>'</w:t>
      </w:r>
      <w:r w:rsidR="00AA1093">
        <w:rPr>
          <w:color w:val="000000"/>
        </w:rPr>
        <w:t>une fraude</w:t>
      </w:r>
      <w:r w:rsidR="00673C75">
        <w:rPr>
          <w:color w:val="000000"/>
        </w:rPr>
        <w:t xml:space="preserve"> est commise</w:t>
      </w:r>
      <w:r w:rsidR="00AA1093">
        <w:rPr>
          <w:color w:val="000000"/>
          <w:lang w:val="fr-CH"/>
        </w:rPr>
        <w:t>. Cette évaluation repose sur des cadres réglementaires,</w:t>
      </w:r>
      <w:r w:rsidR="00796393">
        <w:rPr>
          <w:color w:val="000000"/>
          <w:lang w:val="fr-CH"/>
        </w:rPr>
        <w:t xml:space="preserve"> </w:t>
      </w:r>
      <w:r w:rsidR="00AA1093">
        <w:rPr>
          <w:color w:val="000000"/>
          <w:lang w:val="fr-CH"/>
        </w:rPr>
        <w:t>dans lesquels des transactions, des processus, des lignes directrices et des procédures permettraient de signaler</w:t>
      </w:r>
      <w:r w:rsidR="00673C75">
        <w:rPr>
          <w:color w:val="000000"/>
          <w:lang w:val="fr-CH"/>
        </w:rPr>
        <w:t xml:space="preserve"> et</w:t>
      </w:r>
      <w:r w:rsidR="00AA1093">
        <w:rPr>
          <w:color w:val="000000"/>
          <w:lang w:val="fr-CH"/>
        </w:rPr>
        <w:t xml:space="preserve"> de détecter</w:t>
      </w:r>
      <w:r w:rsidR="00673C75">
        <w:rPr>
          <w:color w:val="000000"/>
          <w:lang w:val="fr-CH"/>
        </w:rPr>
        <w:t xml:space="preserve"> les fraudes</w:t>
      </w:r>
      <w:r w:rsidR="00796393">
        <w:rPr>
          <w:color w:val="000000"/>
          <w:lang w:val="fr-CH"/>
        </w:rPr>
        <w:t xml:space="preserve"> </w:t>
      </w:r>
      <w:r w:rsidR="00AA1093">
        <w:rPr>
          <w:color w:val="000000"/>
          <w:lang w:val="fr-CH"/>
        </w:rPr>
        <w:t xml:space="preserve">ou </w:t>
      </w:r>
      <w:r w:rsidR="00673C75">
        <w:rPr>
          <w:color w:val="000000"/>
          <w:lang w:val="fr-CH"/>
        </w:rPr>
        <w:t>de dissuader d</w:t>
      </w:r>
      <w:r w:rsidR="003D2B40">
        <w:rPr>
          <w:color w:val="000000"/>
          <w:lang w:val="fr-CH"/>
        </w:rPr>
        <w:t>'</w:t>
      </w:r>
      <w:r w:rsidR="00673C75">
        <w:rPr>
          <w:color w:val="000000"/>
          <w:lang w:val="fr-CH"/>
        </w:rPr>
        <w:t>en commettre</w:t>
      </w:r>
      <w:r w:rsidR="00AA1093">
        <w:rPr>
          <w:color w:val="000000"/>
          <w:lang w:val="fr-CH"/>
        </w:rPr>
        <w:t>, ainsi que sur des entretiens visant à déterminer la manière dont le personnel de l</w:t>
      </w:r>
      <w:r w:rsidR="003D2B40">
        <w:rPr>
          <w:color w:val="000000"/>
          <w:lang w:val="fr-CH"/>
        </w:rPr>
        <w:t>'</w:t>
      </w:r>
      <w:r w:rsidR="00AA1093">
        <w:rPr>
          <w:color w:val="000000"/>
          <w:lang w:val="fr-CH"/>
        </w:rPr>
        <w:t>UIT occupant des postes clés perçoit la vulnérabilité</w:t>
      </w:r>
      <w:r w:rsidR="00796393">
        <w:rPr>
          <w:color w:val="000000"/>
          <w:lang w:val="fr-CH"/>
        </w:rPr>
        <w:t xml:space="preserve"> </w:t>
      </w:r>
      <w:r w:rsidR="00AA1093">
        <w:rPr>
          <w:color w:val="000000"/>
          <w:lang w:val="fr-CH"/>
        </w:rPr>
        <w:t>de l</w:t>
      </w:r>
      <w:r w:rsidR="003D2B40">
        <w:rPr>
          <w:color w:val="000000"/>
          <w:lang w:val="fr-CH"/>
        </w:rPr>
        <w:t>'</w:t>
      </w:r>
      <w:r w:rsidR="00AA1093">
        <w:rPr>
          <w:color w:val="000000"/>
          <w:lang w:val="fr-CH"/>
        </w:rPr>
        <w:t>organisation</w:t>
      </w:r>
      <w:r w:rsidR="00673C75">
        <w:rPr>
          <w:color w:val="000000"/>
          <w:lang w:val="fr-CH"/>
        </w:rPr>
        <w:t>.</w:t>
      </w:r>
      <w:r w:rsidR="00796393">
        <w:rPr>
          <w:color w:val="000000"/>
          <w:lang w:val="fr-CH"/>
        </w:rPr>
        <w:t xml:space="preserve"> </w:t>
      </w:r>
    </w:p>
    <w:p w:rsidR="00083A9D" w:rsidRPr="00CA0172" w:rsidRDefault="009F4624" w:rsidP="003E6DAA">
      <w:pPr>
        <w:spacing w:after="120"/>
        <w:rPr>
          <w:spacing w:val="-2"/>
          <w:lang w:val="fr-CH"/>
        </w:rPr>
      </w:pPr>
      <w:r w:rsidRPr="00AA1093">
        <w:rPr>
          <w:lang w:val="fr-CH"/>
        </w:rPr>
        <w:t>3.29</w:t>
      </w:r>
      <w:r w:rsidRPr="00AA1093">
        <w:rPr>
          <w:lang w:val="fr-CH"/>
        </w:rPr>
        <w:tab/>
      </w:r>
      <w:r w:rsidR="00AA1093" w:rsidRPr="00AA1093">
        <w:rPr>
          <w:lang w:val="fr-CH"/>
        </w:rPr>
        <w:t xml:space="preserve">Le </w:t>
      </w:r>
      <w:r w:rsidR="004B3438" w:rsidRPr="00AA1093">
        <w:rPr>
          <w:lang w:val="fr-CH"/>
        </w:rPr>
        <w:t>CCIG</w:t>
      </w:r>
      <w:r w:rsidR="00796393">
        <w:rPr>
          <w:lang w:val="fr-CH"/>
        </w:rPr>
        <w:t xml:space="preserve"> </w:t>
      </w:r>
      <w:r w:rsidR="00AA1093" w:rsidRPr="00AA1093">
        <w:rPr>
          <w:lang w:val="fr-CH"/>
        </w:rPr>
        <w:t>est d</w:t>
      </w:r>
      <w:r w:rsidR="003D2B40">
        <w:rPr>
          <w:lang w:val="fr-CH"/>
        </w:rPr>
        <w:t>'</w:t>
      </w:r>
      <w:r w:rsidR="00AA1093" w:rsidRPr="00AA1093">
        <w:rPr>
          <w:lang w:val="fr-CH"/>
        </w:rPr>
        <w:t xml:space="preserve">avis que ce rapport </w:t>
      </w:r>
      <w:r w:rsidR="00673C75">
        <w:rPr>
          <w:lang w:val="fr-CH"/>
        </w:rPr>
        <w:t>renferme</w:t>
      </w:r>
      <w:r w:rsidR="00AA1093" w:rsidRPr="00AA1093">
        <w:rPr>
          <w:lang w:val="fr-CH"/>
        </w:rPr>
        <w:t xml:space="preserve"> des recommandations utiles</w:t>
      </w:r>
      <w:r w:rsidR="00673C75">
        <w:rPr>
          <w:lang w:val="fr-CH"/>
        </w:rPr>
        <w:t>:</w:t>
      </w:r>
      <w:r w:rsidR="00AA1093" w:rsidRPr="00AA1093">
        <w:rPr>
          <w:lang w:val="fr-CH"/>
        </w:rPr>
        <w:t xml:space="preserve"> </w:t>
      </w:r>
      <w:r w:rsidR="00673C75">
        <w:rPr>
          <w:lang w:val="fr-CH"/>
        </w:rPr>
        <w:t>l</w:t>
      </w:r>
      <w:r w:rsidR="00AA1093" w:rsidRPr="002B36B0">
        <w:rPr>
          <w:lang w:val="fr-CH"/>
        </w:rPr>
        <w:t>e comité souhaite encourager le secrétariat</w:t>
      </w:r>
      <w:r w:rsidR="00673C75">
        <w:rPr>
          <w:lang w:val="fr-CH"/>
        </w:rPr>
        <w:t xml:space="preserve"> à</w:t>
      </w:r>
      <w:r w:rsidR="00590637" w:rsidRPr="002B36B0">
        <w:rPr>
          <w:lang w:val="fr-CH"/>
        </w:rPr>
        <w:t xml:space="preserve"> agir</w:t>
      </w:r>
      <w:r w:rsidR="002B36B0" w:rsidRPr="002B36B0">
        <w:rPr>
          <w:lang w:val="fr-CH"/>
        </w:rPr>
        <w:t xml:space="preserve"> à titre prioritaire, mais sans compromettre les</w:t>
      </w:r>
      <w:r w:rsidR="00796393">
        <w:rPr>
          <w:lang w:val="fr-CH"/>
        </w:rPr>
        <w:t xml:space="preserve"> </w:t>
      </w:r>
      <w:r w:rsidR="002B36B0">
        <w:rPr>
          <w:lang w:val="fr-CH"/>
        </w:rPr>
        <w:t>diverses</w:t>
      </w:r>
      <w:r w:rsidR="002B36B0" w:rsidRPr="002B36B0">
        <w:rPr>
          <w:lang w:val="fr-CH"/>
        </w:rPr>
        <w:t xml:space="preserve"> fonctions qui </w:t>
      </w:r>
      <w:r w:rsidR="00673C75">
        <w:rPr>
          <w:lang w:val="fr-CH"/>
        </w:rPr>
        <w:t>interviendront dans</w:t>
      </w:r>
      <w:r w:rsidR="002B36B0" w:rsidRPr="002B36B0">
        <w:rPr>
          <w:lang w:val="fr-CH"/>
        </w:rPr>
        <w:t xml:space="preserve"> la mise en œuvre des recommandations</w:t>
      </w:r>
      <w:r w:rsidR="002B36B0">
        <w:rPr>
          <w:lang w:val="fr-CH"/>
        </w:rPr>
        <w:t>. S</w:t>
      </w:r>
      <w:r w:rsidR="003D2B40">
        <w:rPr>
          <w:lang w:val="fr-CH"/>
        </w:rPr>
        <w:t>'</w:t>
      </w:r>
      <w:r w:rsidR="002B36B0">
        <w:rPr>
          <w:lang w:val="fr-CH"/>
        </w:rPr>
        <w:t>agissant des différentes compétences et du professionnalisme nécessaire</w:t>
      </w:r>
      <w:r w:rsidR="00673C75">
        <w:rPr>
          <w:lang w:val="fr-CH"/>
        </w:rPr>
        <w:t>s</w:t>
      </w:r>
      <w:r w:rsidR="002B36B0">
        <w:rPr>
          <w:lang w:val="fr-CH"/>
        </w:rPr>
        <w:t xml:space="preserve"> pour promouvoir l</w:t>
      </w:r>
      <w:r w:rsidR="003D2B40">
        <w:rPr>
          <w:lang w:val="fr-CH"/>
        </w:rPr>
        <w:t>'</w:t>
      </w:r>
      <w:r w:rsidR="002B36B0">
        <w:rPr>
          <w:lang w:val="fr-CH"/>
        </w:rPr>
        <w:t>adoption de</w:t>
      </w:r>
      <w:r w:rsidR="00673C75">
        <w:rPr>
          <w:lang w:val="fr-CH"/>
        </w:rPr>
        <w:t>s</w:t>
      </w:r>
      <w:r w:rsidR="002B36B0">
        <w:rPr>
          <w:lang w:val="fr-CH"/>
        </w:rPr>
        <w:t xml:space="preserve"> modalités améliorées, il sera nécessaire d</w:t>
      </w:r>
      <w:r w:rsidR="003D2B40">
        <w:rPr>
          <w:lang w:val="fr-CH"/>
        </w:rPr>
        <w:t>'</w:t>
      </w:r>
      <w:r w:rsidR="002B36B0">
        <w:rPr>
          <w:lang w:val="fr-CH"/>
        </w:rPr>
        <w:t>établir une distinction entre les</w:t>
      </w:r>
      <w:r w:rsidR="00083A9D" w:rsidRPr="002B36B0">
        <w:rPr>
          <w:lang w:val="fr-CH"/>
        </w:rPr>
        <w:t xml:space="preserve"> </w:t>
      </w:r>
      <w:r w:rsidR="002B36B0">
        <w:rPr>
          <w:lang w:val="fr-CH"/>
        </w:rPr>
        <w:t>qualifications et les compétences professionnelles adaptées aux différentes fonctions</w:t>
      </w:r>
      <w:r w:rsidR="00796393">
        <w:rPr>
          <w:lang w:val="fr-CH"/>
        </w:rPr>
        <w:t xml:space="preserve"> </w:t>
      </w:r>
      <w:r w:rsidR="00083A9D" w:rsidRPr="002B36B0">
        <w:rPr>
          <w:lang w:val="fr-CH"/>
        </w:rPr>
        <w:t>(</w:t>
      </w:r>
      <w:r w:rsidR="002B36B0">
        <w:rPr>
          <w:lang w:val="fr-CH"/>
        </w:rPr>
        <w:t xml:space="preserve">par exemple entre les rôles des supérieurs </w:t>
      </w:r>
      <w:r w:rsidR="002B36B0" w:rsidRPr="00CA0172">
        <w:rPr>
          <w:spacing w:val="-2"/>
          <w:lang w:val="fr-CH"/>
        </w:rPr>
        <w:t>hiérarchiques, de l</w:t>
      </w:r>
      <w:r w:rsidR="003D2B40" w:rsidRPr="00CA0172">
        <w:rPr>
          <w:spacing w:val="-2"/>
          <w:lang w:val="fr-CH"/>
        </w:rPr>
        <w:t>'</w:t>
      </w:r>
      <w:r w:rsidR="00673C75" w:rsidRPr="00CA0172">
        <w:rPr>
          <w:spacing w:val="-2"/>
          <w:lang w:val="fr-CH"/>
        </w:rPr>
        <w:t>Unité de l</w:t>
      </w:r>
      <w:r w:rsidR="003D2B40" w:rsidRPr="00CA0172">
        <w:rPr>
          <w:spacing w:val="-2"/>
          <w:lang w:val="fr-CH"/>
        </w:rPr>
        <w:t>'</w:t>
      </w:r>
      <w:r w:rsidR="00673C75" w:rsidRPr="00CA0172">
        <w:rPr>
          <w:spacing w:val="-2"/>
          <w:lang w:val="fr-CH"/>
        </w:rPr>
        <w:t>audit interne et du B</w:t>
      </w:r>
      <w:r w:rsidR="002B36B0" w:rsidRPr="00CA0172">
        <w:rPr>
          <w:spacing w:val="-2"/>
          <w:lang w:val="fr-CH"/>
        </w:rPr>
        <w:t>ureau de l</w:t>
      </w:r>
      <w:r w:rsidR="003D2B40" w:rsidRPr="00CA0172">
        <w:rPr>
          <w:spacing w:val="-2"/>
          <w:lang w:val="fr-CH"/>
        </w:rPr>
        <w:t>'</w:t>
      </w:r>
      <w:r w:rsidR="002B36B0" w:rsidRPr="00CA0172">
        <w:rPr>
          <w:spacing w:val="-2"/>
          <w:lang w:val="fr-CH"/>
        </w:rPr>
        <w:t>éthique</w:t>
      </w:r>
      <w:r w:rsidR="00083A9D" w:rsidRPr="00CA0172">
        <w:rPr>
          <w:spacing w:val="-2"/>
          <w:lang w:val="fr-CH"/>
        </w:rPr>
        <w:t>).</w:t>
      </w:r>
      <w:r w:rsidR="002B36B0" w:rsidRPr="00CA0172">
        <w:rPr>
          <w:spacing w:val="-2"/>
          <w:lang w:val="fr-CH"/>
        </w:rPr>
        <w:t xml:space="preserve"> Il est important que les modalités et solutions </w:t>
      </w:r>
      <w:r w:rsidR="00673C75" w:rsidRPr="00CA0172">
        <w:rPr>
          <w:spacing w:val="-2"/>
          <w:lang w:val="fr-CH"/>
        </w:rPr>
        <w:t>définies</w:t>
      </w:r>
      <w:r w:rsidR="002B36B0" w:rsidRPr="00CA0172">
        <w:rPr>
          <w:spacing w:val="-2"/>
          <w:lang w:val="fr-CH"/>
        </w:rPr>
        <w:t xml:space="preserve"> soient adaptées à la taille et aux besoins de l</w:t>
      </w:r>
      <w:r w:rsidR="003D2B40" w:rsidRPr="00CA0172">
        <w:rPr>
          <w:spacing w:val="-2"/>
          <w:lang w:val="fr-CH"/>
        </w:rPr>
        <w:t>'</w:t>
      </w:r>
      <w:r w:rsidR="002B36B0" w:rsidRPr="00CA0172">
        <w:rPr>
          <w:spacing w:val="-2"/>
          <w:lang w:val="fr-CH"/>
        </w:rPr>
        <w:t>organisation. Ainsi, de l</w:t>
      </w:r>
      <w:r w:rsidR="003D2B40" w:rsidRPr="00CA0172">
        <w:rPr>
          <w:spacing w:val="-2"/>
          <w:lang w:val="fr-CH"/>
        </w:rPr>
        <w:t>'</w:t>
      </w:r>
      <w:r w:rsidR="002B36B0" w:rsidRPr="00CA0172">
        <w:rPr>
          <w:spacing w:val="-2"/>
          <w:lang w:val="fr-CH"/>
        </w:rPr>
        <w:t>avis du</w:t>
      </w:r>
      <w:r w:rsidR="00796393" w:rsidRPr="00CA0172">
        <w:rPr>
          <w:spacing w:val="-2"/>
          <w:lang w:val="fr-CH"/>
        </w:rPr>
        <w:t xml:space="preserve"> </w:t>
      </w:r>
      <w:r w:rsidR="004B3438" w:rsidRPr="00CA0172">
        <w:rPr>
          <w:spacing w:val="-2"/>
          <w:lang w:val="fr-CH"/>
        </w:rPr>
        <w:t>CCIG</w:t>
      </w:r>
      <w:r w:rsidR="002B36B0" w:rsidRPr="00CA0172">
        <w:rPr>
          <w:spacing w:val="-2"/>
          <w:lang w:val="fr-CH"/>
        </w:rPr>
        <w:t>, il existe une</w:t>
      </w:r>
      <w:r w:rsidR="00A14FD8" w:rsidRPr="00CA0172">
        <w:rPr>
          <w:spacing w:val="-2"/>
          <w:lang w:val="fr-CH"/>
        </w:rPr>
        <w:t xml:space="preserve"> nette distinction entre </w:t>
      </w:r>
      <w:r w:rsidR="00673C75" w:rsidRPr="00CA0172">
        <w:rPr>
          <w:spacing w:val="-2"/>
          <w:lang w:val="fr-CH"/>
        </w:rPr>
        <w:t xml:space="preserve">la </w:t>
      </w:r>
      <w:r w:rsidR="00A14FD8" w:rsidRPr="00CA0172">
        <w:rPr>
          <w:spacing w:val="-2"/>
          <w:lang w:val="fr-CH"/>
        </w:rPr>
        <w:t xml:space="preserve">conformité, </w:t>
      </w:r>
      <w:r w:rsidR="00673C75" w:rsidRPr="00CA0172">
        <w:rPr>
          <w:spacing w:val="-2"/>
          <w:lang w:val="fr-CH"/>
        </w:rPr>
        <w:t>le contrôle et l</w:t>
      </w:r>
      <w:r w:rsidR="003D2B40" w:rsidRPr="00CA0172">
        <w:rPr>
          <w:spacing w:val="-2"/>
          <w:lang w:val="fr-CH"/>
        </w:rPr>
        <w:t>'</w:t>
      </w:r>
      <w:r w:rsidR="00673C75" w:rsidRPr="00CA0172">
        <w:rPr>
          <w:spacing w:val="-2"/>
          <w:lang w:val="fr-CH"/>
        </w:rPr>
        <w:t>éthique</w:t>
      </w:r>
      <w:r w:rsidR="00A14FD8" w:rsidRPr="00CA0172">
        <w:rPr>
          <w:spacing w:val="-2"/>
          <w:lang w:val="fr-CH"/>
        </w:rPr>
        <w:t xml:space="preserve"> et la formation relative à la lutte contre la fraude n</w:t>
      </w:r>
      <w:r w:rsidR="003D2B40" w:rsidRPr="00CA0172">
        <w:rPr>
          <w:spacing w:val="-2"/>
          <w:lang w:val="fr-CH"/>
        </w:rPr>
        <w:t>'</w:t>
      </w:r>
      <w:r w:rsidR="00A14FD8" w:rsidRPr="00CA0172">
        <w:rPr>
          <w:spacing w:val="-2"/>
          <w:lang w:val="fr-CH"/>
        </w:rPr>
        <w:t>incombe pas nécessairement</w:t>
      </w:r>
      <w:r w:rsidR="00673C75" w:rsidRPr="00CA0172">
        <w:rPr>
          <w:spacing w:val="-2"/>
          <w:lang w:val="fr-CH"/>
        </w:rPr>
        <w:t>, par exemple</w:t>
      </w:r>
      <w:r w:rsidR="003E6DAA">
        <w:rPr>
          <w:spacing w:val="-2"/>
          <w:lang w:val="fr-CH"/>
        </w:rPr>
        <w:t>,</w:t>
      </w:r>
      <w:r w:rsidR="00A14FD8" w:rsidRPr="00CA0172">
        <w:rPr>
          <w:spacing w:val="-2"/>
          <w:lang w:val="fr-CH"/>
        </w:rPr>
        <w:t xml:space="preserve"> au </w:t>
      </w:r>
      <w:r w:rsidR="00673C75" w:rsidRPr="00CA0172">
        <w:rPr>
          <w:spacing w:val="-2"/>
          <w:lang w:val="fr-CH"/>
        </w:rPr>
        <w:t>B</w:t>
      </w:r>
      <w:r w:rsidR="00A14FD8" w:rsidRPr="00CA0172">
        <w:rPr>
          <w:spacing w:val="-2"/>
          <w:lang w:val="fr-CH"/>
        </w:rPr>
        <w:t>ureau de l</w:t>
      </w:r>
      <w:r w:rsidR="003D2B40" w:rsidRPr="00CA0172">
        <w:rPr>
          <w:spacing w:val="-2"/>
          <w:lang w:val="fr-CH"/>
        </w:rPr>
        <w:t>'</w:t>
      </w:r>
      <w:r w:rsidR="00A14FD8" w:rsidRPr="00CA0172">
        <w:rPr>
          <w:spacing w:val="-2"/>
          <w:lang w:val="fr-CH"/>
        </w:rPr>
        <w:t xml:space="preserve">éthique, </w:t>
      </w:r>
      <w:r w:rsidR="00673C75" w:rsidRPr="00CA0172">
        <w:rPr>
          <w:spacing w:val="-2"/>
          <w:lang w:val="fr-CH"/>
        </w:rPr>
        <w:t>dont le rôle</w:t>
      </w:r>
      <w:r w:rsidR="00A14FD8" w:rsidRPr="00CA0172">
        <w:rPr>
          <w:spacing w:val="-2"/>
          <w:lang w:val="fr-CH"/>
        </w:rPr>
        <w:t xml:space="preserve"> pourrait être </w:t>
      </w:r>
      <w:r w:rsidR="00673C75" w:rsidRPr="00CA0172">
        <w:rPr>
          <w:spacing w:val="-2"/>
          <w:lang w:val="fr-CH"/>
        </w:rPr>
        <w:t xml:space="preserve">affaibli si ce mécanisme </w:t>
      </w:r>
      <w:r w:rsidR="00A14FD8" w:rsidRPr="00CA0172">
        <w:rPr>
          <w:spacing w:val="-2"/>
          <w:lang w:val="fr-CH"/>
        </w:rPr>
        <w:t>était appelé à devenir un mécanisme de prévention de la fraude. Le</w:t>
      </w:r>
      <w:r w:rsidR="00796393" w:rsidRPr="00CA0172">
        <w:rPr>
          <w:spacing w:val="-2"/>
          <w:lang w:val="fr-CH"/>
        </w:rPr>
        <w:t xml:space="preserve"> </w:t>
      </w:r>
      <w:r w:rsidR="004B3438" w:rsidRPr="00CA0172">
        <w:rPr>
          <w:spacing w:val="-2"/>
          <w:lang w:val="fr-CH"/>
        </w:rPr>
        <w:t xml:space="preserve">CCIG </w:t>
      </w:r>
      <w:r w:rsidR="00A14FD8" w:rsidRPr="00CA0172">
        <w:rPr>
          <w:spacing w:val="-2"/>
          <w:lang w:val="fr-CH"/>
        </w:rPr>
        <w:t>continuera de suivre de près l</w:t>
      </w:r>
      <w:r w:rsidR="003D2B40" w:rsidRPr="00CA0172">
        <w:rPr>
          <w:spacing w:val="-2"/>
          <w:lang w:val="fr-CH"/>
        </w:rPr>
        <w:t>'</w:t>
      </w:r>
      <w:r w:rsidR="00A14FD8" w:rsidRPr="00CA0172">
        <w:rPr>
          <w:spacing w:val="-2"/>
          <w:lang w:val="fr-CH"/>
        </w:rPr>
        <w:t>évolution des dispositions en matière de lutte contre la fraude à l</w:t>
      </w:r>
      <w:r w:rsidR="003D2B40" w:rsidRPr="00CA0172">
        <w:rPr>
          <w:spacing w:val="-2"/>
          <w:lang w:val="fr-CH"/>
        </w:rPr>
        <w:t>'</w:t>
      </w:r>
      <w:r w:rsidR="00A14FD8" w:rsidRPr="00CA0172">
        <w:rPr>
          <w:spacing w:val="-2"/>
          <w:lang w:val="fr-CH"/>
        </w:rPr>
        <w:t>UIT et de fournir des avis à la direction</w:t>
      </w:r>
      <w:r w:rsidR="00796393" w:rsidRPr="00CA0172">
        <w:rPr>
          <w:spacing w:val="-2"/>
          <w:lang w:val="fr-CH"/>
        </w:rPr>
        <w:t xml:space="preserve"> </w:t>
      </w:r>
      <w:r w:rsidR="00A14FD8" w:rsidRPr="00CA0172">
        <w:rPr>
          <w:spacing w:val="-2"/>
          <w:lang w:val="fr-CH"/>
        </w:rPr>
        <w:t>à cet égard.</w:t>
      </w:r>
      <w:r w:rsidR="00796393" w:rsidRPr="00CA0172">
        <w:rPr>
          <w:spacing w:val="-2"/>
          <w:lang w:val="fr-CH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9F4624" w:rsidRPr="00A14FD8" w:rsidTr="00D279ED">
        <w:tc>
          <w:tcPr>
            <w:tcW w:w="9629" w:type="dxa"/>
          </w:tcPr>
          <w:p w:rsidR="009F4624" w:rsidRPr="00A14FD8" w:rsidRDefault="000D73E4" w:rsidP="00C8616F">
            <w:pPr>
              <w:spacing w:before="60" w:after="60"/>
              <w:rPr>
                <w:lang w:val="fr-CH" w:eastAsia="zh-CN"/>
              </w:rPr>
            </w:pPr>
            <w:r w:rsidRPr="00A14FD8">
              <w:rPr>
                <w:b/>
                <w:bCs/>
                <w:lang w:val="fr-CH"/>
              </w:rPr>
              <w:t>Recommandation</w:t>
            </w:r>
            <w:r w:rsidR="009F4624" w:rsidRPr="00A14FD8">
              <w:rPr>
                <w:b/>
                <w:bCs/>
                <w:lang w:val="fr-CH"/>
              </w:rPr>
              <w:t xml:space="preserve"> 6 (2017)</w:t>
            </w:r>
            <w:r w:rsidR="009F4624" w:rsidRPr="008F3EC3">
              <w:rPr>
                <w:lang w:val="fr-CH"/>
              </w:rPr>
              <w:t xml:space="preserve">: </w:t>
            </w:r>
            <w:r w:rsidR="00A14FD8" w:rsidRPr="008F3EC3">
              <w:rPr>
                <w:lang w:val="fr-CH"/>
              </w:rPr>
              <w:t>Le</w:t>
            </w:r>
            <w:r w:rsidR="00796393">
              <w:rPr>
                <w:b/>
                <w:bCs/>
                <w:lang w:val="fr-CH"/>
              </w:rPr>
              <w:t xml:space="preserve"> </w:t>
            </w:r>
            <w:r w:rsidR="004B3438" w:rsidRPr="00A14FD8">
              <w:rPr>
                <w:lang w:val="fr-CH"/>
              </w:rPr>
              <w:t xml:space="preserve">CCIG </w:t>
            </w:r>
            <w:r w:rsidR="00A14FD8" w:rsidRPr="00A14FD8">
              <w:rPr>
                <w:lang w:val="fr-CH"/>
              </w:rPr>
              <w:t>recommande que</w:t>
            </w:r>
            <w:r w:rsidR="008F3EC3" w:rsidRPr="00A14FD8">
              <w:rPr>
                <w:lang w:val="fr-CH"/>
              </w:rPr>
              <w:t xml:space="preserve"> le secrétariat</w:t>
            </w:r>
            <w:r w:rsidR="00A14FD8" w:rsidRPr="00A14FD8">
              <w:rPr>
                <w:lang w:val="fr-CH"/>
              </w:rPr>
              <w:t>, à titre prioritaire et dans un souci de bonne gestion, établisse</w:t>
            </w:r>
            <w:r w:rsidR="00A14FD8">
              <w:rPr>
                <w:lang w:val="fr-CH"/>
              </w:rPr>
              <w:t xml:space="preserve"> une politique officielle en matière de lutte contre la fraude, organise des activités connexes de formation/d</w:t>
            </w:r>
            <w:r w:rsidR="003D2B40">
              <w:rPr>
                <w:lang w:val="fr-CH"/>
              </w:rPr>
              <w:t>'</w:t>
            </w:r>
            <w:r w:rsidR="00A14FD8">
              <w:rPr>
                <w:lang w:val="fr-CH"/>
              </w:rPr>
              <w:t>éducation et prenne</w:t>
            </w:r>
            <w:r w:rsidR="00796393">
              <w:rPr>
                <w:lang w:val="fr-CH"/>
              </w:rPr>
              <w:t xml:space="preserve"> </w:t>
            </w:r>
            <w:r w:rsidR="00A14FD8">
              <w:rPr>
                <w:lang w:val="fr-CH"/>
              </w:rPr>
              <w:t>d</w:t>
            </w:r>
            <w:r w:rsidR="003D2B40">
              <w:rPr>
                <w:lang w:val="fr-CH"/>
              </w:rPr>
              <w:t>'</w:t>
            </w:r>
            <w:r w:rsidR="00A14FD8">
              <w:rPr>
                <w:lang w:val="fr-CH"/>
              </w:rPr>
              <w:t>autres mesures</w:t>
            </w:r>
            <w:r w:rsidR="00A14FD8">
              <w:rPr>
                <w:color w:val="000000"/>
              </w:rPr>
              <w:t xml:space="preserve"> conforme</w:t>
            </w:r>
            <w:r w:rsidR="008F3EC3">
              <w:rPr>
                <w:color w:val="000000"/>
              </w:rPr>
              <w:t>s</w:t>
            </w:r>
            <w:r w:rsidR="00A14FD8">
              <w:rPr>
                <w:color w:val="000000"/>
              </w:rPr>
              <w:t xml:space="preserve"> aux bonnes pratiques. Il est recommandé</w:t>
            </w:r>
            <w:r w:rsidR="008F3EC3">
              <w:rPr>
                <w:color w:val="000000"/>
              </w:rPr>
              <w:t xml:space="preserve"> de faire en sorte</w:t>
            </w:r>
            <w:r w:rsidR="00A14FD8">
              <w:rPr>
                <w:color w:val="000000"/>
              </w:rPr>
              <w:t xml:space="preserve"> que la solution retenue soit adaptée à la taille de l</w:t>
            </w:r>
            <w:r w:rsidR="003D2B40">
              <w:rPr>
                <w:color w:val="000000"/>
              </w:rPr>
              <w:t>'</w:t>
            </w:r>
            <w:r w:rsidR="00A14FD8">
              <w:rPr>
                <w:color w:val="000000"/>
              </w:rPr>
              <w:t>organisation et que les fonctions ne soient pas compromises par des objectifs antagonistes</w:t>
            </w:r>
            <w:r w:rsidR="009F4624" w:rsidRPr="00A14FD8">
              <w:rPr>
                <w:lang w:val="fr-CH"/>
              </w:rPr>
              <w:t>.</w:t>
            </w:r>
            <w:r w:rsidR="00796393">
              <w:rPr>
                <w:lang w:val="fr-CH"/>
              </w:rPr>
              <w:t xml:space="preserve"> </w:t>
            </w:r>
          </w:p>
        </w:tc>
      </w:tr>
    </w:tbl>
    <w:p w:rsidR="00083A9D" w:rsidRPr="000B0BEF" w:rsidRDefault="00A14FD8" w:rsidP="00CA0172">
      <w:pPr>
        <w:pStyle w:val="Headingb"/>
      </w:pPr>
      <w:r w:rsidRPr="000B0BEF">
        <w:lastRenderedPageBreak/>
        <w:t>Supervision des activités hors siège</w:t>
      </w:r>
      <w:r w:rsidR="00796393">
        <w:t xml:space="preserve"> </w:t>
      </w:r>
    </w:p>
    <w:p w:rsidR="00083A9D" w:rsidRPr="00831383" w:rsidRDefault="009F4624" w:rsidP="00CA0172">
      <w:pPr>
        <w:rPr>
          <w:lang w:val="fr-CH"/>
        </w:rPr>
      </w:pPr>
      <w:r w:rsidRPr="00831383">
        <w:rPr>
          <w:lang w:val="fr-CH"/>
        </w:rPr>
        <w:t>3.30</w:t>
      </w:r>
      <w:r w:rsidRPr="00831383">
        <w:rPr>
          <w:lang w:val="fr-CH"/>
        </w:rPr>
        <w:tab/>
      </w:r>
      <w:r w:rsidR="00A14FD8" w:rsidRPr="00831383">
        <w:rPr>
          <w:lang w:val="fr-CH"/>
        </w:rPr>
        <w:t>Compte tenu</w:t>
      </w:r>
      <w:r w:rsidR="00796393">
        <w:rPr>
          <w:lang w:val="fr-CH"/>
        </w:rPr>
        <w:t xml:space="preserve"> </w:t>
      </w:r>
      <w:r w:rsidR="00A14FD8" w:rsidRPr="00831383">
        <w:rPr>
          <w:lang w:val="fr-CH"/>
        </w:rPr>
        <w:t>des conclusion</w:t>
      </w:r>
      <w:r w:rsidR="00D55E73">
        <w:rPr>
          <w:lang w:val="fr-CH"/>
        </w:rPr>
        <w:t>s formulées précédemment par l</w:t>
      </w:r>
      <w:r w:rsidR="003D2B40">
        <w:rPr>
          <w:lang w:val="fr-CH"/>
        </w:rPr>
        <w:t>'</w:t>
      </w:r>
      <w:r w:rsidR="00D55E73">
        <w:rPr>
          <w:lang w:val="fr-CH"/>
        </w:rPr>
        <w:t>U</w:t>
      </w:r>
      <w:r w:rsidR="00A14FD8" w:rsidRPr="00831383">
        <w:rPr>
          <w:lang w:val="fr-CH"/>
        </w:rPr>
        <w:t>nité de l</w:t>
      </w:r>
      <w:r w:rsidR="003D2B40">
        <w:rPr>
          <w:lang w:val="fr-CH"/>
        </w:rPr>
        <w:t>'</w:t>
      </w:r>
      <w:r w:rsidR="00A14FD8" w:rsidRPr="00831383">
        <w:rPr>
          <w:lang w:val="fr-CH"/>
        </w:rPr>
        <w:t>audit interne, le</w:t>
      </w:r>
      <w:r w:rsidR="00796393">
        <w:rPr>
          <w:lang w:val="fr-CH"/>
        </w:rPr>
        <w:t xml:space="preserve"> </w:t>
      </w:r>
      <w:r w:rsidR="004B3438" w:rsidRPr="00831383">
        <w:rPr>
          <w:lang w:val="fr-CH"/>
        </w:rPr>
        <w:t>CCIG</w:t>
      </w:r>
      <w:r w:rsidR="00796393">
        <w:rPr>
          <w:lang w:val="fr-CH"/>
        </w:rPr>
        <w:t xml:space="preserve"> </w:t>
      </w:r>
      <w:r w:rsidR="00A14FD8" w:rsidRPr="00831383">
        <w:rPr>
          <w:lang w:val="fr-CH"/>
        </w:rPr>
        <w:t>a reçu de la part du Bureau de développeme</w:t>
      </w:r>
      <w:r w:rsidR="00D55E73">
        <w:rPr>
          <w:lang w:val="fr-CH"/>
        </w:rPr>
        <w:t>nt des télécommunications (BDT)</w:t>
      </w:r>
      <w:r w:rsidR="00796393">
        <w:rPr>
          <w:lang w:val="fr-CH"/>
        </w:rPr>
        <w:t xml:space="preserve"> </w:t>
      </w:r>
      <w:r w:rsidR="00A14FD8" w:rsidRPr="00831383">
        <w:rPr>
          <w:lang w:val="fr-CH"/>
        </w:rPr>
        <w:t>des informations sur</w:t>
      </w:r>
      <w:r w:rsidR="00831383">
        <w:rPr>
          <w:lang w:val="fr-CH"/>
        </w:rPr>
        <w:t xml:space="preserve"> l</w:t>
      </w:r>
      <w:r w:rsidR="003D2B40">
        <w:rPr>
          <w:lang w:val="fr-CH"/>
        </w:rPr>
        <w:t>'</w:t>
      </w:r>
      <w:r w:rsidR="00831383">
        <w:rPr>
          <w:lang w:val="fr-CH"/>
        </w:rPr>
        <w:t>avancement de l</w:t>
      </w:r>
      <w:r w:rsidR="003D2B40">
        <w:rPr>
          <w:lang w:val="fr-CH"/>
        </w:rPr>
        <w:t>'</w:t>
      </w:r>
      <w:r w:rsidR="00831383">
        <w:rPr>
          <w:lang w:val="fr-CH"/>
        </w:rPr>
        <w:t xml:space="preserve">examen des questions relatives aux activités hors siège, </w:t>
      </w:r>
      <w:r w:rsidR="00D55E73">
        <w:rPr>
          <w:lang w:val="fr-CH"/>
        </w:rPr>
        <w:t>s</w:t>
      </w:r>
      <w:r w:rsidR="003D2B40">
        <w:rPr>
          <w:lang w:val="fr-CH"/>
        </w:rPr>
        <w:t>'</w:t>
      </w:r>
      <w:r w:rsidR="00D55E73">
        <w:rPr>
          <w:lang w:val="fr-CH"/>
        </w:rPr>
        <w:t xml:space="preserve">agissant </w:t>
      </w:r>
      <w:r w:rsidR="00831383">
        <w:rPr>
          <w:lang w:val="fr-CH"/>
        </w:rPr>
        <w:t>en particulier</w:t>
      </w:r>
      <w:r w:rsidR="00D55E73">
        <w:rPr>
          <w:lang w:val="fr-CH"/>
        </w:rPr>
        <w:t xml:space="preserve"> de</w:t>
      </w:r>
      <w:r w:rsidR="00831383">
        <w:rPr>
          <w:lang w:val="fr-CH"/>
        </w:rPr>
        <w:t xml:space="preserve"> la conformité aux exigences en matière de sécurité et aux impératifs financiers,</w:t>
      </w:r>
      <w:r w:rsidR="00796393">
        <w:rPr>
          <w:lang w:val="fr-CH"/>
        </w:rPr>
        <w:t xml:space="preserve"> </w:t>
      </w:r>
      <w:r w:rsidR="00D55E73">
        <w:rPr>
          <w:lang w:val="fr-CH"/>
        </w:rPr>
        <w:t xml:space="preserve">de </w:t>
      </w:r>
      <w:r w:rsidR="00831383">
        <w:rPr>
          <w:lang w:val="fr-CH"/>
        </w:rPr>
        <w:t>la g</w:t>
      </w:r>
      <w:r w:rsidR="00D55E73">
        <w:rPr>
          <w:lang w:val="fr-CH"/>
        </w:rPr>
        <w:t xml:space="preserve">estion du budget et des projets </w:t>
      </w:r>
      <w:r w:rsidR="00831383">
        <w:rPr>
          <w:lang w:val="fr-CH"/>
        </w:rPr>
        <w:t xml:space="preserve">et </w:t>
      </w:r>
      <w:r w:rsidR="00D55E73">
        <w:rPr>
          <w:lang w:val="fr-CH"/>
        </w:rPr>
        <w:t>du</w:t>
      </w:r>
      <w:r w:rsidR="00831383">
        <w:rPr>
          <w:lang w:val="fr-CH"/>
        </w:rPr>
        <w:t xml:space="preserve"> contrôle de gestion.</w:t>
      </w:r>
      <w:r w:rsidR="00796393">
        <w:rPr>
          <w:lang w:val="fr-CH"/>
        </w:rPr>
        <w:t xml:space="preserve"> </w:t>
      </w:r>
    </w:p>
    <w:p w:rsidR="00083A9D" w:rsidRPr="00831383" w:rsidRDefault="009F4624" w:rsidP="00D55E73">
      <w:pPr>
        <w:rPr>
          <w:lang w:val="fr-CH"/>
        </w:rPr>
      </w:pPr>
      <w:r w:rsidRPr="00831383">
        <w:rPr>
          <w:lang w:val="fr-CH"/>
        </w:rPr>
        <w:t>3.31</w:t>
      </w:r>
      <w:r w:rsidRPr="00831383">
        <w:rPr>
          <w:lang w:val="fr-CH"/>
        </w:rPr>
        <w:tab/>
      </w:r>
      <w:r w:rsidR="00831383" w:rsidRPr="00831383">
        <w:rPr>
          <w:lang w:val="fr-CH"/>
        </w:rPr>
        <w:t xml:space="preserve">Le </w:t>
      </w:r>
      <w:r w:rsidR="004B3438" w:rsidRPr="00831383">
        <w:rPr>
          <w:lang w:val="fr-CH"/>
        </w:rPr>
        <w:t xml:space="preserve">CCIG </w:t>
      </w:r>
      <w:r w:rsidR="00831383" w:rsidRPr="00831383">
        <w:rPr>
          <w:lang w:val="fr-CH"/>
        </w:rPr>
        <w:t>encourage le BDT à continuer de prendre des mesures pour garantir une supervision appropriée, par la direction de l</w:t>
      </w:r>
      <w:r w:rsidR="003D2B40">
        <w:rPr>
          <w:lang w:val="fr-CH"/>
        </w:rPr>
        <w:t>'</w:t>
      </w:r>
      <w:r w:rsidR="00831383" w:rsidRPr="00831383">
        <w:rPr>
          <w:lang w:val="fr-CH"/>
        </w:rPr>
        <w:t>organisation, des activités et des pratiques</w:t>
      </w:r>
      <w:r w:rsidR="00831383">
        <w:rPr>
          <w:lang w:val="fr-CH"/>
        </w:rPr>
        <w:t xml:space="preserve"> de gestion</w:t>
      </w:r>
      <w:r w:rsidR="009D283B">
        <w:rPr>
          <w:lang w:val="fr-CH"/>
        </w:rPr>
        <w:t xml:space="preserve"> sur le terrain, de manière </w:t>
      </w:r>
      <w:r w:rsidR="00D55E73">
        <w:rPr>
          <w:lang w:val="fr-CH"/>
        </w:rPr>
        <w:t xml:space="preserve">en </w:t>
      </w:r>
      <w:r w:rsidR="009D283B">
        <w:rPr>
          <w:lang w:val="fr-CH"/>
        </w:rPr>
        <w:t xml:space="preserve">particulier </w:t>
      </w:r>
      <w:r w:rsidR="00D55E73">
        <w:rPr>
          <w:lang w:val="fr-CH"/>
        </w:rPr>
        <w:t>à veiller au</w:t>
      </w:r>
      <w:r w:rsidR="009D283B">
        <w:rPr>
          <w:lang w:val="fr-CH"/>
        </w:rPr>
        <w:t xml:space="preserve"> respect des dispositions du Règlement fina</w:t>
      </w:r>
      <w:r w:rsidR="00D55E73">
        <w:rPr>
          <w:lang w:val="fr-CH"/>
        </w:rPr>
        <w:t>ncier et des Règles financières</w:t>
      </w:r>
      <w:r w:rsidR="009D283B">
        <w:rPr>
          <w:lang w:val="fr-CH"/>
        </w:rPr>
        <w:t>/règles</w:t>
      </w:r>
      <w:r w:rsidR="00796393">
        <w:rPr>
          <w:lang w:val="fr-CH"/>
        </w:rPr>
        <w:t xml:space="preserve"> </w:t>
      </w:r>
      <w:r w:rsidR="009D283B">
        <w:rPr>
          <w:lang w:val="fr-CH"/>
        </w:rPr>
        <w:t>de gestion de l</w:t>
      </w:r>
      <w:r w:rsidR="003D2B40">
        <w:rPr>
          <w:lang w:val="fr-CH"/>
        </w:rPr>
        <w:t>'</w:t>
      </w:r>
      <w:r w:rsidR="009D283B">
        <w:rPr>
          <w:lang w:val="fr-CH"/>
        </w:rPr>
        <w:t>UIT</w:t>
      </w:r>
      <w:r w:rsidR="00796393">
        <w:rPr>
          <w:lang w:val="fr-CH"/>
        </w:rPr>
        <w:t xml:space="preserve"> </w:t>
      </w:r>
      <w:r w:rsidR="009D283B">
        <w:rPr>
          <w:lang w:val="fr-CH"/>
        </w:rPr>
        <w:t>ainsi que des</w:t>
      </w:r>
      <w:r w:rsidR="00796393">
        <w:rPr>
          <w:lang w:val="fr-CH"/>
        </w:rPr>
        <w:t xml:space="preserve"> </w:t>
      </w:r>
      <w:r w:rsidR="009D283B">
        <w:rPr>
          <w:color w:val="000000"/>
        </w:rPr>
        <w:t>normes de sécurité et de sûreté de l</w:t>
      </w:r>
      <w:r w:rsidR="003D2B40">
        <w:rPr>
          <w:color w:val="000000"/>
        </w:rPr>
        <w:t>'</w:t>
      </w:r>
      <w:r w:rsidR="009D283B">
        <w:rPr>
          <w:color w:val="000000"/>
        </w:rPr>
        <w:t>Organisation des Nations Unies</w:t>
      </w:r>
      <w:r w:rsidR="009D283B" w:rsidRPr="00831383">
        <w:rPr>
          <w:lang w:val="fr-CH"/>
        </w:rPr>
        <w:t xml:space="preserve"> </w:t>
      </w:r>
      <w:r w:rsidR="009D283B">
        <w:rPr>
          <w:lang w:val="fr-CH"/>
        </w:rPr>
        <w:t>dans les bureaux hors siège.</w:t>
      </w:r>
      <w:r w:rsidR="00796393">
        <w:rPr>
          <w:lang w:val="fr-CH"/>
        </w:rPr>
        <w:t xml:space="preserve"> </w:t>
      </w:r>
    </w:p>
    <w:p w:rsidR="00083A9D" w:rsidRPr="00042F87" w:rsidRDefault="00042F87" w:rsidP="00D55E73">
      <w:pPr>
        <w:pStyle w:val="Headingb"/>
        <w:rPr>
          <w:lang w:val="fr-CH"/>
        </w:rPr>
      </w:pPr>
      <w:r w:rsidRPr="00042F87">
        <w:rPr>
          <w:lang w:val="fr-CH"/>
        </w:rPr>
        <w:t xml:space="preserve">Projet de construction </w:t>
      </w:r>
      <w:r w:rsidR="001E53AD">
        <w:rPr>
          <w:lang w:val="fr-CH"/>
        </w:rPr>
        <w:t>des locaux du siège de l</w:t>
      </w:r>
      <w:r w:rsidR="003D2B40">
        <w:rPr>
          <w:lang w:val="fr-CH"/>
        </w:rPr>
        <w:t>'</w:t>
      </w:r>
      <w:r w:rsidR="001E53AD">
        <w:rPr>
          <w:lang w:val="fr-CH"/>
        </w:rPr>
        <w:t>UIT</w:t>
      </w:r>
      <w:r w:rsidR="00796393">
        <w:rPr>
          <w:lang w:val="fr-CH"/>
        </w:rPr>
        <w:t xml:space="preserve"> </w:t>
      </w:r>
    </w:p>
    <w:p w:rsidR="00083A9D" w:rsidRPr="001E53AD" w:rsidRDefault="009F4624" w:rsidP="00D55E73">
      <w:pPr>
        <w:rPr>
          <w:lang w:val="fr-CH"/>
        </w:rPr>
      </w:pPr>
      <w:r w:rsidRPr="001E53AD">
        <w:rPr>
          <w:lang w:val="fr-CH"/>
        </w:rPr>
        <w:t>3.32</w:t>
      </w:r>
      <w:r w:rsidRPr="001E53AD">
        <w:rPr>
          <w:lang w:val="fr-CH"/>
        </w:rPr>
        <w:tab/>
      </w:r>
      <w:r w:rsidR="001E53AD" w:rsidRPr="001E53AD">
        <w:rPr>
          <w:lang w:val="fr-CH"/>
        </w:rPr>
        <w:t xml:space="preserve">Le </w:t>
      </w:r>
      <w:r w:rsidR="004B3438" w:rsidRPr="001E53AD">
        <w:rPr>
          <w:lang w:val="fr-CH"/>
        </w:rPr>
        <w:t>CCIG</w:t>
      </w:r>
      <w:r w:rsidR="001E53AD" w:rsidRPr="001E53AD">
        <w:rPr>
          <w:lang w:val="fr-CH"/>
        </w:rPr>
        <w:t xml:space="preserve"> a reçu des informations sur</w:t>
      </w:r>
      <w:r w:rsidR="004B3438" w:rsidRPr="001E53AD">
        <w:rPr>
          <w:lang w:val="fr-CH"/>
        </w:rPr>
        <w:t xml:space="preserve"> </w:t>
      </w:r>
      <w:r w:rsidR="001E53AD" w:rsidRPr="001E53AD">
        <w:rPr>
          <w:lang w:val="fr-CH"/>
        </w:rPr>
        <w:t>l</w:t>
      </w:r>
      <w:r w:rsidR="003D2B40">
        <w:rPr>
          <w:lang w:val="fr-CH"/>
        </w:rPr>
        <w:t>'</w:t>
      </w:r>
      <w:r w:rsidR="001E53AD" w:rsidRPr="001E53AD">
        <w:rPr>
          <w:lang w:val="fr-CH"/>
        </w:rPr>
        <w:t>état d</w:t>
      </w:r>
      <w:r w:rsidR="003D2B40">
        <w:rPr>
          <w:lang w:val="fr-CH"/>
        </w:rPr>
        <w:t>'</w:t>
      </w:r>
      <w:r w:rsidR="001E53AD" w:rsidRPr="001E53AD">
        <w:rPr>
          <w:lang w:val="fr-CH"/>
        </w:rPr>
        <w:t>avancement du projet d</w:t>
      </w:r>
      <w:r w:rsidR="00D55E73">
        <w:rPr>
          <w:lang w:val="fr-CH"/>
        </w:rPr>
        <w:t>e construction des locaux du siè</w:t>
      </w:r>
      <w:r w:rsidR="001E53AD" w:rsidRPr="001E53AD">
        <w:rPr>
          <w:lang w:val="fr-CH"/>
        </w:rPr>
        <w:t>ge et</w:t>
      </w:r>
      <w:r w:rsidR="00796393">
        <w:rPr>
          <w:lang w:val="fr-CH"/>
        </w:rPr>
        <w:t xml:space="preserve"> </w:t>
      </w:r>
      <w:r w:rsidR="00D55E73">
        <w:rPr>
          <w:lang w:val="fr-CH"/>
        </w:rPr>
        <w:t>se propose,</w:t>
      </w:r>
      <w:r w:rsidR="001E53AD" w:rsidRPr="001E53AD">
        <w:rPr>
          <w:lang w:val="fr-CH"/>
        </w:rPr>
        <w:t xml:space="preserve"> compte tenu de l</w:t>
      </w:r>
      <w:r w:rsidR="003D2B40">
        <w:rPr>
          <w:lang w:val="fr-CH"/>
        </w:rPr>
        <w:t>'</w:t>
      </w:r>
      <w:r w:rsidR="001E53AD" w:rsidRPr="001E53AD">
        <w:rPr>
          <w:lang w:val="fr-CH"/>
        </w:rPr>
        <w:t>importance du projet pour</w:t>
      </w:r>
      <w:r w:rsidR="001E53AD">
        <w:rPr>
          <w:lang w:val="fr-CH"/>
        </w:rPr>
        <w:t xml:space="preserve"> l</w:t>
      </w:r>
      <w:r w:rsidR="003D2B40">
        <w:rPr>
          <w:lang w:val="fr-CH"/>
        </w:rPr>
        <w:t>'</w:t>
      </w:r>
      <w:r w:rsidR="001E53AD">
        <w:rPr>
          <w:lang w:val="fr-CH"/>
        </w:rPr>
        <w:t>organisation, de poursuivre à intervalles réguliers l</w:t>
      </w:r>
      <w:r w:rsidR="003D2B40">
        <w:rPr>
          <w:lang w:val="fr-CH"/>
        </w:rPr>
        <w:t>'</w:t>
      </w:r>
      <w:r w:rsidR="001E53AD">
        <w:rPr>
          <w:lang w:val="fr-CH"/>
        </w:rPr>
        <w:t>interaction avec l</w:t>
      </w:r>
      <w:r w:rsidR="003D2B40">
        <w:rPr>
          <w:lang w:val="fr-CH"/>
        </w:rPr>
        <w:t>'</w:t>
      </w:r>
      <w:r w:rsidR="001E53AD">
        <w:rPr>
          <w:lang w:val="fr-CH"/>
        </w:rPr>
        <w:t>équipe de l</w:t>
      </w:r>
      <w:r w:rsidR="003D2B40">
        <w:rPr>
          <w:lang w:val="fr-CH"/>
        </w:rPr>
        <w:t>'</w:t>
      </w:r>
      <w:r w:rsidR="001E53AD">
        <w:rPr>
          <w:lang w:val="fr-CH"/>
        </w:rPr>
        <w:t>UIT chargée de la mise en œuvre du projet</w:t>
      </w:r>
      <w:r w:rsidR="00D55E73">
        <w:rPr>
          <w:lang w:val="fr-CH"/>
        </w:rPr>
        <w:t>.</w:t>
      </w:r>
      <w:r w:rsidR="00796393">
        <w:rPr>
          <w:lang w:val="fr-CH"/>
        </w:rPr>
        <w:t xml:space="preserve"> </w:t>
      </w:r>
    </w:p>
    <w:p w:rsidR="00083A9D" w:rsidRPr="001E53AD" w:rsidRDefault="009F4624" w:rsidP="007B28F5">
      <w:pPr>
        <w:rPr>
          <w:lang w:val="fr-CH"/>
        </w:rPr>
      </w:pPr>
      <w:r w:rsidRPr="001E53AD">
        <w:rPr>
          <w:lang w:val="fr-CH"/>
        </w:rPr>
        <w:t>3.33</w:t>
      </w:r>
      <w:r w:rsidRPr="001E53AD">
        <w:rPr>
          <w:lang w:val="fr-CH"/>
        </w:rPr>
        <w:tab/>
      </w:r>
      <w:r w:rsidR="001E53AD" w:rsidRPr="001E53AD">
        <w:rPr>
          <w:lang w:val="fr-CH"/>
        </w:rPr>
        <w:t>Le Comité</w:t>
      </w:r>
      <w:r w:rsidR="00796393">
        <w:rPr>
          <w:lang w:val="fr-CH"/>
        </w:rPr>
        <w:t xml:space="preserve"> </w:t>
      </w:r>
      <w:r w:rsidR="001E53AD" w:rsidRPr="001E53AD">
        <w:rPr>
          <w:lang w:val="fr-CH"/>
        </w:rPr>
        <w:t xml:space="preserve">a reconnu </w:t>
      </w:r>
      <w:r w:rsidR="007B28F5">
        <w:rPr>
          <w:lang w:val="fr-CH"/>
        </w:rPr>
        <w:t xml:space="preserve">et apprécié à sa juste valeur </w:t>
      </w:r>
      <w:r w:rsidR="001E53AD" w:rsidRPr="001E53AD">
        <w:rPr>
          <w:lang w:val="fr-CH"/>
        </w:rPr>
        <w:t>le</w:t>
      </w:r>
      <w:r w:rsidR="00796393">
        <w:rPr>
          <w:lang w:val="fr-CH"/>
        </w:rPr>
        <w:t xml:space="preserve"> </w:t>
      </w:r>
      <w:r w:rsidR="001E53AD" w:rsidRPr="001E53AD">
        <w:rPr>
          <w:lang w:val="fr-CH"/>
        </w:rPr>
        <w:t>professionnalisme et</w:t>
      </w:r>
      <w:r w:rsidR="00796393">
        <w:rPr>
          <w:lang w:val="fr-CH"/>
        </w:rPr>
        <w:t xml:space="preserve"> </w:t>
      </w:r>
      <w:r w:rsidR="001E53AD" w:rsidRPr="001E53AD">
        <w:rPr>
          <w:lang w:val="fr-CH"/>
        </w:rPr>
        <w:t>la transparence qui président à la mise en œuvre</w:t>
      </w:r>
      <w:r w:rsidR="00796393">
        <w:rPr>
          <w:lang w:val="fr-CH"/>
        </w:rPr>
        <w:t xml:space="preserve"> </w:t>
      </w:r>
      <w:r w:rsidR="001E53AD" w:rsidRPr="001E53AD">
        <w:rPr>
          <w:lang w:val="fr-CH"/>
        </w:rPr>
        <w:t xml:space="preserve">du projet </w:t>
      </w:r>
      <w:r w:rsidR="001E53AD">
        <w:rPr>
          <w:lang w:val="fr-CH"/>
        </w:rPr>
        <w:t>ain</w:t>
      </w:r>
      <w:r w:rsidR="007B28F5">
        <w:rPr>
          <w:lang w:val="fr-CH"/>
        </w:rPr>
        <w:t>si que les progrès réalisés à cet égard</w:t>
      </w:r>
      <w:r w:rsidR="001E53AD">
        <w:rPr>
          <w:lang w:val="fr-CH"/>
        </w:rPr>
        <w:t>.</w:t>
      </w:r>
      <w:r w:rsidR="00796393">
        <w:rPr>
          <w:lang w:val="fr-CH"/>
        </w:rPr>
        <w:t xml:space="preserve"> </w:t>
      </w:r>
    </w:p>
    <w:p w:rsidR="00083A9D" w:rsidRPr="00955F94" w:rsidRDefault="009F4624" w:rsidP="007B28F5">
      <w:pPr>
        <w:rPr>
          <w:lang w:val="fr-CH"/>
        </w:rPr>
      </w:pPr>
      <w:r w:rsidRPr="001E53AD">
        <w:rPr>
          <w:lang w:val="fr-CH"/>
        </w:rPr>
        <w:t>3.34</w:t>
      </w:r>
      <w:r w:rsidRPr="001E53AD">
        <w:rPr>
          <w:lang w:val="fr-CH"/>
        </w:rPr>
        <w:tab/>
      </w:r>
      <w:r w:rsidR="001E53AD" w:rsidRPr="001E53AD">
        <w:rPr>
          <w:lang w:val="fr-CH"/>
        </w:rPr>
        <w:t xml:space="preserve">Le </w:t>
      </w:r>
      <w:r w:rsidR="004B3438" w:rsidRPr="001E53AD">
        <w:rPr>
          <w:lang w:val="fr-CH"/>
        </w:rPr>
        <w:t xml:space="preserve">CCIG </w:t>
      </w:r>
      <w:r w:rsidR="001E53AD" w:rsidRPr="001E53AD">
        <w:rPr>
          <w:lang w:val="fr-CH"/>
        </w:rPr>
        <w:t>est heureux de constater que l</w:t>
      </w:r>
      <w:r w:rsidR="003D2B40">
        <w:rPr>
          <w:lang w:val="fr-CH"/>
        </w:rPr>
        <w:t>'</w:t>
      </w:r>
      <w:r w:rsidR="001E53AD" w:rsidRPr="001E53AD">
        <w:rPr>
          <w:lang w:val="fr-CH"/>
        </w:rPr>
        <w:t>UIT a recours à un</w:t>
      </w:r>
      <w:r w:rsidR="00796393">
        <w:rPr>
          <w:lang w:val="fr-CH"/>
        </w:rPr>
        <w:t xml:space="preserve"> </w:t>
      </w:r>
      <w:r w:rsidR="007B28F5">
        <w:rPr>
          <w:lang w:val="fr-CH"/>
        </w:rPr>
        <w:t>professionnel spécialisé dans les</w:t>
      </w:r>
      <w:r w:rsidR="001E53AD" w:rsidRPr="001E53AD">
        <w:rPr>
          <w:lang w:val="fr-CH"/>
        </w:rPr>
        <w:t xml:space="preserve"> projets d</w:t>
      </w:r>
      <w:r w:rsidR="003D2B40">
        <w:rPr>
          <w:lang w:val="fr-CH"/>
        </w:rPr>
        <w:t>e construction à grande échelle</w:t>
      </w:r>
      <w:r w:rsidR="001E53AD" w:rsidRPr="001E53AD">
        <w:rPr>
          <w:lang w:val="fr-CH"/>
        </w:rPr>
        <w:t>. En raison de la complexité technique et des risques inhérents</w:t>
      </w:r>
      <w:r w:rsidR="00796393">
        <w:rPr>
          <w:lang w:val="fr-CH"/>
        </w:rPr>
        <w:t xml:space="preserve"> </w:t>
      </w:r>
      <w:r w:rsidR="001E53AD" w:rsidRPr="001E53AD">
        <w:rPr>
          <w:lang w:val="fr-CH"/>
        </w:rPr>
        <w:t>à des projets de construction et d</w:t>
      </w:r>
      <w:r w:rsidR="003D2B40">
        <w:rPr>
          <w:lang w:val="fr-CH"/>
        </w:rPr>
        <w:t>'</w:t>
      </w:r>
      <w:r w:rsidR="001E53AD" w:rsidRPr="001E53AD">
        <w:rPr>
          <w:lang w:val="fr-CH"/>
        </w:rPr>
        <w:t>infrastructure</w:t>
      </w:r>
      <w:r w:rsidR="00083A9D" w:rsidRPr="001E53AD">
        <w:rPr>
          <w:lang w:val="fr-CH"/>
        </w:rPr>
        <w:t xml:space="preserve"> </w:t>
      </w:r>
      <w:r w:rsidR="007B28F5">
        <w:rPr>
          <w:lang w:val="fr-CH"/>
        </w:rPr>
        <w:t>aussi importants, et</w:t>
      </w:r>
      <w:r w:rsidR="001E53AD" w:rsidRPr="001E53AD">
        <w:rPr>
          <w:lang w:val="fr-CH"/>
        </w:rPr>
        <w:t xml:space="preserve"> afin </w:t>
      </w:r>
      <w:r w:rsidR="007B28F5">
        <w:rPr>
          <w:lang w:val="fr-CH"/>
        </w:rPr>
        <w:t>de fournir à la direction et au C</w:t>
      </w:r>
      <w:r w:rsidR="001E53AD" w:rsidRPr="001E53AD">
        <w:rPr>
          <w:lang w:val="fr-CH"/>
        </w:rPr>
        <w:t>onseil l</w:t>
      </w:r>
      <w:r w:rsidR="003D2B40">
        <w:rPr>
          <w:lang w:val="fr-CH"/>
        </w:rPr>
        <w:t>'</w:t>
      </w:r>
      <w:r w:rsidR="001E53AD" w:rsidRPr="001E53AD">
        <w:rPr>
          <w:lang w:val="fr-CH"/>
        </w:rPr>
        <w:t>assurance que le projet</w:t>
      </w:r>
      <w:r w:rsidR="001E53AD">
        <w:rPr>
          <w:lang w:val="fr-CH"/>
        </w:rPr>
        <w:t xml:space="preserve"> </w:t>
      </w:r>
      <w:r w:rsidR="007B28F5">
        <w:rPr>
          <w:lang w:val="fr-CH"/>
        </w:rPr>
        <w:t>est</w:t>
      </w:r>
      <w:r w:rsidR="001E53AD">
        <w:rPr>
          <w:lang w:val="fr-CH"/>
        </w:rPr>
        <w:t xml:space="preserve"> géré</w:t>
      </w:r>
      <w:r w:rsidR="00955F94">
        <w:rPr>
          <w:lang w:val="fr-CH"/>
        </w:rPr>
        <w:t xml:space="preserve"> dans un souci d</w:t>
      </w:r>
      <w:r w:rsidR="003D2B40">
        <w:rPr>
          <w:lang w:val="fr-CH"/>
        </w:rPr>
        <w:t>'</w:t>
      </w:r>
      <w:r w:rsidR="00955F94">
        <w:rPr>
          <w:lang w:val="fr-CH"/>
        </w:rPr>
        <w:t>économie et compte dûment tenu de l</w:t>
      </w:r>
      <w:r w:rsidR="003D2B40">
        <w:rPr>
          <w:lang w:val="fr-CH"/>
        </w:rPr>
        <w:t>'</w:t>
      </w:r>
      <w:r w:rsidR="00955F94">
        <w:rPr>
          <w:lang w:val="fr-CH"/>
        </w:rPr>
        <w:t>efficience, de l</w:t>
      </w:r>
      <w:r w:rsidR="003D2B40">
        <w:rPr>
          <w:lang w:val="fr-CH"/>
        </w:rPr>
        <w:t>'</w:t>
      </w:r>
      <w:r w:rsidR="00955F94">
        <w:rPr>
          <w:lang w:val="fr-CH"/>
        </w:rPr>
        <w:t>efficacité et de</w:t>
      </w:r>
      <w:r w:rsidR="00796393">
        <w:rPr>
          <w:lang w:val="fr-CH"/>
        </w:rPr>
        <w:t xml:space="preserve"> </w:t>
      </w:r>
      <w:r w:rsidR="00955F94">
        <w:rPr>
          <w:lang w:val="fr-CH"/>
        </w:rPr>
        <w:t>l</w:t>
      </w:r>
      <w:r w:rsidR="003D2B40">
        <w:rPr>
          <w:lang w:val="fr-CH"/>
        </w:rPr>
        <w:t>'</w:t>
      </w:r>
      <w:r w:rsidR="00955F94">
        <w:rPr>
          <w:lang w:val="fr-CH"/>
        </w:rPr>
        <w:t xml:space="preserve">environnement, le </w:t>
      </w:r>
      <w:r w:rsidR="004B3438" w:rsidRPr="001E53AD">
        <w:rPr>
          <w:lang w:val="fr-CH"/>
        </w:rPr>
        <w:t>CCIG</w:t>
      </w:r>
      <w:r w:rsidR="00796393">
        <w:rPr>
          <w:lang w:val="fr-CH"/>
        </w:rPr>
        <w:t xml:space="preserve"> </w:t>
      </w:r>
      <w:r w:rsidR="007B28F5">
        <w:rPr>
          <w:lang w:val="fr-CH"/>
        </w:rPr>
        <w:t>considère</w:t>
      </w:r>
      <w:r w:rsidR="00955F94">
        <w:rPr>
          <w:lang w:val="fr-CH"/>
        </w:rPr>
        <w:t xml:space="preserve"> que l</w:t>
      </w:r>
      <w:r w:rsidR="003D2B40">
        <w:rPr>
          <w:lang w:val="fr-CH"/>
        </w:rPr>
        <w:t>'</w:t>
      </w:r>
      <w:r w:rsidR="00955F94">
        <w:rPr>
          <w:lang w:val="fr-CH"/>
        </w:rPr>
        <w:t>UIT devrait examiner les avantages qu</w:t>
      </w:r>
      <w:r w:rsidR="003D2B40">
        <w:rPr>
          <w:lang w:val="fr-CH"/>
        </w:rPr>
        <w:t>'</w:t>
      </w:r>
      <w:r w:rsidR="00955F94">
        <w:rPr>
          <w:lang w:val="fr-CH"/>
        </w:rPr>
        <w:t>il y aurait à demande</w:t>
      </w:r>
      <w:r w:rsidR="00EE6906">
        <w:rPr>
          <w:lang w:val="fr-CH"/>
        </w:rPr>
        <w:t>r</w:t>
      </w:r>
      <w:r w:rsidR="00955F94">
        <w:rPr>
          <w:lang w:val="fr-CH"/>
        </w:rPr>
        <w:t xml:space="preserve"> l</w:t>
      </w:r>
      <w:r w:rsidR="003D2B40">
        <w:rPr>
          <w:lang w:val="fr-CH"/>
        </w:rPr>
        <w:t>'</w:t>
      </w:r>
      <w:r w:rsidR="00955F94">
        <w:rPr>
          <w:lang w:val="fr-CH"/>
        </w:rPr>
        <w:t>assistance d</w:t>
      </w:r>
      <w:r w:rsidR="003D2B40">
        <w:rPr>
          <w:lang w:val="fr-CH"/>
        </w:rPr>
        <w:t>'</w:t>
      </w:r>
      <w:r w:rsidR="00955F94">
        <w:rPr>
          <w:lang w:val="fr-CH"/>
        </w:rPr>
        <w:t>experts possédant des compétences particulières en matière d</w:t>
      </w:r>
      <w:r w:rsidR="003D2B40">
        <w:rPr>
          <w:lang w:val="fr-CH"/>
        </w:rPr>
        <w:t>'</w:t>
      </w:r>
      <w:r w:rsidR="00955F94">
        <w:rPr>
          <w:lang w:val="fr-CH"/>
        </w:rPr>
        <w:t>audit des processus et procédures en place pour ce projet.</w:t>
      </w:r>
      <w:r w:rsidR="00796393">
        <w:rPr>
          <w:lang w:val="fr-CH"/>
        </w:rPr>
        <w:t xml:space="preserve"> </w:t>
      </w:r>
    </w:p>
    <w:p w:rsidR="00083A9D" w:rsidRPr="00955F94" w:rsidRDefault="009F4624" w:rsidP="007B28F5">
      <w:pPr>
        <w:rPr>
          <w:lang w:val="fr-CH"/>
        </w:rPr>
      </w:pPr>
      <w:r w:rsidRPr="00955F94">
        <w:rPr>
          <w:lang w:val="fr-CH"/>
        </w:rPr>
        <w:t>3.35</w:t>
      </w:r>
      <w:r w:rsidRPr="00955F94">
        <w:rPr>
          <w:lang w:val="fr-CH"/>
        </w:rPr>
        <w:tab/>
      </w:r>
      <w:r w:rsidR="00955F94" w:rsidRPr="00955F94">
        <w:rPr>
          <w:lang w:val="fr-CH"/>
        </w:rPr>
        <w:t xml:space="preserve">Le </w:t>
      </w:r>
      <w:r w:rsidR="004B3438" w:rsidRPr="00955F94">
        <w:rPr>
          <w:lang w:val="fr-CH"/>
        </w:rPr>
        <w:t>CCIG</w:t>
      </w:r>
      <w:r w:rsidR="00796393">
        <w:rPr>
          <w:lang w:val="fr-CH"/>
        </w:rPr>
        <w:t xml:space="preserve"> </w:t>
      </w:r>
      <w:r w:rsidR="007B28F5">
        <w:rPr>
          <w:lang w:val="fr-CH"/>
        </w:rPr>
        <w:t>souhaite</w:t>
      </w:r>
      <w:r w:rsidR="00955F94" w:rsidRPr="00955F94">
        <w:rPr>
          <w:lang w:val="fr-CH"/>
        </w:rPr>
        <w:t xml:space="preserve"> également encourag</w:t>
      </w:r>
      <w:r w:rsidR="007B28F5">
        <w:rPr>
          <w:lang w:val="fr-CH"/>
        </w:rPr>
        <w:t>er</w:t>
      </w:r>
      <w:r w:rsidR="00955F94" w:rsidRPr="00955F94">
        <w:rPr>
          <w:lang w:val="fr-CH"/>
        </w:rPr>
        <w:t xml:space="preserve"> tous les groupes régionaux à désigner </w:t>
      </w:r>
      <w:r w:rsidR="00955F94">
        <w:rPr>
          <w:lang w:val="fr-CH"/>
        </w:rPr>
        <w:t>d</w:t>
      </w:r>
      <w:r w:rsidR="00955F94" w:rsidRPr="00955F94">
        <w:rPr>
          <w:lang w:val="fr-CH"/>
        </w:rPr>
        <w:t xml:space="preserve">es membres </w:t>
      </w:r>
      <w:r w:rsidR="00955F94">
        <w:rPr>
          <w:lang w:val="fr-CH"/>
        </w:rPr>
        <w:t>pour participer aux travaux du</w:t>
      </w:r>
      <w:r w:rsidR="00796393">
        <w:rPr>
          <w:lang w:val="fr-CH"/>
        </w:rPr>
        <w:t xml:space="preserve"> </w:t>
      </w:r>
      <w:r w:rsidR="00955F94">
        <w:rPr>
          <w:color w:val="000000"/>
        </w:rPr>
        <w:t>Groupe consultatif d</w:t>
      </w:r>
      <w:r w:rsidR="003D2B40">
        <w:rPr>
          <w:color w:val="000000"/>
        </w:rPr>
        <w:t>'</w:t>
      </w:r>
      <w:r w:rsidR="00955F94">
        <w:rPr>
          <w:color w:val="000000"/>
        </w:rPr>
        <w:t>Etats Membres pour les locaux</w:t>
      </w:r>
      <w:r w:rsidR="00955F94" w:rsidRPr="00955F94">
        <w:rPr>
          <w:color w:val="000000"/>
        </w:rPr>
        <w:t xml:space="preserve"> </w:t>
      </w:r>
      <w:r w:rsidR="00955F94">
        <w:rPr>
          <w:color w:val="000000"/>
        </w:rPr>
        <w:t>(MSAG)</w:t>
      </w:r>
      <w:r w:rsidR="007B28F5">
        <w:rPr>
          <w:color w:val="000000"/>
        </w:rPr>
        <w:t>.</w:t>
      </w:r>
    </w:p>
    <w:p w:rsidR="009F4624" w:rsidRPr="00EE6906" w:rsidRDefault="009F4624" w:rsidP="007B28F5">
      <w:pPr>
        <w:spacing w:after="120"/>
        <w:rPr>
          <w:lang w:val="fr-CH"/>
        </w:rPr>
      </w:pPr>
      <w:r w:rsidRPr="00955F94">
        <w:rPr>
          <w:lang w:val="fr-CH"/>
        </w:rPr>
        <w:t>3.36</w:t>
      </w:r>
      <w:r w:rsidRPr="00955F94">
        <w:rPr>
          <w:lang w:val="fr-CH"/>
        </w:rPr>
        <w:tab/>
      </w:r>
      <w:r w:rsidR="00955F94" w:rsidRPr="00955F94">
        <w:rPr>
          <w:lang w:val="fr-CH"/>
        </w:rPr>
        <w:t>Le Comité</w:t>
      </w:r>
      <w:r w:rsidR="00796393">
        <w:rPr>
          <w:lang w:val="fr-CH"/>
        </w:rPr>
        <w:t xml:space="preserve"> </w:t>
      </w:r>
      <w:r w:rsidR="00955F94" w:rsidRPr="00955F94">
        <w:rPr>
          <w:lang w:val="fr-CH"/>
        </w:rPr>
        <w:t>encourage</w:t>
      </w:r>
      <w:r w:rsidR="00796393">
        <w:rPr>
          <w:lang w:val="fr-CH"/>
        </w:rPr>
        <w:t xml:space="preserve"> </w:t>
      </w:r>
      <w:r w:rsidR="00955F94" w:rsidRPr="00955F94">
        <w:rPr>
          <w:lang w:val="fr-CH"/>
        </w:rPr>
        <w:t>la direction de l</w:t>
      </w:r>
      <w:r w:rsidR="003D2B40">
        <w:rPr>
          <w:lang w:val="fr-CH"/>
        </w:rPr>
        <w:t>'</w:t>
      </w:r>
      <w:r w:rsidR="00955F94" w:rsidRPr="00955F94">
        <w:rPr>
          <w:lang w:val="fr-CH"/>
        </w:rPr>
        <w:t>UIT</w:t>
      </w:r>
      <w:r w:rsidR="00955F94" w:rsidRPr="00955F94">
        <w:t xml:space="preserve"> </w:t>
      </w:r>
      <w:r w:rsidR="00955F94">
        <w:t xml:space="preserve">à </w:t>
      </w:r>
      <w:r w:rsidR="007B28F5">
        <w:t>poursuivre</w:t>
      </w:r>
      <w:r w:rsidR="00955F94">
        <w:t xml:space="preserve"> le travail positif </w:t>
      </w:r>
      <w:r w:rsidR="00EE6906">
        <w:t>à cet égard.</w:t>
      </w:r>
      <w:r w:rsidR="00796393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9F4624" w:rsidRPr="004F546F" w:rsidTr="00D279ED">
        <w:tc>
          <w:tcPr>
            <w:tcW w:w="9629" w:type="dxa"/>
          </w:tcPr>
          <w:p w:rsidR="009F4624" w:rsidRPr="004F546F" w:rsidRDefault="000D73E4" w:rsidP="007B28F5">
            <w:pPr>
              <w:spacing w:before="60" w:after="60"/>
              <w:rPr>
                <w:lang w:val="fr-CH" w:eastAsia="zh-CN"/>
              </w:rPr>
            </w:pPr>
            <w:r w:rsidRPr="004F546F">
              <w:rPr>
                <w:rFonts w:asciiTheme="minorHAnsi" w:hAnsiTheme="minorHAnsi"/>
                <w:b/>
                <w:bCs/>
                <w:szCs w:val="24"/>
                <w:lang w:val="fr-CH"/>
              </w:rPr>
              <w:t>Recommandation</w:t>
            </w:r>
            <w:r w:rsidR="009F4624" w:rsidRPr="004F546F">
              <w:rPr>
                <w:rFonts w:asciiTheme="minorHAnsi" w:hAnsiTheme="minorHAnsi"/>
                <w:b/>
                <w:bCs/>
                <w:szCs w:val="24"/>
                <w:lang w:val="fr-CH"/>
              </w:rPr>
              <w:t xml:space="preserve"> 7 (2017)</w:t>
            </w:r>
            <w:r w:rsidR="009F4624" w:rsidRPr="007B28F5">
              <w:rPr>
                <w:rFonts w:asciiTheme="minorHAnsi" w:hAnsiTheme="minorHAnsi"/>
                <w:szCs w:val="24"/>
                <w:lang w:val="fr-CH"/>
              </w:rPr>
              <w:t>:</w:t>
            </w:r>
            <w:r w:rsidR="00796393">
              <w:rPr>
                <w:rFonts w:asciiTheme="minorHAnsi" w:hAnsiTheme="minorHAnsi"/>
                <w:szCs w:val="24"/>
                <w:lang w:val="fr-CH"/>
              </w:rPr>
              <w:t xml:space="preserve"> </w:t>
            </w:r>
            <w:r w:rsidR="00EE6906" w:rsidRPr="004F546F">
              <w:rPr>
                <w:rFonts w:asciiTheme="minorHAnsi" w:hAnsiTheme="minorHAnsi"/>
                <w:szCs w:val="24"/>
                <w:lang w:val="fr-CH"/>
              </w:rPr>
              <w:t xml:space="preserve">Le </w:t>
            </w:r>
            <w:r w:rsidR="004B3438" w:rsidRPr="004F546F">
              <w:rPr>
                <w:rFonts w:asciiTheme="minorHAnsi" w:hAnsiTheme="minorHAnsi"/>
                <w:szCs w:val="24"/>
                <w:lang w:val="fr-CH"/>
              </w:rPr>
              <w:t>CCIG</w:t>
            </w:r>
            <w:r w:rsidR="00796393">
              <w:rPr>
                <w:rFonts w:asciiTheme="minorHAnsi" w:hAnsiTheme="minorHAnsi"/>
                <w:szCs w:val="24"/>
                <w:lang w:val="fr-CH"/>
              </w:rPr>
              <w:t xml:space="preserve"> </w:t>
            </w:r>
            <w:r w:rsidR="00EE6906" w:rsidRPr="004F546F">
              <w:rPr>
                <w:rFonts w:asciiTheme="minorHAnsi" w:hAnsiTheme="minorHAnsi"/>
                <w:szCs w:val="24"/>
                <w:lang w:val="fr-CH"/>
              </w:rPr>
              <w:t>recommande à l</w:t>
            </w:r>
            <w:r w:rsidR="003D2B40">
              <w:rPr>
                <w:rFonts w:asciiTheme="minorHAnsi" w:hAnsiTheme="minorHAnsi"/>
                <w:szCs w:val="24"/>
                <w:lang w:val="fr-CH"/>
              </w:rPr>
              <w:t>'</w:t>
            </w:r>
            <w:r w:rsidR="00EE6906" w:rsidRPr="004F546F">
              <w:rPr>
                <w:rFonts w:asciiTheme="minorHAnsi" w:hAnsiTheme="minorHAnsi"/>
                <w:szCs w:val="24"/>
                <w:lang w:val="fr-CH"/>
              </w:rPr>
              <w:t>UIT d</w:t>
            </w:r>
            <w:r w:rsidR="003D2B40">
              <w:rPr>
                <w:rFonts w:asciiTheme="minorHAnsi" w:hAnsiTheme="minorHAnsi"/>
                <w:szCs w:val="24"/>
                <w:lang w:val="fr-CH"/>
              </w:rPr>
              <w:t>'</w:t>
            </w:r>
            <w:r w:rsidR="00EE6906" w:rsidRPr="004F546F">
              <w:rPr>
                <w:rFonts w:asciiTheme="minorHAnsi" w:hAnsiTheme="minorHAnsi"/>
                <w:szCs w:val="24"/>
                <w:lang w:val="fr-CH"/>
              </w:rPr>
              <w:t>examiner les avantages qu</w:t>
            </w:r>
            <w:r w:rsidR="003D2B40">
              <w:rPr>
                <w:rFonts w:asciiTheme="minorHAnsi" w:hAnsiTheme="minorHAnsi"/>
                <w:szCs w:val="24"/>
                <w:lang w:val="fr-CH"/>
              </w:rPr>
              <w:t>'</w:t>
            </w:r>
            <w:r w:rsidR="00EE6906" w:rsidRPr="004F546F">
              <w:rPr>
                <w:rFonts w:asciiTheme="minorHAnsi" w:hAnsiTheme="minorHAnsi"/>
                <w:szCs w:val="24"/>
                <w:lang w:val="fr-CH"/>
              </w:rPr>
              <w:t>il y aurait à</w:t>
            </w:r>
            <w:r w:rsidR="00796393">
              <w:rPr>
                <w:rFonts w:asciiTheme="minorHAnsi" w:hAnsiTheme="minorHAnsi"/>
                <w:szCs w:val="24"/>
                <w:lang w:val="fr-CH"/>
              </w:rPr>
              <w:t xml:space="preserve"> </w:t>
            </w:r>
            <w:r w:rsidR="00EE6906" w:rsidRPr="004F546F">
              <w:rPr>
                <w:rFonts w:asciiTheme="minorHAnsi" w:hAnsiTheme="minorHAnsi"/>
                <w:szCs w:val="24"/>
                <w:lang w:val="fr-CH"/>
              </w:rPr>
              <w:t>se doter d</w:t>
            </w:r>
            <w:r w:rsidR="003D2B40">
              <w:rPr>
                <w:rFonts w:asciiTheme="minorHAnsi" w:hAnsiTheme="minorHAnsi"/>
                <w:szCs w:val="24"/>
                <w:lang w:val="fr-CH"/>
              </w:rPr>
              <w:t>'</w:t>
            </w:r>
            <w:r w:rsidR="00EE6906" w:rsidRPr="004F546F">
              <w:rPr>
                <w:rFonts w:asciiTheme="minorHAnsi" w:hAnsiTheme="minorHAnsi"/>
                <w:szCs w:val="24"/>
                <w:lang w:val="fr-CH"/>
              </w:rPr>
              <w:t xml:space="preserve">une capacité </w:t>
            </w:r>
            <w:r w:rsidR="00EE6906" w:rsidRPr="004F546F">
              <w:rPr>
                <w:lang w:val="fr-CH"/>
              </w:rPr>
              <w:t>d</w:t>
            </w:r>
            <w:r w:rsidR="003D2B40">
              <w:rPr>
                <w:lang w:val="fr-CH"/>
              </w:rPr>
              <w:t>'</w:t>
            </w:r>
            <w:r w:rsidR="00EE6906" w:rsidRPr="004F546F">
              <w:rPr>
                <w:lang w:val="fr-CH"/>
              </w:rPr>
              <w:t>audit</w:t>
            </w:r>
            <w:r w:rsidR="004F546F" w:rsidRPr="004F546F">
              <w:rPr>
                <w:lang w:val="fr-CH"/>
              </w:rPr>
              <w:t xml:space="preserve">, </w:t>
            </w:r>
            <w:r w:rsidR="007B28F5">
              <w:rPr>
                <w:lang w:val="fr-CH"/>
              </w:rPr>
              <w:t>en faisant appel à</w:t>
            </w:r>
            <w:r w:rsidR="004F546F" w:rsidRPr="004F546F">
              <w:rPr>
                <w:lang w:val="fr-CH"/>
              </w:rPr>
              <w:t xml:space="preserve"> des experts </w:t>
            </w:r>
            <w:r w:rsidR="007B28F5">
              <w:rPr>
                <w:lang w:val="fr-CH"/>
              </w:rPr>
              <w:t>dotés</w:t>
            </w:r>
            <w:r w:rsidR="004F546F" w:rsidRPr="004F546F">
              <w:rPr>
                <w:lang w:val="fr-CH"/>
              </w:rPr>
              <w:t xml:space="preserve"> de compétences </w:t>
            </w:r>
            <w:r w:rsidR="007B28F5">
              <w:rPr>
                <w:lang w:val="fr-CH"/>
              </w:rPr>
              <w:t>spéciales</w:t>
            </w:r>
            <w:r w:rsidR="004F546F">
              <w:rPr>
                <w:lang w:val="fr-CH"/>
              </w:rPr>
              <w:t xml:space="preserve"> dans ce domaine et, en temps utile, </w:t>
            </w:r>
            <w:r w:rsidR="007B28F5">
              <w:rPr>
                <w:lang w:val="fr-CH"/>
              </w:rPr>
              <w:t>à</w:t>
            </w:r>
            <w:r w:rsidR="004F546F">
              <w:rPr>
                <w:lang w:val="fr-CH"/>
              </w:rPr>
              <w:t xml:space="preserve"> procéder à un audit </w:t>
            </w:r>
            <w:r w:rsidR="00B03BB9">
              <w:rPr>
                <w:lang w:val="fr-CH"/>
              </w:rPr>
              <w:t xml:space="preserve">indépendant </w:t>
            </w:r>
            <w:r w:rsidR="004F546F">
              <w:rPr>
                <w:lang w:val="fr-CH"/>
              </w:rPr>
              <w:t xml:space="preserve">des comptes établis </w:t>
            </w:r>
            <w:r w:rsidR="004F546F" w:rsidRPr="004F546F">
              <w:rPr>
                <w:lang w:val="fr-CH"/>
              </w:rPr>
              <w:t>pour la construction</w:t>
            </w:r>
            <w:r w:rsidR="00796393">
              <w:rPr>
                <w:lang w:val="fr-CH"/>
              </w:rPr>
              <w:t xml:space="preserve"> </w:t>
            </w:r>
            <w:r w:rsidR="004F546F" w:rsidRPr="004F546F">
              <w:rPr>
                <w:lang w:val="fr-CH"/>
              </w:rPr>
              <w:t>du bâtiment</w:t>
            </w:r>
            <w:r w:rsidR="007B28F5">
              <w:rPr>
                <w:lang w:val="fr-CH"/>
              </w:rPr>
              <w:t>.</w:t>
            </w:r>
          </w:p>
        </w:tc>
      </w:tr>
    </w:tbl>
    <w:p w:rsidR="00083A9D" w:rsidRPr="000B0BEF" w:rsidRDefault="00083A9D" w:rsidP="007B28F5">
      <w:pPr>
        <w:pStyle w:val="Headingb"/>
      </w:pPr>
      <w:r w:rsidRPr="000B0BEF">
        <w:t>Evaluation</w:t>
      </w:r>
    </w:p>
    <w:p w:rsidR="00083A9D" w:rsidRPr="00B03BB9" w:rsidRDefault="00CD02CE" w:rsidP="007B28F5">
      <w:pPr>
        <w:rPr>
          <w:lang w:val="fr-CH"/>
        </w:rPr>
      </w:pPr>
      <w:r w:rsidRPr="004F546F">
        <w:rPr>
          <w:lang w:val="fr-CH"/>
        </w:rPr>
        <w:t>3.37</w:t>
      </w:r>
      <w:r w:rsidRPr="004F546F">
        <w:rPr>
          <w:lang w:val="fr-CH"/>
        </w:rPr>
        <w:tab/>
      </w:r>
      <w:r w:rsidR="004F546F" w:rsidRPr="004F546F">
        <w:rPr>
          <w:lang w:val="fr-CH"/>
        </w:rPr>
        <w:t>Au cours de sa dernière réunion tenue en mai 2017,</w:t>
      </w:r>
      <w:r w:rsidR="00796393">
        <w:rPr>
          <w:lang w:val="fr-CH"/>
        </w:rPr>
        <w:t xml:space="preserve"> </w:t>
      </w:r>
      <w:r w:rsidR="004F546F" w:rsidRPr="004F546F">
        <w:rPr>
          <w:lang w:val="fr-CH"/>
        </w:rPr>
        <w:t xml:space="preserve">le </w:t>
      </w:r>
      <w:r w:rsidR="004B3438" w:rsidRPr="004F546F">
        <w:rPr>
          <w:lang w:val="fr-CH"/>
        </w:rPr>
        <w:t xml:space="preserve">CCIG </w:t>
      </w:r>
      <w:r w:rsidR="004F546F">
        <w:rPr>
          <w:lang w:val="fr-CH"/>
        </w:rPr>
        <w:t>a été saisi d</w:t>
      </w:r>
      <w:r w:rsidR="003D2B40">
        <w:rPr>
          <w:lang w:val="fr-CH"/>
        </w:rPr>
        <w:t>'</w:t>
      </w:r>
      <w:r w:rsidR="004F546F">
        <w:rPr>
          <w:lang w:val="fr-CH"/>
        </w:rPr>
        <w:t>un rapport relatif à une étude de faisabilité</w:t>
      </w:r>
      <w:r w:rsidR="00796393">
        <w:rPr>
          <w:lang w:val="fr-CH"/>
        </w:rPr>
        <w:t xml:space="preserve"> </w:t>
      </w:r>
      <w:r w:rsidR="007B28F5">
        <w:rPr>
          <w:lang w:val="fr-CH"/>
        </w:rPr>
        <w:t xml:space="preserve">concernant </w:t>
      </w:r>
      <w:r w:rsidR="004F546F">
        <w:rPr>
          <w:color w:val="000000"/>
        </w:rPr>
        <w:t>une fonction d</w:t>
      </w:r>
      <w:r w:rsidR="003D2B40">
        <w:rPr>
          <w:color w:val="000000"/>
        </w:rPr>
        <w:t>'</w:t>
      </w:r>
      <w:r w:rsidR="004F546F">
        <w:rPr>
          <w:color w:val="000000"/>
        </w:rPr>
        <w:t>évaluation</w:t>
      </w:r>
      <w:r w:rsidR="00796393">
        <w:rPr>
          <w:color w:val="000000"/>
        </w:rPr>
        <w:t xml:space="preserve"> </w:t>
      </w:r>
      <w:r w:rsidR="004F546F">
        <w:rPr>
          <w:color w:val="000000"/>
        </w:rPr>
        <w:t>à l</w:t>
      </w:r>
      <w:r w:rsidR="003D2B40">
        <w:rPr>
          <w:color w:val="000000"/>
        </w:rPr>
        <w:t>'</w:t>
      </w:r>
      <w:r w:rsidR="004F546F">
        <w:rPr>
          <w:color w:val="000000"/>
        </w:rPr>
        <w:t>UIT</w:t>
      </w:r>
      <w:r w:rsidR="004F546F">
        <w:rPr>
          <w:lang w:val="fr-CH"/>
        </w:rPr>
        <w:t xml:space="preserve">. </w:t>
      </w:r>
      <w:r w:rsidR="004F546F" w:rsidRPr="004F546F">
        <w:rPr>
          <w:lang w:val="fr-CH"/>
        </w:rPr>
        <w:t>Le Comité félicite la direction de l</w:t>
      </w:r>
      <w:r w:rsidR="003D2B40">
        <w:rPr>
          <w:lang w:val="fr-CH"/>
        </w:rPr>
        <w:t>'</w:t>
      </w:r>
      <w:r w:rsidR="004F546F" w:rsidRPr="004F546F">
        <w:rPr>
          <w:lang w:val="fr-CH"/>
        </w:rPr>
        <w:t>UIT d</w:t>
      </w:r>
      <w:r w:rsidR="003D2B40">
        <w:rPr>
          <w:lang w:val="fr-CH"/>
        </w:rPr>
        <w:t>'</w:t>
      </w:r>
      <w:r w:rsidR="004F546F" w:rsidRPr="004F546F">
        <w:rPr>
          <w:lang w:val="fr-CH"/>
        </w:rPr>
        <w:t>avoir fait avancer l</w:t>
      </w:r>
      <w:r w:rsidR="003D2B40">
        <w:rPr>
          <w:lang w:val="fr-CH"/>
        </w:rPr>
        <w:t>'</w:t>
      </w:r>
      <w:r w:rsidR="004F546F" w:rsidRPr="004F546F">
        <w:rPr>
          <w:lang w:val="fr-CH"/>
        </w:rPr>
        <w:t>initiative visant à</w:t>
      </w:r>
      <w:r w:rsidR="00796393">
        <w:rPr>
          <w:lang w:val="fr-CH"/>
        </w:rPr>
        <w:t xml:space="preserve"> </w:t>
      </w:r>
      <w:r w:rsidR="004F546F">
        <w:rPr>
          <w:lang w:val="fr-CH"/>
        </w:rPr>
        <w:t>apporter des précisions sur la nécessité d</w:t>
      </w:r>
      <w:r w:rsidR="003D2B40">
        <w:rPr>
          <w:lang w:val="fr-CH"/>
        </w:rPr>
        <w:t>'</w:t>
      </w:r>
      <w:r w:rsidR="004F546F">
        <w:rPr>
          <w:lang w:val="fr-CH"/>
        </w:rPr>
        <w:t>une fonction d</w:t>
      </w:r>
      <w:r w:rsidR="003D2B40">
        <w:rPr>
          <w:lang w:val="fr-CH"/>
        </w:rPr>
        <w:t>'</w:t>
      </w:r>
      <w:r w:rsidR="004F546F">
        <w:rPr>
          <w:lang w:val="fr-CH"/>
        </w:rPr>
        <w:t>évaluation et les mécanismes susceptibles d</w:t>
      </w:r>
      <w:r w:rsidR="003D2B40">
        <w:rPr>
          <w:lang w:val="fr-CH"/>
        </w:rPr>
        <w:t>'</w:t>
      </w:r>
      <w:r w:rsidR="004F546F">
        <w:rPr>
          <w:lang w:val="fr-CH"/>
        </w:rPr>
        <w:t>être mis en place pour cette fonction, et</w:t>
      </w:r>
      <w:r w:rsidR="00796393">
        <w:rPr>
          <w:lang w:val="fr-CH"/>
        </w:rPr>
        <w:t xml:space="preserve"> </w:t>
      </w:r>
      <w:r w:rsidR="00B03BB9">
        <w:rPr>
          <w:lang w:val="fr-CH"/>
        </w:rPr>
        <w:t>est prêt à fournir des avis à la direction de l</w:t>
      </w:r>
      <w:r w:rsidR="003D2B40">
        <w:rPr>
          <w:lang w:val="fr-CH"/>
        </w:rPr>
        <w:t>'</w:t>
      </w:r>
      <w:r w:rsidR="00B03BB9">
        <w:rPr>
          <w:lang w:val="fr-CH"/>
        </w:rPr>
        <w:t>UIT en cas de besoin.</w:t>
      </w:r>
      <w:r w:rsidR="00796393">
        <w:rPr>
          <w:lang w:val="fr-CH"/>
        </w:rPr>
        <w:t xml:space="preserve"> </w:t>
      </w:r>
    </w:p>
    <w:p w:rsidR="00083A9D" w:rsidRPr="00B03BB9" w:rsidRDefault="00CD02CE" w:rsidP="007B28F5">
      <w:pPr>
        <w:rPr>
          <w:lang w:val="fr-CH"/>
        </w:rPr>
      </w:pPr>
      <w:r w:rsidRPr="00B03BB9">
        <w:rPr>
          <w:lang w:val="fr-CH"/>
        </w:rPr>
        <w:t>3.38</w:t>
      </w:r>
      <w:r w:rsidRPr="00B03BB9">
        <w:rPr>
          <w:lang w:val="fr-CH"/>
        </w:rPr>
        <w:tab/>
      </w:r>
      <w:r w:rsidR="00B03BB9" w:rsidRPr="00B03BB9">
        <w:rPr>
          <w:lang w:val="fr-CH"/>
        </w:rPr>
        <w:t>Le Comité examinera le rapport relatif à l</w:t>
      </w:r>
      <w:r w:rsidR="003D2B40">
        <w:rPr>
          <w:lang w:val="fr-CH"/>
        </w:rPr>
        <w:t>'</w:t>
      </w:r>
      <w:r w:rsidR="00B03BB9" w:rsidRPr="00B03BB9">
        <w:rPr>
          <w:lang w:val="fr-CH"/>
        </w:rPr>
        <w:t>étude de faisabilité lors de sa prochaine réunion.</w:t>
      </w:r>
      <w:r w:rsidR="00796393">
        <w:rPr>
          <w:lang w:val="fr-CH"/>
        </w:rPr>
        <w:t xml:space="preserve"> </w:t>
      </w:r>
    </w:p>
    <w:p w:rsidR="00083A9D" w:rsidRPr="007B28F5" w:rsidRDefault="00CD02CE" w:rsidP="002F5656">
      <w:pPr>
        <w:pStyle w:val="Heading1"/>
        <w:rPr>
          <w:sz w:val="24"/>
          <w:szCs w:val="18"/>
          <w:lang w:val="fr-CH"/>
        </w:rPr>
      </w:pPr>
      <w:r w:rsidRPr="007B28F5">
        <w:rPr>
          <w:sz w:val="24"/>
          <w:szCs w:val="18"/>
          <w:lang w:val="fr-CH"/>
        </w:rPr>
        <w:lastRenderedPageBreak/>
        <w:t>4</w:t>
      </w:r>
      <w:r w:rsidRPr="007B28F5">
        <w:rPr>
          <w:sz w:val="24"/>
          <w:szCs w:val="18"/>
          <w:lang w:val="fr-CH"/>
        </w:rPr>
        <w:tab/>
        <w:t>Divers</w:t>
      </w:r>
    </w:p>
    <w:p w:rsidR="00083A9D" w:rsidRPr="00CD02CE" w:rsidRDefault="00CD02CE" w:rsidP="002F5656">
      <w:pPr>
        <w:keepNext/>
        <w:keepLines/>
        <w:rPr>
          <w:lang w:val="fr-CH"/>
        </w:rPr>
      </w:pPr>
      <w:r w:rsidRPr="00CD02CE">
        <w:rPr>
          <w:lang w:val="fr-CH"/>
        </w:rPr>
        <w:t>4.1</w:t>
      </w:r>
      <w:r w:rsidRPr="00CD02CE">
        <w:rPr>
          <w:lang w:val="fr-CH"/>
        </w:rPr>
        <w:tab/>
      </w:r>
      <w:r w:rsidRPr="00FA38FA">
        <w:rPr>
          <w:lang w:val="fr-CH"/>
        </w:rPr>
        <w:t xml:space="preserve">Le CCIG </w:t>
      </w:r>
      <w:r w:rsidRPr="00FA38FA">
        <w:rPr>
          <w:color w:val="000000"/>
          <w:lang w:val="fr-CH"/>
        </w:rPr>
        <w:t>tiendra sa prochaine réunion à l</w:t>
      </w:r>
      <w:r w:rsidR="003D2B40">
        <w:rPr>
          <w:color w:val="000000"/>
          <w:lang w:val="fr-CH"/>
        </w:rPr>
        <w:t>'</w:t>
      </w:r>
      <w:r w:rsidRPr="00FA38FA">
        <w:rPr>
          <w:color w:val="000000"/>
          <w:lang w:val="fr-CH"/>
        </w:rPr>
        <w:t xml:space="preserve">automne </w:t>
      </w:r>
      <w:r w:rsidR="00083A9D" w:rsidRPr="00CD02CE">
        <w:rPr>
          <w:lang w:val="fr-CH"/>
        </w:rPr>
        <w:t>2017.</w:t>
      </w:r>
    </w:p>
    <w:p w:rsidR="00083A9D" w:rsidRPr="00B03BB9" w:rsidRDefault="00CD02CE" w:rsidP="007B28F5">
      <w:pPr>
        <w:rPr>
          <w:lang w:val="fr-CH"/>
        </w:rPr>
      </w:pPr>
      <w:r w:rsidRPr="00CD02CE">
        <w:rPr>
          <w:lang w:val="fr-CH"/>
        </w:rPr>
        <w:t>4.2</w:t>
      </w:r>
      <w:r w:rsidRPr="00CD02CE">
        <w:rPr>
          <w:lang w:val="fr-CH"/>
        </w:rPr>
        <w:tab/>
      </w:r>
      <w:r w:rsidRPr="00FA38FA">
        <w:rPr>
          <w:color w:val="000000"/>
          <w:lang w:val="fr-CH"/>
        </w:rPr>
        <w:t xml:space="preserve">Les membres du CCIG tiennent à </w:t>
      </w:r>
      <w:r w:rsidR="00B03BB9">
        <w:rPr>
          <w:color w:val="000000"/>
        </w:rPr>
        <w:t>renouveler l</w:t>
      </w:r>
      <w:r w:rsidR="003D2B40">
        <w:rPr>
          <w:color w:val="000000"/>
        </w:rPr>
        <w:t>'</w:t>
      </w:r>
      <w:r w:rsidR="00B03BB9">
        <w:rPr>
          <w:color w:val="000000"/>
        </w:rPr>
        <w:t>expression de leur gratitude</w:t>
      </w:r>
      <w:r w:rsidR="00796393">
        <w:rPr>
          <w:color w:val="000000"/>
        </w:rPr>
        <w:t xml:space="preserve"> </w:t>
      </w:r>
      <w:r w:rsidR="00B03BB9">
        <w:rPr>
          <w:color w:val="000000"/>
        </w:rPr>
        <w:t xml:space="preserve">aux </w:t>
      </w:r>
      <w:r w:rsidRPr="00FA38FA">
        <w:rPr>
          <w:color w:val="000000"/>
          <w:lang w:val="fr-CH"/>
        </w:rPr>
        <w:t>Etats Membres,</w:t>
      </w:r>
      <w:r w:rsidR="00796393">
        <w:rPr>
          <w:color w:val="000000"/>
          <w:lang w:val="fr-CH"/>
        </w:rPr>
        <w:t xml:space="preserve"> </w:t>
      </w:r>
      <w:r w:rsidR="00B03BB9">
        <w:rPr>
          <w:color w:val="000000"/>
          <w:lang w:val="fr-CH"/>
        </w:rPr>
        <w:t xml:space="preserve">aux </w:t>
      </w:r>
      <w:r w:rsidRPr="00FA38FA">
        <w:rPr>
          <w:color w:val="000000"/>
          <w:lang w:val="fr-CH"/>
        </w:rPr>
        <w:t xml:space="preserve">membres du </w:t>
      </w:r>
      <w:r>
        <w:rPr>
          <w:lang w:val="fr-CH"/>
        </w:rPr>
        <w:t>GTC-FHR</w:t>
      </w:r>
      <w:r w:rsidRPr="00FA38FA">
        <w:rPr>
          <w:color w:val="000000"/>
          <w:lang w:val="fr-CH"/>
        </w:rPr>
        <w:t>,</w:t>
      </w:r>
      <w:r w:rsidR="00796393">
        <w:rPr>
          <w:color w:val="000000"/>
          <w:lang w:val="fr-CH"/>
        </w:rPr>
        <w:t xml:space="preserve"> </w:t>
      </w:r>
      <w:r w:rsidR="00B03BB9">
        <w:rPr>
          <w:color w:val="000000"/>
          <w:lang w:val="fr-CH"/>
        </w:rPr>
        <w:t>au</w:t>
      </w:r>
      <w:r w:rsidR="00796393">
        <w:rPr>
          <w:color w:val="000000"/>
          <w:lang w:val="fr-CH"/>
        </w:rPr>
        <w:t xml:space="preserve"> </w:t>
      </w:r>
      <w:r w:rsidRPr="00FA38FA">
        <w:rPr>
          <w:color w:val="000000"/>
          <w:lang w:val="fr-CH"/>
        </w:rPr>
        <w:t xml:space="preserve">Secrétaire général et </w:t>
      </w:r>
      <w:r w:rsidR="00B03BB9">
        <w:rPr>
          <w:color w:val="000000"/>
          <w:lang w:val="fr-CH"/>
        </w:rPr>
        <w:t>aux</w:t>
      </w:r>
      <w:r w:rsidR="00796393">
        <w:rPr>
          <w:color w:val="000000"/>
          <w:lang w:val="fr-CH"/>
        </w:rPr>
        <w:t xml:space="preserve"> </w:t>
      </w:r>
      <w:r w:rsidRPr="00FA38FA">
        <w:rPr>
          <w:color w:val="000000"/>
          <w:lang w:val="fr-CH"/>
        </w:rPr>
        <w:t>fonctionnaires de l</w:t>
      </w:r>
      <w:r w:rsidR="003D2B40">
        <w:rPr>
          <w:color w:val="000000"/>
          <w:lang w:val="fr-CH"/>
        </w:rPr>
        <w:t>'</w:t>
      </w:r>
      <w:r w:rsidRPr="00FA38FA">
        <w:rPr>
          <w:color w:val="000000"/>
          <w:lang w:val="fr-CH"/>
        </w:rPr>
        <w:t>UIT pour leur appui, leur coopération et leur attitude constructive</w:t>
      </w:r>
      <w:r w:rsidR="00B03BB9">
        <w:rPr>
          <w:color w:val="000000"/>
          <w:lang w:val="fr-CH"/>
        </w:rPr>
        <w:t xml:space="preserve"> en vue de favoriser le</w:t>
      </w:r>
      <w:r w:rsidRPr="00FA38FA">
        <w:rPr>
          <w:color w:val="000000"/>
          <w:lang w:val="fr-CH"/>
        </w:rPr>
        <w:t xml:space="preserve"> fonctionnement efficace du Comité</w:t>
      </w:r>
      <w:r>
        <w:rPr>
          <w:color w:val="000000"/>
          <w:lang w:val="fr-CH"/>
        </w:rPr>
        <w:t>.</w:t>
      </w:r>
      <w:r w:rsidR="00B03BB9">
        <w:rPr>
          <w:color w:val="000000"/>
          <w:lang w:val="fr-CH"/>
        </w:rPr>
        <w:t xml:space="preserve"> </w:t>
      </w:r>
    </w:p>
    <w:p w:rsidR="00083A9D" w:rsidRPr="00CD02CE" w:rsidRDefault="00CD02CE" w:rsidP="007B28F5">
      <w:pPr>
        <w:rPr>
          <w:lang w:val="fr-CH"/>
        </w:rPr>
      </w:pPr>
      <w:r w:rsidRPr="00CD02CE">
        <w:rPr>
          <w:lang w:val="fr-CH"/>
        </w:rPr>
        <w:t>4.3</w:t>
      </w:r>
      <w:r w:rsidRPr="00CD02CE">
        <w:rPr>
          <w:lang w:val="fr-CH"/>
        </w:rPr>
        <w:tab/>
      </w:r>
      <w:r w:rsidRPr="00FA38FA">
        <w:rPr>
          <w:color w:val="000000"/>
          <w:lang w:val="fr-CH"/>
        </w:rPr>
        <w:t>La composition du CCIG, ses responsabilités, son mandat et ses rapports sont disponibles sur le site web public de l</w:t>
      </w:r>
      <w:r w:rsidR="003D2B40">
        <w:rPr>
          <w:color w:val="000000"/>
          <w:lang w:val="fr-CH"/>
        </w:rPr>
        <w:t>'</w:t>
      </w:r>
      <w:r w:rsidRPr="00FA38FA">
        <w:rPr>
          <w:color w:val="000000"/>
          <w:lang w:val="fr-CH"/>
        </w:rPr>
        <w:t>UIT, dans la partie consacrée au CCIG</w:t>
      </w:r>
      <w:r w:rsidRPr="00FA38FA">
        <w:rPr>
          <w:lang w:val="fr-CH"/>
        </w:rPr>
        <w:t>:</w:t>
      </w:r>
      <w:r w:rsidR="00083A9D" w:rsidRPr="00CD02CE">
        <w:rPr>
          <w:lang w:val="fr-CH"/>
        </w:rPr>
        <w:t xml:space="preserve"> </w:t>
      </w:r>
      <w:hyperlink r:id="rId21" w:history="1">
        <w:r w:rsidR="00083A9D" w:rsidRPr="00CD02CE">
          <w:rPr>
            <w:rStyle w:val="Hyperlink"/>
            <w:lang w:val="fr-CH"/>
          </w:rPr>
          <w:t>http://www.itu.int/en/council/Pages/imac.aspx</w:t>
        </w:r>
      </w:hyperlink>
      <w:r w:rsidR="00083A9D" w:rsidRPr="00CD02CE">
        <w:rPr>
          <w:lang w:val="fr-CH"/>
        </w:rPr>
        <w:t>.</w:t>
      </w:r>
    </w:p>
    <w:p w:rsidR="00083A9D" w:rsidRPr="00CD02CE" w:rsidRDefault="00083A9D" w:rsidP="001020E4">
      <w:pPr>
        <w:spacing w:line="480" w:lineRule="auto"/>
        <w:rPr>
          <w:rFonts w:asciiTheme="minorHAnsi" w:hAnsiTheme="minorHAnsi"/>
          <w:szCs w:val="24"/>
          <w:lang w:val="fr-CH"/>
        </w:rPr>
      </w:pPr>
      <w:r w:rsidRPr="00CD02CE">
        <w:rPr>
          <w:rFonts w:asciiTheme="minorHAnsi" w:hAnsiTheme="minorHAnsi"/>
          <w:szCs w:val="24"/>
          <w:lang w:val="fr-CH"/>
        </w:rPr>
        <w:br w:type="page"/>
      </w:r>
    </w:p>
    <w:p w:rsidR="00083A9D" w:rsidRDefault="00CD02CE" w:rsidP="007B28F5">
      <w:pPr>
        <w:pStyle w:val="AnnexNo"/>
      </w:pPr>
      <w:r w:rsidRPr="002C3C02">
        <w:rPr>
          <w:lang w:val="fr-CH"/>
        </w:rPr>
        <w:lastRenderedPageBreak/>
        <w:t xml:space="preserve">ANNEXE 1: STATISTIQUES </w:t>
      </w:r>
      <w:r>
        <w:rPr>
          <w:lang w:val="fr-CH"/>
        </w:rPr>
        <w:t xml:space="preserve">RELATIVES À LA MISE EN OEUVRE DES RECOMMANDATIONS DU </w:t>
      </w:r>
      <w:r w:rsidRPr="002C3C02">
        <w:rPr>
          <w:lang w:val="fr-CH"/>
        </w:rPr>
        <w:t>CCIG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4F81BD" w:themeColor="accent1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54"/>
        <w:gridCol w:w="6085"/>
      </w:tblGrid>
      <w:tr w:rsidR="00083A9D" w:rsidTr="006E0A12">
        <w:tc>
          <w:tcPr>
            <w:tcW w:w="3554" w:type="dxa"/>
            <w:vAlign w:val="center"/>
          </w:tcPr>
          <w:tbl>
            <w:tblPr>
              <w:tblStyle w:val="ListTable6Colorful-Accent1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79"/>
              <w:gridCol w:w="768"/>
              <w:gridCol w:w="557"/>
            </w:tblGrid>
            <w:tr w:rsidR="00083A9D" w:rsidRPr="007B28F5" w:rsidTr="006E0A12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879" w:type="dxa"/>
                  <w:noWrap/>
                  <w:hideMark/>
                </w:tcPr>
                <w:p w:rsidR="00083A9D" w:rsidRPr="007B28F5" w:rsidRDefault="006E0A12" w:rsidP="007B28F5">
                  <w:pPr>
                    <w:pStyle w:val="Tablehead"/>
                    <w:jc w:val="left"/>
                    <w:rPr>
                      <w:b/>
                      <w:bCs w:val="0"/>
                      <w:color w:val="auto"/>
                      <w:sz w:val="18"/>
                      <w:szCs w:val="18"/>
                      <w:lang w:val="fr-CH" w:eastAsia="zh-CN"/>
                    </w:rPr>
                  </w:pPr>
                  <w:r w:rsidRPr="007B28F5">
                    <w:rPr>
                      <w:b/>
                      <w:bCs w:val="0"/>
                      <w:color w:val="auto"/>
                      <w:sz w:val="18"/>
                      <w:szCs w:val="18"/>
                    </w:rPr>
                    <w:t xml:space="preserve">Situation générale des recommandations du CCIG pour la période </w:t>
                  </w:r>
                  <w:r w:rsidR="00083A9D" w:rsidRPr="007B28F5">
                    <w:rPr>
                      <w:b/>
                      <w:bCs w:val="0"/>
                      <w:color w:val="auto"/>
                      <w:sz w:val="18"/>
                      <w:szCs w:val="18"/>
                      <w:lang w:val="fr-CH" w:eastAsia="zh-CN"/>
                    </w:rPr>
                    <w:t>2012-2016</w:t>
                  </w:r>
                </w:p>
              </w:tc>
              <w:tc>
                <w:tcPr>
                  <w:tcW w:w="768" w:type="dxa"/>
                  <w:noWrap/>
                  <w:tcMar>
                    <w:left w:w="28" w:type="dxa"/>
                    <w:right w:w="28" w:type="dxa"/>
                  </w:tcMar>
                  <w:vAlign w:val="center"/>
                  <w:hideMark/>
                </w:tcPr>
                <w:p w:rsidR="00083A9D" w:rsidRPr="001B2ECC" w:rsidRDefault="00083A9D" w:rsidP="007B28F5">
                  <w:pPr>
                    <w:pStyle w:val="Tablehead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 w:val="0"/>
                      <w:color w:val="auto"/>
                      <w:sz w:val="18"/>
                      <w:szCs w:val="18"/>
                      <w:lang w:val="en-US" w:eastAsia="zh-CN"/>
                    </w:rPr>
                  </w:pPr>
                  <w:r w:rsidRPr="001B2ECC">
                    <w:rPr>
                      <w:b/>
                      <w:bCs w:val="0"/>
                      <w:color w:val="auto"/>
                      <w:sz w:val="18"/>
                      <w:szCs w:val="18"/>
                      <w:lang w:val="en-US" w:eastAsia="zh-CN"/>
                    </w:rPr>
                    <w:t>No</w:t>
                  </w:r>
                  <w:r w:rsidR="006E0A12" w:rsidRPr="001B2ECC">
                    <w:rPr>
                      <w:b/>
                      <w:bCs w:val="0"/>
                      <w:color w:val="auto"/>
                      <w:sz w:val="18"/>
                      <w:szCs w:val="18"/>
                      <w:lang w:val="en-US" w:eastAsia="zh-CN"/>
                    </w:rPr>
                    <w:t>mbre</w:t>
                  </w:r>
                </w:p>
              </w:tc>
              <w:tc>
                <w:tcPr>
                  <w:tcW w:w="557" w:type="dxa"/>
                  <w:noWrap/>
                  <w:tcMar>
                    <w:left w:w="28" w:type="dxa"/>
                    <w:right w:w="28" w:type="dxa"/>
                  </w:tcMar>
                  <w:vAlign w:val="center"/>
                  <w:hideMark/>
                </w:tcPr>
                <w:p w:rsidR="00083A9D" w:rsidRPr="001B2ECC" w:rsidRDefault="00083A9D" w:rsidP="007B28F5">
                  <w:pPr>
                    <w:pStyle w:val="Tablehead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 w:val="0"/>
                      <w:color w:val="auto"/>
                      <w:sz w:val="18"/>
                      <w:szCs w:val="18"/>
                      <w:lang w:val="en-US" w:eastAsia="zh-CN"/>
                    </w:rPr>
                  </w:pPr>
                  <w:r w:rsidRPr="001B2ECC">
                    <w:rPr>
                      <w:b/>
                      <w:bCs w:val="0"/>
                      <w:color w:val="auto"/>
                      <w:sz w:val="18"/>
                      <w:szCs w:val="18"/>
                      <w:lang w:val="en-US" w:eastAsia="zh-CN"/>
                    </w:rPr>
                    <w:t>%</w:t>
                  </w:r>
                </w:p>
              </w:tc>
            </w:tr>
            <w:tr w:rsidR="00083A9D" w:rsidRPr="007B28F5" w:rsidTr="006E0A1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879" w:type="dxa"/>
                  <w:noWrap/>
                  <w:hideMark/>
                </w:tcPr>
                <w:p w:rsidR="00083A9D" w:rsidRPr="007B28F5" w:rsidRDefault="00083A9D" w:rsidP="007B28F5">
                  <w:pPr>
                    <w:pStyle w:val="Tabletext"/>
                    <w:rPr>
                      <w:color w:val="auto"/>
                      <w:sz w:val="18"/>
                      <w:szCs w:val="16"/>
                      <w:lang w:val="en-US" w:eastAsia="zh-CN"/>
                    </w:rPr>
                  </w:pPr>
                  <w:r w:rsidRPr="007B28F5">
                    <w:rPr>
                      <w:color w:val="auto"/>
                      <w:sz w:val="18"/>
                      <w:szCs w:val="16"/>
                      <w:lang w:val="en-US" w:eastAsia="zh-CN"/>
                    </w:rPr>
                    <w:t>Total</w:t>
                  </w:r>
                </w:p>
              </w:tc>
              <w:tc>
                <w:tcPr>
                  <w:tcW w:w="768" w:type="dxa"/>
                  <w:noWrap/>
                  <w:tcMar>
                    <w:left w:w="28" w:type="dxa"/>
                    <w:right w:w="28" w:type="dxa"/>
                  </w:tcMar>
                  <w:hideMark/>
                </w:tcPr>
                <w:p w:rsidR="00083A9D" w:rsidRPr="007B28F5" w:rsidRDefault="00083A9D" w:rsidP="007B28F5">
                  <w:pPr>
                    <w:pStyle w:val="Tabletex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color w:val="auto"/>
                      <w:sz w:val="18"/>
                      <w:szCs w:val="16"/>
                      <w:lang w:val="en-US" w:eastAsia="zh-CN"/>
                    </w:rPr>
                  </w:pPr>
                  <w:r w:rsidRPr="007B28F5">
                    <w:rPr>
                      <w:b/>
                      <w:bCs/>
                      <w:color w:val="auto"/>
                      <w:sz w:val="18"/>
                      <w:szCs w:val="16"/>
                      <w:lang w:val="en-US" w:eastAsia="zh-CN"/>
                    </w:rPr>
                    <w:t>43</w:t>
                  </w:r>
                </w:p>
              </w:tc>
              <w:tc>
                <w:tcPr>
                  <w:tcW w:w="557" w:type="dxa"/>
                  <w:noWrap/>
                  <w:tcMar>
                    <w:left w:w="28" w:type="dxa"/>
                    <w:right w:w="28" w:type="dxa"/>
                  </w:tcMar>
                  <w:hideMark/>
                </w:tcPr>
                <w:p w:rsidR="00083A9D" w:rsidRPr="007B28F5" w:rsidRDefault="00083A9D" w:rsidP="007B28F5">
                  <w:pPr>
                    <w:pStyle w:val="Tabletex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color w:val="auto"/>
                      <w:sz w:val="18"/>
                      <w:szCs w:val="16"/>
                      <w:lang w:val="en-US" w:eastAsia="zh-CN"/>
                    </w:rPr>
                  </w:pPr>
                  <w:r w:rsidRPr="007B28F5">
                    <w:rPr>
                      <w:b/>
                      <w:bCs/>
                      <w:color w:val="auto"/>
                      <w:sz w:val="18"/>
                      <w:szCs w:val="16"/>
                      <w:lang w:val="en-US" w:eastAsia="zh-CN"/>
                    </w:rPr>
                    <w:t>100</w:t>
                  </w:r>
                </w:p>
              </w:tc>
            </w:tr>
            <w:tr w:rsidR="00083A9D" w:rsidRPr="007B28F5" w:rsidTr="006E0A12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879" w:type="dxa"/>
                  <w:noWrap/>
                  <w:hideMark/>
                </w:tcPr>
                <w:p w:rsidR="00083A9D" w:rsidRPr="007B28F5" w:rsidRDefault="006E0A12" w:rsidP="007B28F5">
                  <w:pPr>
                    <w:pStyle w:val="Tabletext"/>
                    <w:rPr>
                      <w:b w:val="0"/>
                      <w:bCs w:val="0"/>
                      <w:color w:val="auto"/>
                      <w:sz w:val="18"/>
                      <w:szCs w:val="16"/>
                      <w:lang w:val="en-US" w:eastAsia="zh-CN"/>
                    </w:rPr>
                  </w:pPr>
                  <w:r w:rsidRPr="007B28F5">
                    <w:rPr>
                      <w:b w:val="0"/>
                      <w:bCs w:val="0"/>
                      <w:color w:val="auto"/>
                      <w:sz w:val="18"/>
                      <w:szCs w:val="16"/>
                      <w:lang w:val="en-US" w:eastAsia="zh-CN"/>
                    </w:rPr>
                    <w:t>Mise en oeuvre</w:t>
                  </w:r>
                </w:p>
              </w:tc>
              <w:tc>
                <w:tcPr>
                  <w:tcW w:w="768" w:type="dxa"/>
                  <w:noWrap/>
                  <w:tcMar>
                    <w:left w:w="28" w:type="dxa"/>
                    <w:right w:w="28" w:type="dxa"/>
                  </w:tcMar>
                  <w:hideMark/>
                </w:tcPr>
                <w:p w:rsidR="00083A9D" w:rsidRPr="007B28F5" w:rsidRDefault="00083A9D" w:rsidP="007B28F5">
                  <w:pPr>
                    <w:pStyle w:val="Tabletext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6"/>
                      <w:lang w:val="en-US" w:eastAsia="zh-CN"/>
                    </w:rPr>
                  </w:pPr>
                  <w:r w:rsidRPr="007B28F5">
                    <w:rPr>
                      <w:color w:val="auto"/>
                      <w:sz w:val="18"/>
                      <w:szCs w:val="16"/>
                      <w:lang w:val="en-US" w:eastAsia="zh-CN"/>
                    </w:rPr>
                    <w:t>37</w:t>
                  </w:r>
                </w:p>
              </w:tc>
              <w:tc>
                <w:tcPr>
                  <w:tcW w:w="557" w:type="dxa"/>
                  <w:noWrap/>
                  <w:tcMar>
                    <w:left w:w="28" w:type="dxa"/>
                    <w:right w:w="28" w:type="dxa"/>
                  </w:tcMar>
                  <w:hideMark/>
                </w:tcPr>
                <w:p w:rsidR="00083A9D" w:rsidRPr="007B28F5" w:rsidRDefault="00083A9D" w:rsidP="007B28F5">
                  <w:pPr>
                    <w:pStyle w:val="Tabletext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6"/>
                      <w:lang w:val="en-US" w:eastAsia="zh-CN"/>
                    </w:rPr>
                  </w:pPr>
                  <w:r w:rsidRPr="007B28F5">
                    <w:rPr>
                      <w:color w:val="auto"/>
                      <w:sz w:val="18"/>
                      <w:szCs w:val="16"/>
                      <w:lang w:val="en-US" w:eastAsia="zh-CN"/>
                    </w:rPr>
                    <w:t>86</w:t>
                  </w:r>
                </w:p>
              </w:tc>
            </w:tr>
            <w:tr w:rsidR="00083A9D" w:rsidRPr="007B28F5" w:rsidTr="006E0A1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879" w:type="dxa"/>
                  <w:noWrap/>
                  <w:hideMark/>
                </w:tcPr>
                <w:p w:rsidR="00083A9D" w:rsidRPr="007B28F5" w:rsidRDefault="006E0A12" w:rsidP="007B28F5">
                  <w:pPr>
                    <w:pStyle w:val="Tabletext"/>
                    <w:rPr>
                      <w:b w:val="0"/>
                      <w:bCs w:val="0"/>
                      <w:color w:val="auto"/>
                      <w:sz w:val="18"/>
                      <w:szCs w:val="16"/>
                      <w:lang w:val="en-US" w:eastAsia="zh-CN"/>
                    </w:rPr>
                  </w:pPr>
                  <w:r w:rsidRPr="007B28F5">
                    <w:rPr>
                      <w:b w:val="0"/>
                      <w:bCs w:val="0"/>
                      <w:color w:val="auto"/>
                      <w:sz w:val="18"/>
                      <w:szCs w:val="16"/>
                      <w:lang w:val="en-US" w:eastAsia="zh-CN"/>
                    </w:rPr>
                    <w:t>En cours</w:t>
                  </w:r>
                </w:p>
              </w:tc>
              <w:tc>
                <w:tcPr>
                  <w:tcW w:w="768" w:type="dxa"/>
                  <w:noWrap/>
                  <w:tcMar>
                    <w:left w:w="28" w:type="dxa"/>
                    <w:right w:w="28" w:type="dxa"/>
                  </w:tcMar>
                  <w:hideMark/>
                </w:tcPr>
                <w:p w:rsidR="00083A9D" w:rsidRPr="007B28F5" w:rsidRDefault="00083A9D" w:rsidP="007B28F5">
                  <w:pPr>
                    <w:pStyle w:val="Tabletex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6"/>
                      <w:lang w:val="en-US" w:eastAsia="zh-CN"/>
                    </w:rPr>
                  </w:pPr>
                  <w:r w:rsidRPr="007B28F5">
                    <w:rPr>
                      <w:color w:val="auto"/>
                      <w:sz w:val="18"/>
                      <w:szCs w:val="16"/>
                      <w:lang w:val="en-US" w:eastAsia="zh-CN"/>
                    </w:rPr>
                    <w:t>6</w:t>
                  </w:r>
                </w:p>
              </w:tc>
              <w:tc>
                <w:tcPr>
                  <w:tcW w:w="557" w:type="dxa"/>
                  <w:noWrap/>
                  <w:tcMar>
                    <w:left w:w="28" w:type="dxa"/>
                    <w:right w:w="28" w:type="dxa"/>
                  </w:tcMar>
                  <w:hideMark/>
                </w:tcPr>
                <w:p w:rsidR="00083A9D" w:rsidRPr="007B28F5" w:rsidRDefault="00083A9D" w:rsidP="007B28F5">
                  <w:pPr>
                    <w:pStyle w:val="Tabletex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6"/>
                      <w:lang w:val="en-US" w:eastAsia="zh-CN"/>
                    </w:rPr>
                  </w:pPr>
                  <w:r w:rsidRPr="007B28F5">
                    <w:rPr>
                      <w:color w:val="auto"/>
                      <w:sz w:val="18"/>
                      <w:szCs w:val="16"/>
                      <w:lang w:val="en-US" w:eastAsia="zh-CN"/>
                    </w:rPr>
                    <w:t>14</w:t>
                  </w:r>
                </w:p>
              </w:tc>
            </w:tr>
            <w:tr w:rsidR="00083A9D" w:rsidRPr="007B28F5" w:rsidTr="006E0A12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879" w:type="dxa"/>
                  <w:noWrap/>
                  <w:hideMark/>
                </w:tcPr>
                <w:p w:rsidR="00083A9D" w:rsidRPr="007B28F5" w:rsidRDefault="006E0A12" w:rsidP="007B28F5">
                  <w:pPr>
                    <w:pStyle w:val="Tabletext"/>
                    <w:rPr>
                      <w:b w:val="0"/>
                      <w:bCs w:val="0"/>
                      <w:color w:val="auto"/>
                      <w:sz w:val="18"/>
                      <w:szCs w:val="16"/>
                      <w:lang w:val="en-US" w:eastAsia="zh-CN"/>
                    </w:rPr>
                  </w:pPr>
                  <w:r w:rsidRPr="007B28F5">
                    <w:rPr>
                      <w:b w:val="0"/>
                      <w:bCs w:val="0"/>
                      <w:color w:val="auto"/>
                      <w:sz w:val="18"/>
                      <w:szCs w:val="16"/>
                      <w:lang w:val="en-US" w:eastAsia="zh-CN"/>
                    </w:rPr>
                    <w:t>Non acceptée</w:t>
                  </w:r>
                </w:p>
              </w:tc>
              <w:tc>
                <w:tcPr>
                  <w:tcW w:w="768" w:type="dxa"/>
                  <w:noWrap/>
                  <w:tcMar>
                    <w:left w:w="28" w:type="dxa"/>
                    <w:right w:w="28" w:type="dxa"/>
                  </w:tcMar>
                  <w:hideMark/>
                </w:tcPr>
                <w:p w:rsidR="00083A9D" w:rsidRPr="007B28F5" w:rsidRDefault="00083A9D" w:rsidP="007B28F5">
                  <w:pPr>
                    <w:pStyle w:val="Tabletext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6"/>
                      <w:lang w:val="en-US" w:eastAsia="zh-CN"/>
                    </w:rPr>
                  </w:pPr>
                  <w:r w:rsidRPr="007B28F5">
                    <w:rPr>
                      <w:color w:val="auto"/>
                      <w:sz w:val="18"/>
                      <w:szCs w:val="16"/>
                      <w:lang w:val="en-US" w:eastAsia="zh-CN"/>
                    </w:rPr>
                    <w:t>0</w:t>
                  </w:r>
                </w:p>
              </w:tc>
              <w:tc>
                <w:tcPr>
                  <w:tcW w:w="557" w:type="dxa"/>
                  <w:noWrap/>
                  <w:tcMar>
                    <w:left w:w="28" w:type="dxa"/>
                    <w:right w:w="28" w:type="dxa"/>
                  </w:tcMar>
                  <w:hideMark/>
                </w:tcPr>
                <w:p w:rsidR="00083A9D" w:rsidRPr="007B28F5" w:rsidRDefault="00083A9D" w:rsidP="007B28F5">
                  <w:pPr>
                    <w:pStyle w:val="Tabletext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6"/>
                      <w:lang w:val="en-US" w:eastAsia="zh-CN"/>
                    </w:rPr>
                  </w:pPr>
                  <w:r w:rsidRPr="007B28F5">
                    <w:rPr>
                      <w:color w:val="auto"/>
                      <w:sz w:val="18"/>
                      <w:szCs w:val="16"/>
                      <w:lang w:val="en-US" w:eastAsia="zh-CN"/>
                    </w:rPr>
                    <w:t>0</w:t>
                  </w:r>
                </w:p>
              </w:tc>
            </w:tr>
          </w:tbl>
          <w:p w:rsidR="00083A9D" w:rsidRPr="00915326" w:rsidRDefault="00083A9D" w:rsidP="007B28F5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6085" w:type="dxa"/>
          </w:tcPr>
          <w:p w:rsidR="00083A9D" w:rsidRDefault="00083A9D" w:rsidP="007B28F5">
            <w:pPr>
              <w:rPr>
                <w:rFonts w:asciiTheme="minorHAnsi" w:hAnsiTheme="minorHAnsi"/>
                <w:szCs w:val="24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2C154ED5" wp14:editId="487DFF0B">
                  <wp:extent cx="3486151" cy="2476499"/>
                  <wp:effectExtent l="0" t="0" r="0" b="635"/>
                  <wp:docPr id="1" name="Chart 1">
                    <a:extLst xmlns:a="http://schemas.openxmlformats.org/drawingml/2006/main">
                      <a:ext uri="{FF2B5EF4-FFF2-40B4-BE49-F238E27FC236}">
                        <a16:creationId xmlns:mo="http://schemas.microsoft.com/office/mac/office/2008/main" xmlns:mv="urn:schemas-microsoft-com:mac:vml"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1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2"/>
                    </a:graphicData>
                  </a:graphic>
                </wp:inline>
              </w:drawing>
            </w:r>
          </w:p>
        </w:tc>
      </w:tr>
      <w:tr w:rsidR="00083A9D" w:rsidTr="006E0A12">
        <w:tc>
          <w:tcPr>
            <w:tcW w:w="3554" w:type="dxa"/>
            <w:vAlign w:val="center"/>
          </w:tcPr>
          <w:tbl>
            <w:tblPr>
              <w:tblStyle w:val="ListTable6Colorful-Accent1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77"/>
              <w:gridCol w:w="850"/>
              <w:gridCol w:w="571"/>
            </w:tblGrid>
            <w:tr w:rsidR="00083A9D" w:rsidRPr="00915326" w:rsidTr="006E0A12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877" w:type="dxa"/>
                  <w:noWrap/>
                  <w:hideMark/>
                </w:tcPr>
                <w:p w:rsidR="00083A9D" w:rsidRPr="007B28F5" w:rsidRDefault="006E0A12" w:rsidP="007B28F5">
                  <w:pPr>
                    <w:pStyle w:val="Tablehead"/>
                    <w:jc w:val="left"/>
                    <w:rPr>
                      <w:b/>
                      <w:bCs w:val="0"/>
                      <w:color w:val="auto"/>
                      <w:sz w:val="18"/>
                      <w:szCs w:val="16"/>
                      <w:lang w:val="fr-CH" w:eastAsia="zh-CN"/>
                    </w:rPr>
                  </w:pPr>
                  <w:r w:rsidRPr="007B28F5">
                    <w:rPr>
                      <w:b/>
                      <w:bCs w:val="0"/>
                      <w:color w:val="auto"/>
                      <w:sz w:val="18"/>
                      <w:szCs w:val="16"/>
                    </w:rPr>
                    <w:t xml:space="preserve">Situation des recommandations formulées par le CCIG en </w:t>
                  </w:r>
                  <w:r w:rsidR="00083A9D" w:rsidRPr="007B28F5">
                    <w:rPr>
                      <w:b/>
                      <w:bCs w:val="0"/>
                      <w:color w:val="auto"/>
                      <w:sz w:val="18"/>
                      <w:szCs w:val="16"/>
                      <w:lang w:val="fr-CH" w:eastAsia="zh-CN"/>
                    </w:rPr>
                    <w:t>2016</w:t>
                  </w:r>
                </w:p>
              </w:tc>
              <w:tc>
                <w:tcPr>
                  <w:tcW w:w="850" w:type="dxa"/>
                  <w:noWrap/>
                  <w:tcMar>
                    <w:left w:w="28" w:type="dxa"/>
                    <w:right w:w="28" w:type="dxa"/>
                  </w:tcMar>
                  <w:vAlign w:val="center"/>
                  <w:hideMark/>
                </w:tcPr>
                <w:p w:rsidR="00083A9D" w:rsidRPr="007B28F5" w:rsidRDefault="00083A9D" w:rsidP="007B28F5">
                  <w:pPr>
                    <w:pStyle w:val="Tablehead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 w:val="0"/>
                      <w:color w:val="auto"/>
                      <w:sz w:val="18"/>
                      <w:szCs w:val="16"/>
                      <w:lang w:val="en-US" w:eastAsia="zh-CN"/>
                    </w:rPr>
                  </w:pPr>
                  <w:r w:rsidRPr="007B28F5">
                    <w:rPr>
                      <w:b/>
                      <w:bCs w:val="0"/>
                      <w:color w:val="auto"/>
                      <w:sz w:val="18"/>
                      <w:szCs w:val="16"/>
                      <w:lang w:val="en-US" w:eastAsia="zh-CN"/>
                    </w:rPr>
                    <w:t>No</w:t>
                  </w:r>
                  <w:r w:rsidR="006E0A12" w:rsidRPr="007B28F5">
                    <w:rPr>
                      <w:b/>
                      <w:bCs w:val="0"/>
                      <w:color w:val="auto"/>
                      <w:sz w:val="18"/>
                      <w:szCs w:val="16"/>
                      <w:lang w:val="en-US" w:eastAsia="zh-CN"/>
                    </w:rPr>
                    <w:t>mbre</w:t>
                  </w:r>
                </w:p>
              </w:tc>
              <w:tc>
                <w:tcPr>
                  <w:tcW w:w="571" w:type="dxa"/>
                  <w:noWrap/>
                  <w:tcMar>
                    <w:left w:w="28" w:type="dxa"/>
                    <w:right w:w="28" w:type="dxa"/>
                  </w:tcMar>
                  <w:vAlign w:val="center"/>
                  <w:hideMark/>
                </w:tcPr>
                <w:p w:rsidR="00083A9D" w:rsidRPr="007B28F5" w:rsidRDefault="00083A9D" w:rsidP="007B28F5">
                  <w:pPr>
                    <w:pStyle w:val="Tablehead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 w:val="0"/>
                      <w:color w:val="auto"/>
                      <w:sz w:val="18"/>
                      <w:szCs w:val="16"/>
                      <w:lang w:val="en-US" w:eastAsia="zh-CN"/>
                    </w:rPr>
                  </w:pPr>
                  <w:r w:rsidRPr="007B28F5">
                    <w:rPr>
                      <w:b/>
                      <w:bCs w:val="0"/>
                      <w:color w:val="auto"/>
                      <w:sz w:val="18"/>
                      <w:szCs w:val="16"/>
                      <w:lang w:val="en-US" w:eastAsia="zh-CN"/>
                    </w:rPr>
                    <w:t>%</w:t>
                  </w:r>
                </w:p>
              </w:tc>
            </w:tr>
            <w:tr w:rsidR="00083A9D" w:rsidRPr="00915326" w:rsidTr="006E0A1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877" w:type="dxa"/>
                  <w:noWrap/>
                </w:tcPr>
                <w:p w:rsidR="00083A9D" w:rsidRPr="007B28F5" w:rsidRDefault="00083A9D" w:rsidP="007B28F5">
                  <w:pPr>
                    <w:pStyle w:val="Tabletext"/>
                    <w:rPr>
                      <w:color w:val="auto"/>
                      <w:sz w:val="18"/>
                      <w:szCs w:val="16"/>
                      <w:lang w:val="en-US" w:eastAsia="zh-CN"/>
                    </w:rPr>
                  </w:pPr>
                  <w:r w:rsidRPr="007B28F5">
                    <w:rPr>
                      <w:color w:val="auto"/>
                      <w:sz w:val="18"/>
                      <w:szCs w:val="16"/>
                      <w:lang w:val="en-US" w:eastAsia="zh-CN"/>
                    </w:rPr>
                    <w:t>Total</w:t>
                  </w:r>
                </w:p>
              </w:tc>
              <w:tc>
                <w:tcPr>
                  <w:tcW w:w="850" w:type="dxa"/>
                  <w:noWrap/>
                  <w:tcMar>
                    <w:left w:w="28" w:type="dxa"/>
                    <w:right w:w="28" w:type="dxa"/>
                  </w:tcMar>
                </w:tcPr>
                <w:p w:rsidR="00083A9D" w:rsidRPr="007B28F5" w:rsidRDefault="00083A9D" w:rsidP="007B28F5">
                  <w:pPr>
                    <w:pStyle w:val="Tabletex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color w:val="auto"/>
                      <w:sz w:val="18"/>
                      <w:szCs w:val="16"/>
                      <w:lang w:val="en-US" w:eastAsia="zh-CN"/>
                    </w:rPr>
                  </w:pPr>
                  <w:r w:rsidRPr="007B28F5">
                    <w:rPr>
                      <w:b/>
                      <w:bCs/>
                      <w:color w:val="auto"/>
                      <w:sz w:val="18"/>
                      <w:szCs w:val="16"/>
                      <w:lang w:val="en-US" w:eastAsia="zh-CN"/>
                    </w:rPr>
                    <w:t>14</w:t>
                  </w:r>
                </w:p>
              </w:tc>
              <w:tc>
                <w:tcPr>
                  <w:tcW w:w="571" w:type="dxa"/>
                  <w:noWrap/>
                  <w:tcMar>
                    <w:left w:w="28" w:type="dxa"/>
                    <w:right w:w="28" w:type="dxa"/>
                  </w:tcMar>
                </w:tcPr>
                <w:p w:rsidR="00083A9D" w:rsidRPr="007B28F5" w:rsidRDefault="00083A9D" w:rsidP="007B28F5">
                  <w:pPr>
                    <w:pStyle w:val="Tabletex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color w:val="auto"/>
                      <w:sz w:val="18"/>
                      <w:szCs w:val="16"/>
                      <w:lang w:val="en-US" w:eastAsia="zh-CN"/>
                    </w:rPr>
                  </w:pPr>
                  <w:r w:rsidRPr="007B28F5">
                    <w:rPr>
                      <w:b/>
                      <w:bCs/>
                      <w:color w:val="auto"/>
                      <w:sz w:val="18"/>
                      <w:szCs w:val="16"/>
                      <w:lang w:val="en-US" w:eastAsia="zh-CN"/>
                    </w:rPr>
                    <w:t>100</w:t>
                  </w:r>
                </w:p>
              </w:tc>
            </w:tr>
            <w:tr w:rsidR="00083A9D" w:rsidRPr="00915326" w:rsidTr="006E0A12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877" w:type="dxa"/>
                  <w:noWrap/>
                  <w:hideMark/>
                </w:tcPr>
                <w:p w:rsidR="00083A9D" w:rsidRPr="007B28F5" w:rsidRDefault="006E0A12" w:rsidP="007B28F5">
                  <w:pPr>
                    <w:pStyle w:val="Tabletext"/>
                    <w:rPr>
                      <w:b w:val="0"/>
                      <w:bCs w:val="0"/>
                      <w:color w:val="auto"/>
                      <w:sz w:val="18"/>
                      <w:szCs w:val="16"/>
                      <w:lang w:val="en-US" w:eastAsia="zh-CN"/>
                    </w:rPr>
                  </w:pPr>
                  <w:r w:rsidRPr="007B28F5">
                    <w:rPr>
                      <w:b w:val="0"/>
                      <w:bCs w:val="0"/>
                      <w:color w:val="auto"/>
                      <w:sz w:val="18"/>
                      <w:szCs w:val="16"/>
                      <w:lang w:val="en-US" w:eastAsia="zh-CN"/>
                    </w:rPr>
                    <w:t>Mise en oeuvre</w:t>
                  </w:r>
                </w:p>
              </w:tc>
              <w:tc>
                <w:tcPr>
                  <w:tcW w:w="850" w:type="dxa"/>
                  <w:noWrap/>
                  <w:tcMar>
                    <w:left w:w="28" w:type="dxa"/>
                    <w:right w:w="28" w:type="dxa"/>
                  </w:tcMar>
                  <w:hideMark/>
                </w:tcPr>
                <w:p w:rsidR="00083A9D" w:rsidRPr="007B28F5" w:rsidRDefault="00083A9D" w:rsidP="007B28F5">
                  <w:pPr>
                    <w:pStyle w:val="Tabletext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6"/>
                      <w:lang w:val="en-US" w:eastAsia="zh-CN"/>
                    </w:rPr>
                  </w:pPr>
                  <w:r w:rsidRPr="007B28F5">
                    <w:rPr>
                      <w:color w:val="auto"/>
                      <w:sz w:val="18"/>
                      <w:szCs w:val="16"/>
                      <w:lang w:val="en-US" w:eastAsia="zh-CN"/>
                    </w:rPr>
                    <w:t>10</w:t>
                  </w:r>
                </w:p>
              </w:tc>
              <w:tc>
                <w:tcPr>
                  <w:tcW w:w="571" w:type="dxa"/>
                  <w:noWrap/>
                  <w:tcMar>
                    <w:left w:w="28" w:type="dxa"/>
                    <w:right w:w="28" w:type="dxa"/>
                  </w:tcMar>
                  <w:hideMark/>
                </w:tcPr>
                <w:p w:rsidR="00083A9D" w:rsidRPr="007B28F5" w:rsidRDefault="00083A9D" w:rsidP="007B28F5">
                  <w:pPr>
                    <w:pStyle w:val="Tabletext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6"/>
                      <w:lang w:val="en-US" w:eastAsia="zh-CN"/>
                    </w:rPr>
                  </w:pPr>
                  <w:r w:rsidRPr="007B28F5">
                    <w:rPr>
                      <w:color w:val="auto"/>
                      <w:sz w:val="18"/>
                      <w:szCs w:val="16"/>
                      <w:lang w:val="en-US" w:eastAsia="zh-CN"/>
                    </w:rPr>
                    <w:t>71</w:t>
                  </w:r>
                </w:p>
              </w:tc>
            </w:tr>
            <w:tr w:rsidR="00083A9D" w:rsidRPr="00915326" w:rsidTr="006E0A1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877" w:type="dxa"/>
                  <w:noWrap/>
                  <w:hideMark/>
                </w:tcPr>
                <w:p w:rsidR="00083A9D" w:rsidRPr="007B28F5" w:rsidRDefault="006E0A12" w:rsidP="007B28F5">
                  <w:pPr>
                    <w:pStyle w:val="Tabletext"/>
                    <w:rPr>
                      <w:b w:val="0"/>
                      <w:bCs w:val="0"/>
                      <w:color w:val="auto"/>
                      <w:sz w:val="18"/>
                      <w:szCs w:val="16"/>
                      <w:lang w:val="en-US" w:eastAsia="zh-CN"/>
                    </w:rPr>
                  </w:pPr>
                  <w:r w:rsidRPr="007B28F5">
                    <w:rPr>
                      <w:b w:val="0"/>
                      <w:bCs w:val="0"/>
                      <w:color w:val="auto"/>
                      <w:sz w:val="18"/>
                      <w:szCs w:val="16"/>
                      <w:lang w:val="en-US" w:eastAsia="zh-CN"/>
                    </w:rPr>
                    <w:t>En cours</w:t>
                  </w:r>
                </w:p>
              </w:tc>
              <w:tc>
                <w:tcPr>
                  <w:tcW w:w="850" w:type="dxa"/>
                  <w:noWrap/>
                  <w:tcMar>
                    <w:left w:w="28" w:type="dxa"/>
                    <w:right w:w="28" w:type="dxa"/>
                  </w:tcMar>
                  <w:hideMark/>
                </w:tcPr>
                <w:p w:rsidR="00083A9D" w:rsidRPr="007B28F5" w:rsidRDefault="00083A9D" w:rsidP="007B28F5">
                  <w:pPr>
                    <w:pStyle w:val="Tabletex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6"/>
                      <w:lang w:val="en-US" w:eastAsia="zh-CN"/>
                    </w:rPr>
                  </w:pPr>
                  <w:r w:rsidRPr="007B28F5">
                    <w:rPr>
                      <w:color w:val="auto"/>
                      <w:sz w:val="18"/>
                      <w:szCs w:val="16"/>
                      <w:lang w:val="en-US" w:eastAsia="zh-CN"/>
                    </w:rPr>
                    <w:t>4</w:t>
                  </w:r>
                </w:p>
              </w:tc>
              <w:tc>
                <w:tcPr>
                  <w:tcW w:w="571" w:type="dxa"/>
                  <w:noWrap/>
                  <w:tcMar>
                    <w:left w:w="28" w:type="dxa"/>
                    <w:right w:w="28" w:type="dxa"/>
                  </w:tcMar>
                  <w:hideMark/>
                </w:tcPr>
                <w:p w:rsidR="00083A9D" w:rsidRPr="007B28F5" w:rsidRDefault="00083A9D" w:rsidP="007B28F5">
                  <w:pPr>
                    <w:pStyle w:val="Tabletex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6"/>
                      <w:lang w:val="en-US" w:eastAsia="zh-CN"/>
                    </w:rPr>
                  </w:pPr>
                  <w:r w:rsidRPr="007B28F5">
                    <w:rPr>
                      <w:color w:val="auto"/>
                      <w:sz w:val="18"/>
                      <w:szCs w:val="16"/>
                      <w:lang w:val="en-US" w:eastAsia="zh-CN"/>
                    </w:rPr>
                    <w:t>29</w:t>
                  </w:r>
                </w:p>
              </w:tc>
            </w:tr>
            <w:tr w:rsidR="00083A9D" w:rsidRPr="00915326" w:rsidTr="006E0A12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877" w:type="dxa"/>
                  <w:noWrap/>
                  <w:hideMark/>
                </w:tcPr>
                <w:p w:rsidR="00083A9D" w:rsidRPr="007B28F5" w:rsidRDefault="006E0A12" w:rsidP="007B28F5">
                  <w:pPr>
                    <w:pStyle w:val="Tabletext"/>
                    <w:rPr>
                      <w:b w:val="0"/>
                      <w:bCs w:val="0"/>
                      <w:color w:val="auto"/>
                      <w:sz w:val="18"/>
                      <w:szCs w:val="16"/>
                      <w:lang w:val="en-US" w:eastAsia="zh-CN"/>
                    </w:rPr>
                  </w:pPr>
                  <w:r w:rsidRPr="007B28F5">
                    <w:rPr>
                      <w:b w:val="0"/>
                      <w:bCs w:val="0"/>
                      <w:color w:val="auto"/>
                      <w:sz w:val="18"/>
                      <w:szCs w:val="16"/>
                      <w:lang w:val="en-US" w:eastAsia="zh-CN"/>
                    </w:rPr>
                    <w:t>Non acceptée</w:t>
                  </w:r>
                </w:p>
              </w:tc>
              <w:tc>
                <w:tcPr>
                  <w:tcW w:w="850" w:type="dxa"/>
                  <w:noWrap/>
                  <w:tcMar>
                    <w:left w:w="28" w:type="dxa"/>
                    <w:right w:w="28" w:type="dxa"/>
                  </w:tcMar>
                  <w:hideMark/>
                </w:tcPr>
                <w:p w:rsidR="00083A9D" w:rsidRPr="007B28F5" w:rsidRDefault="00083A9D" w:rsidP="007B28F5">
                  <w:pPr>
                    <w:pStyle w:val="Tabletext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6"/>
                      <w:lang w:val="en-US" w:eastAsia="zh-CN"/>
                    </w:rPr>
                  </w:pPr>
                  <w:r w:rsidRPr="007B28F5">
                    <w:rPr>
                      <w:color w:val="auto"/>
                      <w:sz w:val="18"/>
                      <w:szCs w:val="16"/>
                      <w:lang w:val="en-US" w:eastAsia="zh-CN"/>
                    </w:rPr>
                    <w:t>0</w:t>
                  </w:r>
                </w:p>
              </w:tc>
              <w:tc>
                <w:tcPr>
                  <w:tcW w:w="571" w:type="dxa"/>
                  <w:noWrap/>
                  <w:tcMar>
                    <w:left w:w="28" w:type="dxa"/>
                    <w:right w:w="28" w:type="dxa"/>
                  </w:tcMar>
                  <w:hideMark/>
                </w:tcPr>
                <w:p w:rsidR="00083A9D" w:rsidRPr="007B28F5" w:rsidRDefault="00083A9D" w:rsidP="007B28F5">
                  <w:pPr>
                    <w:pStyle w:val="Tabletext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6"/>
                      <w:lang w:val="en-US" w:eastAsia="zh-CN"/>
                    </w:rPr>
                  </w:pPr>
                  <w:r w:rsidRPr="007B28F5">
                    <w:rPr>
                      <w:color w:val="auto"/>
                      <w:sz w:val="18"/>
                      <w:szCs w:val="16"/>
                      <w:lang w:val="en-US" w:eastAsia="zh-CN"/>
                    </w:rPr>
                    <w:t>0</w:t>
                  </w:r>
                </w:p>
              </w:tc>
            </w:tr>
          </w:tbl>
          <w:p w:rsidR="00083A9D" w:rsidRPr="00915326" w:rsidRDefault="00083A9D" w:rsidP="007B28F5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6085" w:type="dxa"/>
          </w:tcPr>
          <w:p w:rsidR="00083A9D" w:rsidRDefault="00083A9D" w:rsidP="007B28F5">
            <w:pPr>
              <w:rPr>
                <w:rFonts w:asciiTheme="minorHAnsi" w:hAnsiTheme="minorHAnsi"/>
                <w:szCs w:val="24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24AE35A5" wp14:editId="4A4CBCF4">
                  <wp:extent cx="3124200" cy="2628901"/>
                  <wp:effectExtent l="0" t="0" r="0" b="0"/>
                  <wp:docPr id="4" name="Chart 4">
                    <a:extLst xmlns:a="http://schemas.openxmlformats.org/drawingml/2006/main">
                      <a:ext uri="{FF2B5EF4-FFF2-40B4-BE49-F238E27FC236}">
                        <a16:creationId xmlns:mo="http://schemas.microsoft.com/office/mac/office/2008/main" xmlns:mv="urn:schemas-microsoft-com:mac:vml"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1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3"/>
                    </a:graphicData>
                  </a:graphic>
                </wp:inline>
              </w:drawing>
            </w:r>
          </w:p>
        </w:tc>
      </w:tr>
      <w:tr w:rsidR="00083A9D" w:rsidTr="006E0A12">
        <w:tc>
          <w:tcPr>
            <w:tcW w:w="3554" w:type="dxa"/>
            <w:vAlign w:val="center"/>
          </w:tcPr>
          <w:tbl>
            <w:tblPr>
              <w:tblStyle w:val="ListTable6Colorful-Accent1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77"/>
              <w:gridCol w:w="850"/>
              <w:gridCol w:w="551"/>
            </w:tblGrid>
            <w:tr w:rsidR="00083A9D" w:rsidRPr="00915326" w:rsidTr="006E0A12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877" w:type="dxa"/>
                  <w:noWrap/>
                  <w:hideMark/>
                </w:tcPr>
                <w:p w:rsidR="00083A9D" w:rsidRPr="007B28F5" w:rsidRDefault="006E0A12" w:rsidP="007B28F5">
                  <w:pPr>
                    <w:pStyle w:val="Tablehead"/>
                    <w:jc w:val="left"/>
                    <w:rPr>
                      <w:b/>
                      <w:bCs w:val="0"/>
                      <w:color w:val="auto"/>
                      <w:sz w:val="18"/>
                      <w:szCs w:val="16"/>
                      <w:lang w:val="fr-CH" w:eastAsia="zh-CN"/>
                    </w:rPr>
                  </w:pPr>
                  <w:r w:rsidRPr="007B28F5">
                    <w:rPr>
                      <w:b/>
                      <w:bCs w:val="0"/>
                      <w:color w:val="auto"/>
                      <w:sz w:val="18"/>
                      <w:szCs w:val="16"/>
                    </w:rPr>
                    <w:t xml:space="preserve">Situation des recommandations formulées par le CCIG en </w:t>
                  </w:r>
                  <w:r w:rsidR="00083A9D" w:rsidRPr="007B28F5">
                    <w:rPr>
                      <w:b/>
                      <w:bCs w:val="0"/>
                      <w:color w:val="auto"/>
                      <w:sz w:val="18"/>
                      <w:szCs w:val="16"/>
                      <w:lang w:val="fr-CH" w:eastAsia="zh-CN"/>
                    </w:rPr>
                    <w:t xml:space="preserve">2015 </w:t>
                  </w:r>
                </w:p>
              </w:tc>
              <w:tc>
                <w:tcPr>
                  <w:tcW w:w="850" w:type="dxa"/>
                  <w:noWrap/>
                  <w:tcMar>
                    <w:left w:w="28" w:type="dxa"/>
                    <w:right w:w="28" w:type="dxa"/>
                  </w:tcMar>
                  <w:vAlign w:val="center"/>
                  <w:hideMark/>
                </w:tcPr>
                <w:p w:rsidR="00083A9D" w:rsidRPr="007B28F5" w:rsidRDefault="00083A9D" w:rsidP="007B28F5">
                  <w:pPr>
                    <w:pStyle w:val="Tablehead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 w:val="0"/>
                      <w:color w:val="auto"/>
                      <w:sz w:val="18"/>
                      <w:szCs w:val="16"/>
                      <w:lang w:val="en-US" w:eastAsia="zh-CN"/>
                    </w:rPr>
                  </w:pPr>
                  <w:r w:rsidRPr="007B28F5">
                    <w:rPr>
                      <w:b/>
                      <w:bCs w:val="0"/>
                      <w:color w:val="auto"/>
                      <w:sz w:val="18"/>
                      <w:szCs w:val="16"/>
                      <w:lang w:val="en-US" w:eastAsia="zh-CN"/>
                    </w:rPr>
                    <w:t>No</w:t>
                  </w:r>
                  <w:r w:rsidR="006E0A12" w:rsidRPr="007B28F5">
                    <w:rPr>
                      <w:b/>
                      <w:bCs w:val="0"/>
                      <w:color w:val="auto"/>
                      <w:sz w:val="18"/>
                      <w:szCs w:val="16"/>
                      <w:lang w:val="en-US" w:eastAsia="zh-CN"/>
                    </w:rPr>
                    <w:t>mbre</w:t>
                  </w:r>
                </w:p>
              </w:tc>
              <w:tc>
                <w:tcPr>
                  <w:tcW w:w="551" w:type="dxa"/>
                  <w:noWrap/>
                  <w:tcMar>
                    <w:left w:w="28" w:type="dxa"/>
                    <w:right w:w="28" w:type="dxa"/>
                  </w:tcMar>
                  <w:vAlign w:val="center"/>
                  <w:hideMark/>
                </w:tcPr>
                <w:p w:rsidR="00083A9D" w:rsidRPr="007B28F5" w:rsidRDefault="00083A9D" w:rsidP="007B28F5">
                  <w:pPr>
                    <w:pStyle w:val="Tablehead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 w:val="0"/>
                      <w:color w:val="auto"/>
                      <w:sz w:val="18"/>
                      <w:szCs w:val="16"/>
                      <w:lang w:val="en-US" w:eastAsia="zh-CN"/>
                    </w:rPr>
                  </w:pPr>
                  <w:r w:rsidRPr="007B28F5">
                    <w:rPr>
                      <w:b/>
                      <w:bCs w:val="0"/>
                      <w:color w:val="auto"/>
                      <w:sz w:val="18"/>
                      <w:szCs w:val="16"/>
                      <w:lang w:val="en-US" w:eastAsia="zh-CN"/>
                    </w:rPr>
                    <w:t>%</w:t>
                  </w:r>
                </w:p>
              </w:tc>
            </w:tr>
            <w:tr w:rsidR="00083A9D" w:rsidRPr="00915326" w:rsidTr="006E0A1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877" w:type="dxa"/>
                  <w:noWrap/>
                </w:tcPr>
                <w:p w:rsidR="00083A9D" w:rsidRPr="007B28F5" w:rsidRDefault="00083A9D" w:rsidP="007B28F5">
                  <w:pPr>
                    <w:pStyle w:val="Tabletext"/>
                    <w:rPr>
                      <w:color w:val="auto"/>
                      <w:sz w:val="18"/>
                      <w:szCs w:val="16"/>
                      <w:lang w:val="en-US" w:eastAsia="zh-CN"/>
                    </w:rPr>
                  </w:pPr>
                  <w:r w:rsidRPr="007B28F5">
                    <w:rPr>
                      <w:color w:val="auto"/>
                      <w:sz w:val="18"/>
                      <w:szCs w:val="16"/>
                      <w:lang w:val="en-US" w:eastAsia="zh-CN"/>
                    </w:rPr>
                    <w:t>Total</w:t>
                  </w:r>
                </w:p>
              </w:tc>
              <w:tc>
                <w:tcPr>
                  <w:tcW w:w="850" w:type="dxa"/>
                  <w:noWrap/>
                  <w:tcMar>
                    <w:left w:w="28" w:type="dxa"/>
                    <w:right w:w="28" w:type="dxa"/>
                  </w:tcMar>
                </w:tcPr>
                <w:p w:rsidR="00083A9D" w:rsidRPr="007B28F5" w:rsidRDefault="00083A9D" w:rsidP="007B28F5">
                  <w:pPr>
                    <w:pStyle w:val="Tabletex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color w:val="auto"/>
                      <w:sz w:val="18"/>
                      <w:szCs w:val="16"/>
                      <w:lang w:val="en-US" w:eastAsia="zh-CN"/>
                    </w:rPr>
                  </w:pPr>
                  <w:r w:rsidRPr="007B28F5">
                    <w:rPr>
                      <w:b/>
                      <w:bCs/>
                      <w:color w:val="auto"/>
                      <w:sz w:val="18"/>
                      <w:szCs w:val="16"/>
                      <w:lang w:val="en-US" w:eastAsia="zh-CN"/>
                    </w:rPr>
                    <w:t>6</w:t>
                  </w:r>
                </w:p>
              </w:tc>
              <w:tc>
                <w:tcPr>
                  <w:tcW w:w="551" w:type="dxa"/>
                  <w:noWrap/>
                  <w:tcMar>
                    <w:left w:w="28" w:type="dxa"/>
                    <w:right w:w="28" w:type="dxa"/>
                  </w:tcMar>
                </w:tcPr>
                <w:p w:rsidR="00083A9D" w:rsidRPr="007B28F5" w:rsidRDefault="00083A9D" w:rsidP="007B28F5">
                  <w:pPr>
                    <w:pStyle w:val="Tabletex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color w:val="auto"/>
                      <w:sz w:val="18"/>
                      <w:szCs w:val="16"/>
                      <w:lang w:val="en-US" w:eastAsia="zh-CN"/>
                    </w:rPr>
                  </w:pPr>
                  <w:r w:rsidRPr="007B28F5">
                    <w:rPr>
                      <w:b/>
                      <w:bCs/>
                      <w:color w:val="auto"/>
                      <w:sz w:val="18"/>
                      <w:szCs w:val="16"/>
                      <w:lang w:val="en-US" w:eastAsia="zh-CN"/>
                    </w:rPr>
                    <w:t>100</w:t>
                  </w:r>
                </w:p>
              </w:tc>
            </w:tr>
            <w:tr w:rsidR="00083A9D" w:rsidRPr="00915326" w:rsidTr="006E0A12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877" w:type="dxa"/>
                  <w:noWrap/>
                  <w:hideMark/>
                </w:tcPr>
                <w:p w:rsidR="00083A9D" w:rsidRPr="007B28F5" w:rsidRDefault="006E0A12" w:rsidP="007B28F5">
                  <w:pPr>
                    <w:pStyle w:val="Tabletext"/>
                    <w:rPr>
                      <w:b w:val="0"/>
                      <w:bCs w:val="0"/>
                      <w:color w:val="auto"/>
                      <w:sz w:val="18"/>
                      <w:szCs w:val="16"/>
                      <w:lang w:val="en-US" w:eastAsia="zh-CN"/>
                    </w:rPr>
                  </w:pPr>
                  <w:r w:rsidRPr="007B28F5">
                    <w:rPr>
                      <w:b w:val="0"/>
                      <w:bCs w:val="0"/>
                      <w:color w:val="auto"/>
                      <w:sz w:val="18"/>
                      <w:szCs w:val="16"/>
                      <w:lang w:val="en-US" w:eastAsia="zh-CN"/>
                    </w:rPr>
                    <w:t>Mise en oeuvre</w:t>
                  </w:r>
                </w:p>
              </w:tc>
              <w:tc>
                <w:tcPr>
                  <w:tcW w:w="850" w:type="dxa"/>
                  <w:noWrap/>
                  <w:tcMar>
                    <w:left w:w="28" w:type="dxa"/>
                    <w:right w:w="28" w:type="dxa"/>
                  </w:tcMar>
                  <w:hideMark/>
                </w:tcPr>
                <w:p w:rsidR="00083A9D" w:rsidRPr="007B28F5" w:rsidRDefault="00083A9D" w:rsidP="007B28F5">
                  <w:pPr>
                    <w:pStyle w:val="Tabletext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6"/>
                      <w:lang w:val="en-US" w:eastAsia="zh-CN"/>
                    </w:rPr>
                  </w:pPr>
                  <w:r w:rsidRPr="007B28F5">
                    <w:rPr>
                      <w:color w:val="auto"/>
                      <w:sz w:val="18"/>
                      <w:szCs w:val="16"/>
                      <w:lang w:val="en-US" w:eastAsia="zh-CN"/>
                    </w:rPr>
                    <w:t>6</w:t>
                  </w:r>
                </w:p>
              </w:tc>
              <w:tc>
                <w:tcPr>
                  <w:tcW w:w="551" w:type="dxa"/>
                  <w:noWrap/>
                  <w:tcMar>
                    <w:left w:w="28" w:type="dxa"/>
                    <w:right w:w="28" w:type="dxa"/>
                  </w:tcMar>
                  <w:hideMark/>
                </w:tcPr>
                <w:p w:rsidR="00083A9D" w:rsidRPr="007B28F5" w:rsidRDefault="00083A9D" w:rsidP="007B28F5">
                  <w:pPr>
                    <w:pStyle w:val="Tabletext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6"/>
                      <w:lang w:val="en-US" w:eastAsia="zh-CN"/>
                    </w:rPr>
                  </w:pPr>
                  <w:r w:rsidRPr="007B28F5">
                    <w:rPr>
                      <w:color w:val="auto"/>
                      <w:sz w:val="18"/>
                      <w:szCs w:val="16"/>
                      <w:lang w:val="en-US" w:eastAsia="zh-CN"/>
                    </w:rPr>
                    <w:t>100</w:t>
                  </w:r>
                </w:p>
              </w:tc>
            </w:tr>
            <w:tr w:rsidR="00083A9D" w:rsidRPr="00915326" w:rsidTr="006E0A1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877" w:type="dxa"/>
                  <w:noWrap/>
                  <w:hideMark/>
                </w:tcPr>
                <w:p w:rsidR="00083A9D" w:rsidRPr="007B28F5" w:rsidRDefault="006E0A12" w:rsidP="007B28F5">
                  <w:pPr>
                    <w:pStyle w:val="Tabletext"/>
                    <w:rPr>
                      <w:b w:val="0"/>
                      <w:bCs w:val="0"/>
                      <w:color w:val="auto"/>
                      <w:sz w:val="18"/>
                      <w:szCs w:val="16"/>
                      <w:lang w:val="en-US" w:eastAsia="zh-CN"/>
                    </w:rPr>
                  </w:pPr>
                  <w:r w:rsidRPr="007B28F5">
                    <w:rPr>
                      <w:b w:val="0"/>
                      <w:bCs w:val="0"/>
                      <w:color w:val="auto"/>
                      <w:sz w:val="18"/>
                      <w:szCs w:val="16"/>
                      <w:lang w:val="en-US" w:eastAsia="zh-CN"/>
                    </w:rPr>
                    <w:t>En cours</w:t>
                  </w:r>
                </w:p>
              </w:tc>
              <w:tc>
                <w:tcPr>
                  <w:tcW w:w="850" w:type="dxa"/>
                  <w:noWrap/>
                  <w:tcMar>
                    <w:left w:w="28" w:type="dxa"/>
                    <w:right w:w="28" w:type="dxa"/>
                  </w:tcMar>
                  <w:hideMark/>
                </w:tcPr>
                <w:p w:rsidR="00083A9D" w:rsidRPr="007B28F5" w:rsidRDefault="00083A9D" w:rsidP="007B28F5">
                  <w:pPr>
                    <w:pStyle w:val="Tabletex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6"/>
                      <w:lang w:val="en-US" w:eastAsia="zh-CN"/>
                    </w:rPr>
                  </w:pPr>
                  <w:r w:rsidRPr="007B28F5">
                    <w:rPr>
                      <w:color w:val="auto"/>
                      <w:sz w:val="18"/>
                      <w:szCs w:val="16"/>
                      <w:lang w:val="en-US" w:eastAsia="zh-CN"/>
                    </w:rPr>
                    <w:t>0</w:t>
                  </w:r>
                </w:p>
              </w:tc>
              <w:tc>
                <w:tcPr>
                  <w:tcW w:w="551" w:type="dxa"/>
                  <w:noWrap/>
                  <w:tcMar>
                    <w:left w:w="28" w:type="dxa"/>
                    <w:right w:w="28" w:type="dxa"/>
                  </w:tcMar>
                  <w:hideMark/>
                </w:tcPr>
                <w:p w:rsidR="00083A9D" w:rsidRPr="007B28F5" w:rsidRDefault="00083A9D" w:rsidP="007B28F5">
                  <w:pPr>
                    <w:pStyle w:val="Tabletex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6"/>
                      <w:lang w:val="en-US" w:eastAsia="zh-CN"/>
                    </w:rPr>
                  </w:pPr>
                  <w:r w:rsidRPr="007B28F5">
                    <w:rPr>
                      <w:color w:val="auto"/>
                      <w:sz w:val="18"/>
                      <w:szCs w:val="16"/>
                      <w:lang w:val="en-US" w:eastAsia="zh-CN"/>
                    </w:rPr>
                    <w:t>0</w:t>
                  </w:r>
                </w:p>
              </w:tc>
            </w:tr>
            <w:tr w:rsidR="00083A9D" w:rsidRPr="00915326" w:rsidTr="006E0A12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877" w:type="dxa"/>
                  <w:noWrap/>
                  <w:hideMark/>
                </w:tcPr>
                <w:p w:rsidR="00083A9D" w:rsidRPr="007B28F5" w:rsidRDefault="006E0A12" w:rsidP="007B28F5">
                  <w:pPr>
                    <w:pStyle w:val="Tabletext"/>
                    <w:rPr>
                      <w:b w:val="0"/>
                      <w:bCs w:val="0"/>
                      <w:color w:val="auto"/>
                      <w:sz w:val="18"/>
                      <w:szCs w:val="16"/>
                      <w:lang w:val="en-US" w:eastAsia="zh-CN"/>
                    </w:rPr>
                  </w:pPr>
                  <w:r w:rsidRPr="007B28F5">
                    <w:rPr>
                      <w:b w:val="0"/>
                      <w:bCs w:val="0"/>
                      <w:color w:val="auto"/>
                      <w:sz w:val="18"/>
                      <w:szCs w:val="16"/>
                      <w:lang w:val="en-US" w:eastAsia="zh-CN"/>
                    </w:rPr>
                    <w:t>Non acceptée</w:t>
                  </w:r>
                </w:p>
              </w:tc>
              <w:tc>
                <w:tcPr>
                  <w:tcW w:w="850" w:type="dxa"/>
                  <w:noWrap/>
                  <w:tcMar>
                    <w:left w:w="28" w:type="dxa"/>
                    <w:right w:w="28" w:type="dxa"/>
                  </w:tcMar>
                  <w:hideMark/>
                </w:tcPr>
                <w:p w:rsidR="00083A9D" w:rsidRPr="007B28F5" w:rsidRDefault="00083A9D" w:rsidP="007B28F5">
                  <w:pPr>
                    <w:pStyle w:val="Tabletext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6"/>
                      <w:lang w:val="en-US" w:eastAsia="zh-CN"/>
                    </w:rPr>
                  </w:pPr>
                  <w:r w:rsidRPr="007B28F5">
                    <w:rPr>
                      <w:color w:val="auto"/>
                      <w:sz w:val="18"/>
                      <w:szCs w:val="16"/>
                      <w:lang w:val="en-US" w:eastAsia="zh-CN"/>
                    </w:rPr>
                    <w:t>0</w:t>
                  </w:r>
                </w:p>
              </w:tc>
              <w:tc>
                <w:tcPr>
                  <w:tcW w:w="551" w:type="dxa"/>
                  <w:noWrap/>
                  <w:tcMar>
                    <w:left w:w="28" w:type="dxa"/>
                    <w:right w:w="28" w:type="dxa"/>
                  </w:tcMar>
                  <w:hideMark/>
                </w:tcPr>
                <w:p w:rsidR="00083A9D" w:rsidRPr="007B28F5" w:rsidRDefault="00083A9D" w:rsidP="007B28F5">
                  <w:pPr>
                    <w:pStyle w:val="Tabletext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6"/>
                      <w:lang w:val="en-US" w:eastAsia="zh-CN"/>
                    </w:rPr>
                  </w:pPr>
                  <w:r w:rsidRPr="007B28F5">
                    <w:rPr>
                      <w:color w:val="auto"/>
                      <w:sz w:val="18"/>
                      <w:szCs w:val="16"/>
                      <w:lang w:val="en-US" w:eastAsia="zh-CN"/>
                    </w:rPr>
                    <w:t>0</w:t>
                  </w:r>
                </w:p>
              </w:tc>
            </w:tr>
          </w:tbl>
          <w:p w:rsidR="00083A9D" w:rsidRPr="00915326" w:rsidRDefault="00083A9D" w:rsidP="007B28F5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6085" w:type="dxa"/>
          </w:tcPr>
          <w:p w:rsidR="00083A9D" w:rsidRDefault="00083A9D" w:rsidP="007B28F5">
            <w:pPr>
              <w:rPr>
                <w:rFonts w:asciiTheme="minorHAnsi" w:hAnsiTheme="minorHAnsi"/>
                <w:szCs w:val="24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7CF9B773" wp14:editId="12FFBCAD">
                  <wp:extent cx="3952240" cy="2476500"/>
                  <wp:effectExtent l="0" t="0" r="0" b="0"/>
                  <wp:docPr id="5" name="Chart 5">
                    <a:extLst xmlns:a="http://schemas.openxmlformats.org/drawingml/2006/main">
                      <a:ext uri="{FF2B5EF4-FFF2-40B4-BE49-F238E27FC236}">
                        <a16:creationId xmlns:mo="http://schemas.microsoft.com/office/mac/office/2008/main" xmlns:mv="urn:schemas-microsoft-com:mac:vml"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1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4"/>
                    </a:graphicData>
                  </a:graphic>
                </wp:inline>
              </w:drawing>
            </w:r>
          </w:p>
        </w:tc>
      </w:tr>
      <w:tr w:rsidR="00083A9D" w:rsidTr="006E0A12">
        <w:tc>
          <w:tcPr>
            <w:tcW w:w="3554" w:type="dxa"/>
            <w:vAlign w:val="center"/>
          </w:tcPr>
          <w:p w:rsidR="00083A9D" w:rsidRPr="00915326" w:rsidRDefault="00083A9D" w:rsidP="007B28F5">
            <w:pPr>
              <w:rPr>
                <w:sz w:val="22"/>
                <w:szCs w:val="22"/>
                <w:lang w:val="en-US" w:eastAsia="zh-CN"/>
              </w:rPr>
            </w:pPr>
          </w:p>
        </w:tc>
        <w:tc>
          <w:tcPr>
            <w:tcW w:w="6085" w:type="dxa"/>
          </w:tcPr>
          <w:p w:rsidR="00083A9D" w:rsidRDefault="00083A9D" w:rsidP="007B28F5">
            <w:pPr>
              <w:rPr>
                <w:noProof/>
                <w:lang w:val="en-US" w:eastAsia="zh-CN"/>
              </w:rPr>
            </w:pPr>
          </w:p>
        </w:tc>
      </w:tr>
      <w:tr w:rsidR="00083A9D" w:rsidTr="006E0A12">
        <w:tc>
          <w:tcPr>
            <w:tcW w:w="3554" w:type="dxa"/>
            <w:vAlign w:val="center"/>
          </w:tcPr>
          <w:tbl>
            <w:tblPr>
              <w:tblStyle w:val="ListTable6Colorful-Accent11"/>
              <w:tblW w:w="0" w:type="auto"/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877"/>
              <w:gridCol w:w="850"/>
              <w:gridCol w:w="571"/>
            </w:tblGrid>
            <w:tr w:rsidR="00083A9D" w:rsidRPr="00915326" w:rsidTr="006E0A12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877" w:type="dxa"/>
                  <w:noWrap/>
                  <w:hideMark/>
                </w:tcPr>
                <w:p w:rsidR="00083A9D" w:rsidRPr="007B28F5" w:rsidRDefault="006E0A12" w:rsidP="007B28F5">
                  <w:pPr>
                    <w:pStyle w:val="Tablehead"/>
                    <w:jc w:val="left"/>
                    <w:rPr>
                      <w:b/>
                      <w:bCs w:val="0"/>
                      <w:color w:val="auto"/>
                      <w:sz w:val="18"/>
                      <w:szCs w:val="16"/>
                    </w:rPr>
                  </w:pPr>
                  <w:r w:rsidRPr="007B28F5">
                    <w:rPr>
                      <w:b/>
                      <w:bCs w:val="0"/>
                      <w:color w:val="auto"/>
                      <w:sz w:val="18"/>
                      <w:szCs w:val="16"/>
                    </w:rPr>
                    <w:lastRenderedPageBreak/>
                    <w:t xml:space="preserve">Situation des recommandations formulées par le CCIG en </w:t>
                  </w:r>
                  <w:r w:rsidR="00083A9D" w:rsidRPr="007B28F5">
                    <w:rPr>
                      <w:b/>
                      <w:bCs w:val="0"/>
                      <w:color w:val="auto"/>
                      <w:sz w:val="18"/>
                      <w:szCs w:val="16"/>
                    </w:rPr>
                    <w:t>2014</w:t>
                  </w:r>
                </w:p>
              </w:tc>
              <w:tc>
                <w:tcPr>
                  <w:tcW w:w="850" w:type="dxa"/>
                  <w:noWrap/>
                  <w:vAlign w:val="center"/>
                  <w:hideMark/>
                </w:tcPr>
                <w:p w:rsidR="00083A9D" w:rsidRPr="007B28F5" w:rsidRDefault="00083A9D" w:rsidP="007B28F5">
                  <w:pPr>
                    <w:pStyle w:val="Tablehead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 w:val="0"/>
                      <w:color w:val="auto"/>
                      <w:sz w:val="18"/>
                      <w:szCs w:val="16"/>
                    </w:rPr>
                  </w:pPr>
                  <w:r w:rsidRPr="007B28F5">
                    <w:rPr>
                      <w:b/>
                      <w:bCs w:val="0"/>
                      <w:color w:val="auto"/>
                      <w:sz w:val="18"/>
                      <w:szCs w:val="16"/>
                    </w:rPr>
                    <w:t>No</w:t>
                  </w:r>
                  <w:r w:rsidR="006E0A12" w:rsidRPr="007B28F5">
                    <w:rPr>
                      <w:b/>
                      <w:bCs w:val="0"/>
                      <w:color w:val="auto"/>
                      <w:sz w:val="18"/>
                      <w:szCs w:val="16"/>
                    </w:rPr>
                    <w:t>mbre</w:t>
                  </w:r>
                </w:p>
              </w:tc>
              <w:tc>
                <w:tcPr>
                  <w:tcW w:w="571" w:type="dxa"/>
                  <w:noWrap/>
                  <w:vAlign w:val="center"/>
                  <w:hideMark/>
                </w:tcPr>
                <w:p w:rsidR="00083A9D" w:rsidRPr="007B28F5" w:rsidRDefault="00083A9D" w:rsidP="007B28F5">
                  <w:pPr>
                    <w:pStyle w:val="Tablehead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 w:val="0"/>
                      <w:color w:val="auto"/>
                      <w:sz w:val="18"/>
                      <w:szCs w:val="16"/>
                    </w:rPr>
                  </w:pPr>
                  <w:r w:rsidRPr="007B28F5">
                    <w:rPr>
                      <w:b/>
                      <w:bCs w:val="0"/>
                      <w:color w:val="auto"/>
                      <w:sz w:val="18"/>
                      <w:szCs w:val="16"/>
                    </w:rPr>
                    <w:t>%</w:t>
                  </w:r>
                </w:p>
              </w:tc>
            </w:tr>
            <w:tr w:rsidR="00083A9D" w:rsidRPr="00915326" w:rsidTr="006E0A1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877" w:type="dxa"/>
                  <w:noWrap/>
                </w:tcPr>
                <w:p w:rsidR="00083A9D" w:rsidRPr="007B28F5" w:rsidRDefault="00083A9D" w:rsidP="007B28F5">
                  <w:pPr>
                    <w:pStyle w:val="Tabletext"/>
                    <w:rPr>
                      <w:color w:val="auto"/>
                      <w:sz w:val="18"/>
                      <w:szCs w:val="16"/>
                      <w:lang w:val="en-US" w:eastAsia="zh-CN"/>
                    </w:rPr>
                  </w:pPr>
                  <w:r w:rsidRPr="007B28F5">
                    <w:rPr>
                      <w:color w:val="auto"/>
                      <w:sz w:val="18"/>
                      <w:szCs w:val="16"/>
                      <w:lang w:val="en-US" w:eastAsia="zh-CN"/>
                    </w:rPr>
                    <w:t>Total</w:t>
                  </w:r>
                </w:p>
              </w:tc>
              <w:tc>
                <w:tcPr>
                  <w:tcW w:w="850" w:type="dxa"/>
                  <w:noWrap/>
                </w:tcPr>
                <w:p w:rsidR="00083A9D" w:rsidRPr="007B28F5" w:rsidRDefault="00083A9D" w:rsidP="007B28F5">
                  <w:pPr>
                    <w:pStyle w:val="Tabletex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color w:val="auto"/>
                      <w:sz w:val="18"/>
                      <w:szCs w:val="16"/>
                      <w:lang w:val="en-US" w:eastAsia="zh-CN"/>
                    </w:rPr>
                  </w:pPr>
                  <w:r w:rsidRPr="007B28F5">
                    <w:rPr>
                      <w:b/>
                      <w:bCs/>
                      <w:color w:val="auto"/>
                      <w:sz w:val="18"/>
                      <w:szCs w:val="16"/>
                      <w:lang w:val="en-US" w:eastAsia="zh-CN"/>
                    </w:rPr>
                    <w:t>9</w:t>
                  </w:r>
                </w:p>
              </w:tc>
              <w:tc>
                <w:tcPr>
                  <w:tcW w:w="571" w:type="dxa"/>
                  <w:noWrap/>
                </w:tcPr>
                <w:p w:rsidR="00083A9D" w:rsidRPr="007B28F5" w:rsidRDefault="00083A9D" w:rsidP="007B28F5">
                  <w:pPr>
                    <w:pStyle w:val="Tabletex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color w:val="auto"/>
                      <w:sz w:val="18"/>
                      <w:szCs w:val="16"/>
                      <w:lang w:val="en-US" w:eastAsia="zh-CN"/>
                    </w:rPr>
                  </w:pPr>
                  <w:r w:rsidRPr="007B28F5">
                    <w:rPr>
                      <w:b/>
                      <w:bCs/>
                      <w:color w:val="auto"/>
                      <w:sz w:val="18"/>
                      <w:szCs w:val="16"/>
                      <w:lang w:val="en-US" w:eastAsia="zh-CN"/>
                    </w:rPr>
                    <w:t>100</w:t>
                  </w:r>
                </w:p>
              </w:tc>
            </w:tr>
            <w:tr w:rsidR="00083A9D" w:rsidRPr="00915326" w:rsidTr="006E0A12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877" w:type="dxa"/>
                  <w:noWrap/>
                  <w:hideMark/>
                </w:tcPr>
                <w:p w:rsidR="00083A9D" w:rsidRPr="001B2ECC" w:rsidRDefault="006E0A12" w:rsidP="007B28F5">
                  <w:pPr>
                    <w:pStyle w:val="Tabletext"/>
                    <w:rPr>
                      <w:b w:val="0"/>
                      <w:bCs w:val="0"/>
                      <w:color w:val="auto"/>
                      <w:sz w:val="18"/>
                      <w:szCs w:val="16"/>
                      <w:lang w:val="en-US" w:eastAsia="zh-CN"/>
                    </w:rPr>
                  </w:pPr>
                  <w:r w:rsidRPr="001B2ECC">
                    <w:rPr>
                      <w:b w:val="0"/>
                      <w:bCs w:val="0"/>
                      <w:color w:val="auto"/>
                      <w:sz w:val="18"/>
                      <w:szCs w:val="16"/>
                      <w:lang w:val="en-US" w:eastAsia="zh-CN"/>
                    </w:rPr>
                    <w:t>Mise en oeuvre</w:t>
                  </w:r>
                </w:p>
              </w:tc>
              <w:tc>
                <w:tcPr>
                  <w:tcW w:w="850" w:type="dxa"/>
                  <w:noWrap/>
                  <w:hideMark/>
                </w:tcPr>
                <w:p w:rsidR="00083A9D" w:rsidRPr="007B28F5" w:rsidRDefault="00083A9D" w:rsidP="007B28F5">
                  <w:pPr>
                    <w:pStyle w:val="Tabletext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6"/>
                      <w:lang w:val="en-US" w:eastAsia="zh-CN"/>
                    </w:rPr>
                  </w:pPr>
                  <w:r w:rsidRPr="007B28F5">
                    <w:rPr>
                      <w:color w:val="auto"/>
                      <w:sz w:val="18"/>
                      <w:szCs w:val="16"/>
                      <w:lang w:val="en-US" w:eastAsia="zh-CN"/>
                    </w:rPr>
                    <w:t>9</w:t>
                  </w:r>
                </w:p>
              </w:tc>
              <w:tc>
                <w:tcPr>
                  <w:tcW w:w="571" w:type="dxa"/>
                  <w:noWrap/>
                  <w:hideMark/>
                </w:tcPr>
                <w:p w:rsidR="00083A9D" w:rsidRPr="007B28F5" w:rsidRDefault="00083A9D" w:rsidP="007B28F5">
                  <w:pPr>
                    <w:pStyle w:val="Tabletext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6"/>
                      <w:lang w:val="en-US" w:eastAsia="zh-CN"/>
                    </w:rPr>
                  </w:pPr>
                  <w:r w:rsidRPr="007B28F5">
                    <w:rPr>
                      <w:color w:val="auto"/>
                      <w:sz w:val="18"/>
                      <w:szCs w:val="16"/>
                      <w:lang w:val="en-US" w:eastAsia="zh-CN"/>
                    </w:rPr>
                    <w:t>100</w:t>
                  </w:r>
                </w:p>
              </w:tc>
            </w:tr>
            <w:tr w:rsidR="00083A9D" w:rsidRPr="00915326" w:rsidTr="006E0A1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877" w:type="dxa"/>
                  <w:noWrap/>
                  <w:hideMark/>
                </w:tcPr>
                <w:p w:rsidR="00083A9D" w:rsidRPr="001B2ECC" w:rsidRDefault="006E0A12" w:rsidP="007B28F5">
                  <w:pPr>
                    <w:pStyle w:val="Tabletext"/>
                    <w:rPr>
                      <w:b w:val="0"/>
                      <w:bCs w:val="0"/>
                      <w:color w:val="auto"/>
                      <w:sz w:val="18"/>
                      <w:szCs w:val="16"/>
                      <w:lang w:val="en-US" w:eastAsia="zh-CN"/>
                    </w:rPr>
                  </w:pPr>
                  <w:r w:rsidRPr="001B2ECC">
                    <w:rPr>
                      <w:b w:val="0"/>
                      <w:bCs w:val="0"/>
                      <w:color w:val="auto"/>
                      <w:sz w:val="18"/>
                      <w:szCs w:val="16"/>
                      <w:lang w:val="en-US" w:eastAsia="zh-CN"/>
                    </w:rPr>
                    <w:t>En cours</w:t>
                  </w:r>
                </w:p>
              </w:tc>
              <w:tc>
                <w:tcPr>
                  <w:tcW w:w="850" w:type="dxa"/>
                  <w:noWrap/>
                  <w:hideMark/>
                </w:tcPr>
                <w:p w:rsidR="00083A9D" w:rsidRPr="001B2ECC" w:rsidRDefault="00083A9D" w:rsidP="007B28F5">
                  <w:pPr>
                    <w:pStyle w:val="Tabletex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6"/>
                      <w:lang w:val="en-US" w:eastAsia="zh-CN"/>
                    </w:rPr>
                  </w:pPr>
                  <w:r w:rsidRPr="001B2ECC">
                    <w:rPr>
                      <w:color w:val="auto"/>
                      <w:sz w:val="18"/>
                      <w:szCs w:val="16"/>
                      <w:lang w:val="en-US" w:eastAsia="zh-CN"/>
                    </w:rPr>
                    <w:t>0</w:t>
                  </w:r>
                </w:p>
              </w:tc>
              <w:tc>
                <w:tcPr>
                  <w:tcW w:w="571" w:type="dxa"/>
                  <w:noWrap/>
                  <w:hideMark/>
                </w:tcPr>
                <w:p w:rsidR="00083A9D" w:rsidRPr="001B2ECC" w:rsidRDefault="00083A9D" w:rsidP="007B28F5">
                  <w:pPr>
                    <w:pStyle w:val="Tabletex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6"/>
                      <w:lang w:val="en-US" w:eastAsia="zh-CN"/>
                    </w:rPr>
                  </w:pPr>
                  <w:r w:rsidRPr="001B2ECC">
                    <w:rPr>
                      <w:color w:val="auto"/>
                      <w:sz w:val="18"/>
                      <w:szCs w:val="16"/>
                      <w:lang w:val="en-US" w:eastAsia="zh-CN"/>
                    </w:rPr>
                    <w:t>0</w:t>
                  </w:r>
                </w:p>
              </w:tc>
            </w:tr>
            <w:tr w:rsidR="00083A9D" w:rsidRPr="00915326" w:rsidTr="006E0A12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877" w:type="dxa"/>
                  <w:noWrap/>
                  <w:hideMark/>
                </w:tcPr>
                <w:p w:rsidR="00083A9D" w:rsidRPr="001B2ECC" w:rsidRDefault="006E0A12" w:rsidP="007B28F5">
                  <w:pPr>
                    <w:pStyle w:val="Tabletext"/>
                    <w:rPr>
                      <w:b w:val="0"/>
                      <w:bCs w:val="0"/>
                      <w:color w:val="auto"/>
                      <w:sz w:val="18"/>
                      <w:szCs w:val="16"/>
                      <w:lang w:val="en-US" w:eastAsia="zh-CN"/>
                    </w:rPr>
                  </w:pPr>
                  <w:r w:rsidRPr="001B2ECC">
                    <w:rPr>
                      <w:b w:val="0"/>
                      <w:bCs w:val="0"/>
                      <w:color w:val="auto"/>
                      <w:sz w:val="18"/>
                      <w:szCs w:val="16"/>
                      <w:lang w:val="en-US" w:eastAsia="zh-CN"/>
                    </w:rPr>
                    <w:t>Non acceptée</w:t>
                  </w:r>
                </w:p>
              </w:tc>
              <w:tc>
                <w:tcPr>
                  <w:tcW w:w="850" w:type="dxa"/>
                  <w:noWrap/>
                  <w:hideMark/>
                </w:tcPr>
                <w:p w:rsidR="00083A9D" w:rsidRPr="007B28F5" w:rsidRDefault="00083A9D" w:rsidP="007B28F5">
                  <w:pPr>
                    <w:pStyle w:val="Tabletext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6"/>
                      <w:lang w:val="en-US" w:eastAsia="zh-CN"/>
                    </w:rPr>
                  </w:pPr>
                  <w:r w:rsidRPr="007B28F5">
                    <w:rPr>
                      <w:color w:val="auto"/>
                      <w:sz w:val="18"/>
                      <w:szCs w:val="16"/>
                      <w:lang w:val="en-US" w:eastAsia="zh-CN"/>
                    </w:rPr>
                    <w:t>0</w:t>
                  </w:r>
                </w:p>
              </w:tc>
              <w:tc>
                <w:tcPr>
                  <w:tcW w:w="571" w:type="dxa"/>
                  <w:noWrap/>
                  <w:hideMark/>
                </w:tcPr>
                <w:p w:rsidR="00083A9D" w:rsidRPr="007B28F5" w:rsidRDefault="00083A9D" w:rsidP="007B28F5">
                  <w:pPr>
                    <w:pStyle w:val="Tabletext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6"/>
                      <w:lang w:val="en-US" w:eastAsia="zh-CN"/>
                    </w:rPr>
                  </w:pPr>
                  <w:r w:rsidRPr="007B28F5">
                    <w:rPr>
                      <w:color w:val="auto"/>
                      <w:sz w:val="18"/>
                      <w:szCs w:val="16"/>
                      <w:lang w:val="en-US" w:eastAsia="zh-CN"/>
                    </w:rPr>
                    <w:t>0</w:t>
                  </w:r>
                </w:p>
              </w:tc>
            </w:tr>
          </w:tbl>
          <w:p w:rsidR="00083A9D" w:rsidRPr="00915326" w:rsidRDefault="00083A9D" w:rsidP="007B28F5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6085" w:type="dxa"/>
          </w:tcPr>
          <w:p w:rsidR="00083A9D" w:rsidRDefault="00083A9D" w:rsidP="007B28F5">
            <w:pPr>
              <w:rPr>
                <w:rFonts w:asciiTheme="minorHAnsi" w:hAnsiTheme="minorHAnsi"/>
                <w:szCs w:val="24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77F60319" wp14:editId="33E1D683">
                  <wp:extent cx="3429000" cy="2476500"/>
                  <wp:effectExtent l="0" t="0" r="0" b="0"/>
                  <wp:docPr id="6" name="Chart 6">
                    <a:extLst xmlns:a="http://schemas.openxmlformats.org/drawingml/2006/main">
                      <a:ext uri="{FF2B5EF4-FFF2-40B4-BE49-F238E27FC236}">
                        <a16:creationId xmlns:mo="http://schemas.microsoft.com/office/mac/office/2008/main" xmlns:mv="urn:schemas-microsoft-com:mac:vml"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100-00000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5"/>
                    </a:graphicData>
                  </a:graphic>
                </wp:inline>
              </w:drawing>
            </w:r>
          </w:p>
        </w:tc>
      </w:tr>
      <w:tr w:rsidR="00083A9D" w:rsidTr="006E0A12">
        <w:tc>
          <w:tcPr>
            <w:tcW w:w="3554" w:type="dxa"/>
            <w:vAlign w:val="center"/>
          </w:tcPr>
          <w:tbl>
            <w:tblPr>
              <w:tblStyle w:val="ListTable6Colorful-Accent11"/>
              <w:tblW w:w="0" w:type="auto"/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877"/>
              <w:gridCol w:w="850"/>
              <w:gridCol w:w="571"/>
            </w:tblGrid>
            <w:tr w:rsidR="00083A9D" w:rsidRPr="005865CA" w:rsidTr="006E0A12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877" w:type="dxa"/>
                  <w:noWrap/>
                  <w:hideMark/>
                </w:tcPr>
                <w:p w:rsidR="00083A9D" w:rsidRPr="007B28F5" w:rsidRDefault="006E0A12" w:rsidP="007B28F5">
                  <w:pPr>
                    <w:pStyle w:val="Tablehead"/>
                    <w:jc w:val="left"/>
                    <w:rPr>
                      <w:b/>
                      <w:bCs w:val="0"/>
                      <w:color w:val="auto"/>
                      <w:sz w:val="18"/>
                      <w:szCs w:val="16"/>
                    </w:rPr>
                  </w:pPr>
                  <w:r w:rsidRPr="007B28F5">
                    <w:rPr>
                      <w:b/>
                      <w:bCs w:val="0"/>
                      <w:color w:val="auto"/>
                      <w:sz w:val="18"/>
                      <w:szCs w:val="16"/>
                    </w:rPr>
                    <w:t>Situation des recommandations formulées par le CCIG en</w:t>
                  </w:r>
                  <w:r w:rsidR="00083A9D" w:rsidRPr="007B28F5">
                    <w:rPr>
                      <w:b/>
                      <w:bCs w:val="0"/>
                      <w:color w:val="auto"/>
                      <w:sz w:val="18"/>
                      <w:szCs w:val="16"/>
                    </w:rPr>
                    <w:t xml:space="preserve"> 2013</w:t>
                  </w:r>
                </w:p>
              </w:tc>
              <w:tc>
                <w:tcPr>
                  <w:tcW w:w="850" w:type="dxa"/>
                  <w:noWrap/>
                  <w:vAlign w:val="center"/>
                  <w:hideMark/>
                </w:tcPr>
                <w:p w:rsidR="00083A9D" w:rsidRPr="007B28F5" w:rsidRDefault="00083A9D" w:rsidP="007B28F5">
                  <w:pPr>
                    <w:pStyle w:val="Tablehead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 w:val="0"/>
                      <w:color w:val="auto"/>
                      <w:sz w:val="18"/>
                      <w:szCs w:val="16"/>
                    </w:rPr>
                  </w:pPr>
                  <w:r w:rsidRPr="007B28F5">
                    <w:rPr>
                      <w:b/>
                      <w:bCs w:val="0"/>
                      <w:color w:val="auto"/>
                      <w:sz w:val="18"/>
                      <w:szCs w:val="16"/>
                    </w:rPr>
                    <w:t>No</w:t>
                  </w:r>
                  <w:r w:rsidR="006E0A12" w:rsidRPr="007B28F5">
                    <w:rPr>
                      <w:b/>
                      <w:bCs w:val="0"/>
                      <w:color w:val="auto"/>
                      <w:sz w:val="18"/>
                      <w:szCs w:val="16"/>
                    </w:rPr>
                    <w:t>mbre</w:t>
                  </w:r>
                </w:p>
              </w:tc>
              <w:tc>
                <w:tcPr>
                  <w:tcW w:w="571" w:type="dxa"/>
                  <w:noWrap/>
                  <w:vAlign w:val="center"/>
                  <w:hideMark/>
                </w:tcPr>
                <w:p w:rsidR="00083A9D" w:rsidRPr="007B28F5" w:rsidRDefault="00083A9D" w:rsidP="007B28F5">
                  <w:pPr>
                    <w:pStyle w:val="Tablehead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 w:val="0"/>
                      <w:color w:val="auto"/>
                      <w:sz w:val="18"/>
                      <w:szCs w:val="16"/>
                    </w:rPr>
                  </w:pPr>
                  <w:r w:rsidRPr="007B28F5">
                    <w:rPr>
                      <w:b/>
                      <w:bCs w:val="0"/>
                      <w:color w:val="auto"/>
                      <w:sz w:val="18"/>
                      <w:szCs w:val="16"/>
                    </w:rPr>
                    <w:t>%</w:t>
                  </w:r>
                </w:p>
              </w:tc>
            </w:tr>
            <w:tr w:rsidR="00083A9D" w:rsidRPr="005865CA" w:rsidTr="006E0A1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877" w:type="dxa"/>
                  <w:noWrap/>
                </w:tcPr>
                <w:p w:rsidR="00083A9D" w:rsidRPr="007B28F5" w:rsidRDefault="00083A9D" w:rsidP="007B28F5">
                  <w:pPr>
                    <w:pStyle w:val="Tabletext"/>
                    <w:rPr>
                      <w:color w:val="auto"/>
                      <w:sz w:val="18"/>
                      <w:szCs w:val="16"/>
                      <w:lang w:val="en-US" w:eastAsia="zh-CN"/>
                    </w:rPr>
                  </w:pPr>
                  <w:r w:rsidRPr="007B28F5">
                    <w:rPr>
                      <w:color w:val="auto"/>
                      <w:sz w:val="18"/>
                      <w:szCs w:val="16"/>
                      <w:lang w:val="en-US" w:eastAsia="zh-CN"/>
                    </w:rPr>
                    <w:t>Total</w:t>
                  </w:r>
                </w:p>
              </w:tc>
              <w:tc>
                <w:tcPr>
                  <w:tcW w:w="850" w:type="dxa"/>
                  <w:noWrap/>
                </w:tcPr>
                <w:p w:rsidR="00083A9D" w:rsidRPr="007B28F5" w:rsidRDefault="00083A9D" w:rsidP="007B28F5">
                  <w:pPr>
                    <w:pStyle w:val="Tabletex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6"/>
                      <w:lang w:val="en-US" w:eastAsia="zh-CN"/>
                    </w:rPr>
                  </w:pPr>
                  <w:r w:rsidRPr="007B28F5">
                    <w:rPr>
                      <w:b/>
                      <w:bCs/>
                      <w:color w:val="auto"/>
                      <w:sz w:val="18"/>
                      <w:szCs w:val="16"/>
                      <w:lang w:val="en-US" w:eastAsia="zh-CN"/>
                    </w:rPr>
                    <w:t>8</w:t>
                  </w:r>
                </w:p>
              </w:tc>
              <w:tc>
                <w:tcPr>
                  <w:tcW w:w="571" w:type="dxa"/>
                  <w:noWrap/>
                </w:tcPr>
                <w:p w:rsidR="00083A9D" w:rsidRPr="007B28F5" w:rsidRDefault="00083A9D" w:rsidP="007B28F5">
                  <w:pPr>
                    <w:pStyle w:val="Tabletex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6"/>
                      <w:lang w:val="en-US" w:eastAsia="zh-CN"/>
                    </w:rPr>
                  </w:pPr>
                  <w:r w:rsidRPr="007B28F5">
                    <w:rPr>
                      <w:b/>
                      <w:bCs/>
                      <w:color w:val="auto"/>
                      <w:sz w:val="18"/>
                      <w:szCs w:val="16"/>
                      <w:lang w:val="en-US" w:eastAsia="zh-CN"/>
                    </w:rPr>
                    <w:t>100</w:t>
                  </w:r>
                </w:p>
              </w:tc>
            </w:tr>
            <w:tr w:rsidR="00083A9D" w:rsidRPr="005865CA" w:rsidTr="006E0A12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877" w:type="dxa"/>
                  <w:noWrap/>
                  <w:hideMark/>
                </w:tcPr>
                <w:p w:rsidR="00083A9D" w:rsidRPr="001B2ECC" w:rsidRDefault="006E0A12" w:rsidP="007B28F5">
                  <w:pPr>
                    <w:pStyle w:val="Tabletext"/>
                    <w:rPr>
                      <w:b w:val="0"/>
                      <w:bCs w:val="0"/>
                      <w:color w:val="auto"/>
                      <w:sz w:val="18"/>
                      <w:szCs w:val="16"/>
                      <w:lang w:val="en-US" w:eastAsia="zh-CN"/>
                    </w:rPr>
                  </w:pPr>
                  <w:r w:rsidRPr="001B2ECC">
                    <w:rPr>
                      <w:b w:val="0"/>
                      <w:bCs w:val="0"/>
                      <w:color w:val="auto"/>
                      <w:sz w:val="18"/>
                      <w:szCs w:val="16"/>
                      <w:lang w:val="en-US" w:eastAsia="zh-CN"/>
                    </w:rPr>
                    <w:t>Mise en oeuvre</w:t>
                  </w:r>
                </w:p>
              </w:tc>
              <w:tc>
                <w:tcPr>
                  <w:tcW w:w="850" w:type="dxa"/>
                  <w:noWrap/>
                  <w:hideMark/>
                </w:tcPr>
                <w:p w:rsidR="00083A9D" w:rsidRPr="007B28F5" w:rsidRDefault="00083A9D" w:rsidP="007B28F5">
                  <w:pPr>
                    <w:pStyle w:val="Tabletext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6"/>
                      <w:lang w:val="en-US" w:eastAsia="zh-CN"/>
                    </w:rPr>
                  </w:pPr>
                  <w:r w:rsidRPr="007B28F5">
                    <w:rPr>
                      <w:color w:val="auto"/>
                      <w:sz w:val="18"/>
                      <w:szCs w:val="16"/>
                      <w:lang w:val="en-US" w:eastAsia="zh-CN"/>
                    </w:rPr>
                    <w:t>7</w:t>
                  </w:r>
                </w:p>
              </w:tc>
              <w:tc>
                <w:tcPr>
                  <w:tcW w:w="571" w:type="dxa"/>
                  <w:noWrap/>
                  <w:hideMark/>
                </w:tcPr>
                <w:p w:rsidR="00083A9D" w:rsidRPr="007B28F5" w:rsidRDefault="00083A9D" w:rsidP="007B28F5">
                  <w:pPr>
                    <w:pStyle w:val="Tabletext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6"/>
                      <w:lang w:val="en-US" w:eastAsia="zh-CN"/>
                    </w:rPr>
                  </w:pPr>
                  <w:r w:rsidRPr="007B28F5">
                    <w:rPr>
                      <w:color w:val="auto"/>
                      <w:sz w:val="18"/>
                      <w:szCs w:val="16"/>
                      <w:lang w:val="en-US" w:eastAsia="zh-CN"/>
                    </w:rPr>
                    <w:t>87</w:t>
                  </w:r>
                </w:p>
              </w:tc>
            </w:tr>
            <w:tr w:rsidR="00083A9D" w:rsidRPr="005865CA" w:rsidTr="006E0A1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877" w:type="dxa"/>
                  <w:noWrap/>
                  <w:hideMark/>
                </w:tcPr>
                <w:p w:rsidR="00083A9D" w:rsidRPr="001B2ECC" w:rsidRDefault="006E0A12" w:rsidP="007B28F5">
                  <w:pPr>
                    <w:pStyle w:val="Tabletext"/>
                    <w:rPr>
                      <w:b w:val="0"/>
                      <w:bCs w:val="0"/>
                      <w:color w:val="auto"/>
                      <w:sz w:val="18"/>
                      <w:szCs w:val="16"/>
                      <w:lang w:val="en-US" w:eastAsia="zh-CN"/>
                    </w:rPr>
                  </w:pPr>
                  <w:r w:rsidRPr="001B2ECC">
                    <w:rPr>
                      <w:b w:val="0"/>
                      <w:bCs w:val="0"/>
                      <w:color w:val="auto"/>
                      <w:sz w:val="18"/>
                      <w:szCs w:val="16"/>
                      <w:lang w:val="en-US" w:eastAsia="zh-CN"/>
                    </w:rPr>
                    <w:t>En cours</w:t>
                  </w:r>
                </w:p>
              </w:tc>
              <w:tc>
                <w:tcPr>
                  <w:tcW w:w="850" w:type="dxa"/>
                  <w:noWrap/>
                  <w:hideMark/>
                </w:tcPr>
                <w:p w:rsidR="00083A9D" w:rsidRPr="007B28F5" w:rsidRDefault="00083A9D" w:rsidP="007B28F5">
                  <w:pPr>
                    <w:pStyle w:val="Tabletex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6"/>
                      <w:lang w:val="en-US" w:eastAsia="zh-CN"/>
                    </w:rPr>
                  </w:pPr>
                  <w:r w:rsidRPr="007B28F5">
                    <w:rPr>
                      <w:color w:val="auto"/>
                      <w:sz w:val="18"/>
                      <w:szCs w:val="16"/>
                      <w:lang w:val="en-US" w:eastAsia="zh-CN"/>
                    </w:rPr>
                    <w:t>1</w:t>
                  </w:r>
                </w:p>
              </w:tc>
              <w:tc>
                <w:tcPr>
                  <w:tcW w:w="571" w:type="dxa"/>
                  <w:noWrap/>
                  <w:hideMark/>
                </w:tcPr>
                <w:p w:rsidR="00083A9D" w:rsidRPr="007B28F5" w:rsidRDefault="00083A9D" w:rsidP="007B28F5">
                  <w:pPr>
                    <w:pStyle w:val="Tabletex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6"/>
                      <w:lang w:val="en-US" w:eastAsia="zh-CN"/>
                    </w:rPr>
                  </w:pPr>
                  <w:r w:rsidRPr="007B28F5">
                    <w:rPr>
                      <w:color w:val="auto"/>
                      <w:sz w:val="18"/>
                      <w:szCs w:val="16"/>
                      <w:lang w:val="en-US" w:eastAsia="zh-CN"/>
                    </w:rPr>
                    <w:t>13</w:t>
                  </w:r>
                </w:p>
              </w:tc>
            </w:tr>
            <w:tr w:rsidR="00083A9D" w:rsidRPr="005865CA" w:rsidTr="006E0A12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877" w:type="dxa"/>
                  <w:noWrap/>
                  <w:hideMark/>
                </w:tcPr>
                <w:p w:rsidR="00083A9D" w:rsidRPr="001B2ECC" w:rsidRDefault="006E0A12" w:rsidP="007B28F5">
                  <w:pPr>
                    <w:pStyle w:val="Tabletext"/>
                    <w:rPr>
                      <w:b w:val="0"/>
                      <w:bCs w:val="0"/>
                      <w:color w:val="auto"/>
                      <w:sz w:val="18"/>
                      <w:szCs w:val="16"/>
                      <w:lang w:val="en-US" w:eastAsia="zh-CN"/>
                    </w:rPr>
                  </w:pPr>
                  <w:r w:rsidRPr="001B2ECC">
                    <w:rPr>
                      <w:b w:val="0"/>
                      <w:bCs w:val="0"/>
                      <w:color w:val="auto"/>
                      <w:sz w:val="18"/>
                      <w:szCs w:val="16"/>
                      <w:lang w:val="en-US" w:eastAsia="zh-CN"/>
                    </w:rPr>
                    <w:t>Non acceptée</w:t>
                  </w:r>
                </w:p>
              </w:tc>
              <w:tc>
                <w:tcPr>
                  <w:tcW w:w="850" w:type="dxa"/>
                  <w:noWrap/>
                  <w:hideMark/>
                </w:tcPr>
                <w:p w:rsidR="00083A9D" w:rsidRPr="007B28F5" w:rsidRDefault="00083A9D" w:rsidP="007B28F5">
                  <w:pPr>
                    <w:pStyle w:val="Tabletext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6"/>
                      <w:lang w:val="en-US" w:eastAsia="zh-CN"/>
                    </w:rPr>
                  </w:pPr>
                  <w:r w:rsidRPr="007B28F5">
                    <w:rPr>
                      <w:color w:val="auto"/>
                      <w:sz w:val="18"/>
                      <w:szCs w:val="16"/>
                      <w:lang w:val="en-US" w:eastAsia="zh-CN"/>
                    </w:rPr>
                    <w:t>0</w:t>
                  </w:r>
                </w:p>
              </w:tc>
              <w:tc>
                <w:tcPr>
                  <w:tcW w:w="571" w:type="dxa"/>
                  <w:noWrap/>
                  <w:hideMark/>
                </w:tcPr>
                <w:p w:rsidR="00083A9D" w:rsidRPr="007B28F5" w:rsidRDefault="00083A9D" w:rsidP="007B28F5">
                  <w:pPr>
                    <w:pStyle w:val="Tabletext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6"/>
                      <w:lang w:val="en-US" w:eastAsia="zh-CN"/>
                    </w:rPr>
                  </w:pPr>
                  <w:r w:rsidRPr="007B28F5">
                    <w:rPr>
                      <w:color w:val="auto"/>
                      <w:sz w:val="18"/>
                      <w:szCs w:val="16"/>
                      <w:lang w:val="en-US" w:eastAsia="zh-CN"/>
                    </w:rPr>
                    <w:t>0</w:t>
                  </w:r>
                </w:p>
              </w:tc>
            </w:tr>
          </w:tbl>
          <w:p w:rsidR="00083A9D" w:rsidRDefault="00083A9D" w:rsidP="007B28F5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6085" w:type="dxa"/>
          </w:tcPr>
          <w:p w:rsidR="00083A9D" w:rsidRDefault="00083A9D" w:rsidP="007B28F5">
            <w:pPr>
              <w:rPr>
                <w:rFonts w:asciiTheme="minorHAnsi" w:hAnsiTheme="minorHAnsi"/>
                <w:szCs w:val="24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79EF1FF3" wp14:editId="65A9AE9A">
                  <wp:extent cx="3324225" cy="2486025"/>
                  <wp:effectExtent l="0" t="0" r="0" b="0"/>
                  <wp:docPr id="13" name="Chart 13">
                    <a:extLst xmlns:a="http://schemas.openxmlformats.org/drawingml/2006/main">
                      <a:ext uri="{FF2B5EF4-FFF2-40B4-BE49-F238E27FC236}">
                        <a16:creationId xmlns:mo="http://schemas.microsoft.com/office/mac/office/2008/main" xmlns:mv="urn:schemas-microsoft-com:mac:vml"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100-00000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6"/>
                    </a:graphicData>
                  </a:graphic>
                </wp:inline>
              </w:drawing>
            </w:r>
          </w:p>
        </w:tc>
      </w:tr>
      <w:tr w:rsidR="00083A9D" w:rsidTr="006E0A12">
        <w:tc>
          <w:tcPr>
            <w:tcW w:w="3554" w:type="dxa"/>
            <w:vAlign w:val="center"/>
          </w:tcPr>
          <w:tbl>
            <w:tblPr>
              <w:tblStyle w:val="ListTable6Colorful-Accent11"/>
              <w:tblW w:w="0" w:type="auto"/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877"/>
              <w:gridCol w:w="850"/>
              <w:gridCol w:w="569"/>
            </w:tblGrid>
            <w:tr w:rsidR="00083A9D" w:rsidRPr="006E0A12" w:rsidTr="006E0A12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877" w:type="dxa"/>
                  <w:noWrap/>
                  <w:hideMark/>
                </w:tcPr>
                <w:p w:rsidR="00083A9D" w:rsidRPr="007B28F5" w:rsidRDefault="006E0A12" w:rsidP="007B28F5">
                  <w:pPr>
                    <w:pStyle w:val="Tablehead"/>
                    <w:jc w:val="left"/>
                    <w:rPr>
                      <w:b/>
                      <w:bCs w:val="0"/>
                      <w:color w:val="auto"/>
                      <w:sz w:val="18"/>
                      <w:szCs w:val="16"/>
                    </w:rPr>
                  </w:pPr>
                  <w:r w:rsidRPr="007B28F5">
                    <w:rPr>
                      <w:b/>
                      <w:bCs w:val="0"/>
                      <w:color w:val="auto"/>
                      <w:sz w:val="18"/>
                      <w:szCs w:val="16"/>
                    </w:rPr>
                    <w:t xml:space="preserve">Situation des recommandations formulées par le CCIG en </w:t>
                  </w:r>
                  <w:r w:rsidR="00083A9D" w:rsidRPr="007B28F5">
                    <w:rPr>
                      <w:b/>
                      <w:bCs w:val="0"/>
                      <w:color w:val="auto"/>
                      <w:sz w:val="18"/>
                      <w:szCs w:val="16"/>
                    </w:rPr>
                    <w:t>2012 I</w:t>
                  </w:r>
                </w:p>
              </w:tc>
              <w:tc>
                <w:tcPr>
                  <w:tcW w:w="850" w:type="dxa"/>
                  <w:noWrap/>
                  <w:vAlign w:val="center"/>
                  <w:hideMark/>
                </w:tcPr>
                <w:p w:rsidR="00083A9D" w:rsidRPr="007B28F5" w:rsidRDefault="00083A9D" w:rsidP="007B28F5">
                  <w:pPr>
                    <w:pStyle w:val="Tablehead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 w:val="0"/>
                      <w:color w:val="auto"/>
                      <w:sz w:val="18"/>
                      <w:szCs w:val="16"/>
                    </w:rPr>
                  </w:pPr>
                  <w:r w:rsidRPr="007B28F5">
                    <w:rPr>
                      <w:b/>
                      <w:bCs w:val="0"/>
                      <w:color w:val="auto"/>
                      <w:sz w:val="18"/>
                      <w:szCs w:val="16"/>
                    </w:rPr>
                    <w:t>No</w:t>
                  </w:r>
                  <w:r w:rsidR="006E0A12" w:rsidRPr="007B28F5">
                    <w:rPr>
                      <w:b/>
                      <w:bCs w:val="0"/>
                      <w:color w:val="auto"/>
                      <w:sz w:val="18"/>
                      <w:szCs w:val="16"/>
                    </w:rPr>
                    <w:t>mbre</w:t>
                  </w:r>
                </w:p>
              </w:tc>
              <w:tc>
                <w:tcPr>
                  <w:tcW w:w="569" w:type="dxa"/>
                  <w:noWrap/>
                  <w:vAlign w:val="center"/>
                  <w:hideMark/>
                </w:tcPr>
                <w:p w:rsidR="00083A9D" w:rsidRPr="007B28F5" w:rsidRDefault="00083A9D" w:rsidP="007B28F5">
                  <w:pPr>
                    <w:pStyle w:val="Tablehead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 w:val="0"/>
                      <w:color w:val="auto"/>
                      <w:sz w:val="18"/>
                      <w:szCs w:val="16"/>
                    </w:rPr>
                  </w:pPr>
                  <w:r w:rsidRPr="007B28F5">
                    <w:rPr>
                      <w:b/>
                      <w:bCs w:val="0"/>
                      <w:color w:val="auto"/>
                      <w:sz w:val="18"/>
                      <w:szCs w:val="16"/>
                    </w:rPr>
                    <w:t>%</w:t>
                  </w:r>
                </w:p>
              </w:tc>
            </w:tr>
            <w:tr w:rsidR="00083A9D" w:rsidRPr="006E0A12" w:rsidTr="006E0A1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877" w:type="dxa"/>
                  <w:noWrap/>
                </w:tcPr>
                <w:p w:rsidR="00083A9D" w:rsidRPr="007B28F5" w:rsidRDefault="00083A9D" w:rsidP="007B28F5">
                  <w:pPr>
                    <w:pStyle w:val="Tabletext"/>
                    <w:rPr>
                      <w:color w:val="auto"/>
                      <w:sz w:val="18"/>
                      <w:szCs w:val="16"/>
                      <w:lang w:val="en-US" w:eastAsia="zh-CN"/>
                    </w:rPr>
                  </w:pPr>
                  <w:r w:rsidRPr="007B28F5">
                    <w:rPr>
                      <w:color w:val="auto"/>
                      <w:sz w:val="18"/>
                      <w:szCs w:val="16"/>
                      <w:lang w:val="en-US" w:eastAsia="zh-CN"/>
                    </w:rPr>
                    <w:t>Total</w:t>
                  </w:r>
                </w:p>
              </w:tc>
              <w:tc>
                <w:tcPr>
                  <w:tcW w:w="850" w:type="dxa"/>
                  <w:noWrap/>
                </w:tcPr>
                <w:p w:rsidR="00083A9D" w:rsidRPr="007B28F5" w:rsidRDefault="00083A9D" w:rsidP="007B28F5">
                  <w:pPr>
                    <w:pStyle w:val="Tabletex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6"/>
                      <w:lang w:val="en-US" w:eastAsia="zh-CN"/>
                    </w:rPr>
                  </w:pPr>
                  <w:r w:rsidRPr="007B28F5">
                    <w:rPr>
                      <w:b/>
                      <w:bCs/>
                      <w:color w:val="auto"/>
                      <w:sz w:val="18"/>
                      <w:szCs w:val="16"/>
                      <w:lang w:val="en-US" w:eastAsia="zh-CN"/>
                    </w:rPr>
                    <w:t>6</w:t>
                  </w:r>
                </w:p>
              </w:tc>
              <w:tc>
                <w:tcPr>
                  <w:tcW w:w="569" w:type="dxa"/>
                  <w:noWrap/>
                </w:tcPr>
                <w:p w:rsidR="00083A9D" w:rsidRPr="007B28F5" w:rsidRDefault="00083A9D" w:rsidP="007B28F5">
                  <w:pPr>
                    <w:pStyle w:val="Tabletex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6"/>
                      <w:lang w:val="en-US" w:eastAsia="zh-CN"/>
                    </w:rPr>
                  </w:pPr>
                  <w:r w:rsidRPr="007B28F5">
                    <w:rPr>
                      <w:b/>
                      <w:bCs/>
                      <w:color w:val="auto"/>
                      <w:sz w:val="18"/>
                      <w:szCs w:val="16"/>
                      <w:lang w:val="en-US" w:eastAsia="zh-CN"/>
                    </w:rPr>
                    <w:t>100</w:t>
                  </w:r>
                </w:p>
              </w:tc>
            </w:tr>
            <w:tr w:rsidR="00083A9D" w:rsidRPr="006E0A12" w:rsidTr="006E0A12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877" w:type="dxa"/>
                  <w:noWrap/>
                  <w:hideMark/>
                </w:tcPr>
                <w:p w:rsidR="00083A9D" w:rsidRPr="001B2ECC" w:rsidRDefault="006E0A12" w:rsidP="007B28F5">
                  <w:pPr>
                    <w:pStyle w:val="Tabletext"/>
                    <w:rPr>
                      <w:b w:val="0"/>
                      <w:bCs w:val="0"/>
                      <w:color w:val="auto"/>
                      <w:sz w:val="18"/>
                      <w:szCs w:val="16"/>
                      <w:lang w:val="en-US" w:eastAsia="zh-CN"/>
                    </w:rPr>
                  </w:pPr>
                  <w:r w:rsidRPr="001B2ECC">
                    <w:rPr>
                      <w:b w:val="0"/>
                      <w:bCs w:val="0"/>
                      <w:color w:val="auto"/>
                      <w:sz w:val="18"/>
                      <w:szCs w:val="16"/>
                      <w:lang w:val="en-US" w:eastAsia="zh-CN"/>
                    </w:rPr>
                    <w:t>Mise en oeuvre</w:t>
                  </w:r>
                </w:p>
              </w:tc>
              <w:tc>
                <w:tcPr>
                  <w:tcW w:w="850" w:type="dxa"/>
                  <w:noWrap/>
                  <w:hideMark/>
                </w:tcPr>
                <w:p w:rsidR="00083A9D" w:rsidRPr="007B28F5" w:rsidRDefault="00083A9D" w:rsidP="007B28F5">
                  <w:pPr>
                    <w:pStyle w:val="Tabletext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6"/>
                      <w:lang w:val="en-US" w:eastAsia="zh-CN"/>
                    </w:rPr>
                  </w:pPr>
                  <w:r w:rsidRPr="007B28F5">
                    <w:rPr>
                      <w:color w:val="auto"/>
                      <w:sz w:val="18"/>
                      <w:szCs w:val="16"/>
                      <w:lang w:val="en-US" w:eastAsia="zh-CN"/>
                    </w:rPr>
                    <w:t>5</w:t>
                  </w:r>
                </w:p>
              </w:tc>
              <w:tc>
                <w:tcPr>
                  <w:tcW w:w="569" w:type="dxa"/>
                  <w:noWrap/>
                  <w:hideMark/>
                </w:tcPr>
                <w:p w:rsidR="00083A9D" w:rsidRPr="007B28F5" w:rsidRDefault="00083A9D" w:rsidP="007B28F5">
                  <w:pPr>
                    <w:pStyle w:val="Tabletext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6"/>
                      <w:lang w:val="en-US" w:eastAsia="zh-CN"/>
                    </w:rPr>
                  </w:pPr>
                  <w:r w:rsidRPr="007B28F5">
                    <w:rPr>
                      <w:color w:val="auto"/>
                      <w:sz w:val="18"/>
                      <w:szCs w:val="16"/>
                      <w:lang w:val="en-US" w:eastAsia="zh-CN"/>
                    </w:rPr>
                    <w:t>83</w:t>
                  </w:r>
                </w:p>
              </w:tc>
            </w:tr>
            <w:tr w:rsidR="00083A9D" w:rsidRPr="006E0A12" w:rsidTr="006E0A1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877" w:type="dxa"/>
                  <w:noWrap/>
                  <w:hideMark/>
                </w:tcPr>
                <w:p w:rsidR="00083A9D" w:rsidRPr="001B2ECC" w:rsidRDefault="006E0A12" w:rsidP="007B28F5">
                  <w:pPr>
                    <w:pStyle w:val="Tabletext"/>
                    <w:rPr>
                      <w:b w:val="0"/>
                      <w:bCs w:val="0"/>
                      <w:color w:val="auto"/>
                      <w:sz w:val="18"/>
                      <w:szCs w:val="16"/>
                      <w:lang w:val="en-US" w:eastAsia="zh-CN"/>
                    </w:rPr>
                  </w:pPr>
                  <w:r w:rsidRPr="001B2ECC">
                    <w:rPr>
                      <w:b w:val="0"/>
                      <w:bCs w:val="0"/>
                      <w:color w:val="auto"/>
                      <w:sz w:val="18"/>
                      <w:szCs w:val="16"/>
                      <w:lang w:val="en-US" w:eastAsia="zh-CN"/>
                    </w:rPr>
                    <w:t>En cours</w:t>
                  </w:r>
                </w:p>
              </w:tc>
              <w:tc>
                <w:tcPr>
                  <w:tcW w:w="850" w:type="dxa"/>
                  <w:noWrap/>
                  <w:hideMark/>
                </w:tcPr>
                <w:p w:rsidR="00083A9D" w:rsidRPr="007B28F5" w:rsidRDefault="00083A9D" w:rsidP="007B28F5">
                  <w:pPr>
                    <w:pStyle w:val="Tabletex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6"/>
                      <w:lang w:val="en-US" w:eastAsia="zh-CN"/>
                    </w:rPr>
                  </w:pPr>
                  <w:r w:rsidRPr="007B28F5">
                    <w:rPr>
                      <w:color w:val="auto"/>
                      <w:sz w:val="18"/>
                      <w:szCs w:val="16"/>
                      <w:lang w:val="en-US" w:eastAsia="zh-CN"/>
                    </w:rPr>
                    <w:t>1</w:t>
                  </w:r>
                </w:p>
              </w:tc>
              <w:tc>
                <w:tcPr>
                  <w:tcW w:w="569" w:type="dxa"/>
                  <w:noWrap/>
                  <w:hideMark/>
                </w:tcPr>
                <w:p w:rsidR="00083A9D" w:rsidRPr="007B28F5" w:rsidRDefault="00083A9D" w:rsidP="007B28F5">
                  <w:pPr>
                    <w:pStyle w:val="Tabletex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6"/>
                      <w:lang w:val="en-US" w:eastAsia="zh-CN"/>
                    </w:rPr>
                  </w:pPr>
                  <w:r w:rsidRPr="007B28F5">
                    <w:rPr>
                      <w:color w:val="auto"/>
                      <w:sz w:val="18"/>
                      <w:szCs w:val="16"/>
                      <w:lang w:val="en-US" w:eastAsia="zh-CN"/>
                    </w:rPr>
                    <w:t>17</w:t>
                  </w:r>
                </w:p>
              </w:tc>
            </w:tr>
            <w:tr w:rsidR="00083A9D" w:rsidRPr="006E0A12" w:rsidTr="006E0A12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877" w:type="dxa"/>
                  <w:noWrap/>
                  <w:hideMark/>
                </w:tcPr>
                <w:p w:rsidR="00083A9D" w:rsidRPr="001B2ECC" w:rsidRDefault="006E0A12" w:rsidP="007B28F5">
                  <w:pPr>
                    <w:pStyle w:val="Tabletext"/>
                    <w:rPr>
                      <w:b w:val="0"/>
                      <w:bCs w:val="0"/>
                      <w:color w:val="auto"/>
                      <w:sz w:val="18"/>
                      <w:szCs w:val="16"/>
                      <w:lang w:val="en-US" w:eastAsia="zh-CN"/>
                    </w:rPr>
                  </w:pPr>
                  <w:r w:rsidRPr="001B2ECC">
                    <w:rPr>
                      <w:b w:val="0"/>
                      <w:bCs w:val="0"/>
                      <w:color w:val="auto"/>
                      <w:sz w:val="18"/>
                      <w:szCs w:val="16"/>
                      <w:lang w:val="en-US" w:eastAsia="zh-CN"/>
                    </w:rPr>
                    <w:t>Non acceptée</w:t>
                  </w:r>
                </w:p>
              </w:tc>
              <w:tc>
                <w:tcPr>
                  <w:tcW w:w="850" w:type="dxa"/>
                  <w:noWrap/>
                  <w:hideMark/>
                </w:tcPr>
                <w:p w:rsidR="00083A9D" w:rsidRPr="007B28F5" w:rsidRDefault="00083A9D" w:rsidP="007B28F5">
                  <w:pPr>
                    <w:pStyle w:val="Tabletext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6"/>
                      <w:lang w:val="en-US" w:eastAsia="zh-CN"/>
                    </w:rPr>
                  </w:pPr>
                  <w:r w:rsidRPr="007B28F5">
                    <w:rPr>
                      <w:color w:val="auto"/>
                      <w:sz w:val="18"/>
                      <w:szCs w:val="16"/>
                      <w:lang w:val="en-US" w:eastAsia="zh-CN"/>
                    </w:rPr>
                    <w:t>0</w:t>
                  </w:r>
                </w:p>
              </w:tc>
              <w:tc>
                <w:tcPr>
                  <w:tcW w:w="569" w:type="dxa"/>
                  <w:noWrap/>
                  <w:hideMark/>
                </w:tcPr>
                <w:p w:rsidR="00083A9D" w:rsidRPr="007B28F5" w:rsidRDefault="00083A9D" w:rsidP="007B28F5">
                  <w:pPr>
                    <w:pStyle w:val="Tabletext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6"/>
                      <w:lang w:val="en-US" w:eastAsia="zh-CN"/>
                    </w:rPr>
                  </w:pPr>
                  <w:r w:rsidRPr="007B28F5">
                    <w:rPr>
                      <w:color w:val="auto"/>
                      <w:sz w:val="18"/>
                      <w:szCs w:val="16"/>
                      <w:lang w:val="en-US" w:eastAsia="zh-CN"/>
                    </w:rPr>
                    <w:t>0</w:t>
                  </w:r>
                </w:p>
              </w:tc>
            </w:tr>
          </w:tbl>
          <w:p w:rsidR="00083A9D" w:rsidRDefault="00083A9D" w:rsidP="007B28F5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6085" w:type="dxa"/>
          </w:tcPr>
          <w:p w:rsidR="00083A9D" w:rsidRDefault="00083A9D" w:rsidP="007B28F5">
            <w:pPr>
              <w:rPr>
                <w:rFonts w:asciiTheme="minorHAnsi" w:hAnsiTheme="minorHAnsi"/>
                <w:szCs w:val="24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399C3791" wp14:editId="390C858D">
                  <wp:extent cx="3324225" cy="2476500"/>
                  <wp:effectExtent l="0" t="0" r="0" b="0"/>
                  <wp:docPr id="14" name="Chart 14">
                    <a:extLst xmlns:a="http://schemas.openxmlformats.org/drawingml/2006/main">
                      <a:ext uri="{FF2B5EF4-FFF2-40B4-BE49-F238E27FC236}">
                        <a16:creationId xmlns:mo="http://schemas.microsoft.com/office/mac/office/2008/main" xmlns:mv="urn:schemas-microsoft-com:mac:vml"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100-00000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7"/>
                    </a:graphicData>
                  </a:graphic>
                </wp:inline>
              </w:drawing>
            </w:r>
          </w:p>
        </w:tc>
      </w:tr>
    </w:tbl>
    <w:p w:rsidR="00774CF8" w:rsidRDefault="00774CF8" w:rsidP="00774CF8"/>
    <w:p w:rsidR="00774CF8" w:rsidRDefault="00774CF8" w:rsidP="00774CF8">
      <w:bookmarkStart w:id="8" w:name="_GoBack"/>
      <w:bookmarkEnd w:id="8"/>
    </w:p>
    <w:p w:rsidR="006E0A12" w:rsidRDefault="006E0A12" w:rsidP="001020E4">
      <w:pPr>
        <w:spacing w:line="480" w:lineRule="auto"/>
        <w:jc w:val="center"/>
      </w:pPr>
      <w:r>
        <w:t>______________</w:t>
      </w:r>
    </w:p>
    <w:sectPr w:rsidR="006E0A12" w:rsidSect="005C3890">
      <w:headerReference w:type="even" r:id="rId28"/>
      <w:headerReference w:type="default" r:id="rId29"/>
      <w:footerReference w:type="even" r:id="rId30"/>
      <w:footerReference w:type="default" r:id="rId31"/>
      <w:footerReference w:type="first" r:id="rId32"/>
      <w:pgSz w:w="11907" w:h="16840" w:code="9"/>
      <w:pgMar w:top="1418" w:right="1134" w:bottom="1418" w:left="1134" w:header="720" w:footer="720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28F5" w:rsidRDefault="007B28F5">
      <w:r>
        <w:separator/>
      </w:r>
    </w:p>
  </w:endnote>
  <w:endnote w:type="continuationSeparator" w:id="0">
    <w:p w:rsidR="007B28F5" w:rsidRDefault="007B2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8F5" w:rsidRPr="00AE6405" w:rsidRDefault="007B28F5">
    <w:pPr>
      <w:pStyle w:val="Footer"/>
    </w:pPr>
    <w:r>
      <w:fldChar w:fldCharType="begin"/>
    </w:r>
    <w:r w:rsidRPr="00AE6405">
      <w:instrText xml:space="preserve"> FILENAME \p \* MERGEFORMAT </w:instrText>
    </w:r>
    <w:r>
      <w:fldChar w:fldCharType="separate"/>
    </w:r>
    <w:r w:rsidR="003A2F45">
      <w:t>P:\FRA\SG\CONSEIL\C17\000\022F.docx</w:t>
    </w:r>
    <w:r>
      <w:fldChar w:fldCharType="end"/>
    </w:r>
    <w:r w:rsidRPr="00AE6405">
      <w:tab/>
    </w:r>
    <w:r>
      <w:fldChar w:fldCharType="begin"/>
    </w:r>
    <w:r>
      <w:instrText xml:space="preserve"> savedate \@ dd.MM.yy </w:instrText>
    </w:r>
    <w:r>
      <w:fldChar w:fldCharType="separate"/>
    </w:r>
    <w:r w:rsidR="003A2F45">
      <w:t>18.05.17</w:t>
    </w:r>
    <w:r>
      <w:fldChar w:fldCharType="end"/>
    </w:r>
    <w:r w:rsidRPr="00AE6405">
      <w:tab/>
    </w:r>
    <w:r>
      <w:fldChar w:fldCharType="begin"/>
    </w:r>
    <w:r>
      <w:instrText xml:space="preserve"> printdate \@ dd.MM.yy </w:instrText>
    </w:r>
    <w:r>
      <w:fldChar w:fldCharType="separate"/>
    </w:r>
    <w:r w:rsidR="003A2F45">
      <w:t>18.05.17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8F5" w:rsidRPr="00796393" w:rsidRDefault="00774CF8" w:rsidP="00796393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3A2F45">
      <w:t>P:\FRA\SG\CONSEIL\C17\000\022F.docx</w:t>
    </w:r>
    <w:r>
      <w:fldChar w:fldCharType="end"/>
    </w:r>
    <w:r w:rsidR="007B28F5">
      <w:t xml:space="preserve"> (409472)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8F5" w:rsidRDefault="007B28F5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7B28F5" w:rsidRPr="000B0BEF" w:rsidRDefault="00774CF8" w:rsidP="000B0BEF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3A2F45">
      <w:t>P:\FRA\SG\CONSEIL\C17\000\022F.docx</w:t>
    </w:r>
    <w:r>
      <w:fldChar w:fldCharType="end"/>
    </w:r>
    <w:r w:rsidR="007B28F5">
      <w:t xml:space="preserve"> (409472)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28F5" w:rsidRDefault="007B28F5">
      <w:r>
        <w:t>____________________</w:t>
      </w:r>
    </w:p>
  </w:footnote>
  <w:footnote w:type="continuationSeparator" w:id="0">
    <w:p w:rsidR="007B28F5" w:rsidRDefault="007B28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8F5" w:rsidRDefault="007B28F5">
    <w:pPr>
      <w:pStyle w:val="Header"/>
    </w:pPr>
    <w:r>
      <w:t xml:space="preserve">- </w:t>
    </w: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 xml:space="preserve"> -</w:t>
    </w:r>
  </w:p>
  <w:p w:rsidR="007B28F5" w:rsidRDefault="007B28F5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8F5" w:rsidRDefault="007B28F5" w:rsidP="00475FB3">
    <w:pPr>
      <w:pStyle w:val="Header"/>
    </w:pPr>
    <w:r>
      <w:fldChar w:fldCharType="begin"/>
    </w:r>
    <w:r>
      <w:instrText>PAGE</w:instrText>
    </w:r>
    <w:r>
      <w:fldChar w:fldCharType="separate"/>
    </w:r>
    <w:r w:rsidR="00774CF8">
      <w:rPr>
        <w:noProof/>
      </w:rPr>
      <w:t>11</w:t>
    </w:r>
    <w:r>
      <w:rPr>
        <w:noProof/>
      </w:rPr>
      <w:fldChar w:fldCharType="end"/>
    </w:r>
  </w:p>
  <w:p w:rsidR="007B28F5" w:rsidRDefault="007B28F5" w:rsidP="0093234A">
    <w:pPr>
      <w:pStyle w:val="Header"/>
    </w:pPr>
    <w:r>
      <w:t>C17/22-F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DD29FB"/>
    <w:multiLevelType w:val="multilevel"/>
    <w:tmpl w:val="7B3E6A8E"/>
    <w:lvl w:ilvl="0">
      <w:start w:val="1"/>
      <w:numFmt w:val="decimal"/>
      <w:pStyle w:val="NumberedHeading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ormalnumbered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B831523"/>
    <w:multiLevelType w:val="hybridMultilevel"/>
    <w:tmpl w:val="77F67C96"/>
    <w:lvl w:ilvl="0" w:tplc="760ADC5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17CAB440-6658-46AB-BF21-5397BF35FABF}"/>
    <w:docVar w:name="dgnword-eventsink" w:val="315550272"/>
  </w:docVars>
  <w:rsids>
    <w:rsidRoot w:val="00E2312A"/>
    <w:rsid w:val="000204E4"/>
    <w:rsid w:val="00025DB5"/>
    <w:rsid w:val="00042F87"/>
    <w:rsid w:val="00050488"/>
    <w:rsid w:val="00061512"/>
    <w:rsid w:val="00083A9D"/>
    <w:rsid w:val="0008412C"/>
    <w:rsid w:val="00097B5F"/>
    <w:rsid w:val="000B0BEF"/>
    <w:rsid w:val="000D0D0A"/>
    <w:rsid w:val="000D73E4"/>
    <w:rsid w:val="000E6D82"/>
    <w:rsid w:val="000F0EA4"/>
    <w:rsid w:val="000F6500"/>
    <w:rsid w:val="001020E4"/>
    <w:rsid w:val="00103163"/>
    <w:rsid w:val="00115D93"/>
    <w:rsid w:val="001247A8"/>
    <w:rsid w:val="001378C0"/>
    <w:rsid w:val="001427FF"/>
    <w:rsid w:val="0017687B"/>
    <w:rsid w:val="0018694A"/>
    <w:rsid w:val="001974A6"/>
    <w:rsid w:val="001976D6"/>
    <w:rsid w:val="001A3287"/>
    <w:rsid w:val="001A6508"/>
    <w:rsid w:val="001B2ECC"/>
    <w:rsid w:val="001D4C31"/>
    <w:rsid w:val="001E4D21"/>
    <w:rsid w:val="001E53AD"/>
    <w:rsid w:val="00207CD1"/>
    <w:rsid w:val="00213F80"/>
    <w:rsid w:val="002477A2"/>
    <w:rsid w:val="00262DA4"/>
    <w:rsid w:val="00263A51"/>
    <w:rsid w:val="00267E02"/>
    <w:rsid w:val="002A5D44"/>
    <w:rsid w:val="002B36B0"/>
    <w:rsid w:val="002B553A"/>
    <w:rsid w:val="002B69A3"/>
    <w:rsid w:val="002E0BC4"/>
    <w:rsid w:val="002E1C88"/>
    <w:rsid w:val="002F1B76"/>
    <w:rsid w:val="002F5656"/>
    <w:rsid w:val="00307FD6"/>
    <w:rsid w:val="003119DC"/>
    <w:rsid w:val="00326BBB"/>
    <w:rsid w:val="00341FA9"/>
    <w:rsid w:val="00343A49"/>
    <w:rsid w:val="00355FF5"/>
    <w:rsid w:val="00357923"/>
    <w:rsid w:val="00361350"/>
    <w:rsid w:val="00362990"/>
    <w:rsid w:val="003927FB"/>
    <w:rsid w:val="003A2F45"/>
    <w:rsid w:val="003C40FE"/>
    <w:rsid w:val="003D2B40"/>
    <w:rsid w:val="003E6DAA"/>
    <w:rsid w:val="003E775D"/>
    <w:rsid w:val="003F0CC0"/>
    <w:rsid w:val="003F6B39"/>
    <w:rsid w:val="004038CB"/>
    <w:rsid w:val="0040546F"/>
    <w:rsid w:val="00407A52"/>
    <w:rsid w:val="0042404A"/>
    <w:rsid w:val="0044618F"/>
    <w:rsid w:val="0046769A"/>
    <w:rsid w:val="00475FB3"/>
    <w:rsid w:val="004B3438"/>
    <w:rsid w:val="004B4969"/>
    <w:rsid w:val="004C37A9"/>
    <w:rsid w:val="004C6E0F"/>
    <w:rsid w:val="004F259E"/>
    <w:rsid w:val="004F546F"/>
    <w:rsid w:val="005029CA"/>
    <w:rsid w:val="00511F1D"/>
    <w:rsid w:val="00520F36"/>
    <w:rsid w:val="0052263B"/>
    <w:rsid w:val="00534AF7"/>
    <w:rsid w:val="00540615"/>
    <w:rsid w:val="00540A6D"/>
    <w:rsid w:val="005565CD"/>
    <w:rsid w:val="005579F8"/>
    <w:rsid w:val="00571EEA"/>
    <w:rsid w:val="00575417"/>
    <w:rsid w:val="005768E1"/>
    <w:rsid w:val="00590637"/>
    <w:rsid w:val="005B06BF"/>
    <w:rsid w:val="005C054F"/>
    <w:rsid w:val="005C3890"/>
    <w:rsid w:val="005D0B4F"/>
    <w:rsid w:val="005F7BFE"/>
    <w:rsid w:val="00600017"/>
    <w:rsid w:val="0060264B"/>
    <w:rsid w:val="006235CA"/>
    <w:rsid w:val="00641152"/>
    <w:rsid w:val="006643AB"/>
    <w:rsid w:val="00673C75"/>
    <w:rsid w:val="006C49E3"/>
    <w:rsid w:val="006D2114"/>
    <w:rsid w:val="006E0A12"/>
    <w:rsid w:val="006F2FC9"/>
    <w:rsid w:val="007210CD"/>
    <w:rsid w:val="00732045"/>
    <w:rsid w:val="007369DB"/>
    <w:rsid w:val="00754CB4"/>
    <w:rsid w:val="0076458F"/>
    <w:rsid w:val="00774CF8"/>
    <w:rsid w:val="0079389D"/>
    <w:rsid w:val="007956C2"/>
    <w:rsid w:val="00796393"/>
    <w:rsid w:val="007A187E"/>
    <w:rsid w:val="007B28F5"/>
    <w:rsid w:val="007C72C2"/>
    <w:rsid w:val="007D4436"/>
    <w:rsid w:val="007F23F6"/>
    <w:rsid w:val="007F257A"/>
    <w:rsid w:val="007F3665"/>
    <w:rsid w:val="00800037"/>
    <w:rsid w:val="0081193E"/>
    <w:rsid w:val="00831383"/>
    <w:rsid w:val="00861D73"/>
    <w:rsid w:val="008A1D1D"/>
    <w:rsid w:val="008A4E87"/>
    <w:rsid w:val="008D76E6"/>
    <w:rsid w:val="008F3EC3"/>
    <w:rsid w:val="00920186"/>
    <w:rsid w:val="0092392D"/>
    <w:rsid w:val="0093234A"/>
    <w:rsid w:val="009344A8"/>
    <w:rsid w:val="00934BE1"/>
    <w:rsid w:val="0095347F"/>
    <w:rsid w:val="00955F94"/>
    <w:rsid w:val="00995F6E"/>
    <w:rsid w:val="009B58A1"/>
    <w:rsid w:val="009C307F"/>
    <w:rsid w:val="009D283B"/>
    <w:rsid w:val="009F4624"/>
    <w:rsid w:val="00A014BA"/>
    <w:rsid w:val="00A14FD8"/>
    <w:rsid w:val="00A2113E"/>
    <w:rsid w:val="00A23A51"/>
    <w:rsid w:val="00A24607"/>
    <w:rsid w:val="00A25CD3"/>
    <w:rsid w:val="00A82767"/>
    <w:rsid w:val="00AA1093"/>
    <w:rsid w:val="00AA332F"/>
    <w:rsid w:val="00AA7BBB"/>
    <w:rsid w:val="00AB64A8"/>
    <w:rsid w:val="00AC0266"/>
    <w:rsid w:val="00AD24EC"/>
    <w:rsid w:val="00AE6405"/>
    <w:rsid w:val="00B01329"/>
    <w:rsid w:val="00B03BB9"/>
    <w:rsid w:val="00B113B4"/>
    <w:rsid w:val="00B309F9"/>
    <w:rsid w:val="00B31AA9"/>
    <w:rsid w:val="00B32B60"/>
    <w:rsid w:val="00B550FB"/>
    <w:rsid w:val="00B61619"/>
    <w:rsid w:val="00B966B4"/>
    <w:rsid w:val="00BA3167"/>
    <w:rsid w:val="00BB32B3"/>
    <w:rsid w:val="00BB4545"/>
    <w:rsid w:val="00BD0636"/>
    <w:rsid w:val="00BD3430"/>
    <w:rsid w:val="00BD5873"/>
    <w:rsid w:val="00BF2944"/>
    <w:rsid w:val="00C04BE3"/>
    <w:rsid w:val="00C14A8C"/>
    <w:rsid w:val="00C25D29"/>
    <w:rsid w:val="00C27A7C"/>
    <w:rsid w:val="00C8616F"/>
    <w:rsid w:val="00CA0172"/>
    <w:rsid w:val="00CA08ED"/>
    <w:rsid w:val="00CA3A64"/>
    <w:rsid w:val="00CD02CE"/>
    <w:rsid w:val="00CD2BC2"/>
    <w:rsid w:val="00CE46F1"/>
    <w:rsid w:val="00CF183B"/>
    <w:rsid w:val="00D10612"/>
    <w:rsid w:val="00D279ED"/>
    <w:rsid w:val="00D375CD"/>
    <w:rsid w:val="00D43257"/>
    <w:rsid w:val="00D553A2"/>
    <w:rsid w:val="00D55E73"/>
    <w:rsid w:val="00D774D3"/>
    <w:rsid w:val="00D904E8"/>
    <w:rsid w:val="00D9563D"/>
    <w:rsid w:val="00DA08C3"/>
    <w:rsid w:val="00DB5A3E"/>
    <w:rsid w:val="00DC22AA"/>
    <w:rsid w:val="00DF74DD"/>
    <w:rsid w:val="00E2312A"/>
    <w:rsid w:val="00E25AD0"/>
    <w:rsid w:val="00E27D08"/>
    <w:rsid w:val="00E37BAC"/>
    <w:rsid w:val="00E778FD"/>
    <w:rsid w:val="00EB6350"/>
    <w:rsid w:val="00EE6906"/>
    <w:rsid w:val="00F15B57"/>
    <w:rsid w:val="00F427DB"/>
    <w:rsid w:val="00F54F6C"/>
    <w:rsid w:val="00F734F0"/>
    <w:rsid w:val="00F75F3E"/>
    <w:rsid w:val="00F948F1"/>
    <w:rsid w:val="00FA53B7"/>
    <w:rsid w:val="00FA5EB1"/>
    <w:rsid w:val="00FA7439"/>
    <w:rsid w:val="00FB5C36"/>
    <w:rsid w:val="00FC4EC0"/>
    <w:rsid w:val="00FD3825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E2A23533-1D76-4BC2-9639-A53471AA7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732045"/>
    <w:pPr>
      <w:spacing w:before="240"/>
    </w:pPr>
  </w:style>
  <w:style w:type="paragraph" w:customStyle="1" w:styleId="Call">
    <w:name w:val="Call"/>
    <w:basedOn w:val="Normal"/>
    <w:next w:val="Normal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qFormat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5C3890"/>
    <w:pPr>
      <w:keepNext/>
      <w:keepLines/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520F36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paragraph" w:customStyle="1" w:styleId="Normalnumbered">
    <w:name w:val="Normal (numbered)"/>
    <w:basedOn w:val="ListParagraph"/>
    <w:link w:val="NormalnumberedChar"/>
    <w:qFormat/>
    <w:rsid w:val="00083A9D"/>
    <w:pPr>
      <w:numPr>
        <w:ilvl w:val="1"/>
        <w:numId w:val="1"/>
      </w:num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80" w:after="120"/>
      <w:contextualSpacing w:val="0"/>
      <w:jc w:val="both"/>
    </w:pPr>
    <w:rPr>
      <w:rFonts w:asciiTheme="minorHAnsi" w:hAnsiTheme="minorHAnsi"/>
      <w:szCs w:val="24"/>
      <w:lang w:val="en-GB"/>
    </w:rPr>
  </w:style>
  <w:style w:type="paragraph" w:customStyle="1" w:styleId="NumberedHeading">
    <w:name w:val="Numbered Heading"/>
    <w:basedOn w:val="Normalnumbered"/>
    <w:link w:val="NumberedHeadingChar"/>
    <w:qFormat/>
    <w:rsid w:val="00083A9D"/>
    <w:pPr>
      <w:keepNext/>
      <w:numPr>
        <w:ilvl w:val="0"/>
      </w:numPr>
      <w:spacing w:before="480" w:after="0"/>
    </w:pPr>
    <w:rPr>
      <w:b/>
    </w:rPr>
  </w:style>
  <w:style w:type="character" w:customStyle="1" w:styleId="NormalnumberedChar">
    <w:name w:val="Normal (numbered) Char"/>
    <w:basedOn w:val="DefaultParagraphFont"/>
    <w:link w:val="Normalnumbered"/>
    <w:rsid w:val="00083A9D"/>
    <w:rPr>
      <w:rFonts w:asciiTheme="minorHAnsi" w:hAnsiTheme="minorHAnsi"/>
      <w:sz w:val="24"/>
      <w:szCs w:val="24"/>
      <w:lang w:val="en-GB" w:eastAsia="en-US"/>
    </w:rPr>
  </w:style>
  <w:style w:type="character" w:customStyle="1" w:styleId="NumberedHeadingChar">
    <w:name w:val="Numbered Heading Char"/>
    <w:basedOn w:val="NormalnumberedChar"/>
    <w:link w:val="NumberedHeading"/>
    <w:rsid w:val="00083A9D"/>
    <w:rPr>
      <w:rFonts w:asciiTheme="minorHAnsi" w:hAnsiTheme="minorHAnsi"/>
      <w:b/>
      <w:sz w:val="24"/>
      <w:szCs w:val="24"/>
      <w:lang w:val="en-GB" w:eastAsia="en-US"/>
    </w:rPr>
  </w:style>
  <w:style w:type="table" w:styleId="TableGrid">
    <w:name w:val="Table Grid"/>
    <w:basedOn w:val="TableNormal"/>
    <w:rsid w:val="00083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6Colorful-Accent11">
    <w:name w:val="List Table 6 Colorful - Accent 11"/>
    <w:basedOn w:val="TableNormal"/>
    <w:uiPriority w:val="51"/>
    <w:rsid w:val="00083A9D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ListParagraph">
    <w:name w:val="List Paragraph"/>
    <w:basedOn w:val="Normal"/>
    <w:uiPriority w:val="34"/>
    <w:qFormat/>
    <w:rsid w:val="00083A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tu.int/md/S13-CL-C-0065/fr" TargetMode="External"/><Relationship Id="rId18" Type="http://schemas.openxmlformats.org/officeDocument/2006/relationships/hyperlink" Target="http://www.itu.int/en/council/Pages/imac.aspx" TargetMode="External"/><Relationship Id="rId26" Type="http://schemas.openxmlformats.org/officeDocument/2006/relationships/chart" Target="charts/chart5.xml"/><Relationship Id="rId3" Type="http://schemas.openxmlformats.org/officeDocument/2006/relationships/styles" Target="styles.xml"/><Relationship Id="rId21" Type="http://schemas.openxmlformats.org/officeDocument/2006/relationships/hyperlink" Target="http://www.itu.int/en/council/Pages/imac.aspx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itu.int/md/S12-CL-C-0044/fr" TargetMode="External"/><Relationship Id="rId17" Type="http://schemas.openxmlformats.org/officeDocument/2006/relationships/hyperlink" Target="https://www.itu.int/md/S16-CL-C-0022/fr" TargetMode="External"/><Relationship Id="rId25" Type="http://schemas.openxmlformats.org/officeDocument/2006/relationships/chart" Target="charts/chart4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S16-CL-C-0022/fr" TargetMode="External"/><Relationship Id="rId20" Type="http://schemas.openxmlformats.org/officeDocument/2006/relationships/hyperlink" Target="https://www.itu.int/md/S17-CL-C-0044/fr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S12-CL-C-0044/fr" TargetMode="External"/><Relationship Id="rId24" Type="http://schemas.openxmlformats.org/officeDocument/2006/relationships/chart" Target="charts/chart3.xml"/><Relationship Id="rId32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md/S15-CL-C-0022/fr" TargetMode="External"/><Relationship Id="rId23" Type="http://schemas.openxmlformats.org/officeDocument/2006/relationships/chart" Target="charts/chart2.xml"/><Relationship Id="rId28" Type="http://schemas.openxmlformats.org/officeDocument/2006/relationships/header" Target="header1.xml"/><Relationship Id="rId10" Type="http://schemas.openxmlformats.org/officeDocument/2006/relationships/hyperlink" Target="http://www.itu.int/md/S11-CL-C-0109/fr" TargetMode="External"/><Relationship Id="rId19" Type="http://schemas.openxmlformats.org/officeDocument/2006/relationships/hyperlink" Target="http://www.itu.int/en/council/Pages/default.aspx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itu.int/pub/S-CONF-PLEN-2015" TargetMode="External"/><Relationship Id="rId14" Type="http://schemas.openxmlformats.org/officeDocument/2006/relationships/hyperlink" Target="http://www.itu.int/md/S14-CL-C-0022/fr" TargetMode="External"/><Relationship Id="rId22" Type="http://schemas.openxmlformats.org/officeDocument/2006/relationships/chart" Target="charts/chart1.xml"/><Relationship Id="rId27" Type="http://schemas.openxmlformats.org/officeDocument/2006/relationships/chart" Target="charts/chart6.xml"/><Relationship Id="rId30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dra\AppData\Roaming\Microsoft\Templates\POOL%20F%20-%20ITU\PF_C17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igglesis\OneDrive\ITU\10%20IMAC\03%20FOLLOW-UP%20Recommendations\IMAC-Follow-up_of_IMAC_Recommendations-2017-05-0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igglesis\OneDrive\ITU\10%20IMAC\03%20FOLLOW-UP%20Recommendations\IMAC-Follow-up_of_IMAC_Recommendations-2017-05-01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igglesis\OneDrive\ITU\10%20IMAC\03%20FOLLOW-UP%20Recommendations\IMAC-Follow-up_of_IMAC_Recommendations-2017-05-01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igglesis\OneDrive\ITU\10%20IMAC\03%20FOLLOW-UP%20Recommendations\IMAC-Follow-up_of_IMAC_Recommendations-2017-05-01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https://d.docs.live.net/83ddb6122f47c68a/ITU/10%20IMAC/FOLLOW-UP%20Recommendations/IMAC-Follow-up_of_IMAC_Recommendations-rev02-160514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https://d.docs.live.net/83ddb6122f47c68a/ITU/10%20IMAC/FOLLOW-UP%20Recommendations/IMAC-Follow-up_of_IMAC_Recommendations-rev02-160514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fr-CH" sz="1200" b="1" i="0" u="none" strike="noStrike" baseline="0">
                <a:solidFill>
                  <a:schemeClr val="tx1"/>
                </a:solidFill>
                <a:effectLst/>
              </a:rPr>
              <a:t>Recommandations du CCIG pour la période </a:t>
            </a:r>
            <a:r>
              <a:rPr lang="en-US" sz="1200" b="1">
                <a:solidFill>
                  <a:sysClr val="windowText" lastClr="000000"/>
                </a:solidFill>
              </a:rPr>
              <a:t>2012-2016</a:t>
            </a:r>
          </a:p>
        </c:rich>
      </c:tx>
      <c:layout>
        <c:manualLayout>
          <c:xMode val="edge"/>
          <c:yMode val="edge"/>
          <c:x val="0.135965424331878"/>
          <c:y val="8.205131518324859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22316391056645701"/>
          <c:y val="0.259397641590003"/>
          <c:w val="0.51132897251082599"/>
          <c:h val="0.67652763033621299"/>
        </c:manualLayout>
      </c:layout>
      <c:doughnutChart>
        <c:varyColors val="1"/>
        <c:ser>
          <c:idx val="0"/>
          <c:order val="0"/>
          <c:tx>
            <c:strRef>
              <c:f>statistics!$B$1</c:f>
              <c:strCache>
                <c:ptCount val="1"/>
                <c:pt idx="0">
                  <c:v>No.</c:v>
                </c:pt>
              </c:strCache>
            </c:strRef>
          </c:tx>
          <c:dPt>
            <c:idx val="0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688D-4FE0-9FF6-0ABF1D92EA63}"/>
              </c:ext>
            </c:extLst>
          </c:dPt>
          <c:dPt>
            <c:idx val="1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688D-4FE0-9FF6-0ABF1D92EA63}"/>
              </c:ext>
            </c:extLst>
          </c:dPt>
          <c:dPt>
            <c:idx val="2"/>
            <c:bubble3D val="0"/>
            <c:spPr>
              <a:solidFill>
                <a:schemeClr val="bg1">
                  <a:lumMod val="6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688D-4FE0-9FF6-0ABF1D92EA63}"/>
              </c:ext>
            </c:extLst>
          </c:dPt>
          <c:dPt>
            <c:idx val="3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688D-4FE0-9FF6-0ABF1D92EA63}"/>
              </c:ext>
            </c:extLst>
          </c:dPt>
          <c:dLbls>
            <c:dLbl>
              <c:idx val="0"/>
              <c:layout>
                <c:manualLayout>
                  <c:x val="0.21694457092125688"/>
                  <c:y val="-3.1200332613975867E-3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100" b="1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Mise en oeuvre</a:t>
                    </a:r>
                    <a:r>
                      <a:rPr lang="en-US" baseline="0"/>
                      <a:t>; </a:t>
                    </a:r>
                    <a:fld id="{3A9F4844-9F8A-41C7-A1FF-C361A0B3CC67}" type="VALUE">
                      <a:rPr lang="en-US" baseline="0"/>
                      <a:pPr>
                        <a:defRPr sz="1100" b="1"/>
                      </a:pPr>
                      <a:t>[VALUE]</a:t>
                    </a:fld>
                    <a:r>
                      <a:rPr lang="en-US" baseline="0"/>
                      <a:t>, </a:t>
                    </a:r>
                    <a:fld id="{CC9DA404-4DCA-4BB0-9176-4961F103E82E}" type="PERCENTAGE">
                      <a:rPr lang="en-US" baseline="0"/>
                      <a:pPr>
                        <a:defRPr sz="1100" b="1"/>
                      </a:pPr>
                      <a:t>[PERCENTAGE]</a:t>
                    </a:fld>
                    <a:endParaRPr lang="en-US" baseline="0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1"/>
              <c:showVal val="1"/>
              <c:showCatName val="1"/>
              <c:showSerName val="0"/>
              <c:showPercent val="1"/>
              <c:showBubbleSize val="0"/>
              <c:separator>; </c:separator>
              <c:extLst>
                <c:ext xmlns:c15="http://schemas.microsoft.com/office/drawing/2012/chart" uri="{CE6537A1-D6FC-4f65-9D91-7224C49458BB}">
                  <c15:layout>
                    <c:manualLayout>
                      <c:w val="0.29917157896246577"/>
                      <c:h val="0.15533359048251821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1"/>
              <c:layout>
                <c:manualLayout>
                  <c:x val="-0.26941417626488401"/>
                  <c:y val="3.0382002980820898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100" b="1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En cours</a:t>
                    </a:r>
                    <a:r>
                      <a:rPr lang="en-US" baseline="0"/>
                      <a:t>,</a:t>
                    </a:r>
                    <a:br>
                      <a:rPr lang="en-US" baseline="0"/>
                    </a:br>
                    <a:fld id="{01A42F12-F5B4-41E8-B633-E6C9048A097D}" type="VALUE">
                      <a:rPr lang="en-US" baseline="0"/>
                      <a:pPr>
                        <a:defRPr sz="1100" b="1"/>
                      </a:pPr>
                      <a:t>[VALUE]</a:t>
                    </a:fld>
                    <a:r>
                      <a:rPr lang="en-US" baseline="0"/>
                      <a:t>; </a:t>
                    </a:r>
                    <a:fld id="{BC6E68D8-27BD-4BAF-8886-12F572EEF50C}" type="PERCENTAGE">
                      <a:rPr lang="en-US" baseline="0"/>
                      <a:pPr>
                        <a:defRPr sz="1100" b="1"/>
                      </a:pPr>
                      <a:t>[PERCENTAGE]</a:t>
                    </a:fld>
                    <a:endParaRPr lang="en-US" baseline="0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1"/>
              <c:showVal val="1"/>
              <c:showCatName val="1"/>
              <c:showSerName val="0"/>
              <c:showPercent val="1"/>
              <c:showBubbleSize val="0"/>
              <c:separator>; </c:separator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688D-4FE0-9FF6-0ABF1D92EA63}"/>
                </c:ext>
                <c:ext xmlns:c15="http://schemas.microsoft.com/office/drawing/2012/chart" uri="{CE6537A1-D6FC-4f65-9D91-7224C49458BB}">
                  <c15:layout>
                    <c:manualLayout>
                      <c:w val="0.23444999649555101"/>
                      <c:h val="0.160461603255241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.290514811320565"/>
                  <c:y val="6.0426028841521803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100" b="1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Non acceptée</a:t>
                    </a:r>
                    <a:r>
                      <a:rPr lang="en-US" baseline="0"/>
                      <a:t>; </a:t>
                    </a:r>
                    <a:fld id="{E6FF8DA3-B4B2-4766-A129-E9B80AFC4ABF}" type="VALUE">
                      <a:rPr lang="en-US" baseline="0"/>
                      <a:pPr>
                        <a:defRPr sz="1100" b="1"/>
                      </a:pPr>
                      <a:t>[VALUE]</a:t>
                    </a:fld>
                    <a:r>
                      <a:rPr lang="en-US" baseline="0"/>
                      <a:t>, </a:t>
                    </a:r>
                    <a:fld id="{64EC3C16-0C96-472F-ABA8-77DDA337CB84}" type="PERCENTAGE">
                      <a:rPr lang="en-US" baseline="0"/>
                      <a:pPr>
                        <a:defRPr sz="1100" b="1"/>
                      </a:pPr>
                      <a:t>[PERCENTAGE]</a:t>
                    </a:fld>
                    <a:endParaRPr lang="en-US" baseline="0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1"/>
              <c:showVal val="1"/>
              <c:showCatName val="1"/>
              <c:showSerName val="0"/>
              <c:showPercent val="1"/>
              <c:showBubbleSize val="0"/>
              <c:separator>; </c:separator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688D-4FE0-9FF6-0ABF1D92EA63}"/>
                </c:ext>
                <c:ext xmlns:c15="http://schemas.microsoft.com/office/drawing/2012/chart" uri="{CE6537A1-D6FC-4f65-9D91-7224C49458BB}">
                  <c15:layout>
                    <c:manualLayout>
                      <c:w val="0.28106884820339101"/>
                      <c:h val="0.15533339605628799"/>
                    </c:manualLayout>
                  </c15:layout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1"/>
            <c:showVal val="1"/>
            <c:showCatName val="1"/>
            <c:showSerName val="0"/>
            <c:showPercent val="1"/>
            <c:showBubbleSize val="0"/>
            <c:separator>; </c:separator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statistics!$A$2:$A$5</c:f>
              <c:strCache>
                <c:ptCount val="4"/>
                <c:pt idx="0">
                  <c:v>Implemented</c:v>
                </c:pt>
                <c:pt idx="1">
                  <c:v>In progress</c:v>
                </c:pt>
                <c:pt idx="2">
                  <c:v>Under consideration</c:v>
                </c:pt>
                <c:pt idx="3">
                  <c:v>Not accepted</c:v>
                </c:pt>
              </c:strCache>
            </c:strRef>
          </c:cat>
          <c:val>
            <c:numRef>
              <c:f>statistics!$B$2:$B$5</c:f>
              <c:numCache>
                <c:formatCode>General</c:formatCode>
                <c:ptCount val="4"/>
                <c:pt idx="0">
                  <c:v>37</c:v>
                </c:pt>
                <c:pt idx="1">
                  <c:v>6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688D-4FE0-9FF6-0ABF1D92EA63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  <c:holeSize val="75"/>
      </c:doughnut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 b="1">
                <a:solidFill>
                  <a:sysClr val="windowText" lastClr="000000"/>
                </a:solidFill>
              </a:rPr>
              <a:t>Recommandations formulées</a:t>
            </a:r>
            <a:r>
              <a:rPr lang="en-US" sz="1200" b="1" baseline="0">
                <a:solidFill>
                  <a:sysClr val="windowText" lastClr="000000"/>
                </a:solidFill>
              </a:rPr>
              <a:t> </a:t>
            </a:r>
            <a:br>
              <a:rPr lang="en-US" sz="1200" b="1" baseline="0">
                <a:solidFill>
                  <a:sysClr val="windowText" lastClr="000000"/>
                </a:solidFill>
              </a:rPr>
            </a:br>
            <a:r>
              <a:rPr lang="en-US" sz="1200" b="1" baseline="0">
                <a:solidFill>
                  <a:sysClr val="windowText" lastClr="000000"/>
                </a:solidFill>
              </a:rPr>
              <a:t>par le CCIG en </a:t>
            </a:r>
            <a:r>
              <a:rPr lang="en-US" sz="1200" b="1">
                <a:solidFill>
                  <a:sysClr val="windowText" lastClr="000000"/>
                </a:solidFill>
              </a:rPr>
              <a:t>2016</a:t>
            </a:r>
          </a:p>
        </c:rich>
      </c:tx>
      <c:layout>
        <c:manualLayout>
          <c:xMode val="edge"/>
          <c:yMode val="edge"/>
          <c:x val="0.22777465076728401"/>
          <c:y val="8.717948717948720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250378252945334"/>
          <c:y val="0.238884716333535"/>
          <c:w val="0.51384927714992301"/>
          <c:h val="0.69171976579850603"/>
        </c:manualLayout>
      </c:layout>
      <c:doughnutChart>
        <c:varyColors val="1"/>
        <c:ser>
          <c:idx val="0"/>
          <c:order val="0"/>
          <c:tx>
            <c:strRef>
              <c:f>statistics!$B$1</c:f>
              <c:strCache>
                <c:ptCount val="1"/>
                <c:pt idx="0">
                  <c:v>No.</c:v>
                </c:pt>
              </c:strCache>
            </c:strRef>
          </c:tx>
          <c:dPt>
            <c:idx val="0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FE98-4CCC-9911-46B4E0CDB3AE}"/>
              </c:ext>
            </c:extLst>
          </c:dPt>
          <c:dPt>
            <c:idx val="1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FE98-4CCC-9911-46B4E0CDB3AE}"/>
              </c:ext>
            </c:extLst>
          </c:dPt>
          <c:dPt>
            <c:idx val="2"/>
            <c:bubble3D val="0"/>
            <c:spPr>
              <a:solidFill>
                <a:schemeClr val="bg1">
                  <a:lumMod val="6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FE98-4CCC-9911-46B4E0CDB3AE}"/>
              </c:ext>
            </c:extLst>
          </c:dPt>
          <c:dPt>
            <c:idx val="3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FE98-4CCC-9911-46B4E0CDB3AE}"/>
              </c:ext>
            </c:extLst>
          </c:dPt>
          <c:dLbls>
            <c:dLbl>
              <c:idx val="0"/>
              <c:layout>
                <c:manualLayout>
                  <c:x val="8.1105883106075083E-2"/>
                  <c:y val="-0.4410262847578835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100" b="1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Mise en oeuvre,</a:t>
                    </a:r>
                    <a:br>
                      <a:rPr lang="en-US"/>
                    </a:br>
                    <a:fld id="{1FBD9BB9-AAD6-48C5-B7F9-90D4A154DE4F}" type="VALUE">
                      <a:rPr lang="en-US" baseline="0"/>
                      <a:pPr>
                        <a:defRPr sz="1100" b="1"/>
                      </a:pPr>
                      <a:t>[VALUE]</a:t>
                    </a:fld>
                    <a:r>
                      <a:rPr lang="en-US" baseline="0"/>
                      <a:t>; </a:t>
                    </a:r>
                    <a:fld id="{158075C7-5AAC-4187-86E7-44DE4A3B34BD}" type="PERCENTAGE">
                      <a:rPr lang="en-US" baseline="0"/>
                      <a:pPr>
                        <a:defRPr sz="1100" b="1"/>
                      </a:pPr>
                      <a:t>[PERCENTAGE]</a:t>
                    </a:fld>
                    <a:endParaRPr lang="en-US" baseline="0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1"/>
              <c:showVal val="1"/>
              <c:showCatName val="1"/>
              <c:showSerName val="0"/>
              <c:showPercent val="1"/>
              <c:showBubbleSize val="0"/>
              <c:separator>; </c:separator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FE98-4CCC-9911-46B4E0CDB3AE}"/>
                </c:ext>
                <c:ext xmlns:c15="http://schemas.microsoft.com/office/drawing/2012/chart" uri="{CE6537A1-D6FC-4f65-9D91-7224C49458BB}">
                  <c15:layout>
                    <c:manualLayout>
                      <c:w val="0.34727002112540806"/>
                      <c:h val="0.18211381186047396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1"/>
              <c:layout>
                <c:manualLayout>
                  <c:x val="-0.20557934831316799"/>
                  <c:y val="0.40513944800507901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100" b="1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En cours,</a:t>
                    </a:r>
                    <a:br>
                      <a:rPr lang="en-US"/>
                    </a:br>
                    <a:fld id="{85D05C8D-3536-4413-AC45-2EDB1EA4135D}" type="VALUE">
                      <a:rPr lang="en-US" baseline="0"/>
                      <a:pPr>
                        <a:defRPr sz="1100" b="1"/>
                      </a:pPr>
                      <a:t>[VALUE]</a:t>
                    </a:fld>
                    <a:r>
                      <a:rPr lang="en-US" baseline="0"/>
                      <a:t>; </a:t>
                    </a:r>
                    <a:fld id="{1BFB34C7-C40F-4BAC-81AB-CB29A9795454}" type="PERCENTAGE">
                      <a:rPr lang="en-US" baseline="0"/>
                      <a:pPr>
                        <a:defRPr sz="1100" b="1"/>
                      </a:pPr>
                      <a:t>[PERCENTAGE]</a:t>
                    </a:fld>
                    <a:endParaRPr lang="en-US" baseline="0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1"/>
              <c:showVal val="1"/>
              <c:showCatName val="1"/>
              <c:showSerName val="0"/>
              <c:showPercent val="1"/>
              <c:showBubbleSize val="0"/>
              <c:separator>; </c:separator>
              <c:extLst>
                <c:ext xmlns:c15="http://schemas.microsoft.com/office/drawing/2012/chart" uri="{CE6537A1-D6FC-4f65-9D91-7224C49458BB}">
                  <c15:layout>
                    <c:manualLayout>
                      <c:w val="0.25192209205556598"/>
                      <c:h val="0.160461348677641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0.34672140067857399"/>
                  <c:y val="1.0685834118515701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100" b="1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baseline="0"/>
                      <a:t>Non acceptée, </a:t>
                    </a:r>
                    <a:fld id="{01BB4095-F481-4837-BAAE-673FD7CB1E65}" type="VALUE">
                      <a:rPr lang="en-US" baseline="0"/>
                      <a:pPr>
                        <a:defRPr sz="1100" b="1"/>
                      </a:pPr>
                      <a:t>[VALUE]</a:t>
                    </a:fld>
                    <a:r>
                      <a:rPr lang="en-US" baseline="0"/>
                      <a:t>; </a:t>
                    </a:r>
                    <a:fld id="{644A7028-A4E1-455F-BE77-9AFFD2EA674D}" type="PERCENTAGE">
                      <a:rPr lang="en-US" baseline="0"/>
                      <a:pPr>
                        <a:defRPr sz="1100" b="1"/>
                      </a:pPr>
                      <a:t>[PERCENTAGE]</a:t>
                    </a:fld>
                    <a:endParaRPr lang="en-US" baseline="0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1"/>
              <c:showVal val="1"/>
              <c:showCatName val="1"/>
              <c:showSerName val="0"/>
              <c:showPercent val="1"/>
              <c:showBubbleSize val="0"/>
              <c:separator>; </c:separator>
              <c:extLst>
                <c:ext xmlns:c15="http://schemas.microsoft.com/office/drawing/2012/chart" uri="{CE6537A1-D6FC-4f65-9D91-7224C49458BB}">
                  <c15:layout>
                    <c:manualLayout>
                      <c:w val="0.31994063981034299"/>
                      <c:h val="0.16558974358974399"/>
                    </c:manualLayout>
                  </c15:layout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1"/>
            <c:showVal val="1"/>
            <c:showCatName val="1"/>
            <c:showSerName val="0"/>
            <c:showPercent val="1"/>
            <c:showBubbleSize val="0"/>
            <c:separator>; </c:separator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statistics!$A$10:$A$13</c:f>
              <c:strCache>
                <c:ptCount val="4"/>
                <c:pt idx="0">
                  <c:v>Implemented</c:v>
                </c:pt>
                <c:pt idx="1">
                  <c:v>In progress</c:v>
                </c:pt>
                <c:pt idx="2">
                  <c:v>Under consideration</c:v>
                </c:pt>
                <c:pt idx="3">
                  <c:v>Not accepted</c:v>
                </c:pt>
              </c:strCache>
            </c:strRef>
          </c:cat>
          <c:val>
            <c:numRef>
              <c:f>statistics!$B$10:$B$13</c:f>
              <c:numCache>
                <c:formatCode>General</c:formatCode>
                <c:ptCount val="4"/>
                <c:pt idx="0">
                  <c:v>10</c:v>
                </c:pt>
                <c:pt idx="1">
                  <c:v>4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FE98-4CCC-9911-46B4E0CDB3AE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  <c:holeSize val="75"/>
      </c:doughnut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 b="1" i="0" u="none" strike="noStrike" baseline="0">
                <a:solidFill>
                  <a:schemeClr val="tx1"/>
                </a:solidFill>
                <a:effectLst/>
              </a:rPr>
              <a:t>Recommandations formulées </a:t>
            </a:r>
            <a:br>
              <a:rPr lang="en-US" sz="1200" b="1" i="0" u="none" strike="noStrike" baseline="0">
                <a:solidFill>
                  <a:schemeClr val="tx1"/>
                </a:solidFill>
                <a:effectLst/>
              </a:rPr>
            </a:br>
            <a:r>
              <a:rPr lang="en-US" sz="1200" b="1" i="0" u="none" strike="noStrike" baseline="0">
                <a:solidFill>
                  <a:schemeClr val="tx1"/>
                </a:solidFill>
                <a:effectLst/>
              </a:rPr>
              <a:t>par le CCIG en </a:t>
            </a:r>
            <a:r>
              <a:rPr lang="en-US" sz="1200" b="1">
                <a:solidFill>
                  <a:sysClr val="windowText" lastClr="000000"/>
                </a:solidFill>
              </a:rPr>
              <a:t>2015</a:t>
            </a:r>
          </a:p>
        </c:rich>
      </c:tx>
      <c:layout>
        <c:manualLayout>
          <c:xMode val="edge"/>
          <c:yMode val="edge"/>
          <c:x val="0.24499473716171083"/>
          <c:y val="5.641025641025641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250378252945334"/>
          <c:y val="0.238884716333535"/>
          <c:w val="0.51384927714992301"/>
          <c:h val="0.69171976579850603"/>
        </c:manualLayout>
      </c:layout>
      <c:doughnutChart>
        <c:varyColors val="1"/>
        <c:ser>
          <c:idx val="0"/>
          <c:order val="0"/>
          <c:tx>
            <c:strRef>
              <c:f>statistics!$B$1</c:f>
              <c:strCache>
                <c:ptCount val="1"/>
                <c:pt idx="0">
                  <c:v>No.</c:v>
                </c:pt>
              </c:strCache>
            </c:strRef>
          </c:tx>
          <c:dPt>
            <c:idx val="0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FE98-4CCC-9911-46B4E0CDB3AE}"/>
              </c:ext>
            </c:extLst>
          </c:dPt>
          <c:dPt>
            <c:idx val="1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FE98-4CCC-9911-46B4E0CDB3AE}"/>
              </c:ext>
            </c:extLst>
          </c:dPt>
          <c:dPt>
            <c:idx val="2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FE98-4CCC-9911-46B4E0CDB3AE}"/>
              </c:ext>
            </c:extLst>
          </c:dPt>
          <c:dPt>
            <c:idx val="3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FE98-4CCC-9911-46B4E0CDB3AE}"/>
              </c:ext>
            </c:extLst>
          </c:dPt>
          <c:dLbls>
            <c:dLbl>
              <c:idx val="0"/>
              <c:layout>
                <c:manualLayout>
                  <c:x val="0.24951584417950326"/>
                  <c:y val="-1.008923884514445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Mise en</a:t>
                    </a:r>
                    <a:r>
                      <a:rPr lang="en-US" baseline="0"/>
                      <a:t> oeuvre,</a:t>
                    </a:r>
                    <a:br>
                      <a:rPr lang="en-US" baseline="0"/>
                    </a:br>
                    <a:fld id="{C9446EBA-100C-4464-8DA4-63C50CFFF2B3}" type="VALUE">
                      <a:rPr lang="en-US" baseline="0"/>
                      <a:pPr/>
                      <a:t>[VALUE]</a:t>
                    </a:fld>
                    <a:r>
                      <a:rPr lang="en-US" baseline="0"/>
                      <a:t>; </a:t>
                    </a:r>
                    <a:fld id="{95D7F3A0-4F56-4DA7-99CF-2447A088138B}" type="PERCENTAGE">
                      <a:rPr lang="en-US" baseline="0"/>
                      <a:pPr/>
                      <a:t>[PERCENTAGE]</a:t>
                    </a:fld>
                    <a:endParaRPr lang="en-US" baseline="0"/>
                  </a:p>
                </c:rich>
              </c:tx>
              <c:showLegendKey val="1"/>
              <c:showVal val="1"/>
              <c:showCatName val="1"/>
              <c:showSerName val="0"/>
              <c:showPercent val="1"/>
              <c:showBubbleSize val="0"/>
              <c:separator>; </c:separator>
              <c:extLst>
                <c:ext xmlns:c15="http://schemas.microsoft.com/office/drawing/2012/chart" uri="{CE6537A1-D6FC-4f65-9D91-7224C49458BB}">
                  <c15:layout>
                    <c:manualLayout>
                      <c:w val="0.30641408416492927"/>
                      <c:h val="0.15312820512820513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1"/>
              <c:layout>
                <c:manualLayout>
                  <c:x val="-0.28120800046163702"/>
                  <c:y val="3.8074298405007097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100" b="1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En cours,</a:t>
                    </a:r>
                    <a:r>
                      <a:rPr lang="en-US" baseline="0"/>
                      <a:t> </a:t>
                    </a:r>
                    <a:br>
                      <a:rPr lang="en-US" baseline="0"/>
                    </a:br>
                    <a:fld id="{BE5C08ED-29B7-4387-94C7-D03FA0134FF1}" type="VALUE">
                      <a:rPr lang="en-US" baseline="0"/>
                      <a:pPr>
                        <a:defRPr sz="1100" b="1"/>
                      </a:pPr>
                      <a:t>[VALUE]</a:t>
                    </a:fld>
                    <a:r>
                      <a:rPr lang="en-US" baseline="0"/>
                      <a:t>; </a:t>
                    </a:r>
                    <a:fld id="{72867A99-449B-4828-81CB-6CD0C68557C7}" type="PERCENTAGE">
                      <a:rPr lang="en-US" baseline="0"/>
                      <a:pPr>
                        <a:defRPr sz="1100" b="1"/>
                      </a:pPr>
                      <a:t>[PERCENTAGE]</a:t>
                    </a:fld>
                    <a:endParaRPr lang="en-US" baseline="0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1"/>
              <c:showVal val="1"/>
              <c:showCatName val="1"/>
              <c:showSerName val="0"/>
              <c:showPercent val="1"/>
              <c:showBubbleSize val="0"/>
              <c:separator>; </c:separator>
              <c:extLst>
                <c:ext xmlns:c15="http://schemas.microsoft.com/office/drawing/2012/chart" uri="{CE6537A1-D6FC-4f65-9D91-7224C49458BB}">
                  <c15:layout>
                    <c:manualLayout>
                      <c:w val="0.19722493869195401"/>
                      <c:h val="0.16558974358974399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2"/>
              <c:layout>
                <c:manualLayout>
                  <c:x val="0.26187995212072701"/>
                  <c:y val="4.4389259034928297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100" b="1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Non acceptée,</a:t>
                    </a:r>
                    <a:br>
                      <a:rPr lang="en-US"/>
                    </a:br>
                    <a:fld id="{82A9E7E3-8DB2-499B-A149-5E334F42B2D2}" type="VALUE">
                      <a:rPr lang="en-US" baseline="0"/>
                      <a:pPr>
                        <a:defRPr sz="1100" b="1"/>
                      </a:pPr>
                      <a:t>[VALUE]</a:t>
                    </a:fld>
                    <a:r>
                      <a:rPr lang="en-US" baseline="0"/>
                      <a:t>; </a:t>
                    </a:r>
                    <a:fld id="{547184E2-2D50-4D75-9523-FD8A2BE85557}" type="PERCENTAGE">
                      <a:rPr lang="en-US" baseline="0"/>
                      <a:pPr>
                        <a:defRPr sz="1100" b="1"/>
                      </a:pPr>
                      <a:t>[PERCENTAGE]</a:t>
                    </a:fld>
                    <a:endParaRPr lang="en-US" baseline="0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1"/>
              <c:showVal val="1"/>
              <c:showCatName val="1"/>
              <c:showSerName val="0"/>
              <c:showPercent val="1"/>
              <c:showBubbleSize val="0"/>
              <c:separator>; </c:separator>
              <c:extLst>
                <c:ext xmlns:c15="http://schemas.microsoft.com/office/drawing/2012/chart" uri="{CE6537A1-D6FC-4f65-9D91-7224C49458BB}">
                  <c15:layout>
                    <c:manualLayout>
                      <c:w val="0.251652400222379"/>
                      <c:h val="0.15651806985665301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3"/>
              <c:layout>
                <c:manualLayout>
                  <c:x val="5.9547186231350697E-2"/>
                  <c:y val="-0.137920622071774"/>
                </c:manualLayout>
              </c:layout>
              <c:showLegendKey val="1"/>
              <c:showVal val="1"/>
              <c:showCatName val="1"/>
              <c:showSerName val="0"/>
              <c:showPercent val="1"/>
              <c:showBubbleSize val="0"/>
              <c:separator>; </c:separator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FE98-4CCC-9911-46B4E0CDB3AE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1"/>
            <c:showVal val="1"/>
            <c:showCatName val="1"/>
            <c:showSerName val="0"/>
            <c:showPercent val="1"/>
            <c:showBubbleSize val="0"/>
            <c:separator>; </c:separator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statistics!$A$17:$A$19</c:f>
              <c:strCache>
                <c:ptCount val="3"/>
                <c:pt idx="0">
                  <c:v>Implemented</c:v>
                </c:pt>
                <c:pt idx="1">
                  <c:v>In progress</c:v>
                </c:pt>
                <c:pt idx="2">
                  <c:v>Not accepted</c:v>
                </c:pt>
              </c:strCache>
            </c:strRef>
          </c:cat>
          <c:val>
            <c:numRef>
              <c:f>statistics!$B$17:$B$19</c:f>
              <c:numCache>
                <c:formatCode>General</c:formatCode>
                <c:ptCount val="3"/>
                <c:pt idx="0">
                  <c:v>6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FE98-4CCC-9911-46B4E0CDB3AE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  <c:holeSize val="75"/>
      </c:doughnut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 b="1" i="0" u="none" strike="noStrike" baseline="0">
                <a:solidFill>
                  <a:schemeClr val="tx1"/>
                </a:solidFill>
                <a:effectLst/>
              </a:rPr>
              <a:t>Recommandations formulées </a:t>
            </a:r>
            <a:br>
              <a:rPr lang="en-US" sz="1200" b="1" i="0" u="none" strike="noStrike" baseline="0">
                <a:solidFill>
                  <a:schemeClr val="tx1"/>
                </a:solidFill>
                <a:effectLst/>
              </a:rPr>
            </a:br>
            <a:r>
              <a:rPr lang="en-US" sz="1200" b="1" i="0" u="none" strike="noStrike" baseline="0">
                <a:solidFill>
                  <a:schemeClr val="tx1"/>
                </a:solidFill>
                <a:effectLst/>
              </a:rPr>
              <a:t>par le CCIG en </a:t>
            </a:r>
            <a:r>
              <a:rPr lang="en-US" sz="1200" b="1">
                <a:solidFill>
                  <a:sysClr val="windowText" lastClr="000000"/>
                </a:solidFill>
              </a:rPr>
              <a:t>2014</a:t>
            </a:r>
          </a:p>
        </c:rich>
      </c:tx>
      <c:layout>
        <c:manualLayout>
          <c:xMode val="edge"/>
          <c:yMode val="edge"/>
          <c:x val="0.21113881598133599"/>
          <c:y val="9.230769230769229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24351825340014299"/>
          <c:y val="0.271929335756107"/>
          <c:w val="0.52494472973487005"/>
          <c:h val="0.69656127599434703"/>
        </c:manualLayout>
      </c:layout>
      <c:doughnutChart>
        <c:varyColors val="1"/>
        <c:ser>
          <c:idx val="0"/>
          <c:order val="0"/>
          <c:tx>
            <c:strRef>
              <c:f>statistics!$B$1</c:f>
              <c:strCache>
                <c:ptCount val="1"/>
                <c:pt idx="0">
                  <c:v>No.</c:v>
                </c:pt>
              </c:strCache>
            </c:strRef>
          </c:tx>
          <c:dPt>
            <c:idx val="0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3ED1-46B2-8533-FDC9922DEBDE}"/>
              </c:ext>
            </c:extLst>
          </c:dPt>
          <c:dPt>
            <c:idx val="1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3ED1-46B2-8533-FDC9922DEBDE}"/>
              </c:ext>
            </c:extLst>
          </c:dPt>
          <c:dPt>
            <c:idx val="2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3ED1-46B2-8533-FDC9922DEBDE}"/>
              </c:ext>
            </c:extLst>
          </c:dPt>
          <c:dPt>
            <c:idx val="3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3ED1-46B2-8533-FDC9922DEBDE}"/>
              </c:ext>
            </c:extLst>
          </c:dPt>
          <c:dLbls>
            <c:dLbl>
              <c:idx val="0"/>
              <c:layout>
                <c:manualLayout>
                  <c:x val="0.28678054826480021"/>
                  <c:y val="-2.2193620028265696E-2"/>
                </c:manualLayout>
              </c:layout>
              <c:tx>
                <c:rich>
                  <a:bodyPr/>
                  <a:lstStyle/>
                  <a:p>
                    <a:r>
                      <a:rPr lang="en-US" baseline="0"/>
                      <a:t>Mise en oeuvre,</a:t>
                    </a:r>
                    <a:br>
                      <a:rPr lang="en-US" baseline="0"/>
                    </a:br>
                    <a:fld id="{3FB55E02-9067-474C-A9E6-6176C05F905B}" type="VALUE">
                      <a:rPr lang="en-US" baseline="0"/>
                      <a:pPr/>
                      <a:t>[VALUE]</a:t>
                    </a:fld>
                    <a:r>
                      <a:rPr lang="en-US" baseline="0"/>
                      <a:t>; </a:t>
                    </a:r>
                    <a:fld id="{6B67DDC5-2E6F-4B35-96B4-5785B47C1AD2}" type="PERCENTAGE">
                      <a:rPr lang="en-US" baseline="0"/>
                      <a:pPr/>
                      <a:t>[PERCENTAGE]</a:t>
                    </a:fld>
                    <a:endParaRPr lang="en-US" baseline="0"/>
                  </a:p>
                </c:rich>
              </c:tx>
              <c:showLegendKey val="1"/>
              <c:showVal val="1"/>
              <c:showCatName val="1"/>
              <c:showSerName val="0"/>
              <c:showPercent val="1"/>
              <c:showBubbleSize val="0"/>
              <c:separator>; </c:separator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3ED1-46B2-8533-FDC9922DEBDE}"/>
                </c:ext>
                <c:ext xmlns:c15="http://schemas.microsoft.com/office/drawing/2012/chart" uri="{CE6537A1-D6FC-4f65-9D91-7224C49458BB}">
                  <c15:layout>
                    <c:manualLayout>
                      <c:w val="0.32556955380577429"/>
                      <c:h val="0.1389259034928326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1"/>
              <c:layout>
                <c:manualLayout>
                  <c:x val="-0.30565795752803598"/>
                  <c:y val="2.0125580456289101E-2"/>
                </c:manualLayout>
              </c:layout>
              <c:tx>
                <c:rich>
                  <a:bodyPr/>
                  <a:lstStyle/>
                  <a:p>
                    <a:r>
                      <a:rPr lang="en-US" baseline="0"/>
                      <a:t>En cours,</a:t>
                    </a:r>
                    <a:br>
                      <a:rPr lang="en-US" baseline="0"/>
                    </a:br>
                    <a:fld id="{D7B9064E-F110-4E4C-B931-5254D892C8E3}" type="VALUE">
                      <a:rPr lang="en-US" baseline="0"/>
                      <a:pPr/>
                      <a:t>[VALUE]</a:t>
                    </a:fld>
                    <a:r>
                      <a:rPr lang="en-US" baseline="0"/>
                      <a:t>; </a:t>
                    </a:r>
                    <a:fld id="{F1DD4E43-3159-4757-95CB-6BEED3E0F32A}" type="PERCENTAGE">
                      <a:rPr lang="en-US" baseline="0"/>
                      <a:pPr/>
                      <a:t>[PERCENTAGE]</a:t>
                    </a:fld>
                    <a:endParaRPr lang="en-US" baseline="0"/>
                  </a:p>
                </c:rich>
              </c:tx>
              <c:showLegendKey val="1"/>
              <c:showVal val="1"/>
              <c:showCatName val="1"/>
              <c:showSerName val="0"/>
              <c:showPercent val="1"/>
              <c:showBubbleSize val="0"/>
              <c:separator>; </c:separator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3ED1-46B2-8533-FDC9922DEBDE}"/>
                </c:ext>
                <c:ext xmlns:c15="http://schemas.microsoft.com/office/drawing/2012/chart" uri="{CE6537A1-D6FC-4f65-9D91-7224C49458BB}">
                  <c15:layout>
                    <c:manualLayout>
                      <c:w val="0.241573890220244"/>
                      <c:h val="0.147094690086816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2"/>
              <c:layout>
                <c:manualLayout>
                  <c:x val="0.26840759961822902"/>
                  <c:y val="1.2826569755703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Non acceptée,</a:t>
                    </a:r>
                    <a:r>
                      <a:rPr lang="en-US" baseline="0"/>
                      <a:t> </a:t>
                    </a:r>
                    <a:fld id="{E389C15D-9004-4A65-BB33-C8683E535F7A}" type="VALUE">
                      <a:rPr lang="en-US" baseline="0"/>
                      <a:pPr/>
                      <a:t>[VALUE]</a:t>
                    </a:fld>
                    <a:r>
                      <a:rPr lang="en-US" baseline="0"/>
                      <a:t>; </a:t>
                    </a:r>
                    <a:fld id="{2E1566BE-F9C3-487E-BC52-65C333252B43}" type="PERCENTAGE">
                      <a:rPr lang="en-US" baseline="0"/>
                      <a:pPr/>
                      <a:t>[PERCENTAGE]</a:t>
                    </a:fld>
                    <a:endParaRPr lang="en-US" baseline="0"/>
                  </a:p>
                </c:rich>
              </c:tx>
              <c:showLegendKey val="1"/>
              <c:showVal val="1"/>
              <c:showCatName val="1"/>
              <c:showSerName val="0"/>
              <c:showPercent val="1"/>
              <c:showBubbleSize val="0"/>
              <c:separator>; </c:separator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3ED1-46B2-8533-FDC9922DEBDE}"/>
                </c:ext>
                <c:ext xmlns:c15="http://schemas.microsoft.com/office/drawing/2012/chart" uri="{CE6537A1-D6FC-4f65-9D91-7224C49458BB}">
                  <c15:layout>
                    <c:manualLayout>
                      <c:w val="0.27323062878009802"/>
                      <c:h val="0.157351100343226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3"/>
              <c:layout>
                <c:manualLayout>
                  <c:x val="-3.3922192390707602E-2"/>
                  <c:y val="-0.136855628089224"/>
                </c:manualLayout>
              </c:layout>
              <c:showLegendKey val="1"/>
              <c:showVal val="1"/>
              <c:showCatName val="1"/>
              <c:showSerName val="0"/>
              <c:showPercent val="1"/>
              <c:showBubbleSize val="0"/>
              <c:separator>; </c:separator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3ED1-46B2-8533-FDC9922DEBDE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clip" horzOverflow="clip" vert="horz" wrap="square" lIns="0" tIns="0" rIns="0" bIns="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1"/>
            <c:showVal val="1"/>
            <c:showCatName val="1"/>
            <c:showSerName val="0"/>
            <c:showPercent val="1"/>
            <c:showBubbleSize val="0"/>
            <c:separator>; </c:separator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statistics!$A$24:$A$26</c:f>
              <c:strCache>
                <c:ptCount val="3"/>
                <c:pt idx="0">
                  <c:v>Implemented</c:v>
                </c:pt>
                <c:pt idx="1">
                  <c:v>In progress</c:v>
                </c:pt>
                <c:pt idx="2">
                  <c:v>Not accepted</c:v>
                </c:pt>
              </c:strCache>
            </c:strRef>
          </c:cat>
          <c:val>
            <c:numRef>
              <c:f>statistics!$B$24:$B$26</c:f>
              <c:numCache>
                <c:formatCode>General</c:formatCode>
                <c:ptCount val="3"/>
                <c:pt idx="0">
                  <c:v>9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3ED1-46B2-8533-FDC9922DEBDE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  <c:holeSize val="75"/>
      </c:doughnut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 b="1" i="0" u="none" strike="noStrike" baseline="0">
                <a:solidFill>
                  <a:schemeClr val="tx1"/>
                </a:solidFill>
                <a:effectLst/>
              </a:rPr>
              <a:t>Recommandations formulées </a:t>
            </a:r>
            <a:br>
              <a:rPr lang="en-US" sz="1200" b="1" i="0" u="none" strike="noStrike" baseline="0">
                <a:solidFill>
                  <a:schemeClr val="tx1"/>
                </a:solidFill>
                <a:effectLst/>
              </a:rPr>
            </a:br>
            <a:r>
              <a:rPr lang="en-US" sz="1200" b="1" i="0" u="none" strike="noStrike" baseline="0">
                <a:solidFill>
                  <a:schemeClr val="tx1"/>
                </a:solidFill>
                <a:effectLst/>
              </a:rPr>
              <a:t>par le CCIG en </a:t>
            </a:r>
            <a:r>
              <a:rPr lang="en-US" sz="1200" b="1">
                <a:solidFill>
                  <a:sysClr val="windowText" lastClr="000000"/>
                </a:solidFill>
              </a:rPr>
              <a:t>2013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24315742767111101"/>
          <c:y val="0.27212598425196899"/>
          <c:w val="0.52045363957012503"/>
          <c:h val="0.69593226134089603"/>
        </c:manualLayout>
      </c:layout>
      <c:doughnutChart>
        <c:varyColors val="1"/>
        <c:ser>
          <c:idx val="0"/>
          <c:order val="0"/>
          <c:tx>
            <c:strRef>
              <c:f>'[IMAC-Follow-up_of_IMAC_Recommendations-rev02-160514.xlsx]statistics'!$B$1</c:f>
              <c:strCache>
                <c:ptCount val="1"/>
                <c:pt idx="0">
                  <c:v>No.</c:v>
                </c:pt>
              </c:strCache>
            </c:strRef>
          </c:tx>
          <c:dPt>
            <c:idx val="0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74DC-4E51-B9D6-87D8C19602FE}"/>
              </c:ext>
            </c:extLst>
          </c:dPt>
          <c:dPt>
            <c:idx val="1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74DC-4E51-B9D6-87D8C19602FE}"/>
              </c:ext>
            </c:extLst>
          </c:dPt>
          <c:dPt>
            <c:idx val="2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74DC-4E51-B9D6-87D8C19602FE}"/>
              </c:ext>
            </c:extLst>
          </c:dPt>
          <c:dPt>
            <c:idx val="3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74DC-4E51-B9D6-87D8C19602FE}"/>
              </c:ext>
            </c:extLst>
          </c:dPt>
          <c:dLbls>
            <c:dLbl>
              <c:idx val="0"/>
              <c:layout>
                <c:manualLayout>
                  <c:x val="0.20745151125450292"/>
                  <c:y val="1.134079504429762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Mise en oeuvre,</a:t>
                    </a:r>
                    <a:br>
                      <a:rPr lang="en-US"/>
                    </a:br>
                    <a:fld id="{DBECFBD1-71C7-4184-AD8D-1BB1B1C88933}" type="VALUE">
                      <a:rPr lang="en-US" baseline="0"/>
                      <a:pPr/>
                      <a:t>[VALUE]</a:t>
                    </a:fld>
                    <a:r>
                      <a:rPr lang="en-US" baseline="0"/>
                      <a:t>, </a:t>
                    </a:r>
                    <a:fld id="{B6DA2407-8B7D-4300-B47D-49C9BEC6A44E}" type="PERCENTAGE">
                      <a:rPr lang="en-US" baseline="0"/>
                      <a:pPr/>
                      <a:t>[PERCENTAGE]</a:t>
                    </a:fld>
                    <a:endParaRPr lang="en-US" baseline="0"/>
                  </a:p>
                </c:rich>
              </c:tx>
              <c:showLegendKey val="1"/>
              <c:showVal val="1"/>
              <c:showCatName val="1"/>
              <c:showSerName val="0"/>
              <c:showPercent val="1"/>
              <c:showBubbleSize val="0"/>
              <c:separator>, </c:separator>
              <c:extLst>
                <c:ext xmlns:c15="http://schemas.microsoft.com/office/drawing/2012/chart" uri="{CE6537A1-D6FC-4f65-9D91-7224C49458BB}">
                  <c15:layout>
                    <c:manualLayout>
                      <c:w val="0.30493844429904715"/>
                      <c:h val="0.14389718526563489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1"/>
              <c:layout>
                <c:manualLayout>
                  <c:x val="-0.23351623310696501"/>
                  <c:y val="-4.131454832513759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En cours</a:t>
                    </a:r>
                    <a:r>
                      <a:rPr lang="en-US" baseline="0"/>
                      <a:t>,</a:t>
                    </a:r>
                    <a:br>
                      <a:rPr lang="en-US" baseline="0"/>
                    </a:br>
                    <a:fld id="{320B1763-77E2-4778-90F9-0B8BD47A9443}" type="VALUE">
                      <a:rPr lang="en-US" baseline="0"/>
                      <a:pPr/>
                      <a:t>[VALUE]</a:t>
                    </a:fld>
                    <a:r>
                      <a:rPr lang="en-US" baseline="0"/>
                      <a:t>, </a:t>
                    </a:r>
                    <a:fld id="{6F037A90-2F4D-4AF0-9EAB-6CE37CAD8289}" type="PERCENTAGE">
                      <a:rPr lang="en-US" baseline="0"/>
                      <a:pPr/>
                      <a:t>[PERCENTAGE]</a:t>
                    </a:fld>
                    <a:endParaRPr lang="en-US" baseline="0"/>
                  </a:p>
                </c:rich>
              </c:tx>
              <c:showLegendKey val="1"/>
              <c:showVal val="1"/>
              <c:showCatName val="1"/>
              <c:showSerName val="0"/>
              <c:showPercent val="1"/>
              <c:showBubbleSize val="0"/>
              <c:separator>, </c:separator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74DC-4E51-B9D6-87D8C19602FE}"/>
                </c:ext>
                <c:ext xmlns:c15="http://schemas.microsoft.com/office/drawing/2012/chart" uri="{CE6537A1-D6FC-4f65-9D91-7224C49458BB}">
                  <c15:layout>
                    <c:manualLayout>
                      <c:w val="0.242625574381999"/>
                      <c:h val="0.151639665731439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2"/>
              <c:layout>
                <c:manualLayout>
                  <c:x val="0.28186614925283299"/>
                  <c:y val="-2.393539887973769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Non acceptée</a:t>
                    </a:r>
                    <a:r>
                      <a:rPr lang="en-US" baseline="0"/>
                      <a:t>, </a:t>
                    </a:r>
                    <a:fld id="{097DC3C3-1C99-45E1-89C4-DBCB361EC1C2}" type="VALUE">
                      <a:rPr lang="en-US" baseline="0"/>
                      <a:pPr/>
                      <a:t>[VALUE]</a:t>
                    </a:fld>
                    <a:r>
                      <a:rPr lang="en-US" baseline="0"/>
                      <a:t>, </a:t>
                    </a:r>
                    <a:fld id="{48D34D9D-34E9-4705-A8CF-448D6B4514E9}" type="PERCENTAGE">
                      <a:rPr lang="en-US" baseline="0"/>
                      <a:pPr/>
                      <a:t>[PERCENTAGE]</a:t>
                    </a:fld>
                    <a:endParaRPr lang="en-US" baseline="0"/>
                  </a:p>
                </c:rich>
              </c:tx>
              <c:showLegendKey val="1"/>
              <c:showVal val="1"/>
              <c:showCatName val="1"/>
              <c:showSerName val="0"/>
              <c:showPercent val="1"/>
              <c:showBubbleSize val="0"/>
              <c:separator>, </c:separator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74DC-4E51-B9D6-87D8C19602FE}"/>
                </c:ext>
                <c:ext xmlns:c15="http://schemas.microsoft.com/office/drawing/2012/chart" uri="{CE6537A1-D6FC-4f65-9D91-7224C49458BB}">
                  <c15:layout>
                    <c:manualLayout>
                      <c:w val="0.277739924343268"/>
                      <c:h val="0.14142255206604901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3"/>
              <c:layout>
                <c:manualLayout>
                  <c:x val="0.24496988019763999"/>
                  <c:y val="-0.174842332742595"/>
                </c:manualLayout>
              </c:layout>
              <c:showLegendKey val="1"/>
              <c:showVal val="1"/>
              <c:showCatName val="1"/>
              <c:showSerName val="0"/>
              <c:showPercent val="1"/>
              <c:showBubbleSize val="0"/>
              <c:separator>, </c:separator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74DC-4E51-B9D6-87D8C19602FE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clip" horzOverflow="clip" vert="horz" wrap="square" lIns="0" tIns="0" rIns="0" bIns="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1"/>
            <c:showVal val="1"/>
            <c:showCatName val="1"/>
            <c:showSerName val="0"/>
            <c:showPercent val="1"/>
            <c:showBubbleSize val="0"/>
            <c:separator>, </c:separator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'[IMAC-Follow-up_of_IMAC_Recommendations-rev02-160514.xlsx]statistics'!$A$26:$A$28</c:f>
              <c:strCache>
                <c:ptCount val="3"/>
                <c:pt idx="0">
                  <c:v>Implemented</c:v>
                </c:pt>
                <c:pt idx="1">
                  <c:v>In progress</c:v>
                </c:pt>
                <c:pt idx="2">
                  <c:v>Not accepted</c:v>
                </c:pt>
              </c:strCache>
            </c:strRef>
          </c:cat>
          <c:val>
            <c:numRef>
              <c:f>'[IMAC-Follow-up_of_IMAC_Recommendations-rev02-160514.xlsx]statistics'!$B$26:$B$28</c:f>
              <c:numCache>
                <c:formatCode>General</c:formatCode>
                <c:ptCount val="3"/>
                <c:pt idx="0">
                  <c:v>7</c:v>
                </c:pt>
                <c:pt idx="1">
                  <c:v>1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74DC-4E51-B9D6-87D8C19602FE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  <c:holeSize val="75"/>
      </c:doughnut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 b="1" i="0" u="none" strike="noStrike" baseline="0">
                <a:solidFill>
                  <a:schemeClr val="tx1"/>
                </a:solidFill>
                <a:effectLst/>
              </a:rPr>
              <a:t>Recommandations formulées </a:t>
            </a:r>
            <a:br>
              <a:rPr lang="en-US" sz="1200" b="1" i="0" u="none" strike="noStrike" baseline="0">
                <a:solidFill>
                  <a:schemeClr val="tx1"/>
                </a:solidFill>
                <a:effectLst/>
              </a:rPr>
            </a:br>
            <a:r>
              <a:rPr lang="en-US" sz="1200" b="1" i="0" u="none" strike="noStrike" baseline="0">
                <a:solidFill>
                  <a:schemeClr val="tx1"/>
                </a:solidFill>
                <a:effectLst/>
              </a:rPr>
              <a:t>par le CCIG en </a:t>
            </a:r>
            <a:r>
              <a:rPr lang="en-US" sz="1200" b="1">
                <a:solidFill>
                  <a:sysClr val="windowText" lastClr="000000"/>
                </a:solidFill>
              </a:rPr>
              <a:t>2012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23114500372267199"/>
          <c:y val="0.25654472037149201"/>
          <c:w val="0.53094089599831595"/>
          <c:h val="0.712686048859277"/>
        </c:manualLayout>
      </c:layout>
      <c:doughnutChart>
        <c:varyColors val="1"/>
        <c:ser>
          <c:idx val="0"/>
          <c:order val="0"/>
          <c:tx>
            <c:strRef>
              <c:f>'[IMAC-Follow-up_of_IMAC_Recommendations-rev02-160514.xlsx]statistics'!$B$1</c:f>
              <c:strCache>
                <c:ptCount val="1"/>
                <c:pt idx="0">
                  <c:v>No.</c:v>
                </c:pt>
              </c:strCache>
            </c:strRef>
          </c:tx>
          <c:dPt>
            <c:idx val="0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297-420A-A7E2-2A10A74D3E84}"/>
              </c:ext>
            </c:extLst>
          </c:dPt>
          <c:dPt>
            <c:idx val="1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8297-420A-A7E2-2A10A74D3E84}"/>
              </c:ext>
            </c:extLst>
          </c:dPt>
          <c:dPt>
            <c:idx val="2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8297-420A-A7E2-2A10A74D3E84}"/>
              </c:ext>
            </c:extLst>
          </c:dPt>
          <c:dPt>
            <c:idx val="3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8297-420A-A7E2-2A10A74D3E84}"/>
              </c:ext>
            </c:extLst>
          </c:dPt>
          <c:dLbls>
            <c:dLbl>
              <c:idx val="0"/>
              <c:layout>
                <c:manualLayout>
                  <c:x val="0.16571576833698073"/>
                  <c:y val="4.762346052897233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Mise en oeuvre</a:t>
                    </a:r>
                    <a:r>
                      <a:rPr lang="en-US" baseline="0"/>
                      <a:t>, </a:t>
                    </a:r>
                    <a:fld id="{B3E90B35-7DCE-4B99-AF7B-03C6904B3D9F}" type="VALUE">
                      <a:rPr lang="en-US" baseline="0"/>
                      <a:pPr/>
                      <a:t>[VALUE]</a:t>
                    </a:fld>
                    <a:r>
                      <a:rPr lang="en-US" baseline="0"/>
                      <a:t>, </a:t>
                    </a:r>
                    <a:fld id="{EE0E2822-3DD4-4DBA-85C0-09A02F826BC9}" type="PERCENTAGE">
                      <a:rPr lang="en-US" baseline="0"/>
                      <a:pPr/>
                      <a:t>[PERCENTAGE]</a:t>
                    </a:fld>
                    <a:endParaRPr lang="en-US" baseline="0"/>
                  </a:p>
                </c:rich>
              </c:tx>
              <c:showLegendKey val="1"/>
              <c:showVal val="1"/>
              <c:showCatName val="1"/>
              <c:showSerName val="0"/>
              <c:showPercent val="1"/>
              <c:showBubbleSize val="0"/>
              <c:separator>, </c:separator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8297-420A-A7E2-2A10A74D3E84}"/>
                </c:ext>
                <c:ext xmlns:c15="http://schemas.microsoft.com/office/drawing/2012/chart" uri="{CE6537A1-D6FC-4f65-9D91-7224C49458BB}">
                  <c15:layout>
                    <c:manualLayout>
                      <c:w val="0.32079838157766094"/>
                      <c:h val="0.1389259034928326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1"/>
              <c:layout>
                <c:manualLayout>
                  <c:x val="-0.21059389782580901"/>
                  <c:y val="-4.435695538057739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En cours</a:t>
                    </a:r>
                    <a:r>
                      <a:rPr lang="en-US" baseline="0"/>
                      <a:t>, </a:t>
                    </a:r>
                    <a:br>
                      <a:rPr lang="en-US" baseline="0"/>
                    </a:br>
                    <a:fld id="{A598A468-C882-4661-8AF8-772315EA0CD1}" type="VALUE">
                      <a:rPr lang="en-US" baseline="0"/>
                      <a:pPr/>
                      <a:t>[VALUE]</a:t>
                    </a:fld>
                    <a:r>
                      <a:rPr lang="en-US" baseline="0"/>
                      <a:t>, </a:t>
                    </a:r>
                    <a:fld id="{F6E29FFC-9A0B-472D-A6DB-83F6014CCB5D}" type="PERCENTAGE">
                      <a:rPr lang="en-US" baseline="0"/>
                      <a:pPr/>
                      <a:t>[PERCENTAGE]</a:t>
                    </a:fld>
                    <a:endParaRPr lang="en-US" baseline="0"/>
                  </a:p>
                </c:rich>
              </c:tx>
              <c:showLegendKey val="1"/>
              <c:showVal val="1"/>
              <c:showCatName val="1"/>
              <c:showSerName val="0"/>
              <c:showPercent val="1"/>
              <c:showBubbleSize val="0"/>
              <c:separator>, </c:separator>
              <c:extLst>
                <c:ext xmlns:c15="http://schemas.microsoft.com/office/drawing/2012/chart" uri="{CE6537A1-D6FC-4f65-9D91-7224C49458BB}">
                  <c15:layout>
                    <c:manualLayout>
                      <c:w val="0.23498469568094801"/>
                      <c:h val="0.152222895215021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2"/>
              <c:layout>
                <c:manualLayout>
                  <c:x val="0.30096834600546002"/>
                  <c:y val="4.8495861094286297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Non acceptée</a:t>
                    </a:r>
                    <a:r>
                      <a:rPr lang="en-US" baseline="0"/>
                      <a:t>, </a:t>
                    </a:r>
                    <a:fld id="{CA06CB85-D541-43EF-BFD1-8818ECDB6949}" type="VALUE">
                      <a:rPr lang="en-US" baseline="0"/>
                      <a:pPr/>
                      <a:t>[VALUE]</a:t>
                    </a:fld>
                    <a:r>
                      <a:rPr lang="en-US" baseline="0"/>
                      <a:t>, </a:t>
                    </a:r>
                    <a:fld id="{0A680BD1-A3EE-47A5-9DAF-E15886EC9C80}" type="PERCENTAGE">
                      <a:rPr lang="en-US" baseline="0"/>
                      <a:pPr/>
                      <a:t>[PERCENTAGE]</a:t>
                    </a:fld>
                    <a:endParaRPr lang="en-US" baseline="0"/>
                  </a:p>
                </c:rich>
              </c:tx>
              <c:showLegendKey val="1"/>
              <c:showVal val="1"/>
              <c:showCatName val="1"/>
              <c:showSerName val="0"/>
              <c:showPercent val="1"/>
              <c:showBubbleSize val="0"/>
              <c:separator>, </c:separator>
              <c:extLst>
                <c:ext xmlns:c15="http://schemas.microsoft.com/office/drawing/2012/chart" uri="{CE6537A1-D6FC-4f65-9D91-7224C49458BB}">
                  <c15:layout>
                    <c:manualLayout>
                      <c:w val="0.27009904564221698"/>
                      <c:h val="0.147094690086816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3"/>
              <c:layout>
                <c:manualLayout>
                  <c:x val="-4.5383510442283503E-2"/>
                  <c:y val="-0.136855628089224"/>
                </c:manualLayout>
              </c:layout>
              <c:showLegendKey val="1"/>
              <c:showVal val="1"/>
              <c:showCatName val="1"/>
              <c:showSerName val="0"/>
              <c:showPercent val="1"/>
              <c:showBubbleSize val="0"/>
              <c:separator>, </c:separator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8297-420A-A7E2-2A10A74D3E84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clip" horzOverflow="clip" vert="horz" wrap="square" lIns="0" tIns="0" rIns="0" bIns="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1"/>
            <c:showVal val="1"/>
            <c:showCatName val="1"/>
            <c:showSerName val="0"/>
            <c:showPercent val="1"/>
            <c:showBubbleSize val="0"/>
            <c:separator>, </c:separator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'[IMAC-Follow-up_of_IMAC_Recommendations-rev02-160514.xlsx]statistics'!$A$34:$A$36</c:f>
              <c:strCache>
                <c:ptCount val="3"/>
                <c:pt idx="0">
                  <c:v>Implemented</c:v>
                </c:pt>
                <c:pt idx="1">
                  <c:v>In progress</c:v>
                </c:pt>
                <c:pt idx="2">
                  <c:v>Not accepted</c:v>
                </c:pt>
              </c:strCache>
            </c:strRef>
          </c:cat>
          <c:val>
            <c:numRef>
              <c:f>'[IMAC-Follow-up_of_IMAC_Recommendations-rev02-160514.xlsx]statistics'!$B$34:$B$36</c:f>
              <c:numCache>
                <c:formatCode>General</c:formatCode>
                <c:ptCount val="3"/>
                <c:pt idx="0">
                  <c:v>5</c:v>
                </c:pt>
                <c:pt idx="1">
                  <c:v>1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8297-420A-A7E2-2A10A74D3E84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  <c:holeSize val="75"/>
      </c:doughnut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0DEA91-2160-405F-95A8-38023CC32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PF_C17.dotx</Template>
  <TotalTime>162</TotalTime>
  <Pages>12</Pages>
  <Words>4397</Words>
  <Characters>25069</Characters>
  <Application>Microsoft Office Word</Application>
  <DocSecurity>0</DocSecurity>
  <Lines>208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29408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Conseil 2010</dc:subject>
  <dc:creator>Alidra, Patricia</dc:creator>
  <cp:keywords>C2010, C10</cp:keywords>
  <dc:description>Document C17/-F  Pour: _x000d_Date du document: janvier 2017_x000d_Enregistré par ITU51009317 à 15:30:24 le 06/04/2017</dc:description>
  <cp:lastModifiedBy>Brice, Corinne</cp:lastModifiedBy>
  <cp:revision>37</cp:revision>
  <cp:lastPrinted>2017-05-18T17:11:00Z</cp:lastPrinted>
  <dcterms:created xsi:type="dcterms:W3CDTF">2017-05-18T14:32:00Z</dcterms:created>
  <dcterms:modified xsi:type="dcterms:W3CDTF">2017-05-18T17:58:00Z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