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45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093EEB" w:rsidRPr="00BC7A02">
        <w:trPr>
          <w:cantSplit/>
        </w:trPr>
        <w:tc>
          <w:tcPr>
            <w:tcW w:w="6912" w:type="dxa"/>
          </w:tcPr>
          <w:p w:rsidR="00093EEB" w:rsidRPr="00BC7A02" w:rsidRDefault="00093EEB" w:rsidP="008A3EAB">
            <w:pPr>
              <w:spacing w:before="360"/>
              <w:rPr>
                <w:szCs w:val="24"/>
              </w:rPr>
            </w:pPr>
            <w:bookmarkStart w:id="0" w:name="dc06"/>
            <w:bookmarkStart w:id="1" w:name="dbluepink" w:colFirst="0" w:colLast="0"/>
            <w:bookmarkEnd w:id="0"/>
            <w:r w:rsidRPr="00BC7A02">
              <w:rPr>
                <w:b/>
                <w:bCs/>
                <w:sz w:val="30"/>
                <w:szCs w:val="30"/>
              </w:rPr>
              <w:t>Consejo 2017</w:t>
            </w:r>
            <w:r w:rsidRPr="00BC7A02">
              <w:rPr>
                <w:b/>
                <w:bCs/>
                <w:sz w:val="26"/>
                <w:szCs w:val="26"/>
              </w:rPr>
              <w:br/>
            </w:r>
            <w:r w:rsidRPr="00BC7A02">
              <w:rPr>
                <w:b/>
                <w:bCs/>
                <w:szCs w:val="24"/>
              </w:rPr>
              <w:t>Ginebra, 15-25 de mayo de 2017</w:t>
            </w:r>
          </w:p>
        </w:tc>
        <w:tc>
          <w:tcPr>
            <w:tcW w:w="3261" w:type="dxa"/>
          </w:tcPr>
          <w:p w:rsidR="00093EEB" w:rsidRPr="00BC7A02" w:rsidRDefault="00093EEB" w:rsidP="008A3EAB">
            <w:pPr>
              <w:spacing w:before="0"/>
              <w:jc w:val="right"/>
              <w:rPr>
                <w:szCs w:val="24"/>
              </w:rPr>
            </w:pPr>
            <w:bookmarkStart w:id="2" w:name="ditulogo"/>
            <w:bookmarkEnd w:id="2"/>
            <w:r w:rsidRPr="00BC7A02">
              <w:rPr>
                <w:rFonts w:cstheme="minorHAnsi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 wp14:anchorId="20716D67" wp14:editId="3A7EBAD8">
                  <wp:extent cx="1771650" cy="695325"/>
                  <wp:effectExtent l="0" t="0" r="0" b="9525"/>
                  <wp:docPr id="2" name="Picture 2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EEB" w:rsidRPr="00BC7A02">
        <w:trPr>
          <w:cantSplit/>
          <w:trHeight w:val="20"/>
        </w:trPr>
        <w:tc>
          <w:tcPr>
            <w:tcW w:w="10173" w:type="dxa"/>
            <w:gridSpan w:val="2"/>
            <w:tcBorders>
              <w:bottom w:val="single" w:sz="12" w:space="0" w:color="auto"/>
            </w:tcBorders>
          </w:tcPr>
          <w:p w:rsidR="00093EEB" w:rsidRPr="00BC7A02" w:rsidRDefault="00093EEB" w:rsidP="008A3EA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BC7A02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093EEB" w:rsidRPr="00BC7A02" w:rsidRDefault="00093EEB" w:rsidP="008A3EA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/>
              <w:rPr>
                <w:b/>
                <w:smallCaps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093EEB" w:rsidRPr="00BC7A02" w:rsidRDefault="00093EEB" w:rsidP="008A3EA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BC7A02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BC7A02" w:rsidRDefault="00CB53D6" w:rsidP="008A3EAB">
            <w:pPr>
              <w:tabs>
                <w:tab w:val="left" w:pos="1560"/>
                <w:tab w:val="left" w:pos="3544"/>
                <w:tab w:val="left" w:pos="3969"/>
              </w:tabs>
              <w:spacing w:before="0"/>
              <w:rPr>
                <w:rFonts w:cs="Times"/>
                <w:b/>
                <w:szCs w:val="24"/>
              </w:rPr>
            </w:pPr>
            <w:bookmarkStart w:id="3" w:name="dnum" w:colFirst="1" w:colLast="1"/>
            <w:bookmarkStart w:id="4" w:name="dmeeting" w:colFirst="0" w:colLast="0"/>
            <w:r w:rsidRPr="00BC7A02">
              <w:rPr>
                <w:b/>
              </w:rPr>
              <w:t>Punto del orden del día: PL 4.1</w:t>
            </w:r>
          </w:p>
        </w:tc>
        <w:tc>
          <w:tcPr>
            <w:tcW w:w="3261" w:type="dxa"/>
          </w:tcPr>
          <w:p w:rsidR="00093EEB" w:rsidRPr="00BC7A02" w:rsidRDefault="00093EEB" w:rsidP="008A3EAB">
            <w:pPr>
              <w:spacing w:before="0"/>
              <w:rPr>
                <w:b/>
                <w:bCs/>
                <w:szCs w:val="24"/>
              </w:rPr>
            </w:pPr>
            <w:r w:rsidRPr="00BC7A02">
              <w:rPr>
                <w:b/>
                <w:bCs/>
                <w:szCs w:val="24"/>
              </w:rPr>
              <w:t>Documento C17/</w:t>
            </w:r>
            <w:r w:rsidR="00D14948" w:rsidRPr="00BC7A02">
              <w:rPr>
                <w:b/>
                <w:bCs/>
                <w:szCs w:val="24"/>
              </w:rPr>
              <w:t>21</w:t>
            </w:r>
            <w:r w:rsidRPr="00BC7A02">
              <w:rPr>
                <w:b/>
                <w:bCs/>
                <w:szCs w:val="24"/>
              </w:rPr>
              <w:t>-S</w:t>
            </w:r>
          </w:p>
        </w:tc>
      </w:tr>
      <w:tr w:rsidR="00093EEB" w:rsidRPr="00BC7A02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BC7A02" w:rsidRDefault="00093EEB" w:rsidP="008A3EA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261" w:type="dxa"/>
          </w:tcPr>
          <w:p w:rsidR="00093EEB" w:rsidRPr="00BC7A02" w:rsidRDefault="00D14948" w:rsidP="008A3EAB">
            <w:pPr>
              <w:spacing w:before="0"/>
              <w:rPr>
                <w:b/>
                <w:bCs/>
                <w:szCs w:val="24"/>
              </w:rPr>
            </w:pPr>
            <w:r w:rsidRPr="00BC7A02">
              <w:rPr>
                <w:b/>
                <w:bCs/>
                <w:szCs w:val="24"/>
              </w:rPr>
              <w:t>14 de marzo</w:t>
            </w:r>
            <w:r w:rsidR="00093EEB" w:rsidRPr="00BC7A02">
              <w:rPr>
                <w:b/>
                <w:bCs/>
                <w:szCs w:val="24"/>
              </w:rPr>
              <w:t xml:space="preserve"> de 2017</w:t>
            </w:r>
          </w:p>
        </w:tc>
      </w:tr>
      <w:tr w:rsidR="00093EEB" w:rsidRPr="00BC7A02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BC7A02" w:rsidRDefault="00093EEB" w:rsidP="008A3EA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6" w:name="dorlang" w:colFirst="1" w:colLast="1"/>
            <w:bookmarkEnd w:id="5"/>
          </w:p>
        </w:tc>
        <w:tc>
          <w:tcPr>
            <w:tcW w:w="3261" w:type="dxa"/>
          </w:tcPr>
          <w:p w:rsidR="00093EEB" w:rsidRPr="00BC7A02" w:rsidRDefault="00093EEB" w:rsidP="008A3EAB">
            <w:pPr>
              <w:spacing w:before="0"/>
              <w:rPr>
                <w:b/>
                <w:bCs/>
                <w:szCs w:val="24"/>
              </w:rPr>
            </w:pPr>
            <w:r w:rsidRPr="00BC7A02">
              <w:rPr>
                <w:b/>
                <w:bCs/>
                <w:szCs w:val="24"/>
              </w:rPr>
              <w:t>Original: inglés</w:t>
            </w:r>
          </w:p>
        </w:tc>
      </w:tr>
      <w:tr w:rsidR="00093EEB" w:rsidRPr="00BC7A02">
        <w:trPr>
          <w:cantSplit/>
        </w:trPr>
        <w:tc>
          <w:tcPr>
            <w:tcW w:w="10173" w:type="dxa"/>
            <w:gridSpan w:val="2"/>
          </w:tcPr>
          <w:p w:rsidR="00093EEB" w:rsidRPr="00BC7A02" w:rsidRDefault="00CB53D6" w:rsidP="008A3EAB">
            <w:pPr>
              <w:pStyle w:val="Source"/>
            </w:pPr>
            <w:bookmarkStart w:id="7" w:name="dsource" w:colFirst="0" w:colLast="0"/>
            <w:bookmarkEnd w:id="1"/>
            <w:bookmarkEnd w:id="6"/>
            <w:r w:rsidRPr="00BC7A02">
              <w:t>Informe del Secretario General</w:t>
            </w:r>
          </w:p>
        </w:tc>
      </w:tr>
      <w:tr w:rsidR="00093EEB" w:rsidRPr="008A3EAB">
        <w:trPr>
          <w:cantSplit/>
        </w:trPr>
        <w:tc>
          <w:tcPr>
            <w:tcW w:w="10173" w:type="dxa"/>
            <w:gridSpan w:val="2"/>
          </w:tcPr>
          <w:p w:rsidR="00093EEB" w:rsidRPr="008A3EAB" w:rsidRDefault="00CB53D6" w:rsidP="008A3EAB">
            <w:pPr>
              <w:pStyle w:val="Title1"/>
            </w:pPr>
            <w:bookmarkStart w:id="8" w:name="dtitle1" w:colFirst="0" w:colLast="0"/>
            <w:bookmarkEnd w:id="7"/>
            <w:r w:rsidRPr="008A3EAB">
              <w:t>VENTA DE PUBLICACIONES DE LA UIT Y SU ACCESO GRATUITO EN LÍNEA</w:t>
            </w:r>
          </w:p>
        </w:tc>
      </w:tr>
      <w:bookmarkEnd w:id="8"/>
    </w:tbl>
    <w:p w:rsidR="00093EEB" w:rsidRPr="00BC7A02" w:rsidRDefault="00093EEB" w:rsidP="008A3EAB"/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093EEB" w:rsidRPr="00BC7A02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EEB" w:rsidRPr="00BC7A02" w:rsidRDefault="00093EEB" w:rsidP="008A3EAB">
            <w:pPr>
              <w:pStyle w:val="Headingb"/>
            </w:pPr>
            <w:r w:rsidRPr="00BC7A02">
              <w:t>Resumen</w:t>
            </w:r>
          </w:p>
          <w:p w:rsidR="00093EEB" w:rsidRPr="00BC7A02" w:rsidRDefault="00CB53D6" w:rsidP="008A3EAB">
            <w:r w:rsidRPr="00BC7A02">
              <w:rPr>
                <w:szCs w:val="24"/>
              </w:rPr>
              <w:t xml:space="preserve">En su Decisión 12 (Rev. Busán, 2014), la Conferencia de Plenipotenciarios encargó al Secretario General </w:t>
            </w:r>
            <w:r w:rsidRPr="00BC7A02">
              <w:t>que preparara un Informe de carácter permanente sobre la venta y las descargas gratuitas de las publicaciones de la UIT, los programas informáticos y las bases de datos</w:t>
            </w:r>
            <w:r w:rsidRPr="00BC7A02">
              <w:rPr>
                <w:szCs w:val="24"/>
              </w:rPr>
              <w:t>, facilitando en particular información sobre las ventas totales y descargas gratuitas anuales en los últimos cinco años, incluida una comparación entre las ventas de copias impresas y descargas gratuitas de copias electrónicas, por año, así como de las ventas y descargas gratuitas por país y categoría de Miembros, y que presente ese Informe al Consejo.</w:t>
            </w:r>
          </w:p>
          <w:p w:rsidR="00093EEB" w:rsidRPr="00BC7A02" w:rsidRDefault="00093EEB" w:rsidP="008A3EAB">
            <w:pPr>
              <w:pStyle w:val="Headingb"/>
            </w:pPr>
            <w:r w:rsidRPr="00BC7A02">
              <w:t>Acción solicitada</w:t>
            </w:r>
          </w:p>
          <w:p w:rsidR="00093EEB" w:rsidRPr="00BC7A02" w:rsidRDefault="00CB53D6" w:rsidP="008A3EAB">
            <w:r w:rsidRPr="00BC7A02">
              <w:rPr>
                <w:szCs w:val="24"/>
              </w:rPr>
              <w:t xml:space="preserve">Se invita al Consejo a </w:t>
            </w:r>
            <w:r w:rsidRPr="00BC7A02">
              <w:rPr>
                <w:b/>
                <w:bCs/>
                <w:szCs w:val="24"/>
              </w:rPr>
              <w:t>tomar nota</w:t>
            </w:r>
            <w:r w:rsidRPr="00BC7A02">
              <w:rPr>
                <w:szCs w:val="24"/>
              </w:rPr>
              <w:t xml:space="preserve"> del Informe.</w:t>
            </w:r>
          </w:p>
          <w:p w:rsidR="00093EEB" w:rsidRPr="00BC7A02" w:rsidRDefault="00093EEB" w:rsidP="008A3EAB">
            <w:pPr>
              <w:pStyle w:val="Table"/>
              <w:keepNext w:val="0"/>
              <w:spacing w:before="0" w:after="0"/>
              <w:rPr>
                <w:caps w:val="0"/>
                <w:sz w:val="22"/>
                <w:lang w:val="es-ES"/>
              </w:rPr>
            </w:pPr>
            <w:r w:rsidRPr="00BC7A02">
              <w:rPr>
                <w:caps w:val="0"/>
                <w:sz w:val="22"/>
                <w:lang w:val="es-ES"/>
              </w:rPr>
              <w:t>____________</w:t>
            </w:r>
          </w:p>
          <w:p w:rsidR="00093EEB" w:rsidRPr="00BC7A02" w:rsidRDefault="00093EEB" w:rsidP="008A3EAB">
            <w:pPr>
              <w:pStyle w:val="Headingb"/>
            </w:pPr>
            <w:r w:rsidRPr="00BC7A02">
              <w:t>Referencia</w:t>
            </w:r>
            <w:r w:rsidR="008A3EAB">
              <w:t>s</w:t>
            </w:r>
          </w:p>
          <w:p w:rsidR="00093EEB" w:rsidRPr="00BC7A02" w:rsidRDefault="00467BC7" w:rsidP="003E1FCA">
            <w:pPr>
              <w:spacing w:after="120"/>
              <w:rPr>
                <w:i/>
                <w:iCs/>
              </w:rPr>
            </w:pPr>
            <w:hyperlink r:id="rId9" w:history="1">
              <w:r w:rsidR="00CB53D6" w:rsidRPr="00BC7A02">
                <w:rPr>
                  <w:rStyle w:val="Hyperlink"/>
                </w:rPr>
                <w:t>Documento C1</w:t>
              </w:r>
              <w:r w:rsidR="003E1FCA">
                <w:rPr>
                  <w:rStyle w:val="Hyperlink"/>
                </w:rPr>
                <w:t>7</w:t>
              </w:r>
              <w:r w:rsidR="00CB53D6" w:rsidRPr="00BC7A02">
                <w:rPr>
                  <w:rStyle w:val="Hyperlink"/>
                </w:rPr>
                <w:t>/INF/</w:t>
              </w:r>
              <w:r w:rsidR="005C6FD1" w:rsidRPr="00BC7A02">
                <w:rPr>
                  <w:rStyle w:val="Hyperlink"/>
                </w:rPr>
                <w:t>4</w:t>
              </w:r>
            </w:hyperlink>
            <w:r w:rsidR="00CB53D6" w:rsidRPr="00BC7A02">
              <w:br/>
            </w:r>
            <w:hyperlink r:id="rId10" w:anchor="res66" w:history="1">
              <w:r w:rsidR="00CB53D6" w:rsidRPr="00BC7A02">
                <w:rPr>
                  <w:rStyle w:val="Hyperlink"/>
                </w:rPr>
                <w:t>Resolución 66 (Rev. Guadalajara, 2010)</w:t>
              </w:r>
            </w:hyperlink>
            <w:r w:rsidR="00CB53D6" w:rsidRPr="00BC7A02">
              <w:br/>
            </w:r>
            <w:hyperlink r:id="rId11" w:history="1">
              <w:r w:rsidR="00CB53D6" w:rsidRPr="00BC7A02">
                <w:rPr>
                  <w:rStyle w:val="Hyperlink"/>
                </w:rPr>
                <w:t>Decisión 12 (Rev. Busán, 2014)</w:t>
              </w:r>
            </w:hyperlink>
            <w:r w:rsidR="00CB53D6" w:rsidRPr="00BC7A02">
              <w:rPr>
                <w:rStyle w:val="Hyperlink"/>
              </w:rPr>
              <w:br/>
            </w:r>
            <w:r w:rsidR="00CB53D6" w:rsidRPr="00BC7A02">
              <w:t xml:space="preserve">Acuerdos </w:t>
            </w:r>
            <w:hyperlink r:id="rId12" w:history="1">
              <w:r w:rsidR="00CB53D6" w:rsidRPr="00BC7A02">
                <w:rPr>
                  <w:rStyle w:val="Hyperlink"/>
                </w:rPr>
                <w:t>571</w:t>
              </w:r>
            </w:hyperlink>
            <w:r w:rsidR="00812042" w:rsidRPr="00BC7A02">
              <w:t xml:space="preserve"> </w:t>
            </w:r>
            <w:r w:rsidR="00CB53D6" w:rsidRPr="00BC7A02">
              <w:t xml:space="preserve">y </w:t>
            </w:r>
            <w:hyperlink r:id="rId13" w:history="1">
              <w:r w:rsidR="00CB53D6" w:rsidRPr="00BC7A02">
                <w:rPr>
                  <w:rStyle w:val="Hyperlink"/>
                </w:rPr>
                <w:t>574</w:t>
              </w:r>
            </w:hyperlink>
            <w:r w:rsidR="00CB53D6" w:rsidRPr="000453F4">
              <w:t xml:space="preserve"> </w:t>
            </w:r>
            <w:r w:rsidR="00CB53D6" w:rsidRPr="00BC7A02">
              <w:t>del Consejo</w:t>
            </w:r>
          </w:p>
        </w:tc>
      </w:tr>
    </w:tbl>
    <w:p w:rsidR="00CB53D6" w:rsidRPr="00BC7A02" w:rsidRDefault="00CB53D6" w:rsidP="008A3EAB">
      <w:pPr>
        <w:pStyle w:val="Heading1"/>
      </w:pPr>
      <w:r w:rsidRPr="00BC7A02">
        <w:t>1</w:t>
      </w:r>
      <w:r w:rsidRPr="00BC7A02">
        <w:tab/>
        <w:t>Visión general</w:t>
      </w:r>
    </w:p>
    <w:p w:rsidR="00CB53D6" w:rsidRPr="00BC7A02" w:rsidRDefault="001C5DC9" w:rsidP="008A3EAB">
      <w:pPr>
        <w:pStyle w:val="Heading2"/>
      </w:pPr>
      <w:r w:rsidRPr="00BC7A02">
        <w:t>1.1</w:t>
      </w:r>
      <w:r w:rsidRPr="00BC7A02">
        <w:tab/>
      </w:r>
      <w:r w:rsidR="00CB53D6" w:rsidRPr="00BC7A02">
        <w:t xml:space="preserve">Ventas al 31 de diciembre de </w:t>
      </w:r>
      <w:r w:rsidR="002370A7" w:rsidRPr="00BC7A02">
        <w:t>2016</w:t>
      </w:r>
    </w:p>
    <w:p w:rsidR="00CB53D6" w:rsidRPr="00BC7A02" w:rsidRDefault="00CB53D6" w:rsidP="0093754A">
      <w:pPr>
        <w:rPr>
          <w:szCs w:val="24"/>
        </w:rPr>
      </w:pPr>
      <w:r w:rsidRPr="00BC7A02">
        <w:t xml:space="preserve">Los ingresos por venta de publicaciones en </w:t>
      </w:r>
      <w:r w:rsidR="002370A7" w:rsidRPr="00BC7A02">
        <w:t xml:space="preserve">2016 </w:t>
      </w:r>
      <w:r w:rsidRPr="00BC7A02">
        <w:t xml:space="preserve">alcanzaron los </w:t>
      </w:r>
      <w:r w:rsidR="002370A7" w:rsidRPr="00BC7A02">
        <w:t>19,00</w:t>
      </w:r>
      <w:r w:rsidRPr="00BC7A02">
        <w:t> millones CHF</w:t>
      </w:r>
      <w:r w:rsidR="00045E8E" w:rsidRPr="00BC7A02">
        <w:t xml:space="preserve">, es decir, </w:t>
      </w:r>
      <w:r w:rsidR="00134E5A" w:rsidRPr="008A3EAB">
        <w:rPr>
          <w:spacing w:val="2"/>
          <w:szCs w:val="24"/>
        </w:rPr>
        <w:t>0</w:t>
      </w:r>
      <w:r w:rsidR="00045E8E" w:rsidRPr="00BC7A02">
        <w:rPr>
          <w:spacing w:val="2"/>
          <w:szCs w:val="24"/>
        </w:rPr>
        <w:t>,</w:t>
      </w:r>
      <w:r w:rsidR="00134E5A" w:rsidRPr="008A3EAB">
        <w:rPr>
          <w:spacing w:val="2"/>
          <w:szCs w:val="24"/>
        </w:rPr>
        <w:t>5</w:t>
      </w:r>
      <w:r w:rsidR="0093754A">
        <w:rPr>
          <w:spacing w:val="2"/>
          <w:szCs w:val="24"/>
        </w:rPr>
        <w:t> </w:t>
      </w:r>
      <w:r w:rsidR="00134E5A" w:rsidRPr="008A3EAB">
        <w:rPr>
          <w:spacing w:val="2"/>
          <w:szCs w:val="24"/>
        </w:rPr>
        <w:t>mill</w:t>
      </w:r>
      <w:r w:rsidR="00045E8E" w:rsidRPr="00BC7A02">
        <w:rPr>
          <w:spacing w:val="2"/>
          <w:szCs w:val="24"/>
        </w:rPr>
        <w:t>ones CHF por encima del presupuesto</w:t>
      </w:r>
      <w:r w:rsidR="00C47DFF" w:rsidRPr="00BC7A02">
        <w:rPr>
          <w:spacing w:val="2"/>
          <w:szCs w:val="24"/>
        </w:rPr>
        <w:t xml:space="preserve">. Si continúan a ese nivel se cumplirá el presupuesto bianual 2016-2017 de </w:t>
      </w:r>
      <w:r w:rsidR="00A04397" w:rsidRPr="00BC7A02">
        <w:t>37,0</w:t>
      </w:r>
      <w:r w:rsidRPr="00BC7A02">
        <w:t xml:space="preserve"> millones CHF</w:t>
      </w:r>
      <w:r w:rsidRPr="00BC7A02">
        <w:rPr>
          <w:rFonts w:cstheme="minorHAnsi"/>
          <w:spacing w:val="-8"/>
          <w:szCs w:val="24"/>
        </w:rPr>
        <w:t>.</w:t>
      </w:r>
    </w:p>
    <w:p w:rsidR="00CB53D6" w:rsidRPr="00BC7A02" w:rsidRDefault="002D19EF" w:rsidP="008A3EAB">
      <w:pPr>
        <w:pStyle w:val="Heading2"/>
      </w:pPr>
      <w:r w:rsidRPr="00BC7A02">
        <w:lastRenderedPageBreak/>
        <w:t>1.2</w:t>
      </w:r>
      <w:r w:rsidRPr="00BC7A02">
        <w:tab/>
      </w:r>
      <w:r w:rsidR="00CB53D6" w:rsidRPr="00BC7A02">
        <w:t>Acceso gratuito en línea</w:t>
      </w:r>
    </w:p>
    <w:p w:rsidR="00CB53D6" w:rsidRPr="00BC7A02" w:rsidRDefault="00CB53D6" w:rsidP="008A3EAB">
      <w:pPr>
        <w:spacing w:after="240"/>
        <w:rPr>
          <w:szCs w:val="24"/>
        </w:rPr>
      </w:pPr>
      <w:r w:rsidRPr="00BC7A02">
        <w:t xml:space="preserve">La política de acceso gratuito en línea tiene por objeto difundir las publicaciones de la UIT entre un público más amplio. Tras la Decisión 12 (Guadalajara, 2010) de la PP-10, los Acuerdos 574 y 571 (modificado en 2013) y la Decisión 12 (Rev. Busán, 2014), </w:t>
      </w:r>
      <w:r w:rsidR="00BC7A02" w:rsidRPr="00BC7A02">
        <w:t xml:space="preserve">todas las obras de </w:t>
      </w:r>
      <w:r w:rsidR="00C47DFF" w:rsidRPr="00BC7A02">
        <w:t>ocho importantes grupos de publicaciones están ahora disponibles gratuitamente en línea</w:t>
      </w:r>
      <w:r w:rsidR="005C5C6F" w:rsidRPr="00BC7A02">
        <w:t>.</w:t>
      </w:r>
    </w:p>
    <w:tbl>
      <w:tblPr>
        <w:tblStyle w:val="TableGrid"/>
        <w:tblW w:w="4855" w:type="pct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2539"/>
        <w:gridCol w:w="4548"/>
        <w:gridCol w:w="1560"/>
      </w:tblGrid>
      <w:tr w:rsidR="0093754A" w:rsidRPr="00BC7A02" w:rsidTr="0093754A">
        <w:trPr>
          <w:jc w:val="center"/>
        </w:trPr>
        <w:tc>
          <w:tcPr>
            <w:tcW w:w="376" w:type="pct"/>
            <w:vAlign w:val="center"/>
          </w:tcPr>
          <w:p w:rsidR="008A3EAB" w:rsidRPr="008A3EAB" w:rsidRDefault="008A3EAB" w:rsidP="008A3EAB">
            <w:pPr>
              <w:pStyle w:val="Tablehead"/>
            </w:pPr>
            <w:r w:rsidRPr="008A3EAB">
              <w:t>Nº</w:t>
            </w:r>
          </w:p>
        </w:tc>
        <w:tc>
          <w:tcPr>
            <w:tcW w:w="1358" w:type="pct"/>
            <w:vAlign w:val="center"/>
          </w:tcPr>
          <w:p w:rsidR="008A3EAB" w:rsidRPr="008A3EAB" w:rsidRDefault="008A3EAB" w:rsidP="008A3EAB">
            <w:pPr>
              <w:pStyle w:val="Tablehead"/>
            </w:pPr>
            <w:r w:rsidRPr="008A3EAB">
              <w:t>Acuerdo</w:t>
            </w:r>
          </w:p>
        </w:tc>
        <w:tc>
          <w:tcPr>
            <w:tcW w:w="2432" w:type="pct"/>
            <w:vAlign w:val="center"/>
          </w:tcPr>
          <w:p w:rsidR="008A3EAB" w:rsidRPr="008A3EAB" w:rsidRDefault="008A3EAB" w:rsidP="008A3EAB">
            <w:pPr>
              <w:pStyle w:val="Tablehead"/>
            </w:pPr>
            <w:r w:rsidRPr="008A3EAB">
              <w:t>Publicaciones gratuitas en línea</w:t>
            </w:r>
          </w:p>
        </w:tc>
        <w:tc>
          <w:tcPr>
            <w:tcW w:w="834" w:type="pct"/>
            <w:vAlign w:val="center"/>
          </w:tcPr>
          <w:p w:rsidR="008A3EAB" w:rsidRPr="008A3EAB" w:rsidRDefault="008A3EAB" w:rsidP="008A3EAB">
            <w:pPr>
              <w:pStyle w:val="Tablehead"/>
            </w:pPr>
            <w:r w:rsidRPr="008A3EAB">
              <w:t>Desde</w:t>
            </w:r>
          </w:p>
        </w:tc>
      </w:tr>
      <w:tr w:rsidR="0093754A" w:rsidRPr="00BC7A02" w:rsidTr="0093754A">
        <w:trPr>
          <w:jc w:val="center"/>
        </w:trPr>
        <w:tc>
          <w:tcPr>
            <w:tcW w:w="376" w:type="pct"/>
            <w:vAlign w:val="center"/>
          </w:tcPr>
          <w:p w:rsidR="008A3EAB" w:rsidRPr="00BC7A02" w:rsidRDefault="008A3EAB" w:rsidP="008A3EAB">
            <w:pPr>
              <w:pStyle w:val="Tabletext"/>
              <w:jc w:val="center"/>
            </w:pPr>
            <w:r w:rsidRPr="00BC7A02">
              <w:t>1</w:t>
            </w:r>
          </w:p>
        </w:tc>
        <w:tc>
          <w:tcPr>
            <w:tcW w:w="1358" w:type="pct"/>
            <w:vAlign w:val="center"/>
          </w:tcPr>
          <w:p w:rsidR="008A3EAB" w:rsidRPr="00BC7A02" w:rsidRDefault="008A3EAB" w:rsidP="008A3EAB">
            <w:pPr>
              <w:pStyle w:val="Tabletext"/>
              <w:jc w:val="center"/>
            </w:pPr>
            <w:r w:rsidRPr="00BC7A02">
              <w:t>574</w:t>
            </w:r>
          </w:p>
        </w:tc>
        <w:tc>
          <w:tcPr>
            <w:tcW w:w="2432" w:type="pct"/>
            <w:vAlign w:val="center"/>
          </w:tcPr>
          <w:p w:rsidR="008A3EAB" w:rsidRPr="00BC7A02" w:rsidRDefault="008A3EAB" w:rsidP="008A3EAB">
            <w:pPr>
              <w:pStyle w:val="Tabletext"/>
              <w:jc w:val="center"/>
            </w:pPr>
            <w:r w:rsidRPr="00BC7A02">
              <w:t>Informes Finales de la CMDT</w:t>
            </w:r>
          </w:p>
        </w:tc>
        <w:tc>
          <w:tcPr>
            <w:tcW w:w="834" w:type="pct"/>
            <w:vAlign w:val="center"/>
          </w:tcPr>
          <w:p w:rsidR="008A3EAB" w:rsidRPr="00BC7A02" w:rsidRDefault="008A3EAB" w:rsidP="008A3EAB">
            <w:pPr>
              <w:pStyle w:val="Tabletext"/>
              <w:jc w:val="center"/>
            </w:pPr>
            <w:r w:rsidRPr="00BC7A02">
              <w:t>13/03/2014</w:t>
            </w:r>
          </w:p>
        </w:tc>
      </w:tr>
      <w:tr w:rsidR="0093754A" w:rsidRPr="00BC7A02" w:rsidTr="0093754A">
        <w:trPr>
          <w:jc w:val="center"/>
        </w:trPr>
        <w:tc>
          <w:tcPr>
            <w:tcW w:w="376" w:type="pct"/>
            <w:vAlign w:val="center"/>
          </w:tcPr>
          <w:p w:rsidR="008A3EAB" w:rsidRPr="00BC7A02" w:rsidRDefault="008A3EAB" w:rsidP="008A3EAB">
            <w:pPr>
              <w:pStyle w:val="Tabletext"/>
              <w:jc w:val="center"/>
            </w:pPr>
            <w:r w:rsidRPr="00BC7A02">
              <w:t>2</w:t>
            </w:r>
          </w:p>
        </w:tc>
        <w:tc>
          <w:tcPr>
            <w:tcW w:w="1358" w:type="pct"/>
            <w:vAlign w:val="center"/>
          </w:tcPr>
          <w:p w:rsidR="008A3EAB" w:rsidRPr="00BC7A02" w:rsidRDefault="008A3EAB" w:rsidP="0093754A">
            <w:pPr>
              <w:pStyle w:val="Tabletext"/>
              <w:jc w:val="center"/>
            </w:pPr>
            <w:r w:rsidRPr="00BC7A02">
              <w:t>571 (</w:t>
            </w:r>
            <w:r w:rsidR="0093754A">
              <w:t>m</w:t>
            </w:r>
            <w:r w:rsidRPr="00BC7A02">
              <w:t xml:space="preserve">odificado </w:t>
            </w:r>
            <w:r w:rsidR="0093754A">
              <w:t xml:space="preserve">en </w:t>
            </w:r>
            <w:r w:rsidRPr="00BC7A02">
              <w:t>2013)</w:t>
            </w:r>
          </w:p>
        </w:tc>
        <w:tc>
          <w:tcPr>
            <w:tcW w:w="2432" w:type="pct"/>
            <w:vAlign w:val="center"/>
          </w:tcPr>
          <w:p w:rsidR="008A3EAB" w:rsidRPr="00BC7A02" w:rsidRDefault="008A3EAB" w:rsidP="008A3EAB">
            <w:pPr>
              <w:pStyle w:val="Tabletext"/>
              <w:jc w:val="center"/>
            </w:pPr>
            <w:r w:rsidRPr="00BC7A02">
              <w:t>Reglamento de las T.I. (Melbourne) CAMTT-88</w:t>
            </w:r>
          </w:p>
        </w:tc>
        <w:tc>
          <w:tcPr>
            <w:tcW w:w="834" w:type="pct"/>
            <w:vAlign w:val="center"/>
          </w:tcPr>
          <w:p w:rsidR="008A3EAB" w:rsidRPr="00BC7A02" w:rsidRDefault="008A3EAB" w:rsidP="008A3EAB">
            <w:pPr>
              <w:pStyle w:val="Tabletext"/>
              <w:jc w:val="center"/>
            </w:pPr>
            <w:r w:rsidRPr="00BC7A02">
              <w:t>23/04/2013</w:t>
            </w:r>
          </w:p>
        </w:tc>
      </w:tr>
      <w:tr w:rsidR="0093754A" w:rsidRPr="00BC7A02" w:rsidTr="0093754A">
        <w:trPr>
          <w:jc w:val="center"/>
        </w:trPr>
        <w:tc>
          <w:tcPr>
            <w:tcW w:w="376" w:type="pct"/>
            <w:vAlign w:val="center"/>
          </w:tcPr>
          <w:p w:rsidR="008A3EAB" w:rsidRPr="00BC7A02" w:rsidRDefault="008A3EAB" w:rsidP="008A3EAB">
            <w:pPr>
              <w:pStyle w:val="Tabletext"/>
              <w:jc w:val="center"/>
            </w:pPr>
            <w:r w:rsidRPr="00BC7A02">
              <w:t>3</w:t>
            </w:r>
          </w:p>
        </w:tc>
        <w:tc>
          <w:tcPr>
            <w:tcW w:w="1358" w:type="pct"/>
            <w:vAlign w:val="center"/>
          </w:tcPr>
          <w:p w:rsidR="008A3EAB" w:rsidRPr="00BC7A02" w:rsidRDefault="008A3EAB" w:rsidP="0093754A">
            <w:pPr>
              <w:pStyle w:val="Tabletext"/>
              <w:jc w:val="center"/>
            </w:pPr>
            <w:r w:rsidRPr="00BC7A02">
              <w:t>571 (</w:t>
            </w:r>
            <w:r w:rsidR="0093754A">
              <w:t>m</w:t>
            </w:r>
            <w:r w:rsidRPr="00BC7A02">
              <w:t xml:space="preserve">odificado </w:t>
            </w:r>
            <w:r w:rsidR="0093754A">
              <w:t xml:space="preserve">en </w:t>
            </w:r>
            <w:r w:rsidRPr="00BC7A02">
              <w:t>2013)</w:t>
            </w:r>
          </w:p>
        </w:tc>
        <w:tc>
          <w:tcPr>
            <w:tcW w:w="2432" w:type="pct"/>
            <w:vAlign w:val="center"/>
          </w:tcPr>
          <w:p w:rsidR="008A3EAB" w:rsidRPr="00BC7A02" w:rsidRDefault="008A3EAB" w:rsidP="008A3EAB">
            <w:pPr>
              <w:pStyle w:val="Tabletext"/>
              <w:jc w:val="center"/>
            </w:pPr>
            <w:r w:rsidRPr="00BC7A02">
              <w:t>Reglamento de Radiocomunicaciones</w:t>
            </w:r>
          </w:p>
        </w:tc>
        <w:tc>
          <w:tcPr>
            <w:tcW w:w="834" w:type="pct"/>
            <w:vAlign w:val="center"/>
          </w:tcPr>
          <w:p w:rsidR="008A3EAB" w:rsidRPr="00BC7A02" w:rsidRDefault="008A3EAB" w:rsidP="008A3EAB">
            <w:pPr>
              <w:pStyle w:val="Tabletext"/>
              <w:jc w:val="center"/>
            </w:pPr>
            <w:r w:rsidRPr="00BC7A02">
              <w:t>23/11/2012</w:t>
            </w:r>
          </w:p>
        </w:tc>
      </w:tr>
      <w:tr w:rsidR="0093754A" w:rsidRPr="00BC7A02" w:rsidTr="0093754A">
        <w:trPr>
          <w:jc w:val="center"/>
        </w:trPr>
        <w:tc>
          <w:tcPr>
            <w:tcW w:w="376" w:type="pct"/>
            <w:vAlign w:val="center"/>
          </w:tcPr>
          <w:p w:rsidR="008A3EAB" w:rsidRPr="00BC7A02" w:rsidRDefault="008A3EAB" w:rsidP="008A3EAB">
            <w:pPr>
              <w:pStyle w:val="Tabletext"/>
              <w:jc w:val="center"/>
            </w:pPr>
            <w:r w:rsidRPr="00BC7A02">
              <w:t>4</w:t>
            </w:r>
          </w:p>
        </w:tc>
        <w:tc>
          <w:tcPr>
            <w:tcW w:w="1358" w:type="pct"/>
            <w:vAlign w:val="center"/>
          </w:tcPr>
          <w:p w:rsidR="008A3EAB" w:rsidRPr="00BC7A02" w:rsidRDefault="008A3EAB" w:rsidP="0093754A">
            <w:pPr>
              <w:pStyle w:val="Tabletext"/>
              <w:jc w:val="center"/>
            </w:pPr>
            <w:r w:rsidRPr="00BC7A02">
              <w:t>571 (</w:t>
            </w:r>
            <w:r w:rsidR="0093754A">
              <w:t>m</w:t>
            </w:r>
            <w:r w:rsidRPr="00BC7A02">
              <w:t xml:space="preserve">odificado </w:t>
            </w:r>
            <w:r w:rsidR="0093754A">
              <w:t xml:space="preserve">en </w:t>
            </w:r>
            <w:r w:rsidRPr="00BC7A02">
              <w:t>2013)</w:t>
            </w:r>
          </w:p>
        </w:tc>
        <w:tc>
          <w:tcPr>
            <w:tcW w:w="2432" w:type="pct"/>
            <w:vAlign w:val="center"/>
          </w:tcPr>
          <w:p w:rsidR="008A3EAB" w:rsidRPr="00BC7A02" w:rsidRDefault="008A3EAB" w:rsidP="008A3EAB">
            <w:pPr>
              <w:pStyle w:val="Tabletext"/>
              <w:jc w:val="center"/>
            </w:pPr>
            <w:r w:rsidRPr="00BC7A02">
              <w:t>Resoluciones y Acuerdos del Consejo de la UIT</w:t>
            </w:r>
          </w:p>
        </w:tc>
        <w:tc>
          <w:tcPr>
            <w:tcW w:w="834" w:type="pct"/>
            <w:vAlign w:val="center"/>
          </w:tcPr>
          <w:p w:rsidR="008A3EAB" w:rsidRPr="00BC7A02" w:rsidRDefault="008A3EAB" w:rsidP="008A3EAB">
            <w:pPr>
              <w:pStyle w:val="Tabletext"/>
              <w:jc w:val="center"/>
            </w:pPr>
            <w:r w:rsidRPr="00BC7A02">
              <w:t>17/02/2015</w:t>
            </w:r>
          </w:p>
        </w:tc>
      </w:tr>
      <w:tr w:rsidR="0093754A" w:rsidRPr="00BC7A02" w:rsidTr="0093754A">
        <w:trPr>
          <w:jc w:val="center"/>
        </w:trPr>
        <w:tc>
          <w:tcPr>
            <w:tcW w:w="376" w:type="pct"/>
            <w:vAlign w:val="center"/>
          </w:tcPr>
          <w:p w:rsidR="008A3EAB" w:rsidRPr="00BC7A02" w:rsidRDefault="008A3EAB" w:rsidP="008A3EAB">
            <w:pPr>
              <w:pStyle w:val="Tabletext"/>
              <w:jc w:val="center"/>
            </w:pPr>
            <w:r w:rsidRPr="00BC7A02">
              <w:t>5</w:t>
            </w:r>
          </w:p>
        </w:tc>
        <w:tc>
          <w:tcPr>
            <w:tcW w:w="1358" w:type="pct"/>
            <w:vAlign w:val="center"/>
          </w:tcPr>
          <w:p w:rsidR="008A3EAB" w:rsidRPr="00BC7A02" w:rsidRDefault="008A3EAB" w:rsidP="0093754A">
            <w:pPr>
              <w:pStyle w:val="Tabletext"/>
              <w:jc w:val="center"/>
            </w:pPr>
            <w:r w:rsidRPr="00BC7A02">
              <w:t>571 (</w:t>
            </w:r>
            <w:r w:rsidR="0093754A">
              <w:t>m</w:t>
            </w:r>
            <w:r w:rsidRPr="00BC7A02">
              <w:t xml:space="preserve">odificado </w:t>
            </w:r>
            <w:r w:rsidR="0093754A">
              <w:t xml:space="preserve">en </w:t>
            </w:r>
            <w:r w:rsidRPr="00BC7A02">
              <w:t>2013)</w:t>
            </w:r>
          </w:p>
        </w:tc>
        <w:tc>
          <w:tcPr>
            <w:tcW w:w="2432" w:type="pct"/>
            <w:vAlign w:val="center"/>
          </w:tcPr>
          <w:p w:rsidR="008A3EAB" w:rsidRPr="00BC7A02" w:rsidRDefault="008A3EAB" w:rsidP="008A3EAB">
            <w:pPr>
              <w:pStyle w:val="Tabletext"/>
              <w:jc w:val="center"/>
            </w:pPr>
            <w:r w:rsidRPr="00BC7A02">
              <w:t>Manuales sobre gestión del espectro radioeléctrico</w:t>
            </w:r>
            <w:r w:rsidRPr="008A3EAB">
              <w:t>*</w:t>
            </w:r>
          </w:p>
        </w:tc>
        <w:tc>
          <w:tcPr>
            <w:tcW w:w="834" w:type="pct"/>
            <w:vAlign w:val="center"/>
          </w:tcPr>
          <w:p w:rsidR="008A3EAB" w:rsidRPr="00BC7A02" w:rsidRDefault="008A3EAB" w:rsidP="008A3EAB">
            <w:pPr>
              <w:pStyle w:val="Tabletext"/>
              <w:jc w:val="center"/>
            </w:pPr>
            <w:r w:rsidRPr="00BC7A02">
              <w:t>04/07/2013</w:t>
            </w:r>
          </w:p>
        </w:tc>
      </w:tr>
      <w:tr w:rsidR="0093754A" w:rsidRPr="00BC7A02" w:rsidTr="0093754A">
        <w:trPr>
          <w:trHeight w:val="177"/>
          <w:jc w:val="center"/>
        </w:trPr>
        <w:tc>
          <w:tcPr>
            <w:tcW w:w="376" w:type="pct"/>
            <w:vAlign w:val="center"/>
          </w:tcPr>
          <w:p w:rsidR="008A3EAB" w:rsidRPr="00BC7A02" w:rsidRDefault="008A3EAB" w:rsidP="008A3EAB">
            <w:pPr>
              <w:pStyle w:val="Tabletext"/>
              <w:jc w:val="center"/>
            </w:pPr>
            <w:r w:rsidRPr="00BC7A02">
              <w:t>6</w:t>
            </w:r>
          </w:p>
        </w:tc>
        <w:tc>
          <w:tcPr>
            <w:tcW w:w="1358" w:type="pct"/>
            <w:vAlign w:val="center"/>
          </w:tcPr>
          <w:p w:rsidR="008A3EAB" w:rsidRPr="00BC7A02" w:rsidRDefault="008A3EAB" w:rsidP="0093754A">
            <w:pPr>
              <w:pStyle w:val="Tabletext"/>
              <w:jc w:val="center"/>
            </w:pPr>
            <w:r w:rsidRPr="00BC7A02">
              <w:t>12 (</w:t>
            </w:r>
            <w:r w:rsidR="0093754A">
              <w:t>m</w:t>
            </w:r>
            <w:r w:rsidRPr="00BC7A02">
              <w:t xml:space="preserve">odificado </w:t>
            </w:r>
            <w:r w:rsidR="0093754A">
              <w:t xml:space="preserve">en </w:t>
            </w:r>
            <w:r w:rsidRPr="00BC7A02">
              <w:t>2014)</w:t>
            </w:r>
          </w:p>
        </w:tc>
        <w:tc>
          <w:tcPr>
            <w:tcW w:w="2432" w:type="pct"/>
            <w:vAlign w:val="center"/>
          </w:tcPr>
          <w:p w:rsidR="008A3EAB" w:rsidRPr="00BC7A02" w:rsidRDefault="008A3EAB" w:rsidP="008A3EAB">
            <w:pPr>
              <w:pStyle w:val="Tabletext"/>
              <w:jc w:val="center"/>
            </w:pPr>
            <w:r w:rsidRPr="00BC7A02">
              <w:t>Reglas de Procedimiento</w:t>
            </w:r>
          </w:p>
        </w:tc>
        <w:tc>
          <w:tcPr>
            <w:tcW w:w="834" w:type="pct"/>
            <w:vAlign w:val="center"/>
          </w:tcPr>
          <w:p w:rsidR="008A3EAB" w:rsidRPr="00BC7A02" w:rsidRDefault="008A3EAB" w:rsidP="008A3EAB">
            <w:pPr>
              <w:pStyle w:val="Tabletext"/>
              <w:jc w:val="center"/>
            </w:pPr>
            <w:r w:rsidRPr="00BC7A02">
              <w:t>01/07/2014</w:t>
            </w:r>
          </w:p>
        </w:tc>
      </w:tr>
      <w:tr w:rsidR="0093754A" w:rsidRPr="00BC7A02" w:rsidTr="0093754A">
        <w:trPr>
          <w:trHeight w:val="177"/>
          <w:jc w:val="center"/>
        </w:trPr>
        <w:tc>
          <w:tcPr>
            <w:tcW w:w="376" w:type="pct"/>
            <w:vAlign w:val="center"/>
          </w:tcPr>
          <w:p w:rsidR="008A3EAB" w:rsidRPr="00BC7A02" w:rsidRDefault="008A3EAB" w:rsidP="008A3EAB">
            <w:pPr>
              <w:pStyle w:val="Tabletext"/>
              <w:jc w:val="center"/>
            </w:pPr>
            <w:r w:rsidRPr="00BC7A02">
              <w:t>7</w:t>
            </w:r>
          </w:p>
        </w:tc>
        <w:tc>
          <w:tcPr>
            <w:tcW w:w="1358" w:type="pct"/>
            <w:vAlign w:val="center"/>
          </w:tcPr>
          <w:p w:rsidR="008A3EAB" w:rsidRPr="00BC7A02" w:rsidRDefault="008A3EAB" w:rsidP="0093754A">
            <w:pPr>
              <w:pStyle w:val="Tabletext"/>
              <w:jc w:val="center"/>
            </w:pPr>
            <w:r w:rsidRPr="00BC7A02">
              <w:t>12 (</w:t>
            </w:r>
            <w:r w:rsidR="0093754A">
              <w:t>m</w:t>
            </w:r>
            <w:r w:rsidRPr="00BC7A02">
              <w:t>odificado</w:t>
            </w:r>
            <w:r w:rsidR="0093754A">
              <w:t xml:space="preserve"> en</w:t>
            </w:r>
            <w:r w:rsidRPr="00BC7A02">
              <w:t xml:space="preserve"> 2014)</w:t>
            </w:r>
          </w:p>
        </w:tc>
        <w:tc>
          <w:tcPr>
            <w:tcW w:w="2432" w:type="pct"/>
            <w:vAlign w:val="center"/>
          </w:tcPr>
          <w:p w:rsidR="008A3EAB" w:rsidRPr="00BC7A02" w:rsidRDefault="008A3EAB" w:rsidP="008A3EAB">
            <w:pPr>
              <w:pStyle w:val="Tabletext"/>
              <w:jc w:val="center"/>
            </w:pPr>
            <w:r w:rsidRPr="00BC7A02">
              <w:t>Actas Finales de las Conferencias Mundiales y Regionales de Radiocomunicaciones</w:t>
            </w:r>
          </w:p>
        </w:tc>
        <w:tc>
          <w:tcPr>
            <w:tcW w:w="834" w:type="pct"/>
            <w:vAlign w:val="center"/>
          </w:tcPr>
          <w:p w:rsidR="008A3EAB" w:rsidRPr="00BC7A02" w:rsidRDefault="008A3EAB" w:rsidP="008A3EAB">
            <w:pPr>
              <w:pStyle w:val="Tabletext"/>
              <w:jc w:val="center"/>
            </w:pPr>
            <w:r w:rsidRPr="00BC7A02">
              <w:t>12/02/2015</w:t>
            </w:r>
          </w:p>
        </w:tc>
      </w:tr>
      <w:tr w:rsidR="0093754A" w:rsidRPr="00BC7A02" w:rsidTr="0093754A">
        <w:trPr>
          <w:trHeight w:val="177"/>
          <w:jc w:val="center"/>
        </w:trPr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:rsidR="008A3EAB" w:rsidRPr="00BC7A02" w:rsidRDefault="008A3EAB" w:rsidP="008A3EAB">
            <w:pPr>
              <w:pStyle w:val="Tabletext"/>
              <w:jc w:val="center"/>
            </w:pPr>
            <w:r w:rsidRPr="00BC7A02">
              <w:t>8</w:t>
            </w:r>
          </w:p>
        </w:tc>
        <w:tc>
          <w:tcPr>
            <w:tcW w:w="1358" w:type="pct"/>
            <w:tcBorders>
              <w:bottom w:val="single" w:sz="4" w:space="0" w:color="auto"/>
            </w:tcBorders>
            <w:vAlign w:val="center"/>
          </w:tcPr>
          <w:p w:rsidR="008A3EAB" w:rsidRPr="00BC7A02" w:rsidRDefault="008A3EAB" w:rsidP="0093754A">
            <w:pPr>
              <w:pStyle w:val="Tabletext"/>
              <w:jc w:val="center"/>
            </w:pPr>
            <w:r w:rsidRPr="00BC7A02">
              <w:t>12 (</w:t>
            </w:r>
            <w:r w:rsidR="0093754A">
              <w:t>m</w:t>
            </w:r>
            <w:r w:rsidRPr="00BC7A02">
              <w:t xml:space="preserve">odificado </w:t>
            </w:r>
            <w:r w:rsidR="0093754A">
              <w:t xml:space="preserve">en </w:t>
            </w:r>
            <w:r w:rsidRPr="00BC7A02">
              <w:t>2014)</w:t>
            </w:r>
          </w:p>
        </w:tc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:rsidR="008A3EAB" w:rsidRPr="00BC7A02" w:rsidRDefault="008A3EAB" w:rsidP="008A3EAB">
            <w:pPr>
              <w:pStyle w:val="Tabletext"/>
              <w:jc w:val="center"/>
            </w:pPr>
            <w:r w:rsidRPr="00BC7A02">
              <w:t>Publicaciones sobre preparación en situaciones de catástrofe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vAlign w:val="center"/>
          </w:tcPr>
          <w:p w:rsidR="008A3EAB" w:rsidRPr="00BC7A02" w:rsidRDefault="008A3EAB" w:rsidP="008A3EAB">
            <w:pPr>
              <w:pStyle w:val="Tabletext"/>
              <w:jc w:val="center"/>
            </w:pPr>
            <w:r w:rsidRPr="00BC7A02">
              <w:t>19/02/2015</w:t>
            </w:r>
          </w:p>
        </w:tc>
      </w:tr>
      <w:tr w:rsidR="0093754A" w:rsidRPr="00BC7A02" w:rsidTr="0093754A">
        <w:trPr>
          <w:trHeight w:val="177"/>
          <w:jc w:val="center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93754A" w:rsidRPr="00BC7A02" w:rsidRDefault="0093754A" w:rsidP="0093754A">
            <w:pPr>
              <w:pStyle w:val="Tablelegend"/>
              <w:tabs>
                <w:tab w:val="clear" w:pos="794"/>
                <w:tab w:val="left" w:pos="313"/>
              </w:tabs>
            </w:pPr>
            <w:r w:rsidRPr="0093754A">
              <w:t>*</w:t>
            </w:r>
            <w:r>
              <w:tab/>
            </w:r>
            <w:r w:rsidRPr="0093754A">
              <w:t>Ampliados para incorporar todos los manuales de la BR a enero de 2017</w:t>
            </w:r>
            <w:r w:rsidR="000453F4">
              <w:t>.</w:t>
            </w:r>
          </w:p>
        </w:tc>
      </w:tr>
    </w:tbl>
    <w:p w:rsidR="00CB53D6" w:rsidRPr="00BC7A02" w:rsidRDefault="00CB53D6" w:rsidP="008A3EAB">
      <w:pPr>
        <w:pStyle w:val="Heading1"/>
      </w:pPr>
      <w:r w:rsidRPr="00BC7A02">
        <w:t>2</w:t>
      </w:r>
      <w:r w:rsidRPr="00BC7A02">
        <w:tab/>
        <w:t>Resultados y tendencias de las ventas</w:t>
      </w:r>
    </w:p>
    <w:p w:rsidR="00CB53D6" w:rsidRPr="00BC7A02" w:rsidRDefault="00CB53D6" w:rsidP="008A3EAB">
      <w:r w:rsidRPr="00CE7A86">
        <w:t xml:space="preserve">En los cuadros del Documento Informativo </w:t>
      </w:r>
      <w:hyperlink r:id="rId14" w:history="1">
        <w:r w:rsidR="0015489C" w:rsidRPr="008A3EAB">
          <w:rPr>
            <w:rStyle w:val="Hyperlink"/>
          </w:rPr>
          <w:t>C17/INF/4</w:t>
        </w:r>
      </w:hyperlink>
      <w:r w:rsidR="0015489C" w:rsidRPr="00CE7A86">
        <w:t xml:space="preserve"> </w:t>
      </w:r>
      <w:r w:rsidRPr="00BC7A02">
        <w:t xml:space="preserve">se facilita el desglose de las cifras de ventas detalladas del periodo </w:t>
      </w:r>
      <w:r w:rsidR="0015489C" w:rsidRPr="00BC7A02">
        <w:t>2012</w:t>
      </w:r>
      <w:r w:rsidRPr="00BC7A02">
        <w:t>-</w:t>
      </w:r>
      <w:r w:rsidR="0015489C" w:rsidRPr="00BC7A02">
        <w:t xml:space="preserve">2016 </w:t>
      </w:r>
      <w:r w:rsidRPr="00BC7A02">
        <w:t>solicitado en la Decisión 12 (Rev. Busán, 2014). A continuación se analizan brevemente.</w:t>
      </w:r>
    </w:p>
    <w:p w:rsidR="00CB53D6" w:rsidRPr="00BC7A02" w:rsidRDefault="004A43A5" w:rsidP="008A3EAB">
      <w:pPr>
        <w:pStyle w:val="Heading2"/>
      </w:pPr>
      <w:bookmarkStart w:id="9" w:name="OLE_LINK6"/>
      <w:bookmarkStart w:id="10" w:name="OLE_LINK7"/>
      <w:r w:rsidRPr="00BC7A02">
        <w:t>2.1</w:t>
      </w:r>
      <w:r w:rsidRPr="00BC7A02">
        <w:tab/>
      </w:r>
      <w:r w:rsidR="00CB53D6" w:rsidRPr="00BC7A02">
        <w:t xml:space="preserve">Actividades para el aumento de las ventas en </w:t>
      </w:r>
      <w:r w:rsidRPr="00BC7A02">
        <w:t>2016</w:t>
      </w:r>
    </w:p>
    <w:p w:rsidR="00CB53D6" w:rsidRPr="00BC7A02" w:rsidRDefault="00EE2E53" w:rsidP="008A3EAB">
      <w:pPr>
        <w:rPr>
          <w:bCs/>
          <w:szCs w:val="24"/>
        </w:rPr>
      </w:pPr>
      <w:r>
        <w:t>En</w:t>
      </w:r>
      <w:r w:rsidR="00CB53D6" w:rsidRPr="00BC7A02">
        <w:t xml:space="preserve"> 201</w:t>
      </w:r>
      <w:r w:rsidR="00067A38">
        <w:t>6</w:t>
      </w:r>
      <w:r w:rsidR="00CB53D6" w:rsidRPr="00BC7A02">
        <w:t xml:space="preserve"> se llevaron a cabo varias actividades destinadas a incrementar las ventas:</w:t>
      </w:r>
    </w:p>
    <w:p w:rsidR="00CB53D6" w:rsidRPr="00BC7A02" w:rsidRDefault="006834EB" w:rsidP="008A3EAB">
      <w:pPr>
        <w:pStyle w:val="enumlev1"/>
      </w:pPr>
      <w:r w:rsidRPr="00BC7A02">
        <w:t>a)</w:t>
      </w:r>
      <w:r w:rsidRPr="00BC7A02">
        <w:tab/>
      </w:r>
      <w:r w:rsidR="00EE2E53">
        <w:t>S</w:t>
      </w:r>
      <w:r w:rsidR="00CB53D6" w:rsidRPr="00BC7A02">
        <w:t>e firmaron cinco nuevos contratos con distribuidores a fin de seguir aumentando la distribución/disponibilidad de las publicaciones de la UIT</w:t>
      </w:r>
      <w:r w:rsidR="002447B2" w:rsidRPr="008A3EAB">
        <w:t xml:space="preserve"> </w:t>
      </w:r>
      <w:r w:rsidR="00067A38" w:rsidRPr="008A3EAB">
        <w:t xml:space="preserve">en el canal de </w:t>
      </w:r>
      <w:r w:rsidR="00EE2E53" w:rsidRPr="008A3EAB">
        <w:t>distribución</w:t>
      </w:r>
      <w:r w:rsidR="00067A38" w:rsidRPr="008A3EAB">
        <w:t xml:space="preserve"> tradicional y principal</w:t>
      </w:r>
      <w:r w:rsidR="00CB53D6" w:rsidRPr="00BC7A02">
        <w:t>.</w:t>
      </w:r>
    </w:p>
    <w:p w:rsidR="00CB53D6" w:rsidRPr="00BC7A02" w:rsidRDefault="008A2B3B" w:rsidP="0093754A">
      <w:pPr>
        <w:pStyle w:val="enumlev1"/>
        <w:rPr>
          <w:bCs/>
        </w:rPr>
      </w:pPr>
      <w:r w:rsidRPr="00BC7A02">
        <w:t>b)</w:t>
      </w:r>
      <w:r w:rsidRPr="00BC7A02">
        <w:tab/>
      </w:r>
      <w:r w:rsidR="00F447F5">
        <w:t>A</w:t>
      </w:r>
      <w:r w:rsidR="00CB53D6" w:rsidRPr="00BC7A02">
        <w:t xml:space="preserve"> fin de darse a conocer a posibles clientes y promover diversas publicaciones de la UIT</w:t>
      </w:r>
      <w:r w:rsidR="00EE2E53">
        <w:t>,</w:t>
      </w:r>
      <w:r w:rsidR="00F447F5">
        <w:t xml:space="preserve"> </w:t>
      </w:r>
      <w:r w:rsidR="00EE2E53">
        <w:t>s</w:t>
      </w:r>
      <w:r w:rsidR="00F447F5" w:rsidRPr="00BC7A02">
        <w:t xml:space="preserve">e organizaron </w:t>
      </w:r>
      <w:r w:rsidR="00F447F5">
        <w:t>doce</w:t>
      </w:r>
      <w:r w:rsidR="00F447F5" w:rsidRPr="00BC7A02">
        <w:t xml:space="preserve"> campañas por correo electrónico</w:t>
      </w:r>
      <w:r w:rsidR="00CB53D6" w:rsidRPr="00BC7A02">
        <w:t xml:space="preserve"> </w:t>
      </w:r>
      <w:r w:rsidR="00F447F5">
        <w:t>que se enviaron a</w:t>
      </w:r>
      <w:r w:rsidR="00CB53D6" w:rsidRPr="00BC7A02">
        <w:t xml:space="preserve"> un total de más de </w:t>
      </w:r>
      <w:r w:rsidR="00501DB8" w:rsidRPr="00BC7A02">
        <w:rPr>
          <w:szCs w:val="24"/>
        </w:rPr>
        <w:t>317</w:t>
      </w:r>
      <w:r w:rsidR="0093754A">
        <w:rPr>
          <w:szCs w:val="24"/>
        </w:rPr>
        <w:t> </w:t>
      </w:r>
      <w:r w:rsidR="00501DB8" w:rsidRPr="00BC7A02">
        <w:rPr>
          <w:szCs w:val="24"/>
        </w:rPr>
        <w:t>000</w:t>
      </w:r>
      <w:r w:rsidR="00CB53D6" w:rsidRPr="00BC7A02">
        <w:t xml:space="preserve"> direcciones.</w:t>
      </w:r>
      <w:r w:rsidR="006B2121" w:rsidRPr="00BC7A02">
        <w:t xml:space="preserve"> </w:t>
      </w:r>
      <w:r w:rsidR="00067A38">
        <w:t xml:space="preserve">Se anunciaron </w:t>
      </w:r>
      <w:r w:rsidR="00F447F5">
        <w:t xml:space="preserve">también </w:t>
      </w:r>
      <w:r w:rsidR="006B2121" w:rsidRPr="00BC7A02">
        <w:rPr>
          <w:szCs w:val="24"/>
        </w:rPr>
        <w:t xml:space="preserve">14 </w:t>
      </w:r>
      <w:r w:rsidR="00067A38">
        <w:rPr>
          <w:szCs w:val="24"/>
        </w:rPr>
        <w:t>publicaciones en los medios sociales,</w:t>
      </w:r>
      <w:r w:rsidR="006B2121" w:rsidRPr="00BC7A02">
        <w:rPr>
          <w:szCs w:val="24"/>
        </w:rPr>
        <w:t xml:space="preserve"> </w:t>
      </w:r>
      <w:r w:rsidR="00F447F5">
        <w:rPr>
          <w:szCs w:val="24"/>
        </w:rPr>
        <w:t xml:space="preserve">como </w:t>
      </w:r>
      <w:r w:rsidR="006B2121" w:rsidRPr="00BC7A02">
        <w:rPr>
          <w:szCs w:val="24"/>
        </w:rPr>
        <w:t>Twitter (269</w:t>
      </w:r>
      <w:r w:rsidR="0093754A">
        <w:rPr>
          <w:szCs w:val="24"/>
        </w:rPr>
        <w:t> </w:t>
      </w:r>
      <w:r w:rsidR="006B2121" w:rsidRPr="00BC7A02">
        <w:rPr>
          <w:szCs w:val="24"/>
        </w:rPr>
        <w:t xml:space="preserve">000 </w:t>
      </w:r>
      <w:r w:rsidR="00067A38">
        <w:rPr>
          <w:szCs w:val="24"/>
        </w:rPr>
        <w:t xml:space="preserve">comentarios y </w:t>
      </w:r>
      <w:r w:rsidR="006B2121" w:rsidRPr="00BC7A02">
        <w:rPr>
          <w:szCs w:val="24"/>
        </w:rPr>
        <w:t>1</w:t>
      </w:r>
      <w:r w:rsidR="0093754A">
        <w:rPr>
          <w:szCs w:val="24"/>
        </w:rPr>
        <w:t> </w:t>
      </w:r>
      <w:r w:rsidR="006B2121" w:rsidRPr="00BC7A02">
        <w:rPr>
          <w:szCs w:val="24"/>
        </w:rPr>
        <w:t>013 clics)</w:t>
      </w:r>
      <w:r w:rsidR="00F447F5">
        <w:rPr>
          <w:szCs w:val="24"/>
        </w:rPr>
        <w:t>,</w:t>
      </w:r>
      <w:r w:rsidR="006B2121" w:rsidRPr="00BC7A02">
        <w:rPr>
          <w:szCs w:val="24"/>
        </w:rPr>
        <w:t xml:space="preserve"> </w:t>
      </w:r>
      <w:r w:rsidR="00067A38">
        <w:rPr>
          <w:szCs w:val="24"/>
        </w:rPr>
        <w:t>y</w:t>
      </w:r>
      <w:r w:rsidR="006B2121" w:rsidRPr="00BC7A02">
        <w:rPr>
          <w:szCs w:val="24"/>
        </w:rPr>
        <w:t xml:space="preserve"> </w:t>
      </w:r>
      <w:r w:rsidR="00EE2E53">
        <w:rPr>
          <w:szCs w:val="24"/>
        </w:rPr>
        <w:t xml:space="preserve">en </w:t>
      </w:r>
      <w:r w:rsidR="006B2121" w:rsidRPr="00BC7A02">
        <w:rPr>
          <w:szCs w:val="24"/>
        </w:rPr>
        <w:t>Google (3</w:t>
      </w:r>
      <w:r w:rsidR="0093754A">
        <w:rPr>
          <w:szCs w:val="24"/>
        </w:rPr>
        <w:t> </w:t>
      </w:r>
      <w:r w:rsidR="006B2121" w:rsidRPr="00BC7A02">
        <w:rPr>
          <w:szCs w:val="24"/>
        </w:rPr>
        <w:t xml:space="preserve">953 </w:t>
      </w:r>
      <w:r w:rsidR="00067A38">
        <w:rPr>
          <w:szCs w:val="24"/>
        </w:rPr>
        <w:t>visitas</w:t>
      </w:r>
      <w:r w:rsidR="006B2121" w:rsidRPr="00BC7A02">
        <w:rPr>
          <w:szCs w:val="24"/>
        </w:rPr>
        <w:t>).</w:t>
      </w:r>
    </w:p>
    <w:p w:rsidR="00CB53D6" w:rsidRPr="00BC7A02" w:rsidRDefault="00B17086" w:rsidP="008A3EAB">
      <w:pPr>
        <w:pStyle w:val="enumlev1"/>
        <w:rPr>
          <w:bCs/>
          <w:szCs w:val="24"/>
        </w:rPr>
      </w:pPr>
      <w:r w:rsidRPr="00BC7A02">
        <w:t>c)</w:t>
      </w:r>
      <w:r w:rsidRPr="00BC7A02">
        <w:tab/>
      </w:r>
      <w:r w:rsidR="00EE2E53">
        <w:t>S</w:t>
      </w:r>
      <w:r w:rsidR="00CB53D6" w:rsidRPr="00BC7A02">
        <w:rPr>
          <w:bCs/>
          <w:szCs w:val="24"/>
        </w:rPr>
        <w:t xml:space="preserve">e </w:t>
      </w:r>
      <w:r w:rsidR="00F447F5">
        <w:rPr>
          <w:bCs/>
          <w:szCs w:val="24"/>
        </w:rPr>
        <w:t xml:space="preserve">renovaron </w:t>
      </w:r>
      <w:r w:rsidR="00CB53D6" w:rsidRPr="00BC7A02">
        <w:rPr>
          <w:bCs/>
          <w:szCs w:val="24"/>
        </w:rPr>
        <w:t xml:space="preserve">dos acuerdos de concesión de licencias </w:t>
      </w:r>
      <w:r w:rsidR="00F447F5">
        <w:rPr>
          <w:bCs/>
          <w:szCs w:val="24"/>
        </w:rPr>
        <w:t xml:space="preserve">firmados </w:t>
      </w:r>
      <w:r w:rsidR="00EE2E53">
        <w:rPr>
          <w:bCs/>
          <w:szCs w:val="24"/>
        </w:rPr>
        <w:t xml:space="preserve">en 2015 </w:t>
      </w:r>
      <w:r w:rsidR="00CB53D6" w:rsidRPr="00BC7A02">
        <w:rPr>
          <w:bCs/>
          <w:szCs w:val="24"/>
        </w:rPr>
        <w:t xml:space="preserve">con </w:t>
      </w:r>
      <w:r w:rsidR="00F447F5">
        <w:rPr>
          <w:bCs/>
          <w:szCs w:val="24"/>
        </w:rPr>
        <w:t>Financial Times y Ernst &amp; Young para garantizar la continuidad</w:t>
      </w:r>
      <w:r w:rsidR="00F94E2E" w:rsidRPr="00BC7A02">
        <w:rPr>
          <w:bCs/>
          <w:szCs w:val="24"/>
        </w:rPr>
        <w:t xml:space="preserve"> </w:t>
      </w:r>
      <w:r w:rsidR="00CB53D6" w:rsidRPr="00BC7A02">
        <w:rPr>
          <w:bCs/>
          <w:szCs w:val="24"/>
        </w:rPr>
        <w:t xml:space="preserve">de </w:t>
      </w:r>
      <w:r w:rsidR="00F447F5">
        <w:rPr>
          <w:bCs/>
          <w:szCs w:val="24"/>
        </w:rPr>
        <w:t>i</w:t>
      </w:r>
      <w:r w:rsidR="00CB53D6" w:rsidRPr="00BC7A02">
        <w:rPr>
          <w:bCs/>
          <w:szCs w:val="24"/>
        </w:rPr>
        <w:t>ngresos.</w:t>
      </w:r>
    </w:p>
    <w:p w:rsidR="00CB53D6" w:rsidRPr="008A3EAB" w:rsidRDefault="00C14691" w:rsidP="008A3EAB">
      <w:pPr>
        <w:pStyle w:val="enumlev1"/>
      </w:pPr>
      <w:r w:rsidRPr="00BC7A02">
        <w:t>d)</w:t>
      </w:r>
      <w:r w:rsidRPr="00BC7A02">
        <w:tab/>
      </w:r>
      <w:r w:rsidR="00F447F5">
        <w:t xml:space="preserve">Se mantuvo el contacto </w:t>
      </w:r>
      <w:r w:rsidR="00253107" w:rsidRPr="008A3EAB">
        <w:t>con más de</w:t>
      </w:r>
      <w:r w:rsidR="00FE6AFF" w:rsidRPr="008A3EAB">
        <w:t xml:space="preserve"> </w:t>
      </w:r>
      <w:r w:rsidR="00CB53D6" w:rsidRPr="008A3EAB">
        <w:t xml:space="preserve">400 inspectores marítimos </w:t>
      </w:r>
      <w:r w:rsidR="00F447F5" w:rsidRPr="008A3EAB">
        <w:t xml:space="preserve">registrados en la lista interna para informarles de las últimas ediciones de </w:t>
      </w:r>
      <w:r w:rsidR="00CB53D6" w:rsidRPr="008A3EAB">
        <w:t>las publicaciones marítimas de la UIT.</w:t>
      </w:r>
      <w:r w:rsidR="001D560F" w:rsidRPr="008A3EAB">
        <w:t xml:space="preserve"> </w:t>
      </w:r>
      <w:r w:rsidR="00EE2E53" w:rsidRPr="008A3EAB">
        <w:t>S</w:t>
      </w:r>
      <w:r w:rsidR="00F447F5" w:rsidRPr="008A3EAB">
        <w:t>e identifica</w:t>
      </w:r>
      <w:r w:rsidR="00EE2E53" w:rsidRPr="008A3EAB">
        <w:t>ron</w:t>
      </w:r>
      <w:r w:rsidR="00F447F5" w:rsidRPr="008A3EAB">
        <w:t xml:space="preserve"> además </w:t>
      </w:r>
      <w:r w:rsidR="001D560F" w:rsidRPr="008A3EAB">
        <w:t xml:space="preserve">460 </w:t>
      </w:r>
      <w:r w:rsidR="00F447F5" w:rsidRPr="008A3EAB">
        <w:t>inspectores a los que se contactará en</w:t>
      </w:r>
      <w:r w:rsidR="001D560F" w:rsidRPr="008A3EAB">
        <w:t xml:space="preserve"> 2017.</w:t>
      </w:r>
    </w:p>
    <w:p w:rsidR="00F3674D" w:rsidRPr="008A3EAB" w:rsidRDefault="00F3674D" w:rsidP="0093754A">
      <w:pPr>
        <w:pStyle w:val="enumlev1"/>
      </w:pPr>
      <w:r w:rsidRPr="008A3EAB">
        <w:lastRenderedPageBreak/>
        <w:t>e)</w:t>
      </w:r>
      <w:r w:rsidRPr="008A3EAB">
        <w:tab/>
      </w:r>
      <w:r w:rsidR="00EE2E53" w:rsidRPr="008A3EAB">
        <w:t>L</w:t>
      </w:r>
      <w:r w:rsidR="00CB6D14" w:rsidRPr="008A3EAB">
        <w:t xml:space="preserve">a base de datos </w:t>
      </w:r>
      <w:r w:rsidR="00E2417B" w:rsidRPr="008A3EAB">
        <w:t>de correos electrónicos para fines de comercialización de la División de Ventas y Comercialización</w:t>
      </w:r>
      <w:r w:rsidR="001B5A5A" w:rsidRPr="008A3EAB">
        <w:t xml:space="preserve"> </w:t>
      </w:r>
      <w:r w:rsidR="00E2417B" w:rsidRPr="008A3EAB">
        <w:t xml:space="preserve">aumentó hasta las </w:t>
      </w:r>
      <w:r w:rsidR="001B5A5A" w:rsidRPr="008A3EAB">
        <w:t>46</w:t>
      </w:r>
      <w:r w:rsidR="0093754A">
        <w:t> </w:t>
      </w:r>
      <w:r w:rsidR="001B5A5A" w:rsidRPr="008A3EAB">
        <w:t xml:space="preserve">000 </w:t>
      </w:r>
      <w:r w:rsidR="00E2417B" w:rsidRPr="008A3EAB">
        <w:t>direcciones</w:t>
      </w:r>
      <w:r w:rsidR="001B5A5A" w:rsidRPr="008A3EAB">
        <w:t>.</w:t>
      </w:r>
      <w:r w:rsidR="00E2417B" w:rsidRPr="008A3EAB">
        <w:t xml:space="preserve"> La mayor parte de este aumento, 23</w:t>
      </w:r>
      <w:r w:rsidR="0093754A">
        <w:t> </w:t>
      </w:r>
      <w:r w:rsidR="00E2417B" w:rsidRPr="008A3EAB">
        <w:t xml:space="preserve">000 a finales de </w:t>
      </w:r>
      <w:r w:rsidR="00EE2E53" w:rsidRPr="008A3EAB">
        <w:t>año</w:t>
      </w:r>
      <w:r w:rsidR="00E2417B" w:rsidRPr="008A3EAB">
        <w:t xml:space="preserve">, se debió al mecanismo de registro para descarga gratuita, </w:t>
      </w:r>
      <w:r w:rsidR="00D110D9" w:rsidRPr="008A3EAB">
        <w:t>gracias al cual se</w:t>
      </w:r>
      <w:r w:rsidR="00E2417B" w:rsidRPr="008A3EAB">
        <w:t xml:space="preserve"> sigue</w:t>
      </w:r>
      <w:r w:rsidR="00D110D9" w:rsidRPr="008A3EAB">
        <w:t>n obteniendo</w:t>
      </w:r>
      <w:r w:rsidR="00E2417B" w:rsidRPr="008A3EAB">
        <w:t xml:space="preserve"> direcciones </w:t>
      </w:r>
      <w:r w:rsidR="001171C8" w:rsidRPr="008A3EAB">
        <w:t xml:space="preserve">con </w:t>
      </w:r>
      <w:r w:rsidR="00D110D9" w:rsidRPr="008A3EAB">
        <w:t xml:space="preserve">el </w:t>
      </w:r>
      <w:r w:rsidR="00E2417B" w:rsidRPr="008A3EAB">
        <w:t>consentimiento previo de</w:t>
      </w:r>
      <w:r w:rsidR="00D110D9" w:rsidRPr="008A3EAB">
        <w:t>l</w:t>
      </w:r>
      <w:r w:rsidR="00E2417B" w:rsidRPr="008A3EAB">
        <w:t xml:space="preserve"> titular</w:t>
      </w:r>
      <w:r w:rsidR="001B5A5A" w:rsidRPr="00BC7A02">
        <w:t>.</w:t>
      </w:r>
    </w:p>
    <w:p w:rsidR="00CB53D6" w:rsidRPr="00BC7A02" w:rsidRDefault="00F60BBF" w:rsidP="008A3EAB">
      <w:pPr>
        <w:pStyle w:val="Heading2"/>
      </w:pPr>
      <w:r w:rsidRPr="00BC7A02">
        <w:t>2.2</w:t>
      </w:r>
      <w:r w:rsidRPr="00BC7A02">
        <w:tab/>
      </w:r>
      <w:r w:rsidR="00CB53D6" w:rsidRPr="00BC7A02">
        <w:t>Tendencias de las ventas por formato de publicación</w:t>
      </w:r>
    </w:p>
    <w:p w:rsidR="00CB53D6" w:rsidRPr="00BC7A02" w:rsidRDefault="006C76DA" w:rsidP="008A3EAB">
      <w:pPr>
        <w:rPr>
          <w:szCs w:val="24"/>
        </w:rPr>
      </w:pPr>
      <w:r w:rsidRPr="00BC7A02">
        <w:t>a)</w:t>
      </w:r>
      <w:r w:rsidRPr="00BC7A02">
        <w:tab/>
      </w:r>
      <w:r w:rsidR="00CB53D6" w:rsidRPr="00BC7A02">
        <w:t>Las publicaciones de la UIT se ofrecen en tres formatos principales: papel, CD/DVD</w:t>
      </w:r>
      <w:r w:rsidR="00CB53D6" w:rsidRPr="00BC7A02">
        <w:noBreakHyphen/>
        <w:t>ROM y en línea</w:t>
      </w:r>
      <w:r w:rsidR="00CB53D6" w:rsidRPr="00BC7A02">
        <w:rPr>
          <w:szCs w:val="24"/>
        </w:rPr>
        <w:t>.</w:t>
      </w:r>
    </w:p>
    <w:p w:rsidR="00CB53D6" w:rsidRPr="00BC7A02" w:rsidRDefault="007D0919" w:rsidP="0093754A">
      <w:r w:rsidRPr="00BC7A02">
        <w:t>b)</w:t>
      </w:r>
      <w:r w:rsidRPr="00BC7A02">
        <w:tab/>
      </w:r>
      <w:r w:rsidR="00CB53D6" w:rsidRPr="00BC7A02">
        <w:t xml:space="preserve">Los ingresos por ventas en línea/librería electrónica se incrementaron ligeramente en </w:t>
      </w:r>
      <w:r w:rsidR="00BA67F2" w:rsidRPr="00BC7A02">
        <w:t xml:space="preserve">2016 </w:t>
      </w:r>
      <w:r w:rsidR="001171C8">
        <w:t>hasta los</w:t>
      </w:r>
      <w:r w:rsidR="00BA67F2" w:rsidRPr="00BC7A02">
        <w:rPr>
          <w:rFonts w:asciiTheme="minorHAnsi" w:hAnsiTheme="minorHAnsi"/>
          <w:szCs w:val="24"/>
        </w:rPr>
        <w:t xml:space="preserve"> 0</w:t>
      </w:r>
      <w:r w:rsidR="001171C8">
        <w:rPr>
          <w:rFonts w:asciiTheme="minorHAnsi" w:hAnsiTheme="minorHAnsi"/>
          <w:szCs w:val="24"/>
        </w:rPr>
        <w:t>,</w:t>
      </w:r>
      <w:r w:rsidR="00BA67F2" w:rsidRPr="00BC7A02">
        <w:rPr>
          <w:rFonts w:asciiTheme="minorHAnsi" w:hAnsiTheme="minorHAnsi"/>
          <w:szCs w:val="24"/>
        </w:rPr>
        <w:t xml:space="preserve">19 </w:t>
      </w:r>
      <w:r w:rsidR="001171C8">
        <w:rPr>
          <w:rFonts w:asciiTheme="minorHAnsi" w:hAnsiTheme="minorHAnsi"/>
          <w:szCs w:val="24"/>
        </w:rPr>
        <w:t>millones CHF</w:t>
      </w:r>
      <w:r w:rsidR="00BA67F2" w:rsidRPr="00BC7A02">
        <w:rPr>
          <w:rFonts w:asciiTheme="minorHAnsi" w:hAnsiTheme="minorHAnsi"/>
          <w:szCs w:val="24"/>
        </w:rPr>
        <w:t xml:space="preserve"> </w:t>
      </w:r>
      <w:r w:rsidR="00CB53D6" w:rsidRPr="00BC7A02">
        <w:t>tras el descenso continuo de</w:t>
      </w:r>
      <w:r w:rsidR="001171C8">
        <w:t>sde</w:t>
      </w:r>
      <w:r w:rsidR="00CB53D6" w:rsidRPr="00BC7A02">
        <w:t xml:space="preserve"> 0,</w:t>
      </w:r>
      <w:r w:rsidR="00DA5A59" w:rsidRPr="00BC7A02">
        <w:t xml:space="preserve">27 </w:t>
      </w:r>
      <w:r w:rsidR="00CB53D6" w:rsidRPr="00BC7A02">
        <w:t xml:space="preserve">millones CHF en </w:t>
      </w:r>
      <w:r w:rsidR="00DA5A59" w:rsidRPr="00BC7A02">
        <w:t>2012</w:t>
      </w:r>
      <w:r w:rsidR="001171C8">
        <w:t xml:space="preserve"> hasta</w:t>
      </w:r>
      <w:r w:rsidR="00CB53D6" w:rsidRPr="00BC7A02">
        <w:t xml:space="preserve"> 0,17</w:t>
      </w:r>
      <w:r w:rsidR="0093754A">
        <w:t> </w:t>
      </w:r>
      <w:r w:rsidR="00CB53D6" w:rsidRPr="00BC7A02">
        <w:t>millones CHF</w:t>
      </w:r>
      <w:r w:rsidR="00DA5A59" w:rsidRPr="00BC7A02">
        <w:rPr>
          <w:rFonts w:asciiTheme="minorHAnsi" w:hAnsiTheme="minorHAnsi"/>
          <w:szCs w:val="24"/>
        </w:rPr>
        <w:t xml:space="preserve"> </w:t>
      </w:r>
      <w:r w:rsidR="0093754A">
        <w:rPr>
          <w:rFonts w:asciiTheme="minorHAnsi" w:hAnsiTheme="minorHAnsi"/>
          <w:szCs w:val="24"/>
        </w:rPr>
        <w:t>e</w:t>
      </w:r>
      <w:r w:rsidR="00DA5A59" w:rsidRPr="00BC7A02">
        <w:rPr>
          <w:rFonts w:asciiTheme="minorHAnsi" w:hAnsiTheme="minorHAnsi"/>
          <w:szCs w:val="24"/>
        </w:rPr>
        <w:t>n 2015</w:t>
      </w:r>
      <w:r w:rsidR="00CB53D6" w:rsidRPr="00BC7A02">
        <w:t>.</w:t>
      </w:r>
    </w:p>
    <w:p w:rsidR="00CB53D6" w:rsidRPr="00BC7A02" w:rsidRDefault="00491B37" w:rsidP="008A3EAB">
      <w:pPr>
        <w:rPr>
          <w:szCs w:val="24"/>
        </w:rPr>
      </w:pPr>
      <w:r w:rsidRPr="00BC7A02">
        <w:t>c)</w:t>
      </w:r>
      <w:r w:rsidRPr="00BC7A02">
        <w:tab/>
      </w:r>
      <w:r w:rsidR="00CB53D6" w:rsidRPr="00BC7A02">
        <w:t xml:space="preserve">La introducción de formatos digitales (CD/DVD-ROM) para varias publicaciones importantes en 2010 ha representado el </w:t>
      </w:r>
      <w:r w:rsidR="00F63255" w:rsidRPr="00BC7A02">
        <w:t>77</w:t>
      </w:r>
      <w:r w:rsidR="00CB53D6" w:rsidRPr="00BC7A02">
        <w:t xml:space="preserve">% de las ventas totales en </w:t>
      </w:r>
      <w:r w:rsidR="00FA5271" w:rsidRPr="00BC7A02">
        <w:t>2016</w:t>
      </w:r>
      <w:r w:rsidR="00CB53D6" w:rsidRPr="00BC7A02">
        <w:t xml:space="preserve">, en tanto que las ventas en formato papel alcanzaron el </w:t>
      </w:r>
      <w:r w:rsidR="005A51D9" w:rsidRPr="00BC7A02">
        <w:t>21</w:t>
      </w:r>
      <w:r w:rsidR="00CB53D6" w:rsidRPr="00BC7A02">
        <w:t>%, y las ventas en línea</w:t>
      </w:r>
      <w:r w:rsidR="00EE2E53">
        <w:t>/librería electr</w:t>
      </w:r>
      <w:r w:rsidR="007D66E2">
        <w:t xml:space="preserve">ónica y otras vías </w:t>
      </w:r>
      <w:r w:rsidR="00CB53D6" w:rsidRPr="00BC7A02">
        <w:t xml:space="preserve">el </w:t>
      </w:r>
      <w:r w:rsidR="005A51D9" w:rsidRPr="00BC7A02">
        <w:t>2</w:t>
      </w:r>
      <w:r w:rsidR="00CB53D6" w:rsidRPr="00BC7A02">
        <w:t>%. Se producen cada vez más publicaciones en CD/DVD</w:t>
      </w:r>
      <w:r w:rsidR="00CB53D6" w:rsidRPr="00BC7A02">
        <w:noBreakHyphen/>
        <w:t>ROM, un formato rentable e inocuo para el medio ambiente</w:t>
      </w:r>
      <w:r w:rsidR="00D50E8F">
        <w:t>,</w:t>
      </w:r>
      <w:r w:rsidR="00C71F31">
        <w:t xml:space="preserve"> </w:t>
      </w:r>
      <w:r w:rsidR="007D66E2">
        <w:t>que se produce en menos tiempo y cuyo inventario se gestiona más fácilmente</w:t>
      </w:r>
      <w:r w:rsidR="00CB53D6" w:rsidRPr="00BC7A02">
        <w:t>.</w:t>
      </w:r>
    </w:p>
    <w:p w:rsidR="00CB53D6" w:rsidRPr="00BC7A02" w:rsidRDefault="00CB53D6" w:rsidP="008A3EAB">
      <w:r w:rsidRPr="00BC7A02">
        <w:t xml:space="preserve">La Figura 1 ilustra las tendencias de las ventas de publicaciones en los tres formatos principales durante los </w:t>
      </w:r>
      <w:r w:rsidR="007D66E2">
        <w:t>cinco</w:t>
      </w:r>
      <w:r w:rsidRPr="00BC7A02">
        <w:t xml:space="preserve"> últimos años. </w:t>
      </w:r>
      <w:r w:rsidR="00C71F31">
        <w:t xml:space="preserve">El aumento en el formato papel en 2016 se debe a la preferencia de publicar el RR 2016 en cuatro volúmenes </w:t>
      </w:r>
      <w:r w:rsidR="007D66E2">
        <w:t>en</w:t>
      </w:r>
      <w:r w:rsidR="00C71F31">
        <w:t xml:space="preserve"> caja. </w:t>
      </w:r>
    </w:p>
    <w:p w:rsidR="00CB53D6" w:rsidRPr="00BC7A02" w:rsidRDefault="00CB53D6" w:rsidP="008A3EAB">
      <w:pPr>
        <w:pStyle w:val="FigureNo"/>
      </w:pPr>
      <w:r w:rsidRPr="00BC7A02">
        <w:lastRenderedPageBreak/>
        <w:t>Figura 1</w:t>
      </w:r>
    </w:p>
    <w:p w:rsidR="008A3EAB" w:rsidRDefault="00446ABF" w:rsidP="000453F4">
      <w:pPr>
        <w:pStyle w:val="Figuretitle"/>
        <w:spacing w:after="120"/>
      </w:pPr>
      <w:bookmarkStart w:id="11" w:name="OLE_LINK8"/>
      <w:r w:rsidRPr="00BC7A02">
        <w:rPr>
          <w:noProof/>
          <w:lang w:val="en-US" w:eastAsia="zh-CN"/>
        </w:rPr>
        <w:drawing>
          <wp:inline distT="0" distB="0" distL="0" distR="0" wp14:anchorId="1C84E6C7" wp14:editId="3196260D">
            <wp:extent cx="6114197" cy="4203510"/>
            <wp:effectExtent l="0" t="0" r="1270" b="698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46ABF" w:rsidRPr="008A3EAB" w:rsidRDefault="00446ABF" w:rsidP="000453F4">
      <w:pPr>
        <w:pStyle w:val="Figurelegend"/>
        <w:tabs>
          <w:tab w:val="clear" w:pos="567"/>
          <w:tab w:val="left" w:pos="284"/>
        </w:tabs>
      </w:pPr>
      <w:r w:rsidRPr="008A3EAB">
        <w:t>*</w:t>
      </w:r>
      <w:r w:rsidR="008A3EAB" w:rsidRPr="008A3EAB">
        <w:tab/>
      </w:r>
      <w:r w:rsidR="006B75D0" w:rsidRPr="008A3EAB">
        <w:t xml:space="preserve">Incluye </w:t>
      </w:r>
      <w:r w:rsidR="006B75D0" w:rsidRPr="000453F4">
        <w:t>recuerdos</w:t>
      </w:r>
      <w:r w:rsidR="006B75D0" w:rsidRPr="008A3EAB">
        <w:t>, derechos de autor, inserción en Actualidades de la UIT y otros ingresos</w:t>
      </w:r>
      <w:r w:rsidRPr="008A3EAB">
        <w:t>.</w:t>
      </w:r>
    </w:p>
    <w:p w:rsidR="00CB53D6" w:rsidRPr="00BC7A02" w:rsidRDefault="000453F4" w:rsidP="008A3EA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Leyendas de la Figura 1</w:t>
      </w:r>
    </w:p>
    <w:p w:rsidR="00CB53D6" w:rsidRPr="00BC7A02" w:rsidRDefault="00CB53D6" w:rsidP="008A3EAB">
      <w:pPr>
        <w:spacing w:before="0"/>
        <w:rPr>
          <w:sz w:val="18"/>
          <w:szCs w:val="18"/>
        </w:rPr>
      </w:pPr>
      <w:r w:rsidRPr="00BC7A02">
        <w:rPr>
          <w:sz w:val="18"/>
          <w:szCs w:val="18"/>
        </w:rPr>
        <w:t>CD/DVD-ROM</w:t>
      </w:r>
    </w:p>
    <w:p w:rsidR="00CB53D6" w:rsidRPr="00BC7A02" w:rsidRDefault="00CB53D6" w:rsidP="008A3EAB">
      <w:pPr>
        <w:spacing w:before="0"/>
        <w:rPr>
          <w:sz w:val="18"/>
          <w:szCs w:val="18"/>
        </w:rPr>
      </w:pPr>
      <w:r w:rsidRPr="00BC7A02">
        <w:rPr>
          <w:sz w:val="18"/>
          <w:szCs w:val="18"/>
        </w:rPr>
        <w:t>Papel</w:t>
      </w:r>
    </w:p>
    <w:p w:rsidR="00CB53D6" w:rsidRPr="00BC7A02" w:rsidRDefault="00CB53D6" w:rsidP="008A3EAB">
      <w:pPr>
        <w:spacing w:before="0"/>
        <w:rPr>
          <w:sz w:val="18"/>
          <w:szCs w:val="18"/>
        </w:rPr>
      </w:pPr>
      <w:r w:rsidRPr="00BC7A02">
        <w:rPr>
          <w:sz w:val="18"/>
          <w:szCs w:val="18"/>
        </w:rPr>
        <w:t>En línea/Librería-e</w:t>
      </w:r>
      <w:r w:rsidR="00EC6AD1">
        <w:rPr>
          <w:sz w:val="18"/>
          <w:szCs w:val="18"/>
        </w:rPr>
        <w:t xml:space="preserve"> y otros*</w:t>
      </w:r>
    </w:p>
    <w:p w:rsidR="009C5918" w:rsidRPr="00CD79E3" w:rsidRDefault="009C5918" w:rsidP="00CD79E3">
      <w:r w:rsidRPr="00CD79E3">
        <w:t>d)</w:t>
      </w:r>
      <w:r w:rsidRPr="00CD79E3">
        <w:tab/>
      </w:r>
      <w:r w:rsidR="00C71F31">
        <w:t>En respu</w:t>
      </w:r>
      <w:r w:rsidR="00C83ED3">
        <w:t>esta a la solicitud que</w:t>
      </w:r>
      <w:r w:rsidR="00C71F31">
        <w:t xml:space="preserve"> la reunión de 2016 del Consejo</w:t>
      </w:r>
      <w:r w:rsidR="00C83ED3">
        <w:t xml:space="preserve"> formuló</w:t>
      </w:r>
      <w:r w:rsidR="00C71F31">
        <w:t xml:space="preserve"> </w:t>
      </w:r>
      <w:r w:rsidR="00C83ED3">
        <w:t>para</w:t>
      </w:r>
      <w:r w:rsidR="00862F1E">
        <w:t xml:space="preserve"> </w:t>
      </w:r>
      <w:r w:rsidR="00C83ED3">
        <w:t>que se explicasen</w:t>
      </w:r>
      <w:r w:rsidR="00C71F31">
        <w:t xml:space="preserve"> los criterios que se utilizan </w:t>
      </w:r>
      <w:r w:rsidR="00862F1E">
        <w:t>al</w:t>
      </w:r>
      <w:r w:rsidR="00C71F31">
        <w:t xml:space="preserve"> decidir si una publicación </w:t>
      </w:r>
      <w:r w:rsidR="007D66E2">
        <w:t>se</w:t>
      </w:r>
      <w:r w:rsidR="00C71F31">
        <w:t xml:space="preserve"> descarga gratuitamente o </w:t>
      </w:r>
      <w:r w:rsidR="007D66E2">
        <w:t>se</w:t>
      </w:r>
      <w:r w:rsidR="00C71F31">
        <w:t xml:space="preserve"> vende, el Consejo </w:t>
      </w:r>
      <w:r w:rsidR="00862F1E">
        <w:t xml:space="preserve">solicitó a la Secretaría que enviase </w:t>
      </w:r>
      <w:r w:rsidR="00D50E8F">
        <w:t xml:space="preserve">al GTC-RHF </w:t>
      </w:r>
      <w:r w:rsidR="00862F1E">
        <w:t xml:space="preserve">un informe </w:t>
      </w:r>
      <w:r w:rsidR="00C83ED3">
        <w:t xml:space="preserve">que se había </w:t>
      </w:r>
      <w:r w:rsidR="00862F1E">
        <w:t>realizado en enero de 2017</w:t>
      </w:r>
      <w:r w:rsidRPr="00BC7A02">
        <w:t>.</w:t>
      </w:r>
    </w:p>
    <w:p w:rsidR="00CB53D6" w:rsidRPr="00BC7A02" w:rsidRDefault="00684639" w:rsidP="008A3EAB">
      <w:pPr>
        <w:pStyle w:val="Heading2"/>
      </w:pPr>
      <w:r w:rsidRPr="00BC7A02">
        <w:t>2.3</w:t>
      </w:r>
      <w:r w:rsidRPr="00BC7A02">
        <w:tab/>
      </w:r>
      <w:r w:rsidR="00CB53D6" w:rsidRPr="00BC7A02">
        <w:t>Distribución por idioma</w:t>
      </w:r>
    </w:p>
    <w:p w:rsidR="00CB53D6" w:rsidRPr="00BC7A02" w:rsidRDefault="00CB53D6" w:rsidP="0093754A">
      <w:pPr>
        <w:rPr>
          <w:szCs w:val="24"/>
        </w:rPr>
      </w:pPr>
      <w:r w:rsidRPr="00BC7A02">
        <w:t>El formato plurilingüe en seis idiomas (M6) es el que alcanza mayor distribución (</w:t>
      </w:r>
      <w:r w:rsidR="0071013F" w:rsidRPr="00BC7A02">
        <w:t>70</w:t>
      </w:r>
      <w:r w:rsidR="0093754A">
        <w:t>%</w:t>
      </w:r>
      <w:r w:rsidRPr="00BC7A02">
        <w:t xml:space="preserve">), incluida la mayoría de </w:t>
      </w:r>
      <w:r w:rsidR="0011420E">
        <w:t xml:space="preserve">las </w:t>
      </w:r>
      <w:r w:rsidRPr="00BC7A02">
        <w:t xml:space="preserve">publicaciones obligatorias sobre servicios marítimos. Le siguen las publicaciones ofrecidas únicamente en inglés, con el </w:t>
      </w:r>
      <w:r w:rsidR="008C63FC" w:rsidRPr="00BC7A02">
        <w:t>28</w:t>
      </w:r>
      <w:r w:rsidRPr="00BC7A02">
        <w:t>%</w:t>
      </w:r>
      <w:r w:rsidR="00C83ED3">
        <w:t>,</w:t>
      </w:r>
      <w:r w:rsidRPr="00BC7A02">
        <w:t xml:space="preserve"> y en Formato M3 de tres idiomas (inglés, francés y español) con el </w:t>
      </w:r>
      <w:r w:rsidR="00A40BAD" w:rsidRPr="00BC7A02">
        <w:t>1</w:t>
      </w:r>
      <w:r w:rsidRPr="00BC7A02">
        <w:t>%. Los ingresos por venta de publicaciones únicamente en árabe, chino, español, francés y ruso constituyen menos del 1% del total.</w:t>
      </w:r>
    </w:p>
    <w:p w:rsidR="00CB53D6" w:rsidRPr="00BC7A02" w:rsidRDefault="009B55A0" w:rsidP="00334F0F">
      <w:pPr>
        <w:pStyle w:val="Headingb"/>
      </w:pPr>
      <w:r w:rsidRPr="00BC7A02">
        <w:t>2.4</w:t>
      </w:r>
      <w:r w:rsidRPr="00BC7A02">
        <w:tab/>
      </w:r>
      <w:r w:rsidR="00CB53D6" w:rsidRPr="00BC7A02">
        <w:t xml:space="preserve">Venta de publicaciones de la UIT a </w:t>
      </w:r>
      <w:r w:rsidR="00334F0F">
        <w:t>M</w:t>
      </w:r>
      <w:r w:rsidR="00CB53D6" w:rsidRPr="00BC7A02">
        <w:t xml:space="preserve">iembros/no </w:t>
      </w:r>
      <w:r w:rsidR="00EC6AD1">
        <w:t>m</w:t>
      </w:r>
      <w:r w:rsidR="00CB53D6" w:rsidRPr="00BC7A02">
        <w:t>iembros y por país</w:t>
      </w:r>
    </w:p>
    <w:p w:rsidR="00CB53D6" w:rsidRPr="00BC7A02" w:rsidRDefault="00D30D5B" w:rsidP="008A3EAB">
      <w:r w:rsidRPr="00BC7A02">
        <w:t>a)</w:t>
      </w:r>
      <w:r w:rsidRPr="00BC7A02">
        <w:tab/>
      </w:r>
      <w:r w:rsidR="00CB53D6" w:rsidRPr="00BC7A02">
        <w:t xml:space="preserve">Tradicionalmente, las ventas de publicaciones en papel y CD-ROM a los Miembros se sitúan aproximadamente entre el 5 y 6%. Para una información más completa, puede consultarse el Documento </w:t>
      </w:r>
      <w:hyperlink r:id="rId16" w:history="1">
        <w:r w:rsidR="00C83ED3" w:rsidRPr="008A3EAB">
          <w:rPr>
            <w:rStyle w:val="Hyperlink"/>
            <w:lang w:val="es-ES_tradnl"/>
          </w:rPr>
          <w:t>C17/INF/4</w:t>
        </w:r>
      </w:hyperlink>
      <w:hyperlink r:id="rId17" w:history="1"/>
      <w:r w:rsidR="00CB53D6" w:rsidRPr="00BC7A02">
        <w:t>.</w:t>
      </w:r>
    </w:p>
    <w:p w:rsidR="00CB53D6" w:rsidRPr="00BC7A02" w:rsidRDefault="00ED6AE6" w:rsidP="008A3EAB">
      <w:r w:rsidRPr="00BC7A02">
        <w:lastRenderedPageBreak/>
        <w:t>b)</w:t>
      </w:r>
      <w:r w:rsidRPr="00BC7A02">
        <w:tab/>
      </w:r>
      <w:r w:rsidR="00CB53D6" w:rsidRPr="00BC7A02">
        <w:t>Como se observa en la</w:t>
      </w:r>
      <w:r w:rsidR="0011420E">
        <w:t xml:space="preserve"> siguiente Figura 2</w:t>
      </w:r>
      <w:r w:rsidR="00CB53D6" w:rsidRPr="00BC7A02">
        <w:t>, las ventas en línea a los Miembros</w:t>
      </w:r>
      <w:r w:rsidR="00C83ED3">
        <w:t xml:space="preserve">, que generalmente se mantienen entorno al 45-50% de las ventas en línea, se redujeron al 36% </w:t>
      </w:r>
      <w:r w:rsidR="0011420E">
        <w:t>básicamente porque</w:t>
      </w:r>
      <w:r w:rsidR="00C83ED3">
        <w:t xml:space="preserve"> un Miembro de Sector realizó compras a precios reducidos.</w:t>
      </w:r>
    </w:p>
    <w:p w:rsidR="00CB53D6" w:rsidRPr="00CD79E3" w:rsidRDefault="00C83ED3" w:rsidP="00CD79E3">
      <w:pPr>
        <w:pStyle w:val="FigureNo"/>
      </w:pPr>
      <w:bookmarkStart w:id="12" w:name="OLE_LINK9"/>
      <w:bookmarkEnd w:id="11"/>
      <w:r w:rsidRPr="00CD79E3">
        <w:t>FIGURA 2</w:t>
      </w:r>
    </w:p>
    <w:bookmarkEnd w:id="9"/>
    <w:bookmarkEnd w:id="10"/>
    <w:bookmarkEnd w:id="12"/>
    <w:p w:rsidR="00060C71" w:rsidRPr="00BC7A02" w:rsidRDefault="00060C71" w:rsidP="008A3EAB">
      <w:pPr>
        <w:keepNext/>
        <w:keepLines/>
        <w:jc w:val="center"/>
        <w:rPr>
          <w:noProof/>
        </w:rPr>
      </w:pPr>
      <w:r w:rsidRPr="00BC7A02">
        <w:rPr>
          <w:noProof/>
          <w:lang w:val="en-US" w:eastAsia="zh-CN"/>
        </w:rPr>
        <w:drawing>
          <wp:inline distT="0" distB="0" distL="0" distR="0" wp14:anchorId="5B9E872B" wp14:editId="6BB4597E">
            <wp:extent cx="6127845" cy="3821373"/>
            <wp:effectExtent l="0" t="0" r="6350" b="825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B53D6" w:rsidRPr="00BC7A02" w:rsidRDefault="000453F4" w:rsidP="008A3EA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Leyendas de la Figura 2</w:t>
      </w:r>
    </w:p>
    <w:p w:rsidR="00CB53D6" w:rsidRPr="00BC7A02" w:rsidRDefault="00CB53D6" w:rsidP="008A3EAB">
      <w:pPr>
        <w:spacing w:before="0"/>
        <w:rPr>
          <w:sz w:val="18"/>
          <w:szCs w:val="18"/>
        </w:rPr>
      </w:pPr>
      <w:r w:rsidRPr="00BC7A02">
        <w:rPr>
          <w:sz w:val="18"/>
          <w:szCs w:val="18"/>
        </w:rPr>
        <w:t>Miembros</w:t>
      </w:r>
    </w:p>
    <w:p w:rsidR="00CB53D6" w:rsidRPr="00BC7A02" w:rsidRDefault="00CB53D6" w:rsidP="00334F0F">
      <w:pPr>
        <w:spacing w:before="0"/>
        <w:rPr>
          <w:sz w:val="18"/>
          <w:szCs w:val="18"/>
        </w:rPr>
      </w:pPr>
      <w:r w:rsidRPr="00BC7A02">
        <w:rPr>
          <w:sz w:val="18"/>
          <w:szCs w:val="18"/>
        </w:rPr>
        <w:t xml:space="preserve">No </w:t>
      </w:r>
      <w:r w:rsidR="00334F0F">
        <w:rPr>
          <w:sz w:val="18"/>
          <w:szCs w:val="18"/>
        </w:rPr>
        <w:t>m</w:t>
      </w:r>
      <w:r w:rsidRPr="00BC7A02">
        <w:rPr>
          <w:sz w:val="18"/>
          <w:szCs w:val="18"/>
        </w:rPr>
        <w:t>iembros</w:t>
      </w:r>
    </w:p>
    <w:p w:rsidR="00CB53D6" w:rsidRPr="00BC7A02" w:rsidRDefault="00CB53D6" w:rsidP="008A3EAB">
      <w:pPr>
        <w:spacing w:before="0"/>
        <w:rPr>
          <w:sz w:val="18"/>
          <w:szCs w:val="18"/>
        </w:rPr>
      </w:pPr>
      <w:r w:rsidRPr="00BC7A02">
        <w:rPr>
          <w:sz w:val="18"/>
          <w:szCs w:val="18"/>
        </w:rPr>
        <w:t>Papel/CD</w:t>
      </w:r>
    </w:p>
    <w:p w:rsidR="00CB53D6" w:rsidRPr="00BC7A02" w:rsidRDefault="00CB53D6" w:rsidP="008A3EAB">
      <w:pPr>
        <w:spacing w:before="0"/>
      </w:pPr>
      <w:r w:rsidRPr="00BC7A02">
        <w:rPr>
          <w:sz w:val="18"/>
          <w:szCs w:val="18"/>
        </w:rPr>
        <w:t>En línea</w:t>
      </w:r>
    </w:p>
    <w:p w:rsidR="00CB53D6" w:rsidRPr="00BC7A02" w:rsidRDefault="00BA4D58" w:rsidP="008A3EAB">
      <w:pPr>
        <w:spacing w:before="240"/>
      </w:pPr>
      <w:r w:rsidRPr="00BC7A02">
        <w:t>c)</w:t>
      </w:r>
      <w:r w:rsidRPr="00BC7A02">
        <w:tab/>
      </w:r>
      <w:r w:rsidR="00CB53D6" w:rsidRPr="00BC7A02">
        <w:t xml:space="preserve">Las cifras de ventas por país pueden encontrarse en: </w:t>
      </w:r>
      <w:hyperlink r:id="rId19" w:history="1">
        <w:r w:rsidR="00C83ED3" w:rsidRPr="00962F20">
          <w:rPr>
            <w:rStyle w:val="Hyperlink"/>
          </w:rPr>
          <w:t>http://www.itu.int/en/council/Documents/2017/country-sales-2016.docx</w:t>
        </w:r>
      </w:hyperlink>
      <w:r w:rsidR="00CB53D6" w:rsidRPr="00BC7A02">
        <w:t>.</w:t>
      </w:r>
    </w:p>
    <w:p w:rsidR="00CB53D6" w:rsidRPr="00BC7A02" w:rsidRDefault="005646D4" w:rsidP="008A3EAB">
      <w:pPr>
        <w:pStyle w:val="Heading1"/>
      </w:pPr>
      <w:bookmarkStart w:id="13" w:name="OLE_LINK10"/>
      <w:r w:rsidRPr="00BC7A02">
        <w:t>3</w:t>
      </w:r>
      <w:r w:rsidRPr="00BC7A02">
        <w:tab/>
      </w:r>
      <w:r w:rsidR="00CB53D6" w:rsidRPr="00BC7A02">
        <w:t>Descarga gratuita del Reglamento de Radiocomunicaciones 2012</w:t>
      </w:r>
    </w:p>
    <w:p w:rsidR="00CB53D6" w:rsidRPr="00BC7A02" w:rsidRDefault="00CB53D6" w:rsidP="008A3EAB">
      <w:pPr>
        <w:keepLines/>
        <w:spacing w:after="240"/>
        <w:rPr>
          <w:rFonts w:asciiTheme="minorHAnsi" w:hAnsiTheme="minorHAnsi"/>
          <w:szCs w:val="24"/>
        </w:rPr>
      </w:pPr>
      <w:r w:rsidRPr="00BC7A02">
        <w:t xml:space="preserve">El Consejo de 2012 encargó a la Secretaria General que informara al Consejo/PP-14 de la repercusión real de la descarga en línea gratuita del Reglamento de Radiocomunicaciones en los ingresos y los costos, y de los medios para equilibrar las repercusiones financieras. En el cuadro siguiente se observan los resultados definitivos, al 31 de diciembre de </w:t>
      </w:r>
      <w:r w:rsidR="00445A4A" w:rsidRPr="00BC7A02">
        <w:t>2016</w:t>
      </w:r>
      <w:r w:rsidRPr="00BC7A02">
        <w:t>, de las ediciones de 2012 y 2008 del Reglamento de Radiocomunicaciones, una publicación importante.</w:t>
      </w:r>
    </w:p>
    <w:tbl>
      <w:tblPr>
        <w:tblW w:w="9634" w:type="dxa"/>
        <w:tblInd w:w="-5" w:type="dxa"/>
        <w:tblLook w:val="04A0" w:firstRow="1" w:lastRow="0" w:firstColumn="1" w:lastColumn="0" w:noHBand="0" w:noVBand="1"/>
      </w:tblPr>
      <w:tblGrid>
        <w:gridCol w:w="1237"/>
        <w:gridCol w:w="1672"/>
        <w:gridCol w:w="1782"/>
        <w:gridCol w:w="1688"/>
        <w:gridCol w:w="1422"/>
        <w:gridCol w:w="1833"/>
      </w:tblGrid>
      <w:tr w:rsidR="00CB53D6" w:rsidRPr="00BC7A02" w:rsidTr="00B73FC4">
        <w:trPr>
          <w:trHeight w:val="255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D6" w:rsidRPr="00BC7A02" w:rsidRDefault="00CB53D6" w:rsidP="008A3EAB">
            <w:pPr>
              <w:pStyle w:val="Tablehead"/>
              <w:spacing w:before="40" w:after="40"/>
            </w:pPr>
            <w:r w:rsidRPr="00BC7A02">
              <w:t>Edición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D6" w:rsidRPr="00BC7A02" w:rsidRDefault="00CB53D6" w:rsidP="008A3EAB">
            <w:pPr>
              <w:pStyle w:val="Tablehead"/>
              <w:spacing w:before="40" w:after="40"/>
            </w:pPr>
            <w:r w:rsidRPr="00BC7A02">
              <w:t>Periodo de ventas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D6" w:rsidRPr="00BC7A02" w:rsidRDefault="00CB53D6" w:rsidP="008A3EAB">
            <w:pPr>
              <w:pStyle w:val="Tablehead"/>
              <w:spacing w:before="40" w:after="40"/>
            </w:pPr>
            <w:r w:rsidRPr="00BC7A02">
              <w:t>Cantidad total vendida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3D6" w:rsidRPr="00BC7A02" w:rsidRDefault="00CB53D6" w:rsidP="008A3EAB">
            <w:pPr>
              <w:pStyle w:val="Tablehead"/>
              <w:spacing w:before="40" w:after="40"/>
            </w:pPr>
            <w:r w:rsidRPr="00BC7A02">
              <w:t>Revendedores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3D6" w:rsidRPr="00BC7A02" w:rsidRDefault="00CB53D6" w:rsidP="008A3EAB">
            <w:pPr>
              <w:pStyle w:val="Tablehead"/>
              <w:spacing w:before="40" w:after="40"/>
            </w:pPr>
            <w:r w:rsidRPr="00BC7A02">
              <w:t>Particulares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D6" w:rsidRPr="00BC7A02" w:rsidRDefault="00CB53D6" w:rsidP="008A3EAB">
            <w:pPr>
              <w:pStyle w:val="Tablehead"/>
              <w:spacing w:before="40" w:after="40"/>
            </w:pPr>
            <w:r w:rsidRPr="00BC7A02">
              <w:t>Descarga gratuita</w:t>
            </w:r>
          </w:p>
        </w:tc>
      </w:tr>
      <w:tr w:rsidR="00CB53D6" w:rsidRPr="00BC7A02" w:rsidTr="00B73FC4">
        <w:trPr>
          <w:trHeight w:val="255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D6" w:rsidRPr="00BC7A02" w:rsidRDefault="00CB53D6" w:rsidP="008A3EAB">
            <w:pPr>
              <w:pStyle w:val="Tabletext"/>
              <w:spacing w:before="40" w:after="40"/>
              <w:jc w:val="center"/>
            </w:pPr>
            <w:r w:rsidRPr="00BC7A02">
              <w:t>2012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D6" w:rsidRPr="00BC7A02" w:rsidRDefault="00D42CCC" w:rsidP="008A3EAB">
            <w:pPr>
              <w:pStyle w:val="Tabletext"/>
              <w:spacing w:before="40" w:after="40"/>
              <w:jc w:val="center"/>
            </w:pPr>
            <w:r w:rsidRPr="00BC7A02">
              <w:t xml:space="preserve">49 </w:t>
            </w:r>
            <w:r w:rsidR="00CB53D6" w:rsidRPr="00BC7A02">
              <w:t>meses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D6" w:rsidRPr="00BC7A02" w:rsidRDefault="00CB53D6" w:rsidP="008A3EAB">
            <w:pPr>
              <w:pStyle w:val="Tabletext"/>
              <w:spacing w:before="40" w:after="40"/>
              <w:jc w:val="center"/>
            </w:pPr>
            <w:r w:rsidRPr="00BC7A02">
              <w:t xml:space="preserve">14 </w:t>
            </w:r>
            <w:r w:rsidR="00D42CCC" w:rsidRPr="00BC7A02">
              <w:t>775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3D6" w:rsidRPr="00BC7A02" w:rsidRDefault="00CB53D6" w:rsidP="008A3EAB">
            <w:pPr>
              <w:pStyle w:val="Tabletext"/>
              <w:spacing w:before="40" w:after="40"/>
              <w:jc w:val="center"/>
            </w:pPr>
            <w:r w:rsidRPr="00BC7A02">
              <w:t xml:space="preserve">13 </w:t>
            </w:r>
            <w:r w:rsidR="00D42CCC" w:rsidRPr="00BC7A02">
              <w:t>695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3D6" w:rsidRPr="00BC7A02" w:rsidRDefault="00CB53D6" w:rsidP="008A3EAB">
            <w:pPr>
              <w:pStyle w:val="Tabletext"/>
              <w:spacing w:before="40" w:after="40"/>
              <w:jc w:val="center"/>
            </w:pPr>
            <w:r w:rsidRPr="00BC7A02">
              <w:t xml:space="preserve">1 </w:t>
            </w:r>
            <w:r w:rsidR="00D42CCC" w:rsidRPr="00BC7A02">
              <w:t>080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D6" w:rsidRPr="00BC7A02" w:rsidRDefault="00EC6AD1" w:rsidP="008A3EAB">
            <w:pPr>
              <w:pStyle w:val="Tabletext"/>
              <w:spacing w:before="40" w:after="40"/>
              <w:jc w:val="center"/>
            </w:pPr>
            <w:r>
              <w:t>+</w:t>
            </w:r>
            <w:r w:rsidR="00D42CCC" w:rsidRPr="00BC7A02">
              <w:t>23 000</w:t>
            </w:r>
          </w:p>
        </w:tc>
      </w:tr>
      <w:tr w:rsidR="00CB53D6" w:rsidRPr="00BC7A02" w:rsidTr="00B73FC4">
        <w:trPr>
          <w:trHeight w:val="255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D6" w:rsidRPr="00BC7A02" w:rsidRDefault="00CB53D6" w:rsidP="008A3EAB">
            <w:pPr>
              <w:pStyle w:val="Tabletext"/>
              <w:spacing w:before="40" w:after="40"/>
              <w:jc w:val="center"/>
            </w:pPr>
            <w:r w:rsidRPr="00BC7A02">
              <w:t>2008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D6" w:rsidRPr="00BC7A02" w:rsidRDefault="00D42CCC" w:rsidP="008A3EAB">
            <w:pPr>
              <w:pStyle w:val="Tabletext"/>
              <w:spacing w:before="40" w:after="40"/>
              <w:jc w:val="center"/>
            </w:pPr>
            <w:r w:rsidRPr="00BC7A02">
              <w:t xml:space="preserve">49 </w:t>
            </w:r>
            <w:r w:rsidR="00CB53D6" w:rsidRPr="00BC7A02">
              <w:t>meses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D6" w:rsidRPr="00BC7A02" w:rsidRDefault="00D42CCC" w:rsidP="008A3EAB">
            <w:pPr>
              <w:pStyle w:val="Tabletext"/>
              <w:spacing w:before="40" w:after="40"/>
              <w:jc w:val="center"/>
            </w:pPr>
            <w:r w:rsidRPr="00BC7A02">
              <w:t>15 191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3D6" w:rsidRPr="00BC7A02" w:rsidRDefault="00D42CCC" w:rsidP="008A3EAB">
            <w:pPr>
              <w:pStyle w:val="Tabletext"/>
              <w:spacing w:before="40" w:after="40"/>
              <w:jc w:val="center"/>
            </w:pPr>
            <w:r w:rsidRPr="00BC7A02">
              <w:t>11 475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3D6" w:rsidRPr="00BC7A02" w:rsidRDefault="00CB53D6" w:rsidP="008A3EAB">
            <w:pPr>
              <w:pStyle w:val="Tabletext"/>
              <w:spacing w:before="40" w:after="40"/>
              <w:jc w:val="center"/>
            </w:pPr>
            <w:r w:rsidRPr="00BC7A02">
              <w:t xml:space="preserve">3 </w:t>
            </w:r>
            <w:r w:rsidR="00D42CCC" w:rsidRPr="00BC7A02">
              <w:t>716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D6" w:rsidRPr="00BC7A02" w:rsidRDefault="00CB53D6" w:rsidP="008A3EAB">
            <w:pPr>
              <w:pStyle w:val="Tabletext"/>
              <w:spacing w:before="40" w:after="40"/>
              <w:jc w:val="center"/>
            </w:pPr>
            <w:r w:rsidRPr="00BC7A02">
              <w:t>No ofrecida</w:t>
            </w:r>
          </w:p>
        </w:tc>
      </w:tr>
      <w:tr w:rsidR="00CB53D6" w:rsidRPr="00BC7A02" w:rsidTr="00B73FC4">
        <w:trPr>
          <w:trHeight w:val="255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3D6" w:rsidRPr="00BC7A02" w:rsidRDefault="00CB53D6" w:rsidP="008A3EAB">
            <w:pPr>
              <w:pStyle w:val="Tabletext"/>
              <w:spacing w:before="40" w:after="40"/>
              <w:jc w:val="center"/>
            </w:pPr>
            <w:r w:rsidRPr="00BC7A02">
              <w:t>Diferencia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3D6" w:rsidRPr="00BC7A02" w:rsidRDefault="000A76D6" w:rsidP="008A3EAB">
            <w:pPr>
              <w:pStyle w:val="Tabletext"/>
              <w:spacing w:before="40" w:after="40"/>
              <w:jc w:val="center"/>
            </w:pPr>
            <w:r>
              <w:t>–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3D6" w:rsidRPr="00BC7A02" w:rsidRDefault="00D42CCC" w:rsidP="008A3EAB">
            <w:pPr>
              <w:pStyle w:val="Tabletext"/>
              <w:spacing w:before="40" w:after="40"/>
              <w:jc w:val="center"/>
            </w:pPr>
            <w:r w:rsidRPr="00BC7A02">
              <w:t>(416)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3D6" w:rsidRPr="00BC7A02" w:rsidRDefault="00CB53D6" w:rsidP="008A3EAB">
            <w:pPr>
              <w:pStyle w:val="Tabletext"/>
              <w:spacing w:before="40" w:after="40"/>
              <w:jc w:val="center"/>
            </w:pPr>
            <w:r w:rsidRPr="00BC7A02">
              <w:t xml:space="preserve">2 </w:t>
            </w:r>
            <w:r w:rsidR="00D42CCC" w:rsidRPr="00BC7A02">
              <w:t>220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3D6" w:rsidRPr="00BC7A02" w:rsidRDefault="00D42CCC" w:rsidP="008A3EAB">
            <w:pPr>
              <w:pStyle w:val="Tabletext"/>
              <w:spacing w:before="40" w:after="40"/>
              <w:jc w:val="center"/>
            </w:pPr>
            <w:r w:rsidRPr="00BC7A02">
              <w:t>(</w:t>
            </w:r>
            <w:r w:rsidR="00CB53D6" w:rsidRPr="00BC7A02">
              <w:t xml:space="preserve">2 </w:t>
            </w:r>
            <w:r w:rsidRPr="00BC7A02">
              <w:t>636)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:rsidR="00CB53D6" w:rsidRPr="00BC7A02" w:rsidRDefault="00CB53D6" w:rsidP="008A3EAB">
            <w:pPr>
              <w:pStyle w:val="Tabletext"/>
              <w:spacing w:before="40" w:after="40"/>
              <w:jc w:val="center"/>
            </w:pPr>
          </w:p>
        </w:tc>
      </w:tr>
    </w:tbl>
    <w:p w:rsidR="00CB53D6" w:rsidRPr="00BC7A02" w:rsidRDefault="002904BF" w:rsidP="00CD79E3">
      <w:bookmarkStart w:id="14" w:name="OLE_LINK11"/>
      <w:bookmarkEnd w:id="13"/>
      <w:r>
        <w:lastRenderedPageBreak/>
        <w:t>Desde que se inició el acceso</w:t>
      </w:r>
      <w:r w:rsidR="007D66E2">
        <w:t xml:space="preserve"> en línea</w:t>
      </w:r>
      <w:r>
        <w:t xml:space="preserve"> gratuito a los Reglamentos de Radiocomunicaciones, l</w:t>
      </w:r>
      <w:r w:rsidR="00CB53D6" w:rsidRPr="00BC7A02">
        <w:t xml:space="preserve">as ventas totales de la edición de 2012 </w:t>
      </w:r>
      <w:r>
        <w:t xml:space="preserve">se </w:t>
      </w:r>
      <w:r w:rsidR="00DE6E25">
        <w:t>han reducido</w:t>
      </w:r>
      <w:r>
        <w:t xml:space="preserve"> ligeramente, un 3%, en comparación con las ventas de 2008, lo que </w:t>
      </w:r>
      <w:r w:rsidR="00DE6E25">
        <w:t>ha supuesto</w:t>
      </w:r>
      <w:r>
        <w:t xml:space="preserve"> una reducción en los ingresos por ventas de 132 000 CHF</w:t>
      </w:r>
      <w:r w:rsidR="00CB53D6" w:rsidRPr="00BC7A02">
        <w:t xml:space="preserve">. </w:t>
      </w:r>
      <w:r>
        <w:t xml:space="preserve">Las ventas de la edición de 2012 (DVD o en formato papel </w:t>
      </w:r>
      <w:r w:rsidR="007D66E2">
        <w:t>en</w:t>
      </w:r>
      <w:r>
        <w:t xml:space="preserve"> caja) a los distribuidores </w:t>
      </w:r>
      <w:r w:rsidR="00DE6E25">
        <w:t>han aumentado</w:t>
      </w:r>
      <w:r>
        <w:t xml:space="preserve"> en 2</w:t>
      </w:r>
      <w:r w:rsidR="0093754A">
        <w:t> </w:t>
      </w:r>
      <w:r>
        <w:t xml:space="preserve">200 copias en comparación con la edición de 2008. </w:t>
      </w:r>
      <w:r w:rsidR="00CB53D6" w:rsidRPr="00BC7A02">
        <w:t xml:space="preserve">Las ventas </w:t>
      </w:r>
      <w:r>
        <w:t xml:space="preserve">que no </w:t>
      </w:r>
      <w:r w:rsidR="00DE6E25">
        <w:t>se han realizado</w:t>
      </w:r>
      <w:r>
        <w:t xml:space="preserve"> a distribuidores (por ejemplo</w:t>
      </w:r>
      <w:r w:rsidR="00EC6AD1">
        <w:t>,</w:t>
      </w:r>
      <w:r>
        <w:t xml:space="preserve"> a</w:t>
      </w:r>
      <w:r w:rsidR="00CB53D6" w:rsidRPr="00BC7A02">
        <w:t> clientes particulares</w:t>
      </w:r>
      <w:r>
        <w:t xml:space="preserve">) </w:t>
      </w:r>
      <w:r w:rsidR="00DE6E25">
        <w:t>se han reducido</w:t>
      </w:r>
      <w:r>
        <w:t xml:space="preserve"> en más de 2</w:t>
      </w:r>
      <w:r w:rsidR="0093754A">
        <w:t> </w:t>
      </w:r>
      <w:r>
        <w:t>600 ejemplares</w:t>
      </w:r>
      <w:r w:rsidR="00CB53D6" w:rsidRPr="00BC7A02">
        <w:t>.</w:t>
      </w:r>
    </w:p>
    <w:p w:rsidR="00CB53D6" w:rsidRPr="00BC7A02" w:rsidRDefault="002904BF" w:rsidP="0093754A">
      <w:r>
        <w:t>Desde que se inició el acceso en línea gratuito en 2012</w:t>
      </w:r>
      <w:r w:rsidR="00CB53D6" w:rsidRPr="00BC7A02">
        <w:t xml:space="preserve">, se han realizado </w:t>
      </w:r>
      <w:r>
        <w:t>más de 23</w:t>
      </w:r>
      <w:r w:rsidR="0093754A">
        <w:t> </w:t>
      </w:r>
      <w:r>
        <w:t>000</w:t>
      </w:r>
      <w:r w:rsidR="00CB53D6" w:rsidRPr="00BC7A02">
        <w:t xml:space="preserve"> descargas gratuitas. Puede hallarse información más completa sobre la descarga gratuita por país en: </w:t>
      </w:r>
      <w:hyperlink r:id="rId20" w:history="1">
        <w:r w:rsidRPr="006A328C">
          <w:rPr>
            <w:rStyle w:val="Hyperlink"/>
          </w:rPr>
          <w:t>http://www.itu.int/en/council/Documents/2017/rr-sales-2016.docx</w:t>
        </w:r>
      </w:hyperlink>
      <w:r w:rsidR="00CB53D6" w:rsidRPr="00BC7A02">
        <w:t>.</w:t>
      </w:r>
    </w:p>
    <w:bookmarkEnd w:id="14"/>
    <w:p w:rsidR="00CB53D6" w:rsidRPr="00BC7A02" w:rsidRDefault="00CB53D6" w:rsidP="008A3EAB">
      <w:pPr>
        <w:pStyle w:val="Reasons"/>
      </w:pPr>
    </w:p>
    <w:p w:rsidR="00CB53D6" w:rsidRPr="00BC7A02" w:rsidRDefault="00CB53D6" w:rsidP="008A3EAB">
      <w:pPr>
        <w:jc w:val="center"/>
      </w:pPr>
      <w:bookmarkStart w:id="15" w:name="_GoBack"/>
      <w:bookmarkEnd w:id="15"/>
      <w:r w:rsidRPr="00BC7A02">
        <w:t>______________</w:t>
      </w:r>
    </w:p>
    <w:sectPr w:rsidR="00CB53D6" w:rsidRPr="00BC7A02" w:rsidSect="006710F6">
      <w:headerReference w:type="default" r:id="rId21"/>
      <w:footerReference w:type="default" r:id="rId22"/>
      <w:footerReference w:type="first" r:id="rId2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DA3" w:rsidRDefault="00273DA3">
      <w:r>
        <w:separator/>
      </w:r>
    </w:p>
  </w:endnote>
  <w:endnote w:type="continuationSeparator" w:id="0">
    <w:p w:rsidR="00273DA3" w:rsidRDefault="0027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3D6" w:rsidRPr="00467BC7" w:rsidRDefault="008A3EAB" w:rsidP="008A3EAB">
    <w:pPr>
      <w:pStyle w:val="Footer"/>
      <w:rPr>
        <w:lang w:val="en-US"/>
      </w:rPr>
    </w:pPr>
    <w:r w:rsidRPr="008A3EAB">
      <w:rPr>
        <w:lang w:val="es-ES_tradnl"/>
      </w:rPr>
      <w:fldChar w:fldCharType="begin"/>
    </w:r>
    <w:r w:rsidRPr="00467BC7">
      <w:rPr>
        <w:lang w:val="en-US"/>
      </w:rPr>
      <w:instrText xml:space="preserve"> FILENAME \p  \* MERGEFORMAT </w:instrText>
    </w:r>
    <w:r w:rsidRPr="008A3EAB">
      <w:rPr>
        <w:lang w:val="es-ES_tradnl"/>
      </w:rPr>
      <w:fldChar w:fldCharType="separate"/>
    </w:r>
    <w:r w:rsidR="00467BC7" w:rsidRPr="00467BC7">
      <w:rPr>
        <w:lang w:val="en-US"/>
      </w:rPr>
      <w:t>P:\SPM\GBS\c17\doc\021v2S.docx</w:t>
    </w:r>
    <w:r w:rsidRPr="008A3EAB">
      <w:rPr>
        <w:lang w:val="es-ES_tradnl"/>
      </w:rPr>
      <w:fldChar w:fldCharType="end"/>
    </w:r>
    <w:r w:rsidRPr="00467BC7">
      <w:rPr>
        <w:lang w:val="en-US"/>
      </w:rPr>
      <w:t xml:space="preserve"> (409471)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Default="00760F1C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760F1C" w:rsidRPr="00467BC7" w:rsidRDefault="008A3EAB" w:rsidP="008A3EAB">
    <w:pPr>
      <w:pStyle w:val="Footer"/>
      <w:rPr>
        <w:lang w:val="en-US"/>
      </w:rPr>
    </w:pPr>
    <w:r w:rsidRPr="008A3EAB">
      <w:rPr>
        <w:lang w:val="es-ES_tradnl"/>
      </w:rPr>
      <w:fldChar w:fldCharType="begin"/>
    </w:r>
    <w:r w:rsidRPr="00467BC7">
      <w:rPr>
        <w:lang w:val="en-US"/>
      </w:rPr>
      <w:instrText xml:space="preserve"> FILENAME \p  \* MERGEFORMAT </w:instrText>
    </w:r>
    <w:r w:rsidRPr="008A3EAB">
      <w:rPr>
        <w:lang w:val="es-ES_tradnl"/>
      </w:rPr>
      <w:fldChar w:fldCharType="separate"/>
    </w:r>
    <w:r w:rsidR="00467BC7" w:rsidRPr="00467BC7">
      <w:rPr>
        <w:lang w:val="en-US"/>
      </w:rPr>
      <w:t>P:\SPM\GBS\c17\doc\021v2S.docx</w:t>
    </w:r>
    <w:r w:rsidRPr="008A3EAB">
      <w:rPr>
        <w:lang w:val="es-ES_tradnl"/>
      </w:rPr>
      <w:fldChar w:fldCharType="end"/>
    </w:r>
    <w:r w:rsidRPr="00467BC7">
      <w:rPr>
        <w:lang w:val="en-US"/>
      </w:rPr>
      <w:t xml:space="preserve"> (409471)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DA3" w:rsidRDefault="00273DA3">
      <w:r>
        <w:t>____________________</w:t>
      </w:r>
    </w:p>
  </w:footnote>
  <w:footnote w:type="continuationSeparator" w:id="0">
    <w:p w:rsidR="00273DA3" w:rsidRDefault="00273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Default="000B7C15" w:rsidP="007657F0">
    <w:pPr>
      <w:pStyle w:val="Header"/>
    </w:pPr>
    <w:r>
      <w:fldChar w:fldCharType="begin"/>
    </w:r>
    <w:r>
      <w:instrText>PAGE</w:instrText>
    </w:r>
    <w:r>
      <w:fldChar w:fldCharType="separate"/>
    </w:r>
    <w:r w:rsidR="00467BC7">
      <w:rPr>
        <w:noProof/>
      </w:rPr>
      <w:t>5</w:t>
    </w:r>
    <w:r>
      <w:rPr>
        <w:noProof/>
      </w:rPr>
      <w:fldChar w:fldCharType="end"/>
    </w:r>
  </w:p>
  <w:p w:rsidR="00760F1C" w:rsidRDefault="00760F1C" w:rsidP="00B8298E">
    <w:pPr>
      <w:pStyle w:val="Header"/>
    </w:pPr>
    <w:r>
      <w:t>C</w:t>
    </w:r>
    <w:r w:rsidR="007F350B">
      <w:t>1</w:t>
    </w:r>
    <w:r w:rsidR="00B8298E">
      <w:t>7</w:t>
    </w:r>
    <w:r w:rsidR="00773991">
      <w:t>/21</w:t>
    </w:r>
    <w:r>
      <w:t>-S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4FED4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2ABC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944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349A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E8CE3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4CE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9A03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9D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92E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869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A3"/>
    <w:rsid w:val="0003605A"/>
    <w:rsid w:val="000453F4"/>
    <w:rsid w:val="00045E8E"/>
    <w:rsid w:val="00060C71"/>
    <w:rsid w:val="00067A38"/>
    <w:rsid w:val="00093EEB"/>
    <w:rsid w:val="000A76D6"/>
    <w:rsid w:val="000B0D00"/>
    <w:rsid w:val="000B4D35"/>
    <w:rsid w:val="000B7C15"/>
    <w:rsid w:val="000D1D0F"/>
    <w:rsid w:val="000E34C3"/>
    <w:rsid w:val="000F5290"/>
    <w:rsid w:val="0010165C"/>
    <w:rsid w:val="0011420E"/>
    <w:rsid w:val="001171C8"/>
    <w:rsid w:val="0012776A"/>
    <w:rsid w:val="00134E5A"/>
    <w:rsid w:val="00146BFB"/>
    <w:rsid w:val="0015489C"/>
    <w:rsid w:val="001554F5"/>
    <w:rsid w:val="001A1B0D"/>
    <w:rsid w:val="001B5A5A"/>
    <w:rsid w:val="001C5DC9"/>
    <w:rsid w:val="001D560F"/>
    <w:rsid w:val="001F14A2"/>
    <w:rsid w:val="002370A7"/>
    <w:rsid w:val="0024407F"/>
    <w:rsid w:val="002447B2"/>
    <w:rsid w:val="002501A8"/>
    <w:rsid w:val="00253107"/>
    <w:rsid w:val="00260D5B"/>
    <w:rsid w:val="00260DD5"/>
    <w:rsid w:val="00273DA3"/>
    <w:rsid w:val="002801AA"/>
    <w:rsid w:val="002904BF"/>
    <w:rsid w:val="002A3FB0"/>
    <w:rsid w:val="002A7ECE"/>
    <w:rsid w:val="002B1554"/>
    <w:rsid w:val="002C4676"/>
    <w:rsid w:val="002C5F54"/>
    <w:rsid w:val="002C70B0"/>
    <w:rsid w:val="002D19EF"/>
    <w:rsid w:val="002D59EE"/>
    <w:rsid w:val="002E4B59"/>
    <w:rsid w:val="002F2CEF"/>
    <w:rsid w:val="002F3CC4"/>
    <w:rsid w:val="00334F0F"/>
    <w:rsid w:val="00386B35"/>
    <w:rsid w:val="003E1FCA"/>
    <w:rsid w:val="003E41D9"/>
    <w:rsid w:val="00445A4A"/>
    <w:rsid w:val="00446ABF"/>
    <w:rsid w:val="00460CD2"/>
    <w:rsid w:val="004630C0"/>
    <w:rsid w:val="00467BC7"/>
    <w:rsid w:val="00482265"/>
    <w:rsid w:val="00491B37"/>
    <w:rsid w:val="004A43A5"/>
    <w:rsid w:val="004C1209"/>
    <w:rsid w:val="004D71AF"/>
    <w:rsid w:val="004F24B8"/>
    <w:rsid w:val="00501DB8"/>
    <w:rsid w:val="0051356E"/>
    <w:rsid w:val="00513630"/>
    <w:rsid w:val="005430CE"/>
    <w:rsid w:val="00560125"/>
    <w:rsid w:val="005646D4"/>
    <w:rsid w:val="00585553"/>
    <w:rsid w:val="00587459"/>
    <w:rsid w:val="0059161B"/>
    <w:rsid w:val="005921BC"/>
    <w:rsid w:val="005A51D9"/>
    <w:rsid w:val="005B34D9"/>
    <w:rsid w:val="005C5C6F"/>
    <w:rsid w:val="005C6FD1"/>
    <w:rsid w:val="005D0CCF"/>
    <w:rsid w:val="005D5B5F"/>
    <w:rsid w:val="005F3DAF"/>
    <w:rsid w:val="005F410F"/>
    <w:rsid w:val="0060149A"/>
    <w:rsid w:val="00601924"/>
    <w:rsid w:val="00623CF7"/>
    <w:rsid w:val="0063215C"/>
    <w:rsid w:val="00640C9D"/>
    <w:rsid w:val="006447EA"/>
    <w:rsid w:val="00645CE9"/>
    <w:rsid w:val="0064731F"/>
    <w:rsid w:val="006710F6"/>
    <w:rsid w:val="00672115"/>
    <w:rsid w:val="006834EB"/>
    <w:rsid w:val="00684639"/>
    <w:rsid w:val="006B2121"/>
    <w:rsid w:val="006B75D0"/>
    <w:rsid w:val="006C1B56"/>
    <w:rsid w:val="006C76DA"/>
    <w:rsid w:val="006D4761"/>
    <w:rsid w:val="0071013F"/>
    <w:rsid w:val="0071714D"/>
    <w:rsid w:val="00726872"/>
    <w:rsid w:val="00730D77"/>
    <w:rsid w:val="00751B2C"/>
    <w:rsid w:val="00760F1C"/>
    <w:rsid w:val="007657F0"/>
    <w:rsid w:val="0077252D"/>
    <w:rsid w:val="00773991"/>
    <w:rsid w:val="007763DB"/>
    <w:rsid w:val="007D0919"/>
    <w:rsid w:val="007D66E2"/>
    <w:rsid w:val="007E5DD3"/>
    <w:rsid w:val="007F350B"/>
    <w:rsid w:val="00812042"/>
    <w:rsid w:val="00820BE4"/>
    <w:rsid w:val="00826B51"/>
    <w:rsid w:val="008311C7"/>
    <w:rsid w:val="008451E8"/>
    <w:rsid w:val="00862F1E"/>
    <w:rsid w:val="008A2B3B"/>
    <w:rsid w:val="008A3EAB"/>
    <w:rsid w:val="008C63FC"/>
    <w:rsid w:val="008E72A7"/>
    <w:rsid w:val="00913B9C"/>
    <w:rsid w:val="00914C35"/>
    <w:rsid w:val="0093754A"/>
    <w:rsid w:val="00954877"/>
    <w:rsid w:val="00956E77"/>
    <w:rsid w:val="009766A7"/>
    <w:rsid w:val="009B55A0"/>
    <w:rsid w:val="009C5918"/>
    <w:rsid w:val="009E114D"/>
    <w:rsid w:val="00A04397"/>
    <w:rsid w:val="00A40BAD"/>
    <w:rsid w:val="00A50E98"/>
    <w:rsid w:val="00AA2D96"/>
    <w:rsid w:val="00AA390C"/>
    <w:rsid w:val="00AB12B7"/>
    <w:rsid w:val="00AF0327"/>
    <w:rsid w:val="00B00F9A"/>
    <w:rsid w:val="00B0200A"/>
    <w:rsid w:val="00B17086"/>
    <w:rsid w:val="00B2318C"/>
    <w:rsid w:val="00B51852"/>
    <w:rsid w:val="00B574DB"/>
    <w:rsid w:val="00B826C2"/>
    <w:rsid w:val="00B8298E"/>
    <w:rsid w:val="00BA4D58"/>
    <w:rsid w:val="00BA67F2"/>
    <w:rsid w:val="00BC7A02"/>
    <w:rsid w:val="00BD0723"/>
    <w:rsid w:val="00BD2518"/>
    <w:rsid w:val="00BF108C"/>
    <w:rsid w:val="00BF1D1C"/>
    <w:rsid w:val="00C01195"/>
    <w:rsid w:val="00C14691"/>
    <w:rsid w:val="00C20C59"/>
    <w:rsid w:val="00C31B46"/>
    <w:rsid w:val="00C47DFF"/>
    <w:rsid w:val="00C55B1F"/>
    <w:rsid w:val="00C71F31"/>
    <w:rsid w:val="00C83ED3"/>
    <w:rsid w:val="00C84849"/>
    <w:rsid w:val="00CB53D6"/>
    <w:rsid w:val="00CB6D14"/>
    <w:rsid w:val="00CD79E3"/>
    <w:rsid w:val="00CE7A86"/>
    <w:rsid w:val="00CF1A67"/>
    <w:rsid w:val="00D110D9"/>
    <w:rsid w:val="00D14948"/>
    <w:rsid w:val="00D2299F"/>
    <w:rsid w:val="00D2750E"/>
    <w:rsid w:val="00D30D5B"/>
    <w:rsid w:val="00D42CCC"/>
    <w:rsid w:val="00D50E8F"/>
    <w:rsid w:val="00D6147D"/>
    <w:rsid w:val="00D62446"/>
    <w:rsid w:val="00DA4EA2"/>
    <w:rsid w:val="00DA5A59"/>
    <w:rsid w:val="00DB5393"/>
    <w:rsid w:val="00DC3D3E"/>
    <w:rsid w:val="00DE2C90"/>
    <w:rsid w:val="00DE3B24"/>
    <w:rsid w:val="00DE6E25"/>
    <w:rsid w:val="00DF520A"/>
    <w:rsid w:val="00E06947"/>
    <w:rsid w:val="00E077C0"/>
    <w:rsid w:val="00E17767"/>
    <w:rsid w:val="00E2417B"/>
    <w:rsid w:val="00E3592D"/>
    <w:rsid w:val="00E433C6"/>
    <w:rsid w:val="00E738B6"/>
    <w:rsid w:val="00E75BCA"/>
    <w:rsid w:val="00E92DE8"/>
    <w:rsid w:val="00EB1212"/>
    <w:rsid w:val="00EC6AD1"/>
    <w:rsid w:val="00ED65AB"/>
    <w:rsid w:val="00ED6AE6"/>
    <w:rsid w:val="00EE2E53"/>
    <w:rsid w:val="00F12850"/>
    <w:rsid w:val="00F220DE"/>
    <w:rsid w:val="00F3194B"/>
    <w:rsid w:val="00F33BF4"/>
    <w:rsid w:val="00F3674D"/>
    <w:rsid w:val="00F447F5"/>
    <w:rsid w:val="00F60BBF"/>
    <w:rsid w:val="00F63255"/>
    <w:rsid w:val="00F67F17"/>
    <w:rsid w:val="00F7105E"/>
    <w:rsid w:val="00F75F57"/>
    <w:rsid w:val="00F82FEE"/>
    <w:rsid w:val="00F94E2E"/>
    <w:rsid w:val="00FA5271"/>
    <w:rsid w:val="00FB6D3B"/>
    <w:rsid w:val="00FE5466"/>
    <w:rsid w:val="00FE6AFF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82F54E0D-3394-426D-98DB-8486CA82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table" w:styleId="TableGrid">
    <w:name w:val="Table Grid"/>
    <w:basedOn w:val="TableNormal"/>
    <w:uiPriority w:val="59"/>
    <w:rsid w:val="00CB53D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md/S13-CL-C-0093/en" TargetMode="External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12-CL-C-0103/es" TargetMode="External"/><Relationship Id="rId17" Type="http://schemas.openxmlformats.org/officeDocument/2006/relationships/hyperlink" Target="https://www.itu.int/md/S17-CL-INF-0004/e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S17-CL-INF-0004/es" TargetMode="External"/><Relationship Id="rId20" Type="http://schemas.openxmlformats.org/officeDocument/2006/relationships/hyperlink" Target="http://www.itu.int/en/council/Documents/2017/rr-sales-2016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pub/S-CONF-ACTF-2014/e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footer" Target="footer2.xml"/><Relationship Id="rId10" Type="http://schemas.openxmlformats.org/officeDocument/2006/relationships/hyperlink" Target="http://www.itu.int/council/Basic-Texts/ResDecRec-PP10-e.doc" TargetMode="External"/><Relationship Id="rId19" Type="http://schemas.openxmlformats.org/officeDocument/2006/relationships/hyperlink" Target="http://www.itu.int/en/council/Documents/2017/country-sales-2016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17-CL-INF-0004/es" TargetMode="External"/><Relationship Id="rId14" Type="http://schemas.openxmlformats.org/officeDocument/2006/relationships/hyperlink" Target="https://www.itu.int/md/S17-CL-INF-0004/es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S%20-%20ITU\PS_C17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bimana\Documents\Publications\Council%202017\Sent%20to%20Shafqat\Sent%20in%202017\ChartsCouncil%202017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bimana\Documents\Publications\Council%202017\ChartsCouncil%20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u="none" strike="noStrike" baseline="0">
                <a:effectLst/>
              </a:rPr>
              <a:t>Ventas por formato </a:t>
            </a:r>
            <a:r>
              <a:rPr lang="en-US" baseline="0"/>
              <a:t>2012-2016 (%)</a:t>
            </a:r>
            <a:endParaRPr lang="en-US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7.4705603189030897E-2"/>
          <c:y val="8.8005359518736795E-2"/>
          <c:w val="0.78319066944403803"/>
          <c:h val="0.85959902091289397"/>
        </c:manualLayout>
      </c:layout>
      <c:lineChart>
        <c:grouping val="standard"/>
        <c:varyColors val="0"/>
        <c:ser>
          <c:idx val="2"/>
          <c:order val="1"/>
          <c:tx>
            <c:strRef>
              <c:f>'Figure 1 Data'!$D$10</c:f>
              <c:strCache>
                <c:ptCount val="1"/>
                <c:pt idx="0">
                  <c:v>CD/DVD-Rom</c:v>
                </c:pt>
              </c:strCache>
            </c:strRef>
          </c:tx>
          <c:dLbls>
            <c:dLbl>
              <c:idx val="0"/>
              <c:layout>
                <c:manualLayout>
                  <c:x val="1.3646842496740301E-3"/>
                  <c:y val="6.26455048726199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'Figure 1 Data'!$B$11:$B$17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  <c:extLst/>
            </c:numRef>
          </c:cat>
          <c:val>
            <c:numRef>
              <c:f>'Figure 1 Data'!$D$11:$D$17</c:f>
              <c:numCache>
                <c:formatCode>_(* #,##0_);_(* \(#,##0\);_(* "-"??_);_(@_)</c:formatCode>
                <c:ptCount val="5"/>
                <c:pt idx="0">
                  <c:v>84</c:v>
                </c:pt>
                <c:pt idx="1">
                  <c:v>72</c:v>
                </c:pt>
                <c:pt idx="2">
                  <c:v>87</c:v>
                </c:pt>
                <c:pt idx="3">
                  <c:v>90</c:v>
                </c:pt>
                <c:pt idx="4">
                  <c:v>77</c:v>
                </c:pt>
              </c:numCache>
              <c:extLst/>
            </c:numRef>
          </c:val>
          <c:smooth val="0"/>
          <c:extLst/>
        </c:ser>
        <c:ser>
          <c:idx val="1"/>
          <c:order val="0"/>
          <c:tx>
            <c:strRef>
              <c:f>'Figure 1 Data'!$C$10</c:f>
              <c:strCache>
                <c:ptCount val="1"/>
                <c:pt idx="0">
                  <c:v>Paper</c:v>
                </c:pt>
              </c:strCache>
            </c:strRef>
          </c:tx>
          <c:dLbls>
            <c:dLbl>
              <c:idx val="0"/>
              <c:layout>
                <c:manualLayout>
                  <c:x val="-1.3646842496740301E-3"/>
                  <c:y val="-3.13227524363099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1.46172844702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'Figure 1 Data'!$B$11:$B$17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  <c:extLst/>
            </c:numRef>
          </c:cat>
          <c:val>
            <c:numRef>
              <c:f>'Figure 1 Data'!$C$11:$C$17</c:f>
              <c:numCache>
                <c:formatCode>_(* #,##0_);_(* \(#,##0\);_(* "-"??_);_(@_)</c:formatCode>
                <c:ptCount val="5"/>
                <c:pt idx="0">
                  <c:v>13</c:v>
                </c:pt>
                <c:pt idx="1">
                  <c:v>26</c:v>
                </c:pt>
                <c:pt idx="2">
                  <c:v>11</c:v>
                </c:pt>
                <c:pt idx="3">
                  <c:v>8</c:v>
                </c:pt>
                <c:pt idx="4">
                  <c:v>21</c:v>
                </c:pt>
              </c:numCache>
              <c:extLst/>
            </c:numRef>
          </c:val>
          <c:smooth val="0"/>
          <c:extLst/>
        </c:ser>
        <c:ser>
          <c:idx val="3"/>
          <c:order val="2"/>
          <c:tx>
            <c:strRef>
              <c:f>'Figure 1 Data'!$E$10</c:f>
              <c:strCache>
                <c:ptCount val="1"/>
                <c:pt idx="0">
                  <c:v>Online/E-bookshop and other*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'Figure 1 Data'!$B$11:$B$17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  <c:extLst/>
            </c:numRef>
          </c:cat>
          <c:val>
            <c:numRef>
              <c:f>'Figure 1 Data'!$E$11:$E$17</c:f>
              <c:numCache>
                <c:formatCode>_(* #,##0_);_(* \(#,##0\);_(* "-"??_);_(@_)</c:formatCode>
                <c:ptCount val="5"/>
                <c:pt idx="0">
                  <c:v>3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  <c:extLst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9085840"/>
        <c:axId val="399086232"/>
      </c:lineChart>
      <c:catAx>
        <c:axId val="399085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99086232"/>
        <c:crosses val="autoZero"/>
        <c:auto val="1"/>
        <c:lblAlgn val="ctr"/>
        <c:lblOffset val="100"/>
        <c:noMultiLvlLbl val="0"/>
      </c:catAx>
      <c:valAx>
        <c:axId val="39908623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Porcentaje</a:t>
                </a:r>
              </a:p>
            </c:rich>
          </c:tx>
          <c:layout/>
          <c:overlay val="0"/>
        </c:title>
        <c:numFmt formatCode="_(* #,##0_);_(* \(#,##0\);_(* &quot;-&quot;??_);_(@_)" sourceLinked="1"/>
        <c:majorTickMark val="none"/>
        <c:minorTickMark val="none"/>
        <c:tickLblPos val="nextTo"/>
        <c:crossAx val="3990858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927169624404302"/>
          <c:y val="0.47562046364316202"/>
          <c:w val="0.33771311937417797"/>
          <c:h val="0.17318033569826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>
                <a:effectLst/>
              </a:rPr>
              <a:t>Ventas Miembros/no miembros </a:t>
            </a:r>
            <a:r>
              <a:rPr lang="en-US"/>
              <a:t>(%)</a:t>
            </a:r>
          </a:p>
        </c:rich>
      </c:tx>
      <c:layout>
        <c:manualLayout>
          <c:xMode val="edge"/>
          <c:yMode val="edge"/>
          <c:x val="0.26129620074054"/>
          <c:y val="1.2529100974523999E-2"/>
        </c:manualLayout>
      </c:layout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'Figure 2 Data'!$D$12</c:f>
              <c:strCache>
                <c:ptCount val="1"/>
                <c:pt idx="0">
                  <c:v>Members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multiLvlStrRef>
              <c:f>'Figure 2 Data'!$B$13:$C$26</c:f>
              <c:multiLvlStrCache>
                <c:ptCount val="10"/>
                <c:lvl>
                  <c:pt idx="0">
                    <c:v>Paper/CD</c:v>
                  </c:pt>
                  <c:pt idx="1">
                    <c:v>Online</c:v>
                  </c:pt>
                  <c:pt idx="2">
                    <c:v>Paper/CD</c:v>
                  </c:pt>
                  <c:pt idx="3">
                    <c:v>Online</c:v>
                  </c:pt>
                  <c:pt idx="4">
                    <c:v>Paper/CD</c:v>
                  </c:pt>
                  <c:pt idx="5">
                    <c:v>Online</c:v>
                  </c:pt>
                  <c:pt idx="6">
                    <c:v>Paper/CD</c:v>
                  </c:pt>
                  <c:pt idx="7">
                    <c:v>Online</c:v>
                  </c:pt>
                  <c:pt idx="8">
                    <c:v>Paper/CD</c:v>
                  </c:pt>
                  <c:pt idx="9">
                    <c:v>Online</c:v>
                  </c:pt>
                </c:lvl>
                <c:lvl>
                  <c:pt idx="0">
                    <c:v>2012</c:v>
                  </c:pt>
                  <c:pt idx="1">
                    <c:v>2012</c:v>
                  </c:pt>
                  <c:pt idx="2">
                    <c:v>2013</c:v>
                  </c:pt>
                  <c:pt idx="3">
                    <c:v>2013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2015</c:v>
                  </c:pt>
                  <c:pt idx="7">
                    <c:v>2015</c:v>
                  </c:pt>
                  <c:pt idx="8">
                    <c:v>2016</c:v>
                  </c:pt>
                  <c:pt idx="9">
                    <c:v>2016</c:v>
                  </c:pt>
                </c:lvl>
              </c:multiLvlStrCache>
              <c:extLst/>
            </c:multiLvlStrRef>
          </c:cat>
          <c:val>
            <c:numRef>
              <c:f>'Figure 2 Data'!$D$13:$D$26</c:f>
              <c:numCache>
                <c:formatCode>_(* #,##0_);_(* \(#,##0\);_(* "-"??_);_(@_)</c:formatCode>
                <c:ptCount val="10"/>
                <c:pt idx="0">
                  <c:v>5</c:v>
                </c:pt>
                <c:pt idx="1">
                  <c:v>52</c:v>
                </c:pt>
                <c:pt idx="2">
                  <c:v>6</c:v>
                </c:pt>
                <c:pt idx="3">
                  <c:v>22</c:v>
                </c:pt>
                <c:pt idx="4">
                  <c:v>5</c:v>
                </c:pt>
                <c:pt idx="5">
                  <c:v>45</c:v>
                </c:pt>
                <c:pt idx="6">
                  <c:v>5</c:v>
                </c:pt>
                <c:pt idx="7">
                  <c:v>44</c:v>
                </c:pt>
                <c:pt idx="8">
                  <c:v>5</c:v>
                </c:pt>
                <c:pt idx="9">
                  <c:v>36</c:v>
                </c:pt>
              </c:numCache>
              <c:extLst/>
            </c:numRef>
          </c:val>
        </c:ser>
        <c:ser>
          <c:idx val="1"/>
          <c:order val="1"/>
          <c:tx>
            <c:strRef>
              <c:f>'Figure 2 Data'!$E$12</c:f>
              <c:strCache>
                <c:ptCount val="1"/>
                <c:pt idx="0">
                  <c:v>Non-Members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multiLvlStrRef>
              <c:f>'Figure 2 Data'!$B$13:$C$26</c:f>
              <c:multiLvlStrCache>
                <c:ptCount val="10"/>
                <c:lvl>
                  <c:pt idx="0">
                    <c:v>Paper/CD</c:v>
                  </c:pt>
                  <c:pt idx="1">
                    <c:v>Online</c:v>
                  </c:pt>
                  <c:pt idx="2">
                    <c:v>Paper/CD</c:v>
                  </c:pt>
                  <c:pt idx="3">
                    <c:v>Online</c:v>
                  </c:pt>
                  <c:pt idx="4">
                    <c:v>Paper/CD</c:v>
                  </c:pt>
                  <c:pt idx="5">
                    <c:v>Online</c:v>
                  </c:pt>
                  <c:pt idx="6">
                    <c:v>Paper/CD</c:v>
                  </c:pt>
                  <c:pt idx="7">
                    <c:v>Online</c:v>
                  </c:pt>
                  <c:pt idx="8">
                    <c:v>Paper/CD</c:v>
                  </c:pt>
                  <c:pt idx="9">
                    <c:v>Online</c:v>
                  </c:pt>
                </c:lvl>
                <c:lvl>
                  <c:pt idx="0">
                    <c:v>2012</c:v>
                  </c:pt>
                  <c:pt idx="1">
                    <c:v>2012</c:v>
                  </c:pt>
                  <c:pt idx="2">
                    <c:v>2013</c:v>
                  </c:pt>
                  <c:pt idx="3">
                    <c:v>2013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2015</c:v>
                  </c:pt>
                  <c:pt idx="7">
                    <c:v>2015</c:v>
                  </c:pt>
                  <c:pt idx="8">
                    <c:v>2016</c:v>
                  </c:pt>
                  <c:pt idx="9">
                    <c:v>2016</c:v>
                  </c:pt>
                </c:lvl>
              </c:multiLvlStrCache>
              <c:extLst/>
            </c:multiLvlStrRef>
          </c:cat>
          <c:val>
            <c:numRef>
              <c:f>'Figure 2 Data'!$E$13:$E$26</c:f>
              <c:numCache>
                <c:formatCode>_(* #,##0_);_(* \(#,##0\);_(* "-"??_);_(@_)</c:formatCode>
                <c:ptCount val="10"/>
                <c:pt idx="0">
                  <c:v>95</c:v>
                </c:pt>
                <c:pt idx="1">
                  <c:v>48</c:v>
                </c:pt>
                <c:pt idx="2">
                  <c:v>94</c:v>
                </c:pt>
                <c:pt idx="3">
                  <c:v>78</c:v>
                </c:pt>
                <c:pt idx="4">
                  <c:v>95</c:v>
                </c:pt>
                <c:pt idx="5">
                  <c:v>55</c:v>
                </c:pt>
                <c:pt idx="6">
                  <c:v>95</c:v>
                </c:pt>
                <c:pt idx="7">
                  <c:v>56</c:v>
                </c:pt>
                <c:pt idx="8">
                  <c:v>95</c:v>
                </c:pt>
                <c:pt idx="9">
                  <c:v>64</c:v>
                </c:pt>
              </c:numCache>
              <c:extLst/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396130960"/>
        <c:axId val="396131352"/>
        <c:axId val="0"/>
      </c:bar3DChart>
      <c:catAx>
        <c:axId val="3961309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96131352"/>
        <c:crosses val="autoZero"/>
        <c:auto val="1"/>
        <c:lblAlgn val="ctr"/>
        <c:lblOffset val="100"/>
        <c:noMultiLvlLbl val="0"/>
      </c:catAx>
      <c:valAx>
        <c:axId val="396131352"/>
        <c:scaling>
          <c:orientation val="minMax"/>
        </c:scaling>
        <c:delete val="1"/>
        <c:axPos val="l"/>
        <c:numFmt formatCode="_(* #,##0_);_(* \(#,##0\);_(* &quot;-&quot;??_);_(@_)" sourceLinked="1"/>
        <c:majorTickMark val="none"/>
        <c:minorTickMark val="none"/>
        <c:tickLblPos val="nextTo"/>
        <c:crossAx val="396130960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59A2B-E7F6-44C9-B7C1-707304EB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PS_C17.dotx</Template>
  <TotalTime>1</TotalTime>
  <Pages>6</Pages>
  <Words>1374</Words>
  <Characters>7876</Characters>
  <Application>Microsoft Office Word</Application>
  <DocSecurity>0</DocSecurity>
  <Lines>154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9175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Consejo 2010</dc:subject>
  <dc:creator>Ricardo Sáez Grau</dc:creator>
  <cp:keywords>C2010, C10</cp:keywords>
  <dc:description>Documento C17/-S  Para: _x000d_Fecha del documento: enero de 2017_x000d_Registrado por ITU51009317 a 15:32:38 el 06/04/2017</dc:description>
  <cp:lastModifiedBy>Janin</cp:lastModifiedBy>
  <cp:revision>3</cp:revision>
  <cp:lastPrinted>2017-05-03T06:41:00Z</cp:lastPrinted>
  <dcterms:created xsi:type="dcterms:W3CDTF">2017-05-03T06:41:00Z</dcterms:created>
  <dcterms:modified xsi:type="dcterms:W3CDTF">2017-05-03T06:42:00Z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</Properties>
</file>