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7D5854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:rsidR="00520F36" w:rsidRPr="0092392D" w:rsidRDefault="00520F36" w:rsidP="00575267">
            <w:pPr>
              <w:spacing w:before="0" w:line="360" w:lineRule="auto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75267">
            <w:pPr>
              <w:spacing w:before="0" w:line="360" w:lineRule="auto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75267">
            <w:pPr>
              <w:spacing w:before="0" w:line="360" w:lineRule="auto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75267">
            <w:pPr>
              <w:spacing w:before="0" w:line="360" w:lineRule="auto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7D5854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0C118B" w:rsidP="00575267">
            <w:pPr>
              <w:spacing w:before="0" w:line="360" w:lineRule="auto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 xml:space="preserve">Point de l'ordre du </w:t>
            </w:r>
            <w:proofErr w:type="gramStart"/>
            <w:r>
              <w:rPr>
                <w:rFonts w:cs="Times"/>
                <w:b/>
                <w:bCs/>
                <w:szCs w:val="24"/>
                <w:lang w:val="fr-CH"/>
              </w:rPr>
              <w:t>jour:</w:t>
            </w:r>
            <w:proofErr w:type="gramEnd"/>
            <w:r>
              <w:rPr>
                <w:rFonts w:cs="Times"/>
                <w:b/>
                <w:bCs/>
                <w:szCs w:val="24"/>
                <w:lang w:val="fr-CH"/>
              </w:rPr>
              <w:t xml:space="preserve"> PL 4.1</w:t>
            </w:r>
          </w:p>
        </w:tc>
        <w:tc>
          <w:tcPr>
            <w:tcW w:w="3261" w:type="dxa"/>
          </w:tcPr>
          <w:p w:rsidR="00520F36" w:rsidRPr="00520F36" w:rsidRDefault="00520F36" w:rsidP="007D585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C17/</w:t>
            </w:r>
            <w:r w:rsidR="000C118B">
              <w:rPr>
                <w:b/>
                <w:bCs/>
              </w:rPr>
              <w:t>21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75267">
            <w:pPr>
              <w:shd w:val="solid" w:color="FFFFFF" w:fill="FFFFFF"/>
              <w:spacing w:before="180" w:line="360" w:lineRule="auto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0C118B" w:rsidP="007D585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14 mars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75267">
            <w:pPr>
              <w:shd w:val="solid" w:color="FFFFFF" w:fill="FFFFFF"/>
              <w:spacing w:before="180" w:line="360" w:lineRule="auto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7D5854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0C118B" w:rsidP="007D5854">
            <w:pPr>
              <w:pStyle w:val="Source"/>
            </w:pPr>
            <w:bookmarkStart w:id="6" w:name="dsource" w:colFirst="0" w:colLast="0"/>
            <w:bookmarkEnd w:id="5"/>
            <w:r w:rsidRPr="008E7201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0C118B" w:rsidP="00575267">
            <w:pPr>
              <w:pStyle w:val="Title1"/>
              <w:spacing w:line="360" w:lineRule="auto"/>
            </w:pPr>
            <w:bookmarkStart w:id="7" w:name="dtitle1" w:colFirst="0" w:colLast="0"/>
            <w:bookmarkEnd w:id="6"/>
            <w:r w:rsidRPr="008E7201">
              <w:t>VENTE DES PUBLICATIONS DE L'UIT ET ACCÈS EN LIGNE GRATUIT À CES PUBLICATIONS</w:t>
            </w:r>
          </w:p>
        </w:tc>
      </w:tr>
      <w:bookmarkEnd w:id="7"/>
    </w:tbl>
    <w:p w:rsidR="00520F36" w:rsidRPr="0092392D" w:rsidRDefault="00520F36" w:rsidP="00575267">
      <w:pPr>
        <w:spacing w:line="360" w:lineRule="auto"/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7D5854">
            <w:pPr>
              <w:pStyle w:val="Headingb"/>
              <w:keepNext w:val="0"/>
              <w:keepLines w:val="0"/>
              <w:spacing w:line="360" w:lineRule="auto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0C118B" w:rsidP="007D5854">
            <w:pPr>
              <w:rPr>
                <w:lang w:val="fr-CH"/>
              </w:rPr>
            </w:pPr>
            <w:r w:rsidRPr="008E7201">
              <w:t xml:space="preserve">Par sa Décision 12 (Rév. </w:t>
            </w:r>
            <w:proofErr w:type="gramStart"/>
            <w:r w:rsidRPr="008E7201">
              <w:t xml:space="preserve">Busan, 2014), la Conférence de plénipotentiaires a chargé le Secrétaire général d'établir un rapport actualisé en permanence </w:t>
            </w:r>
            <w:r w:rsidRPr="008E7201">
              <w:rPr>
                <w:color w:val="000000"/>
              </w:rPr>
              <w:t>sur les ventes et les téléchargements gratuits des publications, des logiciels et des bases de données de l'UIT,</w:t>
            </w:r>
            <w:r w:rsidRPr="008E7201">
              <w:t xml:space="preserve"> en fournissant, en particulier, des informations sur le </w:t>
            </w:r>
            <w:r w:rsidRPr="008E7201">
              <w:rPr>
                <w:color w:val="000000"/>
              </w:rPr>
              <w:t>total des ventes et des téléchargements gratuits, par année, pour les cinq dernières années</w:t>
            </w:r>
            <w:r w:rsidRPr="008E7201">
              <w:t xml:space="preserve">, et notamment une </w:t>
            </w:r>
            <w:r w:rsidRPr="008E7201">
              <w:rPr>
                <w:color w:val="000000"/>
              </w:rPr>
              <w:t>comparaison entre les ventes d'exemplaires papier et les téléchargements gratuits de documents électroniques, par année,</w:t>
            </w:r>
            <w:r w:rsidRPr="008E7201">
              <w:t xml:space="preserve"> ainsi que les </w:t>
            </w:r>
            <w:r w:rsidRPr="008E7201">
              <w:rPr>
                <w:color w:val="000000"/>
              </w:rPr>
              <w:t>ventes et les téléchargements gratuits par pays et par catégorie de membre,</w:t>
            </w:r>
            <w:r w:rsidRPr="008E7201">
              <w:t xml:space="preserve"> et de soumettre ce rapport au Conseil.</w:t>
            </w:r>
            <w:proofErr w:type="gramEnd"/>
          </w:p>
          <w:p w:rsidR="00520F36" w:rsidRPr="0092392D" w:rsidRDefault="00520F36" w:rsidP="00575267">
            <w:pPr>
              <w:pStyle w:val="Headingb"/>
              <w:spacing w:line="360" w:lineRule="auto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0C118B" w:rsidP="00575267">
            <w:pPr>
              <w:spacing w:line="360" w:lineRule="auto"/>
              <w:rPr>
                <w:lang w:val="fr-CH"/>
              </w:rPr>
            </w:pPr>
            <w:r w:rsidRPr="008E7201">
              <w:t xml:space="preserve">Le Conseil est invité à </w:t>
            </w:r>
            <w:r w:rsidRPr="008E7201">
              <w:rPr>
                <w:b/>
              </w:rPr>
              <w:t>prendre note</w:t>
            </w:r>
            <w:r w:rsidRPr="008E7201">
              <w:t xml:space="preserve"> du rapport.</w:t>
            </w:r>
          </w:p>
          <w:p w:rsidR="00520F36" w:rsidRPr="0092392D" w:rsidRDefault="00520F36" w:rsidP="00575267">
            <w:pPr>
              <w:pStyle w:val="Table"/>
              <w:keepNext w:val="0"/>
              <w:spacing w:before="0" w:after="0" w:line="360" w:lineRule="auto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7D5854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742D6F" w:rsidP="007D5854">
            <w:pPr>
              <w:spacing w:after="120"/>
              <w:rPr>
                <w:i/>
                <w:iCs/>
                <w:lang w:val="fr-CH"/>
              </w:rPr>
            </w:pPr>
            <w:hyperlink r:id="rId7" w:history="1">
              <w:r w:rsidR="000C118B" w:rsidRPr="000C118B">
                <w:rPr>
                  <w:rStyle w:val="Hyperlink"/>
                </w:rPr>
                <w:t>Document C17/INF/4</w:t>
              </w:r>
            </w:hyperlink>
            <w:r w:rsidR="000C118B" w:rsidRPr="008E7201">
              <w:br/>
            </w:r>
            <w:hyperlink r:id="rId8" w:anchor="res66" w:history="1">
              <w:r w:rsidR="000C118B" w:rsidRPr="008E7201">
                <w:rPr>
                  <w:rStyle w:val="Hyperlink"/>
                </w:rPr>
                <w:t>Résolution 66 (Rév. Guadalajara, 2010)</w:t>
              </w:r>
            </w:hyperlink>
            <w:r w:rsidR="000C118B" w:rsidRPr="008E7201">
              <w:rPr>
                <w:rStyle w:val="Hyperlink"/>
              </w:rPr>
              <w:t xml:space="preserve"> </w:t>
            </w:r>
            <w:r w:rsidR="000C118B" w:rsidRPr="008E7201">
              <w:t>de la Conférence de plénipotentiaires</w:t>
            </w:r>
            <w:r w:rsidR="000C118B" w:rsidRPr="008E7201">
              <w:br/>
            </w:r>
            <w:hyperlink r:id="rId9" w:history="1">
              <w:r w:rsidR="000C118B" w:rsidRPr="008E7201">
                <w:rPr>
                  <w:rStyle w:val="Hyperlink"/>
                </w:rPr>
                <w:t>Décision 12 (Rév. Busan, 2014)</w:t>
              </w:r>
            </w:hyperlink>
            <w:r w:rsidR="000C118B" w:rsidRPr="008E7201">
              <w:rPr>
                <w:rStyle w:val="Hyperlink"/>
              </w:rPr>
              <w:t xml:space="preserve"> </w:t>
            </w:r>
            <w:r w:rsidR="000C118B" w:rsidRPr="008E7201">
              <w:t>de la Conférence de plénipotentiaires</w:t>
            </w:r>
            <w:r w:rsidR="000C118B" w:rsidRPr="008E7201">
              <w:rPr>
                <w:rStyle w:val="Hyperlink"/>
              </w:rPr>
              <w:br/>
            </w:r>
            <w:r w:rsidR="000C118B" w:rsidRPr="008E7201">
              <w:t xml:space="preserve">Décisions </w:t>
            </w:r>
            <w:hyperlink r:id="rId10" w:history="1">
              <w:r w:rsidR="000C118B" w:rsidRPr="008E7201">
                <w:rPr>
                  <w:rStyle w:val="Hyperlink"/>
                </w:rPr>
                <w:t>571</w:t>
              </w:r>
            </w:hyperlink>
            <w:r w:rsidR="000C118B" w:rsidRPr="000C118B">
              <w:t xml:space="preserve"> </w:t>
            </w:r>
            <w:r w:rsidR="000C118B" w:rsidRPr="00BA152F">
              <w:rPr>
                <w:rStyle w:val="Hyperlink"/>
                <w:color w:val="auto"/>
                <w:u w:val="none"/>
              </w:rPr>
              <w:t xml:space="preserve">et </w:t>
            </w:r>
            <w:hyperlink r:id="rId11" w:history="1">
              <w:r w:rsidR="000C118B" w:rsidRPr="008E7201">
                <w:rPr>
                  <w:rStyle w:val="Hyperlink"/>
                </w:rPr>
                <w:t>574</w:t>
              </w:r>
            </w:hyperlink>
            <w:r w:rsidR="000C118B" w:rsidRPr="00BA152F">
              <w:rPr>
                <w:rStyle w:val="Hyperlink"/>
                <w:color w:val="auto"/>
                <w:u w:val="none"/>
              </w:rPr>
              <w:t xml:space="preserve"> du Conseil</w:t>
            </w:r>
          </w:p>
        </w:tc>
        <w:bookmarkStart w:id="8" w:name="_GoBack"/>
        <w:bookmarkEnd w:id="8"/>
      </w:tr>
    </w:tbl>
    <w:p w:rsidR="000C118B" w:rsidRPr="008E7201" w:rsidRDefault="000C118B" w:rsidP="007D5854">
      <w:pPr>
        <w:pStyle w:val="Heading1"/>
      </w:pPr>
      <w:r w:rsidRPr="008E7201">
        <w:lastRenderedPageBreak/>
        <w:t>1</w:t>
      </w:r>
      <w:r w:rsidRPr="008E7201">
        <w:tab/>
        <w:t xml:space="preserve">Vue </w:t>
      </w:r>
      <w:r w:rsidRPr="007D5854">
        <w:t>d'ensemble</w:t>
      </w:r>
    </w:p>
    <w:p w:rsidR="000C118B" w:rsidRPr="008E7201" w:rsidRDefault="000C118B" w:rsidP="007D5854">
      <w:pPr>
        <w:pStyle w:val="Heading2"/>
      </w:pPr>
      <w:r>
        <w:t>1.1</w:t>
      </w:r>
      <w:r>
        <w:tab/>
        <w:t>Ventes au 31 décembre 2016</w:t>
      </w:r>
    </w:p>
    <w:p w:rsidR="000C118B" w:rsidRPr="008E7201" w:rsidRDefault="000C118B" w:rsidP="00B3755F">
      <w:pPr>
        <w:rPr>
          <w:b/>
          <w:bCs/>
        </w:rPr>
      </w:pPr>
      <w:r w:rsidRPr="008E7201">
        <w:t>Les recettes des ventes de publications en 201</w:t>
      </w:r>
      <w:r>
        <w:t>6</w:t>
      </w:r>
      <w:r w:rsidRPr="008E7201">
        <w:t xml:space="preserve"> se sont établies à 1</w:t>
      </w:r>
      <w:r>
        <w:t>9</w:t>
      </w:r>
      <w:r w:rsidR="003A16BF">
        <w:t>,00</w:t>
      </w:r>
      <w:r w:rsidRPr="008E7201">
        <w:t xml:space="preserve"> millions CHF, </w:t>
      </w:r>
      <w:r w:rsidR="00A22199">
        <w:t xml:space="preserve">en hausse de </w:t>
      </w:r>
      <w:r w:rsidR="00B3755F">
        <w:t xml:space="preserve">CHF </w:t>
      </w:r>
      <w:r w:rsidR="00A22199">
        <w:t xml:space="preserve">0,5 </w:t>
      </w:r>
      <w:r w:rsidR="00B3755F">
        <w:t>million</w:t>
      </w:r>
      <w:r w:rsidR="00A22199">
        <w:t xml:space="preserve"> par rapport au</w:t>
      </w:r>
      <w:r w:rsidR="003A16BF">
        <w:t xml:space="preserve"> budge</w:t>
      </w:r>
      <w:r w:rsidR="00A22199">
        <w:t xml:space="preserve">t, et </w:t>
      </w:r>
      <w:r w:rsidR="007D5854">
        <w:t>devraient</w:t>
      </w:r>
      <w:r w:rsidR="00A22199">
        <w:t xml:space="preserve"> </w:t>
      </w:r>
      <w:r w:rsidR="003A16BF">
        <w:t xml:space="preserve">respecter le budget biennal </w:t>
      </w:r>
      <w:r w:rsidR="003A16BF" w:rsidRPr="003A16BF">
        <w:rPr>
          <w:spacing w:val="2"/>
          <w:szCs w:val="24"/>
        </w:rPr>
        <w:t>2016-</w:t>
      </w:r>
      <w:r w:rsidR="007D5854">
        <w:rPr>
          <w:spacing w:val="2"/>
          <w:szCs w:val="24"/>
        </w:rPr>
        <w:t>20</w:t>
      </w:r>
      <w:r w:rsidR="003A16BF" w:rsidRPr="003A16BF">
        <w:rPr>
          <w:spacing w:val="2"/>
          <w:szCs w:val="24"/>
        </w:rPr>
        <w:t xml:space="preserve">17 </w:t>
      </w:r>
      <w:r w:rsidR="003A16BF">
        <w:rPr>
          <w:spacing w:val="2"/>
          <w:szCs w:val="24"/>
        </w:rPr>
        <w:t>(</w:t>
      </w:r>
      <w:r w:rsidR="003A16BF" w:rsidRPr="003A16BF">
        <w:rPr>
          <w:spacing w:val="2"/>
          <w:szCs w:val="24"/>
        </w:rPr>
        <w:t>CHF</w:t>
      </w:r>
      <w:r w:rsidR="00B3755F">
        <w:rPr>
          <w:spacing w:val="2"/>
          <w:szCs w:val="24"/>
        </w:rPr>
        <w:t> </w:t>
      </w:r>
      <w:r w:rsidR="003A16BF">
        <w:rPr>
          <w:spacing w:val="2"/>
          <w:szCs w:val="24"/>
        </w:rPr>
        <w:t>37,</w:t>
      </w:r>
      <w:r w:rsidR="003A16BF" w:rsidRPr="003A16BF">
        <w:rPr>
          <w:spacing w:val="2"/>
          <w:szCs w:val="24"/>
        </w:rPr>
        <w:t>0 million</w:t>
      </w:r>
      <w:r w:rsidR="003A16BF">
        <w:rPr>
          <w:spacing w:val="2"/>
          <w:szCs w:val="24"/>
        </w:rPr>
        <w:t>s)</w:t>
      </w:r>
      <w:r w:rsidR="003A16BF" w:rsidRPr="003A16BF">
        <w:rPr>
          <w:spacing w:val="2"/>
          <w:szCs w:val="24"/>
        </w:rPr>
        <w:t>.</w:t>
      </w:r>
    </w:p>
    <w:p w:rsidR="000C118B" w:rsidRPr="008E7201" w:rsidRDefault="000C118B" w:rsidP="007D5854">
      <w:pPr>
        <w:pStyle w:val="Heading2"/>
      </w:pPr>
      <w:r>
        <w:t>1.2</w:t>
      </w:r>
      <w:r w:rsidRPr="008E7201">
        <w:tab/>
        <w:t>Accès en ligne gratuit</w:t>
      </w:r>
    </w:p>
    <w:p w:rsidR="000C118B" w:rsidRDefault="000C118B" w:rsidP="007D5854">
      <w:r w:rsidRPr="008E7201">
        <w:t>La politique d'accès en lign</w:t>
      </w:r>
      <w:r w:rsidRPr="00B3755F">
        <w:t>e</w:t>
      </w:r>
      <w:r w:rsidRPr="008E7201">
        <w:t xml:space="preserve"> gratuit vise à faire connaître l</w:t>
      </w:r>
      <w:r>
        <w:t>es publications de l'UIT auprès </w:t>
      </w:r>
      <w:r w:rsidRPr="008E7201">
        <w:t>d'un large public. Aux termes de la Décision 12 (Guadala</w:t>
      </w:r>
      <w:r>
        <w:t>jara, 2010) de la Conférence de </w:t>
      </w:r>
      <w:r w:rsidRPr="008E7201">
        <w:t>plénipotentiaires, des Décisions 574 et 571 (modifiée</w:t>
      </w:r>
      <w:r w:rsidR="007D5854">
        <w:t>s</w:t>
      </w:r>
      <w:r w:rsidRPr="008E7201">
        <w:t xml:space="preserve"> en 2013) et</w:t>
      </w:r>
      <w:r>
        <w:t xml:space="preserve"> de la Décision 12 (Rév. Busan, </w:t>
      </w:r>
      <w:r w:rsidRPr="008E7201">
        <w:t xml:space="preserve">2014), </w:t>
      </w:r>
      <w:r w:rsidR="003A16BF">
        <w:t>tous les ti</w:t>
      </w:r>
      <w:r w:rsidR="007D5854">
        <w:t xml:space="preserve">tres de huit grands groupes de </w:t>
      </w:r>
      <w:r w:rsidRPr="008E7201">
        <w:t xml:space="preserve">publications sont </w:t>
      </w:r>
      <w:r w:rsidR="007D5854">
        <w:t>désormais</w:t>
      </w:r>
      <w:r w:rsidRPr="008E7201">
        <w:t xml:space="preserve"> disponibles gratuitement en </w:t>
      </w:r>
      <w:proofErr w:type="gramStart"/>
      <w:r w:rsidRPr="008E7201">
        <w:t>ligne:</w:t>
      </w:r>
      <w:proofErr w:type="gramEnd"/>
    </w:p>
    <w:p w:rsidR="0037647D" w:rsidRPr="008E7201" w:rsidRDefault="0037647D" w:rsidP="007D5854"/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38"/>
        <w:gridCol w:w="3739"/>
        <w:gridCol w:w="1336"/>
      </w:tblGrid>
      <w:tr w:rsidR="000C118B" w:rsidRPr="008E7201" w:rsidTr="00B3755F">
        <w:trPr>
          <w:trHeight w:val="1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head"/>
            </w:pPr>
            <w:r w:rsidRPr="007D5854">
              <w:t>N°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head"/>
            </w:pPr>
            <w:r w:rsidRPr="007D5854">
              <w:t>Décision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head"/>
            </w:pPr>
            <w:r w:rsidRPr="007D5854">
              <w:t>Publication</w:t>
            </w:r>
            <w:r w:rsidR="0037647D">
              <w:t>s en ligne gratuites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head"/>
            </w:pPr>
            <w:r w:rsidRPr="007D5854">
              <w:t>Depuis le</w:t>
            </w:r>
          </w:p>
        </w:tc>
      </w:tr>
      <w:tr w:rsidR="000C118B" w:rsidRPr="007D5854" w:rsidTr="00B3755F">
        <w:trPr>
          <w:trHeight w:val="2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574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Rapports finals des CMDT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13/03/2014</w:t>
            </w:r>
          </w:p>
        </w:tc>
      </w:tr>
      <w:tr w:rsidR="000C118B" w:rsidRPr="007D5854" w:rsidTr="00B3755F">
        <w:trPr>
          <w:trHeight w:val="2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571 (modifiée en 2013)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Règlement des télécommunications internationales (Melbourne) CAMTT-88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23/04/2013</w:t>
            </w:r>
          </w:p>
        </w:tc>
      </w:tr>
      <w:tr w:rsidR="000C118B" w:rsidRPr="007D5854" w:rsidTr="00B3755F">
        <w:trPr>
          <w:trHeight w:val="1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571 (modifiée en 2013)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Règlement des radiocommunications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23/11/2012</w:t>
            </w:r>
          </w:p>
        </w:tc>
      </w:tr>
      <w:tr w:rsidR="000C118B" w:rsidRPr="007D5854" w:rsidTr="00B3755F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571 (modifiée en 2013)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Résolutions et Décisions du Conseil de l'UIT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17/02/2015</w:t>
            </w:r>
          </w:p>
        </w:tc>
      </w:tr>
      <w:tr w:rsidR="000C118B" w:rsidRPr="007D5854" w:rsidTr="00B3755F">
        <w:trPr>
          <w:trHeight w:val="13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571 (modifiée en 2013)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3A16BF" w:rsidP="007D5854">
            <w:pPr>
              <w:pStyle w:val="Tabletext"/>
              <w:jc w:val="center"/>
            </w:pPr>
            <w:r w:rsidRPr="007D5854">
              <w:t>Manuels sur la g</w:t>
            </w:r>
            <w:r w:rsidR="000C118B" w:rsidRPr="007D5854">
              <w:t>estion nationale du spectre</w:t>
            </w:r>
            <w:r w:rsidRPr="007D5854">
              <w:t xml:space="preserve"> des fréquences radioélectriques</w:t>
            </w:r>
            <w:r w:rsidR="00B3755F"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04/07/2013</w:t>
            </w:r>
          </w:p>
        </w:tc>
      </w:tr>
      <w:tr w:rsidR="000C118B" w:rsidRPr="007D5854" w:rsidTr="00B3755F">
        <w:trPr>
          <w:trHeight w:val="1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12 (modifiée en 2014)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Règles de procédure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01/07/2014</w:t>
            </w:r>
          </w:p>
        </w:tc>
      </w:tr>
      <w:tr w:rsidR="000C118B" w:rsidRPr="007D5854" w:rsidTr="00B3755F">
        <w:trPr>
          <w:trHeight w:val="24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12 (modifiée en 2014)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Actes finals des Conférences mondiales et régionales des radiocommunications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12/02/2015</w:t>
            </w:r>
          </w:p>
        </w:tc>
      </w:tr>
      <w:tr w:rsidR="000C118B" w:rsidRPr="007D5854" w:rsidTr="00B3755F">
        <w:trPr>
          <w:trHeight w:val="23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12 (modifiée en 2014)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Publications relatives à la planification préalable des catastrophes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8B" w:rsidRPr="007D5854" w:rsidRDefault="000C118B" w:rsidP="007D5854">
            <w:pPr>
              <w:pStyle w:val="Tabletext"/>
              <w:jc w:val="center"/>
            </w:pPr>
            <w:r w:rsidRPr="007D5854">
              <w:t>19/02/2015</w:t>
            </w:r>
          </w:p>
        </w:tc>
      </w:tr>
    </w:tbl>
    <w:p w:rsidR="000C118B" w:rsidRPr="00B3755F" w:rsidRDefault="000C118B" w:rsidP="0037647D">
      <w:r w:rsidRPr="003A16BF">
        <w:t>*</w:t>
      </w:r>
      <w:r w:rsidR="00742D6F">
        <w:t xml:space="preserve"> </w:t>
      </w:r>
      <w:r w:rsidR="003A16BF" w:rsidRPr="00B3755F">
        <w:t xml:space="preserve">Elargi pour inclure tous les Manuels du BR </w:t>
      </w:r>
      <w:r w:rsidR="0037647D" w:rsidRPr="00B3755F">
        <w:t>à compter de</w:t>
      </w:r>
      <w:r w:rsidR="003A16BF" w:rsidRPr="00B3755F">
        <w:t xml:space="preserve"> janvier</w:t>
      </w:r>
      <w:r w:rsidR="00D26ED4" w:rsidRPr="00B3755F">
        <w:t xml:space="preserve"> </w:t>
      </w:r>
      <w:r w:rsidRPr="00B3755F">
        <w:t>2017</w:t>
      </w:r>
    </w:p>
    <w:p w:rsidR="000C118B" w:rsidRPr="008E7201" w:rsidRDefault="000C118B" w:rsidP="007D5854">
      <w:pPr>
        <w:pStyle w:val="Heading1"/>
      </w:pPr>
      <w:r w:rsidRPr="008E7201">
        <w:t>2</w:t>
      </w:r>
      <w:r w:rsidRPr="008E7201">
        <w:tab/>
        <w:t xml:space="preserve">Résultats et </w:t>
      </w:r>
      <w:r w:rsidRPr="007D5854">
        <w:t>tendances</w:t>
      </w:r>
      <w:r w:rsidRPr="008E7201">
        <w:t xml:space="preserve"> des ventes</w:t>
      </w:r>
    </w:p>
    <w:p w:rsidR="000C118B" w:rsidRPr="008E7201" w:rsidRDefault="000C118B" w:rsidP="007D5854">
      <w:r w:rsidRPr="008E7201">
        <w:t>Des chiffres détaillés sur les ventes de 201</w:t>
      </w:r>
      <w:r>
        <w:t>2</w:t>
      </w:r>
      <w:r w:rsidRPr="008E7201">
        <w:t xml:space="preserve"> à 201</w:t>
      </w:r>
      <w:r>
        <w:t>6</w:t>
      </w:r>
      <w:r w:rsidRPr="008E7201">
        <w:t>, avec les éléments demandés dans la Décision 12 (Rév. Busan, 2014), sont présentés dans l</w:t>
      </w:r>
      <w:r w:rsidR="003A16BF">
        <w:t>es tableaux reproduits dans le d</w:t>
      </w:r>
      <w:r w:rsidRPr="008E7201">
        <w:t xml:space="preserve">ocument d'information </w:t>
      </w:r>
      <w:hyperlink r:id="rId12" w:history="1">
        <w:r w:rsidRPr="000C118B">
          <w:rPr>
            <w:rStyle w:val="Hyperlink"/>
            <w:lang w:val="fr-CH"/>
          </w:rPr>
          <w:t>C17/INF/4</w:t>
        </w:r>
      </w:hyperlink>
      <w:r w:rsidRPr="008E7201">
        <w:t>. Une analyse succincte en est donnée ci-après.</w:t>
      </w:r>
    </w:p>
    <w:p w:rsidR="000C118B" w:rsidRPr="008E7201" w:rsidRDefault="000C118B" w:rsidP="007D5854">
      <w:pPr>
        <w:pStyle w:val="Heading2"/>
      </w:pPr>
      <w:r>
        <w:t>2.1</w:t>
      </w:r>
      <w:r w:rsidRPr="008E7201">
        <w:tab/>
        <w:t xml:space="preserve">Activités de développement des ventes </w:t>
      </w:r>
      <w:r>
        <w:t>en 2016</w:t>
      </w:r>
    </w:p>
    <w:p w:rsidR="000C118B" w:rsidRPr="008E7201" w:rsidRDefault="000C118B" w:rsidP="007D5854">
      <w:r w:rsidRPr="008E7201">
        <w:t xml:space="preserve">Plusieurs </w:t>
      </w:r>
      <w:r w:rsidR="00047758">
        <w:t>activités de développement des ventes ont été menées à bien en 2016</w:t>
      </w:r>
      <w:r w:rsidR="00D26ED4">
        <w:t xml:space="preserve"> </w:t>
      </w:r>
      <w:r w:rsidR="00047758">
        <w:t>pour accroître</w:t>
      </w:r>
      <w:r w:rsidR="00B3755F">
        <w:t xml:space="preserve"> les recettes tirées des </w:t>
      </w:r>
      <w:proofErr w:type="gramStart"/>
      <w:r w:rsidR="00B3755F">
        <w:t>ventes</w:t>
      </w:r>
      <w:r w:rsidRPr="008E7201">
        <w:t>:</w:t>
      </w:r>
      <w:proofErr w:type="gramEnd"/>
    </w:p>
    <w:p w:rsidR="000C118B" w:rsidRPr="0037647D" w:rsidRDefault="00C47552" w:rsidP="00D26ED4">
      <w:r w:rsidRPr="0037647D">
        <w:lastRenderedPageBreak/>
        <w:t>a)</w:t>
      </w:r>
      <w:r w:rsidR="000C118B" w:rsidRPr="0037647D">
        <w:tab/>
        <w:t>Des contrats ont été conclus avec cinq nouveaux revendeurs en 201</w:t>
      </w:r>
      <w:r w:rsidR="00BC1AA9" w:rsidRPr="0037647D">
        <w:t>6</w:t>
      </w:r>
      <w:r w:rsidR="000C118B" w:rsidRPr="0037647D">
        <w:t>, en vue d'élargir la diffusion et la disponibilité des publications de l'UIT</w:t>
      </w:r>
      <w:r w:rsidR="00047758" w:rsidRPr="0037647D">
        <w:t xml:space="preserve"> auprès du principal réseau de revendeurs</w:t>
      </w:r>
      <w:r w:rsidR="0037647D">
        <w:t xml:space="preserve"> traditionnel</w:t>
      </w:r>
      <w:r w:rsidR="000C118B" w:rsidRPr="0037647D">
        <w:t xml:space="preserve">. </w:t>
      </w:r>
    </w:p>
    <w:p w:rsidR="000C118B" w:rsidRPr="0037647D" w:rsidRDefault="00C47552" w:rsidP="00B3755F">
      <w:r w:rsidRPr="0037647D">
        <w:t>b)</w:t>
      </w:r>
      <w:r w:rsidR="000C118B" w:rsidRPr="0037647D">
        <w:tab/>
      </w:r>
      <w:r w:rsidR="00BC1AA9" w:rsidRPr="0037647D">
        <w:t>Douze</w:t>
      </w:r>
      <w:r w:rsidR="000C118B" w:rsidRPr="0037647D">
        <w:t xml:space="preserve"> campagnes de marketing électronique ont été menées pour promouvoir diverses publications de l'UIT, avec envoi de messages à plus de </w:t>
      </w:r>
      <w:r w:rsidR="00BC1AA9" w:rsidRPr="0037647D">
        <w:t>317 000</w:t>
      </w:r>
      <w:r w:rsidR="000C118B" w:rsidRPr="0037647D">
        <w:t xml:space="preserve"> clients </w:t>
      </w:r>
      <w:proofErr w:type="gramStart"/>
      <w:r w:rsidR="000C118B" w:rsidRPr="0037647D">
        <w:t>potentiels</w:t>
      </w:r>
      <w:r w:rsidR="00047758" w:rsidRPr="0037647D">
        <w:t>;</w:t>
      </w:r>
      <w:proofErr w:type="gramEnd"/>
      <w:r w:rsidR="00047758" w:rsidRPr="0037647D">
        <w:t xml:space="preserve"> 14 publications ont été ann</w:t>
      </w:r>
      <w:r w:rsidR="0037647D">
        <w:t xml:space="preserve">oncées sur les réseaux sociaux </w:t>
      </w:r>
      <w:r w:rsidR="00047758" w:rsidRPr="0037647D">
        <w:t>via Twitter (269</w:t>
      </w:r>
      <w:r w:rsidR="00B3755F">
        <w:t> </w:t>
      </w:r>
      <w:r w:rsidR="00047758" w:rsidRPr="0037647D">
        <w:t>000 impressions, 1</w:t>
      </w:r>
      <w:r w:rsidR="00B3755F">
        <w:t> </w:t>
      </w:r>
      <w:r w:rsidR="00047758" w:rsidRPr="0037647D">
        <w:t>013 clics) et Google (3</w:t>
      </w:r>
      <w:r w:rsidR="00B3755F">
        <w:t> </w:t>
      </w:r>
      <w:r w:rsidR="00047758" w:rsidRPr="0037647D">
        <w:t>953 vues)</w:t>
      </w:r>
      <w:r w:rsidR="000C118B" w:rsidRPr="0037647D">
        <w:t>.</w:t>
      </w:r>
    </w:p>
    <w:p w:rsidR="000C118B" w:rsidRPr="0037647D" w:rsidRDefault="00C47552" w:rsidP="00D26ED4">
      <w:r w:rsidRPr="0037647D">
        <w:t>c)</w:t>
      </w:r>
      <w:r w:rsidR="000C118B" w:rsidRPr="0037647D">
        <w:tab/>
        <w:t>Deux</w:t>
      </w:r>
      <w:r w:rsidR="00D26ED4">
        <w:t xml:space="preserve"> </w:t>
      </w:r>
      <w:r w:rsidR="000C118B" w:rsidRPr="0037647D">
        <w:t>accords de licence</w:t>
      </w:r>
      <w:r w:rsidR="00D26ED4">
        <w:t xml:space="preserve"> </w:t>
      </w:r>
      <w:r w:rsidR="000C118B" w:rsidRPr="0037647D">
        <w:t>signés avec le Financial Times et Ernst &amp; Young</w:t>
      </w:r>
      <w:r w:rsidR="00784078" w:rsidRPr="0037647D">
        <w:t xml:space="preserve"> en 2015 ont été reconduits en 2016</w:t>
      </w:r>
      <w:r w:rsidR="000C118B" w:rsidRPr="0037647D">
        <w:t>, g</w:t>
      </w:r>
      <w:r w:rsidR="00CD4BB2" w:rsidRPr="0037647D">
        <w:t>arantissant ainsi la continuité de</w:t>
      </w:r>
      <w:r w:rsidR="00CA6C7D" w:rsidRPr="0037647D">
        <w:t>s</w:t>
      </w:r>
      <w:r w:rsidR="00CD4BB2" w:rsidRPr="0037647D">
        <w:t xml:space="preserve"> </w:t>
      </w:r>
      <w:r w:rsidR="00D26ED4">
        <w:t>recettes.</w:t>
      </w:r>
    </w:p>
    <w:p w:rsidR="000C118B" w:rsidRPr="0037647D" w:rsidRDefault="00C47552" w:rsidP="00D26ED4">
      <w:r w:rsidRPr="0037647D">
        <w:t>d)</w:t>
      </w:r>
      <w:r w:rsidR="000C118B" w:rsidRPr="0037647D">
        <w:tab/>
      </w:r>
      <w:r w:rsidR="004F4171" w:rsidRPr="0037647D">
        <w:t>Des contacts ont continué d’être entretenus avec p</w:t>
      </w:r>
      <w:r w:rsidR="000C118B" w:rsidRPr="0037647D">
        <w:t>lus de 400 inspecteurs maritimes</w:t>
      </w:r>
      <w:r w:rsidR="00D26ED4">
        <w:t xml:space="preserve"> </w:t>
      </w:r>
      <w:r w:rsidR="004F4171" w:rsidRPr="0037647D">
        <w:t>au sujet de la liste interne, afin de les informer de la parution de nouvelles éditions des</w:t>
      </w:r>
      <w:r w:rsidR="00D26ED4">
        <w:t xml:space="preserve"> </w:t>
      </w:r>
      <w:r w:rsidR="000C118B" w:rsidRPr="0037647D">
        <w:t>publications du service maritime de l'UIT</w:t>
      </w:r>
      <w:r w:rsidR="004F4171" w:rsidRPr="0037647D">
        <w:t>.</w:t>
      </w:r>
      <w:r w:rsidR="00D26ED4">
        <w:t xml:space="preserve"> </w:t>
      </w:r>
      <w:r w:rsidR="004F4171" w:rsidRPr="0037647D">
        <w:t>En outre,</w:t>
      </w:r>
      <w:r w:rsidR="00D26ED4">
        <w:t xml:space="preserve"> </w:t>
      </w:r>
      <w:r w:rsidR="004F4171" w:rsidRPr="0037647D">
        <w:t>460 Inspecteurs ont été identifiés en</w:t>
      </w:r>
      <w:r w:rsidR="00D26ED4">
        <w:t xml:space="preserve"> </w:t>
      </w:r>
      <w:r w:rsidR="004F4171" w:rsidRPr="0037647D">
        <w:t>2016 et seront contactés en</w:t>
      </w:r>
      <w:r w:rsidR="00D26ED4">
        <w:t xml:space="preserve"> </w:t>
      </w:r>
      <w:r w:rsidR="004F4171" w:rsidRPr="0037647D">
        <w:t>2017.</w:t>
      </w:r>
      <w:r w:rsidR="00D26ED4">
        <w:t xml:space="preserve"> </w:t>
      </w:r>
    </w:p>
    <w:p w:rsidR="000C118B" w:rsidRPr="0037647D" w:rsidRDefault="00C47552" w:rsidP="00B3755F">
      <w:r w:rsidRPr="0037647D">
        <w:t>e)</w:t>
      </w:r>
      <w:r w:rsidR="000C118B" w:rsidRPr="0037647D">
        <w:tab/>
      </w:r>
      <w:r w:rsidR="00F7547F" w:rsidRPr="0037647D">
        <w:t>La base de données sur le</w:t>
      </w:r>
      <w:r w:rsidR="00D26ED4">
        <w:t xml:space="preserve"> </w:t>
      </w:r>
      <w:r w:rsidR="00F7547F" w:rsidRPr="0037647D">
        <w:t>marketing par courrier électronique de la Division des ventes et du</w:t>
      </w:r>
      <w:r w:rsidR="00D26ED4">
        <w:t xml:space="preserve"> </w:t>
      </w:r>
      <w:r w:rsidR="00F7547F" w:rsidRPr="0037647D">
        <w:t>marketing s’est enrichie et comptait</w:t>
      </w:r>
      <w:r w:rsidR="00D26ED4">
        <w:t xml:space="preserve"> </w:t>
      </w:r>
      <w:r w:rsidR="00F7547F" w:rsidRPr="0037647D">
        <w:t>en 2016</w:t>
      </w:r>
      <w:r w:rsidR="00D26ED4">
        <w:t xml:space="preserve"> </w:t>
      </w:r>
      <w:r w:rsidR="00F7547F" w:rsidRPr="0037647D">
        <w:t>46</w:t>
      </w:r>
      <w:r w:rsidR="00B3755F">
        <w:t> </w:t>
      </w:r>
      <w:r w:rsidR="00F7547F" w:rsidRPr="0037647D">
        <w:t>000 adresses. Cette augmentation s’explique essentiellement par le mécanisme d'inscription pour les téléchargem</w:t>
      </w:r>
      <w:r w:rsidR="00D26ED4">
        <w:t>ents gratuits (lancé en option)</w:t>
      </w:r>
      <w:r w:rsidR="00F7547F" w:rsidRPr="0037647D">
        <w:t>, qui a permis de recenser plus de 23 000</w:t>
      </w:r>
      <w:r w:rsidR="00D26ED4">
        <w:t xml:space="preserve"> </w:t>
      </w:r>
      <w:r w:rsidR="00F7547F" w:rsidRPr="0037647D">
        <w:t>nouvelles</w:t>
      </w:r>
      <w:r w:rsidR="00D26ED4">
        <w:t xml:space="preserve"> </w:t>
      </w:r>
      <w:r w:rsidR="00F7547F" w:rsidRPr="0037647D">
        <w:t>adresses fin</w:t>
      </w:r>
      <w:r w:rsidR="00D26ED4">
        <w:t xml:space="preserve"> </w:t>
      </w:r>
      <w:r w:rsidR="00BC1AA9" w:rsidRPr="0037647D">
        <w:t>2016.</w:t>
      </w:r>
    </w:p>
    <w:p w:rsidR="000C118B" w:rsidRPr="008E7201" w:rsidRDefault="00BC1AA9" w:rsidP="00D26ED4">
      <w:pPr>
        <w:pStyle w:val="Heading2"/>
      </w:pPr>
      <w:r>
        <w:t>2.2</w:t>
      </w:r>
      <w:r w:rsidR="000C118B" w:rsidRPr="008E7201">
        <w:tab/>
        <w:t>Evolution des ventes selon le format de publication</w:t>
      </w:r>
    </w:p>
    <w:p w:rsidR="000C118B" w:rsidRPr="008E7201" w:rsidRDefault="004F6F09" w:rsidP="00D26ED4">
      <w:r>
        <w:t>a</w:t>
      </w:r>
      <w:r w:rsidR="00BC1AA9">
        <w:t>)</w:t>
      </w:r>
      <w:r w:rsidR="000C118B" w:rsidRPr="008E7201">
        <w:tab/>
        <w:t xml:space="preserve">Les publications de l'UIT sont proposées dans trois grands types de </w:t>
      </w:r>
      <w:proofErr w:type="gramStart"/>
      <w:r w:rsidR="000C118B" w:rsidRPr="008E7201">
        <w:t>formats:</w:t>
      </w:r>
      <w:proofErr w:type="gramEnd"/>
      <w:r w:rsidR="000C118B" w:rsidRPr="008E7201">
        <w:t xml:space="preserve"> sur papier, sur CD/DVD-Rom et en ligne.</w:t>
      </w:r>
    </w:p>
    <w:p w:rsidR="000C118B" w:rsidRPr="008E7201" w:rsidRDefault="004F6F09" w:rsidP="00D26ED4">
      <w:r>
        <w:t>b</w:t>
      </w:r>
      <w:r w:rsidR="00BC1AA9">
        <w:t>)</w:t>
      </w:r>
      <w:r w:rsidR="000C118B" w:rsidRPr="008E7201">
        <w:tab/>
        <w:t>Les recettes tirées des ventes en ligne/de la librairie électronique ("E</w:t>
      </w:r>
      <w:r w:rsidR="000C118B" w:rsidRPr="008E7201">
        <w:noBreakHyphen/>
      </w:r>
      <w:proofErr w:type="spellStart"/>
      <w:r w:rsidR="000C118B" w:rsidRPr="008E7201">
        <w:t>bookshop</w:t>
      </w:r>
      <w:proofErr w:type="spellEnd"/>
      <w:r w:rsidR="000C118B" w:rsidRPr="008E7201">
        <w:t>") ont légèrement augmenté</w:t>
      </w:r>
      <w:r w:rsidR="00F7547F" w:rsidRPr="00F7547F">
        <w:t xml:space="preserve"> </w:t>
      </w:r>
      <w:r w:rsidR="00F7547F" w:rsidRPr="008E7201">
        <w:t>en 201</w:t>
      </w:r>
      <w:r w:rsidR="00F7547F">
        <w:t>6</w:t>
      </w:r>
      <w:r w:rsidR="00D26ED4">
        <w:t xml:space="preserve"> </w:t>
      </w:r>
      <w:r w:rsidR="00F7547F">
        <w:t>pour s’établir</w:t>
      </w:r>
      <w:r w:rsidR="00D26ED4">
        <w:t xml:space="preserve"> </w:t>
      </w:r>
      <w:r w:rsidR="00BC1AA9">
        <w:t>à 0,19 million CHF</w:t>
      </w:r>
      <w:r w:rsidR="00F7547F">
        <w:t>,</w:t>
      </w:r>
      <w:r w:rsidR="00D26ED4">
        <w:t xml:space="preserve"> </w:t>
      </w:r>
      <w:r w:rsidR="000C118B" w:rsidRPr="008E7201">
        <w:t xml:space="preserve">après avoir enregistré une baisse continue, </w:t>
      </w:r>
      <w:r w:rsidR="00F7547F">
        <w:t>tombant</w:t>
      </w:r>
      <w:r w:rsidR="00BC1AA9">
        <w:t xml:space="preserve"> de 0,27</w:t>
      </w:r>
      <w:r w:rsidR="000C118B" w:rsidRPr="008E7201">
        <w:t xml:space="preserve"> million en 201</w:t>
      </w:r>
      <w:r w:rsidR="00BC1AA9">
        <w:t>2 à 0,17 million CHF en 2015</w:t>
      </w:r>
      <w:r w:rsidR="000C118B" w:rsidRPr="008E7201">
        <w:t>.</w:t>
      </w:r>
    </w:p>
    <w:p w:rsidR="000C118B" w:rsidRPr="004F6F09" w:rsidRDefault="004F6F09" w:rsidP="00D26ED4">
      <w:r>
        <w:t>c)</w:t>
      </w:r>
      <w:r w:rsidR="000C118B" w:rsidRPr="008E7201">
        <w:tab/>
        <w:t>Avec l'introduction en 2010 des formats numériques (CD/DVD-Rom) pour plusieurs grandes publications, ces formats ont représenté en 201</w:t>
      </w:r>
      <w:r w:rsidR="00F7547F">
        <w:t>6 pas moins de 77</w:t>
      </w:r>
      <w:r w:rsidR="000C118B" w:rsidRPr="008E7201">
        <w:t>% du total des ventes, tandis que la part des ventes en ligne</w:t>
      </w:r>
      <w:r w:rsidR="00D26ED4">
        <w:t xml:space="preserve"> </w:t>
      </w:r>
      <w:r w:rsidR="00F7547F" w:rsidRPr="008E7201">
        <w:t>/de la librairie électronique</w:t>
      </w:r>
      <w:r w:rsidR="00F7547F">
        <w:t>, notamment,</w:t>
      </w:r>
      <w:r w:rsidR="00D26ED4">
        <w:t xml:space="preserve"> </w:t>
      </w:r>
      <w:r w:rsidR="00F7547F">
        <w:t>s'établissent à 21% pour la première et 2</w:t>
      </w:r>
      <w:r w:rsidR="00D26ED4">
        <w:t>% pour la seconde</w:t>
      </w:r>
      <w:r w:rsidR="00F7547F" w:rsidRPr="00F7547F">
        <w:rPr>
          <w:rFonts w:asciiTheme="minorHAnsi" w:hAnsiTheme="minorHAnsi"/>
          <w:szCs w:val="24"/>
        </w:rPr>
        <w:t xml:space="preserve">. </w:t>
      </w:r>
      <w:r w:rsidR="00F7547F" w:rsidRPr="008E7201">
        <w:t>De plus en plus de publications sont produites sur CD/DVD-Rom, ce qui est à la fois rentable et écologique</w:t>
      </w:r>
      <w:r w:rsidR="000F4F57">
        <w:t>, et permet de réduire</w:t>
      </w:r>
      <w:r w:rsidR="000F4F57" w:rsidRPr="000F4F57">
        <w:t xml:space="preserve"> </w:t>
      </w:r>
      <w:r w:rsidR="000F4F57" w:rsidRPr="008E7201">
        <w:t>les délais de production et</w:t>
      </w:r>
      <w:r w:rsidR="000F4F57">
        <w:t xml:space="preserve"> d’améliorer</w:t>
      </w:r>
      <w:r w:rsidR="00D26ED4">
        <w:t xml:space="preserve"> </w:t>
      </w:r>
      <w:r w:rsidR="000F4F57" w:rsidRPr="008E7201">
        <w:t>la gestion de l'inventaire.</w:t>
      </w:r>
    </w:p>
    <w:p w:rsidR="0057058B" w:rsidRPr="000F4F57" w:rsidRDefault="000F4F57" w:rsidP="00D26ED4">
      <w:r w:rsidRPr="000F4F57">
        <w:t xml:space="preserve">La </w:t>
      </w:r>
      <w:r w:rsidR="0057058B" w:rsidRPr="000F4F57">
        <w:t xml:space="preserve">Figure 1 </w:t>
      </w:r>
      <w:r w:rsidRPr="000F4F57">
        <w:t>ci-dessous représente l’évolution des ventes ces cinq dernières années pour trois formats principaux</w:t>
      </w:r>
      <w:r w:rsidR="00D26ED4">
        <w:t xml:space="preserve">. </w:t>
      </w:r>
      <w:r>
        <w:t>Cet accroissement</w:t>
      </w:r>
      <w:r w:rsidR="00D26ED4">
        <w:t xml:space="preserve"> </w:t>
      </w:r>
      <w:r w:rsidRPr="008E7201">
        <w:t xml:space="preserve">des ventes au format papier </w:t>
      </w:r>
      <w:r>
        <w:t>en</w:t>
      </w:r>
      <w:r w:rsidR="0057058B" w:rsidRPr="000F4F57">
        <w:t xml:space="preserve"> 2016 </w:t>
      </w:r>
      <w:r>
        <w:t>est directement imputable à la préférence accordée à la présentation du</w:t>
      </w:r>
      <w:r w:rsidR="00D26ED4">
        <w:t xml:space="preserve"> </w:t>
      </w:r>
      <w:r w:rsidR="0057058B" w:rsidRPr="000F4F57">
        <w:t>RR 2016</w:t>
      </w:r>
      <w:r w:rsidR="00D26ED4">
        <w:t xml:space="preserve"> </w:t>
      </w:r>
      <w:r>
        <w:rPr>
          <w:color w:val="000000"/>
        </w:rPr>
        <w:t>dans le coffret</w:t>
      </w:r>
      <w:r w:rsidR="0057058B" w:rsidRPr="000F4F57">
        <w:t xml:space="preserve"> </w:t>
      </w:r>
      <w:r>
        <w:t>de quatre volumes</w:t>
      </w:r>
      <w:r w:rsidR="00D26ED4">
        <w:t>.</w:t>
      </w:r>
    </w:p>
    <w:p w:rsidR="00BC1AA9" w:rsidRPr="000F4F57" w:rsidRDefault="00BC1AA9" w:rsidP="00575267">
      <w:pPr>
        <w:spacing w:line="360" w:lineRule="auto"/>
      </w:pPr>
    </w:p>
    <w:p w:rsidR="000C118B" w:rsidRPr="008E7201" w:rsidRDefault="000C118B" w:rsidP="00575267">
      <w:pPr>
        <w:pStyle w:val="FigureNo"/>
        <w:spacing w:line="360" w:lineRule="auto"/>
      </w:pPr>
      <w:r w:rsidRPr="008E7201">
        <w:lastRenderedPageBreak/>
        <w:t>Figure 1</w:t>
      </w:r>
    </w:p>
    <w:p w:rsidR="000C118B" w:rsidRPr="008E7201" w:rsidRDefault="000C118B" w:rsidP="00575267">
      <w:pPr>
        <w:spacing w:line="360" w:lineRule="auto"/>
        <w:ind w:left="360"/>
        <w:jc w:val="center"/>
      </w:pPr>
      <w:r w:rsidRPr="00BA152F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8B1" wp14:editId="57D2DD46">
                <wp:simplePos x="0" y="0"/>
                <wp:positionH relativeFrom="column">
                  <wp:posOffset>4592955</wp:posOffset>
                </wp:positionH>
                <wp:positionV relativeFrom="paragraph">
                  <wp:posOffset>2190667</wp:posOffset>
                </wp:positionV>
                <wp:extent cx="643890" cy="27305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18B" w:rsidRPr="00BA152F" w:rsidRDefault="000C118B" w:rsidP="000C118B">
                            <w:pPr>
                              <w:spacing w:before="0"/>
                              <w:rPr>
                                <w:sz w:val="20"/>
                                <w:lang w:val="en-US"/>
                              </w:rPr>
                            </w:pPr>
                            <w:r w:rsidRPr="00BA152F">
                              <w:rPr>
                                <w:sz w:val="20"/>
                              </w:rPr>
                              <w:t>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912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5pt;margin-top:172.5pt;width:50.7pt;height: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" fillcolor="white [3212]" stroked="f">
                <v:textbox>
                  <w:txbxContent>
                    <w:p w:rsidR="000C118B" w:rsidRPr="00BA152F" w:rsidRDefault="000C118B" w:rsidP="000C118B">
                      <w:pPr>
                        <w:spacing w:before="0"/>
                        <w:rPr>
                          <w:sz w:val="20"/>
                          <w:lang w:val="en-US"/>
                        </w:rPr>
                      </w:pPr>
                      <w:r w:rsidRPr="00BA152F">
                        <w:rPr>
                          <w:sz w:val="20"/>
                        </w:rPr>
                        <w:t>Papier</w:t>
                      </w:r>
                    </w:p>
                  </w:txbxContent>
                </v:textbox>
              </v:shape>
            </w:pict>
          </mc:Fallback>
        </mc:AlternateContent>
      </w:r>
      <w:r w:rsidR="0057058B">
        <w:rPr>
          <w:noProof/>
          <w:lang w:val="en-US" w:eastAsia="zh-CN"/>
        </w:rPr>
        <w:drawing>
          <wp:inline distT="0" distB="0" distL="0" distR="0" wp14:anchorId="67D3849A" wp14:editId="3892F02C">
            <wp:extent cx="6113780" cy="4142629"/>
            <wp:effectExtent l="0" t="0" r="127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8B" w:rsidRDefault="0057058B" w:rsidP="00575267">
      <w:pPr>
        <w:pStyle w:val="Figurelegend"/>
        <w:spacing w:before="120" w:line="360" w:lineRule="auto"/>
      </w:pPr>
      <w:r w:rsidRPr="00742D6F">
        <w:rPr>
          <w:sz w:val="20"/>
        </w:rPr>
        <w:t>*</w:t>
      </w:r>
      <w:r>
        <w:tab/>
        <w:t>Y</w:t>
      </w:r>
      <w:r w:rsidRPr="00690AFD">
        <w:rPr>
          <w:lang w:val="fr-CH"/>
        </w:rPr>
        <w:t xml:space="preserve"> compris souvenirs, redevances, insertions </w:t>
      </w:r>
      <w:r>
        <w:rPr>
          <w:lang w:val="fr-CH"/>
        </w:rPr>
        <w:t xml:space="preserve">dans les </w:t>
      </w:r>
      <w:r w:rsidRPr="00690AFD">
        <w:rPr>
          <w:lang w:val="fr-CH"/>
        </w:rPr>
        <w:t>Nouvelles de l'UIT et autres recettes.</w:t>
      </w:r>
    </w:p>
    <w:p w:rsidR="0057058B" w:rsidRPr="004F6F09" w:rsidRDefault="0057058B" w:rsidP="00D26ED4">
      <w:r w:rsidRPr="004F6F09">
        <w:t>d)</w:t>
      </w:r>
      <w:r w:rsidRPr="004F6F09">
        <w:tab/>
      </w:r>
      <w:r w:rsidR="004F6F09" w:rsidRPr="004F6F09">
        <w:t>Suite à une demande du Conseil à sa session de</w:t>
      </w:r>
      <w:r w:rsidR="00D26ED4">
        <w:t xml:space="preserve"> </w:t>
      </w:r>
      <w:r w:rsidR="004F6F09" w:rsidRPr="004F6F09">
        <w:t>20</w:t>
      </w:r>
      <w:r w:rsidRPr="004F6F09">
        <w:t>16</w:t>
      </w:r>
      <w:r w:rsidR="004F6F09" w:rsidRPr="004F6F09">
        <w:t>, qui souhaitait que soient clarifi</w:t>
      </w:r>
      <w:r w:rsidR="00D26ED4">
        <w:t>é</w:t>
      </w:r>
      <w:r w:rsidR="004F6F09" w:rsidRPr="004F6F09">
        <w:t xml:space="preserve">s les critères permettant de </w:t>
      </w:r>
      <w:r w:rsidR="00B3755F" w:rsidRPr="004F6F09">
        <w:t>déterminer</w:t>
      </w:r>
      <w:r w:rsidR="004F6F09" w:rsidRPr="004F6F09">
        <w:t xml:space="preserve"> si une</w:t>
      </w:r>
      <w:r w:rsidR="00D26ED4">
        <w:t xml:space="preserve"> </w:t>
      </w:r>
      <w:r w:rsidRPr="004F6F09">
        <w:t xml:space="preserve">publication </w:t>
      </w:r>
      <w:r w:rsidR="004F6F09">
        <w:t>serait</w:t>
      </w:r>
      <w:r w:rsidR="00D26ED4">
        <w:t xml:space="preserve"> </w:t>
      </w:r>
      <w:r w:rsidR="004F6F09" w:rsidRPr="004F6F09">
        <w:rPr>
          <w:color w:val="000000"/>
        </w:rPr>
        <w:t>téléchargée gratuitement ou serait payante</w:t>
      </w:r>
      <w:r w:rsidR="004F6F09">
        <w:rPr>
          <w:color w:val="000000"/>
        </w:rPr>
        <w:t>, le Conseil a demandé au</w:t>
      </w:r>
      <w:r w:rsidR="00D26ED4">
        <w:rPr>
          <w:color w:val="000000"/>
        </w:rPr>
        <w:t xml:space="preserve"> </w:t>
      </w:r>
      <w:r w:rsidR="00B3755F" w:rsidRPr="004F6F09">
        <w:t>secrétariat</w:t>
      </w:r>
      <w:r w:rsidR="00B3755F">
        <w:t xml:space="preserve"> </w:t>
      </w:r>
      <w:r w:rsidR="00D26ED4">
        <w:t>de soumettre un rapport au GTC-FHR</w:t>
      </w:r>
      <w:r w:rsidR="004F6F09">
        <w:t>, ce qui a été fait en janvier</w:t>
      </w:r>
      <w:r w:rsidR="00D26ED4">
        <w:t xml:space="preserve"> </w:t>
      </w:r>
      <w:r w:rsidRPr="004F6F09">
        <w:t>2017.</w:t>
      </w:r>
    </w:p>
    <w:p w:rsidR="000C118B" w:rsidRPr="008E7201" w:rsidRDefault="0057058B" w:rsidP="00D26ED4">
      <w:pPr>
        <w:pStyle w:val="Heading2"/>
      </w:pPr>
      <w:r>
        <w:t>2.3</w:t>
      </w:r>
      <w:r w:rsidR="000C118B" w:rsidRPr="008E7201">
        <w:tab/>
        <w:t xml:space="preserve">Evolution des ventes selon la langue </w:t>
      </w:r>
    </w:p>
    <w:p w:rsidR="000C118B" w:rsidRPr="008E7201" w:rsidRDefault="000C118B" w:rsidP="00D26ED4">
      <w:r w:rsidRPr="008E7201">
        <w:t xml:space="preserve">Les publications multilingues en six langues (M6) sont </w:t>
      </w:r>
      <w:r w:rsidR="0057058B">
        <w:t>les plus largement diffusées (70</w:t>
      </w:r>
      <w:r w:rsidRPr="008E7201">
        <w:t xml:space="preserve">%), et comprennent pour l'essentiel les publications du service maritime </w:t>
      </w:r>
      <w:r w:rsidR="0057058B">
        <w:rPr>
          <w:color w:val="000000"/>
        </w:rPr>
        <w:t>dont l'emport est obligatoire</w:t>
      </w:r>
      <w:r w:rsidRPr="008E7201">
        <w:rPr>
          <w:color w:val="000000"/>
        </w:rPr>
        <w:t>,</w:t>
      </w:r>
      <w:r w:rsidRPr="008E7201">
        <w:t xml:space="preserve"> suivies des publi</w:t>
      </w:r>
      <w:r w:rsidR="0057058B">
        <w:t>cations unilingues en anglais (28</w:t>
      </w:r>
      <w:r w:rsidRPr="008E7201">
        <w:t xml:space="preserve">%) et des publications trilingues (M3) en </w:t>
      </w:r>
      <w:r w:rsidR="0057058B">
        <w:t>anglais, français et espagnol (1</w:t>
      </w:r>
      <w:r w:rsidRPr="008E7201">
        <w:t>%). Toutes les autres versions unilingues des publications, à savoir en français, arabe, russe, chinois et espagnol, représentent moins de 1% du total des ventes.</w:t>
      </w:r>
    </w:p>
    <w:p w:rsidR="000C118B" w:rsidRPr="008E7201" w:rsidRDefault="0057058B" w:rsidP="00D26ED4">
      <w:pPr>
        <w:pStyle w:val="Heading2"/>
      </w:pPr>
      <w:r>
        <w:t>2.4</w:t>
      </w:r>
      <w:r w:rsidR="000C118B" w:rsidRPr="008E7201">
        <w:tab/>
        <w:t>Vente des publications de l'UIT par membres/non-membres et par pays</w:t>
      </w:r>
    </w:p>
    <w:p w:rsidR="000C118B" w:rsidRPr="008E7201" w:rsidRDefault="0057058B" w:rsidP="00D26ED4">
      <w:pPr>
        <w:rPr>
          <w:szCs w:val="24"/>
        </w:rPr>
      </w:pPr>
      <w:r>
        <w:t>a)</w:t>
      </w:r>
      <w:r>
        <w:tab/>
      </w:r>
      <w:r w:rsidR="000C118B" w:rsidRPr="008E7201">
        <w:t xml:space="preserve">Les ventes aux membres de publications sur papier/CD-Rom se situent généralement aux alentours de </w:t>
      </w:r>
      <w:r w:rsidR="000C118B" w:rsidRPr="008E7201">
        <w:rPr>
          <w:szCs w:val="24"/>
        </w:rPr>
        <w:t xml:space="preserve">5% à </w:t>
      </w:r>
      <w:r w:rsidR="000C118B" w:rsidRPr="008E7201">
        <w:t>6% du total des ventes. Pour plus d'informations, se reporter</w:t>
      </w:r>
      <w:r w:rsidR="000C118B" w:rsidRPr="008E7201">
        <w:rPr>
          <w:szCs w:val="24"/>
        </w:rPr>
        <w:t xml:space="preserve"> au Document </w:t>
      </w:r>
      <w:hyperlink r:id="rId14" w:history="1">
        <w:r w:rsidRPr="0057058B">
          <w:rPr>
            <w:rStyle w:val="Hyperlink"/>
            <w:lang w:val="fr-CH"/>
          </w:rPr>
          <w:t>C17/INF/4</w:t>
        </w:r>
      </w:hyperlink>
      <w:r w:rsidR="00D26ED4">
        <w:rPr>
          <w:szCs w:val="24"/>
          <w:lang w:val="fr-CH"/>
        </w:rPr>
        <w:t>.</w:t>
      </w:r>
    </w:p>
    <w:p w:rsidR="000C118B" w:rsidRPr="0026278E" w:rsidRDefault="0057058B" w:rsidP="00D26ED4">
      <w:r>
        <w:rPr>
          <w:szCs w:val="24"/>
        </w:rPr>
        <w:t>b)</w:t>
      </w:r>
      <w:r w:rsidR="000C118B" w:rsidRPr="008E7201">
        <w:rPr>
          <w:szCs w:val="24"/>
        </w:rPr>
        <w:tab/>
      </w:r>
      <w:r w:rsidR="000C118B" w:rsidRPr="008E7201">
        <w:t>Comme le montre la Figure 2, les ventes aux membres de publications en ligne</w:t>
      </w:r>
      <w:r w:rsidR="0026278E">
        <w:t>, qui représentent généralement entre</w:t>
      </w:r>
      <w:r w:rsidR="00D26ED4">
        <w:t xml:space="preserve"> </w:t>
      </w:r>
      <w:r w:rsidR="000C118B" w:rsidRPr="008E7201">
        <w:t>45%</w:t>
      </w:r>
      <w:r w:rsidR="00D26ED4">
        <w:t xml:space="preserve"> </w:t>
      </w:r>
      <w:r w:rsidR="0026278E">
        <w:t xml:space="preserve">et </w:t>
      </w:r>
      <w:r w:rsidR="004F6F09" w:rsidRPr="004F6F09">
        <w:rPr>
          <w:szCs w:val="24"/>
        </w:rPr>
        <w:t xml:space="preserve">50% </w:t>
      </w:r>
      <w:r w:rsidR="000C118B" w:rsidRPr="008E7201">
        <w:t>des ventes en ligne</w:t>
      </w:r>
      <w:r w:rsidR="0026278E">
        <w:t>,</w:t>
      </w:r>
      <w:r w:rsidR="0026278E" w:rsidRPr="0026278E">
        <w:t xml:space="preserve"> </w:t>
      </w:r>
      <w:r w:rsidR="0026278E">
        <w:t>ont diminué pour passer à</w:t>
      </w:r>
      <w:r w:rsidR="00D26ED4">
        <w:t>.</w:t>
      </w:r>
      <w:r w:rsidR="00D26ED4">
        <w:rPr>
          <w:szCs w:val="24"/>
        </w:rPr>
        <w:t xml:space="preserve"> </w:t>
      </w:r>
      <w:r w:rsidR="004F6F09" w:rsidRPr="0026278E">
        <w:rPr>
          <w:szCs w:val="24"/>
        </w:rPr>
        <w:t>36%</w:t>
      </w:r>
      <w:r w:rsidR="00D26ED4">
        <w:rPr>
          <w:szCs w:val="24"/>
        </w:rPr>
        <w:t>,</w:t>
      </w:r>
      <w:r w:rsidR="0026278E" w:rsidRPr="0026278E">
        <w:rPr>
          <w:szCs w:val="24"/>
        </w:rPr>
        <w:t xml:space="preserve"> principalement en raison de l’achat à un prix réduit par un Membre de Secteur</w:t>
      </w:r>
      <w:r w:rsidR="00D26ED4">
        <w:rPr>
          <w:szCs w:val="24"/>
        </w:rPr>
        <w:t xml:space="preserve"> </w:t>
      </w:r>
    </w:p>
    <w:p w:rsidR="000C118B" w:rsidRPr="008E7201" w:rsidRDefault="000C118B" w:rsidP="00742D6F">
      <w:pPr>
        <w:pStyle w:val="FigureNo"/>
        <w:spacing w:before="120" w:after="0" w:line="360" w:lineRule="auto"/>
      </w:pPr>
      <w:bookmarkStart w:id="9" w:name="OLE_LINK9"/>
      <w:r w:rsidRPr="008E7201">
        <w:lastRenderedPageBreak/>
        <w:t>Figure 2</w:t>
      </w:r>
    </w:p>
    <w:p w:rsidR="000C118B" w:rsidRPr="008E7201" w:rsidRDefault="0057058B" w:rsidP="00575267">
      <w:pPr>
        <w:pStyle w:val="Figuretitle"/>
        <w:spacing w:after="240" w:line="360" w:lineRule="auto"/>
      </w:pPr>
      <w:r>
        <w:rPr>
          <w:noProof/>
          <w:lang w:val="en-US" w:eastAsia="zh-CN"/>
        </w:rPr>
        <w:drawing>
          <wp:inline distT="0" distB="0" distL="0" distR="0" wp14:anchorId="66ECDDF3" wp14:editId="280BA0AD">
            <wp:extent cx="6120765" cy="3816440"/>
            <wp:effectExtent l="0" t="0" r="13335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bookmarkEnd w:id="9"/>
    <w:p w:rsidR="000C118B" w:rsidRPr="008E7201" w:rsidRDefault="000C118B" w:rsidP="00575267">
      <w:pPr>
        <w:pStyle w:val="Figurelegend"/>
        <w:spacing w:line="360" w:lineRule="auto"/>
      </w:pPr>
      <w:proofErr w:type="gramStart"/>
      <w:r w:rsidRPr="008E7201">
        <w:t>Légende:</w:t>
      </w:r>
      <w:proofErr w:type="gramEnd"/>
      <w:r w:rsidRPr="008E7201">
        <w:t xml:space="preserve"> </w:t>
      </w:r>
    </w:p>
    <w:p w:rsidR="000C118B" w:rsidRPr="008E7201" w:rsidRDefault="000C118B" w:rsidP="00742D6F">
      <w:pPr>
        <w:pStyle w:val="Figurelegend"/>
      </w:pPr>
      <w:r w:rsidRPr="008E7201">
        <w:t>Membres</w:t>
      </w:r>
    </w:p>
    <w:p w:rsidR="000C118B" w:rsidRPr="008E7201" w:rsidRDefault="000C118B" w:rsidP="00742D6F">
      <w:pPr>
        <w:pStyle w:val="Figurelegend"/>
      </w:pPr>
      <w:r w:rsidRPr="008E7201">
        <w:t>Non-Membres</w:t>
      </w:r>
    </w:p>
    <w:p w:rsidR="000C118B" w:rsidRPr="008E7201" w:rsidRDefault="000C118B" w:rsidP="00742D6F">
      <w:pPr>
        <w:pStyle w:val="Figurelegend"/>
      </w:pPr>
      <w:r w:rsidRPr="008E7201">
        <w:t>Papier/CD</w:t>
      </w:r>
    </w:p>
    <w:p w:rsidR="000C118B" w:rsidRPr="008E7201" w:rsidRDefault="000C118B" w:rsidP="00742D6F">
      <w:pPr>
        <w:pStyle w:val="Figurelegend"/>
      </w:pPr>
      <w:r w:rsidRPr="008E7201">
        <w:t>En ligne</w:t>
      </w:r>
    </w:p>
    <w:p w:rsidR="000C118B" w:rsidRPr="008E7201" w:rsidRDefault="0057058B" w:rsidP="00742D6F">
      <w:pPr>
        <w:spacing w:before="240"/>
      </w:pPr>
      <w:r>
        <w:t>c)</w:t>
      </w:r>
      <w:r w:rsidR="000C118B" w:rsidRPr="008E7201">
        <w:tab/>
        <w:t xml:space="preserve">Les chiffres des ventes par pays sont disponibles à </w:t>
      </w:r>
      <w:proofErr w:type="gramStart"/>
      <w:r w:rsidR="000C118B" w:rsidRPr="008E7201">
        <w:t>l'adresse:</w:t>
      </w:r>
      <w:proofErr w:type="gramEnd"/>
      <w:r w:rsidR="000C118B" w:rsidRPr="008E7201">
        <w:t xml:space="preserve"> </w:t>
      </w:r>
      <w:hyperlink r:id="rId16" w:history="1">
        <w:r w:rsidRPr="006A328C">
          <w:rPr>
            <w:rStyle w:val="Hyperlink"/>
          </w:rPr>
          <w:t>http://www.itu.int/en/council/Documents/2017/country-sales-2016.docx</w:t>
        </w:r>
      </w:hyperlink>
      <w:r w:rsidR="000C118B" w:rsidRPr="008E7201">
        <w:t>.</w:t>
      </w:r>
    </w:p>
    <w:p w:rsidR="000C118B" w:rsidRPr="008E7201" w:rsidRDefault="0057058B" w:rsidP="00D26ED4">
      <w:pPr>
        <w:pStyle w:val="Heading1"/>
      </w:pPr>
      <w:r>
        <w:t>3</w:t>
      </w:r>
      <w:r w:rsidR="000C118B" w:rsidRPr="008E7201">
        <w:tab/>
        <w:t xml:space="preserve">Téléchargement gratuit de l'édition de 2012 du Règlement des radiocommunications </w:t>
      </w:r>
    </w:p>
    <w:p w:rsidR="000C118B" w:rsidRDefault="000C118B" w:rsidP="00D26ED4">
      <w:r w:rsidRPr="008E7201">
        <w:t>A sa session de 2012, le Conseil a chargé le Secrétaire général de présenter au Conseil/à la PP</w:t>
      </w:r>
      <w:r w:rsidRPr="008E7201">
        <w:noBreakHyphen/>
        <w:t>14 un rapport sur l'incidence du téléchargement gratuit du Règlement des radiocommunications sur les recettes et les coûts et les moyens de compenser les incidences financières. Le tableau ci</w:t>
      </w:r>
      <w:r w:rsidRPr="008E7201">
        <w:noBreakHyphen/>
        <w:t>dessous</w:t>
      </w:r>
      <w:r w:rsidR="0057058B">
        <w:t xml:space="preserve"> présente les résultats finals </w:t>
      </w:r>
      <w:r>
        <w:t>des ventes de l'édition </w:t>
      </w:r>
      <w:r w:rsidRPr="008E7201">
        <w:t xml:space="preserve">2012 du Règlement des radiocommunications, publication de référence, par rapport aux ventes de l'édition 2008, selon les données disponibles au 31 décembre </w:t>
      </w:r>
      <w:proofErr w:type="gramStart"/>
      <w:r w:rsidRPr="008E7201">
        <w:t>201</w:t>
      </w:r>
      <w:r w:rsidR="0057058B">
        <w:t>6</w:t>
      </w:r>
      <w:r w:rsidRPr="008E7201">
        <w:t>:</w:t>
      </w:r>
      <w:proofErr w:type="gramEnd"/>
    </w:p>
    <w:p w:rsidR="00D26ED4" w:rsidRPr="008E7201" w:rsidRDefault="00D26ED4" w:rsidP="00D26ED4"/>
    <w:tbl>
      <w:tblPr>
        <w:tblW w:w="9269" w:type="dxa"/>
        <w:tblInd w:w="103" w:type="dxa"/>
        <w:tblLook w:val="04A0" w:firstRow="1" w:lastRow="0" w:firstColumn="1" w:lastColumn="0" w:noHBand="0" w:noVBand="1"/>
      </w:tblPr>
      <w:tblGrid>
        <w:gridCol w:w="998"/>
        <w:gridCol w:w="1417"/>
        <w:gridCol w:w="1446"/>
        <w:gridCol w:w="1297"/>
        <w:gridCol w:w="1276"/>
        <w:gridCol w:w="2835"/>
      </w:tblGrid>
      <w:tr w:rsidR="000C118B" w:rsidRPr="008E7201" w:rsidTr="00D962D3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8B" w:rsidRPr="00D26ED4" w:rsidRDefault="000C118B" w:rsidP="00742D6F">
            <w:pPr>
              <w:pStyle w:val="Tablehead"/>
              <w:keepNext/>
              <w:keepLines/>
            </w:pPr>
            <w:r w:rsidRPr="00D26ED4">
              <w:lastRenderedPageBreak/>
              <w:t>Edition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8B" w:rsidRPr="00D26ED4" w:rsidRDefault="000C118B" w:rsidP="00742D6F">
            <w:pPr>
              <w:pStyle w:val="Tablehead"/>
              <w:keepNext/>
              <w:keepLines/>
            </w:pPr>
            <w:r w:rsidRPr="00D26ED4">
              <w:t>Période de vente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8B" w:rsidRPr="00D26ED4" w:rsidRDefault="000C118B" w:rsidP="00742D6F">
            <w:pPr>
              <w:pStyle w:val="Tablehead"/>
              <w:keepNext/>
              <w:keepLines/>
            </w:pPr>
            <w:r w:rsidRPr="00D26ED4">
              <w:t>Quantité totale vendue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8B" w:rsidRPr="00D26ED4" w:rsidRDefault="000C118B" w:rsidP="00742D6F">
            <w:pPr>
              <w:pStyle w:val="Tablehead"/>
              <w:keepNext/>
              <w:keepLines/>
            </w:pPr>
            <w:r w:rsidRPr="00D26ED4">
              <w:t>Revendeurs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18B" w:rsidRPr="00D26ED4" w:rsidRDefault="000C118B" w:rsidP="00742D6F">
            <w:pPr>
              <w:pStyle w:val="Tablehead"/>
              <w:keepNext/>
              <w:keepLines/>
            </w:pPr>
            <w:r w:rsidRPr="00D26ED4">
              <w:t>Particuliers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18B" w:rsidRPr="00D26ED4" w:rsidRDefault="000C118B" w:rsidP="00742D6F">
            <w:pPr>
              <w:pStyle w:val="Tablehead"/>
              <w:keepNext/>
              <w:keepLines/>
            </w:pPr>
            <w:r w:rsidRPr="00D26ED4">
              <w:t>Nombre de téléchargements gratuits</w:t>
            </w:r>
          </w:p>
        </w:tc>
      </w:tr>
      <w:tr w:rsidR="000C118B" w:rsidRPr="00D26ED4" w:rsidTr="00D962D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57058B" w:rsidP="00742D6F">
            <w:pPr>
              <w:pStyle w:val="Tabletext"/>
              <w:keepNext/>
              <w:keepLines/>
              <w:jc w:val="center"/>
            </w:pPr>
            <w:r w:rsidRPr="00D26ED4">
              <w:t>49</w:t>
            </w:r>
            <w:r w:rsidR="000C118B" w:rsidRPr="00D26ED4">
              <w:t xml:space="preserve"> mois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 xml:space="preserve">14 </w:t>
            </w:r>
            <w:r w:rsidR="0057058B" w:rsidRPr="00D26ED4">
              <w:t>775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873591" w:rsidP="00742D6F">
            <w:pPr>
              <w:pStyle w:val="Tabletext"/>
              <w:keepNext/>
              <w:keepLines/>
              <w:jc w:val="center"/>
            </w:pPr>
            <w:r>
              <w:t xml:space="preserve">13 </w:t>
            </w:r>
            <w:r w:rsidR="0057058B" w:rsidRPr="00D26ED4"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>1 0</w:t>
            </w:r>
            <w:r w:rsidR="0057058B" w:rsidRPr="00D26ED4"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873591" w:rsidP="00742D6F">
            <w:pPr>
              <w:pStyle w:val="Tabletext"/>
              <w:keepNext/>
              <w:keepLines/>
              <w:jc w:val="center"/>
            </w:pPr>
            <w:r>
              <w:t>+</w:t>
            </w:r>
            <w:r w:rsidR="0057058B" w:rsidRPr="00D26ED4">
              <w:t>23 000</w:t>
            </w:r>
          </w:p>
        </w:tc>
      </w:tr>
      <w:tr w:rsidR="000C118B" w:rsidRPr="00D26ED4" w:rsidTr="00D962D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57058B" w:rsidP="00742D6F">
            <w:pPr>
              <w:pStyle w:val="Tabletext"/>
              <w:keepNext/>
              <w:keepLines/>
              <w:jc w:val="center"/>
            </w:pPr>
            <w:r w:rsidRPr="00D26ED4">
              <w:t>49</w:t>
            </w:r>
            <w:r w:rsidR="000C118B" w:rsidRPr="00D26ED4">
              <w:t xml:space="preserve"> mois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57058B" w:rsidP="00742D6F">
            <w:pPr>
              <w:pStyle w:val="Tabletext"/>
              <w:keepNext/>
              <w:keepLines/>
              <w:jc w:val="center"/>
            </w:pPr>
            <w:r w:rsidRPr="00D26ED4">
              <w:t>15 191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57058B" w:rsidP="00742D6F">
            <w:pPr>
              <w:pStyle w:val="Tabletext"/>
              <w:keepNext/>
              <w:keepLines/>
              <w:jc w:val="center"/>
            </w:pPr>
            <w:r w:rsidRPr="00D26ED4">
              <w:t>11 475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 xml:space="preserve">3 </w:t>
            </w:r>
            <w:r w:rsidR="0057058B" w:rsidRPr="00D26ED4">
              <w:t>716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>Non proposé</w:t>
            </w:r>
          </w:p>
        </w:tc>
      </w:tr>
      <w:tr w:rsidR="000C118B" w:rsidRPr="00D26ED4" w:rsidTr="00D962D3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>Ecart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  <w:r w:rsidRPr="00D26ED4"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57058B" w:rsidP="00742D6F">
            <w:pPr>
              <w:pStyle w:val="Tabletext"/>
              <w:keepNext/>
              <w:keepLines/>
              <w:jc w:val="center"/>
            </w:pPr>
            <w:r w:rsidRPr="00D26ED4">
              <w:t>(416)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873591" w:rsidP="00742D6F">
            <w:pPr>
              <w:pStyle w:val="Tabletext"/>
              <w:keepNext/>
              <w:keepLines/>
              <w:jc w:val="center"/>
            </w:pPr>
            <w:r>
              <w:t xml:space="preserve">2 </w:t>
            </w:r>
            <w:r w:rsidR="0057058B" w:rsidRPr="00D26ED4"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18B" w:rsidRPr="00D26ED4" w:rsidRDefault="0057058B" w:rsidP="00742D6F">
            <w:pPr>
              <w:pStyle w:val="Tabletext"/>
              <w:keepNext/>
              <w:keepLines/>
              <w:jc w:val="center"/>
            </w:pPr>
            <w:r w:rsidRPr="00D26ED4">
              <w:t>(2 636)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0C118B" w:rsidRPr="00D26ED4" w:rsidRDefault="000C118B" w:rsidP="00742D6F">
            <w:pPr>
              <w:pStyle w:val="Tabletext"/>
              <w:keepNext/>
              <w:keepLines/>
              <w:jc w:val="center"/>
            </w:pPr>
          </w:p>
        </w:tc>
      </w:tr>
    </w:tbl>
    <w:p w:rsidR="001361A5" w:rsidRPr="001361A5" w:rsidRDefault="001361A5" w:rsidP="00873591">
      <w:r w:rsidRPr="001361A5">
        <w:t xml:space="preserve">Suite à la mise en place de l’accès en ligne </w:t>
      </w:r>
      <w:r w:rsidR="005A1114">
        <w:t xml:space="preserve">gratuit </w:t>
      </w:r>
      <w:r w:rsidRPr="001361A5">
        <w:t>au Règlement des radiocommunications</w:t>
      </w:r>
      <w:r w:rsidR="00D26ED4">
        <w:t>,</w:t>
      </w:r>
      <w:r w:rsidRPr="001361A5">
        <w:t xml:space="preserve"> </w:t>
      </w:r>
      <w:r>
        <w:t>l</w:t>
      </w:r>
      <w:r w:rsidRPr="008E7201">
        <w:t>e total des</w:t>
      </w:r>
      <w:r w:rsidR="00D26ED4">
        <w:t xml:space="preserve"> ventes</w:t>
      </w:r>
      <w:r w:rsidRPr="008E7201">
        <w:t xml:space="preserve"> a</w:t>
      </w:r>
      <w:r>
        <w:t xml:space="preserve"> légèrement diminué (</w:t>
      </w:r>
      <w:r w:rsidR="00D26ED4">
        <w:t>3%,</w:t>
      </w:r>
      <w:r>
        <w:t xml:space="preserve">) par rapport aux </w:t>
      </w:r>
      <w:r w:rsidRPr="008E7201">
        <w:t xml:space="preserve">ventes de l'édition </w:t>
      </w:r>
      <w:r w:rsidRPr="001361A5">
        <w:t>2008</w:t>
      </w:r>
      <w:r w:rsidR="00D26ED4">
        <w:t>,</w:t>
      </w:r>
      <w:r>
        <w:t xml:space="preserve"> ce qui représente une réduction des recettes tirées des ventes</w:t>
      </w:r>
      <w:r w:rsidR="00D26ED4">
        <w:t xml:space="preserve"> </w:t>
      </w:r>
      <w:r>
        <w:t>de</w:t>
      </w:r>
      <w:r w:rsidR="00D26ED4">
        <w:t xml:space="preserve"> </w:t>
      </w:r>
      <w:r w:rsidRPr="001361A5">
        <w:t>CHF 132</w:t>
      </w:r>
      <w:r w:rsidR="00873591">
        <w:t> </w:t>
      </w:r>
      <w:r w:rsidRPr="001361A5">
        <w:t>000. Les ventes de l'édition 2012</w:t>
      </w:r>
      <w:r w:rsidR="00D26ED4">
        <w:t xml:space="preserve"> </w:t>
      </w:r>
      <w:r w:rsidRPr="001361A5">
        <w:t>(DVD ou coffret de volumes papier)</w:t>
      </w:r>
      <w:r w:rsidR="00D26ED4">
        <w:t xml:space="preserve"> </w:t>
      </w:r>
      <w:r>
        <w:t>à des</w:t>
      </w:r>
      <w:r w:rsidR="00D26ED4">
        <w:t xml:space="preserve"> </w:t>
      </w:r>
      <w:r>
        <w:t>revendeurs</w:t>
      </w:r>
      <w:r w:rsidRPr="001361A5">
        <w:t xml:space="preserve"> </w:t>
      </w:r>
      <w:r>
        <w:t>ont augment</w:t>
      </w:r>
      <w:r w:rsidR="00D26ED4">
        <w:t>é</w:t>
      </w:r>
      <w:r>
        <w:t xml:space="preserve"> (</w:t>
      </w:r>
      <w:r w:rsidRPr="001361A5">
        <w:t>2</w:t>
      </w:r>
      <w:r w:rsidR="00D26ED4">
        <w:t> </w:t>
      </w:r>
      <w:r w:rsidRPr="001361A5">
        <w:t>220</w:t>
      </w:r>
      <w:r>
        <w:t xml:space="preserve"> exemplaires</w:t>
      </w:r>
      <w:r w:rsidR="00D26ED4">
        <w:t xml:space="preserve"> de plus</w:t>
      </w:r>
      <w:r>
        <w:t xml:space="preserve">)par rapport à </w:t>
      </w:r>
      <w:r w:rsidRPr="008E7201">
        <w:t xml:space="preserve">l'édition </w:t>
      </w:r>
      <w:r w:rsidRPr="001361A5">
        <w:t>2008</w:t>
      </w:r>
      <w:r w:rsidR="00D26ED4">
        <w:t xml:space="preserve">. </w:t>
      </w:r>
      <w:r>
        <w:t>Les ventes à des non-revendeurs (particuliers compris)</w:t>
      </w:r>
      <w:r w:rsidR="00742D6F">
        <w:t xml:space="preserve"> </w:t>
      </w:r>
      <w:r>
        <w:t>ont cependant accusé une baisse (de plus de</w:t>
      </w:r>
      <w:r w:rsidR="00D26ED4">
        <w:t xml:space="preserve"> </w:t>
      </w:r>
      <w:r w:rsidRPr="001361A5">
        <w:t>2</w:t>
      </w:r>
      <w:r w:rsidR="00873591">
        <w:t> </w:t>
      </w:r>
      <w:r w:rsidRPr="001361A5">
        <w:t xml:space="preserve">600 </w:t>
      </w:r>
      <w:r>
        <w:t>exemplaires)</w:t>
      </w:r>
      <w:r w:rsidRPr="001361A5">
        <w:t xml:space="preserve"> </w:t>
      </w:r>
    </w:p>
    <w:p w:rsidR="001361A5" w:rsidRPr="005A1114" w:rsidRDefault="005A1114" w:rsidP="00742D6F">
      <w:r>
        <w:t xml:space="preserve">Depuis </w:t>
      </w:r>
      <w:r w:rsidRPr="001361A5">
        <w:t xml:space="preserve">la mise en place de l’accès en ligne </w:t>
      </w:r>
      <w:r>
        <w:t>gratuit</w:t>
      </w:r>
      <w:r w:rsidR="00D26ED4">
        <w:t xml:space="preserve"> </w:t>
      </w:r>
      <w:r>
        <w:t>en</w:t>
      </w:r>
      <w:r w:rsidR="00D26ED4">
        <w:t xml:space="preserve"> </w:t>
      </w:r>
      <w:r w:rsidR="001361A5" w:rsidRPr="005A1114">
        <w:t>2012,</w:t>
      </w:r>
      <w:r w:rsidR="00D26ED4">
        <w:t xml:space="preserve"> </w:t>
      </w:r>
      <w:r>
        <w:t>plus de</w:t>
      </w:r>
      <w:r w:rsidR="00D26ED4">
        <w:t xml:space="preserve"> </w:t>
      </w:r>
      <w:r w:rsidR="001361A5" w:rsidRPr="005A1114">
        <w:t>23</w:t>
      </w:r>
      <w:r w:rsidR="00D26ED4">
        <w:t> </w:t>
      </w:r>
      <w:r w:rsidR="001361A5" w:rsidRPr="005A1114">
        <w:t>000</w:t>
      </w:r>
      <w:r w:rsidR="00D26ED4">
        <w:t xml:space="preserve"> </w:t>
      </w:r>
      <w:r>
        <w:t xml:space="preserve">téléchargements gratuits ont été effectués. </w:t>
      </w:r>
      <w:r w:rsidRPr="008E7201">
        <w:t>Des renseignements sur les téléchargements gratuits par pays</w:t>
      </w:r>
      <w:r w:rsidR="00D26ED4">
        <w:t xml:space="preserve"> </w:t>
      </w:r>
      <w:r w:rsidRPr="008E7201">
        <w:t>sont accessibles à</w:t>
      </w:r>
      <w:r w:rsidR="00742D6F">
        <w:t xml:space="preserve"> </w:t>
      </w:r>
      <w:proofErr w:type="gramStart"/>
      <w:r w:rsidRPr="008E7201">
        <w:t>l'adresse</w:t>
      </w:r>
      <w:r>
        <w:t>:</w:t>
      </w:r>
      <w:proofErr w:type="gramEnd"/>
    </w:p>
    <w:p w:rsidR="000C118B" w:rsidRDefault="00742D6F" w:rsidP="00D26ED4">
      <w:pPr>
        <w:rPr>
          <w:rFonts w:asciiTheme="minorHAnsi" w:hAnsiTheme="minorHAnsi"/>
          <w:szCs w:val="24"/>
        </w:rPr>
      </w:pPr>
      <w:hyperlink r:id="rId17" w:history="1">
        <w:r w:rsidR="0057058B" w:rsidRPr="006A328C">
          <w:rPr>
            <w:rStyle w:val="Hyperlink"/>
          </w:rPr>
          <w:t>http://www.itu.int/en/council/Documents/2017/rr-sales-2016.docx</w:t>
        </w:r>
      </w:hyperlink>
      <w:r w:rsidR="000C118B" w:rsidRPr="008E7201">
        <w:rPr>
          <w:rFonts w:asciiTheme="minorHAnsi" w:hAnsiTheme="minorHAnsi"/>
          <w:szCs w:val="24"/>
        </w:rPr>
        <w:t>.</w:t>
      </w:r>
    </w:p>
    <w:p w:rsidR="00D26ED4" w:rsidRPr="008E7201" w:rsidRDefault="00D26ED4" w:rsidP="00742D6F">
      <w:pPr>
        <w:spacing w:before="600"/>
        <w:jc w:val="center"/>
      </w:pPr>
      <w:r>
        <w:t>______________</w:t>
      </w:r>
    </w:p>
    <w:sectPr w:rsidR="00D26ED4" w:rsidRPr="008E7201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8B" w:rsidRDefault="000C118B">
      <w:r>
        <w:separator/>
      </w:r>
    </w:p>
  </w:endnote>
  <w:endnote w:type="continuationSeparator" w:id="0">
    <w:p w:rsidR="000C118B" w:rsidRDefault="000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742D6F" w:rsidRDefault="00873591">
    <w:pPr>
      <w:pStyle w:val="Footer"/>
      <w:rPr>
        <w:lang w:val="en-US"/>
      </w:rPr>
    </w:pPr>
    <w:r>
      <w:fldChar w:fldCharType="begin"/>
    </w:r>
    <w:r w:rsidRPr="00742D6F">
      <w:rPr>
        <w:lang w:val="en-US"/>
      </w:rPr>
      <w:instrText xml:space="preserve"> FILENAME \p \* MERGEFORMAT </w:instrText>
    </w:r>
    <w:r>
      <w:fldChar w:fldCharType="separate"/>
    </w:r>
    <w:r w:rsidR="00575267" w:rsidRPr="00742D6F">
      <w:rPr>
        <w:lang w:val="en-US"/>
      </w:rPr>
      <w:t>P:\TRAD\F\LING\Deturche-Nazer\409471f.docx</w:t>
    </w:r>
    <w:r>
      <w:fldChar w:fldCharType="end"/>
    </w:r>
    <w:r w:rsidR="00732045" w:rsidRPr="00742D6F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42D6F">
      <w:t>01.05.17</w:t>
    </w:r>
    <w:r w:rsidR="002F1B76">
      <w:fldChar w:fldCharType="end"/>
    </w:r>
    <w:r w:rsidR="00732045" w:rsidRPr="00742D6F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75267">
      <w:t>01.05.17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8333CE" w:rsidRDefault="00873591" w:rsidP="008333CE">
    <w:pPr>
      <w:pStyle w:val="Footer"/>
    </w:pPr>
    <w:fldSimple w:instr=" FILENAME \p  \* MERGEFORMAT ">
      <w:r w:rsidR="0037647D">
        <w:t>P:\FRA\SG\CONSEIL\C17\000\021F.docx</w:t>
      </w:r>
    </w:fldSimple>
    <w:r w:rsidR="008333CE">
      <w:t xml:space="preserve"> (409471)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8B" w:rsidRDefault="000C118B">
      <w:r>
        <w:t>____________________</w:t>
      </w:r>
    </w:p>
  </w:footnote>
  <w:footnote w:type="continuationSeparator" w:id="0">
    <w:p w:rsidR="000C118B" w:rsidRDefault="000C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42D6F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0C118B">
      <w:t>/21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B"/>
    <w:rsid w:val="00047758"/>
    <w:rsid w:val="000C118B"/>
    <w:rsid w:val="000D0D0A"/>
    <w:rsid w:val="000F4F57"/>
    <w:rsid w:val="00103163"/>
    <w:rsid w:val="00115D93"/>
    <w:rsid w:val="001247A8"/>
    <w:rsid w:val="001361A5"/>
    <w:rsid w:val="001378C0"/>
    <w:rsid w:val="0018694A"/>
    <w:rsid w:val="001A3287"/>
    <w:rsid w:val="001A6508"/>
    <w:rsid w:val="001D4C31"/>
    <w:rsid w:val="001E4D21"/>
    <w:rsid w:val="00207CD1"/>
    <w:rsid w:val="002477A2"/>
    <w:rsid w:val="0026278E"/>
    <w:rsid w:val="00263A51"/>
    <w:rsid w:val="00267E02"/>
    <w:rsid w:val="002A5D44"/>
    <w:rsid w:val="002E0BC4"/>
    <w:rsid w:val="002F1B76"/>
    <w:rsid w:val="00355FF5"/>
    <w:rsid w:val="00361350"/>
    <w:rsid w:val="0037647D"/>
    <w:rsid w:val="003A16BF"/>
    <w:rsid w:val="004038CB"/>
    <w:rsid w:val="0040546F"/>
    <w:rsid w:val="0042404A"/>
    <w:rsid w:val="0044618F"/>
    <w:rsid w:val="0046769A"/>
    <w:rsid w:val="00475FB3"/>
    <w:rsid w:val="004C37A9"/>
    <w:rsid w:val="004F259E"/>
    <w:rsid w:val="004F4171"/>
    <w:rsid w:val="004F6F09"/>
    <w:rsid w:val="00511F1D"/>
    <w:rsid w:val="00520F36"/>
    <w:rsid w:val="00540615"/>
    <w:rsid w:val="00540A6D"/>
    <w:rsid w:val="0057058B"/>
    <w:rsid w:val="00571EEA"/>
    <w:rsid w:val="00575267"/>
    <w:rsid w:val="00575417"/>
    <w:rsid w:val="005768E1"/>
    <w:rsid w:val="005A1114"/>
    <w:rsid w:val="005C3890"/>
    <w:rsid w:val="005F7BFE"/>
    <w:rsid w:val="00600017"/>
    <w:rsid w:val="006235CA"/>
    <w:rsid w:val="006643AB"/>
    <w:rsid w:val="007210CD"/>
    <w:rsid w:val="00732045"/>
    <w:rsid w:val="007369DB"/>
    <w:rsid w:val="00742D6F"/>
    <w:rsid w:val="00784078"/>
    <w:rsid w:val="007956C2"/>
    <w:rsid w:val="007A187E"/>
    <w:rsid w:val="007C72C2"/>
    <w:rsid w:val="007D4436"/>
    <w:rsid w:val="007D5854"/>
    <w:rsid w:val="007F257A"/>
    <w:rsid w:val="007F3665"/>
    <w:rsid w:val="00800037"/>
    <w:rsid w:val="008333CE"/>
    <w:rsid w:val="00861D73"/>
    <w:rsid w:val="00873591"/>
    <w:rsid w:val="008A4E87"/>
    <w:rsid w:val="008D76E6"/>
    <w:rsid w:val="0092392D"/>
    <w:rsid w:val="0093234A"/>
    <w:rsid w:val="009C307F"/>
    <w:rsid w:val="00A2113E"/>
    <w:rsid w:val="00A22199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755F"/>
    <w:rsid w:val="00B60B4B"/>
    <w:rsid w:val="00B61619"/>
    <w:rsid w:val="00BB4545"/>
    <w:rsid w:val="00BC1AA9"/>
    <w:rsid w:val="00BD5873"/>
    <w:rsid w:val="00C04BE3"/>
    <w:rsid w:val="00C25D29"/>
    <w:rsid w:val="00C27A7C"/>
    <w:rsid w:val="00C47552"/>
    <w:rsid w:val="00CA08ED"/>
    <w:rsid w:val="00CA6C7D"/>
    <w:rsid w:val="00CD4BB2"/>
    <w:rsid w:val="00CF183B"/>
    <w:rsid w:val="00D26ED4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C56D9"/>
    <w:rsid w:val="00EE2E60"/>
    <w:rsid w:val="00F15B57"/>
    <w:rsid w:val="00F427DB"/>
    <w:rsid w:val="00F7547F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4C49536-CDD1-49DD-AC6F-6D815260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0C118B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Basic-Texts/ResDecRec-PP10-e.doc" TargetMode="Externa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17-CL-INF-0004/fr" TargetMode="External"/><Relationship Id="rId12" Type="http://schemas.openxmlformats.org/officeDocument/2006/relationships/hyperlink" Target="https://www.itu.int/md/S17-CL-INF-0004/en" TargetMode="External"/><Relationship Id="rId17" Type="http://schemas.openxmlformats.org/officeDocument/2006/relationships/hyperlink" Target="http://www.itu.int/en/council/Documents/2017/rr-sales-2016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en/council/Documents/2017/country-sales-2016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3-CL-C-0093/e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2-CL-C-0103/en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yperlink" Target="https://www.itu.int/md/S17-CL-INF-0004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bimana\Documents\Publications\Council%202017\Sent%20to%20Shafqat\Sent%20in%202017\ChartsCouncil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bimana\Documents\Publications\Council%202017\ChartsCouncil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Ventes par format</a:t>
            </a:r>
            <a:r>
              <a:rPr lang="en-US" baseline="0"/>
              <a:t> 2012-2016 (%)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705603189030897E-2"/>
          <c:y val="8.8005359518736795E-2"/>
          <c:w val="0.78319066944403803"/>
          <c:h val="0.85959902091289397"/>
        </c:manualLayout>
      </c:layout>
      <c:lineChart>
        <c:grouping val="standard"/>
        <c:varyColors val="0"/>
        <c:ser>
          <c:idx val="2"/>
          <c:order val="1"/>
          <c:tx>
            <c:strRef>
              <c:f>'Figure 1 Data'!$D$10</c:f>
              <c:strCache>
                <c:ptCount val="1"/>
                <c:pt idx="0">
                  <c:v>CD/DVD-Rom</c:v>
                </c:pt>
              </c:strCache>
            </c:strRef>
          </c:tx>
          <c:dLbls>
            <c:dLbl>
              <c:idx val="0"/>
              <c:layout>
                <c:manualLayout>
                  <c:x val="1.3646842496740301E-3"/>
                  <c:y val="6.26455048726199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'Figure 1 Data'!$B$11:$B$17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  <c:extLst/>
            </c:numRef>
          </c:cat>
          <c:val>
            <c:numRef>
              <c:f>'Figure 1 Data'!$D$11:$D$17</c:f>
              <c:numCache>
                <c:formatCode>_(* #,##0_);_(* \(#,##0\);_(* "-"??_);_(@_)</c:formatCode>
                <c:ptCount val="5"/>
                <c:pt idx="0">
                  <c:v>84</c:v>
                </c:pt>
                <c:pt idx="1">
                  <c:v>72</c:v>
                </c:pt>
                <c:pt idx="2">
                  <c:v>87</c:v>
                </c:pt>
                <c:pt idx="3">
                  <c:v>90</c:v>
                </c:pt>
                <c:pt idx="4">
                  <c:v>77</c:v>
                </c:pt>
              </c:numCache>
              <c:extLst/>
            </c:numRef>
          </c:val>
          <c:smooth val="0"/>
          <c:extLst/>
        </c:ser>
        <c:ser>
          <c:idx val="1"/>
          <c:order val="0"/>
          <c:tx>
            <c:strRef>
              <c:f>'Figure 1 Data'!$C$10</c:f>
              <c:strCache>
                <c:ptCount val="1"/>
                <c:pt idx="0">
                  <c:v>Paper</c:v>
                </c:pt>
              </c:strCache>
            </c:strRef>
          </c:tx>
          <c:dLbls>
            <c:dLbl>
              <c:idx val="0"/>
              <c:layout>
                <c:manualLayout>
                  <c:x val="-1.3646842496740301E-3"/>
                  <c:y val="-3.1322752436309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1.461728447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'Figure 1 Data'!$B$11:$B$17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  <c:extLst/>
            </c:numRef>
          </c:cat>
          <c:val>
            <c:numRef>
              <c:f>'Figure 1 Data'!$C$11:$C$17</c:f>
              <c:numCache>
                <c:formatCode>_(* #,##0_);_(* \(#,##0\);_(* "-"??_);_(@_)</c:formatCode>
                <c:ptCount val="5"/>
                <c:pt idx="0">
                  <c:v>13</c:v>
                </c:pt>
                <c:pt idx="1">
                  <c:v>26</c:v>
                </c:pt>
                <c:pt idx="2">
                  <c:v>11</c:v>
                </c:pt>
                <c:pt idx="3">
                  <c:v>8</c:v>
                </c:pt>
                <c:pt idx="4">
                  <c:v>21</c:v>
                </c:pt>
              </c:numCache>
              <c:extLst/>
            </c:numRef>
          </c:val>
          <c:smooth val="0"/>
          <c:extLst/>
        </c:ser>
        <c:ser>
          <c:idx val="3"/>
          <c:order val="2"/>
          <c:tx>
            <c:strRef>
              <c:f>'Figure 1 Data'!$E$10</c:f>
              <c:strCache>
                <c:ptCount val="1"/>
                <c:pt idx="0">
                  <c:v>Online/E-bookshop and other*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'Figure 1 Data'!$B$11:$B$17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  <c:extLst/>
            </c:numRef>
          </c:cat>
          <c:val>
            <c:numRef>
              <c:f>'Figure 1 Data'!$E$11:$E$17</c:f>
              <c:numCache>
                <c:formatCode>_(* #,##0_);_(* \(#,##0\);_(* "-"??_);_(@_)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  <c:extLst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8625752"/>
        <c:axId val="478569048"/>
      </c:lineChart>
      <c:catAx>
        <c:axId val="488625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78569048"/>
        <c:crosses val="autoZero"/>
        <c:auto val="1"/>
        <c:lblAlgn val="ctr"/>
        <c:lblOffset val="100"/>
        <c:noMultiLvlLbl val="0"/>
      </c:catAx>
      <c:valAx>
        <c:axId val="4785690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  <c:overlay val="0"/>
        </c:title>
        <c:numFmt formatCode="_(* #,##0_);_(* \(#,##0\);_(* &quot;-&quot;??_);_(@_)" sourceLinked="1"/>
        <c:majorTickMark val="none"/>
        <c:minorTickMark val="none"/>
        <c:tickLblPos val="nextTo"/>
        <c:crossAx val="488625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927169624404302"/>
          <c:y val="0.47562046364316202"/>
          <c:w val="0.33771311937417797"/>
          <c:h val="0.1731803356982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Ventes aux membres/non-membres</a:t>
            </a:r>
            <a:r>
              <a:rPr lang="en-US" baseline="0"/>
              <a:t> </a:t>
            </a:r>
            <a:r>
              <a:rPr lang="en-US"/>
              <a:t>(%)</a:t>
            </a:r>
          </a:p>
        </c:rich>
      </c:tx>
      <c:layout>
        <c:manualLayout>
          <c:xMode val="edge"/>
          <c:yMode val="edge"/>
          <c:x val="0.26129620074054"/>
          <c:y val="1.2529100974523999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'Figure 2 Data'!$D$12</c:f>
              <c:strCache>
                <c:ptCount val="1"/>
                <c:pt idx="0">
                  <c:v>Members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'Figure 2 Data'!$B$13:$C$26</c:f>
              <c:multiLvlStrCache>
                <c:ptCount val="10"/>
                <c:lvl>
                  <c:pt idx="0">
                    <c:v>Paper/CD</c:v>
                  </c:pt>
                  <c:pt idx="1">
                    <c:v>Online</c:v>
                  </c:pt>
                  <c:pt idx="2">
                    <c:v>Paper/CD</c:v>
                  </c:pt>
                  <c:pt idx="3">
                    <c:v>Online</c:v>
                  </c:pt>
                  <c:pt idx="4">
                    <c:v>Paper/CD</c:v>
                  </c:pt>
                  <c:pt idx="5">
                    <c:v>Online</c:v>
                  </c:pt>
                  <c:pt idx="6">
                    <c:v>Paper/CD</c:v>
                  </c:pt>
                  <c:pt idx="7">
                    <c:v>Online</c:v>
                  </c:pt>
                  <c:pt idx="8">
                    <c:v>Paper/CD</c:v>
                  </c:pt>
                  <c:pt idx="9">
                    <c:v>Online</c:v>
                  </c:pt>
                </c:lvl>
                <c:lvl>
                  <c:pt idx="0">
                    <c:v>2012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2014</c:v>
                  </c:pt>
                  <c:pt idx="6">
                    <c:v>2015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2016</c:v>
                  </c:pt>
                </c:lvl>
              </c:multiLvlStrCache>
              <c:extLst/>
            </c:multiLvlStrRef>
          </c:cat>
          <c:val>
            <c:numRef>
              <c:f>'Figure 2 Data'!$D$13:$D$26</c:f>
              <c:numCache>
                <c:formatCode>_(* #,##0_);_(* \(#,##0\);_(* "-"??_);_(@_)</c:formatCode>
                <c:ptCount val="10"/>
                <c:pt idx="0">
                  <c:v>5</c:v>
                </c:pt>
                <c:pt idx="1">
                  <c:v>52</c:v>
                </c:pt>
                <c:pt idx="2">
                  <c:v>6</c:v>
                </c:pt>
                <c:pt idx="3">
                  <c:v>22</c:v>
                </c:pt>
                <c:pt idx="4">
                  <c:v>5</c:v>
                </c:pt>
                <c:pt idx="5">
                  <c:v>45</c:v>
                </c:pt>
                <c:pt idx="6">
                  <c:v>5</c:v>
                </c:pt>
                <c:pt idx="7">
                  <c:v>44</c:v>
                </c:pt>
                <c:pt idx="8">
                  <c:v>5</c:v>
                </c:pt>
                <c:pt idx="9">
                  <c:v>36</c:v>
                </c:pt>
              </c:numCache>
              <c:extLst/>
            </c:numRef>
          </c:val>
        </c:ser>
        <c:ser>
          <c:idx val="1"/>
          <c:order val="1"/>
          <c:tx>
            <c:strRef>
              <c:f>'Figure 2 Data'!$E$12</c:f>
              <c:strCache>
                <c:ptCount val="1"/>
                <c:pt idx="0">
                  <c:v>Non-Members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'Figure 2 Data'!$B$13:$C$26</c:f>
              <c:multiLvlStrCache>
                <c:ptCount val="10"/>
                <c:lvl>
                  <c:pt idx="0">
                    <c:v>Paper/CD</c:v>
                  </c:pt>
                  <c:pt idx="1">
                    <c:v>Online</c:v>
                  </c:pt>
                  <c:pt idx="2">
                    <c:v>Paper/CD</c:v>
                  </c:pt>
                  <c:pt idx="3">
                    <c:v>Online</c:v>
                  </c:pt>
                  <c:pt idx="4">
                    <c:v>Paper/CD</c:v>
                  </c:pt>
                  <c:pt idx="5">
                    <c:v>Online</c:v>
                  </c:pt>
                  <c:pt idx="6">
                    <c:v>Paper/CD</c:v>
                  </c:pt>
                  <c:pt idx="7">
                    <c:v>Online</c:v>
                  </c:pt>
                  <c:pt idx="8">
                    <c:v>Paper/CD</c:v>
                  </c:pt>
                  <c:pt idx="9">
                    <c:v>Online</c:v>
                  </c:pt>
                </c:lvl>
                <c:lvl>
                  <c:pt idx="0">
                    <c:v>2012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2014</c:v>
                  </c:pt>
                  <c:pt idx="6">
                    <c:v>2015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2016</c:v>
                  </c:pt>
                </c:lvl>
              </c:multiLvlStrCache>
              <c:extLst/>
            </c:multiLvlStrRef>
          </c:cat>
          <c:val>
            <c:numRef>
              <c:f>'Figure 2 Data'!$E$13:$E$26</c:f>
              <c:numCache>
                <c:formatCode>_(* #,##0_);_(* \(#,##0\);_(* "-"??_);_(@_)</c:formatCode>
                <c:ptCount val="10"/>
                <c:pt idx="0">
                  <c:v>95</c:v>
                </c:pt>
                <c:pt idx="1">
                  <c:v>48</c:v>
                </c:pt>
                <c:pt idx="2">
                  <c:v>94</c:v>
                </c:pt>
                <c:pt idx="3">
                  <c:v>78</c:v>
                </c:pt>
                <c:pt idx="4">
                  <c:v>95</c:v>
                </c:pt>
                <c:pt idx="5">
                  <c:v>55</c:v>
                </c:pt>
                <c:pt idx="6">
                  <c:v>95</c:v>
                </c:pt>
                <c:pt idx="7">
                  <c:v>56</c:v>
                </c:pt>
                <c:pt idx="8">
                  <c:v>95</c:v>
                </c:pt>
                <c:pt idx="9">
                  <c:v>64</c:v>
                </c:pt>
              </c:numCache>
              <c:extLst/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478569440"/>
        <c:axId val="478568656"/>
        <c:axId val="0"/>
      </c:bar3DChart>
      <c:catAx>
        <c:axId val="478569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78568656"/>
        <c:crosses val="autoZero"/>
        <c:auto val="1"/>
        <c:lblAlgn val="ctr"/>
        <c:lblOffset val="100"/>
        <c:noMultiLvlLbl val="0"/>
      </c:catAx>
      <c:valAx>
        <c:axId val="478568656"/>
        <c:scaling>
          <c:orientation val="minMax"/>
        </c:scaling>
        <c:delete val="1"/>
        <c:axPos val="l"/>
        <c:numFmt formatCode="_(* #,##0_);_(* \(#,##0\);_(* &quot;-&quot;??_);_(@_)" sourceLinked="1"/>
        <c:majorTickMark val="none"/>
        <c:minorTickMark val="none"/>
        <c:tickLblPos val="nextTo"/>
        <c:crossAx val="47856944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6</Pages>
  <Words>1393</Words>
  <Characters>8222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9596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Vente des publications de l'UIT et accès en ligne gratuit à ces publications</dc:title>
  <dc:subject>Conseil 2017</dc:subject>
  <dc:creator>Gozel, Elsa</dc:creator>
  <cp:keywords>C2017, C17</cp:keywords>
  <dc:description>Document C17/-F  Pour: _x000d_Date du document: janvier 2017_x000d_Enregistré par ITU51009317 à 15:30:24 le 06/04/2017</dc:description>
  <cp:lastModifiedBy>Brouard, Ricarda</cp:lastModifiedBy>
  <cp:revision>2</cp:revision>
  <cp:lastPrinted>2017-05-01T07:07:00Z</cp:lastPrinted>
  <dcterms:created xsi:type="dcterms:W3CDTF">2017-05-02T09:10:00Z</dcterms:created>
  <dcterms:modified xsi:type="dcterms:W3CDTF">2017-05-02T09:10:00Z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