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323F" w:rsidRPr="00813E5E" w14:paraId="0018F6DA" w14:textId="77777777">
        <w:trPr>
          <w:cantSplit/>
        </w:trPr>
        <w:tc>
          <w:tcPr>
            <w:tcW w:w="6911" w:type="dxa"/>
          </w:tcPr>
          <w:p w14:paraId="658A1A46" w14:textId="77777777" w:rsidR="0043323F" w:rsidRPr="00813E5E" w:rsidRDefault="0043323F" w:rsidP="0043323F">
            <w:pPr>
              <w:spacing w:before="360" w:after="48" w:line="240" w:lineRule="atLeast"/>
              <w:rPr>
                <w:position w:val="6"/>
              </w:rPr>
            </w:pPr>
            <w:bookmarkStart w:id="0" w:name="dc06"/>
            <w:bookmarkEnd w:id="0"/>
            <w:r w:rsidRPr="0043323F">
              <w:rPr>
                <w:b/>
                <w:bCs/>
                <w:position w:val="6"/>
                <w:sz w:val="30"/>
                <w:szCs w:val="30"/>
                <w:lang w:val="fr-CH"/>
              </w:rPr>
              <w:t>Council 2017</w:t>
            </w:r>
            <w:r w:rsidRPr="0043323F">
              <w:rPr>
                <w:rFonts w:cs="Times"/>
                <w:b/>
                <w:position w:val="6"/>
                <w:sz w:val="26"/>
                <w:szCs w:val="26"/>
                <w:lang w:val="en-US"/>
              </w:rPr>
              <w:br/>
            </w:r>
            <w:r w:rsidRPr="0043323F">
              <w:rPr>
                <w:b/>
                <w:bCs/>
                <w:position w:val="6"/>
                <w:szCs w:val="24"/>
                <w:lang w:val="fr-CH"/>
              </w:rPr>
              <w:t>Geneva, 15-25 May 2017</w:t>
            </w:r>
          </w:p>
        </w:tc>
        <w:tc>
          <w:tcPr>
            <w:tcW w:w="3120" w:type="dxa"/>
          </w:tcPr>
          <w:p w14:paraId="7E1ED687" w14:textId="77777777" w:rsidR="0043323F" w:rsidRPr="00813E5E" w:rsidRDefault="0043323F" w:rsidP="0043323F">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3ED943E6" wp14:editId="300EAB78">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3323F" w:rsidRPr="00813E5E" w14:paraId="410CC2DF" w14:textId="77777777">
        <w:trPr>
          <w:cantSplit/>
        </w:trPr>
        <w:tc>
          <w:tcPr>
            <w:tcW w:w="6911" w:type="dxa"/>
            <w:tcBorders>
              <w:bottom w:val="single" w:sz="12" w:space="0" w:color="auto"/>
            </w:tcBorders>
          </w:tcPr>
          <w:p w14:paraId="58C2BBC5" w14:textId="77777777" w:rsidR="0043323F" w:rsidRPr="00813E5E" w:rsidRDefault="0043323F">
            <w:pPr>
              <w:spacing w:before="0" w:after="48" w:line="240" w:lineRule="atLeast"/>
              <w:rPr>
                <w:b/>
                <w:smallCaps/>
                <w:szCs w:val="24"/>
              </w:rPr>
            </w:pPr>
          </w:p>
        </w:tc>
        <w:tc>
          <w:tcPr>
            <w:tcW w:w="3120" w:type="dxa"/>
            <w:tcBorders>
              <w:bottom w:val="single" w:sz="12" w:space="0" w:color="auto"/>
            </w:tcBorders>
          </w:tcPr>
          <w:p w14:paraId="41AA65B6" w14:textId="77777777" w:rsidR="0043323F" w:rsidRPr="00813E5E" w:rsidRDefault="0043323F">
            <w:pPr>
              <w:spacing w:before="0" w:line="240" w:lineRule="atLeast"/>
              <w:rPr>
                <w:szCs w:val="24"/>
              </w:rPr>
            </w:pPr>
          </w:p>
        </w:tc>
      </w:tr>
      <w:tr w:rsidR="0043323F" w:rsidRPr="00813E5E" w14:paraId="6890D243" w14:textId="77777777">
        <w:trPr>
          <w:cantSplit/>
        </w:trPr>
        <w:tc>
          <w:tcPr>
            <w:tcW w:w="6911" w:type="dxa"/>
            <w:tcBorders>
              <w:top w:val="single" w:sz="12" w:space="0" w:color="auto"/>
            </w:tcBorders>
          </w:tcPr>
          <w:p w14:paraId="219CB0FE" w14:textId="77777777" w:rsidR="0043323F" w:rsidRPr="00813E5E" w:rsidRDefault="0043323F" w:rsidP="00F8784B">
            <w:pPr>
              <w:spacing w:before="0" w:line="240" w:lineRule="atLeast"/>
              <w:rPr>
                <w:b/>
                <w:smallCaps/>
                <w:szCs w:val="24"/>
              </w:rPr>
            </w:pPr>
          </w:p>
        </w:tc>
        <w:tc>
          <w:tcPr>
            <w:tcW w:w="3120" w:type="dxa"/>
            <w:tcBorders>
              <w:top w:val="single" w:sz="12" w:space="0" w:color="auto"/>
            </w:tcBorders>
          </w:tcPr>
          <w:p w14:paraId="133EBACC" w14:textId="77777777" w:rsidR="0043323F" w:rsidRPr="00813E5E" w:rsidRDefault="0043323F" w:rsidP="00F8784B">
            <w:pPr>
              <w:spacing w:before="0" w:line="240" w:lineRule="atLeast"/>
              <w:rPr>
                <w:szCs w:val="24"/>
              </w:rPr>
            </w:pPr>
          </w:p>
        </w:tc>
      </w:tr>
      <w:tr w:rsidR="0043323F" w:rsidRPr="00813E5E" w14:paraId="57E66322" w14:textId="77777777">
        <w:trPr>
          <w:cantSplit/>
          <w:trHeight w:val="23"/>
        </w:trPr>
        <w:tc>
          <w:tcPr>
            <w:tcW w:w="6911" w:type="dxa"/>
            <w:vMerge w:val="restart"/>
          </w:tcPr>
          <w:p w14:paraId="16DF5059" w14:textId="77777777" w:rsidR="0043323F" w:rsidRPr="0043323F" w:rsidRDefault="0043323F" w:rsidP="0043323F">
            <w:pPr>
              <w:tabs>
                <w:tab w:val="left" w:pos="851"/>
              </w:tabs>
              <w:spacing w:before="0" w:line="240" w:lineRule="atLeast"/>
              <w:rPr>
                <w:b/>
              </w:rPr>
            </w:pPr>
            <w:bookmarkStart w:id="2" w:name="dmeeting" w:colFirst="0" w:colLast="0"/>
            <w:bookmarkStart w:id="3" w:name="dnum" w:colFirst="1" w:colLast="1"/>
            <w:r>
              <w:rPr>
                <w:b/>
              </w:rPr>
              <w:t xml:space="preserve">Agenda item: PL </w:t>
            </w:r>
            <w:r w:rsidR="00F8784B">
              <w:rPr>
                <w:b/>
              </w:rPr>
              <w:t>4.1</w:t>
            </w:r>
          </w:p>
        </w:tc>
        <w:tc>
          <w:tcPr>
            <w:tcW w:w="3120" w:type="dxa"/>
          </w:tcPr>
          <w:p w14:paraId="101A316A" w14:textId="77777777" w:rsidR="0043323F" w:rsidRPr="0043323F" w:rsidRDefault="0043323F" w:rsidP="0043323F">
            <w:pPr>
              <w:tabs>
                <w:tab w:val="left" w:pos="851"/>
              </w:tabs>
              <w:spacing w:before="0" w:line="240" w:lineRule="atLeast"/>
              <w:rPr>
                <w:b/>
              </w:rPr>
            </w:pPr>
            <w:r>
              <w:rPr>
                <w:b/>
              </w:rPr>
              <w:t>Document C17/21-E</w:t>
            </w:r>
          </w:p>
        </w:tc>
      </w:tr>
      <w:tr w:rsidR="0043323F" w:rsidRPr="00813E5E" w14:paraId="774EAAED" w14:textId="77777777">
        <w:trPr>
          <w:cantSplit/>
          <w:trHeight w:val="23"/>
        </w:trPr>
        <w:tc>
          <w:tcPr>
            <w:tcW w:w="6911" w:type="dxa"/>
            <w:vMerge/>
          </w:tcPr>
          <w:p w14:paraId="3C75EEF6" w14:textId="77777777" w:rsidR="0043323F" w:rsidRPr="00813E5E" w:rsidRDefault="0043323F">
            <w:pPr>
              <w:tabs>
                <w:tab w:val="left" w:pos="851"/>
              </w:tabs>
              <w:spacing w:line="240" w:lineRule="atLeast"/>
              <w:rPr>
                <w:b/>
              </w:rPr>
            </w:pPr>
            <w:bookmarkStart w:id="4" w:name="ddate" w:colFirst="1" w:colLast="1"/>
            <w:bookmarkEnd w:id="2"/>
            <w:bookmarkEnd w:id="3"/>
          </w:p>
        </w:tc>
        <w:tc>
          <w:tcPr>
            <w:tcW w:w="3120" w:type="dxa"/>
          </w:tcPr>
          <w:p w14:paraId="135D2485" w14:textId="77777777" w:rsidR="0043323F" w:rsidRPr="0043323F" w:rsidRDefault="0043323F" w:rsidP="0043323F">
            <w:pPr>
              <w:tabs>
                <w:tab w:val="left" w:pos="993"/>
              </w:tabs>
              <w:spacing w:before="0"/>
              <w:rPr>
                <w:b/>
              </w:rPr>
            </w:pPr>
            <w:r>
              <w:rPr>
                <w:b/>
              </w:rPr>
              <w:t>14 March 2017</w:t>
            </w:r>
          </w:p>
        </w:tc>
      </w:tr>
      <w:tr w:rsidR="0043323F" w:rsidRPr="00813E5E" w14:paraId="24D7D309" w14:textId="77777777">
        <w:trPr>
          <w:cantSplit/>
          <w:trHeight w:val="23"/>
        </w:trPr>
        <w:tc>
          <w:tcPr>
            <w:tcW w:w="6911" w:type="dxa"/>
            <w:vMerge/>
          </w:tcPr>
          <w:p w14:paraId="2000312C" w14:textId="77777777" w:rsidR="0043323F" w:rsidRPr="00813E5E" w:rsidRDefault="0043323F">
            <w:pPr>
              <w:tabs>
                <w:tab w:val="left" w:pos="851"/>
              </w:tabs>
              <w:spacing w:line="240" w:lineRule="atLeast"/>
              <w:rPr>
                <w:b/>
              </w:rPr>
            </w:pPr>
            <w:bookmarkStart w:id="5" w:name="dorlang" w:colFirst="1" w:colLast="1"/>
            <w:bookmarkEnd w:id="4"/>
          </w:p>
        </w:tc>
        <w:tc>
          <w:tcPr>
            <w:tcW w:w="3120" w:type="dxa"/>
          </w:tcPr>
          <w:p w14:paraId="426B2E31" w14:textId="77777777" w:rsidR="0043323F" w:rsidRPr="0043323F" w:rsidRDefault="0043323F" w:rsidP="0043323F">
            <w:pPr>
              <w:tabs>
                <w:tab w:val="left" w:pos="993"/>
              </w:tabs>
              <w:spacing w:before="0"/>
              <w:rPr>
                <w:b/>
              </w:rPr>
            </w:pPr>
            <w:r>
              <w:rPr>
                <w:b/>
              </w:rPr>
              <w:t>Original: English</w:t>
            </w:r>
          </w:p>
        </w:tc>
      </w:tr>
      <w:tr w:rsidR="0043323F" w:rsidRPr="00813E5E" w14:paraId="3B15C0B5" w14:textId="77777777">
        <w:trPr>
          <w:cantSplit/>
        </w:trPr>
        <w:tc>
          <w:tcPr>
            <w:tcW w:w="10031" w:type="dxa"/>
            <w:gridSpan w:val="2"/>
          </w:tcPr>
          <w:p w14:paraId="06C7D3D2" w14:textId="77777777" w:rsidR="0043323F" w:rsidRPr="00813E5E" w:rsidRDefault="0043323F">
            <w:pPr>
              <w:pStyle w:val="Source"/>
            </w:pPr>
            <w:bookmarkStart w:id="6" w:name="dsource" w:colFirst="0" w:colLast="0"/>
            <w:bookmarkEnd w:id="5"/>
            <w:r>
              <w:t>Report by the Secretary-General</w:t>
            </w:r>
          </w:p>
        </w:tc>
      </w:tr>
      <w:tr w:rsidR="0043323F" w:rsidRPr="00813E5E" w14:paraId="1A840D1E" w14:textId="77777777">
        <w:trPr>
          <w:cantSplit/>
        </w:trPr>
        <w:tc>
          <w:tcPr>
            <w:tcW w:w="10031" w:type="dxa"/>
            <w:gridSpan w:val="2"/>
          </w:tcPr>
          <w:p w14:paraId="4C8EBA0B" w14:textId="1F409290" w:rsidR="0043323F" w:rsidRPr="00813E5E" w:rsidRDefault="0043323F">
            <w:pPr>
              <w:pStyle w:val="Title1"/>
            </w:pPr>
            <w:bookmarkStart w:id="7" w:name="dtitle1" w:colFirst="0" w:colLast="0"/>
            <w:bookmarkEnd w:id="6"/>
            <w:r w:rsidRPr="0043323F">
              <w:t>SALES OF</w:t>
            </w:r>
            <w:r w:rsidR="000C2D0E">
              <w:t>,</w:t>
            </w:r>
            <w:r w:rsidRPr="0043323F">
              <w:t xml:space="preserve"> AND FREE ONLINE ACCESS TO</w:t>
            </w:r>
            <w:r w:rsidR="000C2D0E">
              <w:t>,</w:t>
            </w:r>
            <w:r w:rsidRPr="0043323F">
              <w:t xml:space="preserve"> ITU PUBLICATIONS</w:t>
            </w:r>
          </w:p>
        </w:tc>
      </w:tr>
      <w:bookmarkEnd w:id="7"/>
    </w:tbl>
    <w:p w14:paraId="56F7F88F" w14:textId="77777777" w:rsidR="0043323F" w:rsidRPr="00813E5E" w:rsidRDefault="0043323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3323F" w:rsidRPr="00813E5E" w14:paraId="7F9C361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2077CCA" w14:textId="77777777" w:rsidR="0043323F" w:rsidRPr="00813E5E" w:rsidRDefault="0043323F">
            <w:pPr>
              <w:pStyle w:val="Headingb"/>
            </w:pPr>
            <w:r w:rsidRPr="00813E5E">
              <w:t>Summary</w:t>
            </w:r>
          </w:p>
          <w:p w14:paraId="744B0801" w14:textId="77777777" w:rsidR="0043323F" w:rsidRPr="00813E5E" w:rsidRDefault="0043323F" w:rsidP="003733E8">
            <w:pPr>
              <w:jc w:val="both"/>
            </w:pPr>
            <w:r w:rsidRPr="0043323F">
              <w:t>By Decision 12 (Rev. Busan, 2014), the Plenipotentiary Conference instructed the Secretary-General to prepare a report on an ongoing basis on sales and free downloads of ITU publications, software, and databases, providing, in particular, information on total sales and free downloads per year covering the last five years, including a comparison between sales of paper copies and free downloads of electronic copies, per year, as well as sales and free downloads by country and member category, and to present this report to the Council.</w:t>
            </w:r>
          </w:p>
          <w:p w14:paraId="7D7EF829" w14:textId="77777777" w:rsidR="0043323F" w:rsidRPr="00813E5E" w:rsidRDefault="0043323F" w:rsidP="003733E8">
            <w:pPr>
              <w:pStyle w:val="Headingb"/>
              <w:jc w:val="both"/>
            </w:pPr>
            <w:r w:rsidRPr="00813E5E">
              <w:t>Action required</w:t>
            </w:r>
          </w:p>
          <w:p w14:paraId="0B034019" w14:textId="77777777" w:rsidR="0043323F" w:rsidRPr="00813E5E" w:rsidRDefault="0043323F" w:rsidP="003733E8">
            <w:pPr>
              <w:jc w:val="both"/>
            </w:pPr>
            <w:r w:rsidRPr="0043323F">
              <w:t xml:space="preserve">The Council is invited </w:t>
            </w:r>
            <w:r w:rsidRPr="0043323F">
              <w:rPr>
                <w:b/>
                <w:bCs/>
              </w:rPr>
              <w:t>to note</w:t>
            </w:r>
            <w:r w:rsidRPr="0043323F">
              <w:t xml:space="preserve"> the report.</w:t>
            </w:r>
          </w:p>
          <w:p w14:paraId="16BEB4A9" w14:textId="77777777" w:rsidR="0043323F" w:rsidRPr="00813E5E" w:rsidRDefault="0043323F">
            <w:pPr>
              <w:pStyle w:val="Table"/>
              <w:keepNext w:val="0"/>
              <w:spacing w:before="0" w:after="0"/>
              <w:rPr>
                <w:rFonts w:ascii="Calibri" w:hAnsi="Calibri"/>
                <w:caps w:val="0"/>
                <w:sz w:val="22"/>
              </w:rPr>
            </w:pPr>
            <w:r w:rsidRPr="00813E5E">
              <w:rPr>
                <w:rFonts w:ascii="Calibri" w:hAnsi="Calibri"/>
                <w:caps w:val="0"/>
                <w:sz w:val="22"/>
              </w:rPr>
              <w:t>____________</w:t>
            </w:r>
          </w:p>
          <w:p w14:paraId="2D256600" w14:textId="77777777" w:rsidR="0043323F" w:rsidRPr="00813E5E" w:rsidRDefault="0043323F">
            <w:pPr>
              <w:pStyle w:val="Headingb"/>
            </w:pPr>
            <w:r w:rsidRPr="00813E5E">
              <w:t>References</w:t>
            </w:r>
          </w:p>
          <w:p w14:paraId="0EC6E718" w14:textId="77777777" w:rsidR="0043323F" w:rsidRPr="00813E5E" w:rsidRDefault="0043323F" w:rsidP="00325464">
            <w:pPr>
              <w:spacing w:after="120"/>
              <w:rPr>
                <w:i/>
                <w:iCs/>
              </w:rPr>
            </w:pPr>
            <w:r w:rsidRPr="0043323F">
              <w:rPr>
                <w:lang w:val="en-US"/>
              </w:rPr>
              <w:t>Document</w:t>
            </w:r>
            <w:r w:rsidR="00D6687D">
              <w:rPr>
                <w:lang w:val="en-US"/>
              </w:rPr>
              <w:t xml:space="preserve"> </w:t>
            </w:r>
            <w:hyperlink r:id="rId12" w:history="1">
              <w:r w:rsidR="00D6687D" w:rsidRPr="0085675A">
                <w:rPr>
                  <w:rStyle w:val="Hyperlink"/>
                  <w:lang w:val="en-US"/>
                </w:rPr>
                <w:t>C17/INF/</w:t>
              </w:r>
              <w:r w:rsidR="0085675A" w:rsidRPr="0085675A">
                <w:rPr>
                  <w:rStyle w:val="Hyperlink"/>
                  <w:lang w:val="en-US"/>
                </w:rPr>
                <w:t>4</w:t>
              </w:r>
            </w:hyperlink>
            <w:r w:rsidRPr="0043323F">
              <w:rPr>
                <w:rStyle w:val="Hyperlink"/>
                <w:color w:val="auto"/>
                <w:u w:val="none"/>
              </w:rPr>
              <w:t xml:space="preserve">; </w:t>
            </w:r>
            <w:hyperlink r:id="rId13" w:anchor="res66" w:history="1">
              <w:r w:rsidRPr="0043323F">
                <w:rPr>
                  <w:rStyle w:val="Hyperlink"/>
                  <w:lang w:val="en-US"/>
                </w:rPr>
                <w:t>Resolution 66</w:t>
              </w:r>
            </w:hyperlink>
            <w:r w:rsidRPr="0043323F">
              <w:rPr>
                <w:lang w:val="en-US"/>
              </w:rPr>
              <w:t xml:space="preserve"> (Rev. Guadalajara, 2010)</w:t>
            </w:r>
            <w:r w:rsidRPr="0043323F">
              <w:rPr>
                <w:rStyle w:val="Hyperlink"/>
                <w:color w:val="auto"/>
                <w:u w:val="none"/>
              </w:rPr>
              <w:t xml:space="preserve">, </w:t>
            </w:r>
            <w:hyperlink r:id="rId14" w:history="1">
              <w:r w:rsidRPr="0043323F">
                <w:rPr>
                  <w:rStyle w:val="Hyperlink"/>
                  <w:lang w:val="en-US"/>
                </w:rPr>
                <w:t>Decision 12</w:t>
              </w:r>
            </w:hyperlink>
            <w:r w:rsidRPr="0043323F">
              <w:rPr>
                <w:lang w:val="en-US"/>
              </w:rPr>
              <w:t xml:space="preserve"> (Rev.</w:t>
            </w:r>
            <w:r>
              <w:rPr>
                <w:lang w:val="en-US"/>
              </w:rPr>
              <w:t> </w:t>
            </w:r>
            <w:r w:rsidRPr="0043323F">
              <w:rPr>
                <w:lang w:val="en-US"/>
              </w:rPr>
              <w:t>Busan, 2014)</w:t>
            </w:r>
            <w:r>
              <w:rPr>
                <w:lang w:val="en-US"/>
              </w:rPr>
              <w:t xml:space="preserve">; </w:t>
            </w:r>
            <w:r w:rsidRPr="00763E00">
              <w:rPr>
                <w:lang w:val="en-US"/>
              </w:rPr>
              <w:t xml:space="preserve">Council Decisions </w:t>
            </w:r>
            <w:hyperlink r:id="rId15" w:history="1">
              <w:r w:rsidRPr="0043323F">
                <w:rPr>
                  <w:rStyle w:val="Hyperlink"/>
                  <w:lang w:val="en-US"/>
                </w:rPr>
                <w:t>571</w:t>
              </w:r>
            </w:hyperlink>
            <w:r w:rsidRPr="0043323F">
              <w:rPr>
                <w:rStyle w:val="Hyperlink"/>
                <w:color w:val="auto"/>
                <w:u w:val="none"/>
                <w:lang w:val="en-US"/>
              </w:rPr>
              <w:t xml:space="preserve"> and </w:t>
            </w:r>
            <w:hyperlink r:id="rId16" w:history="1">
              <w:r w:rsidRPr="0043323F">
                <w:rPr>
                  <w:rStyle w:val="Hyperlink"/>
                  <w:lang w:val="en-US"/>
                </w:rPr>
                <w:t>574</w:t>
              </w:r>
            </w:hyperlink>
          </w:p>
        </w:tc>
      </w:tr>
    </w:tbl>
    <w:p w14:paraId="26D32CC7" w14:textId="77777777" w:rsidR="0043323F" w:rsidRPr="0043323F" w:rsidRDefault="0043323F" w:rsidP="00B44823">
      <w:pPr>
        <w:tabs>
          <w:tab w:val="clear" w:pos="567"/>
          <w:tab w:val="clear" w:pos="1134"/>
          <w:tab w:val="clear" w:pos="1701"/>
          <w:tab w:val="clear" w:pos="2268"/>
          <w:tab w:val="clear" w:pos="2835"/>
        </w:tabs>
        <w:snapToGrid w:val="0"/>
        <w:spacing w:before="480" w:after="120"/>
        <w:rPr>
          <w:b/>
          <w:bCs/>
          <w:sz w:val="26"/>
          <w:szCs w:val="26"/>
          <w:lang w:val="en-US"/>
        </w:rPr>
      </w:pPr>
      <w:bookmarkStart w:id="8" w:name="dstart"/>
      <w:bookmarkStart w:id="9" w:name="dbreak"/>
      <w:bookmarkEnd w:id="8"/>
      <w:bookmarkEnd w:id="9"/>
      <w:r w:rsidRPr="0043323F">
        <w:rPr>
          <w:b/>
          <w:bCs/>
          <w:sz w:val="26"/>
          <w:szCs w:val="26"/>
          <w:lang w:val="en-US"/>
        </w:rPr>
        <w:t>1.</w:t>
      </w:r>
      <w:r w:rsidRPr="0043323F">
        <w:rPr>
          <w:b/>
          <w:bCs/>
          <w:sz w:val="26"/>
          <w:szCs w:val="26"/>
          <w:lang w:val="en-US"/>
        </w:rPr>
        <w:tab/>
        <w:t>Overview</w:t>
      </w:r>
    </w:p>
    <w:p w14:paraId="0E6998DA" w14:textId="647560CC" w:rsidR="0043323F" w:rsidRPr="00763E00" w:rsidRDefault="004747C4" w:rsidP="0043323F">
      <w:pPr>
        <w:tabs>
          <w:tab w:val="clear" w:pos="567"/>
          <w:tab w:val="clear" w:pos="1134"/>
          <w:tab w:val="clear" w:pos="1701"/>
          <w:tab w:val="clear" w:pos="2268"/>
          <w:tab w:val="clear" w:pos="2835"/>
        </w:tabs>
        <w:snapToGrid w:val="0"/>
        <w:spacing w:after="120"/>
        <w:jc w:val="both"/>
        <w:rPr>
          <w:b/>
          <w:bCs/>
          <w:szCs w:val="24"/>
          <w:lang w:val="en-US"/>
        </w:rPr>
      </w:pPr>
      <w:r>
        <w:rPr>
          <w:b/>
          <w:bCs/>
          <w:szCs w:val="24"/>
          <w:lang w:val="en-US"/>
        </w:rPr>
        <w:t>1.1</w:t>
      </w:r>
      <w:r w:rsidR="0043323F" w:rsidRPr="00763E00">
        <w:rPr>
          <w:b/>
          <w:bCs/>
          <w:szCs w:val="24"/>
          <w:lang w:val="en-US"/>
        </w:rPr>
        <w:tab/>
        <w:t>Sales as of 31 December 2016</w:t>
      </w:r>
    </w:p>
    <w:p w14:paraId="04198C69" w14:textId="514C9BAF" w:rsidR="0043323F" w:rsidRPr="00763E00" w:rsidRDefault="0043323F" w:rsidP="000C2D0E">
      <w:pPr>
        <w:pStyle w:val="ListParagraph"/>
        <w:adjustRightInd w:val="0"/>
        <w:snapToGrid w:val="0"/>
        <w:spacing w:before="120" w:after="120" w:line="240" w:lineRule="auto"/>
        <w:ind w:left="0"/>
        <w:contextualSpacing w:val="0"/>
        <w:jc w:val="both"/>
        <w:rPr>
          <w:sz w:val="24"/>
          <w:szCs w:val="24"/>
          <w:lang w:val="en-US"/>
        </w:rPr>
      </w:pPr>
      <w:r w:rsidRPr="00763E00">
        <w:rPr>
          <w:sz w:val="24"/>
          <w:szCs w:val="24"/>
          <w:lang w:val="en-US"/>
        </w:rPr>
        <w:tab/>
      </w:r>
      <w:r w:rsidRPr="00763E00">
        <w:rPr>
          <w:spacing w:val="2"/>
          <w:sz w:val="24"/>
          <w:szCs w:val="24"/>
          <w:lang w:val="en-US"/>
        </w:rPr>
        <w:t>Publications sales revenues in 2016 reached CHF</w:t>
      </w:r>
      <w:r w:rsidR="003733E8">
        <w:rPr>
          <w:spacing w:val="2"/>
          <w:sz w:val="24"/>
          <w:szCs w:val="24"/>
          <w:lang w:val="en-US"/>
        </w:rPr>
        <w:t xml:space="preserve"> </w:t>
      </w:r>
      <w:r w:rsidRPr="00763E00">
        <w:rPr>
          <w:spacing w:val="2"/>
          <w:sz w:val="24"/>
          <w:szCs w:val="24"/>
          <w:lang w:val="en-US"/>
        </w:rPr>
        <w:t xml:space="preserve">19.00 million exceeding </w:t>
      </w:r>
      <w:r w:rsidR="000C2D0E">
        <w:rPr>
          <w:spacing w:val="2"/>
          <w:sz w:val="24"/>
          <w:szCs w:val="24"/>
          <w:lang w:val="en-US"/>
        </w:rPr>
        <w:t xml:space="preserve">budget </w:t>
      </w:r>
      <w:r w:rsidRPr="00763E00">
        <w:rPr>
          <w:spacing w:val="2"/>
          <w:sz w:val="24"/>
          <w:szCs w:val="24"/>
          <w:lang w:val="en-US"/>
        </w:rPr>
        <w:t>by CHF</w:t>
      </w:r>
      <w:r w:rsidR="003733E8">
        <w:rPr>
          <w:spacing w:val="2"/>
          <w:sz w:val="24"/>
          <w:szCs w:val="24"/>
          <w:lang w:val="en-US"/>
        </w:rPr>
        <w:t xml:space="preserve"> </w:t>
      </w:r>
      <w:r w:rsidRPr="00763E00">
        <w:rPr>
          <w:spacing w:val="2"/>
          <w:sz w:val="24"/>
          <w:szCs w:val="24"/>
          <w:lang w:val="en-US"/>
        </w:rPr>
        <w:t>0.5 million</w:t>
      </w:r>
      <w:r w:rsidR="000C2D0E">
        <w:rPr>
          <w:spacing w:val="2"/>
          <w:sz w:val="24"/>
          <w:szCs w:val="24"/>
          <w:lang w:val="en-US"/>
        </w:rPr>
        <w:t xml:space="preserve">, and </w:t>
      </w:r>
      <w:r w:rsidRPr="00763E00">
        <w:rPr>
          <w:spacing w:val="2"/>
          <w:sz w:val="24"/>
          <w:szCs w:val="24"/>
          <w:lang w:val="en-US"/>
        </w:rPr>
        <w:t>keeps</w:t>
      </w:r>
      <w:r w:rsidR="000C2D0E">
        <w:rPr>
          <w:spacing w:val="2"/>
          <w:sz w:val="24"/>
          <w:szCs w:val="24"/>
          <w:lang w:val="en-US"/>
        </w:rPr>
        <w:t xml:space="preserve"> revenue </w:t>
      </w:r>
      <w:r w:rsidRPr="00763E00">
        <w:rPr>
          <w:spacing w:val="2"/>
          <w:sz w:val="24"/>
          <w:szCs w:val="24"/>
          <w:lang w:val="en-US"/>
        </w:rPr>
        <w:t>on course to meeting the bi-annual 2016-17 budget of CHF</w:t>
      </w:r>
      <w:r w:rsidR="00346E56">
        <w:rPr>
          <w:spacing w:val="2"/>
          <w:sz w:val="24"/>
          <w:szCs w:val="24"/>
          <w:lang w:val="en-US"/>
        </w:rPr>
        <w:t xml:space="preserve"> </w:t>
      </w:r>
      <w:r w:rsidRPr="00763E00">
        <w:rPr>
          <w:spacing w:val="2"/>
          <w:sz w:val="24"/>
          <w:szCs w:val="24"/>
          <w:lang w:val="en-US"/>
        </w:rPr>
        <w:t>37.0 million.</w:t>
      </w:r>
      <w:r w:rsidRPr="00763E00">
        <w:rPr>
          <w:sz w:val="24"/>
          <w:szCs w:val="24"/>
          <w:lang w:val="en-US"/>
        </w:rPr>
        <w:t xml:space="preserve"> </w:t>
      </w:r>
    </w:p>
    <w:p w14:paraId="632C47DF" w14:textId="4109732C" w:rsidR="00F8784B" w:rsidRDefault="004747C4" w:rsidP="00F8784B">
      <w:pPr>
        <w:tabs>
          <w:tab w:val="clear" w:pos="567"/>
          <w:tab w:val="clear" w:pos="1134"/>
          <w:tab w:val="clear" w:pos="1701"/>
          <w:tab w:val="clear" w:pos="2268"/>
          <w:tab w:val="clear" w:pos="2835"/>
        </w:tabs>
        <w:snapToGrid w:val="0"/>
        <w:spacing w:before="240" w:after="120"/>
        <w:jc w:val="both"/>
        <w:rPr>
          <w:b/>
          <w:bCs/>
          <w:szCs w:val="24"/>
        </w:rPr>
      </w:pPr>
      <w:r>
        <w:rPr>
          <w:b/>
          <w:bCs/>
          <w:szCs w:val="24"/>
        </w:rPr>
        <w:t>1.2</w:t>
      </w:r>
      <w:r w:rsidR="0043323F" w:rsidRPr="008B720D">
        <w:rPr>
          <w:b/>
          <w:bCs/>
          <w:szCs w:val="24"/>
        </w:rPr>
        <w:tab/>
        <w:t>Free online access</w:t>
      </w:r>
    </w:p>
    <w:p w14:paraId="34CE2AE7" w14:textId="1B3CE90D" w:rsidR="0043323F" w:rsidRPr="00763E00" w:rsidRDefault="0043323F" w:rsidP="00F8784B">
      <w:pPr>
        <w:tabs>
          <w:tab w:val="clear" w:pos="567"/>
          <w:tab w:val="clear" w:pos="1134"/>
          <w:tab w:val="clear" w:pos="1701"/>
          <w:tab w:val="clear" w:pos="2268"/>
          <w:tab w:val="clear" w:pos="2835"/>
        </w:tabs>
        <w:snapToGrid w:val="0"/>
        <w:spacing w:after="120"/>
        <w:jc w:val="both"/>
        <w:rPr>
          <w:lang w:val="en-US"/>
        </w:rPr>
      </w:pPr>
      <w:r>
        <w:rPr>
          <w:lang w:val="en-US"/>
        </w:rPr>
        <w:tab/>
      </w:r>
      <w:r w:rsidRPr="00763E00">
        <w:rPr>
          <w:lang w:val="en-US"/>
        </w:rPr>
        <w:t xml:space="preserve">The free online access policy is aimed at disseminating ITU publications to a broader public. Following Decision 12 (Guadalajara, 2010) at PP-10, Decisions 574 and 571 (Modified 2013), and Decision 12 (Rev. Busan, 2014), all titles from eight major groups of publications are now available free online. </w:t>
      </w:r>
    </w:p>
    <w:tbl>
      <w:tblPr>
        <w:tblW w:w="9030" w:type="dxa"/>
        <w:tblInd w:w="137" w:type="dxa"/>
        <w:tblCellMar>
          <w:left w:w="0" w:type="dxa"/>
          <w:right w:w="0" w:type="dxa"/>
        </w:tblCellMar>
        <w:tblLook w:val="04A0" w:firstRow="1" w:lastRow="0" w:firstColumn="1" w:lastColumn="0" w:noHBand="0" w:noVBand="1"/>
      </w:tblPr>
      <w:tblGrid>
        <w:gridCol w:w="531"/>
        <w:gridCol w:w="2125"/>
        <w:gridCol w:w="4957"/>
        <w:gridCol w:w="1417"/>
      </w:tblGrid>
      <w:tr w:rsidR="0043323F" w14:paraId="4C25130D" w14:textId="77777777" w:rsidTr="004E3371">
        <w:trPr>
          <w:trHeight w:val="115"/>
        </w:trPr>
        <w:tc>
          <w:tcPr>
            <w:tcW w:w="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50A12E" w14:textId="77777777" w:rsidR="0043323F" w:rsidRPr="00B44823" w:rsidRDefault="0043323F" w:rsidP="00B44823">
            <w:pPr>
              <w:keepNext/>
              <w:spacing w:after="120" w:line="276" w:lineRule="auto"/>
              <w:jc w:val="center"/>
              <w:rPr>
                <w:b/>
                <w:bCs/>
                <w:color w:val="000000"/>
                <w:sz w:val="18"/>
                <w:szCs w:val="18"/>
              </w:rPr>
            </w:pPr>
            <w:r w:rsidRPr="00B44823">
              <w:rPr>
                <w:b/>
                <w:bCs/>
                <w:color w:val="000000"/>
                <w:sz w:val="18"/>
                <w:szCs w:val="18"/>
              </w:rPr>
              <w:lastRenderedPageBreak/>
              <w:t>No</w:t>
            </w:r>
          </w:p>
        </w:tc>
        <w:tc>
          <w:tcPr>
            <w:tcW w:w="2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444392" w14:textId="77777777" w:rsidR="0043323F" w:rsidRPr="00B44823" w:rsidRDefault="0043323F" w:rsidP="00B44823">
            <w:pPr>
              <w:keepNext/>
              <w:spacing w:after="120" w:line="276" w:lineRule="auto"/>
              <w:jc w:val="center"/>
              <w:rPr>
                <w:b/>
                <w:bCs/>
                <w:color w:val="000000"/>
                <w:sz w:val="18"/>
                <w:szCs w:val="18"/>
              </w:rPr>
            </w:pPr>
            <w:r w:rsidRPr="00B44823">
              <w:rPr>
                <w:b/>
                <w:bCs/>
                <w:color w:val="000000"/>
                <w:sz w:val="18"/>
                <w:szCs w:val="18"/>
              </w:rPr>
              <w:t>Decision</w:t>
            </w:r>
          </w:p>
        </w:tc>
        <w:tc>
          <w:tcPr>
            <w:tcW w:w="4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0F40E" w14:textId="77777777" w:rsidR="0043323F" w:rsidRPr="00B44823" w:rsidRDefault="0043323F" w:rsidP="00B44823">
            <w:pPr>
              <w:keepNext/>
              <w:spacing w:after="120" w:line="276" w:lineRule="auto"/>
              <w:jc w:val="center"/>
              <w:rPr>
                <w:b/>
                <w:bCs/>
                <w:color w:val="000000"/>
                <w:sz w:val="18"/>
                <w:szCs w:val="18"/>
              </w:rPr>
            </w:pPr>
            <w:r w:rsidRPr="00B44823">
              <w:rPr>
                <w:b/>
                <w:bCs/>
                <w:color w:val="000000"/>
                <w:sz w:val="18"/>
                <w:szCs w:val="18"/>
              </w:rPr>
              <w:t>Publications free online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FFA9E1" w14:textId="77777777" w:rsidR="0043323F" w:rsidRPr="00B44823" w:rsidRDefault="0043323F" w:rsidP="00B44823">
            <w:pPr>
              <w:keepNext/>
              <w:spacing w:after="120" w:line="276" w:lineRule="auto"/>
              <w:jc w:val="center"/>
              <w:rPr>
                <w:b/>
                <w:bCs/>
                <w:color w:val="000000"/>
                <w:sz w:val="18"/>
                <w:szCs w:val="18"/>
              </w:rPr>
            </w:pPr>
            <w:r w:rsidRPr="00B44823">
              <w:rPr>
                <w:b/>
                <w:bCs/>
                <w:color w:val="000000"/>
                <w:sz w:val="18"/>
                <w:szCs w:val="18"/>
              </w:rPr>
              <w:t>Since</w:t>
            </w:r>
          </w:p>
        </w:tc>
      </w:tr>
      <w:tr w:rsidR="0043323F" w14:paraId="250C3C78" w14:textId="77777777" w:rsidTr="004E3371">
        <w:trPr>
          <w:trHeight w:val="220"/>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8AC4B" w14:textId="77777777" w:rsidR="0043323F" w:rsidRPr="00B44823" w:rsidRDefault="0043323F" w:rsidP="00B44823">
            <w:pPr>
              <w:keepNext/>
              <w:spacing w:after="120" w:line="276" w:lineRule="auto"/>
              <w:jc w:val="center"/>
              <w:rPr>
                <w:color w:val="000000"/>
                <w:sz w:val="18"/>
                <w:szCs w:val="18"/>
              </w:rPr>
            </w:pPr>
            <w:r w:rsidRPr="00B44823">
              <w:rPr>
                <w:color w:val="000000"/>
                <w:sz w:val="18"/>
                <w:szCs w:val="18"/>
              </w:rPr>
              <w:t>1</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69987" w14:textId="77777777" w:rsidR="0043323F" w:rsidRPr="00B44823" w:rsidRDefault="0043323F" w:rsidP="00B44823">
            <w:pPr>
              <w:keepNext/>
              <w:spacing w:after="120" w:line="276" w:lineRule="auto"/>
              <w:jc w:val="center"/>
              <w:rPr>
                <w:color w:val="000000"/>
                <w:sz w:val="18"/>
                <w:szCs w:val="18"/>
              </w:rPr>
            </w:pPr>
            <w:r w:rsidRPr="00B44823">
              <w:rPr>
                <w:color w:val="000000"/>
                <w:sz w:val="18"/>
                <w:szCs w:val="18"/>
              </w:rPr>
              <w:t>574</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CB98B" w14:textId="77777777" w:rsidR="0043323F" w:rsidRPr="00B44823" w:rsidRDefault="0043323F" w:rsidP="00B44823">
            <w:pPr>
              <w:keepNext/>
              <w:spacing w:after="120" w:line="276" w:lineRule="auto"/>
              <w:jc w:val="center"/>
              <w:rPr>
                <w:color w:val="000000"/>
                <w:sz w:val="18"/>
                <w:szCs w:val="18"/>
              </w:rPr>
            </w:pPr>
            <w:r w:rsidRPr="00B44823">
              <w:rPr>
                <w:color w:val="000000"/>
                <w:sz w:val="18"/>
                <w:szCs w:val="18"/>
              </w:rPr>
              <w:t>WTDC Final Reports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6D9BE" w14:textId="77777777" w:rsidR="0043323F" w:rsidRPr="00B44823" w:rsidRDefault="0043323F" w:rsidP="00B44823">
            <w:pPr>
              <w:keepNext/>
              <w:spacing w:after="120" w:line="276" w:lineRule="auto"/>
              <w:jc w:val="center"/>
              <w:rPr>
                <w:color w:val="000000"/>
                <w:sz w:val="18"/>
                <w:szCs w:val="18"/>
              </w:rPr>
            </w:pPr>
            <w:r w:rsidRPr="00B44823">
              <w:rPr>
                <w:color w:val="000000"/>
                <w:sz w:val="18"/>
                <w:szCs w:val="18"/>
              </w:rPr>
              <w:t>13/03/2014</w:t>
            </w:r>
          </w:p>
        </w:tc>
      </w:tr>
      <w:tr w:rsidR="0043323F" w14:paraId="1F34B69D" w14:textId="77777777" w:rsidTr="004E3371">
        <w:trPr>
          <w:trHeight w:val="249"/>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78978A"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2</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A8211"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571 (Modified 2013)</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CA676" w14:textId="77777777" w:rsidR="0043323F" w:rsidRPr="00B44823" w:rsidRDefault="0043323F" w:rsidP="00B44823">
            <w:pPr>
              <w:spacing w:after="120" w:line="276" w:lineRule="auto"/>
              <w:jc w:val="center"/>
              <w:rPr>
                <w:color w:val="000000"/>
                <w:sz w:val="18"/>
                <w:szCs w:val="18"/>
                <w:lang w:val="en-US"/>
              </w:rPr>
            </w:pPr>
            <w:r w:rsidRPr="00B44823">
              <w:rPr>
                <w:color w:val="000000"/>
                <w:sz w:val="18"/>
                <w:szCs w:val="18"/>
                <w:lang w:val="en-US"/>
              </w:rPr>
              <w:t>I.T. Regulations (Melbourne) WATT-88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AC002"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23/04/2013</w:t>
            </w:r>
          </w:p>
        </w:tc>
      </w:tr>
      <w:tr w:rsidR="0043323F" w14:paraId="228EA11F" w14:textId="77777777" w:rsidTr="004E3371">
        <w:trPr>
          <w:trHeight w:val="171"/>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E6D1E"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3</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E7B3"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571 (Modified 2013)</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182A9"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Radio Regulations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E75EC"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23/11/2012</w:t>
            </w:r>
          </w:p>
        </w:tc>
      </w:tr>
      <w:tr w:rsidR="0043323F" w14:paraId="6CEAFB61" w14:textId="77777777" w:rsidTr="004E3371">
        <w:trPr>
          <w:trHeight w:val="245"/>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7F98D"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4</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D8784"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571 (Modified 2013)</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49F02" w14:textId="77777777" w:rsidR="0043323F" w:rsidRPr="00B44823" w:rsidRDefault="0043323F" w:rsidP="00B44823">
            <w:pPr>
              <w:spacing w:after="120" w:line="276" w:lineRule="auto"/>
              <w:jc w:val="center"/>
              <w:rPr>
                <w:color w:val="000000"/>
                <w:sz w:val="18"/>
                <w:szCs w:val="18"/>
                <w:lang w:val="en-US"/>
              </w:rPr>
            </w:pPr>
            <w:r w:rsidRPr="00B44823">
              <w:rPr>
                <w:color w:val="000000"/>
                <w:sz w:val="18"/>
                <w:szCs w:val="18"/>
                <w:lang w:val="en-US"/>
              </w:rPr>
              <w:t>Resolutions &amp; Decisions of the Council of the ITU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4D137"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17/02/2015</w:t>
            </w:r>
          </w:p>
        </w:tc>
      </w:tr>
      <w:tr w:rsidR="0043323F" w14:paraId="0E68A8C1" w14:textId="77777777" w:rsidTr="004E3371">
        <w:trPr>
          <w:trHeight w:val="133"/>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A9C1F"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5</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409AF"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571 (Modified 2013)</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44FCB" w14:textId="77777777" w:rsidR="0043323F" w:rsidRPr="00B44823" w:rsidRDefault="0043323F" w:rsidP="00B44823">
            <w:pPr>
              <w:spacing w:after="120" w:line="276" w:lineRule="auto"/>
              <w:jc w:val="center"/>
              <w:rPr>
                <w:color w:val="000000"/>
                <w:sz w:val="18"/>
                <w:szCs w:val="18"/>
                <w:lang w:val="en-US"/>
              </w:rPr>
            </w:pPr>
            <w:r w:rsidRPr="00B44823">
              <w:rPr>
                <w:color w:val="000000"/>
                <w:sz w:val="18"/>
                <w:szCs w:val="18"/>
                <w:lang w:val="en-US"/>
              </w:rPr>
              <w:t xml:space="preserve">Handbooks on Radio-Freq. Spectrum Management*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61B0D"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04/07/2013</w:t>
            </w:r>
          </w:p>
        </w:tc>
      </w:tr>
      <w:tr w:rsidR="0043323F" w14:paraId="189FB8DA" w14:textId="77777777" w:rsidTr="004E3371">
        <w:trPr>
          <w:trHeight w:val="169"/>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E9E39" w14:textId="77777777" w:rsidR="0043323F" w:rsidRPr="00B44823" w:rsidRDefault="0043323F" w:rsidP="00B44823">
            <w:pPr>
              <w:spacing w:after="120" w:line="276" w:lineRule="auto"/>
              <w:jc w:val="center"/>
              <w:rPr>
                <w:b/>
                <w:bCs/>
                <w:sz w:val="18"/>
                <w:szCs w:val="18"/>
              </w:rPr>
            </w:pPr>
            <w:r w:rsidRPr="00B44823">
              <w:rPr>
                <w:b/>
                <w:bCs/>
                <w:sz w:val="18"/>
                <w:szCs w:val="18"/>
              </w:rPr>
              <w:t>6</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8CDB2"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12 (Modified 2014)</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7E91A"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Rules of Procedure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65034"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01/07/2014</w:t>
            </w:r>
          </w:p>
        </w:tc>
      </w:tr>
      <w:tr w:rsidR="0043323F" w14:paraId="5201F9FB" w14:textId="77777777" w:rsidTr="004E3371">
        <w:trPr>
          <w:trHeight w:val="244"/>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3547E" w14:textId="77777777" w:rsidR="0043323F" w:rsidRPr="00B44823" w:rsidRDefault="0043323F" w:rsidP="00B44823">
            <w:pPr>
              <w:spacing w:after="120" w:line="276" w:lineRule="auto"/>
              <w:jc w:val="center"/>
              <w:rPr>
                <w:b/>
                <w:bCs/>
                <w:sz w:val="18"/>
                <w:szCs w:val="18"/>
              </w:rPr>
            </w:pPr>
            <w:r w:rsidRPr="00B44823">
              <w:rPr>
                <w:b/>
                <w:bCs/>
                <w:sz w:val="18"/>
                <w:szCs w:val="18"/>
              </w:rPr>
              <w:t>7</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D42AF"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12 (Modified 2014)</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41669" w14:textId="77777777" w:rsidR="0043323F" w:rsidRPr="00B44823" w:rsidRDefault="0043323F" w:rsidP="00B44823">
            <w:pPr>
              <w:spacing w:after="120" w:line="276" w:lineRule="auto"/>
              <w:jc w:val="center"/>
              <w:rPr>
                <w:color w:val="000000"/>
                <w:sz w:val="18"/>
                <w:szCs w:val="18"/>
              </w:rPr>
            </w:pPr>
            <w:r w:rsidRPr="00B44823">
              <w:rPr>
                <w:color w:val="000000"/>
                <w:sz w:val="18"/>
                <w:szCs w:val="18"/>
                <w:lang w:val="en-US"/>
              </w:rPr>
              <w:t xml:space="preserve">Final Acts of World &amp; Regional </w:t>
            </w:r>
            <w:proofErr w:type="spellStart"/>
            <w:r w:rsidRPr="00B44823">
              <w:rPr>
                <w:color w:val="000000"/>
                <w:sz w:val="18"/>
                <w:szCs w:val="18"/>
                <w:lang w:val="en-US"/>
              </w:rPr>
              <w:t>Radiocom</w:t>
            </w:r>
            <w:proofErr w:type="spellEnd"/>
            <w:r w:rsidRPr="00B44823">
              <w:rPr>
                <w:color w:val="000000"/>
                <w:sz w:val="18"/>
                <w:szCs w:val="18"/>
                <w:lang w:val="en-US"/>
              </w:rPr>
              <w:t xml:space="preserve">. </w:t>
            </w:r>
            <w:r w:rsidRPr="00B44823">
              <w:rPr>
                <w:color w:val="000000"/>
                <w:sz w:val="18"/>
                <w:szCs w:val="18"/>
              </w:rPr>
              <w:t>Conferences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C5DA9"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12/02/2015</w:t>
            </w:r>
          </w:p>
        </w:tc>
      </w:tr>
      <w:tr w:rsidR="0043323F" w14:paraId="76C20BDF" w14:textId="77777777" w:rsidTr="004E3371">
        <w:trPr>
          <w:trHeight w:val="237"/>
        </w:trPr>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DFE701" w14:textId="77777777" w:rsidR="0043323F" w:rsidRPr="00B44823" w:rsidRDefault="0043323F" w:rsidP="00B44823">
            <w:pPr>
              <w:spacing w:after="120" w:line="276" w:lineRule="auto"/>
              <w:jc w:val="center"/>
              <w:rPr>
                <w:b/>
                <w:bCs/>
                <w:sz w:val="18"/>
                <w:szCs w:val="18"/>
              </w:rPr>
            </w:pPr>
            <w:r w:rsidRPr="00B44823">
              <w:rPr>
                <w:b/>
                <w:bCs/>
                <w:sz w:val="18"/>
                <w:szCs w:val="18"/>
              </w:rPr>
              <w:t>8</w:t>
            </w:r>
          </w:p>
        </w:tc>
        <w:tc>
          <w:tcPr>
            <w:tcW w:w="2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DDC85"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12 (Modified 2014)</w:t>
            </w:r>
          </w:p>
        </w:tc>
        <w:tc>
          <w:tcPr>
            <w:tcW w:w="4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194E9"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Publications on Disaster Preparedness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A8A22" w14:textId="77777777" w:rsidR="0043323F" w:rsidRPr="00B44823" w:rsidRDefault="0043323F" w:rsidP="00B44823">
            <w:pPr>
              <w:spacing w:after="120" w:line="276" w:lineRule="auto"/>
              <w:jc w:val="center"/>
              <w:rPr>
                <w:color w:val="000000"/>
                <w:sz w:val="18"/>
                <w:szCs w:val="18"/>
              </w:rPr>
            </w:pPr>
            <w:r w:rsidRPr="00B44823">
              <w:rPr>
                <w:color w:val="000000"/>
                <w:sz w:val="18"/>
                <w:szCs w:val="18"/>
              </w:rPr>
              <w:t>19/02/2015</w:t>
            </w:r>
          </w:p>
        </w:tc>
      </w:tr>
    </w:tbl>
    <w:p w14:paraId="0D4E5BD5" w14:textId="77777777" w:rsidR="0043323F" w:rsidRPr="00B44823" w:rsidRDefault="0043323F" w:rsidP="0043323F">
      <w:pPr>
        <w:rPr>
          <w:rFonts w:asciiTheme="minorHAnsi" w:hAnsiTheme="minorHAnsi"/>
          <w:b/>
          <w:bCs/>
          <w:color w:val="000000"/>
          <w:sz w:val="16"/>
          <w:szCs w:val="16"/>
          <w:lang w:val="en-US"/>
        </w:rPr>
      </w:pPr>
      <w:r w:rsidRPr="00B44823">
        <w:rPr>
          <w:rFonts w:asciiTheme="minorHAnsi" w:hAnsiTheme="minorHAnsi" w:cs="Arial"/>
          <w:color w:val="17365D"/>
          <w:lang w:val="en-US"/>
        </w:rPr>
        <w:t xml:space="preserve">  *</w:t>
      </w:r>
      <w:r w:rsidRPr="00B44823">
        <w:rPr>
          <w:rFonts w:asciiTheme="minorHAnsi" w:hAnsiTheme="minorHAnsi"/>
          <w:b/>
          <w:bCs/>
          <w:color w:val="000000"/>
          <w:sz w:val="16"/>
          <w:szCs w:val="16"/>
          <w:lang w:val="en-US"/>
        </w:rPr>
        <w:t>Expanded to include all BR Handbooks as of January 2017</w:t>
      </w:r>
    </w:p>
    <w:p w14:paraId="1225AA90" w14:textId="77777777" w:rsidR="0043323F" w:rsidRPr="00F8784B" w:rsidRDefault="0043323F" w:rsidP="00B44823">
      <w:pPr>
        <w:tabs>
          <w:tab w:val="clear" w:pos="567"/>
          <w:tab w:val="clear" w:pos="1134"/>
          <w:tab w:val="clear" w:pos="1701"/>
          <w:tab w:val="clear" w:pos="2268"/>
          <w:tab w:val="clear" w:pos="2835"/>
        </w:tabs>
        <w:snapToGrid w:val="0"/>
        <w:spacing w:before="480" w:after="120"/>
        <w:jc w:val="both"/>
        <w:rPr>
          <w:rFonts w:asciiTheme="minorHAnsi" w:hAnsiTheme="minorHAnsi"/>
          <w:b/>
          <w:bCs/>
          <w:sz w:val="26"/>
          <w:szCs w:val="26"/>
          <w:lang w:val="en-US"/>
        </w:rPr>
      </w:pPr>
      <w:r w:rsidRPr="00F8784B">
        <w:rPr>
          <w:rFonts w:asciiTheme="minorHAnsi" w:hAnsiTheme="minorHAnsi"/>
          <w:b/>
          <w:bCs/>
          <w:sz w:val="26"/>
          <w:szCs w:val="26"/>
          <w:lang w:val="en-US"/>
        </w:rPr>
        <w:t>2.</w:t>
      </w:r>
      <w:r w:rsidRPr="00F8784B">
        <w:rPr>
          <w:rFonts w:asciiTheme="minorHAnsi" w:hAnsiTheme="minorHAnsi"/>
          <w:b/>
          <w:bCs/>
          <w:sz w:val="26"/>
          <w:szCs w:val="26"/>
          <w:lang w:val="en-US"/>
        </w:rPr>
        <w:tab/>
        <w:t>Sales results and trends</w:t>
      </w:r>
    </w:p>
    <w:p w14:paraId="4A0D01EC" w14:textId="0305B25C" w:rsidR="0043323F" w:rsidRPr="00B44823" w:rsidRDefault="0043323F" w:rsidP="003733E8">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B44823">
        <w:rPr>
          <w:rFonts w:asciiTheme="minorHAnsi" w:hAnsiTheme="minorHAnsi"/>
          <w:szCs w:val="24"/>
          <w:lang w:val="en-US"/>
        </w:rPr>
        <w:tab/>
        <w:t>Detailed sales figures for the years 2012-2016 with the breakdowns requested in Decision 12 (Rev. Busan, 2014) are given in the tables in the Information Document</w:t>
      </w:r>
      <w:r w:rsidR="0085675A">
        <w:rPr>
          <w:rFonts w:asciiTheme="minorHAnsi" w:hAnsiTheme="minorHAnsi"/>
          <w:szCs w:val="24"/>
          <w:lang w:val="en-US"/>
        </w:rPr>
        <w:t xml:space="preserve"> </w:t>
      </w:r>
      <w:hyperlink r:id="rId17" w:history="1">
        <w:r w:rsidR="0085675A" w:rsidRPr="0085675A">
          <w:rPr>
            <w:rStyle w:val="Hyperlink"/>
            <w:lang w:val="en-US"/>
          </w:rPr>
          <w:t>C17/INF/4</w:t>
        </w:r>
      </w:hyperlink>
      <w:r w:rsidRPr="00B44823">
        <w:rPr>
          <w:rFonts w:asciiTheme="minorHAnsi" w:hAnsiTheme="minorHAnsi"/>
          <w:szCs w:val="24"/>
          <w:lang w:val="en-US"/>
        </w:rPr>
        <w:t>. These are analy</w:t>
      </w:r>
      <w:r w:rsidR="00EC71FB">
        <w:rPr>
          <w:rFonts w:asciiTheme="minorHAnsi" w:hAnsiTheme="minorHAnsi"/>
          <w:szCs w:val="24"/>
          <w:lang w:val="en-US"/>
        </w:rPr>
        <w:t>z</w:t>
      </w:r>
      <w:r w:rsidRPr="00B44823">
        <w:rPr>
          <w:rFonts w:asciiTheme="minorHAnsi" w:hAnsiTheme="minorHAnsi"/>
          <w:szCs w:val="24"/>
          <w:lang w:val="en-US"/>
        </w:rPr>
        <w:t>ed briefly below.</w:t>
      </w:r>
    </w:p>
    <w:p w14:paraId="700F89A2" w14:textId="19F33B5A" w:rsidR="0043323F" w:rsidRPr="00B44823" w:rsidRDefault="004747C4" w:rsidP="00B44823">
      <w:pPr>
        <w:tabs>
          <w:tab w:val="clear" w:pos="567"/>
          <w:tab w:val="clear" w:pos="1134"/>
          <w:tab w:val="clear" w:pos="1701"/>
          <w:tab w:val="clear" w:pos="2268"/>
          <w:tab w:val="clear" w:pos="2835"/>
        </w:tabs>
        <w:snapToGrid w:val="0"/>
        <w:spacing w:before="240" w:after="120"/>
        <w:jc w:val="both"/>
        <w:rPr>
          <w:rFonts w:asciiTheme="minorHAnsi" w:hAnsiTheme="minorHAnsi"/>
          <w:b/>
          <w:szCs w:val="24"/>
          <w:lang w:val="en-US"/>
        </w:rPr>
      </w:pPr>
      <w:bookmarkStart w:id="10" w:name="OLE_LINK6"/>
      <w:bookmarkStart w:id="11" w:name="OLE_LINK7"/>
      <w:r>
        <w:rPr>
          <w:rFonts w:asciiTheme="minorHAnsi" w:hAnsiTheme="minorHAnsi"/>
          <w:b/>
          <w:szCs w:val="24"/>
          <w:lang w:val="en-US"/>
        </w:rPr>
        <w:t>2.1</w:t>
      </w:r>
      <w:r w:rsidR="003733E8">
        <w:rPr>
          <w:rFonts w:asciiTheme="minorHAnsi" w:hAnsiTheme="minorHAnsi"/>
          <w:b/>
          <w:szCs w:val="24"/>
          <w:lang w:val="en-US"/>
        </w:rPr>
        <w:tab/>
        <w:t xml:space="preserve">Sales development activities in </w:t>
      </w:r>
      <w:r w:rsidR="0043323F" w:rsidRPr="00B44823">
        <w:rPr>
          <w:rFonts w:asciiTheme="minorHAnsi" w:hAnsiTheme="minorHAnsi"/>
          <w:b/>
          <w:szCs w:val="24"/>
          <w:lang w:val="en-US"/>
        </w:rPr>
        <w:t xml:space="preserve">2016 </w:t>
      </w:r>
    </w:p>
    <w:p w14:paraId="1F1FEFF5" w14:textId="2D61B5B0" w:rsidR="0043323F" w:rsidRPr="00B44823" w:rsidRDefault="0043323F" w:rsidP="00B44823">
      <w:pPr>
        <w:tabs>
          <w:tab w:val="clear" w:pos="567"/>
          <w:tab w:val="clear" w:pos="1134"/>
          <w:tab w:val="clear" w:pos="1701"/>
          <w:tab w:val="clear" w:pos="2268"/>
          <w:tab w:val="clear" w:pos="2835"/>
        </w:tabs>
        <w:snapToGrid w:val="0"/>
        <w:spacing w:after="120"/>
        <w:jc w:val="both"/>
        <w:rPr>
          <w:rFonts w:asciiTheme="minorHAnsi" w:hAnsiTheme="minorHAnsi"/>
          <w:bCs/>
          <w:szCs w:val="24"/>
          <w:lang w:val="en-US"/>
        </w:rPr>
      </w:pPr>
      <w:r w:rsidRPr="00B44823">
        <w:rPr>
          <w:rFonts w:asciiTheme="minorHAnsi" w:hAnsiTheme="minorHAnsi"/>
          <w:bCs/>
          <w:szCs w:val="24"/>
          <w:lang w:val="en-US"/>
        </w:rPr>
        <w:tab/>
        <w:t>Several sales development activities were carried out during 2016 to ensure expansion of sales income:</w:t>
      </w:r>
    </w:p>
    <w:p w14:paraId="27455742" w14:textId="6F816DBE" w:rsidR="0043323F" w:rsidRPr="001A5DD2" w:rsidRDefault="0043323F" w:rsidP="001A5DD2">
      <w:pPr>
        <w:pStyle w:val="ListParagraph"/>
        <w:numPr>
          <w:ilvl w:val="0"/>
          <w:numId w:val="2"/>
        </w:numPr>
        <w:snapToGrid w:val="0"/>
        <w:spacing w:after="120"/>
        <w:jc w:val="both"/>
        <w:rPr>
          <w:bCs/>
          <w:szCs w:val="24"/>
          <w:lang w:val="en-US"/>
        </w:rPr>
      </w:pPr>
      <w:r w:rsidRPr="001A5DD2">
        <w:rPr>
          <w:bCs/>
          <w:szCs w:val="24"/>
          <w:lang w:val="en-US"/>
        </w:rPr>
        <w:t>Five new reseller contracts were signed in 2016 to continue expanding distribution/availability of ITU publicatio</w:t>
      </w:r>
      <w:r w:rsidR="003733E8" w:rsidRPr="001A5DD2">
        <w:rPr>
          <w:bCs/>
          <w:szCs w:val="24"/>
          <w:lang w:val="en-US"/>
        </w:rPr>
        <w:t>ns in the dominant traditional r</w:t>
      </w:r>
      <w:r w:rsidRPr="001A5DD2">
        <w:rPr>
          <w:bCs/>
          <w:szCs w:val="24"/>
          <w:lang w:val="en-US"/>
        </w:rPr>
        <w:t>eseller channel.</w:t>
      </w:r>
    </w:p>
    <w:p w14:paraId="2A313CDE" w14:textId="77777777" w:rsidR="0043323F" w:rsidRPr="00B44823" w:rsidRDefault="0043323F" w:rsidP="00B44823">
      <w:pPr>
        <w:pStyle w:val="ListParagraph"/>
        <w:numPr>
          <w:ilvl w:val="0"/>
          <w:numId w:val="2"/>
        </w:numPr>
        <w:adjustRightInd w:val="0"/>
        <w:snapToGrid w:val="0"/>
        <w:spacing w:before="120" w:after="120" w:line="240" w:lineRule="auto"/>
        <w:ind w:left="1134" w:hanging="425"/>
        <w:contextualSpacing w:val="0"/>
        <w:jc w:val="both"/>
        <w:rPr>
          <w:bCs/>
          <w:sz w:val="24"/>
          <w:szCs w:val="24"/>
          <w:lang w:val="en-US"/>
        </w:rPr>
      </w:pPr>
      <w:r w:rsidRPr="00B44823">
        <w:rPr>
          <w:sz w:val="24"/>
          <w:szCs w:val="24"/>
          <w:lang w:val="en-US"/>
        </w:rPr>
        <w:t>Twelve emailing campaigns were carried out to reach potential customers to promote various ITU publications reaching a total of over 317,000 addresses. 14 publications were announced on social media via Twitter (269,000 impressions, 1</w:t>
      </w:r>
      <w:r w:rsidR="003733E8">
        <w:rPr>
          <w:sz w:val="24"/>
          <w:szCs w:val="24"/>
          <w:lang w:val="en-US"/>
        </w:rPr>
        <w:t>,</w:t>
      </w:r>
      <w:r w:rsidRPr="00B44823">
        <w:rPr>
          <w:sz w:val="24"/>
          <w:szCs w:val="24"/>
          <w:lang w:val="en-US"/>
        </w:rPr>
        <w:t>013 clicks) and Google (3</w:t>
      </w:r>
      <w:r w:rsidR="003733E8">
        <w:rPr>
          <w:sz w:val="24"/>
          <w:szCs w:val="24"/>
          <w:lang w:val="en-US"/>
        </w:rPr>
        <w:t>,</w:t>
      </w:r>
      <w:r w:rsidRPr="00B44823">
        <w:rPr>
          <w:sz w:val="24"/>
          <w:szCs w:val="24"/>
          <w:lang w:val="en-US"/>
        </w:rPr>
        <w:t>953 views)</w:t>
      </w:r>
    </w:p>
    <w:p w14:paraId="3DF8EBD6" w14:textId="77777777" w:rsidR="0043323F" w:rsidRPr="00B44823" w:rsidRDefault="0043323F" w:rsidP="00B44823">
      <w:pPr>
        <w:pStyle w:val="ListParagraph"/>
        <w:numPr>
          <w:ilvl w:val="0"/>
          <w:numId w:val="2"/>
        </w:numPr>
        <w:adjustRightInd w:val="0"/>
        <w:snapToGrid w:val="0"/>
        <w:spacing w:before="120" w:after="120" w:line="240" w:lineRule="auto"/>
        <w:ind w:left="1134" w:hanging="425"/>
        <w:contextualSpacing w:val="0"/>
        <w:jc w:val="both"/>
        <w:rPr>
          <w:bCs/>
          <w:sz w:val="24"/>
          <w:szCs w:val="24"/>
          <w:lang w:val="en-US"/>
        </w:rPr>
      </w:pPr>
      <w:r w:rsidRPr="00B44823">
        <w:rPr>
          <w:bCs/>
          <w:sz w:val="24"/>
          <w:szCs w:val="24"/>
          <w:lang w:val="en-US"/>
        </w:rPr>
        <w:t>Two Licensing agreements, signed with Financial Times and Ernst &amp; Young in 2015, were renewed in 2016 ensuring continued income.</w:t>
      </w:r>
    </w:p>
    <w:p w14:paraId="117C4CC2" w14:textId="2B0BF802" w:rsidR="0043323F" w:rsidRPr="00B44823" w:rsidRDefault="0043323F" w:rsidP="00AC129F">
      <w:pPr>
        <w:pStyle w:val="ListParagraph"/>
        <w:numPr>
          <w:ilvl w:val="0"/>
          <w:numId w:val="2"/>
        </w:numPr>
        <w:adjustRightInd w:val="0"/>
        <w:snapToGrid w:val="0"/>
        <w:spacing w:before="120" w:after="120" w:line="240" w:lineRule="auto"/>
        <w:ind w:left="1134" w:hanging="425"/>
        <w:contextualSpacing w:val="0"/>
        <w:jc w:val="both"/>
        <w:rPr>
          <w:bCs/>
          <w:sz w:val="24"/>
          <w:szCs w:val="24"/>
          <w:lang w:val="en-US"/>
        </w:rPr>
      </w:pPr>
      <w:r w:rsidRPr="00B44823">
        <w:rPr>
          <w:bCs/>
          <w:sz w:val="24"/>
          <w:szCs w:val="24"/>
          <w:lang w:val="en-US"/>
        </w:rPr>
        <w:t xml:space="preserve">Maintained contact with over 400 Maritime Inspectors on </w:t>
      </w:r>
      <w:r w:rsidR="003733E8">
        <w:rPr>
          <w:bCs/>
          <w:sz w:val="24"/>
          <w:szCs w:val="24"/>
          <w:lang w:val="en-US"/>
        </w:rPr>
        <w:t>the</w:t>
      </w:r>
      <w:r w:rsidRPr="00B44823">
        <w:rPr>
          <w:bCs/>
          <w:sz w:val="24"/>
          <w:szCs w:val="24"/>
          <w:lang w:val="en-US"/>
        </w:rPr>
        <w:t xml:space="preserve"> in-house list to update them with new editions of ITU Maritime publications. Additionally, 460 Inspector</w:t>
      </w:r>
      <w:r w:rsidR="00AC129F">
        <w:rPr>
          <w:bCs/>
          <w:sz w:val="24"/>
          <w:szCs w:val="24"/>
          <w:lang w:val="en-US"/>
        </w:rPr>
        <w:t>s</w:t>
      </w:r>
      <w:r w:rsidRPr="00B44823">
        <w:rPr>
          <w:bCs/>
          <w:sz w:val="24"/>
          <w:szCs w:val="24"/>
          <w:lang w:val="en-US"/>
        </w:rPr>
        <w:t xml:space="preserve"> have been identified in 2016 </w:t>
      </w:r>
      <w:r w:rsidR="00AC129F">
        <w:rPr>
          <w:bCs/>
          <w:sz w:val="24"/>
          <w:szCs w:val="24"/>
          <w:lang w:val="en-US"/>
        </w:rPr>
        <w:t>and will be</w:t>
      </w:r>
      <w:r w:rsidRPr="00B44823">
        <w:rPr>
          <w:bCs/>
          <w:sz w:val="24"/>
          <w:szCs w:val="24"/>
          <w:lang w:val="en-US"/>
        </w:rPr>
        <w:t xml:space="preserve"> contact</w:t>
      </w:r>
      <w:r w:rsidR="00AC129F">
        <w:rPr>
          <w:bCs/>
          <w:sz w:val="24"/>
          <w:szCs w:val="24"/>
          <w:lang w:val="en-US"/>
        </w:rPr>
        <w:t>ed</w:t>
      </w:r>
      <w:r w:rsidRPr="00B44823">
        <w:rPr>
          <w:bCs/>
          <w:sz w:val="24"/>
          <w:szCs w:val="24"/>
          <w:lang w:val="en-US"/>
        </w:rPr>
        <w:t xml:space="preserve"> in 2017.</w:t>
      </w:r>
    </w:p>
    <w:p w14:paraId="6899640C" w14:textId="77777777" w:rsidR="0043323F" w:rsidRPr="00F8784B" w:rsidRDefault="0043323F" w:rsidP="005C3506">
      <w:pPr>
        <w:pStyle w:val="ListParagraph"/>
        <w:numPr>
          <w:ilvl w:val="0"/>
          <w:numId w:val="2"/>
        </w:numPr>
        <w:adjustRightInd w:val="0"/>
        <w:snapToGrid w:val="0"/>
        <w:spacing w:before="120" w:after="120" w:line="240" w:lineRule="auto"/>
        <w:ind w:left="1134" w:hanging="425"/>
        <w:contextualSpacing w:val="0"/>
        <w:jc w:val="both"/>
        <w:rPr>
          <w:bCs/>
          <w:sz w:val="24"/>
          <w:szCs w:val="24"/>
          <w:lang w:val="en-US"/>
        </w:rPr>
      </w:pPr>
      <w:r w:rsidRPr="00F8784B">
        <w:rPr>
          <w:bCs/>
          <w:sz w:val="24"/>
          <w:szCs w:val="24"/>
          <w:lang w:val="en-US"/>
        </w:rPr>
        <w:t>The Email marketing database at Sales &amp; Marketing Division has increased to 46,000 addresses in 2016. Most of this increase has been contributed by the free download registration mechanism which has continued to yield additional opt-ins reaching over 23,000 addresses as at end of year 2016.</w:t>
      </w:r>
    </w:p>
    <w:p w14:paraId="5FA01BB1" w14:textId="520AC0F1" w:rsidR="0043323F" w:rsidRPr="00B44823" w:rsidRDefault="004747C4" w:rsidP="00B44823">
      <w:pPr>
        <w:keepNext/>
        <w:keepLines/>
        <w:tabs>
          <w:tab w:val="clear" w:pos="567"/>
          <w:tab w:val="clear" w:pos="1134"/>
          <w:tab w:val="clear" w:pos="1701"/>
          <w:tab w:val="clear" w:pos="2268"/>
          <w:tab w:val="clear" w:pos="2835"/>
        </w:tabs>
        <w:snapToGrid w:val="0"/>
        <w:spacing w:after="120"/>
        <w:jc w:val="both"/>
        <w:rPr>
          <w:rFonts w:asciiTheme="minorHAnsi" w:hAnsiTheme="minorHAnsi"/>
          <w:b/>
          <w:szCs w:val="24"/>
          <w:lang w:val="en-US"/>
        </w:rPr>
      </w:pPr>
      <w:r>
        <w:rPr>
          <w:rFonts w:asciiTheme="minorHAnsi" w:hAnsiTheme="minorHAnsi"/>
          <w:b/>
          <w:szCs w:val="24"/>
          <w:lang w:val="en-US"/>
        </w:rPr>
        <w:lastRenderedPageBreak/>
        <w:t>2.2</w:t>
      </w:r>
      <w:r w:rsidR="0043323F" w:rsidRPr="00B44823">
        <w:rPr>
          <w:rFonts w:asciiTheme="minorHAnsi" w:hAnsiTheme="minorHAnsi"/>
          <w:b/>
          <w:szCs w:val="24"/>
          <w:lang w:val="en-US"/>
        </w:rPr>
        <w:tab/>
        <w:t>Sales trends in publication formats</w:t>
      </w:r>
    </w:p>
    <w:p w14:paraId="1C532E65" w14:textId="5828DA74" w:rsidR="0043323F" w:rsidRPr="00B44823" w:rsidRDefault="00A34178" w:rsidP="00B44823">
      <w:pPr>
        <w:keepNext/>
        <w:keepLines/>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A34178">
        <w:rPr>
          <w:rFonts w:asciiTheme="minorHAnsi" w:hAnsiTheme="minorHAnsi"/>
          <w:b/>
          <w:bCs/>
          <w:szCs w:val="24"/>
          <w:lang w:val="en-US"/>
        </w:rPr>
        <w:t>a</w:t>
      </w:r>
      <w:r>
        <w:rPr>
          <w:rFonts w:asciiTheme="minorHAnsi" w:hAnsiTheme="minorHAnsi"/>
          <w:b/>
          <w:bCs/>
          <w:szCs w:val="24"/>
          <w:lang w:val="en-US"/>
        </w:rPr>
        <w:t>)</w:t>
      </w:r>
      <w:r w:rsidR="0043323F" w:rsidRPr="00B44823">
        <w:rPr>
          <w:rFonts w:asciiTheme="minorHAnsi" w:hAnsiTheme="minorHAnsi"/>
          <w:szCs w:val="24"/>
          <w:lang w:val="en-US"/>
        </w:rPr>
        <w:tab/>
        <w:t>ITU publications are offered in three major formats: paper, CD/</w:t>
      </w:r>
      <w:proofErr w:type="spellStart"/>
      <w:r w:rsidR="0043323F" w:rsidRPr="00B44823">
        <w:rPr>
          <w:rFonts w:asciiTheme="minorHAnsi" w:hAnsiTheme="minorHAnsi"/>
          <w:szCs w:val="24"/>
          <w:lang w:val="en-US"/>
        </w:rPr>
        <w:t>DVD-Rom</w:t>
      </w:r>
      <w:proofErr w:type="spellEnd"/>
      <w:r w:rsidR="0043323F" w:rsidRPr="00B44823">
        <w:rPr>
          <w:rFonts w:asciiTheme="minorHAnsi" w:hAnsiTheme="minorHAnsi"/>
          <w:szCs w:val="24"/>
          <w:lang w:val="en-US"/>
        </w:rPr>
        <w:t>, and online.</w:t>
      </w:r>
    </w:p>
    <w:p w14:paraId="3E278B0B" w14:textId="784E4F5A" w:rsidR="0043323F" w:rsidRPr="00F8784B" w:rsidRDefault="00A34178" w:rsidP="00B44823">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Pr>
          <w:rFonts w:asciiTheme="minorHAnsi" w:hAnsiTheme="minorHAnsi"/>
          <w:b/>
          <w:bCs/>
          <w:szCs w:val="24"/>
          <w:lang w:val="en-US"/>
        </w:rPr>
        <w:t>b)</w:t>
      </w:r>
      <w:r w:rsidR="0043323F" w:rsidRPr="00B44823">
        <w:rPr>
          <w:rFonts w:asciiTheme="minorHAnsi" w:hAnsiTheme="minorHAnsi"/>
          <w:szCs w:val="24"/>
          <w:lang w:val="en-US"/>
        </w:rPr>
        <w:tab/>
        <w:t>Online/E-Bookshop sales revenue has increased slightly in 2016 to CHF</w:t>
      </w:r>
      <w:r w:rsidR="003733E8">
        <w:rPr>
          <w:rFonts w:asciiTheme="minorHAnsi" w:hAnsiTheme="minorHAnsi"/>
          <w:szCs w:val="24"/>
          <w:lang w:val="en-US"/>
        </w:rPr>
        <w:t xml:space="preserve"> </w:t>
      </w:r>
      <w:r w:rsidR="0043323F" w:rsidRPr="00B44823">
        <w:rPr>
          <w:rFonts w:asciiTheme="minorHAnsi" w:hAnsiTheme="minorHAnsi"/>
          <w:szCs w:val="24"/>
          <w:lang w:val="en-US"/>
        </w:rPr>
        <w:t>0.19 million after continued decline from CHF 0.27 million in 2012 to CHF 0.17 million in 2015.</w:t>
      </w:r>
    </w:p>
    <w:p w14:paraId="0E0E013C" w14:textId="1A474DD2" w:rsidR="0043323F" w:rsidRPr="00B44823" w:rsidRDefault="00A34178" w:rsidP="00B44823">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Pr>
          <w:rFonts w:asciiTheme="minorHAnsi" w:hAnsiTheme="minorHAnsi"/>
          <w:b/>
          <w:bCs/>
          <w:szCs w:val="24"/>
          <w:lang w:val="en-US"/>
        </w:rPr>
        <w:t>c)</w:t>
      </w:r>
      <w:r w:rsidR="0043323F" w:rsidRPr="00B44823">
        <w:rPr>
          <w:rFonts w:asciiTheme="minorHAnsi" w:hAnsiTheme="minorHAnsi"/>
          <w:szCs w:val="24"/>
          <w:lang w:val="en-US"/>
        </w:rPr>
        <w:tab/>
        <w:t>With the introduction of digital (CD/</w:t>
      </w:r>
      <w:proofErr w:type="spellStart"/>
      <w:r w:rsidR="0043323F" w:rsidRPr="00B44823">
        <w:rPr>
          <w:rFonts w:asciiTheme="minorHAnsi" w:hAnsiTheme="minorHAnsi"/>
          <w:szCs w:val="24"/>
          <w:lang w:val="en-US"/>
        </w:rPr>
        <w:t>DVD-Rom</w:t>
      </w:r>
      <w:proofErr w:type="spellEnd"/>
      <w:r w:rsidR="0043323F" w:rsidRPr="00B44823">
        <w:rPr>
          <w:rFonts w:asciiTheme="minorHAnsi" w:hAnsiTheme="minorHAnsi"/>
          <w:szCs w:val="24"/>
          <w:lang w:val="en-US"/>
        </w:rPr>
        <w:t>) formats for various major publications in 2010, digital formats in 2016 accounted for a dominating 77% of total sales while paper format and online /E-bookshop and other stand at 21% and 2%</w:t>
      </w:r>
      <w:r w:rsidR="003733E8">
        <w:rPr>
          <w:rFonts w:asciiTheme="minorHAnsi" w:hAnsiTheme="minorHAnsi"/>
          <w:szCs w:val="24"/>
          <w:lang w:val="en-US"/>
        </w:rPr>
        <w:t>,</w:t>
      </w:r>
      <w:r w:rsidR="0043323F" w:rsidRPr="00B44823">
        <w:rPr>
          <w:rFonts w:asciiTheme="minorHAnsi" w:hAnsiTheme="minorHAnsi"/>
          <w:szCs w:val="24"/>
          <w:lang w:val="en-US"/>
        </w:rPr>
        <w:t xml:space="preserve"> respectively. More and more publications are being produced in CD/</w:t>
      </w:r>
      <w:proofErr w:type="spellStart"/>
      <w:r w:rsidR="0043323F" w:rsidRPr="00B44823">
        <w:rPr>
          <w:rFonts w:asciiTheme="minorHAnsi" w:hAnsiTheme="minorHAnsi"/>
          <w:szCs w:val="24"/>
          <w:lang w:val="en-US"/>
        </w:rPr>
        <w:t>DVD-Rom</w:t>
      </w:r>
      <w:proofErr w:type="spellEnd"/>
      <w:r w:rsidR="0043323F" w:rsidRPr="00B44823">
        <w:rPr>
          <w:rFonts w:asciiTheme="minorHAnsi" w:hAnsiTheme="minorHAnsi"/>
          <w:szCs w:val="24"/>
          <w:lang w:val="en-US"/>
        </w:rPr>
        <w:t xml:space="preserve"> format which is environmentally friendly and cost-effective with a reduced production lead time and better inventory management.</w:t>
      </w:r>
    </w:p>
    <w:p w14:paraId="4A522546" w14:textId="77777777" w:rsidR="0043323F" w:rsidRPr="00B44823" w:rsidRDefault="0043323F" w:rsidP="003733E8">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B44823">
        <w:rPr>
          <w:rFonts w:asciiTheme="minorHAnsi" w:hAnsiTheme="minorHAnsi"/>
          <w:szCs w:val="24"/>
          <w:lang w:val="en-US"/>
        </w:rPr>
        <w:t>Figure 1 below refle</w:t>
      </w:r>
      <w:r w:rsidR="003733E8">
        <w:rPr>
          <w:rFonts w:asciiTheme="minorHAnsi" w:hAnsiTheme="minorHAnsi"/>
          <w:szCs w:val="24"/>
          <w:lang w:val="en-US"/>
        </w:rPr>
        <w:t>cts sales trends over the last five</w:t>
      </w:r>
      <w:r w:rsidRPr="00B44823">
        <w:rPr>
          <w:rFonts w:asciiTheme="minorHAnsi" w:hAnsiTheme="minorHAnsi"/>
          <w:szCs w:val="24"/>
          <w:lang w:val="en-US"/>
        </w:rPr>
        <w:t xml:space="preserve"> years in three major formats. This increase in paper format in 2016 is directly attributed to preference of RR 2016 in the boxed </w:t>
      </w:r>
      <w:r w:rsidR="003733E8">
        <w:rPr>
          <w:rFonts w:asciiTheme="minorHAnsi" w:hAnsiTheme="minorHAnsi"/>
          <w:szCs w:val="24"/>
          <w:lang w:val="en-US"/>
        </w:rPr>
        <w:t>four-</w:t>
      </w:r>
      <w:r w:rsidRPr="00B44823">
        <w:rPr>
          <w:rFonts w:asciiTheme="minorHAnsi" w:hAnsiTheme="minorHAnsi"/>
          <w:szCs w:val="24"/>
          <w:lang w:val="en-US"/>
        </w:rPr>
        <w:t xml:space="preserve">volume set. </w:t>
      </w:r>
    </w:p>
    <w:p w14:paraId="4C6CDD66" w14:textId="77777777" w:rsidR="0043323F" w:rsidRPr="00763E00" w:rsidRDefault="0043323F" w:rsidP="00B44823">
      <w:pPr>
        <w:tabs>
          <w:tab w:val="clear" w:pos="567"/>
          <w:tab w:val="clear" w:pos="1134"/>
          <w:tab w:val="clear" w:pos="1701"/>
          <w:tab w:val="clear" w:pos="2268"/>
          <w:tab w:val="clear" w:pos="2835"/>
        </w:tabs>
        <w:snapToGrid w:val="0"/>
        <w:spacing w:before="360" w:after="120"/>
        <w:ind w:left="360"/>
        <w:jc w:val="center"/>
        <w:rPr>
          <w:lang w:val="en-US"/>
        </w:rPr>
      </w:pPr>
      <w:r w:rsidRPr="00763E00">
        <w:rPr>
          <w:lang w:val="en-US"/>
        </w:rPr>
        <w:t>Figure 1</w:t>
      </w:r>
    </w:p>
    <w:p w14:paraId="07766C46" w14:textId="77777777" w:rsidR="0043323F" w:rsidRDefault="0043323F" w:rsidP="00F8784B">
      <w:pPr>
        <w:tabs>
          <w:tab w:val="clear" w:pos="567"/>
        </w:tabs>
        <w:snapToGrid w:val="0"/>
        <w:spacing w:before="0"/>
        <w:rPr>
          <w:sz w:val="18"/>
          <w:szCs w:val="18"/>
          <w:lang w:val="en-US"/>
        </w:rPr>
      </w:pPr>
      <w:r>
        <w:rPr>
          <w:noProof/>
          <w:lang w:val="en-US" w:eastAsia="zh-CN"/>
        </w:rPr>
        <w:drawing>
          <wp:inline distT="0" distB="0" distL="0" distR="0" wp14:anchorId="3DD4D710" wp14:editId="294B4AB2">
            <wp:extent cx="6114197" cy="4203510"/>
            <wp:effectExtent l="0" t="0" r="127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63E00">
        <w:rPr>
          <w:lang w:val="en-US"/>
        </w:rPr>
        <w:br/>
      </w:r>
      <w:r w:rsidR="00F8784B">
        <w:rPr>
          <w:sz w:val="18"/>
          <w:szCs w:val="18"/>
          <w:lang w:val="en-US"/>
        </w:rPr>
        <w:br/>
      </w:r>
      <w:r w:rsidRPr="00763E00">
        <w:rPr>
          <w:sz w:val="18"/>
          <w:szCs w:val="18"/>
          <w:lang w:val="en-US"/>
        </w:rPr>
        <w:t>* Including Souvenirs, royalties, ITU News insertion and other revenue.</w:t>
      </w:r>
    </w:p>
    <w:p w14:paraId="1FFC10D2" w14:textId="77777777" w:rsidR="00A175C2" w:rsidRPr="00763E00" w:rsidRDefault="00A175C2" w:rsidP="00F8784B">
      <w:pPr>
        <w:tabs>
          <w:tab w:val="clear" w:pos="567"/>
        </w:tabs>
        <w:snapToGrid w:val="0"/>
        <w:spacing w:before="0"/>
        <w:rPr>
          <w:sz w:val="18"/>
          <w:szCs w:val="18"/>
          <w:lang w:val="en-US"/>
        </w:rPr>
      </w:pPr>
    </w:p>
    <w:p w14:paraId="71A6BB22" w14:textId="7C58C41E" w:rsidR="00A175C2" w:rsidRPr="00A175C2" w:rsidRDefault="00A34178" w:rsidP="005A1C39">
      <w:pPr>
        <w:rPr>
          <w:color w:val="000000" w:themeColor="text1"/>
          <w:sz w:val="22"/>
          <w:lang w:val="en-US" w:eastAsia="zh-CN"/>
        </w:rPr>
      </w:pPr>
      <w:bookmarkStart w:id="12" w:name="OLE_LINK8"/>
      <w:r>
        <w:rPr>
          <w:b/>
          <w:bCs/>
          <w:szCs w:val="24"/>
          <w:lang w:val="en-US"/>
        </w:rPr>
        <w:t>d)</w:t>
      </w:r>
      <w:r w:rsidR="0043323F" w:rsidRPr="00763E00">
        <w:rPr>
          <w:b/>
          <w:bCs/>
          <w:szCs w:val="24"/>
          <w:lang w:val="en-US"/>
        </w:rPr>
        <w:tab/>
      </w:r>
      <w:r w:rsidR="00A175C2" w:rsidRPr="00A175C2">
        <w:rPr>
          <w:color w:val="000000" w:themeColor="text1"/>
        </w:rPr>
        <w:t>In response to a request at Council</w:t>
      </w:r>
      <w:r w:rsidR="005A1C39">
        <w:rPr>
          <w:color w:val="000000" w:themeColor="text1"/>
        </w:rPr>
        <w:t>-16</w:t>
      </w:r>
      <w:r w:rsidR="00A175C2" w:rsidRPr="00A175C2">
        <w:rPr>
          <w:color w:val="000000" w:themeColor="text1"/>
        </w:rPr>
        <w:t xml:space="preserve"> </w:t>
      </w:r>
      <w:r w:rsidR="00A175C2">
        <w:rPr>
          <w:color w:val="000000" w:themeColor="text1"/>
        </w:rPr>
        <w:t xml:space="preserve">to clarify </w:t>
      </w:r>
      <w:r w:rsidR="00A175C2" w:rsidRPr="00A175C2">
        <w:rPr>
          <w:color w:val="000000" w:themeColor="text1"/>
        </w:rPr>
        <w:t xml:space="preserve">criteria used to decide whether a publication would be made available for free download or sold, </w:t>
      </w:r>
      <w:r w:rsidR="005A1C39">
        <w:rPr>
          <w:color w:val="000000" w:themeColor="text1"/>
        </w:rPr>
        <w:t xml:space="preserve">the </w:t>
      </w:r>
      <w:r w:rsidR="00A175C2" w:rsidRPr="00A175C2">
        <w:rPr>
          <w:color w:val="000000" w:themeColor="text1"/>
        </w:rPr>
        <w:t xml:space="preserve">Council requested the </w:t>
      </w:r>
      <w:r w:rsidR="005A1C39">
        <w:rPr>
          <w:color w:val="000000" w:themeColor="text1"/>
        </w:rPr>
        <w:t>s</w:t>
      </w:r>
      <w:r w:rsidR="00A175C2" w:rsidRPr="00A175C2">
        <w:rPr>
          <w:color w:val="000000" w:themeColor="text1"/>
        </w:rPr>
        <w:t xml:space="preserve">ecretariat to submit a report to CWG-FHR which was </w:t>
      </w:r>
      <w:r w:rsidR="00A175C2">
        <w:rPr>
          <w:color w:val="000000" w:themeColor="text1"/>
        </w:rPr>
        <w:t>carried-out</w:t>
      </w:r>
      <w:r w:rsidR="00A175C2" w:rsidRPr="00A175C2">
        <w:rPr>
          <w:color w:val="000000" w:themeColor="text1"/>
        </w:rPr>
        <w:t xml:space="preserve"> in January 2017.</w:t>
      </w:r>
      <w:bookmarkStart w:id="13" w:name="_GoBack"/>
      <w:bookmarkEnd w:id="13"/>
    </w:p>
    <w:p w14:paraId="65246137" w14:textId="331B100F" w:rsidR="0043323F" w:rsidRPr="00A175C2" w:rsidRDefault="0043323F" w:rsidP="009B4147">
      <w:pPr>
        <w:tabs>
          <w:tab w:val="clear" w:pos="567"/>
          <w:tab w:val="clear" w:pos="1134"/>
          <w:tab w:val="clear" w:pos="1701"/>
          <w:tab w:val="clear" w:pos="2268"/>
          <w:tab w:val="clear" w:pos="2835"/>
        </w:tabs>
        <w:snapToGrid w:val="0"/>
        <w:spacing w:before="360" w:after="120"/>
        <w:jc w:val="both"/>
        <w:rPr>
          <w:color w:val="000000" w:themeColor="text1"/>
          <w:szCs w:val="24"/>
          <w:lang w:val="en-US"/>
        </w:rPr>
      </w:pPr>
    </w:p>
    <w:p w14:paraId="3FB26621" w14:textId="69F8EA81" w:rsidR="0043323F" w:rsidRPr="00763E00" w:rsidRDefault="00A34178" w:rsidP="00F8784B">
      <w:pPr>
        <w:keepNext/>
        <w:keepLines/>
        <w:tabs>
          <w:tab w:val="clear" w:pos="567"/>
          <w:tab w:val="clear" w:pos="1134"/>
          <w:tab w:val="clear" w:pos="1701"/>
          <w:tab w:val="clear" w:pos="2268"/>
          <w:tab w:val="clear" w:pos="2835"/>
        </w:tabs>
        <w:snapToGrid w:val="0"/>
        <w:spacing w:before="240" w:after="120"/>
        <w:jc w:val="both"/>
        <w:rPr>
          <w:b/>
          <w:bCs/>
          <w:szCs w:val="24"/>
          <w:lang w:val="en-US"/>
        </w:rPr>
      </w:pPr>
      <w:r>
        <w:rPr>
          <w:b/>
          <w:bCs/>
          <w:szCs w:val="24"/>
          <w:lang w:val="en-US"/>
        </w:rPr>
        <w:lastRenderedPageBreak/>
        <w:t>2.3</w:t>
      </w:r>
      <w:r w:rsidR="0043323F" w:rsidRPr="00763E00">
        <w:rPr>
          <w:b/>
          <w:bCs/>
          <w:szCs w:val="24"/>
          <w:lang w:val="en-US"/>
        </w:rPr>
        <w:tab/>
        <w:t xml:space="preserve">Languages Distribution </w:t>
      </w:r>
    </w:p>
    <w:p w14:paraId="3A04D016" w14:textId="7708D69A" w:rsidR="0043323F" w:rsidRPr="00763E00" w:rsidRDefault="0043323F" w:rsidP="00F8784B">
      <w:pPr>
        <w:keepNext/>
        <w:keepLines/>
        <w:tabs>
          <w:tab w:val="clear" w:pos="567"/>
          <w:tab w:val="clear" w:pos="1134"/>
          <w:tab w:val="clear" w:pos="1701"/>
          <w:tab w:val="clear" w:pos="2268"/>
          <w:tab w:val="clear" w:pos="2835"/>
        </w:tabs>
        <w:snapToGrid w:val="0"/>
        <w:spacing w:after="120"/>
        <w:jc w:val="both"/>
        <w:rPr>
          <w:szCs w:val="24"/>
          <w:lang w:val="en-US"/>
        </w:rPr>
      </w:pPr>
      <w:r w:rsidRPr="00763E00">
        <w:rPr>
          <w:szCs w:val="24"/>
          <w:lang w:val="en-US"/>
        </w:rPr>
        <w:tab/>
        <w:t xml:space="preserve">The multilingual format in six languages (M6) is the most widely distributed (70%) comprising mostly mandatory Maritime publications. This is followed by publications in </w:t>
      </w:r>
      <w:r w:rsidR="003733E8">
        <w:rPr>
          <w:szCs w:val="24"/>
          <w:lang w:val="en-US"/>
        </w:rPr>
        <w:t>English-only format at 28% and three</w:t>
      </w:r>
      <w:r w:rsidRPr="00763E00">
        <w:rPr>
          <w:szCs w:val="24"/>
          <w:lang w:val="en-US"/>
        </w:rPr>
        <w:t>-language format M3 (English, French, and Spanish) at 1%. All other publication languages, namely French-only, Arabic-only, Russian-only, Chinese-only and Spanish-only together constitute less than 1% of total sales.</w:t>
      </w:r>
    </w:p>
    <w:p w14:paraId="65AFBC7F" w14:textId="3A5273AC" w:rsidR="0043323F" w:rsidRPr="00763E00" w:rsidRDefault="00A34178" w:rsidP="00F8784B">
      <w:pPr>
        <w:tabs>
          <w:tab w:val="clear" w:pos="567"/>
          <w:tab w:val="clear" w:pos="1134"/>
          <w:tab w:val="clear" w:pos="1701"/>
          <w:tab w:val="clear" w:pos="2268"/>
          <w:tab w:val="clear" w:pos="2835"/>
        </w:tabs>
        <w:snapToGrid w:val="0"/>
        <w:spacing w:before="240" w:after="120"/>
        <w:jc w:val="both"/>
        <w:rPr>
          <w:b/>
          <w:bCs/>
          <w:szCs w:val="24"/>
          <w:lang w:val="en-US"/>
        </w:rPr>
      </w:pPr>
      <w:r>
        <w:rPr>
          <w:b/>
          <w:bCs/>
          <w:szCs w:val="24"/>
          <w:lang w:val="en-US"/>
        </w:rPr>
        <w:t>2.4</w:t>
      </w:r>
      <w:r w:rsidR="0043323F" w:rsidRPr="00763E00">
        <w:rPr>
          <w:b/>
          <w:bCs/>
          <w:szCs w:val="24"/>
          <w:lang w:val="en-US"/>
        </w:rPr>
        <w:tab/>
        <w:t>Sales of ITU publications to members/non-members and by country</w:t>
      </w:r>
    </w:p>
    <w:p w14:paraId="21DF528B" w14:textId="3B8A0ED0" w:rsidR="0043323F" w:rsidRPr="00763E00" w:rsidRDefault="00A34178" w:rsidP="0085675A">
      <w:pPr>
        <w:tabs>
          <w:tab w:val="clear" w:pos="567"/>
          <w:tab w:val="clear" w:pos="1134"/>
          <w:tab w:val="clear" w:pos="1701"/>
          <w:tab w:val="clear" w:pos="2268"/>
          <w:tab w:val="clear" w:pos="2835"/>
        </w:tabs>
        <w:snapToGrid w:val="0"/>
        <w:spacing w:after="120"/>
        <w:jc w:val="both"/>
        <w:rPr>
          <w:szCs w:val="24"/>
          <w:lang w:val="en-US"/>
        </w:rPr>
      </w:pPr>
      <w:r w:rsidRPr="00A34178">
        <w:rPr>
          <w:b/>
          <w:bCs/>
          <w:szCs w:val="24"/>
          <w:lang w:val="en-US"/>
        </w:rPr>
        <w:t>a)</w:t>
      </w:r>
      <w:r w:rsidR="0043323F" w:rsidRPr="00763E00">
        <w:rPr>
          <w:szCs w:val="24"/>
          <w:lang w:val="en-US"/>
        </w:rPr>
        <w:tab/>
        <w:t>Paper/</w:t>
      </w:r>
      <w:proofErr w:type="spellStart"/>
      <w:r w:rsidR="0043323F" w:rsidRPr="00763E00">
        <w:rPr>
          <w:szCs w:val="24"/>
          <w:lang w:val="en-US"/>
        </w:rPr>
        <w:t>CD-Rom</w:t>
      </w:r>
      <w:proofErr w:type="spellEnd"/>
      <w:r w:rsidR="0043323F" w:rsidRPr="00763E00">
        <w:rPr>
          <w:szCs w:val="24"/>
          <w:lang w:val="en-US"/>
        </w:rPr>
        <w:t xml:space="preserve"> sales to members</w:t>
      </w:r>
      <w:r w:rsidR="003733E8">
        <w:rPr>
          <w:szCs w:val="24"/>
          <w:lang w:val="en-US"/>
        </w:rPr>
        <w:t>hip</w:t>
      </w:r>
      <w:r w:rsidR="0043323F" w:rsidRPr="00763E00">
        <w:rPr>
          <w:szCs w:val="24"/>
          <w:lang w:val="en-US"/>
        </w:rPr>
        <w:t xml:space="preserve"> historically remain in the vicinity of 5%-6%. For further details please see Document</w:t>
      </w:r>
      <w:r w:rsidR="0085675A">
        <w:rPr>
          <w:szCs w:val="24"/>
          <w:lang w:val="en-US"/>
        </w:rPr>
        <w:t xml:space="preserve"> </w:t>
      </w:r>
      <w:hyperlink r:id="rId19" w:history="1">
        <w:r w:rsidR="0085675A" w:rsidRPr="0085675A">
          <w:rPr>
            <w:rStyle w:val="Hyperlink"/>
            <w:lang w:val="en-US"/>
          </w:rPr>
          <w:t>C17/INF/4</w:t>
        </w:r>
      </w:hyperlink>
      <w:r w:rsidR="0043323F" w:rsidRPr="00763E00">
        <w:rPr>
          <w:szCs w:val="24"/>
          <w:lang w:val="en-US"/>
        </w:rPr>
        <w:t>.</w:t>
      </w:r>
    </w:p>
    <w:p w14:paraId="0F6E6262" w14:textId="52BD1A3D" w:rsidR="0043323F" w:rsidRPr="00763E00" w:rsidRDefault="00A34178" w:rsidP="003733E8">
      <w:pPr>
        <w:tabs>
          <w:tab w:val="clear" w:pos="567"/>
          <w:tab w:val="clear" w:pos="1134"/>
          <w:tab w:val="clear" w:pos="1701"/>
          <w:tab w:val="clear" w:pos="2268"/>
          <w:tab w:val="clear" w:pos="2835"/>
        </w:tabs>
        <w:snapToGrid w:val="0"/>
        <w:spacing w:after="120"/>
        <w:jc w:val="both"/>
        <w:rPr>
          <w:szCs w:val="24"/>
          <w:lang w:val="en-US"/>
        </w:rPr>
      </w:pPr>
      <w:r w:rsidRPr="00A34178">
        <w:rPr>
          <w:b/>
          <w:bCs/>
          <w:szCs w:val="24"/>
          <w:lang w:val="en-US"/>
        </w:rPr>
        <w:t>b)</w:t>
      </w:r>
      <w:r w:rsidR="0043323F" w:rsidRPr="00763E00">
        <w:rPr>
          <w:szCs w:val="24"/>
          <w:lang w:val="en-US"/>
        </w:rPr>
        <w:tab/>
        <w:t>As seen in Figure 2 below, online sales to members</w:t>
      </w:r>
      <w:r w:rsidR="003733E8">
        <w:rPr>
          <w:szCs w:val="24"/>
          <w:lang w:val="en-US"/>
        </w:rPr>
        <w:t>hip</w:t>
      </w:r>
      <w:r w:rsidR="0043323F" w:rsidRPr="00763E00">
        <w:rPr>
          <w:szCs w:val="24"/>
          <w:lang w:val="en-US"/>
        </w:rPr>
        <w:t xml:space="preserve"> which generally remain in the vicinity of 45%-50% of online sales decreased to 36% mainly on account of one Sector </w:t>
      </w:r>
      <w:r w:rsidR="003733E8">
        <w:rPr>
          <w:szCs w:val="24"/>
          <w:lang w:val="en-US"/>
        </w:rPr>
        <w:t>M</w:t>
      </w:r>
      <w:r w:rsidR="0043323F" w:rsidRPr="00763E00">
        <w:rPr>
          <w:szCs w:val="24"/>
          <w:lang w:val="en-US"/>
        </w:rPr>
        <w:t>ember purchasing at a discounted price.</w:t>
      </w:r>
    </w:p>
    <w:p w14:paraId="18C112CF" w14:textId="77777777" w:rsidR="0043323F" w:rsidRDefault="0043323F" w:rsidP="00F8784B">
      <w:pPr>
        <w:keepNext/>
        <w:keepLines/>
        <w:spacing w:before="360"/>
        <w:jc w:val="center"/>
      </w:pPr>
      <w:bookmarkStart w:id="14" w:name="OLE_LINK9"/>
      <w:bookmarkEnd w:id="12"/>
      <w:r>
        <w:t>Figure 2</w:t>
      </w:r>
    </w:p>
    <w:p w14:paraId="41FB546F" w14:textId="77777777" w:rsidR="0043323F" w:rsidRDefault="0043323F" w:rsidP="0043323F">
      <w:pPr>
        <w:keepNext/>
        <w:keepLines/>
        <w:jc w:val="center"/>
        <w:rPr>
          <w:noProof/>
        </w:rPr>
      </w:pPr>
      <w:r>
        <w:rPr>
          <w:noProof/>
          <w:lang w:val="en-US" w:eastAsia="zh-CN"/>
        </w:rPr>
        <w:drawing>
          <wp:inline distT="0" distB="0" distL="0" distR="0" wp14:anchorId="487D45E3" wp14:editId="08EEEA4A">
            <wp:extent cx="6127845" cy="3821373"/>
            <wp:effectExtent l="0" t="0" r="635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10"/>
    <w:bookmarkEnd w:id="11"/>
    <w:bookmarkEnd w:id="14"/>
    <w:p w14:paraId="61E2F9DE" w14:textId="63C3A87A" w:rsidR="004B0A5E" w:rsidRPr="004B0A5E" w:rsidRDefault="00A34178" w:rsidP="004B0A5E">
      <w:pPr>
        <w:spacing w:before="360"/>
      </w:pPr>
      <w:r w:rsidRPr="00A34178">
        <w:rPr>
          <w:b/>
          <w:bCs/>
          <w:szCs w:val="24"/>
          <w:lang w:val="en-US"/>
        </w:rPr>
        <w:t>c)</w:t>
      </w:r>
      <w:r w:rsidR="0043323F" w:rsidRPr="00763E00">
        <w:rPr>
          <w:szCs w:val="24"/>
          <w:lang w:val="en-US"/>
        </w:rPr>
        <w:tab/>
        <w:t>Sales figures by country can be found at</w:t>
      </w:r>
      <w:r w:rsidR="004B0A5E">
        <w:rPr>
          <w:szCs w:val="24"/>
          <w:lang w:val="en-US"/>
        </w:rPr>
        <w:br/>
      </w:r>
      <w:hyperlink r:id="rId21" w:history="1">
        <w:r w:rsidR="004B0A5E" w:rsidRPr="006A328C">
          <w:rPr>
            <w:rStyle w:val="Hyperlink"/>
          </w:rPr>
          <w:t>http://www.itu.int/en/council/Documents/2017/country-sales-2016.docx</w:t>
        </w:r>
      </w:hyperlink>
    </w:p>
    <w:p w14:paraId="5B98A7CB" w14:textId="1D6E07EA" w:rsidR="0043323F" w:rsidRPr="00763E00" w:rsidRDefault="00A34178" w:rsidP="00F8784B">
      <w:pPr>
        <w:keepNext/>
        <w:keepLines/>
        <w:tabs>
          <w:tab w:val="clear" w:pos="567"/>
          <w:tab w:val="clear" w:pos="1134"/>
          <w:tab w:val="clear" w:pos="1701"/>
          <w:tab w:val="clear" w:pos="2268"/>
          <w:tab w:val="clear" w:pos="2835"/>
        </w:tabs>
        <w:snapToGrid w:val="0"/>
        <w:spacing w:before="240" w:after="120"/>
        <w:jc w:val="both"/>
        <w:rPr>
          <w:b/>
          <w:bCs/>
          <w:szCs w:val="24"/>
          <w:lang w:val="en-US"/>
        </w:rPr>
      </w:pPr>
      <w:bookmarkStart w:id="15" w:name="OLE_LINK10"/>
      <w:r>
        <w:rPr>
          <w:b/>
          <w:bCs/>
          <w:szCs w:val="24"/>
          <w:lang w:val="en-US"/>
        </w:rPr>
        <w:lastRenderedPageBreak/>
        <w:t>3.</w:t>
      </w:r>
      <w:r w:rsidR="0043323F" w:rsidRPr="00763E00">
        <w:rPr>
          <w:b/>
          <w:bCs/>
          <w:szCs w:val="24"/>
          <w:lang w:val="en-US"/>
        </w:rPr>
        <w:tab/>
        <w:t xml:space="preserve">Free download of Radio Regulations 2012 </w:t>
      </w:r>
    </w:p>
    <w:p w14:paraId="0A69F10A" w14:textId="6EF2D4DB" w:rsidR="0043323F" w:rsidRPr="00763E00" w:rsidRDefault="0043323F" w:rsidP="00F8784B">
      <w:pPr>
        <w:keepNext/>
        <w:keepLines/>
        <w:tabs>
          <w:tab w:val="clear" w:pos="567"/>
          <w:tab w:val="clear" w:pos="1134"/>
          <w:tab w:val="clear" w:pos="1701"/>
          <w:tab w:val="clear" w:pos="2268"/>
          <w:tab w:val="clear" w:pos="2835"/>
        </w:tabs>
        <w:snapToGrid w:val="0"/>
        <w:spacing w:after="360"/>
        <w:jc w:val="both"/>
        <w:rPr>
          <w:szCs w:val="24"/>
          <w:lang w:val="en-US"/>
        </w:rPr>
      </w:pPr>
      <w:r w:rsidRPr="00763E00">
        <w:rPr>
          <w:b/>
          <w:bCs/>
          <w:szCs w:val="24"/>
          <w:lang w:val="en-US"/>
        </w:rPr>
        <w:tab/>
      </w:r>
      <w:r w:rsidRPr="00763E00">
        <w:rPr>
          <w:szCs w:val="24"/>
          <w:lang w:val="en-US"/>
        </w:rPr>
        <w:t>Council 2012 instructed the Secretary-General to report to Council/PP-14 the actual impact of the free online download of Radio Regulations on revenues and costs, and on means for balancing the financial impacts.</w:t>
      </w:r>
      <w:r w:rsidRPr="00763E00">
        <w:rPr>
          <w:b/>
          <w:bCs/>
          <w:szCs w:val="24"/>
          <w:lang w:val="en-US"/>
        </w:rPr>
        <w:t xml:space="preserve"> </w:t>
      </w:r>
      <w:r w:rsidRPr="00763E00">
        <w:rPr>
          <w:szCs w:val="24"/>
          <w:lang w:val="en-US"/>
        </w:rPr>
        <w:t>The table below reflects the final results of Radio Regulations 2012 vs 2008, a major publication, as of 31 December 2016:</w:t>
      </w:r>
    </w:p>
    <w:tbl>
      <w:tblPr>
        <w:tblW w:w="9248" w:type="dxa"/>
        <w:tblInd w:w="103" w:type="dxa"/>
        <w:tblLook w:val="04A0" w:firstRow="1" w:lastRow="0" w:firstColumn="1" w:lastColumn="0" w:noHBand="0" w:noVBand="1"/>
      </w:tblPr>
      <w:tblGrid>
        <w:gridCol w:w="998"/>
        <w:gridCol w:w="1417"/>
        <w:gridCol w:w="1446"/>
        <w:gridCol w:w="1276"/>
        <w:gridCol w:w="1276"/>
        <w:gridCol w:w="2835"/>
      </w:tblGrid>
      <w:tr w:rsidR="0043323F" w:rsidRPr="00013B39" w14:paraId="793D413F" w14:textId="77777777" w:rsidTr="004E3371">
        <w:trPr>
          <w:trHeight w:val="255"/>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5"/>
          <w:p w14:paraId="1D50BB64" w14:textId="77777777" w:rsidR="0043323F" w:rsidRPr="00013B39" w:rsidRDefault="0043323F" w:rsidP="00F8784B">
            <w:pPr>
              <w:keepNext/>
              <w:keepLines/>
              <w:spacing w:before="80" w:after="80"/>
              <w:jc w:val="center"/>
              <w:rPr>
                <w:rFonts w:cs="Arial"/>
                <w:b/>
                <w:bCs/>
                <w:sz w:val="18"/>
                <w:szCs w:val="18"/>
              </w:rPr>
            </w:pPr>
            <w:r w:rsidRPr="00013B39">
              <w:rPr>
                <w:rFonts w:cs="Arial"/>
                <w:b/>
                <w:bCs/>
                <w:sz w:val="18"/>
                <w:szCs w:val="18"/>
              </w:rPr>
              <w:t>Edition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31ABFE" w14:textId="77777777" w:rsidR="0043323F" w:rsidRPr="00013B39" w:rsidRDefault="0043323F" w:rsidP="00F8784B">
            <w:pPr>
              <w:keepNext/>
              <w:keepLines/>
              <w:spacing w:before="80" w:after="80"/>
              <w:jc w:val="center"/>
              <w:rPr>
                <w:rFonts w:cs="Arial"/>
                <w:b/>
                <w:bCs/>
                <w:sz w:val="18"/>
                <w:szCs w:val="18"/>
              </w:rPr>
            </w:pPr>
            <w:r w:rsidRPr="00013B39">
              <w:rPr>
                <w:rFonts w:cs="Arial"/>
                <w:b/>
                <w:bCs/>
                <w:sz w:val="18"/>
                <w:szCs w:val="18"/>
              </w:rPr>
              <w:t>Sales Period</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359FFFBF" w14:textId="77777777" w:rsidR="0043323F" w:rsidRPr="00013B39" w:rsidRDefault="0043323F" w:rsidP="00F8784B">
            <w:pPr>
              <w:keepNext/>
              <w:keepLines/>
              <w:spacing w:before="80" w:after="80"/>
              <w:rPr>
                <w:rFonts w:cs="Arial"/>
                <w:b/>
                <w:bCs/>
                <w:sz w:val="18"/>
                <w:szCs w:val="18"/>
              </w:rPr>
            </w:pPr>
            <w:r w:rsidRPr="00013B39">
              <w:rPr>
                <w:rFonts w:cs="Arial"/>
                <w:b/>
                <w:bCs/>
                <w:sz w:val="18"/>
                <w:szCs w:val="18"/>
              </w:rPr>
              <w:t xml:space="preserve">Total </w:t>
            </w:r>
            <w:proofErr w:type="spellStart"/>
            <w:r w:rsidRPr="00013B39">
              <w:rPr>
                <w:rFonts w:cs="Arial"/>
                <w:b/>
                <w:bCs/>
                <w:sz w:val="18"/>
                <w:szCs w:val="18"/>
              </w:rPr>
              <w:t>qty</w:t>
            </w:r>
            <w:proofErr w:type="spellEnd"/>
            <w:r w:rsidRPr="00013B39">
              <w:rPr>
                <w:rFonts w:cs="Arial"/>
                <w:b/>
                <w:bCs/>
                <w:sz w:val="18"/>
                <w:szCs w:val="18"/>
              </w:rPr>
              <w:t xml:space="preserve"> sold</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6231F5F" w14:textId="77777777" w:rsidR="0043323F" w:rsidRPr="00013B39" w:rsidRDefault="0043323F" w:rsidP="00F8784B">
            <w:pPr>
              <w:keepNext/>
              <w:keepLines/>
              <w:spacing w:before="80" w:after="80"/>
              <w:jc w:val="center"/>
              <w:rPr>
                <w:rFonts w:cs="Arial"/>
                <w:b/>
                <w:bCs/>
                <w:sz w:val="18"/>
                <w:szCs w:val="18"/>
              </w:rPr>
            </w:pPr>
            <w:r w:rsidRPr="00013B39">
              <w:rPr>
                <w:rFonts w:cs="Arial"/>
                <w:b/>
                <w:bCs/>
                <w:sz w:val="18"/>
                <w:szCs w:val="18"/>
              </w:rPr>
              <w:t>Resellers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C776950" w14:textId="77777777" w:rsidR="0043323F" w:rsidRPr="00013B39" w:rsidRDefault="0043323F" w:rsidP="00F8784B">
            <w:pPr>
              <w:keepNext/>
              <w:keepLines/>
              <w:spacing w:before="80" w:after="80"/>
              <w:jc w:val="center"/>
              <w:rPr>
                <w:rFonts w:cs="Arial"/>
                <w:b/>
                <w:bCs/>
                <w:sz w:val="18"/>
                <w:szCs w:val="18"/>
              </w:rPr>
            </w:pPr>
            <w:r w:rsidRPr="00013B39">
              <w:rPr>
                <w:rFonts w:cs="Arial"/>
                <w:b/>
                <w:bCs/>
                <w:sz w:val="18"/>
                <w:szCs w:val="18"/>
              </w:rPr>
              <w:t>Individuals</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C0FE7D3" w14:textId="77777777" w:rsidR="0043323F" w:rsidRPr="00013B39" w:rsidRDefault="0043323F" w:rsidP="00F8784B">
            <w:pPr>
              <w:keepNext/>
              <w:keepLines/>
              <w:spacing w:before="80" w:after="80"/>
              <w:jc w:val="center"/>
              <w:rPr>
                <w:rFonts w:cs="Arial"/>
                <w:b/>
                <w:bCs/>
                <w:sz w:val="18"/>
                <w:szCs w:val="18"/>
              </w:rPr>
            </w:pPr>
            <w:r w:rsidRPr="00013B39">
              <w:rPr>
                <w:rFonts w:cs="Arial"/>
                <w:b/>
                <w:bCs/>
                <w:sz w:val="18"/>
                <w:szCs w:val="18"/>
              </w:rPr>
              <w:t>Free Download</w:t>
            </w:r>
          </w:p>
        </w:tc>
      </w:tr>
      <w:tr w:rsidR="0043323F" w:rsidRPr="00013B39" w14:paraId="7417C9CA" w14:textId="77777777" w:rsidTr="004E3371">
        <w:trPr>
          <w:trHeight w:val="25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3DFD058C" w14:textId="77777777" w:rsidR="0043323F" w:rsidRPr="00013B39" w:rsidRDefault="0043323F" w:rsidP="00F8784B">
            <w:pPr>
              <w:keepNext/>
              <w:keepLines/>
              <w:spacing w:before="80" w:after="80"/>
              <w:jc w:val="center"/>
              <w:rPr>
                <w:rFonts w:cs="Arial"/>
                <w:sz w:val="18"/>
                <w:szCs w:val="18"/>
              </w:rPr>
            </w:pPr>
            <w:r w:rsidRPr="00013B39">
              <w:rPr>
                <w:rFonts w:cs="Arial"/>
                <w:sz w:val="18"/>
                <w:szCs w:val="18"/>
              </w:rPr>
              <w:t>2012</w:t>
            </w:r>
          </w:p>
        </w:tc>
        <w:tc>
          <w:tcPr>
            <w:tcW w:w="1417" w:type="dxa"/>
            <w:tcBorders>
              <w:top w:val="nil"/>
              <w:left w:val="nil"/>
              <w:bottom w:val="single" w:sz="4" w:space="0" w:color="auto"/>
              <w:right w:val="single" w:sz="4" w:space="0" w:color="auto"/>
            </w:tcBorders>
            <w:shd w:val="clear" w:color="auto" w:fill="auto"/>
            <w:noWrap/>
            <w:vAlign w:val="bottom"/>
            <w:hideMark/>
          </w:tcPr>
          <w:p w14:paraId="2ECAA8D9" w14:textId="77777777" w:rsidR="0043323F" w:rsidRPr="00013B39" w:rsidRDefault="0043323F" w:rsidP="00F8784B">
            <w:pPr>
              <w:keepNext/>
              <w:keepLines/>
              <w:spacing w:before="80" w:after="80"/>
              <w:jc w:val="center"/>
              <w:rPr>
                <w:rFonts w:cs="Arial"/>
                <w:sz w:val="18"/>
                <w:szCs w:val="18"/>
              </w:rPr>
            </w:pPr>
            <w:r>
              <w:rPr>
                <w:rFonts w:cs="Arial"/>
                <w:sz w:val="18"/>
                <w:szCs w:val="18"/>
              </w:rPr>
              <w:t>49</w:t>
            </w:r>
            <w:r w:rsidRPr="00013B39">
              <w:rPr>
                <w:rFonts w:cs="Arial"/>
                <w:sz w:val="18"/>
                <w:szCs w:val="18"/>
              </w:rPr>
              <w:t xml:space="preserve"> Months</w:t>
            </w:r>
          </w:p>
        </w:tc>
        <w:tc>
          <w:tcPr>
            <w:tcW w:w="1446" w:type="dxa"/>
            <w:tcBorders>
              <w:top w:val="nil"/>
              <w:left w:val="nil"/>
              <w:bottom w:val="single" w:sz="4" w:space="0" w:color="auto"/>
              <w:right w:val="single" w:sz="4" w:space="0" w:color="auto"/>
            </w:tcBorders>
            <w:shd w:val="clear" w:color="auto" w:fill="auto"/>
            <w:noWrap/>
            <w:vAlign w:val="bottom"/>
            <w:hideMark/>
          </w:tcPr>
          <w:p w14:paraId="2FBC5045" w14:textId="77777777" w:rsidR="0043323F" w:rsidRPr="00013B39" w:rsidRDefault="0043323F" w:rsidP="00F8784B">
            <w:pPr>
              <w:keepNext/>
              <w:keepLines/>
              <w:spacing w:before="80" w:after="80"/>
              <w:jc w:val="center"/>
              <w:rPr>
                <w:rFonts w:cs="Arial"/>
                <w:sz w:val="18"/>
                <w:szCs w:val="18"/>
              </w:rPr>
            </w:pPr>
            <w:r>
              <w:rPr>
                <w:rFonts w:cs="Arial"/>
                <w:sz w:val="18"/>
                <w:szCs w:val="18"/>
              </w:rPr>
              <w:t>14,775</w:t>
            </w:r>
          </w:p>
        </w:tc>
        <w:tc>
          <w:tcPr>
            <w:tcW w:w="1276" w:type="dxa"/>
            <w:tcBorders>
              <w:top w:val="nil"/>
              <w:left w:val="nil"/>
              <w:bottom w:val="single" w:sz="4" w:space="0" w:color="auto"/>
              <w:right w:val="single" w:sz="4" w:space="0" w:color="auto"/>
            </w:tcBorders>
            <w:shd w:val="clear" w:color="auto" w:fill="auto"/>
            <w:noWrap/>
            <w:vAlign w:val="bottom"/>
          </w:tcPr>
          <w:p w14:paraId="66602CD3" w14:textId="77777777" w:rsidR="0043323F" w:rsidRPr="00013B39" w:rsidRDefault="0043323F" w:rsidP="00F8784B">
            <w:pPr>
              <w:keepNext/>
              <w:keepLines/>
              <w:spacing w:before="80" w:after="80"/>
              <w:jc w:val="center"/>
              <w:rPr>
                <w:rFonts w:cs="Arial"/>
                <w:sz w:val="18"/>
                <w:szCs w:val="18"/>
              </w:rPr>
            </w:pPr>
            <w:r>
              <w:rPr>
                <w:rFonts w:cs="Arial"/>
                <w:sz w:val="18"/>
                <w:szCs w:val="18"/>
              </w:rPr>
              <w:t>13,695</w:t>
            </w:r>
          </w:p>
        </w:tc>
        <w:tc>
          <w:tcPr>
            <w:tcW w:w="1276" w:type="dxa"/>
            <w:tcBorders>
              <w:top w:val="nil"/>
              <w:left w:val="nil"/>
              <w:bottom w:val="single" w:sz="4" w:space="0" w:color="auto"/>
              <w:right w:val="single" w:sz="4" w:space="0" w:color="auto"/>
            </w:tcBorders>
            <w:shd w:val="clear" w:color="auto" w:fill="auto"/>
            <w:noWrap/>
            <w:vAlign w:val="bottom"/>
          </w:tcPr>
          <w:p w14:paraId="12A4789E" w14:textId="77777777" w:rsidR="0043323F" w:rsidRPr="00013B39" w:rsidRDefault="0043323F" w:rsidP="00F8784B">
            <w:pPr>
              <w:keepNext/>
              <w:keepLines/>
              <w:spacing w:before="80" w:after="80"/>
              <w:jc w:val="center"/>
              <w:rPr>
                <w:rFonts w:cs="Arial"/>
                <w:sz w:val="18"/>
                <w:szCs w:val="18"/>
              </w:rPr>
            </w:pPr>
            <w:r>
              <w:rPr>
                <w:rFonts w:cs="Arial"/>
                <w:sz w:val="18"/>
                <w:szCs w:val="18"/>
              </w:rPr>
              <w:t>1,080</w:t>
            </w:r>
          </w:p>
        </w:tc>
        <w:tc>
          <w:tcPr>
            <w:tcW w:w="2835" w:type="dxa"/>
            <w:tcBorders>
              <w:top w:val="nil"/>
              <w:left w:val="nil"/>
              <w:bottom w:val="single" w:sz="4" w:space="0" w:color="auto"/>
              <w:right w:val="single" w:sz="4" w:space="0" w:color="auto"/>
            </w:tcBorders>
            <w:shd w:val="clear" w:color="auto" w:fill="auto"/>
            <w:noWrap/>
            <w:vAlign w:val="bottom"/>
            <w:hideMark/>
          </w:tcPr>
          <w:p w14:paraId="4AB3F055" w14:textId="77777777" w:rsidR="0043323F" w:rsidRPr="00013B39" w:rsidRDefault="0043323F" w:rsidP="00F8784B">
            <w:pPr>
              <w:keepNext/>
              <w:keepLines/>
              <w:spacing w:before="80" w:after="80"/>
              <w:jc w:val="center"/>
              <w:rPr>
                <w:rFonts w:cs="Arial"/>
                <w:sz w:val="18"/>
                <w:szCs w:val="18"/>
              </w:rPr>
            </w:pPr>
            <w:r>
              <w:rPr>
                <w:rFonts w:cs="Arial"/>
                <w:sz w:val="18"/>
                <w:szCs w:val="18"/>
              </w:rPr>
              <w:t>+23,000</w:t>
            </w:r>
          </w:p>
        </w:tc>
      </w:tr>
      <w:tr w:rsidR="0043323F" w:rsidRPr="00013B39" w14:paraId="581F3741" w14:textId="77777777" w:rsidTr="004E3371">
        <w:trPr>
          <w:trHeight w:val="255"/>
        </w:trPr>
        <w:tc>
          <w:tcPr>
            <w:tcW w:w="998" w:type="dxa"/>
            <w:tcBorders>
              <w:top w:val="nil"/>
              <w:left w:val="single" w:sz="4" w:space="0" w:color="auto"/>
              <w:bottom w:val="single" w:sz="4" w:space="0" w:color="auto"/>
              <w:right w:val="single" w:sz="4" w:space="0" w:color="auto"/>
            </w:tcBorders>
            <w:shd w:val="clear" w:color="auto" w:fill="auto"/>
            <w:noWrap/>
            <w:vAlign w:val="bottom"/>
            <w:hideMark/>
          </w:tcPr>
          <w:p w14:paraId="4FA52D36" w14:textId="77777777" w:rsidR="0043323F" w:rsidRPr="00013B39" w:rsidRDefault="0043323F" w:rsidP="00F8784B">
            <w:pPr>
              <w:keepNext/>
              <w:keepLines/>
              <w:spacing w:before="80" w:after="80"/>
              <w:jc w:val="center"/>
              <w:rPr>
                <w:rFonts w:cs="Arial"/>
                <w:sz w:val="18"/>
                <w:szCs w:val="18"/>
              </w:rPr>
            </w:pPr>
            <w:r w:rsidRPr="00013B39">
              <w:rPr>
                <w:rFonts w:cs="Arial"/>
                <w:sz w:val="18"/>
                <w:szCs w:val="18"/>
              </w:rPr>
              <w:t>2008</w:t>
            </w:r>
          </w:p>
        </w:tc>
        <w:tc>
          <w:tcPr>
            <w:tcW w:w="1417" w:type="dxa"/>
            <w:tcBorders>
              <w:top w:val="nil"/>
              <w:left w:val="nil"/>
              <w:bottom w:val="single" w:sz="4" w:space="0" w:color="auto"/>
              <w:right w:val="single" w:sz="4" w:space="0" w:color="auto"/>
            </w:tcBorders>
            <w:shd w:val="clear" w:color="auto" w:fill="auto"/>
            <w:noWrap/>
            <w:vAlign w:val="bottom"/>
            <w:hideMark/>
          </w:tcPr>
          <w:p w14:paraId="0EC460F0" w14:textId="77777777" w:rsidR="0043323F" w:rsidRPr="00013B39" w:rsidRDefault="0043323F" w:rsidP="00F8784B">
            <w:pPr>
              <w:keepNext/>
              <w:keepLines/>
              <w:spacing w:before="80" w:after="80"/>
              <w:jc w:val="center"/>
              <w:rPr>
                <w:rFonts w:cs="Arial"/>
                <w:sz w:val="18"/>
                <w:szCs w:val="18"/>
              </w:rPr>
            </w:pPr>
            <w:r>
              <w:rPr>
                <w:rFonts w:cs="Arial"/>
                <w:sz w:val="18"/>
                <w:szCs w:val="18"/>
              </w:rPr>
              <w:t>49</w:t>
            </w:r>
            <w:r w:rsidRPr="00013B39">
              <w:rPr>
                <w:rFonts w:cs="Arial"/>
                <w:sz w:val="18"/>
                <w:szCs w:val="18"/>
              </w:rPr>
              <w:t xml:space="preserve"> Months</w:t>
            </w:r>
          </w:p>
        </w:tc>
        <w:tc>
          <w:tcPr>
            <w:tcW w:w="1446" w:type="dxa"/>
            <w:tcBorders>
              <w:top w:val="nil"/>
              <w:left w:val="nil"/>
              <w:bottom w:val="single" w:sz="4" w:space="0" w:color="auto"/>
              <w:right w:val="single" w:sz="4" w:space="0" w:color="auto"/>
            </w:tcBorders>
            <w:shd w:val="clear" w:color="auto" w:fill="auto"/>
            <w:noWrap/>
            <w:vAlign w:val="bottom"/>
            <w:hideMark/>
          </w:tcPr>
          <w:p w14:paraId="1EC79561" w14:textId="77777777" w:rsidR="0043323F" w:rsidRPr="00013B39" w:rsidRDefault="0043323F" w:rsidP="00F8784B">
            <w:pPr>
              <w:keepNext/>
              <w:keepLines/>
              <w:spacing w:before="80" w:after="80"/>
              <w:jc w:val="center"/>
              <w:rPr>
                <w:rFonts w:cs="Arial"/>
                <w:sz w:val="18"/>
                <w:szCs w:val="18"/>
              </w:rPr>
            </w:pPr>
            <w:r>
              <w:rPr>
                <w:rFonts w:cs="Arial"/>
                <w:sz w:val="18"/>
                <w:szCs w:val="18"/>
              </w:rPr>
              <w:t>15,191</w:t>
            </w:r>
          </w:p>
        </w:tc>
        <w:tc>
          <w:tcPr>
            <w:tcW w:w="1276" w:type="dxa"/>
            <w:tcBorders>
              <w:top w:val="nil"/>
              <w:left w:val="nil"/>
              <w:bottom w:val="single" w:sz="4" w:space="0" w:color="auto"/>
              <w:right w:val="single" w:sz="4" w:space="0" w:color="auto"/>
            </w:tcBorders>
            <w:shd w:val="clear" w:color="auto" w:fill="auto"/>
            <w:noWrap/>
            <w:vAlign w:val="bottom"/>
          </w:tcPr>
          <w:p w14:paraId="69BA7AEF" w14:textId="77777777" w:rsidR="0043323F" w:rsidRPr="00013B39" w:rsidRDefault="0043323F" w:rsidP="00F8784B">
            <w:pPr>
              <w:keepNext/>
              <w:keepLines/>
              <w:spacing w:before="80" w:after="80"/>
              <w:jc w:val="center"/>
              <w:rPr>
                <w:rFonts w:cs="Arial"/>
                <w:sz w:val="18"/>
                <w:szCs w:val="18"/>
              </w:rPr>
            </w:pPr>
            <w:r>
              <w:rPr>
                <w:rFonts w:cs="Arial"/>
                <w:sz w:val="18"/>
                <w:szCs w:val="18"/>
              </w:rPr>
              <w:t>11,475</w:t>
            </w:r>
          </w:p>
        </w:tc>
        <w:tc>
          <w:tcPr>
            <w:tcW w:w="1276" w:type="dxa"/>
            <w:tcBorders>
              <w:top w:val="nil"/>
              <w:left w:val="nil"/>
              <w:bottom w:val="single" w:sz="4" w:space="0" w:color="auto"/>
              <w:right w:val="single" w:sz="4" w:space="0" w:color="auto"/>
            </w:tcBorders>
            <w:shd w:val="clear" w:color="auto" w:fill="auto"/>
            <w:noWrap/>
            <w:vAlign w:val="bottom"/>
          </w:tcPr>
          <w:p w14:paraId="320B14B7" w14:textId="77777777" w:rsidR="0043323F" w:rsidRPr="00013B39" w:rsidRDefault="0043323F" w:rsidP="00F8784B">
            <w:pPr>
              <w:keepNext/>
              <w:keepLines/>
              <w:spacing w:before="80" w:after="80"/>
              <w:jc w:val="center"/>
              <w:rPr>
                <w:rFonts w:cs="Arial"/>
                <w:sz w:val="18"/>
                <w:szCs w:val="18"/>
              </w:rPr>
            </w:pPr>
            <w:r>
              <w:rPr>
                <w:rFonts w:cs="Arial"/>
                <w:sz w:val="18"/>
                <w:szCs w:val="18"/>
              </w:rPr>
              <w:t>3,716</w:t>
            </w:r>
          </w:p>
        </w:tc>
        <w:tc>
          <w:tcPr>
            <w:tcW w:w="2835" w:type="dxa"/>
            <w:tcBorders>
              <w:top w:val="nil"/>
              <w:left w:val="nil"/>
              <w:bottom w:val="single" w:sz="4" w:space="0" w:color="auto"/>
              <w:right w:val="single" w:sz="4" w:space="0" w:color="auto"/>
            </w:tcBorders>
            <w:shd w:val="clear" w:color="auto" w:fill="auto"/>
            <w:noWrap/>
            <w:vAlign w:val="bottom"/>
            <w:hideMark/>
          </w:tcPr>
          <w:p w14:paraId="6E268DEA" w14:textId="77777777" w:rsidR="0043323F" w:rsidRPr="00013B39" w:rsidRDefault="0043323F" w:rsidP="00F8784B">
            <w:pPr>
              <w:keepNext/>
              <w:keepLines/>
              <w:spacing w:before="80" w:after="80"/>
              <w:jc w:val="center"/>
              <w:rPr>
                <w:rFonts w:cs="Arial"/>
                <w:sz w:val="18"/>
                <w:szCs w:val="18"/>
              </w:rPr>
            </w:pPr>
            <w:r w:rsidRPr="00013B39">
              <w:rPr>
                <w:rFonts w:cs="Arial"/>
                <w:sz w:val="18"/>
                <w:szCs w:val="18"/>
              </w:rPr>
              <w:t>Not offered</w:t>
            </w:r>
          </w:p>
        </w:tc>
      </w:tr>
      <w:tr w:rsidR="0043323F" w:rsidRPr="00013B39" w14:paraId="45138899" w14:textId="77777777" w:rsidTr="004E3371">
        <w:trPr>
          <w:trHeight w:val="255"/>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78C29" w14:textId="77777777" w:rsidR="0043323F" w:rsidRPr="00013B39" w:rsidRDefault="0043323F" w:rsidP="00F8784B">
            <w:pPr>
              <w:keepNext/>
              <w:keepLines/>
              <w:spacing w:before="80" w:after="80"/>
              <w:jc w:val="center"/>
              <w:rPr>
                <w:rFonts w:cs="Arial"/>
                <w:sz w:val="18"/>
                <w:szCs w:val="18"/>
              </w:rPr>
            </w:pPr>
            <w:r w:rsidRPr="00013B39">
              <w:rPr>
                <w:rFonts w:cs="Arial"/>
                <w:sz w:val="18"/>
                <w:szCs w:val="18"/>
              </w:rPr>
              <w:t>Variance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0E8C8AE" w14:textId="77777777" w:rsidR="0043323F" w:rsidRPr="00013B39" w:rsidRDefault="0043323F" w:rsidP="00F8784B">
            <w:pPr>
              <w:keepNext/>
              <w:keepLines/>
              <w:spacing w:before="80" w:after="80"/>
              <w:jc w:val="center"/>
              <w:rPr>
                <w:rFonts w:cs="Arial"/>
                <w:sz w:val="18"/>
                <w:szCs w:val="18"/>
              </w:rPr>
            </w:pPr>
            <w:r w:rsidRPr="00013B39">
              <w:rPr>
                <w:rFonts w:cs="Arial"/>
                <w:sz w:val="18"/>
                <w:szCs w:val="18"/>
              </w:rPr>
              <w:t>-</w:t>
            </w:r>
          </w:p>
        </w:tc>
        <w:tc>
          <w:tcPr>
            <w:tcW w:w="1446" w:type="dxa"/>
            <w:tcBorders>
              <w:top w:val="single" w:sz="4" w:space="0" w:color="auto"/>
              <w:left w:val="nil"/>
              <w:bottom w:val="single" w:sz="4" w:space="0" w:color="auto"/>
              <w:right w:val="single" w:sz="4" w:space="0" w:color="auto"/>
            </w:tcBorders>
            <w:shd w:val="clear" w:color="auto" w:fill="auto"/>
            <w:noWrap/>
            <w:vAlign w:val="bottom"/>
          </w:tcPr>
          <w:p w14:paraId="4D676F23" w14:textId="77777777" w:rsidR="0043323F" w:rsidRPr="00013B39" w:rsidRDefault="0043323F" w:rsidP="00F8784B">
            <w:pPr>
              <w:keepNext/>
              <w:keepLines/>
              <w:spacing w:before="80" w:after="80"/>
              <w:jc w:val="center"/>
              <w:rPr>
                <w:rFonts w:cs="Arial"/>
                <w:sz w:val="18"/>
                <w:szCs w:val="18"/>
              </w:rPr>
            </w:pPr>
            <w:r>
              <w:rPr>
                <w:rFonts w:cs="Arial"/>
                <w:sz w:val="18"/>
                <w:szCs w:val="18"/>
              </w:rPr>
              <w:t>(416)</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41F66D6" w14:textId="77777777" w:rsidR="0043323F" w:rsidRPr="00013B39" w:rsidRDefault="0043323F" w:rsidP="00F8784B">
            <w:pPr>
              <w:keepNext/>
              <w:keepLines/>
              <w:spacing w:before="80" w:after="80"/>
              <w:jc w:val="center"/>
              <w:rPr>
                <w:rFonts w:cs="Arial"/>
                <w:sz w:val="18"/>
                <w:szCs w:val="18"/>
              </w:rPr>
            </w:pPr>
            <w:r>
              <w:rPr>
                <w:rFonts w:cs="Arial"/>
                <w:sz w:val="18"/>
                <w:szCs w:val="18"/>
              </w:rPr>
              <w:t>2,220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3B8E069" w14:textId="77777777" w:rsidR="0043323F" w:rsidRPr="00013B39" w:rsidRDefault="0043323F" w:rsidP="00F8784B">
            <w:pPr>
              <w:keepNext/>
              <w:keepLines/>
              <w:spacing w:before="80" w:after="80"/>
              <w:jc w:val="center"/>
              <w:rPr>
                <w:rFonts w:cs="Arial"/>
                <w:sz w:val="18"/>
                <w:szCs w:val="18"/>
              </w:rPr>
            </w:pPr>
            <w:r>
              <w:rPr>
                <w:rFonts w:cs="Arial"/>
                <w:sz w:val="18"/>
                <w:szCs w:val="18"/>
              </w:rPr>
              <w:t>(2,636)</w:t>
            </w:r>
          </w:p>
        </w:tc>
        <w:tc>
          <w:tcPr>
            <w:tcW w:w="2835" w:type="dxa"/>
            <w:tcBorders>
              <w:top w:val="single" w:sz="4" w:space="0" w:color="auto"/>
              <w:left w:val="nil"/>
              <w:bottom w:val="single" w:sz="4" w:space="0" w:color="auto"/>
              <w:right w:val="single" w:sz="4" w:space="0" w:color="auto"/>
            </w:tcBorders>
            <w:shd w:val="clear" w:color="auto" w:fill="7F7F7F" w:themeFill="text1" w:themeFillTint="80"/>
            <w:noWrap/>
            <w:vAlign w:val="bottom"/>
          </w:tcPr>
          <w:p w14:paraId="3685C641" w14:textId="77777777" w:rsidR="0043323F" w:rsidRPr="00013B39" w:rsidRDefault="0043323F" w:rsidP="00F8784B">
            <w:pPr>
              <w:keepNext/>
              <w:keepLines/>
              <w:spacing w:before="80" w:after="80"/>
              <w:jc w:val="center"/>
              <w:rPr>
                <w:rFonts w:cs="Arial"/>
                <w:sz w:val="18"/>
                <w:szCs w:val="18"/>
              </w:rPr>
            </w:pPr>
          </w:p>
        </w:tc>
      </w:tr>
    </w:tbl>
    <w:p w14:paraId="196C3F62" w14:textId="5E6D3B98" w:rsidR="0043323F" w:rsidRPr="00B44823" w:rsidRDefault="0043323F" w:rsidP="003733E8">
      <w:pPr>
        <w:keepNext/>
        <w:keepLines/>
        <w:tabs>
          <w:tab w:val="clear" w:pos="567"/>
          <w:tab w:val="clear" w:pos="1134"/>
          <w:tab w:val="clear" w:pos="1701"/>
          <w:tab w:val="clear" w:pos="2268"/>
          <w:tab w:val="clear" w:pos="2835"/>
        </w:tabs>
        <w:snapToGrid w:val="0"/>
        <w:spacing w:before="360" w:after="120"/>
        <w:jc w:val="both"/>
        <w:rPr>
          <w:rFonts w:asciiTheme="minorHAnsi" w:hAnsiTheme="minorHAnsi" w:cs="Arial"/>
          <w:szCs w:val="24"/>
          <w:lang w:val="en-US"/>
        </w:rPr>
      </w:pPr>
      <w:r w:rsidRPr="00B44823">
        <w:rPr>
          <w:rFonts w:asciiTheme="minorHAnsi" w:hAnsiTheme="minorHAnsi" w:cs="Arial"/>
          <w:szCs w:val="24"/>
          <w:lang w:val="en-US"/>
        </w:rPr>
        <w:t>Following the introduction of free online access to Radio Regulations, total sales for the 2012 edition decreased slightly compared to sales of the 2008 edition by 3%, representing a redu</w:t>
      </w:r>
      <w:r w:rsidR="002206C7">
        <w:rPr>
          <w:rFonts w:asciiTheme="minorHAnsi" w:hAnsiTheme="minorHAnsi" w:cs="Arial"/>
          <w:szCs w:val="24"/>
          <w:lang w:val="en-US"/>
        </w:rPr>
        <w:t>ction in sales income of CHF 132</w:t>
      </w:r>
      <w:r w:rsidRPr="00B44823">
        <w:rPr>
          <w:rFonts w:asciiTheme="minorHAnsi" w:hAnsiTheme="minorHAnsi" w:cs="Arial"/>
          <w:szCs w:val="24"/>
          <w:lang w:val="en-US"/>
        </w:rPr>
        <w:t xml:space="preserve">,000. Sales of the 2012 edition (DVD </w:t>
      </w:r>
      <w:r w:rsidR="003733E8">
        <w:rPr>
          <w:rFonts w:asciiTheme="minorHAnsi" w:hAnsiTheme="minorHAnsi" w:cs="Arial"/>
          <w:szCs w:val="24"/>
          <w:lang w:val="en-US"/>
        </w:rPr>
        <w:t>or paper boxed set) to r</w:t>
      </w:r>
      <w:r w:rsidRPr="00B44823">
        <w:rPr>
          <w:rFonts w:asciiTheme="minorHAnsi" w:hAnsiTheme="minorHAnsi" w:cs="Arial"/>
          <w:szCs w:val="24"/>
          <w:lang w:val="en-US"/>
        </w:rPr>
        <w:t>esellers actually increased by 2,220 copies compared t</w:t>
      </w:r>
      <w:r w:rsidR="003733E8">
        <w:rPr>
          <w:rFonts w:asciiTheme="minorHAnsi" w:hAnsiTheme="minorHAnsi" w:cs="Arial"/>
          <w:szCs w:val="24"/>
          <w:lang w:val="en-US"/>
        </w:rPr>
        <w:t>o 2008’s edition. Sales to non-r</w:t>
      </w:r>
      <w:r w:rsidRPr="00B44823">
        <w:rPr>
          <w:rFonts w:asciiTheme="minorHAnsi" w:hAnsiTheme="minorHAnsi" w:cs="Arial"/>
          <w:szCs w:val="24"/>
          <w:lang w:val="en-US"/>
        </w:rPr>
        <w:t xml:space="preserve">esellers (including individuals), however, dropped by over 2,600 copies. </w:t>
      </w:r>
    </w:p>
    <w:p w14:paraId="68C8585C" w14:textId="77777777" w:rsidR="0043323F" w:rsidRPr="004B0A5E" w:rsidRDefault="0043323F" w:rsidP="003733E8">
      <w:pPr>
        <w:jc w:val="both"/>
        <w:rPr>
          <w:rFonts w:asciiTheme="minorHAnsi" w:hAnsiTheme="minorHAnsi"/>
          <w:szCs w:val="24"/>
        </w:rPr>
      </w:pPr>
      <w:r w:rsidRPr="00B44823">
        <w:rPr>
          <w:rFonts w:asciiTheme="minorHAnsi" w:hAnsiTheme="minorHAnsi" w:cs="Arial"/>
          <w:szCs w:val="24"/>
          <w:lang w:val="en-US"/>
        </w:rPr>
        <w:t>Since the introduction of free online access in 2012, over 23,000 free downloads have taken place. Information on free downloads by country can be found at</w:t>
      </w:r>
      <w:r w:rsidR="003733E8">
        <w:rPr>
          <w:rFonts w:asciiTheme="minorHAnsi" w:hAnsiTheme="minorHAnsi" w:cs="Arial"/>
          <w:szCs w:val="24"/>
          <w:lang w:val="en-US"/>
        </w:rPr>
        <w:t>:</w:t>
      </w:r>
      <w:r w:rsidRPr="00B44823">
        <w:rPr>
          <w:rFonts w:asciiTheme="minorHAnsi" w:hAnsiTheme="minorHAnsi" w:cs="Arial"/>
          <w:szCs w:val="24"/>
          <w:lang w:val="en-US"/>
        </w:rPr>
        <w:t xml:space="preserve"> </w:t>
      </w:r>
      <w:r w:rsidR="004B0A5E">
        <w:rPr>
          <w:rFonts w:asciiTheme="minorHAnsi" w:hAnsiTheme="minorHAnsi" w:cs="Arial"/>
          <w:szCs w:val="24"/>
          <w:lang w:val="en-US"/>
        </w:rPr>
        <w:br/>
      </w:r>
      <w:hyperlink r:id="rId22" w:history="1">
        <w:r w:rsidR="004B0A5E" w:rsidRPr="006A328C">
          <w:rPr>
            <w:rStyle w:val="Hyperlink"/>
          </w:rPr>
          <w:t>http://www.itu.int/en/council/Documents/2017/rr-sales-2016.docx</w:t>
        </w:r>
      </w:hyperlink>
      <w:r w:rsidR="003733E8">
        <w:rPr>
          <w:rStyle w:val="Hyperlink"/>
        </w:rPr>
        <w:t>.</w:t>
      </w:r>
    </w:p>
    <w:p w14:paraId="68F29F61" w14:textId="77777777" w:rsidR="00B44823" w:rsidRPr="004B0A5E" w:rsidRDefault="00B44823" w:rsidP="00B44823">
      <w:pPr>
        <w:tabs>
          <w:tab w:val="clear" w:pos="567"/>
          <w:tab w:val="clear" w:pos="1134"/>
          <w:tab w:val="clear" w:pos="1701"/>
          <w:tab w:val="clear" w:pos="2268"/>
          <w:tab w:val="clear" w:pos="2835"/>
        </w:tabs>
        <w:snapToGrid w:val="0"/>
        <w:spacing w:before="840"/>
        <w:jc w:val="center"/>
        <w:rPr>
          <w:szCs w:val="24"/>
          <w:lang w:val="en-US"/>
        </w:rPr>
      </w:pPr>
      <w:r w:rsidRPr="004B0A5E">
        <w:rPr>
          <w:szCs w:val="24"/>
          <w:lang w:val="en-US"/>
        </w:rPr>
        <w:t>__________________</w:t>
      </w:r>
    </w:p>
    <w:sectPr w:rsidR="00B44823" w:rsidRPr="004B0A5E" w:rsidSect="004D1851">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41A64" w14:textId="77777777" w:rsidR="005E4ECC" w:rsidRDefault="005E4ECC">
      <w:r>
        <w:separator/>
      </w:r>
    </w:p>
  </w:endnote>
  <w:endnote w:type="continuationSeparator" w:id="0">
    <w:p w14:paraId="59F605D8" w14:textId="77777777" w:rsidR="005E4ECC" w:rsidRDefault="005E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88DB" w14:textId="73494566" w:rsidR="00CB18FF" w:rsidRPr="00D6687D" w:rsidRDefault="003E37B7">
    <w:pPr>
      <w:pStyle w:val="Footer"/>
      <w:rPr>
        <w:color w:val="D9D9D9" w:themeColor="background1" w:themeShade="D9"/>
      </w:rPr>
    </w:pPr>
    <w:r w:rsidRPr="00D6687D">
      <w:rPr>
        <w:color w:val="D9D9D9" w:themeColor="background1" w:themeShade="D9"/>
      </w:rPr>
      <w:fldChar w:fldCharType="begin"/>
    </w:r>
    <w:r w:rsidRPr="00D6687D">
      <w:rPr>
        <w:color w:val="D9D9D9" w:themeColor="background1" w:themeShade="D9"/>
      </w:rPr>
      <w:instrText xml:space="preserve"> FILENAME \p  \* MERGEFORMAT </w:instrText>
    </w:r>
    <w:r w:rsidRPr="00D6687D">
      <w:rPr>
        <w:color w:val="D9D9D9" w:themeColor="background1" w:themeShade="D9"/>
      </w:rPr>
      <w:fldChar w:fldCharType="separate"/>
    </w:r>
    <w:r w:rsidR="004747C4">
      <w:rPr>
        <w:color w:val="D9D9D9" w:themeColor="background1" w:themeShade="D9"/>
      </w:rPr>
      <w:t>C:\Users\zaidi\Documents\COUNCIL 2017 Document Sales+Free online Access .docx</w:t>
    </w:r>
    <w:r w:rsidRPr="00D6687D">
      <w:rPr>
        <w:color w:val="D9D9D9" w:themeColor="background1" w:themeShade="D9"/>
      </w:rPr>
      <w:fldChar w:fldCharType="end"/>
    </w:r>
    <w:r w:rsidR="00CB18FF" w:rsidRPr="00D6687D">
      <w:rPr>
        <w:color w:val="D9D9D9" w:themeColor="background1" w:themeShade="D9"/>
      </w:rPr>
      <w:tab/>
    </w:r>
    <w:r w:rsidR="00864AFF" w:rsidRPr="00D6687D">
      <w:rPr>
        <w:color w:val="D9D9D9" w:themeColor="background1" w:themeShade="D9"/>
      </w:rPr>
      <w:fldChar w:fldCharType="begin"/>
    </w:r>
    <w:r w:rsidR="00CB18FF" w:rsidRPr="00D6687D">
      <w:rPr>
        <w:color w:val="D9D9D9" w:themeColor="background1" w:themeShade="D9"/>
      </w:rPr>
      <w:instrText xml:space="preserve"> SAVEDATE \@ DD.MM.YY </w:instrText>
    </w:r>
    <w:r w:rsidR="00864AFF" w:rsidRPr="00D6687D">
      <w:rPr>
        <w:color w:val="D9D9D9" w:themeColor="background1" w:themeShade="D9"/>
      </w:rPr>
      <w:fldChar w:fldCharType="separate"/>
    </w:r>
    <w:r w:rsidR="005A1C39">
      <w:rPr>
        <w:color w:val="D9D9D9" w:themeColor="background1" w:themeShade="D9"/>
      </w:rPr>
      <w:t>15.03.17</w:t>
    </w:r>
    <w:r w:rsidR="00864AFF" w:rsidRPr="00D6687D">
      <w:rPr>
        <w:color w:val="D9D9D9" w:themeColor="background1" w:themeShade="D9"/>
      </w:rPr>
      <w:fldChar w:fldCharType="end"/>
    </w:r>
    <w:r w:rsidR="00CB18FF" w:rsidRPr="00D6687D">
      <w:rPr>
        <w:color w:val="D9D9D9" w:themeColor="background1" w:themeShade="D9"/>
      </w:rPr>
      <w:tab/>
    </w:r>
    <w:r w:rsidR="00864AFF" w:rsidRPr="00D6687D">
      <w:rPr>
        <w:color w:val="D9D9D9" w:themeColor="background1" w:themeShade="D9"/>
      </w:rPr>
      <w:fldChar w:fldCharType="begin"/>
    </w:r>
    <w:r w:rsidR="00CB18FF" w:rsidRPr="00D6687D">
      <w:rPr>
        <w:color w:val="D9D9D9" w:themeColor="background1" w:themeShade="D9"/>
      </w:rPr>
      <w:instrText xml:space="preserve"> PRINTDATE \@ DD.MM.YY </w:instrText>
    </w:r>
    <w:r w:rsidR="00864AFF" w:rsidRPr="00D6687D">
      <w:rPr>
        <w:color w:val="D9D9D9" w:themeColor="background1" w:themeShade="D9"/>
      </w:rPr>
      <w:fldChar w:fldCharType="separate"/>
    </w:r>
    <w:r w:rsidR="004747C4">
      <w:rPr>
        <w:color w:val="D9D9D9" w:themeColor="background1" w:themeShade="D9"/>
      </w:rPr>
      <w:t>14.03.17</w:t>
    </w:r>
    <w:r w:rsidR="00864AFF" w:rsidRPr="00D6687D">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05CE" w14:textId="77777777" w:rsidR="00322D0D" w:rsidRDefault="00322D0D">
    <w:pPr>
      <w:spacing w:after="120"/>
      <w:jc w:val="center"/>
    </w:pPr>
    <w:r>
      <w:t xml:space="preserve">• </w:t>
    </w:r>
    <w:hyperlink r:id="rId1" w:history="1">
      <w:r>
        <w:rPr>
          <w:rStyle w:val="Hyperlink"/>
        </w:rPr>
        <w:t>http://www.itu.int/council</w:t>
      </w:r>
    </w:hyperlink>
    <w:r>
      <w:t xml:space="preserve"> •</w:t>
    </w:r>
  </w:p>
  <w:p w14:paraId="353AAE8A" w14:textId="5CF857EF" w:rsidR="00322D0D" w:rsidRPr="00F8784B" w:rsidRDefault="003E37B7">
    <w:pPr>
      <w:pStyle w:val="Footer"/>
      <w:rPr>
        <w:color w:val="D9D9D9" w:themeColor="background1" w:themeShade="D9"/>
      </w:rPr>
    </w:pPr>
    <w:r w:rsidRPr="00F8784B">
      <w:rPr>
        <w:color w:val="D9D9D9" w:themeColor="background1" w:themeShade="D9"/>
      </w:rPr>
      <w:fldChar w:fldCharType="begin"/>
    </w:r>
    <w:r w:rsidRPr="00F8784B">
      <w:rPr>
        <w:color w:val="D9D9D9" w:themeColor="background1" w:themeShade="D9"/>
      </w:rPr>
      <w:instrText xml:space="preserve"> FILENAME \p  \* MERGEFORMAT </w:instrText>
    </w:r>
    <w:r w:rsidRPr="00F8784B">
      <w:rPr>
        <w:color w:val="D9D9D9" w:themeColor="background1" w:themeShade="D9"/>
      </w:rPr>
      <w:fldChar w:fldCharType="separate"/>
    </w:r>
    <w:r w:rsidR="004747C4">
      <w:rPr>
        <w:color w:val="D9D9D9" w:themeColor="background1" w:themeShade="D9"/>
      </w:rPr>
      <w:t>C:\Users\zaidi\Documents\COUNCIL 2017 Document Sales+Free online Access .docx</w:t>
    </w:r>
    <w:r w:rsidRPr="00F8784B">
      <w:rPr>
        <w:color w:val="D9D9D9" w:themeColor="background1" w:themeShade="D9"/>
      </w:rPr>
      <w:fldChar w:fldCharType="end"/>
    </w:r>
    <w:r w:rsidR="00322D0D" w:rsidRPr="00F8784B">
      <w:rPr>
        <w:color w:val="D9D9D9" w:themeColor="background1" w:themeShade="D9"/>
      </w:rPr>
      <w:tab/>
    </w:r>
    <w:r w:rsidR="00864AFF" w:rsidRPr="00F8784B">
      <w:rPr>
        <w:color w:val="D9D9D9" w:themeColor="background1" w:themeShade="D9"/>
      </w:rPr>
      <w:fldChar w:fldCharType="begin"/>
    </w:r>
    <w:r w:rsidR="00322D0D" w:rsidRPr="00F8784B">
      <w:rPr>
        <w:color w:val="D9D9D9" w:themeColor="background1" w:themeShade="D9"/>
      </w:rPr>
      <w:instrText xml:space="preserve"> SAVEDATE \@ DD.MM.YY </w:instrText>
    </w:r>
    <w:r w:rsidR="00864AFF" w:rsidRPr="00F8784B">
      <w:rPr>
        <w:color w:val="D9D9D9" w:themeColor="background1" w:themeShade="D9"/>
      </w:rPr>
      <w:fldChar w:fldCharType="separate"/>
    </w:r>
    <w:r w:rsidR="005A1C39">
      <w:rPr>
        <w:color w:val="D9D9D9" w:themeColor="background1" w:themeShade="D9"/>
      </w:rPr>
      <w:t>15.03.17</w:t>
    </w:r>
    <w:r w:rsidR="00864AFF" w:rsidRPr="00F8784B">
      <w:rPr>
        <w:color w:val="D9D9D9" w:themeColor="background1" w:themeShade="D9"/>
      </w:rPr>
      <w:fldChar w:fldCharType="end"/>
    </w:r>
    <w:r w:rsidR="00322D0D" w:rsidRPr="00F8784B">
      <w:rPr>
        <w:color w:val="D9D9D9" w:themeColor="background1" w:themeShade="D9"/>
      </w:rPr>
      <w:tab/>
    </w:r>
    <w:r w:rsidR="00864AFF" w:rsidRPr="00F8784B">
      <w:rPr>
        <w:color w:val="D9D9D9" w:themeColor="background1" w:themeShade="D9"/>
      </w:rPr>
      <w:fldChar w:fldCharType="begin"/>
    </w:r>
    <w:r w:rsidR="00322D0D" w:rsidRPr="00F8784B">
      <w:rPr>
        <w:color w:val="D9D9D9" w:themeColor="background1" w:themeShade="D9"/>
      </w:rPr>
      <w:instrText xml:space="preserve"> PRINTDATE \@ DD.MM.YY </w:instrText>
    </w:r>
    <w:r w:rsidR="00864AFF" w:rsidRPr="00F8784B">
      <w:rPr>
        <w:color w:val="D9D9D9" w:themeColor="background1" w:themeShade="D9"/>
      </w:rPr>
      <w:fldChar w:fldCharType="separate"/>
    </w:r>
    <w:r w:rsidR="004747C4">
      <w:rPr>
        <w:color w:val="D9D9D9" w:themeColor="background1" w:themeShade="D9"/>
      </w:rPr>
      <w:t>14.03.17</w:t>
    </w:r>
    <w:r w:rsidR="00864AFF" w:rsidRPr="00F8784B">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7FD07" w14:textId="77777777" w:rsidR="005E4ECC" w:rsidRDefault="005E4ECC">
      <w:r>
        <w:t>____________________</w:t>
      </w:r>
    </w:p>
  </w:footnote>
  <w:footnote w:type="continuationSeparator" w:id="0">
    <w:p w14:paraId="74D80610" w14:textId="77777777" w:rsidR="005E4ECC" w:rsidRDefault="005E4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EF092" w14:textId="77777777" w:rsidR="00322D0D" w:rsidRDefault="006535F1" w:rsidP="00CE433C">
    <w:pPr>
      <w:pStyle w:val="Header"/>
    </w:pPr>
    <w:r>
      <w:fldChar w:fldCharType="begin"/>
    </w:r>
    <w:r>
      <w:instrText>PAGE</w:instrText>
    </w:r>
    <w:r>
      <w:fldChar w:fldCharType="separate"/>
    </w:r>
    <w:r w:rsidR="005A1C39">
      <w:rPr>
        <w:noProof/>
      </w:rPr>
      <w:t>5</w:t>
    </w:r>
    <w:r>
      <w:rPr>
        <w:noProof/>
      </w:rPr>
      <w:fldChar w:fldCharType="end"/>
    </w:r>
  </w:p>
  <w:p w14:paraId="0C1FF85E" w14:textId="77777777" w:rsidR="00322D0D" w:rsidRDefault="0043323F" w:rsidP="005243FF">
    <w:pPr>
      <w:pStyle w:val="Header"/>
    </w:pPr>
    <w:r>
      <w:t>C17/21-E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7783579"/>
    <w:multiLevelType w:val="hybridMultilevel"/>
    <w:tmpl w:val="A51C9874"/>
    <w:lvl w:ilvl="0" w:tplc="0C264EBA">
      <w:start w:val="1"/>
      <w:numFmt w:val="lowerLetter"/>
      <w:lvlText w:val="%1."/>
      <w:lvlJc w:val="left"/>
      <w:pPr>
        <w:ind w:left="1069" w:hanging="360"/>
      </w:pPr>
      <w:rPr>
        <w:rFonts w:ascii="Calibri" w:eastAsia="Times New Roman" w:hAnsi="Calibri" w:cs="Times New Roman"/>
        <w:b/>
        <w:bCs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3F"/>
    <w:rsid w:val="000210D4"/>
    <w:rsid w:val="00063016"/>
    <w:rsid w:val="00066795"/>
    <w:rsid w:val="00076AF6"/>
    <w:rsid w:val="00085CF2"/>
    <w:rsid w:val="000B1705"/>
    <w:rsid w:val="000C2D0E"/>
    <w:rsid w:val="000D75B2"/>
    <w:rsid w:val="001121F5"/>
    <w:rsid w:val="001400DC"/>
    <w:rsid w:val="00140CE1"/>
    <w:rsid w:val="0017539C"/>
    <w:rsid w:val="00175AC2"/>
    <w:rsid w:val="0017609F"/>
    <w:rsid w:val="001A5DD2"/>
    <w:rsid w:val="001C628E"/>
    <w:rsid w:val="001D09FC"/>
    <w:rsid w:val="001E0F7B"/>
    <w:rsid w:val="00202FD4"/>
    <w:rsid w:val="002119FD"/>
    <w:rsid w:val="002130E0"/>
    <w:rsid w:val="002206C7"/>
    <w:rsid w:val="00264425"/>
    <w:rsid w:val="00265875"/>
    <w:rsid w:val="0027303B"/>
    <w:rsid w:val="0028109B"/>
    <w:rsid w:val="002B1F58"/>
    <w:rsid w:val="002C1C7A"/>
    <w:rsid w:val="002F2D07"/>
    <w:rsid w:val="0030160F"/>
    <w:rsid w:val="00322D0D"/>
    <w:rsid w:val="00325464"/>
    <w:rsid w:val="00346E56"/>
    <w:rsid w:val="003733E8"/>
    <w:rsid w:val="003942D4"/>
    <w:rsid w:val="003958A8"/>
    <w:rsid w:val="003C2533"/>
    <w:rsid w:val="003E37B7"/>
    <w:rsid w:val="0040435A"/>
    <w:rsid w:val="00416A24"/>
    <w:rsid w:val="00431D9E"/>
    <w:rsid w:val="0043323F"/>
    <w:rsid w:val="00433CE8"/>
    <w:rsid w:val="00434A5C"/>
    <w:rsid w:val="004544D9"/>
    <w:rsid w:val="004747C4"/>
    <w:rsid w:val="00490E72"/>
    <w:rsid w:val="00491157"/>
    <w:rsid w:val="004921C8"/>
    <w:rsid w:val="004B0A5E"/>
    <w:rsid w:val="004D1851"/>
    <w:rsid w:val="004D599D"/>
    <w:rsid w:val="004E2EA5"/>
    <w:rsid w:val="004E3AEB"/>
    <w:rsid w:val="0050223C"/>
    <w:rsid w:val="005243FF"/>
    <w:rsid w:val="00564FBC"/>
    <w:rsid w:val="00582442"/>
    <w:rsid w:val="005A1C39"/>
    <w:rsid w:val="005E4ECC"/>
    <w:rsid w:val="005F0015"/>
    <w:rsid w:val="0064737F"/>
    <w:rsid w:val="006535F1"/>
    <w:rsid w:val="0065557D"/>
    <w:rsid w:val="00662984"/>
    <w:rsid w:val="006716BB"/>
    <w:rsid w:val="006B6680"/>
    <w:rsid w:val="006B6DCC"/>
    <w:rsid w:val="006F329D"/>
    <w:rsid w:val="00702DEF"/>
    <w:rsid w:val="00706861"/>
    <w:rsid w:val="0075051B"/>
    <w:rsid w:val="00794D34"/>
    <w:rsid w:val="00813E5E"/>
    <w:rsid w:val="0083581B"/>
    <w:rsid w:val="0085675A"/>
    <w:rsid w:val="00864AFF"/>
    <w:rsid w:val="008B4A6A"/>
    <w:rsid w:val="008C7E27"/>
    <w:rsid w:val="009173EF"/>
    <w:rsid w:val="00932906"/>
    <w:rsid w:val="00961B0B"/>
    <w:rsid w:val="009B38C3"/>
    <w:rsid w:val="009B4147"/>
    <w:rsid w:val="009E17BD"/>
    <w:rsid w:val="00A04CEC"/>
    <w:rsid w:val="00A175C2"/>
    <w:rsid w:val="00A27F92"/>
    <w:rsid w:val="00A32257"/>
    <w:rsid w:val="00A34178"/>
    <w:rsid w:val="00A36D20"/>
    <w:rsid w:val="00A55622"/>
    <w:rsid w:val="00A83502"/>
    <w:rsid w:val="00A9639F"/>
    <w:rsid w:val="00AC129F"/>
    <w:rsid w:val="00AD15B3"/>
    <w:rsid w:val="00AF6E49"/>
    <w:rsid w:val="00B04A67"/>
    <w:rsid w:val="00B0583C"/>
    <w:rsid w:val="00B40A81"/>
    <w:rsid w:val="00B44823"/>
    <w:rsid w:val="00B44910"/>
    <w:rsid w:val="00B72267"/>
    <w:rsid w:val="00B76EB6"/>
    <w:rsid w:val="00B7737B"/>
    <w:rsid w:val="00B824C8"/>
    <w:rsid w:val="00BC251A"/>
    <w:rsid w:val="00BD032B"/>
    <w:rsid w:val="00BE2640"/>
    <w:rsid w:val="00C01189"/>
    <w:rsid w:val="00C33337"/>
    <w:rsid w:val="00C374DE"/>
    <w:rsid w:val="00C47AD4"/>
    <w:rsid w:val="00C52D81"/>
    <w:rsid w:val="00C55198"/>
    <w:rsid w:val="00CA6393"/>
    <w:rsid w:val="00CB18FF"/>
    <w:rsid w:val="00CB3052"/>
    <w:rsid w:val="00CD0C08"/>
    <w:rsid w:val="00CE03FB"/>
    <w:rsid w:val="00CE433C"/>
    <w:rsid w:val="00CF33F3"/>
    <w:rsid w:val="00D06183"/>
    <w:rsid w:val="00D22C42"/>
    <w:rsid w:val="00D54F7B"/>
    <w:rsid w:val="00D65041"/>
    <w:rsid w:val="00D6687D"/>
    <w:rsid w:val="00DB384B"/>
    <w:rsid w:val="00E10E80"/>
    <w:rsid w:val="00E124F0"/>
    <w:rsid w:val="00E60F04"/>
    <w:rsid w:val="00E854E4"/>
    <w:rsid w:val="00EB0D6F"/>
    <w:rsid w:val="00EB2232"/>
    <w:rsid w:val="00EC5337"/>
    <w:rsid w:val="00EC71FB"/>
    <w:rsid w:val="00F2150A"/>
    <w:rsid w:val="00F231D8"/>
    <w:rsid w:val="00F46C5F"/>
    <w:rsid w:val="00F8784B"/>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D25BA0"/>
  <w15:docId w15:val="{2AE812C0-AB66-4232-88A9-21612BF2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43323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43323F"/>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paragraph" w:styleId="BalloonText">
    <w:name w:val="Balloon Text"/>
    <w:basedOn w:val="Normal"/>
    <w:link w:val="BalloonTextChar"/>
    <w:semiHidden/>
    <w:unhideWhenUsed/>
    <w:rsid w:val="000C2D0E"/>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0C2D0E"/>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8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Basic-Texts/ResDecRec-PP10-e.doc" TargetMode="Externa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tu.int/en/council/Documents/2017/country-sales-2016.docx" TargetMode="External"/><Relationship Id="rId7" Type="http://schemas.openxmlformats.org/officeDocument/2006/relationships/settings" Target="settings.xml"/><Relationship Id="rId12" Type="http://schemas.openxmlformats.org/officeDocument/2006/relationships/hyperlink" Target="https://www.itu.int/md/S17-CL-INF-0004/en" TargetMode="External"/><Relationship Id="rId17" Type="http://schemas.openxmlformats.org/officeDocument/2006/relationships/hyperlink" Target="https://www.itu.int/md/S17-CL-INF-0004/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S13-CL-C-0093/en"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tu.int/md/S12-CL-C-0103/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17-CL-INF-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S-CONF-ACTF-2014" TargetMode="External"/><Relationship Id="rId22" Type="http://schemas.openxmlformats.org/officeDocument/2006/relationships/hyperlink" Target="http://www.itu.int/en/council/Documents/2017/rr-sales-2016.doc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bimana\Documents\Publications\Council%202017\Sent%20to%20Shafqat\Sent%20in%202017\ChartsCouncil%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bimana\Documents\Publications\Council%202017\ChartsCouncil%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Sales by format</a:t>
            </a:r>
            <a:r>
              <a:rPr lang="en-US" baseline="0"/>
              <a:t> 2012-2016 (%)</a:t>
            </a:r>
            <a:endParaRPr lang="en-US"/>
          </a:p>
        </c:rich>
      </c:tx>
      <c:layout/>
      <c:overlay val="0"/>
    </c:title>
    <c:autoTitleDeleted val="0"/>
    <c:plotArea>
      <c:layout>
        <c:manualLayout>
          <c:layoutTarget val="inner"/>
          <c:xMode val="edge"/>
          <c:yMode val="edge"/>
          <c:x val="7.4705603189030897E-2"/>
          <c:y val="8.8005359518736795E-2"/>
          <c:w val="0.78319066944403803"/>
          <c:h val="0.85959902091289397"/>
        </c:manualLayout>
      </c:layout>
      <c:lineChart>
        <c:grouping val="standard"/>
        <c:varyColors val="0"/>
        <c:ser>
          <c:idx val="2"/>
          <c:order val="1"/>
          <c:tx>
            <c:strRef>
              <c:f>'Figure 1 Data'!$D$10</c:f>
              <c:strCache>
                <c:ptCount val="1"/>
                <c:pt idx="0">
                  <c:v>CD/DVD-Rom</c:v>
                </c:pt>
              </c:strCache>
            </c:strRef>
          </c:tx>
          <c:dLbls>
            <c:dLbl>
              <c:idx val="0"/>
              <c:layout>
                <c:manualLayout>
                  <c:x val="1.3646842496740301E-3"/>
                  <c:y val="6.264550487261999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'Figure 1 Data'!$B$11:$B$17</c:f>
              <c:numCache>
                <c:formatCode>General</c:formatCode>
                <c:ptCount val="5"/>
                <c:pt idx="0">
                  <c:v>2012</c:v>
                </c:pt>
                <c:pt idx="1">
                  <c:v>2013</c:v>
                </c:pt>
                <c:pt idx="2">
                  <c:v>2014</c:v>
                </c:pt>
                <c:pt idx="3">
                  <c:v>2015</c:v>
                </c:pt>
                <c:pt idx="4">
                  <c:v>2016</c:v>
                </c:pt>
              </c:numCache>
              <c:extLst/>
            </c:numRef>
          </c:cat>
          <c:val>
            <c:numRef>
              <c:f>'Figure 1 Data'!$D$11:$D$17</c:f>
              <c:numCache>
                <c:formatCode>_(* #,##0_);_(* \(#,##0\);_(* "-"??_);_(@_)</c:formatCode>
                <c:ptCount val="5"/>
                <c:pt idx="0">
                  <c:v>84</c:v>
                </c:pt>
                <c:pt idx="1">
                  <c:v>72</c:v>
                </c:pt>
                <c:pt idx="2">
                  <c:v>87</c:v>
                </c:pt>
                <c:pt idx="3">
                  <c:v>90</c:v>
                </c:pt>
                <c:pt idx="4">
                  <c:v>77</c:v>
                </c:pt>
              </c:numCache>
              <c:extLst/>
            </c:numRef>
          </c:val>
          <c:smooth val="0"/>
          <c:extLst/>
        </c:ser>
        <c:ser>
          <c:idx val="1"/>
          <c:order val="0"/>
          <c:tx>
            <c:strRef>
              <c:f>'Figure 1 Data'!$C$10</c:f>
              <c:strCache>
                <c:ptCount val="1"/>
                <c:pt idx="0">
                  <c:v>Paper</c:v>
                </c:pt>
              </c:strCache>
            </c:strRef>
          </c:tx>
          <c:dLbls>
            <c:dLbl>
              <c:idx val="0"/>
              <c:layout>
                <c:manualLayout>
                  <c:x val="-1.3646842496740301E-3"/>
                  <c:y val="-3.13227524363099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461728447027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'Figure 1 Data'!$B$11:$B$17</c:f>
              <c:numCache>
                <c:formatCode>General</c:formatCode>
                <c:ptCount val="5"/>
                <c:pt idx="0">
                  <c:v>2012</c:v>
                </c:pt>
                <c:pt idx="1">
                  <c:v>2013</c:v>
                </c:pt>
                <c:pt idx="2">
                  <c:v>2014</c:v>
                </c:pt>
                <c:pt idx="3">
                  <c:v>2015</c:v>
                </c:pt>
                <c:pt idx="4">
                  <c:v>2016</c:v>
                </c:pt>
              </c:numCache>
              <c:extLst/>
            </c:numRef>
          </c:cat>
          <c:val>
            <c:numRef>
              <c:f>'Figure 1 Data'!$C$11:$C$17</c:f>
              <c:numCache>
                <c:formatCode>_(* #,##0_);_(* \(#,##0\);_(* "-"??_);_(@_)</c:formatCode>
                <c:ptCount val="5"/>
                <c:pt idx="0">
                  <c:v>13</c:v>
                </c:pt>
                <c:pt idx="1">
                  <c:v>26</c:v>
                </c:pt>
                <c:pt idx="2">
                  <c:v>11</c:v>
                </c:pt>
                <c:pt idx="3">
                  <c:v>8</c:v>
                </c:pt>
                <c:pt idx="4">
                  <c:v>21</c:v>
                </c:pt>
              </c:numCache>
              <c:extLst/>
            </c:numRef>
          </c:val>
          <c:smooth val="0"/>
          <c:extLst/>
        </c:ser>
        <c:ser>
          <c:idx val="3"/>
          <c:order val="2"/>
          <c:tx>
            <c:strRef>
              <c:f>'Figure 1 Data'!$E$10</c:f>
              <c:strCache>
                <c:ptCount val="1"/>
                <c:pt idx="0">
                  <c:v>Online/E-bookshop and other*</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'Figure 1 Data'!$B$11:$B$17</c:f>
              <c:numCache>
                <c:formatCode>General</c:formatCode>
                <c:ptCount val="5"/>
                <c:pt idx="0">
                  <c:v>2012</c:v>
                </c:pt>
                <c:pt idx="1">
                  <c:v>2013</c:v>
                </c:pt>
                <c:pt idx="2">
                  <c:v>2014</c:v>
                </c:pt>
                <c:pt idx="3">
                  <c:v>2015</c:v>
                </c:pt>
                <c:pt idx="4">
                  <c:v>2016</c:v>
                </c:pt>
              </c:numCache>
              <c:extLst/>
            </c:numRef>
          </c:cat>
          <c:val>
            <c:numRef>
              <c:f>'Figure 1 Data'!$E$11:$E$17</c:f>
              <c:numCache>
                <c:formatCode>_(* #,##0_);_(* \(#,##0\);_(* "-"??_);_(@_)</c:formatCode>
                <c:ptCount val="5"/>
                <c:pt idx="0">
                  <c:v>3</c:v>
                </c:pt>
                <c:pt idx="1">
                  <c:v>2</c:v>
                </c:pt>
                <c:pt idx="2">
                  <c:v>2</c:v>
                </c:pt>
                <c:pt idx="3">
                  <c:v>2</c:v>
                </c:pt>
                <c:pt idx="4">
                  <c:v>2</c:v>
                </c:pt>
              </c:numCache>
              <c:extLst/>
            </c:numRef>
          </c:val>
          <c:smooth val="0"/>
        </c:ser>
        <c:dLbls>
          <c:showLegendKey val="0"/>
          <c:showVal val="0"/>
          <c:showCatName val="0"/>
          <c:showSerName val="0"/>
          <c:showPercent val="0"/>
          <c:showBubbleSize val="0"/>
        </c:dLbls>
        <c:marker val="1"/>
        <c:smooth val="0"/>
        <c:axId val="149419872"/>
        <c:axId val="149420264"/>
      </c:lineChart>
      <c:catAx>
        <c:axId val="149419872"/>
        <c:scaling>
          <c:orientation val="minMax"/>
        </c:scaling>
        <c:delete val="0"/>
        <c:axPos val="b"/>
        <c:numFmt formatCode="General" sourceLinked="1"/>
        <c:majorTickMark val="none"/>
        <c:minorTickMark val="none"/>
        <c:tickLblPos val="nextTo"/>
        <c:crossAx val="149420264"/>
        <c:crosses val="autoZero"/>
        <c:auto val="1"/>
        <c:lblAlgn val="ctr"/>
        <c:lblOffset val="100"/>
        <c:noMultiLvlLbl val="0"/>
      </c:catAx>
      <c:valAx>
        <c:axId val="149420264"/>
        <c:scaling>
          <c:orientation val="minMax"/>
        </c:scaling>
        <c:delete val="0"/>
        <c:axPos val="l"/>
        <c:majorGridlines/>
        <c:title>
          <c:tx>
            <c:rich>
              <a:bodyPr/>
              <a:lstStyle/>
              <a:p>
                <a:pPr>
                  <a:defRPr/>
                </a:pPr>
                <a:r>
                  <a:rPr lang="en-US"/>
                  <a:t>Percentage</a:t>
                </a:r>
              </a:p>
            </c:rich>
          </c:tx>
          <c:layout/>
          <c:overlay val="0"/>
        </c:title>
        <c:numFmt formatCode="_(* #,##0_);_(* \(#,##0\);_(* &quot;-&quot;??_);_(@_)" sourceLinked="1"/>
        <c:majorTickMark val="none"/>
        <c:minorTickMark val="none"/>
        <c:tickLblPos val="nextTo"/>
        <c:crossAx val="149419872"/>
        <c:crosses val="autoZero"/>
        <c:crossBetween val="between"/>
      </c:valAx>
    </c:plotArea>
    <c:legend>
      <c:legendPos val="r"/>
      <c:layout>
        <c:manualLayout>
          <c:xMode val="edge"/>
          <c:yMode val="edge"/>
          <c:x val="0.64927169624404302"/>
          <c:y val="0.47562046364316202"/>
          <c:w val="0.33771311937417797"/>
          <c:h val="0.17318033569826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Member/Non-member</a:t>
            </a:r>
            <a:r>
              <a:rPr lang="en-US" baseline="0"/>
              <a:t> sales</a:t>
            </a:r>
            <a:r>
              <a:rPr lang="en-US"/>
              <a:t> (%)</a:t>
            </a:r>
          </a:p>
        </c:rich>
      </c:tx>
      <c:layout>
        <c:manualLayout>
          <c:xMode val="edge"/>
          <c:yMode val="edge"/>
          <c:x val="0.26129620074054"/>
          <c:y val="1.2529100974523999E-2"/>
        </c:manualLayout>
      </c:layout>
      <c:overlay val="0"/>
    </c:title>
    <c:autoTitleDeleted val="0"/>
    <c:view3D>
      <c:rotX val="15"/>
      <c:rotY val="20"/>
      <c:rAngAx val="0"/>
    </c:view3D>
    <c:floor>
      <c:thickness val="0"/>
    </c:floor>
    <c:sideWall>
      <c:thickness val="0"/>
    </c:sideWall>
    <c:backWall>
      <c:thickness val="0"/>
    </c:backWall>
    <c:plotArea>
      <c:layout/>
      <c:bar3DChart>
        <c:barDir val="col"/>
        <c:grouping val="stacked"/>
        <c:varyColors val="0"/>
        <c:ser>
          <c:idx val="0"/>
          <c:order val="0"/>
          <c:tx>
            <c:strRef>
              <c:f>'Figure 2 Data'!$D$12</c:f>
              <c:strCache>
                <c:ptCount val="1"/>
                <c:pt idx="0">
                  <c:v>Members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'Figure 2 Data'!$B$13:$C$26</c:f>
              <c:multiLvlStrCache>
                <c:ptCount val="10"/>
                <c:lvl>
                  <c:pt idx="0">
                    <c:v>Paper/CD</c:v>
                  </c:pt>
                  <c:pt idx="1">
                    <c:v>Online</c:v>
                  </c:pt>
                  <c:pt idx="2">
                    <c:v>Paper/CD</c:v>
                  </c:pt>
                  <c:pt idx="3">
                    <c:v>Online</c:v>
                  </c:pt>
                  <c:pt idx="4">
                    <c:v>Paper/CD</c:v>
                  </c:pt>
                  <c:pt idx="5">
                    <c:v>Online</c:v>
                  </c:pt>
                  <c:pt idx="6">
                    <c:v>Paper/CD</c:v>
                  </c:pt>
                  <c:pt idx="7">
                    <c:v>Online</c:v>
                  </c:pt>
                  <c:pt idx="8">
                    <c:v>Paper/CD</c:v>
                  </c:pt>
                  <c:pt idx="9">
                    <c:v>Online</c:v>
                  </c:pt>
                </c:lvl>
                <c:lvl>
                  <c:pt idx="0">
                    <c:v>2012</c:v>
                  </c:pt>
                  <c:pt idx="1">
                    <c:v>2012</c:v>
                  </c:pt>
                  <c:pt idx="2">
                    <c:v>2013</c:v>
                  </c:pt>
                  <c:pt idx="3">
                    <c:v>2013</c:v>
                  </c:pt>
                  <c:pt idx="4">
                    <c:v>2014</c:v>
                  </c:pt>
                  <c:pt idx="5">
                    <c:v>2014</c:v>
                  </c:pt>
                  <c:pt idx="6">
                    <c:v>2015</c:v>
                  </c:pt>
                  <c:pt idx="7">
                    <c:v>2015</c:v>
                  </c:pt>
                  <c:pt idx="8">
                    <c:v>2016</c:v>
                  </c:pt>
                  <c:pt idx="9">
                    <c:v>2016</c:v>
                  </c:pt>
                </c:lvl>
              </c:multiLvlStrCache>
              <c:extLst/>
            </c:multiLvlStrRef>
          </c:cat>
          <c:val>
            <c:numRef>
              <c:f>'Figure 2 Data'!$D$13:$D$26</c:f>
              <c:numCache>
                <c:formatCode>_(* #,##0_);_(* \(#,##0\);_(* "-"??_);_(@_)</c:formatCode>
                <c:ptCount val="10"/>
                <c:pt idx="0">
                  <c:v>5</c:v>
                </c:pt>
                <c:pt idx="1">
                  <c:v>52</c:v>
                </c:pt>
                <c:pt idx="2">
                  <c:v>6</c:v>
                </c:pt>
                <c:pt idx="3">
                  <c:v>22</c:v>
                </c:pt>
                <c:pt idx="4">
                  <c:v>5</c:v>
                </c:pt>
                <c:pt idx="5">
                  <c:v>45</c:v>
                </c:pt>
                <c:pt idx="6">
                  <c:v>5</c:v>
                </c:pt>
                <c:pt idx="7">
                  <c:v>44</c:v>
                </c:pt>
                <c:pt idx="8">
                  <c:v>5</c:v>
                </c:pt>
                <c:pt idx="9">
                  <c:v>36</c:v>
                </c:pt>
              </c:numCache>
              <c:extLst/>
            </c:numRef>
          </c:val>
        </c:ser>
        <c:ser>
          <c:idx val="1"/>
          <c:order val="1"/>
          <c:tx>
            <c:strRef>
              <c:f>'Figure 2 Data'!$E$12</c:f>
              <c:strCache>
                <c:ptCount val="1"/>
                <c:pt idx="0">
                  <c:v>Non-Members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'Figure 2 Data'!$B$13:$C$26</c:f>
              <c:multiLvlStrCache>
                <c:ptCount val="10"/>
                <c:lvl>
                  <c:pt idx="0">
                    <c:v>Paper/CD</c:v>
                  </c:pt>
                  <c:pt idx="1">
                    <c:v>Online</c:v>
                  </c:pt>
                  <c:pt idx="2">
                    <c:v>Paper/CD</c:v>
                  </c:pt>
                  <c:pt idx="3">
                    <c:v>Online</c:v>
                  </c:pt>
                  <c:pt idx="4">
                    <c:v>Paper/CD</c:v>
                  </c:pt>
                  <c:pt idx="5">
                    <c:v>Online</c:v>
                  </c:pt>
                  <c:pt idx="6">
                    <c:v>Paper/CD</c:v>
                  </c:pt>
                  <c:pt idx="7">
                    <c:v>Online</c:v>
                  </c:pt>
                  <c:pt idx="8">
                    <c:v>Paper/CD</c:v>
                  </c:pt>
                  <c:pt idx="9">
                    <c:v>Online</c:v>
                  </c:pt>
                </c:lvl>
                <c:lvl>
                  <c:pt idx="0">
                    <c:v>2012</c:v>
                  </c:pt>
                  <c:pt idx="1">
                    <c:v>2012</c:v>
                  </c:pt>
                  <c:pt idx="2">
                    <c:v>2013</c:v>
                  </c:pt>
                  <c:pt idx="3">
                    <c:v>2013</c:v>
                  </c:pt>
                  <c:pt idx="4">
                    <c:v>2014</c:v>
                  </c:pt>
                  <c:pt idx="5">
                    <c:v>2014</c:v>
                  </c:pt>
                  <c:pt idx="6">
                    <c:v>2015</c:v>
                  </c:pt>
                  <c:pt idx="7">
                    <c:v>2015</c:v>
                  </c:pt>
                  <c:pt idx="8">
                    <c:v>2016</c:v>
                  </c:pt>
                  <c:pt idx="9">
                    <c:v>2016</c:v>
                  </c:pt>
                </c:lvl>
              </c:multiLvlStrCache>
              <c:extLst/>
            </c:multiLvlStrRef>
          </c:cat>
          <c:val>
            <c:numRef>
              <c:f>'Figure 2 Data'!$E$13:$E$26</c:f>
              <c:numCache>
                <c:formatCode>_(* #,##0_);_(* \(#,##0\);_(* "-"??_);_(@_)</c:formatCode>
                <c:ptCount val="10"/>
                <c:pt idx="0">
                  <c:v>95</c:v>
                </c:pt>
                <c:pt idx="1">
                  <c:v>48</c:v>
                </c:pt>
                <c:pt idx="2">
                  <c:v>94</c:v>
                </c:pt>
                <c:pt idx="3">
                  <c:v>78</c:v>
                </c:pt>
                <c:pt idx="4">
                  <c:v>95</c:v>
                </c:pt>
                <c:pt idx="5">
                  <c:v>55</c:v>
                </c:pt>
                <c:pt idx="6">
                  <c:v>95</c:v>
                </c:pt>
                <c:pt idx="7">
                  <c:v>56</c:v>
                </c:pt>
                <c:pt idx="8">
                  <c:v>95</c:v>
                </c:pt>
                <c:pt idx="9">
                  <c:v>64</c:v>
                </c:pt>
              </c:numCache>
              <c:extLst/>
            </c:numRef>
          </c:val>
        </c:ser>
        <c:dLbls>
          <c:showLegendKey val="0"/>
          <c:showVal val="1"/>
          <c:showCatName val="0"/>
          <c:showSerName val="0"/>
          <c:showPercent val="0"/>
          <c:showBubbleSize val="0"/>
        </c:dLbls>
        <c:gapWidth val="95"/>
        <c:gapDepth val="95"/>
        <c:shape val="cylinder"/>
        <c:axId val="149421048"/>
        <c:axId val="149421440"/>
        <c:axId val="0"/>
      </c:bar3DChart>
      <c:catAx>
        <c:axId val="149421048"/>
        <c:scaling>
          <c:orientation val="minMax"/>
        </c:scaling>
        <c:delete val="0"/>
        <c:axPos val="b"/>
        <c:numFmt formatCode="General" sourceLinked="0"/>
        <c:majorTickMark val="none"/>
        <c:minorTickMark val="none"/>
        <c:tickLblPos val="nextTo"/>
        <c:crossAx val="149421440"/>
        <c:crosses val="autoZero"/>
        <c:auto val="1"/>
        <c:lblAlgn val="ctr"/>
        <c:lblOffset val="100"/>
        <c:noMultiLvlLbl val="0"/>
      </c:catAx>
      <c:valAx>
        <c:axId val="149421440"/>
        <c:scaling>
          <c:orientation val="minMax"/>
        </c:scaling>
        <c:delete val="1"/>
        <c:axPos val="l"/>
        <c:numFmt formatCode="_(* #,##0_);_(* \(#,##0\);_(* &quot;-&quot;??_);_(@_)" sourceLinked="1"/>
        <c:majorTickMark val="none"/>
        <c:minorTickMark val="none"/>
        <c:tickLblPos val="nextTo"/>
        <c:crossAx val="149421048"/>
        <c:crosses val="autoZero"/>
        <c:crossBetween val="between"/>
      </c:valAx>
    </c:plotArea>
    <c:legend>
      <c:legendPos val="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AA8A-D82A-4854-93C5-242DE2C7190C}">
  <ds:schemaRefs>
    <ds:schemaRef ds:uri="http://schemas.microsoft.com/sharepoint/v3/contenttype/forms"/>
  </ds:schemaRefs>
</ds:datastoreItem>
</file>

<file path=customXml/itemProps2.xml><?xml version="1.0" encoding="utf-8"?>
<ds:datastoreItem xmlns:ds="http://schemas.openxmlformats.org/officeDocument/2006/customXml" ds:itemID="{23EDDAD7-18AD-4AB4-9D10-4958ECFE9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12A55B-6A65-48A1-81BC-E3B9E137B6D0}">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9DE4A61-EC74-4B58-AEBF-BAEB7381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2</TotalTime>
  <Pages>5</Pages>
  <Words>1077</Words>
  <Characters>6677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Sales of and free online acces to online publications</vt:lpstr>
    </vt:vector>
  </TitlesOfParts>
  <Manager>General Secretariat - Pool</Manager>
  <Company>International Telecommunication Union (ITU)</Company>
  <LinksUpToDate>false</LinksUpToDate>
  <CharactersWithSpaces>7739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of and free online acces to online publications</dc:title>
  <dc:subject>Council 2017</dc:subject>
  <dc:creator>Brouard, Ricarda</dc:creator>
  <cp:keywords>C2017, C17</cp:keywords>
  <dc:description/>
  <cp:lastModifiedBy>Brouard, Ricarda</cp:lastModifiedBy>
  <cp:revision>2</cp:revision>
  <cp:lastPrinted>2017-03-14T14:09:00Z</cp:lastPrinted>
  <dcterms:created xsi:type="dcterms:W3CDTF">2017-03-16T15:38:00Z</dcterms:created>
  <dcterms:modified xsi:type="dcterms:W3CDTF">2017-03-16T15:38:00Z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