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A011A" w:rsidRPr="0091571E">
        <w:trPr>
          <w:cantSplit/>
        </w:trPr>
        <w:tc>
          <w:tcPr>
            <w:tcW w:w="6912" w:type="dxa"/>
          </w:tcPr>
          <w:p w:rsidR="00943F1D" w:rsidRPr="0091571E" w:rsidRDefault="00BA011A" w:rsidP="00FB4B8C">
            <w:pPr>
              <w:rPr>
                <w:b/>
                <w:bCs/>
                <w:szCs w:val="24"/>
              </w:rPr>
            </w:pPr>
            <w:bookmarkStart w:id="0" w:name="dc06"/>
            <w:bookmarkEnd w:id="0"/>
            <w:r w:rsidRPr="0091571E">
              <w:rPr>
                <w:b/>
                <w:bCs/>
                <w:sz w:val="30"/>
                <w:szCs w:val="30"/>
              </w:rPr>
              <w:t>Conseil 201</w:t>
            </w:r>
            <w:r w:rsidR="00943F1D" w:rsidRPr="0091571E">
              <w:rPr>
                <w:b/>
                <w:bCs/>
                <w:sz w:val="30"/>
                <w:szCs w:val="30"/>
              </w:rPr>
              <w:t>7</w:t>
            </w:r>
            <w:r w:rsidRPr="0091571E">
              <w:rPr>
                <w:rFonts w:ascii="Verdana" w:hAnsi="Verdana"/>
                <w:b/>
                <w:bCs/>
                <w:sz w:val="26"/>
                <w:szCs w:val="26"/>
              </w:rPr>
              <w:br/>
            </w:r>
            <w:r w:rsidRPr="0091571E">
              <w:rPr>
                <w:b/>
                <w:bCs/>
                <w:szCs w:val="24"/>
              </w:rPr>
              <w:t>Genève</w:t>
            </w:r>
            <w:r w:rsidR="00943F1D" w:rsidRPr="0091571E">
              <w:rPr>
                <w:b/>
                <w:bCs/>
                <w:szCs w:val="24"/>
              </w:rPr>
              <w:t>, 1</w:t>
            </w:r>
            <w:r w:rsidRPr="0091571E">
              <w:rPr>
                <w:b/>
                <w:bCs/>
                <w:szCs w:val="24"/>
              </w:rPr>
              <w:t>5</w:t>
            </w:r>
            <w:r w:rsidR="00275DCF" w:rsidRPr="0091571E">
              <w:rPr>
                <w:b/>
                <w:bCs/>
                <w:szCs w:val="24"/>
              </w:rPr>
              <w:noBreakHyphen/>
            </w:r>
            <w:r w:rsidR="00943F1D" w:rsidRPr="0091571E">
              <w:rPr>
                <w:b/>
                <w:bCs/>
                <w:szCs w:val="24"/>
              </w:rPr>
              <w:t xml:space="preserve">25 </w:t>
            </w:r>
            <w:r w:rsidRPr="0091571E">
              <w:rPr>
                <w:b/>
                <w:bCs/>
                <w:szCs w:val="24"/>
              </w:rPr>
              <w:t>mai 201</w:t>
            </w:r>
            <w:r w:rsidR="00943F1D" w:rsidRPr="0091571E">
              <w:rPr>
                <w:b/>
                <w:bCs/>
                <w:szCs w:val="24"/>
              </w:rPr>
              <w:t>7</w:t>
            </w:r>
          </w:p>
        </w:tc>
        <w:tc>
          <w:tcPr>
            <w:tcW w:w="3261" w:type="dxa"/>
          </w:tcPr>
          <w:p w:rsidR="00BA011A" w:rsidRPr="0091571E" w:rsidRDefault="00BA011A" w:rsidP="00FB4B8C">
            <w:bookmarkStart w:id="1" w:name="ditulogo"/>
            <w:bookmarkEnd w:id="1"/>
            <w:r w:rsidRPr="0091571E">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A011A" w:rsidRPr="0091571E" w:rsidTr="00EF41DD">
        <w:trPr>
          <w:cantSplit/>
          <w:trHeight w:val="20"/>
        </w:trPr>
        <w:tc>
          <w:tcPr>
            <w:tcW w:w="6912" w:type="dxa"/>
            <w:tcBorders>
              <w:bottom w:val="single" w:sz="12" w:space="0" w:color="auto"/>
            </w:tcBorders>
            <w:vAlign w:val="center"/>
          </w:tcPr>
          <w:p w:rsidR="00BA011A" w:rsidRPr="0091571E" w:rsidRDefault="00BA011A" w:rsidP="00FB4B8C">
            <w:pPr>
              <w:rPr>
                <w:b/>
                <w:bCs/>
                <w:sz w:val="26"/>
                <w:szCs w:val="26"/>
              </w:rPr>
            </w:pPr>
          </w:p>
        </w:tc>
        <w:tc>
          <w:tcPr>
            <w:tcW w:w="3261" w:type="dxa"/>
            <w:tcBorders>
              <w:bottom w:val="single" w:sz="12" w:space="0" w:color="auto"/>
            </w:tcBorders>
          </w:tcPr>
          <w:p w:rsidR="00BA011A" w:rsidRPr="0091571E" w:rsidRDefault="00BA011A" w:rsidP="00FB4B8C">
            <w:pPr>
              <w:rPr>
                <w:b/>
                <w:bCs/>
              </w:rPr>
            </w:pPr>
          </w:p>
        </w:tc>
      </w:tr>
      <w:tr w:rsidR="00BA011A" w:rsidRPr="0091571E">
        <w:trPr>
          <w:cantSplit/>
          <w:trHeight w:val="20"/>
        </w:trPr>
        <w:tc>
          <w:tcPr>
            <w:tcW w:w="6912" w:type="dxa"/>
            <w:tcBorders>
              <w:top w:val="single" w:sz="12" w:space="0" w:color="auto"/>
            </w:tcBorders>
          </w:tcPr>
          <w:p w:rsidR="00BA011A" w:rsidRPr="0091571E" w:rsidRDefault="00BA011A" w:rsidP="00F55F9A">
            <w:pPr>
              <w:spacing w:before="0"/>
              <w:rPr>
                <w:smallCaps/>
                <w:sz w:val="22"/>
              </w:rPr>
            </w:pPr>
          </w:p>
        </w:tc>
        <w:tc>
          <w:tcPr>
            <w:tcW w:w="3261" w:type="dxa"/>
            <w:tcBorders>
              <w:top w:val="single" w:sz="12" w:space="0" w:color="auto"/>
            </w:tcBorders>
          </w:tcPr>
          <w:p w:rsidR="00BA011A" w:rsidRPr="0091571E" w:rsidRDefault="00BA011A" w:rsidP="00F55F9A">
            <w:pPr>
              <w:spacing w:before="0"/>
              <w:rPr>
                <w:b/>
                <w:bCs/>
              </w:rPr>
            </w:pPr>
          </w:p>
        </w:tc>
      </w:tr>
      <w:tr w:rsidR="00BA011A" w:rsidRPr="0091571E">
        <w:trPr>
          <w:cantSplit/>
          <w:trHeight w:val="20"/>
        </w:trPr>
        <w:tc>
          <w:tcPr>
            <w:tcW w:w="6912" w:type="dxa"/>
            <w:vMerge w:val="restart"/>
          </w:tcPr>
          <w:p w:rsidR="00BA011A" w:rsidRPr="0091571E" w:rsidRDefault="00BA011A" w:rsidP="00DA4DCA">
            <w:pPr>
              <w:spacing w:before="0"/>
              <w:rPr>
                <w:rFonts w:cs="Times"/>
                <w:b/>
                <w:bCs/>
                <w:szCs w:val="24"/>
              </w:rPr>
            </w:pPr>
            <w:bookmarkStart w:id="2" w:name="dnum" w:colFirst="1" w:colLast="1"/>
            <w:bookmarkStart w:id="3" w:name="dmeeting" w:colFirst="0" w:colLast="0"/>
            <w:r w:rsidRPr="0091571E">
              <w:rPr>
                <w:rFonts w:cs="Times"/>
                <w:b/>
                <w:bCs/>
                <w:szCs w:val="24"/>
              </w:rPr>
              <w:t>Point de l'ordre du jour: ADM 1</w:t>
            </w:r>
            <w:r w:rsidR="008E3D37" w:rsidRPr="0091571E">
              <w:rPr>
                <w:rFonts w:cs="Times"/>
                <w:b/>
                <w:bCs/>
                <w:szCs w:val="24"/>
              </w:rPr>
              <w:t>9</w:t>
            </w:r>
          </w:p>
        </w:tc>
        <w:tc>
          <w:tcPr>
            <w:tcW w:w="3261" w:type="dxa"/>
          </w:tcPr>
          <w:p w:rsidR="00BA011A" w:rsidRPr="0091571E" w:rsidRDefault="00943F1D" w:rsidP="00DA4DCA">
            <w:pPr>
              <w:spacing w:before="0"/>
              <w:rPr>
                <w:b/>
                <w:bCs/>
              </w:rPr>
            </w:pPr>
            <w:r w:rsidRPr="0091571E">
              <w:rPr>
                <w:b/>
                <w:bCs/>
              </w:rPr>
              <w:t>Document C17</w:t>
            </w:r>
            <w:r w:rsidR="00BA011A" w:rsidRPr="0091571E">
              <w:rPr>
                <w:b/>
                <w:bCs/>
              </w:rPr>
              <w:t>/</w:t>
            </w:r>
            <w:r w:rsidR="008E3D37" w:rsidRPr="0091571E">
              <w:rPr>
                <w:b/>
                <w:bCs/>
              </w:rPr>
              <w:t>20</w:t>
            </w:r>
            <w:r w:rsidR="00BA011A" w:rsidRPr="0091571E">
              <w:rPr>
                <w:b/>
                <w:bCs/>
              </w:rPr>
              <w:t>-F</w:t>
            </w:r>
          </w:p>
        </w:tc>
      </w:tr>
      <w:tr w:rsidR="00BA011A" w:rsidRPr="0091571E">
        <w:trPr>
          <w:cantSplit/>
          <w:trHeight w:val="20"/>
        </w:trPr>
        <w:tc>
          <w:tcPr>
            <w:tcW w:w="6912" w:type="dxa"/>
            <w:vMerge/>
          </w:tcPr>
          <w:p w:rsidR="00BA011A" w:rsidRPr="0091571E" w:rsidRDefault="00BA011A" w:rsidP="00DA4DCA">
            <w:pPr>
              <w:rPr>
                <w:smallCaps/>
              </w:rPr>
            </w:pPr>
            <w:bookmarkStart w:id="4" w:name="ddate" w:colFirst="1" w:colLast="1"/>
            <w:bookmarkEnd w:id="2"/>
            <w:bookmarkEnd w:id="3"/>
          </w:p>
        </w:tc>
        <w:tc>
          <w:tcPr>
            <w:tcW w:w="3261" w:type="dxa"/>
          </w:tcPr>
          <w:p w:rsidR="00BA011A" w:rsidRPr="0091571E" w:rsidRDefault="008E3D37" w:rsidP="00DA4DCA">
            <w:pPr>
              <w:spacing w:before="0"/>
              <w:rPr>
                <w:b/>
                <w:bCs/>
              </w:rPr>
            </w:pPr>
            <w:r w:rsidRPr="0091571E">
              <w:rPr>
                <w:b/>
                <w:bCs/>
              </w:rPr>
              <w:t>8</w:t>
            </w:r>
            <w:r w:rsidR="00943F1D" w:rsidRPr="0091571E">
              <w:rPr>
                <w:b/>
                <w:bCs/>
              </w:rPr>
              <w:t> </w:t>
            </w:r>
            <w:r w:rsidR="00DA4DCA">
              <w:rPr>
                <w:b/>
                <w:bCs/>
              </w:rPr>
              <w:t>f</w:t>
            </w:r>
            <w:r w:rsidR="00EF19AC" w:rsidRPr="0091571E">
              <w:rPr>
                <w:b/>
                <w:bCs/>
              </w:rPr>
              <w:t>évrier</w:t>
            </w:r>
            <w:r w:rsidR="00943F1D" w:rsidRPr="0091571E">
              <w:rPr>
                <w:b/>
                <w:bCs/>
              </w:rPr>
              <w:t> 2017</w:t>
            </w:r>
          </w:p>
        </w:tc>
      </w:tr>
      <w:tr w:rsidR="00BA011A" w:rsidRPr="0091571E">
        <w:trPr>
          <w:cantSplit/>
          <w:trHeight w:val="20"/>
        </w:trPr>
        <w:tc>
          <w:tcPr>
            <w:tcW w:w="6912" w:type="dxa"/>
            <w:vMerge/>
          </w:tcPr>
          <w:p w:rsidR="00BA011A" w:rsidRPr="0091571E" w:rsidRDefault="00BA011A" w:rsidP="00DA4DCA">
            <w:pPr>
              <w:rPr>
                <w:smallCaps/>
              </w:rPr>
            </w:pPr>
            <w:bookmarkStart w:id="5" w:name="dorlang" w:colFirst="1" w:colLast="1"/>
            <w:bookmarkEnd w:id="4"/>
          </w:p>
        </w:tc>
        <w:tc>
          <w:tcPr>
            <w:tcW w:w="3261" w:type="dxa"/>
          </w:tcPr>
          <w:p w:rsidR="00BA011A" w:rsidRPr="0091571E" w:rsidRDefault="00BA011A" w:rsidP="00DA4DCA">
            <w:pPr>
              <w:spacing w:before="0"/>
              <w:rPr>
                <w:b/>
                <w:bCs/>
              </w:rPr>
            </w:pPr>
            <w:r w:rsidRPr="0091571E">
              <w:rPr>
                <w:b/>
                <w:bCs/>
              </w:rPr>
              <w:t>Original: anglais</w:t>
            </w:r>
          </w:p>
        </w:tc>
      </w:tr>
      <w:tr w:rsidR="00BA011A" w:rsidRPr="0091571E">
        <w:trPr>
          <w:cantSplit/>
        </w:trPr>
        <w:tc>
          <w:tcPr>
            <w:tcW w:w="10173" w:type="dxa"/>
            <w:gridSpan w:val="2"/>
          </w:tcPr>
          <w:p w:rsidR="00BA011A" w:rsidRPr="0091571E" w:rsidRDefault="00BA011A" w:rsidP="00DA4DCA">
            <w:pPr>
              <w:pStyle w:val="Source"/>
            </w:pPr>
            <w:bookmarkStart w:id="6" w:name="dsource" w:colFirst="0" w:colLast="0"/>
            <w:bookmarkEnd w:id="5"/>
            <w:r w:rsidRPr="0091571E">
              <w:t>Rapport du Secrétaire général</w:t>
            </w:r>
          </w:p>
        </w:tc>
      </w:tr>
      <w:tr w:rsidR="00BA011A" w:rsidRPr="0091571E">
        <w:trPr>
          <w:cantSplit/>
        </w:trPr>
        <w:tc>
          <w:tcPr>
            <w:tcW w:w="10173" w:type="dxa"/>
            <w:gridSpan w:val="2"/>
          </w:tcPr>
          <w:p w:rsidR="00BA011A" w:rsidRPr="0091571E" w:rsidRDefault="008E3D37" w:rsidP="00DA4DCA">
            <w:pPr>
              <w:pStyle w:val="Title1"/>
            </w:pPr>
            <w:bookmarkStart w:id="7" w:name="lt_pId013"/>
            <w:bookmarkStart w:id="8" w:name="dtitle1" w:colFirst="0" w:colLast="0"/>
            <w:bookmarkEnd w:id="6"/>
            <w:r w:rsidRPr="0091571E">
              <w:t xml:space="preserve">Stratégie </w:t>
            </w:r>
            <w:r w:rsidR="00384E15" w:rsidRPr="0091571E">
              <w:t xml:space="preserve">de gestion </w:t>
            </w:r>
            <w:r w:rsidRPr="0091571E">
              <w:t xml:space="preserve">de l'Information et des technologies de l'Information </w:t>
            </w:r>
            <w:bookmarkStart w:id="9" w:name="lt_pId014"/>
            <w:bookmarkEnd w:id="7"/>
            <w:r w:rsidRPr="0091571E">
              <w:t>pour le Secrétariat</w:t>
            </w:r>
            <w:bookmarkEnd w:id="9"/>
          </w:p>
        </w:tc>
      </w:tr>
      <w:bookmarkEnd w:id="8"/>
    </w:tbl>
    <w:p w:rsidR="00BA011A" w:rsidRPr="0091571E" w:rsidRDefault="00BA011A" w:rsidP="00DA4DC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A011A" w:rsidRPr="0091571E">
        <w:trPr>
          <w:trHeight w:val="3372"/>
        </w:trPr>
        <w:tc>
          <w:tcPr>
            <w:tcW w:w="8080" w:type="dxa"/>
            <w:tcBorders>
              <w:top w:val="single" w:sz="12" w:space="0" w:color="auto"/>
              <w:left w:val="single" w:sz="12" w:space="0" w:color="auto"/>
              <w:bottom w:val="single" w:sz="12" w:space="0" w:color="auto"/>
              <w:right w:val="single" w:sz="12" w:space="0" w:color="auto"/>
            </w:tcBorders>
          </w:tcPr>
          <w:p w:rsidR="00BA011A" w:rsidRPr="0091571E" w:rsidRDefault="00BA011A" w:rsidP="00826711">
            <w:pPr>
              <w:pStyle w:val="Headingb"/>
            </w:pPr>
            <w:r w:rsidRPr="0091571E">
              <w:t>Résumé</w:t>
            </w:r>
          </w:p>
          <w:p w:rsidR="00E77E19" w:rsidRPr="0091571E" w:rsidRDefault="005559B5" w:rsidP="00FB4B8C">
            <w:r w:rsidRPr="0091571E">
              <w:t>On trouvera dans l</w:t>
            </w:r>
            <w:r w:rsidR="00E77E19" w:rsidRPr="0091571E">
              <w:t xml:space="preserve">e présent document </w:t>
            </w:r>
            <w:r w:rsidRPr="0091571E">
              <w:t>un aperçu d</w:t>
            </w:r>
            <w:r w:rsidR="00E77E19" w:rsidRPr="0091571E">
              <w:t xml:space="preserve">es </w:t>
            </w:r>
            <w:r w:rsidR="00182AF9" w:rsidRPr="0091571E">
              <w:t xml:space="preserve">axes </w:t>
            </w:r>
            <w:r w:rsidR="00E77E19" w:rsidRPr="0091571E">
              <w:t xml:space="preserve">de haut niveau </w:t>
            </w:r>
            <w:r w:rsidR="00AF0DDE" w:rsidRPr="0091571E">
              <w:t>d'</w:t>
            </w:r>
            <w:r w:rsidR="00E77E19" w:rsidRPr="0091571E">
              <w:t>une stratégie</w:t>
            </w:r>
            <w:r w:rsidR="00FB4B8C" w:rsidRPr="0091571E">
              <w:t xml:space="preserve"> </w:t>
            </w:r>
            <w:r w:rsidR="00FB4B8C" w:rsidRPr="0091571E">
              <w:rPr>
                <w:b/>
                <w:bCs/>
              </w:rPr>
              <w:t>interne</w:t>
            </w:r>
            <w:r w:rsidR="00E77E19" w:rsidRPr="0091571E">
              <w:t xml:space="preserve"> </w:t>
            </w:r>
            <w:r w:rsidR="00FB4B8C" w:rsidRPr="0091571E">
              <w:t xml:space="preserve">de gestion </w:t>
            </w:r>
            <w:r w:rsidR="00E77E19" w:rsidRPr="0091571E">
              <w:t>de l'information et des technologies de l'information pour le Secrétariat.</w:t>
            </w:r>
          </w:p>
          <w:p w:rsidR="00E77E19" w:rsidRPr="0091571E" w:rsidRDefault="00AF0DDE" w:rsidP="00547778">
            <w:r w:rsidRPr="0091571E">
              <w:t>Dans le cadre de son examen de la gestion et de l'administration de l'UIT, le CCI a souligné l</w:t>
            </w:r>
            <w:r w:rsidR="00E77E19" w:rsidRPr="0091571E">
              <w:t xml:space="preserve">'importance </w:t>
            </w:r>
            <w:r w:rsidR="00FB4B8C" w:rsidRPr="0091571E">
              <w:t xml:space="preserve">pour l'Union de disposer </w:t>
            </w:r>
            <w:r w:rsidR="00E77E19" w:rsidRPr="0091571E">
              <w:t xml:space="preserve">d'une stratégie en matière de TIC </w:t>
            </w:r>
            <w:r w:rsidR="00FB4B8C" w:rsidRPr="0091571E">
              <w:t>mise à jour</w:t>
            </w:r>
            <w:r w:rsidR="00E77E19" w:rsidRPr="0091571E">
              <w:t xml:space="preserve">: </w:t>
            </w:r>
            <w:r w:rsidRPr="0091571E">
              <w:t>"</w:t>
            </w:r>
            <w:r w:rsidR="00384E15" w:rsidRPr="0091571E">
              <w:t>Pour renforcer encore la gestion de l'information et des technologies de l'information au sein de l'UIT, la recommandation 11 préconise une stratégie de gestion de l'information et des technologies de l'information mise à jour pour rapprocher tous les aspects de la gestion de l'i</w:t>
            </w:r>
            <w:r w:rsidR="00547778">
              <w:t>nformation et des connaissances</w:t>
            </w:r>
            <w:r w:rsidR="00E77E19" w:rsidRPr="0091571E">
              <w:t>"</w:t>
            </w:r>
            <w:r w:rsidRPr="0091571E">
              <w:t xml:space="preserve"> </w:t>
            </w:r>
            <w:r w:rsidR="00E77E19" w:rsidRPr="0091571E">
              <w:t>-</w:t>
            </w:r>
            <w:r w:rsidRPr="0091571E">
              <w:t xml:space="preserve"> "</w:t>
            </w:r>
            <w:r w:rsidR="00384E15" w:rsidRPr="0091571E">
              <w:t>incluant tou</w:t>
            </w:r>
            <w:r w:rsidR="00E77E19" w:rsidRPr="0091571E">
              <w:t xml:space="preserve">s les </w:t>
            </w:r>
            <w:r w:rsidR="00384E15" w:rsidRPr="0091571E">
              <w:t xml:space="preserve">aspects </w:t>
            </w:r>
            <w:r w:rsidR="00E77E19" w:rsidRPr="0091571E">
              <w:t xml:space="preserve">de la gestion de l'information et </w:t>
            </w:r>
            <w:r w:rsidR="00384E15" w:rsidRPr="0091571E">
              <w:t xml:space="preserve">[de] </w:t>
            </w:r>
            <w:r w:rsidR="00E77E19" w:rsidRPr="0091571E">
              <w:t xml:space="preserve">faire rapport </w:t>
            </w:r>
            <w:r w:rsidR="00384E15" w:rsidRPr="0091571E">
              <w:t xml:space="preserve">annuellement </w:t>
            </w:r>
            <w:r w:rsidR="00E77E19" w:rsidRPr="0091571E">
              <w:t xml:space="preserve">au Conseil sur </w:t>
            </w:r>
            <w:r w:rsidR="00384E15" w:rsidRPr="0091571E">
              <w:t>s</w:t>
            </w:r>
            <w:r w:rsidR="00E77E19" w:rsidRPr="0091571E">
              <w:t xml:space="preserve">a mise en </w:t>
            </w:r>
            <w:r w:rsidR="007A218E" w:rsidRPr="0091571E">
              <w:t>oe</w:t>
            </w:r>
            <w:r w:rsidR="00E77E19" w:rsidRPr="0091571E">
              <w:t>uvre".</w:t>
            </w:r>
          </w:p>
          <w:p w:rsidR="00E77E19" w:rsidRPr="0091571E" w:rsidRDefault="00E77E19" w:rsidP="00FB4B8C">
            <w:r w:rsidRPr="0091571E">
              <w:t xml:space="preserve">La stratégie </w:t>
            </w:r>
            <w:r w:rsidR="00AF0DDE" w:rsidRPr="0091571E">
              <w:t xml:space="preserve">en matière de </w:t>
            </w:r>
            <w:r w:rsidRPr="0091571E">
              <w:t xml:space="preserve">TIC </w:t>
            </w:r>
            <w:r w:rsidR="00AF0DDE" w:rsidRPr="0091571E">
              <w:t xml:space="preserve">comprend </w:t>
            </w:r>
            <w:r w:rsidRPr="0091571E">
              <w:t xml:space="preserve">4 </w:t>
            </w:r>
            <w:r w:rsidR="005559B5" w:rsidRPr="0091571E">
              <w:t>axes principaux</w:t>
            </w:r>
            <w:r w:rsidR="00FB4B8C" w:rsidRPr="0091571E">
              <w:t xml:space="preserve"> –</w:t>
            </w:r>
            <w:r w:rsidR="005559B5" w:rsidRPr="0091571E">
              <w:t xml:space="preserve"> </w:t>
            </w:r>
            <w:r w:rsidR="005559B5" w:rsidRPr="0091571E">
              <w:rPr>
                <w:b/>
                <w:bCs/>
              </w:rPr>
              <w:t>priorité au numérique</w:t>
            </w:r>
            <w:r w:rsidR="005559B5" w:rsidRPr="0091571E">
              <w:t xml:space="preserve">, </w:t>
            </w:r>
            <w:r w:rsidR="005559B5" w:rsidRPr="0091571E">
              <w:rPr>
                <w:b/>
                <w:bCs/>
              </w:rPr>
              <w:t>mobilité</w:t>
            </w:r>
            <w:r w:rsidRPr="0091571E">
              <w:t xml:space="preserve">, </w:t>
            </w:r>
            <w:r w:rsidR="005559B5" w:rsidRPr="0091571E">
              <w:rPr>
                <w:b/>
                <w:bCs/>
              </w:rPr>
              <w:t>sécurité</w:t>
            </w:r>
            <w:r w:rsidR="005559B5" w:rsidRPr="0091571E">
              <w:t xml:space="preserve"> </w:t>
            </w:r>
            <w:r w:rsidRPr="0091571E">
              <w:t xml:space="preserve">et </w:t>
            </w:r>
            <w:r w:rsidR="005559B5" w:rsidRPr="0091571E">
              <w:rPr>
                <w:b/>
                <w:bCs/>
              </w:rPr>
              <w:t xml:space="preserve">orientation sur les </w:t>
            </w:r>
            <w:r w:rsidRPr="0091571E">
              <w:rPr>
                <w:b/>
                <w:bCs/>
              </w:rPr>
              <w:t>données</w:t>
            </w:r>
            <w:r w:rsidRPr="0091571E">
              <w:t xml:space="preserve"> </w:t>
            </w:r>
            <w:r w:rsidR="006734E0" w:rsidRPr="0091571E">
              <w:t xml:space="preserve">– </w:t>
            </w:r>
            <w:r w:rsidR="005559B5" w:rsidRPr="0091571E">
              <w:t xml:space="preserve">dans le cadre d'une </w:t>
            </w:r>
            <w:r w:rsidRPr="0091571E">
              <w:t>t</w:t>
            </w:r>
            <w:r w:rsidRPr="0091571E">
              <w:rPr>
                <w:b/>
                <w:bCs/>
              </w:rPr>
              <w:t xml:space="preserve">ransformation numérique </w:t>
            </w:r>
            <w:r w:rsidR="005559B5" w:rsidRPr="0091571E">
              <w:rPr>
                <w:b/>
                <w:bCs/>
              </w:rPr>
              <w:t xml:space="preserve">globale à </w:t>
            </w:r>
            <w:r w:rsidRPr="0091571E">
              <w:rPr>
                <w:b/>
                <w:bCs/>
              </w:rPr>
              <w:t>l'UIT</w:t>
            </w:r>
            <w:r w:rsidRPr="0091571E">
              <w:t>.</w:t>
            </w:r>
          </w:p>
          <w:p w:rsidR="00E77E19" w:rsidRPr="0091571E" w:rsidRDefault="005559B5" w:rsidP="006734E0">
            <w:r w:rsidRPr="0091571E">
              <w:t>A</w:t>
            </w:r>
            <w:r w:rsidR="006734E0" w:rsidRPr="0091571E">
              <w:t xml:space="preserve"> l'appui du P</w:t>
            </w:r>
            <w:r w:rsidR="00E77E19" w:rsidRPr="0091571E">
              <w:t xml:space="preserve">lan stratégique de l'UIT, la mise en </w:t>
            </w:r>
            <w:r w:rsidR="007A218E" w:rsidRPr="0091571E">
              <w:t>oe</w:t>
            </w:r>
            <w:r w:rsidR="00E77E19" w:rsidRPr="0091571E">
              <w:t xml:space="preserve">uvre de la stratégie </w:t>
            </w:r>
            <w:r w:rsidRPr="0091571E">
              <w:t xml:space="preserve">en matière de </w:t>
            </w:r>
            <w:r w:rsidR="00E77E19" w:rsidRPr="0091571E">
              <w:t xml:space="preserve">TIC permettra à l'UIT de tirer le </w:t>
            </w:r>
            <w:r w:rsidR="009751E5" w:rsidRPr="0091571E">
              <w:t xml:space="preserve">meilleur parti </w:t>
            </w:r>
            <w:r w:rsidR="00E77E19" w:rsidRPr="0091571E">
              <w:t xml:space="preserve">des innovations </w:t>
            </w:r>
            <w:r w:rsidR="006734E0" w:rsidRPr="0091571E">
              <w:t xml:space="preserve">dans le domaine des </w:t>
            </w:r>
            <w:r w:rsidR="00E77E19" w:rsidRPr="0091571E">
              <w:t xml:space="preserve">TIC, d'accroître la sécurité, </w:t>
            </w:r>
            <w:r w:rsidR="009751E5" w:rsidRPr="0091571E">
              <w:t xml:space="preserve">de garantir </w:t>
            </w:r>
            <w:r w:rsidR="00E77E19" w:rsidRPr="0091571E">
              <w:t xml:space="preserve">l'accès à la bonne information au bon moment, d'améliorer la réactivité </w:t>
            </w:r>
            <w:r w:rsidR="007A218E" w:rsidRPr="0091571E">
              <w:t xml:space="preserve">face </w:t>
            </w:r>
            <w:r w:rsidR="00E77E19" w:rsidRPr="0091571E">
              <w:t xml:space="preserve">à un environnement en mutation et de générer des gains d'efficacité </w:t>
            </w:r>
            <w:r w:rsidR="009751E5" w:rsidRPr="0091571E">
              <w:t xml:space="preserve">pour les </w:t>
            </w:r>
            <w:r w:rsidR="00E77E19" w:rsidRPr="0091571E">
              <w:t>fonctions</w:t>
            </w:r>
            <w:r w:rsidR="009751E5" w:rsidRPr="0091571E">
              <w:t xml:space="preserve"> administratives</w:t>
            </w:r>
            <w:r w:rsidR="00E77E19" w:rsidRPr="0091571E">
              <w:t>.</w:t>
            </w:r>
          </w:p>
          <w:p w:rsidR="00BA011A" w:rsidRPr="0091571E" w:rsidRDefault="00BA011A" w:rsidP="00826711">
            <w:pPr>
              <w:pStyle w:val="Headingb"/>
            </w:pPr>
            <w:r w:rsidRPr="0091571E">
              <w:t>Suite à donner</w:t>
            </w:r>
          </w:p>
          <w:p w:rsidR="00BA011A" w:rsidRPr="0091571E" w:rsidRDefault="000228DE" w:rsidP="0048028C">
            <w:pPr>
              <w:spacing w:after="120"/>
            </w:pPr>
            <w:r w:rsidRPr="0091571E">
              <w:rPr>
                <w:rFonts w:asciiTheme="minorHAnsi" w:hAnsiTheme="minorHAnsi"/>
                <w:szCs w:val="24"/>
              </w:rPr>
              <w:t xml:space="preserve">Le Conseil est invité à </w:t>
            </w:r>
            <w:r w:rsidR="00943F1D" w:rsidRPr="0091571E">
              <w:rPr>
                <w:rFonts w:asciiTheme="minorHAnsi" w:hAnsiTheme="minorHAnsi"/>
                <w:b/>
                <w:bCs/>
                <w:szCs w:val="24"/>
              </w:rPr>
              <w:t xml:space="preserve">approuver </w:t>
            </w:r>
            <w:r w:rsidR="00943F1D" w:rsidRPr="0091571E">
              <w:rPr>
                <w:rFonts w:asciiTheme="minorHAnsi" w:hAnsiTheme="minorHAnsi"/>
                <w:szCs w:val="24"/>
              </w:rPr>
              <w:t>le</w:t>
            </w:r>
            <w:r w:rsidRPr="0091571E">
              <w:rPr>
                <w:rFonts w:asciiTheme="minorHAnsi" w:hAnsiTheme="minorHAnsi"/>
                <w:szCs w:val="24"/>
              </w:rPr>
              <w:t xml:space="preserve"> présent document.</w:t>
            </w:r>
          </w:p>
        </w:tc>
      </w:tr>
    </w:tbl>
    <w:p w:rsidR="009751E5" w:rsidRPr="0091571E" w:rsidRDefault="009751E5" w:rsidP="00FB4B8C">
      <w:pPr>
        <w:rPr>
          <w:b/>
          <w:sz w:val="28"/>
        </w:rPr>
      </w:pPr>
      <w:bookmarkStart w:id="10" w:name="_Toc466550106"/>
      <w:bookmarkStart w:id="11" w:name="_Toc473010170"/>
      <w:r w:rsidRPr="0091571E">
        <w:br w:type="page"/>
      </w:r>
    </w:p>
    <w:p w:rsidR="008E3D37" w:rsidRPr="0091571E" w:rsidRDefault="008E3D37" w:rsidP="007A218E">
      <w:pPr>
        <w:pStyle w:val="Heading1"/>
      </w:pPr>
      <w:r w:rsidRPr="0091571E">
        <w:lastRenderedPageBreak/>
        <w:t>1</w:t>
      </w:r>
      <w:r w:rsidRPr="0091571E">
        <w:tab/>
      </w:r>
      <w:bookmarkEnd w:id="10"/>
      <w:bookmarkEnd w:id="11"/>
      <w:r w:rsidR="009751E5" w:rsidRPr="0091571E">
        <w:t>Contexte</w:t>
      </w:r>
    </w:p>
    <w:p w:rsidR="008E3D37" w:rsidRPr="0091571E" w:rsidRDefault="008E3D37" w:rsidP="006A1F55">
      <w:r w:rsidRPr="0091571E">
        <w:t>1.1</w:t>
      </w:r>
      <w:r w:rsidRPr="0091571E">
        <w:tab/>
      </w:r>
      <w:r w:rsidR="009751E5" w:rsidRPr="0091571E">
        <w:t>Dans</w:t>
      </w:r>
      <w:r w:rsidR="007A218E" w:rsidRPr="0091571E">
        <w:t xml:space="preserve"> le cadre de</w:t>
      </w:r>
      <w:r w:rsidR="009751E5" w:rsidRPr="0091571E">
        <w:t xml:space="preserve"> son </w:t>
      </w:r>
      <w:r w:rsidR="007A218E" w:rsidRPr="0091571E">
        <w:t>"</w:t>
      </w:r>
      <w:r w:rsidR="009751E5" w:rsidRPr="0091571E">
        <w:t>Examen de la gestion et de l'administration de l'Union internationale des télécommunications (UIT)</w:t>
      </w:r>
      <w:r w:rsidR="007A218E" w:rsidRPr="0091571E">
        <w:t>"</w:t>
      </w:r>
      <w:r w:rsidRPr="0091571E">
        <w:t xml:space="preserve"> </w:t>
      </w:r>
      <w:r w:rsidR="009751E5" w:rsidRPr="0091571E">
        <w:t>de 2016, le CCI a conclu que</w:t>
      </w:r>
      <w:r w:rsidRPr="0091571E">
        <w:t xml:space="preserve">: </w:t>
      </w:r>
      <w:r w:rsidR="007A218E" w:rsidRPr="0091571E">
        <w:t>"</w:t>
      </w:r>
      <w:r w:rsidR="009751E5" w:rsidRPr="0091571E">
        <w:rPr>
          <w:i/>
          <w:iCs/>
        </w:rPr>
        <w:t xml:space="preserve">L'UIT </w:t>
      </w:r>
      <w:r w:rsidR="007A218E" w:rsidRPr="0091571E">
        <w:rPr>
          <w:i/>
          <w:iCs/>
        </w:rPr>
        <w:t>oe</w:t>
      </w:r>
      <w:r w:rsidR="009751E5" w:rsidRPr="0091571E">
        <w:rPr>
          <w:i/>
          <w:iCs/>
        </w:rPr>
        <w:t>uvre dans l'environnement en rapide mutation des TIC et fait face à la vive concurrence de nombreuses autres entités, en particulier dans le secteur privé, dans plusieurs domaines de ses activités fondamentales. Il est donc essentiel pour l'UIT d'affirmer sa place dans l'univers mondial des TIC et de s'adapter à des facteurs extérieurs qui évoluent rapidement.</w:t>
      </w:r>
      <w:r w:rsidR="007A218E" w:rsidRPr="0091571E">
        <w:t>"</w:t>
      </w:r>
      <w:r w:rsidR="007A218E" w:rsidRPr="0091571E">
        <w:rPr>
          <w:rStyle w:val="FootnoteReference"/>
          <w:i/>
          <w:iCs/>
        </w:rPr>
        <w:footnoteReference w:id="1"/>
      </w:r>
      <w:r w:rsidR="006A1F55" w:rsidRPr="0091571E">
        <w:t>.</w:t>
      </w:r>
    </w:p>
    <w:p w:rsidR="007B18BB" w:rsidRPr="0091571E" w:rsidRDefault="008E3D37" w:rsidP="007A218E">
      <w:r w:rsidRPr="0091571E">
        <w:t>1.2</w:t>
      </w:r>
      <w:r w:rsidRPr="0091571E">
        <w:tab/>
      </w:r>
      <w:r w:rsidR="007B18BB" w:rsidRPr="0091571E">
        <w:t xml:space="preserve">L'UIT doit maintenant, plus que jamais, </w:t>
      </w:r>
      <w:r w:rsidR="007A218E" w:rsidRPr="0091571E">
        <w:t>relever</w:t>
      </w:r>
      <w:r w:rsidR="007B18BB" w:rsidRPr="0091571E">
        <w:t xml:space="preserve"> ce défi et </w:t>
      </w:r>
      <w:r w:rsidR="00FB1B55" w:rsidRPr="0091571E">
        <w:t xml:space="preserve">s'adapter et se transformer pour </w:t>
      </w:r>
      <w:r w:rsidR="007B18BB" w:rsidRPr="0091571E">
        <w:t xml:space="preserve">évoluer vers la création de valeur dans une économie numérique – dans un monde numérique </w:t>
      </w:r>
      <w:r w:rsidR="00BE4191" w:rsidRPr="0091571E">
        <w:t xml:space="preserve">dans lequel </w:t>
      </w:r>
      <w:r w:rsidR="007B18BB" w:rsidRPr="0091571E">
        <w:t xml:space="preserve">le consommateur </w:t>
      </w:r>
      <w:r w:rsidR="00BE4191" w:rsidRPr="0091571E">
        <w:t xml:space="preserve">est le moteur </w:t>
      </w:r>
      <w:r w:rsidR="007B18BB" w:rsidRPr="0091571E">
        <w:t xml:space="preserve">et </w:t>
      </w:r>
      <w:r w:rsidR="00BE4191" w:rsidRPr="0091571E">
        <w:t>les données sont le carburant</w:t>
      </w:r>
      <w:r w:rsidR="007B18BB" w:rsidRPr="0091571E">
        <w:t>.</w:t>
      </w:r>
    </w:p>
    <w:p w:rsidR="00BE4191" w:rsidRPr="0091571E" w:rsidRDefault="008E3D37" w:rsidP="007A218E">
      <w:pPr>
        <w:rPr>
          <w:rFonts w:asciiTheme="minorHAnsi" w:hAnsiTheme="minorHAnsi" w:cstheme="majorBidi"/>
        </w:rPr>
      </w:pPr>
      <w:r w:rsidRPr="0091571E">
        <w:rPr>
          <w:rFonts w:asciiTheme="minorHAnsi" w:hAnsiTheme="minorHAnsi" w:cstheme="majorBidi"/>
        </w:rPr>
        <w:t>1.3</w:t>
      </w:r>
      <w:r w:rsidRPr="0091571E">
        <w:rPr>
          <w:rFonts w:asciiTheme="minorHAnsi" w:hAnsiTheme="minorHAnsi" w:cstheme="majorBidi"/>
        </w:rPr>
        <w:tab/>
      </w:r>
      <w:r w:rsidR="00BE4191" w:rsidRPr="0091571E">
        <w:rPr>
          <w:rFonts w:asciiTheme="minorHAnsi" w:hAnsiTheme="minorHAnsi" w:cstheme="majorBidi"/>
        </w:rPr>
        <w:t xml:space="preserve">Pour cela, </w:t>
      </w:r>
      <w:r w:rsidR="00AD01F5" w:rsidRPr="0091571E">
        <w:rPr>
          <w:rFonts w:asciiTheme="minorHAnsi" w:hAnsiTheme="minorHAnsi" w:cstheme="majorBidi"/>
        </w:rPr>
        <w:t>il faut</w:t>
      </w:r>
      <w:r w:rsidR="007A218E" w:rsidRPr="0091571E">
        <w:rPr>
          <w:rFonts w:asciiTheme="minorHAnsi" w:hAnsiTheme="minorHAnsi" w:cstheme="majorBidi"/>
        </w:rPr>
        <w:t xml:space="preserve"> considérer les TIC </w:t>
      </w:r>
      <w:r w:rsidR="00BE4191" w:rsidRPr="0091571E">
        <w:rPr>
          <w:rFonts w:asciiTheme="minorHAnsi" w:hAnsiTheme="minorHAnsi" w:cstheme="majorBidi"/>
        </w:rPr>
        <w:t xml:space="preserve">comme une aide intelligente </w:t>
      </w:r>
      <w:r w:rsidR="007A218E" w:rsidRPr="0091571E">
        <w:rPr>
          <w:rFonts w:asciiTheme="minorHAnsi" w:hAnsiTheme="minorHAnsi" w:cstheme="majorBidi"/>
        </w:rPr>
        <w:t xml:space="preserve">et les utiliser judicieusement </w:t>
      </w:r>
      <w:r w:rsidR="00BE4191" w:rsidRPr="0091571E">
        <w:rPr>
          <w:rFonts w:asciiTheme="minorHAnsi" w:hAnsiTheme="minorHAnsi" w:cstheme="majorBidi"/>
        </w:rPr>
        <w:t>pour devenir plus souple, réactif, collaboratif et inclusif lorsqu'il s'agit de répondre aux besoins de toutes l</w:t>
      </w:r>
      <w:r w:rsidR="00AD01F5" w:rsidRPr="0091571E">
        <w:rPr>
          <w:rFonts w:asciiTheme="minorHAnsi" w:hAnsiTheme="minorHAnsi" w:cstheme="majorBidi"/>
        </w:rPr>
        <w:t xml:space="preserve">es parties prenantes et </w:t>
      </w:r>
      <w:r w:rsidR="007A218E" w:rsidRPr="0091571E">
        <w:rPr>
          <w:rFonts w:asciiTheme="minorHAnsi" w:hAnsiTheme="minorHAnsi" w:cstheme="majorBidi"/>
        </w:rPr>
        <w:t>intégrer</w:t>
      </w:r>
      <w:r w:rsidR="00BE4191" w:rsidRPr="0091571E">
        <w:rPr>
          <w:rFonts w:asciiTheme="minorHAnsi" w:hAnsiTheme="minorHAnsi" w:cstheme="majorBidi"/>
        </w:rPr>
        <w:t xml:space="preserve"> les TIC dans de nouvelles méthodes de travail, </w:t>
      </w:r>
      <w:r w:rsidR="00AD01F5" w:rsidRPr="0091571E">
        <w:rPr>
          <w:rFonts w:asciiTheme="minorHAnsi" w:hAnsiTheme="minorHAnsi" w:cstheme="majorBidi"/>
        </w:rPr>
        <w:t xml:space="preserve">afin de parvenir </w:t>
      </w:r>
      <w:r w:rsidR="00BE4191" w:rsidRPr="0091571E">
        <w:rPr>
          <w:rFonts w:asciiTheme="minorHAnsi" w:hAnsiTheme="minorHAnsi" w:cstheme="majorBidi"/>
        </w:rPr>
        <w:t xml:space="preserve">à des gains d'efficacité </w:t>
      </w:r>
      <w:r w:rsidR="00AD01F5" w:rsidRPr="0091571E">
        <w:rPr>
          <w:rFonts w:asciiTheme="minorHAnsi" w:hAnsiTheme="minorHAnsi" w:cstheme="majorBidi"/>
        </w:rPr>
        <w:t>au niveau interne</w:t>
      </w:r>
      <w:r w:rsidR="00BE4191" w:rsidRPr="0091571E">
        <w:rPr>
          <w:rFonts w:asciiTheme="minorHAnsi" w:hAnsiTheme="minorHAnsi" w:cstheme="majorBidi"/>
        </w:rPr>
        <w:t xml:space="preserve"> et </w:t>
      </w:r>
      <w:r w:rsidR="00AD01F5" w:rsidRPr="0091571E">
        <w:rPr>
          <w:rFonts w:asciiTheme="minorHAnsi" w:hAnsiTheme="minorHAnsi" w:cstheme="majorBidi"/>
        </w:rPr>
        <w:t>de créer</w:t>
      </w:r>
      <w:r w:rsidR="00BE4191" w:rsidRPr="0091571E">
        <w:rPr>
          <w:rFonts w:asciiTheme="minorHAnsi" w:hAnsiTheme="minorHAnsi" w:cstheme="majorBidi"/>
        </w:rPr>
        <w:t xml:space="preserve"> un instrument plus efficace </w:t>
      </w:r>
      <w:r w:rsidR="00AD01F5" w:rsidRPr="0091571E">
        <w:rPr>
          <w:rFonts w:asciiTheme="minorHAnsi" w:hAnsiTheme="minorHAnsi" w:cstheme="majorBidi"/>
        </w:rPr>
        <w:t>au service de la participation et de la collaboration d</w:t>
      </w:r>
      <w:r w:rsidR="00BE4191" w:rsidRPr="0091571E">
        <w:rPr>
          <w:rFonts w:asciiTheme="minorHAnsi" w:hAnsiTheme="minorHAnsi" w:cstheme="majorBidi"/>
        </w:rPr>
        <w:t xml:space="preserve">es </w:t>
      </w:r>
      <w:r w:rsidR="004908D1" w:rsidRPr="0091571E">
        <w:rPr>
          <w:rFonts w:asciiTheme="minorHAnsi" w:hAnsiTheme="minorHAnsi" w:cstheme="majorBidi"/>
        </w:rPr>
        <w:t>E</w:t>
      </w:r>
      <w:r w:rsidR="00BE4191" w:rsidRPr="0091571E">
        <w:rPr>
          <w:rFonts w:asciiTheme="minorHAnsi" w:hAnsiTheme="minorHAnsi" w:cstheme="majorBidi"/>
        </w:rPr>
        <w:t xml:space="preserve">tats </w:t>
      </w:r>
      <w:r w:rsidR="00AD01F5" w:rsidRPr="0091571E">
        <w:rPr>
          <w:rFonts w:asciiTheme="minorHAnsi" w:hAnsiTheme="minorHAnsi" w:cstheme="majorBidi"/>
        </w:rPr>
        <w:t>Membres, des Membres de Secteur</w:t>
      </w:r>
      <w:r w:rsidR="00BE4191" w:rsidRPr="0091571E">
        <w:rPr>
          <w:rFonts w:asciiTheme="minorHAnsi" w:hAnsiTheme="minorHAnsi" w:cstheme="majorBidi"/>
        </w:rPr>
        <w:t xml:space="preserve">, </w:t>
      </w:r>
      <w:r w:rsidR="00AD01F5" w:rsidRPr="0091571E">
        <w:rPr>
          <w:rFonts w:asciiTheme="minorHAnsi" w:hAnsiTheme="minorHAnsi" w:cstheme="majorBidi"/>
        </w:rPr>
        <w:t xml:space="preserve">des établissements universitaires </w:t>
      </w:r>
      <w:r w:rsidR="00BE4191" w:rsidRPr="0091571E">
        <w:rPr>
          <w:rFonts w:asciiTheme="minorHAnsi" w:hAnsiTheme="minorHAnsi" w:cstheme="majorBidi"/>
        </w:rPr>
        <w:t xml:space="preserve">et </w:t>
      </w:r>
      <w:r w:rsidR="00AD01F5" w:rsidRPr="0091571E">
        <w:rPr>
          <w:rFonts w:asciiTheme="minorHAnsi" w:hAnsiTheme="minorHAnsi" w:cstheme="majorBidi"/>
        </w:rPr>
        <w:t>des Associés.</w:t>
      </w:r>
    </w:p>
    <w:p w:rsidR="008E3D37" w:rsidRPr="0091571E" w:rsidRDefault="008E3D37" w:rsidP="007A218E">
      <w:pPr>
        <w:rPr>
          <w:rFonts w:asciiTheme="minorHAnsi" w:eastAsiaTheme="minorEastAsia" w:hAnsiTheme="minorHAnsi"/>
          <w:lang w:eastAsia="zh-CN"/>
        </w:rPr>
      </w:pPr>
      <w:r w:rsidRPr="0091571E">
        <w:rPr>
          <w:rFonts w:asciiTheme="minorHAnsi" w:eastAsiaTheme="minorEastAsia" w:hAnsiTheme="minorHAnsi"/>
          <w:lang w:eastAsia="zh-CN"/>
        </w:rPr>
        <w:t>1.4</w:t>
      </w:r>
      <w:r w:rsidRPr="0091571E">
        <w:rPr>
          <w:rFonts w:asciiTheme="minorHAnsi" w:eastAsiaTheme="minorEastAsia" w:hAnsiTheme="minorHAnsi"/>
          <w:lang w:eastAsia="zh-CN"/>
        </w:rPr>
        <w:tab/>
      </w:r>
      <w:r w:rsidR="00BE4191" w:rsidRPr="0091571E">
        <w:rPr>
          <w:rFonts w:asciiTheme="minorHAnsi" w:eastAsiaTheme="minorEastAsia" w:hAnsiTheme="minorHAnsi"/>
          <w:lang w:eastAsia="zh-CN"/>
        </w:rPr>
        <w:t xml:space="preserve">La stratégie en matière de TIC repose sur </w:t>
      </w:r>
      <w:r w:rsidR="00C440B2" w:rsidRPr="0091571E">
        <w:rPr>
          <w:rFonts w:asciiTheme="minorHAnsi" w:eastAsiaTheme="minorEastAsia" w:hAnsiTheme="minorHAnsi"/>
          <w:lang w:eastAsia="zh-CN"/>
        </w:rPr>
        <w:t>les catalyseurs suivants</w:t>
      </w:r>
      <w:r w:rsidRPr="0091571E">
        <w:rPr>
          <w:rStyle w:val="FootnoteReference"/>
          <w:rFonts w:asciiTheme="minorHAnsi" w:eastAsiaTheme="minorEastAsia" w:hAnsiTheme="minorHAnsi"/>
          <w:sz w:val="18"/>
          <w:szCs w:val="18"/>
          <w:lang w:eastAsia="zh-CN"/>
        </w:rPr>
        <w:footnoteReference w:id="2"/>
      </w:r>
      <w:r w:rsidR="007A218E" w:rsidRPr="0091571E">
        <w:rPr>
          <w:rFonts w:asciiTheme="minorHAnsi" w:eastAsiaTheme="minorEastAsia" w:hAnsiTheme="minorHAnsi"/>
          <w:lang w:eastAsia="zh-CN"/>
        </w:rPr>
        <w:t>:</w:t>
      </w:r>
    </w:p>
    <w:p w:rsidR="008E3D37" w:rsidRPr="0091571E" w:rsidRDefault="007A218E" w:rsidP="007A218E">
      <w:pPr>
        <w:pStyle w:val="enumlev1"/>
      </w:pPr>
      <w:r w:rsidRPr="0091571E">
        <w:tab/>
      </w:r>
      <w:r w:rsidR="008E3D37" w:rsidRPr="0091571E">
        <w:t xml:space="preserve">E.1: </w:t>
      </w:r>
      <w:r w:rsidR="00C440B2" w:rsidRPr="0091571E">
        <w:t>Veiller à l'utilisation efficace et efficiente des ressources humaines, financières et en capital et garantir un environnement de travail propice, sûr et sécurisé</w:t>
      </w:r>
    </w:p>
    <w:p w:rsidR="008E3D37" w:rsidRPr="0091571E" w:rsidRDefault="007A218E" w:rsidP="007A218E">
      <w:pPr>
        <w:pStyle w:val="enumlev1"/>
      </w:pPr>
      <w:r w:rsidRPr="0091571E">
        <w:tab/>
      </w:r>
      <w:r w:rsidR="008E3D37" w:rsidRPr="0091571E">
        <w:t xml:space="preserve">E.2: </w:t>
      </w:r>
      <w:r w:rsidR="006C604A" w:rsidRPr="0091571E">
        <w:t>Veiller à l'efficacité et à l'accessibilité des infrastructures (conférences, réunions, documentation, publications et information)</w:t>
      </w:r>
    </w:p>
    <w:p w:rsidR="008E3D37" w:rsidRPr="0091571E" w:rsidRDefault="008E3D37" w:rsidP="007A218E">
      <w:pPr>
        <w:pStyle w:val="Heading1"/>
      </w:pPr>
      <w:bookmarkStart w:id="12" w:name="_Toc466550107"/>
      <w:bookmarkStart w:id="13" w:name="_Toc473010171"/>
      <w:r w:rsidRPr="0091571E">
        <w:t>2</w:t>
      </w:r>
      <w:r w:rsidRPr="0091571E">
        <w:tab/>
      </w:r>
      <w:r w:rsidR="00FB1B55" w:rsidRPr="0091571E">
        <w:t xml:space="preserve">Axes </w:t>
      </w:r>
      <w:r w:rsidR="00AD01F5" w:rsidRPr="0091571E">
        <w:t>et o</w:t>
      </w:r>
      <w:r w:rsidRPr="0091571E">
        <w:t>bjecti</w:t>
      </w:r>
      <w:r w:rsidR="00AD01F5" w:rsidRPr="0091571E">
        <w:t>f</w:t>
      </w:r>
      <w:r w:rsidRPr="0091571E">
        <w:t>s</w:t>
      </w:r>
      <w:bookmarkEnd w:id="12"/>
      <w:bookmarkEnd w:id="13"/>
      <w:r w:rsidR="00AD01F5" w:rsidRPr="0091571E">
        <w:t xml:space="preserve"> de la stratégie en matière de TIC</w:t>
      </w:r>
    </w:p>
    <w:p w:rsidR="008E3D37" w:rsidRPr="0091571E" w:rsidRDefault="008E3D37" w:rsidP="006C1C40">
      <w:pPr>
        <w:rPr>
          <w:rFonts w:asciiTheme="minorHAnsi" w:hAnsiTheme="minorHAnsi" w:cstheme="majorBidi"/>
        </w:rPr>
      </w:pPr>
      <w:r w:rsidRPr="0091571E">
        <w:rPr>
          <w:rFonts w:asciiTheme="minorHAnsi" w:hAnsiTheme="minorHAnsi" w:cstheme="majorBidi"/>
        </w:rPr>
        <w:t>2.1</w:t>
      </w:r>
      <w:r w:rsidRPr="0091571E">
        <w:rPr>
          <w:rFonts w:asciiTheme="minorHAnsi" w:hAnsiTheme="minorHAnsi" w:cstheme="majorBidi"/>
        </w:rPr>
        <w:tab/>
      </w:r>
      <w:r w:rsidR="00FB1B55" w:rsidRPr="0091571E">
        <w:rPr>
          <w:rFonts w:asciiTheme="minorHAnsi" w:hAnsiTheme="minorHAnsi" w:cstheme="majorBidi"/>
        </w:rPr>
        <w:t>Pour atteindre les buts stratégiques de l'</w:t>
      </w:r>
      <w:r w:rsidRPr="0091571E">
        <w:rPr>
          <w:rFonts w:asciiTheme="minorHAnsi" w:hAnsiTheme="minorHAnsi" w:cstheme="majorBidi"/>
        </w:rPr>
        <w:t xml:space="preserve">Union </w:t>
      </w:r>
      <w:r w:rsidR="00FB1B55" w:rsidRPr="0091571E">
        <w:rPr>
          <w:rFonts w:asciiTheme="minorHAnsi" w:hAnsiTheme="minorHAnsi" w:cstheme="majorBidi"/>
        </w:rPr>
        <w:t xml:space="preserve">tels qu'ils sont définis dans le </w:t>
      </w:r>
      <w:r w:rsidRPr="0091571E">
        <w:rPr>
          <w:rFonts w:asciiTheme="minorHAnsi" w:hAnsiTheme="minorHAnsi" w:cstheme="majorBidi"/>
        </w:rPr>
        <w:t xml:space="preserve">Plan </w:t>
      </w:r>
      <w:r w:rsidR="00FB1B55" w:rsidRPr="0091571E">
        <w:rPr>
          <w:rFonts w:asciiTheme="minorHAnsi" w:hAnsiTheme="minorHAnsi" w:cstheme="majorBidi"/>
        </w:rPr>
        <w:t xml:space="preserve">stratégique pour la période </w:t>
      </w:r>
      <w:r w:rsidRPr="0091571E">
        <w:rPr>
          <w:rFonts w:asciiTheme="minorHAnsi" w:hAnsiTheme="minorHAnsi" w:cstheme="majorBidi"/>
        </w:rPr>
        <w:t>2016-2019</w:t>
      </w:r>
      <w:r w:rsidRPr="0091571E">
        <w:rPr>
          <w:rStyle w:val="FootnoteReference"/>
          <w:rFonts w:asciiTheme="minorHAnsi" w:hAnsiTheme="minorHAnsi" w:cstheme="majorBidi"/>
          <w:sz w:val="18"/>
          <w:szCs w:val="18"/>
        </w:rPr>
        <w:footnoteReference w:id="3"/>
      </w:r>
      <w:r w:rsidRPr="0091571E">
        <w:rPr>
          <w:rFonts w:asciiTheme="minorHAnsi" w:hAnsiTheme="minorHAnsi" w:cstheme="majorBidi"/>
        </w:rPr>
        <w:t xml:space="preserve">, </w:t>
      </w:r>
      <w:r w:rsidR="00FB1B55" w:rsidRPr="0091571E">
        <w:rPr>
          <w:rFonts w:asciiTheme="minorHAnsi" w:hAnsiTheme="minorHAnsi" w:cstheme="majorBidi"/>
        </w:rPr>
        <w:t>les</w:t>
      </w:r>
      <w:r w:rsidR="00384E15" w:rsidRPr="0091571E">
        <w:rPr>
          <w:rFonts w:asciiTheme="minorHAnsi" w:hAnsiTheme="minorHAnsi" w:cstheme="majorBidi"/>
        </w:rPr>
        <w:t xml:space="preserve"> </w:t>
      </w:r>
      <w:r w:rsidR="00FB1B55" w:rsidRPr="0091571E">
        <w:rPr>
          <w:rFonts w:asciiTheme="minorHAnsi" w:hAnsiTheme="minorHAnsi" w:cstheme="majorBidi"/>
        </w:rPr>
        <w:t>principaux axes de la stratégie de l'UIT en matière de TIC seront les suivants</w:t>
      </w:r>
      <w:r w:rsidRPr="0091571E">
        <w:rPr>
          <w:rFonts w:asciiTheme="minorHAnsi" w:hAnsiTheme="minorHAnsi" w:cstheme="majorBidi"/>
        </w:rPr>
        <w:t xml:space="preserve">: </w:t>
      </w:r>
      <w:r w:rsidR="00FB1B55" w:rsidRPr="0091571E">
        <w:rPr>
          <w:rFonts w:asciiTheme="minorHAnsi" w:hAnsiTheme="minorHAnsi" w:cstheme="majorBidi"/>
          <w:b/>
          <w:bCs/>
        </w:rPr>
        <w:t>priorité au numérique</w:t>
      </w:r>
      <w:r w:rsidR="00FB1B55" w:rsidRPr="0091571E">
        <w:rPr>
          <w:rFonts w:asciiTheme="minorHAnsi" w:hAnsiTheme="minorHAnsi" w:cstheme="majorBidi"/>
        </w:rPr>
        <w:t>,</w:t>
      </w:r>
      <w:r w:rsidR="00FB1B55" w:rsidRPr="0091571E">
        <w:rPr>
          <w:rFonts w:asciiTheme="minorHAnsi" w:hAnsiTheme="minorHAnsi" w:cstheme="majorBidi"/>
          <w:b/>
          <w:bCs/>
        </w:rPr>
        <w:t xml:space="preserve"> mobilité, sécurité </w:t>
      </w:r>
      <w:r w:rsidR="00FB1B55" w:rsidRPr="0091571E">
        <w:rPr>
          <w:rFonts w:asciiTheme="minorHAnsi" w:hAnsiTheme="minorHAnsi" w:cstheme="majorBidi"/>
        </w:rPr>
        <w:t>et</w:t>
      </w:r>
      <w:r w:rsidR="00FB1B55" w:rsidRPr="0091571E">
        <w:rPr>
          <w:rFonts w:asciiTheme="minorHAnsi" w:hAnsiTheme="minorHAnsi" w:cstheme="majorBidi"/>
          <w:b/>
          <w:bCs/>
        </w:rPr>
        <w:t xml:space="preserve"> orientation sur les données</w:t>
      </w:r>
      <w:r w:rsidR="00FB1B55" w:rsidRPr="0091571E">
        <w:rPr>
          <w:rFonts w:asciiTheme="minorHAnsi" w:hAnsiTheme="minorHAnsi" w:cstheme="majorBidi"/>
        </w:rPr>
        <w:t>,</w:t>
      </w:r>
      <w:r w:rsidR="00FB1B55" w:rsidRPr="0091571E">
        <w:rPr>
          <w:rFonts w:asciiTheme="minorHAnsi" w:hAnsiTheme="minorHAnsi" w:cstheme="majorBidi"/>
          <w:b/>
          <w:bCs/>
        </w:rPr>
        <w:t xml:space="preserve"> </w:t>
      </w:r>
      <w:r w:rsidR="00FB1B55" w:rsidRPr="0091571E">
        <w:rPr>
          <w:rFonts w:asciiTheme="minorHAnsi" w:hAnsiTheme="minorHAnsi" w:cstheme="majorBidi"/>
        </w:rPr>
        <w:t>dans le cadre d'une</w:t>
      </w:r>
      <w:r w:rsidR="00FB1B55" w:rsidRPr="0091571E">
        <w:rPr>
          <w:rFonts w:asciiTheme="minorHAnsi" w:hAnsiTheme="minorHAnsi" w:cstheme="majorBidi"/>
          <w:b/>
          <w:bCs/>
        </w:rPr>
        <w:t xml:space="preserve"> transformation numérique globale à l'UIT</w:t>
      </w:r>
      <w:r w:rsidRPr="0091571E">
        <w:rPr>
          <w:rFonts w:asciiTheme="minorHAnsi" w:hAnsiTheme="minorHAnsi" w:cstheme="majorBidi"/>
        </w:rPr>
        <w:t>.</w:t>
      </w:r>
    </w:p>
    <w:p w:rsidR="008E3D37" w:rsidRPr="0091571E" w:rsidRDefault="008E3D37" w:rsidP="006A1F55">
      <w:pPr>
        <w:rPr>
          <w:rFonts w:asciiTheme="minorHAnsi" w:hAnsiTheme="minorHAnsi" w:cstheme="majorBidi"/>
        </w:rPr>
      </w:pPr>
      <w:r w:rsidRPr="0091571E">
        <w:rPr>
          <w:rFonts w:asciiTheme="minorHAnsi" w:hAnsiTheme="minorHAnsi" w:cstheme="majorBidi"/>
        </w:rPr>
        <w:t>2.2</w:t>
      </w:r>
      <w:r w:rsidRPr="0091571E">
        <w:rPr>
          <w:rFonts w:asciiTheme="minorHAnsi" w:hAnsiTheme="minorHAnsi" w:cstheme="majorBidi"/>
        </w:rPr>
        <w:tab/>
      </w:r>
      <w:r w:rsidR="00FB1B55" w:rsidRPr="0091571E">
        <w:rPr>
          <w:rFonts w:asciiTheme="minorHAnsi" w:hAnsiTheme="minorHAnsi" w:cstheme="majorBidi"/>
        </w:rPr>
        <w:t xml:space="preserve">Les quatre éléments de cette stratégie en matière de TIC </w:t>
      </w:r>
      <w:r w:rsidR="006A1F55" w:rsidRPr="0091571E">
        <w:rPr>
          <w:rFonts w:asciiTheme="minorHAnsi" w:hAnsiTheme="minorHAnsi" w:cstheme="majorBidi"/>
        </w:rPr>
        <w:t>visent à appuy</w:t>
      </w:r>
      <w:r w:rsidR="00FB1B55" w:rsidRPr="0091571E">
        <w:rPr>
          <w:rFonts w:asciiTheme="minorHAnsi" w:hAnsiTheme="minorHAnsi" w:cstheme="majorBidi"/>
        </w:rPr>
        <w:t>e</w:t>
      </w:r>
      <w:r w:rsidR="006A1F55" w:rsidRPr="0091571E">
        <w:rPr>
          <w:rFonts w:asciiTheme="minorHAnsi" w:hAnsiTheme="minorHAnsi" w:cstheme="majorBidi"/>
        </w:rPr>
        <w:t xml:space="preserve">r </w:t>
      </w:r>
      <w:r w:rsidR="00FB1B55" w:rsidRPr="0091571E">
        <w:rPr>
          <w:rFonts w:asciiTheme="minorHAnsi" w:hAnsiTheme="minorHAnsi" w:cstheme="majorBidi"/>
        </w:rPr>
        <w:t>les activités de l'</w:t>
      </w:r>
      <w:r w:rsidRPr="0091571E">
        <w:rPr>
          <w:rFonts w:asciiTheme="minorHAnsi" w:hAnsiTheme="minorHAnsi" w:cstheme="majorBidi"/>
        </w:rPr>
        <w:t>Union</w:t>
      </w:r>
      <w:r w:rsidR="006A1F55" w:rsidRPr="0091571E">
        <w:rPr>
          <w:rFonts w:asciiTheme="minorHAnsi" w:hAnsiTheme="minorHAnsi" w:cstheme="majorBidi"/>
        </w:rPr>
        <w:t>,</w:t>
      </w:r>
      <w:r w:rsidRPr="0091571E">
        <w:rPr>
          <w:rFonts w:asciiTheme="minorHAnsi" w:hAnsiTheme="minorHAnsi" w:cstheme="majorBidi"/>
        </w:rPr>
        <w:t xml:space="preserve"> </w:t>
      </w:r>
      <w:r w:rsidR="00570A44">
        <w:rPr>
          <w:rFonts w:asciiTheme="minorHAnsi" w:hAnsiTheme="minorHAnsi" w:cstheme="majorBidi"/>
        </w:rPr>
        <w:t xml:space="preserve">les </w:t>
      </w:r>
      <w:r w:rsidR="00FB1B55" w:rsidRPr="0091571E">
        <w:rPr>
          <w:rFonts w:asciiTheme="minorHAnsi" w:hAnsiTheme="minorHAnsi" w:cstheme="majorBidi"/>
        </w:rPr>
        <w:t>objectif</w:t>
      </w:r>
      <w:r w:rsidRPr="0091571E">
        <w:rPr>
          <w:rFonts w:asciiTheme="minorHAnsi" w:hAnsiTheme="minorHAnsi" w:cstheme="majorBidi"/>
        </w:rPr>
        <w:t>s</w:t>
      </w:r>
      <w:r w:rsidR="00FB1B55" w:rsidRPr="0091571E">
        <w:rPr>
          <w:rFonts w:asciiTheme="minorHAnsi" w:hAnsiTheme="minorHAnsi" w:cstheme="majorBidi"/>
        </w:rPr>
        <w:t xml:space="preserve"> </w:t>
      </w:r>
      <w:r w:rsidR="0091571E" w:rsidRPr="0091571E">
        <w:rPr>
          <w:rFonts w:asciiTheme="minorHAnsi" w:hAnsiTheme="minorHAnsi" w:cstheme="majorBidi"/>
        </w:rPr>
        <w:t xml:space="preserve">étant les </w:t>
      </w:r>
      <w:r w:rsidR="00FB1B55" w:rsidRPr="0091571E">
        <w:rPr>
          <w:rFonts w:asciiTheme="minorHAnsi" w:hAnsiTheme="minorHAnsi" w:cstheme="majorBidi"/>
        </w:rPr>
        <w:t>suivants</w:t>
      </w:r>
      <w:r w:rsidRPr="0091571E">
        <w:rPr>
          <w:rFonts w:asciiTheme="minorHAnsi" w:hAnsiTheme="minorHAnsi" w:cstheme="majorBidi"/>
        </w:rPr>
        <w:t>:</w:t>
      </w:r>
    </w:p>
    <w:p w:rsidR="008E3D37" w:rsidRPr="0091571E" w:rsidRDefault="007A218E" w:rsidP="007A218E">
      <w:pPr>
        <w:pStyle w:val="enumlev1"/>
        <w:rPr>
          <w:b/>
          <w:bCs/>
        </w:rPr>
      </w:pPr>
      <w:r w:rsidRPr="0091571E">
        <w:rPr>
          <w:b/>
          <w:bCs/>
        </w:rPr>
        <w:t>•</w:t>
      </w:r>
      <w:r w:rsidRPr="0091571E">
        <w:rPr>
          <w:b/>
          <w:bCs/>
        </w:rPr>
        <w:tab/>
      </w:r>
      <w:r w:rsidR="00153667" w:rsidRPr="0091571E">
        <w:rPr>
          <w:b/>
          <w:bCs/>
        </w:rPr>
        <w:t>Objectif</w:t>
      </w:r>
      <w:r w:rsidR="008E3D37" w:rsidRPr="0091571E">
        <w:rPr>
          <w:b/>
          <w:bCs/>
        </w:rPr>
        <w:t xml:space="preserve"> 1: </w:t>
      </w:r>
      <w:r w:rsidR="00FB1B55" w:rsidRPr="0091571E">
        <w:rPr>
          <w:b/>
          <w:bCs/>
        </w:rPr>
        <w:t>Renforcer la p</w:t>
      </w:r>
      <w:r w:rsidR="008E3D37" w:rsidRPr="0091571E">
        <w:rPr>
          <w:b/>
          <w:bCs/>
        </w:rPr>
        <w:t xml:space="preserve">articipation </w:t>
      </w:r>
      <w:r w:rsidR="00FB1B55" w:rsidRPr="0091571E">
        <w:rPr>
          <w:b/>
          <w:bCs/>
        </w:rPr>
        <w:t>des membres</w:t>
      </w:r>
    </w:p>
    <w:p w:rsidR="008E3D37" w:rsidRPr="0091571E" w:rsidRDefault="007A218E" w:rsidP="007A218E">
      <w:pPr>
        <w:pStyle w:val="enumlev1"/>
      </w:pPr>
      <w:r w:rsidRPr="0091571E">
        <w:tab/>
      </w:r>
      <w:r w:rsidR="00AF30C9" w:rsidRPr="0091571E">
        <w:t>Enrichir l'expé</w:t>
      </w:r>
      <w:r w:rsidR="008E3D37" w:rsidRPr="0091571E">
        <w:t xml:space="preserve">rience </w:t>
      </w:r>
      <w:r w:rsidR="00AF30C9" w:rsidRPr="0091571E">
        <w:t xml:space="preserve">des membres </w:t>
      </w:r>
      <w:r w:rsidR="008E3D37" w:rsidRPr="0091571E">
        <w:t>participa</w:t>
      </w:r>
      <w:r w:rsidR="00AF30C9" w:rsidRPr="0091571E">
        <w:t>nt aux travaux officiels des commissions d'études</w:t>
      </w:r>
      <w:r w:rsidR="008E3D37" w:rsidRPr="0091571E">
        <w:t>, forums</w:t>
      </w:r>
      <w:r w:rsidR="00AF30C9" w:rsidRPr="0091571E">
        <w:t xml:space="preserve"> et confé</w:t>
      </w:r>
      <w:r w:rsidR="008E3D37" w:rsidRPr="0091571E">
        <w:t xml:space="preserve">rences, </w:t>
      </w:r>
      <w:r w:rsidR="00AF30C9" w:rsidRPr="0091571E">
        <w:t xml:space="preserve">et </w:t>
      </w:r>
      <w:r w:rsidR="008E3D37" w:rsidRPr="0091571E">
        <w:t>facilit</w:t>
      </w:r>
      <w:r w:rsidR="00AF30C9" w:rsidRPr="0091571E">
        <w:t>er les rencontres informelles et l'échange d'</w:t>
      </w:r>
      <w:r w:rsidR="008E3D37" w:rsidRPr="0091571E">
        <w:t>information</w:t>
      </w:r>
      <w:r w:rsidR="00AF30C9" w:rsidRPr="0091571E">
        <w:t>s</w:t>
      </w:r>
      <w:r w:rsidR="008E3D37" w:rsidRPr="0091571E">
        <w:t xml:space="preserve"> </w:t>
      </w:r>
      <w:r w:rsidR="00AF30C9" w:rsidRPr="0091571E">
        <w:t>entre les memb</w:t>
      </w:r>
      <w:r w:rsidR="008E3D37" w:rsidRPr="0091571E">
        <w:t>r</w:t>
      </w:r>
      <w:r w:rsidR="00AF30C9" w:rsidRPr="0091571E">
        <w:t>e</w:t>
      </w:r>
      <w:r w:rsidR="008E3D37" w:rsidRPr="0091571E">
        <w:t xml:space="preserve">s. </w:t>
      </w:r>
    </w:p>
    <w:p w:rsidR="008E3D37" w:rsidRPr="0091571E" w:rsidRDefault="007A218E" w:rsidP="006A1F55">
      <w:pPr>
        <w:pStyle w:val="enumlev1"/>
        <w:keepNext/>
        <w:keepLines/>
        <w:rPr>
          <w:b/>
          <w:bCs/>
        </w:rPr>
      </w:pPr>
      <w:r w:rsidRPr="0091571E">
        <w:rPr>
          <w:b/>
          <w:bCs/>
        </w:rPr>
        <w:lastRenderedPageBreak/>
        <w:t>•</w:t>
      </w:r>
      <w:r w:rsidRPr="0091571E">
        <w:rPr>
          <w:b/>
          <w:bCs/>
        </w:rPr>
        <w:tab/>
      </w:r>
      <w:r w:rsidR="00153667" w:rsidRPr="0091571E">
        <w:rPr>
          <w:b/>
          <w:bCs/>
        </w:rPr>
        <w:t>Objectif</w:t>
      </w:r>
      <w:r w:rsidR="00384E15" w:rsidRPr="0091571E">
        <w:rPr>
          <w:b/>
          <w:bCs/>
        </w:rPr>
        <w:t xml:space="preserve"> 2: Facilit</w:t>
      </w:r>
      <w:r w:rsidR="00FB1B55" w:rsidRPr="0091571E">
        <w:rPr>
          <w:b/>
          <w:bCs/>
        </w:rPr>
        <w:t>er l'accès aux données</w:t>
      </w:r>
      <w:r w:rsidR="008E3D37" w:rsidRPr="0091571E">
        <w:rPr>
          <w:b/>
          <w:bCs/>
        </w:rPr>
        <w:t>/</w:t>
      </w:r>
      <w:r w:rsidR="00FB1B55" w:rsidRPr="0091571E">
        <w:rPr>
          <w:b/>
          <w:bCs/>
        </w:rPr>
        <w:t>i</w:t>
      </w:r>
      <w:r w:rsidR="008E3D37" w:rsidRPr="0091571E">
        <w:rPr>
          <w:b/>
          <w:bCs/>
        </w:rPr>
        <w:t>nformation</w:t>
      </w:r>
      <w:r w:rsidR="00FB1B55" w:rsidRPr="0091571E">
        <w:rPr>
          <w:b/>
          <w:bCs/>
        </w:rPr>
        <w:t>s</w:t>
      </w:r>
      <w:r w:rsidR="008E3D37" w:rsidRPr="0091571E">
        <w:rPr>
          <w:b/>
          <w:bCs/>
        </w:rPr>
        <w:t xml:space="preserve"> </w:t>
      </w:r>
      <w:r w:rsidR="00FB1B55" w:rsidRPr="0091571E">
        <w:rPr>
          <w:b/>
          <w:bCs/>
        </w:rPr>
        <w:t>et la c</w:t>
      </w:r>
      <w:r w:rsidR="006A1F55" w:rsidRPr="0091571E">
        <w:rPr>
          <w:b/>
          <w:bCs/>
        </w:rPr>
        <w:t>ollaboration</w:t>
      </w:r>
    </w:p>
    <w:p w:rsidR="00211330" w:rsidRPr="0091571E" w:rsidRDefault="007A218E" w:rsidP="007A218E">
      <w:pPr>
        <w:pStyle w:val="enumlev1"/>
      </w:pPr>
      <w:r w:rsidRPr="0091571E">
        <w:tab/>
      </w:r>
      <w:r w:rsidR="00153667" w:rsidRPr="0091571E">
        <w:t>Faire en sorte que l'accès aux informations et aux données de l'UIT présente le plus grand intérêt possible pour les m</w:t>
      </w:r>
      <w:r w:rsidR="00211330" w:rsidRPr="0091571E">
        <w:t>embres et la communauté mondiale des télécommunications</w:t>
      </w:r>
      <w:r w:rsidR="004908D1" w:rsidRPr="0091571E">
        <w:t>,</w:t>
      </w:r>
      <w:r w:rsidR="00211330" w:rsidRPr="0091571E">
        <w:t xml:space="preserve"> et assurer ainsi la promotion de l'UIT tout en améliorant sa notoriété.</w:t>
      </w:r>
    </w:p>
    <w:p w:rsidR="008E3D37" w:rsidRPr="0091571E" w:rsidRDefault="006A1F55" w:rsidP="007A218E">
      <w:pPr>
        <w:pStyle w:val="enumlev1"/>
        <w:rPr>
          <w:b/>
          <w:bCs/>
        </w:rPr>
      </w:pPr>
      <w:r w:rsidRPr="0091571E">
        <w:rPr>
          <w:b/>
          <w:bCs/>
        </w:rPr>
        <w:t>•</w:t>
      </w:r>
      <w:r w:rsidRPr="0091571E">
        <w:rPr>
          <w:b/>
          <w:bCs/>
        </w:rPr>
        <w:tab/>
      </w:r>
      <w:r w:rsidR="00153667" w:rsidRPr="0091571E">
        <w:rPr>
          <w:b/>
          <w:bCs/>
        </w:rPr>
        <w:t>Objectif</w:t>
      </w:r>
      <w:r w:rsidR="008E3D37" w:rsidRPr="0091571E">
        <w:rPr>
          <w:b/>
          <w:bCs/>
        </w:rPr>
        <w:t xml:space="preserve"> 3: </w:t>
      </w:r>
      <w:r w:rsidR="00FB1B55" w:rsidRPr="0091571E">
        <w:rPr>
          <w:b/>
          <w:bCs/>
        </w:rPr>
        <w:t>Favori</w:t>
      </w:r>
      <w:r w:rsidRPr="0091571E">
        <w:rPr>
          <w:b/>
          <w:bCs/>
        </w:rPr>
        <w:t>ser l'efficacité opérationnelle</w:t>
      </w:r>
    </w:p>
    <w:p w:rsidR="008E3D37" w:rsidRPr="0091571E" w:rsidRDefault="007A218E" w:rsidP="006C1C40">
      <w:pPr>
        <w:pStyle w:val="enumlev1"/>
      </w:pPr>
      <w:r w:rsidRPr="0091571E">
        <w:tab/>
      </w:r>
      <w:r w:rsidR="00FB1B55" w:rsidRPr="0091571E">
        <w:t xml:space="preserve">Favoriser l'efficacité </w:t>
      </w:r>
      <w:r w:rsidR="00AF30C9" w:rsidRPr="0091571E">
        <w:t xml:space="preserve">de toute l'UIT </w:t>
      </w:r>
      <w:r w:rsidR="008E3D37" w:rsidRPr="0091571E">
        <w:t>(</w:t>
      </w:r>
      <w:r w:rsidR="00AF30C9" w:rsidRPr="0091571E">
        <w:t>au siège et hors siège</w:t>
      </w:r>
      <w:r w:rsidR="008E3D37" w:rsidRPr="0091571E">
        <w:t xml:space="preserve">) </w:t>
      </w:r>
      <w:r w:rsidR="00AF30C9" w:rsidRPr="0091571E">
        <w:t>et la bonne gestion des ressources de l'Union</w:t>
      </w:r>
      <w:r w:rsidR="008E3D37" w:rsidRPr="0091571E">
        <w:rPr>
          <w:rStyle w:val="FootnoteReference"/>
          <w:rFonts w:asciiTheme="minorHAnsi" w:hAnsiTheme="minorHAnsi" w:cstheme="majorBidi"/>
          <w:sz w:val="18"/>
          <w:szCs w:val="18"/>
        </w:rPr>
        <w:footnoteReference w:id="4"/>
      </w:r>
      <w:r w:rsidR="006C1C40" w:rsidRPr="0091571E">
        <w:t>.</w:t>
      </w:r>
      <w:r w:rsidR="008E3D37" w:rsidRPr="0091571E">
        <w:t xml:space="preserve"> </w:t>
      </w:r>
    </w:p>
    <w:p w:rsidR="008E3D37" w:rsidRPr="0091571E" w:rsidRDefault="006A1F55" w:rsidP="00FB4B8C">
      <w:pPr>
        <w:rPr>
          <w:b/>
          <w:bCs/>
        </w:rPr>
      </w:pPr>
      <w:r w:rsidRPr="0091571E">
        <w:rPr>
          <w:b/>
          <w:bCs/>
        </w:rPr>
        <w:t>•</w:t>
      </w:r>
      <w:r w:rsidRPr="0091571E">
        <w:rPr>
          <w:b/>
          <w:bCs/>
        </w:rPr>
        <w:tab/>
      </w:r>
      <w:r w:rsidR="00153667" w:rsidRPr="0091571E">
        <w:rPr>
          <w:b/>
          <w:bCs/>
        </w:rPr>
        <w:t>Objectif</w:t>
      </w:r>
      <w:r w:rsidR="008E3D37" w:rsidRPr="0091571E">
        <w:rPr>
          <w:b/>
          <w:bCs/>
        </w:rPr>
        <w:t xml:space="preserve"> 4: </w:t>
      </w:r>
      <w:r w:rsidR="00AF30C9" w:rsidRPr="0091571E">
        <w:rPr>
          <w:b/>
          <w:bCs/>
        </w:rPr>
        <w:t xml:space="preserve">Garantir un </w:t>
      </w:r>
      <w:r w:rsidR="00384E15" w:rsidRPr="0091571E">
        <w:rPr>
          <w:b/>
          <w:bCs/>
        </w:rPr>
        <w:t>environnement</w:t>
      </w:r>
      <w:r w:rsidR="00AF30C9" w:rsidRPr="0091571E">
        <w:rPr>
          <w:b/>
          <w:bCs/>
        </w:rPr>
        <w:t xml:space="preserve"> de travail sûr et sécurisé</w:t>
      </w:r>
    </w:p>
    <w:p w:rsidR="008E3D37" w:rsidRPr="0091571E" w:rsidRDefault="007A218E" w:rsidP="007A218E">
      <w:pPr>
        <w:pStyle w:val="enumlev1"/>
      </w:pPr>
      <w:r w:rsidRPr="0091571E">
        <w:tab/>
      </w:r>
      <w:r w:rsidR="00AF30C9" w:rsidRPr="0091571E">
        <w:t>Améliorer la sécurité et moderniser le contrôle d'accès pour le personnel et les délégués</w:t>
      </w:r>
      <w:r w:rsidR="008E3D37" w:rsidRPr="0091571E">
        <w:t xml:space="preserve">. </w:t>
      </w:r>
    </w:p>
    <w:p w:rsidR="008E3D37" w:rsidRPr="0091571E" w:rsidRDefault="008E3D37" w:rsidP="00FB4B8C">
      <w:r w:rsidRPr="0091571E">
        <w:t>2.3</w:t>
      </w:r>
      <w:r w:rsidRPr="0091571E">
        <w:tab/>
      </w:r>
      <w:r w:rsidR="00AF30C9" w:rsidRPr="0091571E">
        <w:t>Les o</w:t>
      </w:r>
      <w:r w:rsidRPr="0091571E">
        <w:t>bjecti</w:t>
      </w:r>
      <w:r w:rsidR="00AF30C9" w:rsidRPr="0091571E">
        <w:t>f</w:t>
      </w:r>
      <w:r w:rsidRPr="0091571E">
        <w:t xml:space="preserve">s </w:t>
      </w:r>
      <w:r w:rsidR="00AF30C9" w:rsidRPr="0091571E">
        <w:t>sont aussi les suivants</w:t>
      </w:r>
      <w:r w:rsidRPr="0091571E">
        <w:t xml:space="preserve">: </w:t>
      </w:r>
    </w:p>
    <w:p w:rsidR="004D3F4F" w:rsidRPr="0091571E" w:rsidRDefault="007A218E" w:rsidP="007A218E">
      <w:pPr>
        <w:pStyle w:val="enumlev1"/>
      </w:pPr>
      <w:r w:rsidRPr="0091571E">
        <w:t>•</w:t>
      </w:r>
      <w:r w:rsidRPr="0091571E">
        <w:tab/>
      </w:r>
      <w:r w:rsidR="00AF30C9" w:rsidRPr="0091571E">
        <w:t xml:space="preserve">Recenser </w:t>
      </w:r>
      <w:r w:rsidR="004D3F4F" w:rsidRPr="0091571E">
        <w:t xml:space="preserve">et supprimer </w:t>
      </w:r>
      <w:r w:rsidR="007B18BB" w:rsidRPr="0091571E">
        <w:t>l</w:t>
      </w:r>
      <w:r w:rsidR="004D3F4F" w:rsidRPr="0091571E">
        <w:t xml:space="preserve">es </w:t>
      </w:r>
      <w:r w:rsidR="007B18BB" w:rsidRPr="0091571E">
        <w:t>redondances, rationaliser l</w:t>
      </w:r>
      <w:r w:rsidR="004D3F4F" w:rsidRPr="0091571E">
        <w:t xml:space="preserve">es tâches </w:t>
      </w:r>
      <w:r w:rsidR="007B18BB" w:rsidRPr="0091571E">
        <w:t>administratives</w:t>
      </w:r>
      <w:r w:rsidR="004D3F4F" w:rsidRPr="0091571E">
        <w:t>, afin d'éviter les manques d'efficacité et de tirer profit d'une spécialisation des effectifs</w:t>
      </w:r>
      <w:r w:rsidRPr="0091571E">
        <w:t>.</w:t>
      </w:r>
    </w:p>
    <w:p w:rsidR="008E3D37" w:rsidRPr="0091571E" w:rsidRDefault="007A218E" w:rsidP="007A218E">
      <w:pPr>
        <w:pStyle w:val="enumlev1"/>
      </w:pPr>
      <w:r w:rsidRPr="0091571E">
        <w:t>•</w:t>
      </w:r>
      <w:r w:rsidRPr="0091571E">
        <w:tab/>
      </w:r>
      <w:r w:rsidR="008E3D37" w:rsidRPr="0091571E">
        <w:t>Optimi</w:t>
      </w:r>
      <w:r w:rsidR="00AF30C9" w:rsidRPr="0091571E">
        <w:t>ser et intégrer les services d'</w:t>
      </w:r>
      <w:r w:rsidR="008E3D37" w:rsidRPr="0091571E">
        <w:t xml:space="preserve">information </w:t>
      </w:r>
      <w:r w:rsidR="00AF30C9" w:rsidRPr="0091571E">
        <w:t>actuels sur la base d'un cadre de gestion des risques</w:t>
      </w:r>
      <w:r w:rsidR="008E3D37" w:rsidRPr="0091571E">
        <w:t xml:space="preserve">. </w:t>
      </w:r>
    </w:p>
    <w:p w:rsidR="008E3D37" w:rsidRPr="0091571E" w:rsidRDefault="007A218E" w:rsidP="007A218E">
      <w:pPr>
        <w:pStyle w:val="enumlev1"/>
      </w:pPr>
      <w:r w:rsidRPr="0091571E">
        <w:t>•</w:t>
      </w:r>
      <w:r w:rsidRPr="0091571E">
        <w:tab/>
      </w:r>
      <w:r w:rsidR="00AF30C9" w:rsidRPr="0091571E">
        <w:t>Mettre en place des fonctions d'</w:t>
      </w:r>
      <w:r w:rsidR="008E3D37" w:rsidRPr="0091571E">
        <w:t xml:space="preserve">information </w:t>
      </w:r>
      <w:r w:rsidR="00AF30C9" w:rsidRPr="0091571E">
        <w:t xml:space="preserve">et les centraliser pour éviter tout risque de </w:t>
      </w:r>
      <w:r w:rsidR="008E3D37" w:rsidRPr="0091571E">
        <w:t>fragmentation</w:t>
      </w:r>
      <w:r w:rsidR="00AF30C9" w:rsidRPr="0091571E">
        <w:t xml:space="preserve"> </w:t>
      </w:r>
      <w:r w:rsidR="0091571E" w:rsidRPr="0091571E">
        <w:t xml:space="preserve">sur le plan </w:t>
      </w:r>
      <w:r w:rsidR="00AF30C9" w:rsidRPr="0091571E">
        <w:t>technologique</w:t>
      </w:r>
      <w:r w:rsidRPr="0091571E">
        <w:t>.</w:t>
      </w:r>
    </w:p>
    <w:p w:rsidR="008E3D37" w:rsidRPr="0091571E" w:rsidRDefault="007A218E" w:rsidP="007A218E">
      <w:pPr>
        <w:pStyle w:val="enumlev1"/>
      </w:pPr>
      <w:r w:rsidRPr="0091571E">
        <w:t>•</w:t>
      </w:r>
      <w:r w:rsidRPr="0091571E">
        <w:tab/>
      </w:r>
      <w:r w:rsidR="00AF30C9" w:rsidRPr="0091571E">
        <w:t xml:space="preserve">Renforcer les compétences du personnel et améliorer </w:t>
      </w:r>
      <w:r w:rsidR="007E5ECF" w:rsidRPr="0091571E">
        <w:t>l'accomplissement des tâches</w:t>
      </w:r>
      <w:r w:rsidR="008E3D37" w:rsidRPr="0091571E">
        <w:t>.</w:t>
      </w:r>
    </w:p>
    <w:p w:rsidR="007E5ECF" w:rsidRPr="0091571E" w:rsidRDefault="007A218E" w:rsidP="007A218E">
      <w:pPr>
        <w:pStyle w:val="enumlev1"/>
      </w:pPr>
      <w:r w:rsidRPr="0091571E">
        <w:t>•</w:t>
      </w:r>
      <w:r w:rsidRPr="0091571E">
        <w:tab/>
      </w:r>
      <w:r w:rsidR="007E5ECF" w:rsidRPr="0091571E">
        <w:t>Permettre à l'UIT de consacrer plus de temps et d'améliorer les services aux Membres de Secteur afin de mieux tirer profit des innovations du secteur privé et des possibilités de collaboration avec ce secteur.</w:t>
      </w:r>
    </w:p>
    <w:p w:rsidR="007E5ECF" w:rsidRPr="0091571E" w:rsidRDefault="008E3D37" w:rsidP="0091571E">
      <w:r w:rsidRPr="0091571E">
        <w:t>2.4</w:t>
      </w:r>
      <w:r w:rsidRPr="0091571E">
        <w:tab/>
      </w:r>
      <w:r w:rsidR="007E5ECF" w:rsidRPr="0091571E">
        <w:t xml:space="preserve">La mise en </w:t>
      </w:r>
      <w:r w:rsidR="007A218E" w:rsidRPr="0091571E">
        <w:t>oe</w:t>
      </w:r>
      <w:r w:rsidR="007E5ECF" w:rsidRPr="0091571E">
        <w:t xml:space="preserve">uvre d'une stratégie actualisée en matière de TIC au niveau interne permettra à l'UIT de tirer le meilleur parti des innovations </w:t>
      </w:r>
      <w:r w:rsidR="0091571E" w:rsidRPr="0091571E">
        <w:t xml:space="preserve">dans le domaine des </w:t>
      </w:r>
      <w:r w:rsidR="007E5ECF" w:rsidRPr="0091571E">
        <w:t xml:space="preserve">technologies de l'information, d'accroître la sécurité, de garantir l'accès à la bonne information au bon moment, d'améliorer la réactivité </w:t>
      </w:r>
      <w:r w:rsidR="0091571E" w:rsidRPr="0091571E">
        <w:t xml:space="preserve">face </w:t>
      </w:r>
      <w:r w:rsidR="007E5ECF" w:rsidRPr="0091571E">
        <w:t>à un environnement en mutation et de générer des gains d'efficacité pour les fonctions administratives.</w:t>
      </w:r>
    </w:p>
    <w:p w:rsidR="00FB4B8C" w:rsidRPr="0091571E" w:rsidRDefault="008E3D37" w:rsidP="00AF1060">
      <w:pPr>
        <w:rPr>
          <w:szCs w:val="24"/>
        </w:rPr>
      </w:pPr>
      <w:r w:rsidRPr="0091571E">
        <w:rPr>
          <w:szCs w:val="24"/>
        </w:rPr>
        <w:t>2.5</w:t>
      </w:r>
      <w:r w:rsidRPr="0091571E">
        <w:rPr>
          <w:szCs w:val="24"/>
        </w:rPr>
        <w:tab/>
      </w:r>
      <w:r w:rsidR="007E5ECF" w:rsidRPr="0091571E">
        <w:rPr>
          <w:szCs w:val="24"/>
        </w:rPr>
        <w:t>Les axes de la stratégie sont définis</w:t>
      </w:r>
      <w:r w:rsidRPr="0091571E">
        <w:rPr>
          <w:szCs w:val="24"/>
        </w:rPr>
        <w:t xml:space="preserve">, </w:t>
      </w:r>
      <w:r w:rsidR="007E5ECF" w:rsidRPr="0091571E">
        <w:rPr>
          <w:szCs w:val="24"/>
        </w:rPr>
        <w:t xml:space="preserve">mis en </w:t>
      </w:r>
      <w:r w:rsidR="007A218E" w:rsidRPr="0091571E">
        <w:rPr>
          <w:szCs w:val="24"/>
        </w:rPr>
        <w:t>oe</w:t>
      </w:r>
      <w:r w:rsidR="00384E15" w:rsidRPr="0091571E">
        <w:rPr>
          <w:szCs w:val="24"/>
        </w:rPr>
        <w:t>uvre</w:t>
      </w:r>
      <w:r w:rsidRPr="0091571E">
        <w:rPr>
          <w:szCs w:val="24"/>
        </w:rPr>
        <w:t>, maint</w:t>
      </w:r>
      <w:r w:rsidR="007E5ECF" w:rsidRPr="0091571E">
        <w:rPr>
          <w:szCs w:val="24"/>
        </w:rPr>
        <w:t xml:space="preserve">enus et actualisés par le Comité des technologies de l'information et de la communication </w:t>
      </w:r>
      <w:r w:rsidRPr="0091571E">
        <w:rPr>
          <w:szCs w:val="24"/>
        </w:rPr>
        <w:t>(ICTC)</w:t>
      </w:r>
      <w:r w:rsidRPr="0091571E">
        <w:rPr>
          <w:rStyle w:val="FootnoteReference"/>
          <w:rFonts w:asciiTheme="minorHAnsi" w:hAnsiTheme="minorHAnsi"/>
          <w:sz w:val="18"/>
          <w:szCs w:val="18"/>
        </w:rPr>
        <w:footnoteReference w:id="5"/>
      </w:r>
      <w:r w:rsidR="006C1C40" w:rsidRPr="0091571E">
        <w:rPr>
          <w:szCs w:val="24"/>
        </w:rPr>
        <w:t>.</w:t>
      </w:r>
      <w:r w:rsidRPr="0091571E">
        <w:rPr>
          <w:szCs w:val="24"/>
        </w:rPr>
        <w:t xml:space="preserve"> </w:t>
      </w:r>
      <w:r w:rsidR="00833AFB" w:rsidRPr="0091571E">
        <w:rPr>
          <w:szCs w:val="24"/>
        </w:rPr>
        <w:t xml:space="preserve">Les </w:t>
      </w:r>
      <w:r w:rsidR="007E5ECF" w:rsidRPr="0091571E">
        <w:rPr>
          <w:szCs w:val="24"/>
        </w:rPr>
        <w:t xml:space="preserve">progrès réalisés </w:t>
      </w:r>
      <w:r w:rsidR="00833AFB" w:rsidRPr="0091571E">
        <w:rPr>
          <w:szCs w:val="24"/>
        </w:rPr>
        <w:t xml:space="preserve">seront portés à la connaissance du Conseil </w:t>
      </w:r>
      <w:r w:rsidR="00140ECE" w:rsidRPr="0091571E">
        <w:rPr>
          <w:szCs w:val="24"/>
        </w:rPr>
        <w:t>dans le rapport sur les activités de l'</w:t>
      </w:r>
      <w:r w:rsidRPr="0091571E">
        <w:rPr>
          <w:szCs w:val="24"/>
        </w:rPr>
        <w:t>Union</w:t>
      </w:r>
      <w:r w:rsidR="00833AFB" w:rsidRPr="0091571E">
        <w:rPr>
          <w:szCs w:val="24"/>
        </w:rPr>
        <w:t xml:space="preserve"> qui lui est soumis chaque année</w:t>
      </w:r>
      <w:r w:rsidRPr="0091571E">
        <w:rPr>
          <w:szCs w:val="24"/>
        </w:rPr>
        <w:t xml:space="preserve">. </w:t>
      </w:r>
    </w:p>
    <w:p w:rsidR="00FB4B8C" w:rsidRPr="0091571E" w:rsidRDefault="00FB4B8C">
      <w:pPr>
        <w:jc w:val="center"/>
      </w:pPr>
      <w:r w:rsidRPr="0091571E">
        <w:t>______________</w:t>
      </w:r>
    </w:p>
    <w:sectPr w:rsidR="00FB4B8C" w:rsidRPr="0091571E"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1A" w:rsidRDefault="00BA011A">
      <w:r>
        <w:separator/>
      </w:r>
    </w:p>
  </w:endnote>
  <w:endnote w:type="continuationSeparator" w:id="0">
    <w:p w:rsidR="00BA011A" w:rsidRDefault="00BA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91571E" w:rsidRDefault="00547778">
    <w:pPr>
      <w:pStyle w:val="Footer"/>
      <w:rPr>
        <w:lang w:val="fr-CH"/>
      </w:rPr>
    </w:pPr>
    <w:r>
      <w:fldChar w:fldCharType="begin"/>
    </w:r>
    <w:r w:rsidRPr="0091571E">
      <w:rPr>
        <w:lang w:val="fr-CH"/>
      </w:rPr>
      <w:instrText xml:space="preserve"> FILENAME \p \* MERGEFORMAT </w:instrText>
    </w:r>
    <w:r>
      <w:fldChar w:fldCharType="separate"/>
    </w:r>
    <w:r>
      <w:rPr>
        <w:lang w:val="fr-CH"/>
      </w:rPr>
      <w:t>P:\FRA\SG\CONSEIL\C17\000\020F.docx</w:t>
    </w:r>
    <w:r>
      <w:fldChar w:fldCharType="end"/>
    </w:r>
    <w:r w:rsidR="00732045" w:rsidRPr="0091571E">
      <w:rPr>
        <w:lang w:val="fr-CH"/>
      </w:rPr>
      <w:tab/>
    </w:r>
    <w:r w:rsidR="002F1B76">
      <w:fldChar w:fldCharType="begin"/>
    </w:r>
    <w:r w:rsidR="00732045">
      <w:instrText xml:space="preserve"> savedate \@ dd.MM.yy </w:instrText>
    </w:r>
    <w:r w:rsidR="002F1B76">
      <w:fldChar w:fldCharType="separate"/>
    </w:r>
    <w:r w:rsidR="00570A44">
      <w:t>01.05.17</w:t>
    </w:r>
    <w:r w:rsidR="002F1B76">
      <w:fldChar w:fldCharType="end"/>
    </w:r>
    <w:r w:rsidR="00732045" w:rsidRPr="0091571E">
      <w:rPr>
        <w:lang w:val="fr-CH"/>
      </w:rPr>
      <w:tab/>
    </w:r>
    <w:r w:rsidR="002F1B76">
      <w:fldChar w:fldCharType="begin"/>
    </w:r>
    <w:r w:rsidR="00732045">
      <w:instrText xml:space="preserve"> printdate \@ dd.MM.yy </w:instrText>
    </w:r>
    <w:r w:rsidR="002F1B76">
      <w:fldChar w:fldCharType="separate"/>
    </w:r>
    <w:r>
      <w:t>01.05.17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44AED" w:rsidRDefault="00D44AED" w:rsidP="00D44AED">
    <w:pPr>
      <w:pStyle w:val="Footer"/>
    </w:pPr>
    <w:fldSimple w:instr=" FILENAME \p \* MERGEFORMAT ">
      <w:r w:rsidR="00547778">
        <w:t>P:\FRA\SG\CONSEIL\C17\000\020F.docx</w:t>
      </w:r>
    </w:fldSimple>
    <w:r w:rsidRPr="00FB4B8C">
      <w:t xml:space="preserve"> (4094</w:t>
    </w:r>
    <w:r>
      <w:t>70</w:t>
    </w:r>
    <w:r w:rsidRPr="00FB4B8C">
      <w:t>)</w:t>
    </w:r>
    <w:r w:rsidRPr="00FB4B8C">
      <w:tab/>
    </w:r>
    <w:r w:rsidRPr="00FB4B8C">
      <w:fldChar w:fldCharType="begin"/>
    </w:r>
    <w:r w:rsidRPr="00FB4B8C">
      <w:instrText xml:space="preserve"> savedate \@ dd.MM.yy </w:instrText>
    </w:r>
    <w:r w:rsidRPr="00FB4B8C">
      <w:fldChar w:fldCharType="separate"/>
    </w:r>
    <w:r w:rsidR="00570A44">
      <w:t>01.05.17</w:t>
    </w:r>
    <w:r w:rsidRPr="00FB4B8C">
      <w:fldChar w:fldCharType="end"/>
    </w:r>
    <w:r w:rsidRPr="00FB4B8C">
      <w:tab/>
    </w:r>
    <w:r w:rsidRPr="00FB4B8C">
      <w:fldChar w:fldCharType="begin"/>
    </w:r>
    <w:r w:rsidRPr="00FB4B8C">
      <w:instrText xml:space="preserve"> printdate \@ dd.MM.yy </w:instrText>
    </w:r>
    <w:r w:rsidRPr="00FB4B8C">
      <w:fldChar w:fldCharType="separate"/>
    </w:r>
    <w:r w:rsidR="00547778">
      <w:t>01.05.17</w:t>
    </w:r>
    <w:r w:rsidRPr="00FB4B8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FB4B8C" w:rsidRDefault="00570A44" w:rsidP="00D44AED">
    <w:pPr>
      <w:pStyle w:val="Footer"/>
    </w:pPr>
    <w:r>
      <w:fldChar w:fldCharType="begin"/>
    </w:r>
    <w:r>
      <w:instrText xml:space="preserve"> FILENAME \p \* MERGEFORMAT </w:instrText>
    </w:r>
    <w:r>
      <w:fldChar w:fldCharType="separate"/>
    </w:r>
    <w:r w:rsidR="00547778">
      <w:t>P:\FRA\SG\CONSEIL\C17\000\020F.docx</w:t>
    </w:r>
    <w:r>
      <w:fldChar w:fldCharType="end"/>
    </w:r>
    <w:r w:rsidR="00A47349" w:rsidRPr="00FB4B8C">
      <w:t xml:space="preserve"> (4094</w:t>
    </w:r>
    <w:r w:rsidR="00D44AED">
      <w:t>70</w:t>
    </w:r>
    <w:r w:rsidR="00A47349" w:rsidRPr="00FB4B8C">
      <w:t>)</w:t>
    </w:r>
    <w:r w:rsidR="00A47349" w:rsidRPr="00FB4B8C">
      <w:tab/>
    </w:r>
    <w:r w:rsidR="00A47349" w:rsidRPr="00FB4B8C">
      <w:fldChar w:fldCharType="begin"/>
    </w:r>
    <w:r w:rsidR="00A47349" w:rsidRPr="00FB4B8C">
      <w:instrText xml:space="preserve"> savedate \@ dd.MM.yy </w:instrText>
    </w:r>
    <w:r w:rsidR="00A47349" w:rsidRPr="00FB4B8C">
      <w:fldChar w:fldCharType="separate"/>
    </w:r>
    <w:r>
      <w:t>01.05.17</w:t>
    </w:r>
    <w:r w:rsidR="00A47349" w:rsidRPr="00FB4B8C">
      <w:fldChar w:fldCharType="end"/>
    </w:r>
    <w:r w:rsidR="00A47349" w:rsidRPr="00FB4B8C">
      <w:tab/>
    </w:r>
    <w:r w:rsidR="00A47349" w:rsidRPr="00FB4B8C">
      <w:fldChar w:fldCharType="begin"/>
    </w:r>
    <w:r w:rsidR="00A47349" w:rsidRPr="00FB4B8C">
      <w:instrText xml:space="preserve"> printdate \@ dd.MM.yy </w:instrText>
    </w:r>
    <w:r w:rsidR="00A47349" w:rsidRPr="00FB4B8C">
      <w:fldChar w:fldCharType="separate"/>
    </w:r>
    <w:r w:rsidR="00547778">
      <w:t>01.05.17</w:t>
    </w:r>
    <w:r w:rsidR="00A47349" w:rsidRPr="00FB4B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1A" w:rsidRDefault="00BA011A">
      <w:r>
        <w:t>____________________</w:t>
      </w:r>
    </w:p>
  </w:footnote>
  <w:footnote w:type="continuationSeparator" w:id="0">
    <w:p w:rsidR="00BA011A" w:rsidRDefault="00BA011A">
      <w:r>
        <w:continuationSeparator/>
      </w:r>
    </w:p>
  </w:footnote>
  <w:footnote w:id="1">
    <w:p w:rsidR="007A218E" w:rsidRPr="007A218E" w:rsidRDefault="007A218E" w:rsidP="007A218E">
      <w:pPr>
        <w:pStyle w:val="FootnoteText"/>
      </w:pPr>
      <w:r w:rsidRPr="007A218E">
        <w:rPr>
          <w:rStyle w:val="FootnoteReference"/>
          <w:sz w:val="24"/>
        </w:rPr>
        <w:footnoteRef/>
      </w:r>
      <w:r w:rsidRPr="007A218E">
        <w:t xml:space="preserve"> </w:t>
      </w:r>
      <w:r w:rsidRPr="007A218E">
        <w:tab/>
        <w:t>JIU/REP/2016/1</w:t>
      </w:r>
      <w:r w:rsidR="00D44AED">
        <w:t xml:space="preserve"> –</w:t>
      </w:r>
      <w:r w:rsidRPr="007A218E">
        <w:t xml:space="preserve"> Examen de la gestion et de l'administration de l'Union internationale des télécommunications (UIT).</w:t>
      </w:r>
    </w:p>
  </w:footnote>
  <w:footnote w:id="2">
    <w:p w:rsidR="008E3D37" w:rsidRPr="007A218E" w:rsidRDefault="008E3D37" w:rsidP="007A218E">
      <w:pPr>
        <w:pStyle w:val="FootnoteText"/>
        <w:rPr>
          <w:lang w:val="fr-CH"/>
        </w:rPr>
      </w:pPr>
      <w:r w:rsidRPr="007A218E">
        <w:rPr>
          <w:rStyle w:val="FootnoteReference"/>
          <w:sz w:val="24"/>
          <w:lang w:val="fr-CH"/>
        </w:rPr>
        <w:footnoteRef/>
      </w:r>
      <w:r w:rsidRPr="007A218E">
        <w:rPr>
          <w:lang w:val="fr-CH"/>
        </w:rPr>
        <w:t xml:space="preserve"> </w:t>
      </w:r>
      <w:r w:rsidRPr="007A218E">
        <w:rPr>
          <w:lang w:val="fr-CH"/>
        </w:rPr>
        <w:tab/>
      </w:r>
      <w:r w:rsidR="006C604A" w:rsidRPr="007A218E">
        <w:rPr>
          <w:lang w:val="fr-CH"/>
        </w:rPr>
        <w:t xml:space="preserve">Rapport sur la mise en </w:t>
      </w:r>
      <w:r w:rsidR="007A218E" w:rsidRPr="007A218E">
        <w:rPr>
          <w:lang w:val="fr-CH"/>
        </w:rPr>
        <w:t>oe</w:t>
      </w:r>
      <w:r w:rsidR="00384E15" w:rsidRPr="007A218E">
        <w:rPr>
          <w:lang w:val="fr-CH"/>
        </w:rPr>
        <w:t>uvre</w:t>
      </w:r>
      <w:r w:rsidR="006C604A" w:rsidRPr="007A218E">
        <w:rPr>
          <w:lang w:val="fr-CH"/>
        </w:rPr>
        <w:t xml:space="preserve"> du Plan stratégique et sur les activités de l'Union </w:t>
      </w:r>
      <w:r w:rsidR="0031650C" w:rsidRPr="007A218E">
        <w:rPr>
          <w:lang w:val="fr-CH"/>
        </w:rPr>
        <w:t xml:space="preserve">– </w:t>
      </w:r>
      <w:r w:rsidRPr="007A218E">
        <w:rPr>
          <w:lang w:val="fr-CH"/>
        </w:rPr>
        <w:t>Document</w:t>
      </w:r>
      <w:r w:rsidR="00B2756E">
        <w:rPr>
          <w:lang w:val="fr-CH"/>
        </w:rPr>
        <w:t> </w:t>
      </w:r>
      <w:r w:rsidRPr="007A218E">
        <w:rPr>
          <w:lang w:val="fr-CH"/>
        </w:rPr>
        <w:t>C16/35(R</w:t>
      </w:r>
      <w:r w:rsidR="006C604A" w:rsidRPr="007A218E">
        <w:rPr>
          <w:lang w:val="fr-CH"/>
        </w:rPr>
        <w:t>é</w:t>
      </w:r>
      <w:r w:rsidRPr="007A218E">
        <w:rPr>
          <w:lang w:val="fr-CH"/>
        </w:rPr>
        <w:t>v.1)</w:t>
      </w:r>
      <w:r w:rsidR="006C604A" w:rsidRPr="007A218E">
        <w:rPr>
          <w:lang w:val="fr-CH"/>
        </w:rPr>
        <w:t>)</w:t>
      </w:r>
      <w:r w:rsidR="007A218E" w:rsidRPr="007A218E">
        <w:rPr>
          <w:lang w:val="fr-CH"/>
        </w:rPr>
        <w:t>.</w:t>
      </w:r>
    </w:p>
  </w:footnote>
  <w:footnote w:id="3">
    <w:p w:rsidR="008E3D37" w:rsidRPr="007A218E" w:rsidRDefault="008E3D37" w:rsidP="007A218E">
      <w:pPr>
        <w:pStyle w:val="FootnoteText"/>
        <w:rPr>
          <w:lang w:val="fr-CH"/>
        </w:rPr>
      </w:pPr>
      <w:r w:rsidRPr="007A218E">
        <w:rPr>
          <w:rStyle w:val="FootnoteReference"/>
          <w:sz w:val="24"/>
          <w:lang w:val="fr-CH"/>
        </w:rPr>
        <w:footnoteRef/>
      </w:r>
      <w:r w:rsidRPr="007A218E">
        <w:rPr>
          <w:lang w:val="fr-CH"/>
        </w:rPr>
        <w:t xml:space="preserve"> </w:t>
      </w:r>
      <w:r w:rsidRPr="007A218E">
        <w:rPr>
          <w:lang w:val="fr-CH"/>
        </w:rPr>
        <w:tab/>
      </w:r>
      <w:r w:rsidRPr="007A218E">
        <w:rPr>
          <w:rFonts w:cstheme="majorBidi"/>
          <w:lang w:val="fr-CH"/>
        </w:rPr>
        <w:t>Annex</w:t>
      </w:r>
      <w:r w:rsidR="006C604A" w:rsidRPr="007A218E">
        <w:rPr>
          <w:rFonts w:cstheme="majorBidi"/>
          <w:lang w:val="fr-CH"/>
        </w:rPr>
        <w:t>e</w:t>
      </w:r>
      <w:r w:rsidRPr="007A218E">
        <w:rPr>
          <w:rFonts w:cstheme="majorBidi"/>
          <w:lang w:val="fr-CH"/>
        </w:rPr>
        <w:t xml:space="preserve"> 2 </w:t>
      </w:r>
      <w:r w:rsidR="006C604A" w:rsidRPr="007A218E">
        <w:rPr>
          <w:rFonts w:cstheme="majorBidi"/>
          <w:lang w:val="fr-CH"/>
        </w:rPr>
        <w:t xml:space="preserve">de la </w:t>
      </w:r>
      <w:r w:rsidRPr="007A218E">
        <w:rPr>
          <w:rFonts w:cstheme="majorBidi"/>
          <w:lang w:val="fr-CH"/>
        </w:rPr>
        <w:t>R</w:t>
      </w:r>
      <w:r w:rsidR="006C604A" w:rsidRPr="007A218E">
        <w:rPr>
          <w:rFonts w:cstheme="majorBidi"/>
          <w:lang w:val="fr-CH"/>
        </w:rPr>
        <w:t>é</w:t>
      </w:r>
      <w:r w:rsidRPr="007A218E">
        <w:rPr>
          <w:rFonts w:cstheme="majorBidi"/>
          <w:lang w:val="fr-CH"/>
        </w:rPr>
        <w:t>solution 71 (R</w:t>
      </w:r>
      <w:r w:rsidR="006C604A" w:rsidRPr="007A218E">
        <w:rPr>
          <w:rFonts w:cstheme="majorBidi"/>
          <w:lang w:val="fr-CH"/>
        </w:rPr>
        <w:t>é</w:t>
      </w:r>
      <w:r w:rsidRPr="007A218E">
        <w:rPr>
          <w:rFonts w:cstheme="majorBidi"/>
          <w:lang w:val="fr-CH"/>
        </w:rPr>
        <w:t>v. Busan, 2014)</w:t>
      </w:r>
      <w:r w:rsidR="006C604A" w:rsidRPr="007A218E">
        <w:rPr>
          <w:rFonts w:cstheme="majorBidi"/>
          <w:lang w:val="fr-CH"/>
        </w:rPr>
        <w:t xml:space="preserve"> de la Conférence de plénipotentiaires</w:t>
      </w:r>
      <w:r w:rsidR="007A218E" w:rsidRPr="007A218E">
        <w:rPr>
          <w:rFonts w:cstheme="majorBidi"/>
          <w:lang w:val="fr-CH"/>
        </w:rPr>
        <w:t>.</w:t>
      </w:r>
    </w:p>
  </w:footnote>
  <w:footnote w:id="4">
    <w:p w:rsidR="008E3D37" w:rsidRPr="007A218E" w:rsidRDefault="008E3D37" w:rsidP="007A218E">
      <w:pPr>
        <w:pStyle w:val="FootnoteText"/>
        <w:ind w:left="567" w:hanging="567"/>
        <w:rPr>
          <w:lang w:val="fr-CH"/>
        </w:rPr>
      </w:pPr>
      <w:r w:rsidRPr="007A218E">
        <w:rPr>
          <w:rStyle w:val="FootnoteReference"/>
          <w:sz w:val="24"/>
          <w:lang w:val="fr-CH"/>
        </w:rPr>
        <w:footnoteRef/>
      </w:r>
      <w:r w:rsidRPr="007A218E">
        <w:rPr>
          <w:lang w:val="fr-CH"/>
        </w:rPr>
        <w:tab/>
      </w:r>
      <w:r w:rsidR="007A218E" w:rsidRPr="007A218E">
        <w:rPr>
          <w:lang w:val="fr-CH"/>
        </w:rPr>
        <w:t>–</w:t>
      </w:r>
      <w:r w:rsidRPr="007A218E">
        <w:rPr>
          <w:lang w:val="fr-CH"/>
        </w:rPr>
        <w:tab/>
        <w:t>R</w:t>
      </w:r>
      <w:r w:rsidR="0031650C" w:rsidRPr="007A218E">
        <w:rPr>
          <w:lang w:val="fr-CH"/>
        </w:rPr>
        <w:t>é</w:t>
      </w:r>
      <w:r w:rsidRPr="007A218E">
        <w:rPr>
          <w:lang w:val="fr-CH"/>
        </w:rPr>
        <w:t>solution 25 (R</w:t>
      </w:r>
      <w:r w:rsidR="0031650C" w:rsidRPr="007A218E">
        <w:rPr>
          <w:lang w:val="fr-CH"/>
        </w:rPr>
        <w:t>é</w:t>
      </w:r>
      <w:r w:rsidRPr="007A218E">
        <w:rPr>
          <w:lang w:val="fr-CH"/>
        </w:rPr>
        <w:t xml:space="preserve">v. Busan, 2014) </w:t>
      </w:r>
      <w:r w:rsidR="0031650C" w:rsidRPr="007A218E">
        <w:rPr>
          <w:lang w:val="fr-CH"/>
        </w:rPr>
        <w:t xml:space="preserve">de la Conférence de plénipotentiaires </w:t>
      </w:r>
      <w:r w:rsidR="007A218E" w:rsidRPr="007A218E">
        <w:rPr>
          <w:lang w:val="fr-CH"/>
        </w:rPr>
        <w:t>–</w:t>
      </w:r>
      <w:r w:rsidR="0031650C" w:rsidRPr="007A218E">
        <w:rPr>
          <w:lang w:val="fr-CH"/>
        </w:rPr>
        <w:t xml:space="preserve"> Renforcement de la présence régionale</w:t>
      </w:r>
      <w:r w:rsidR="007A218E" w:rsidRPr="007A218E">
        <w:rPr>
          <w:lang w:val="fr-CH"/>
        </w:rPr>
        <w:t>.</w:t>
      </w:r>
    </w:p>
    <w:p w:rsidR="008E3D37" w:rsidRPr="007A218E" w:rsidRDefault="008E3D37" w:rsidP="007A218E">
      <w:pPr>
        <w:pStyle w:val="FootnoteText"/>
        <w:ind w:left="567" w:hanging="567"/>
        <w:rPr>
          <w:lang w:val="fr-CH"/>
        </w:rPr>
      </w:pPr>
      <w:r w:rsidRPr="007A218E">
        <w:rPr>
          <w:lang w:val="fr-CH"/>
        </w:rPr>
        <w:tab/>
      </w:r>
      <w:r w:rsidR="007A218E" w:rsidRPr="007A218E">
        <w:rPr>
          <w:lang w:val="fr-CH"/>
        </w:rPr>
        <w:t>–</w:t>
      </w:r>
      <w:r w:rsidRPr="007A218E">
        <w:rPr>
          <w:lang w:val="fr-CH"/>
        </w:rPr>
        <w:tab/>
        <w:t>R</w:t>
      </w:r>
      <w:r w:rsidR="0031650C" w:rsidRPr="007A218E">
        <w:rPr>
          <w:lang w:val="fr-CH"/>
        </w:rPr>
        <w:t>é</w:t>
      </w:r>
      <w:r w:rsidRPr="007A218E">
        <w:rPr>
          <w:lang w:val="fr-CH"/>
        </w:rPr>
        <w:t>solution 182 (R</w:t>
      </w:r>
      <w:r w:rsidR="0031650C" w:rsidRPr="007A218E">
        <w:rPr>
          <w:lang w:val="fr-CH"/>
        </w:rPr>
        <w:t>é</w:t>
      </w:r>
      <w:r w:rsidRPr="007A218E">
        <w:rPr>
          <w:lang w:val="fr-CH"/>
        </w:rPr>
        <w:t xml:space="preserve">v. Busan, 2014) </w:t>
      </w:r>
      <w:r w:rsidR="0031650C" w:rsidRPr="007A218E">
        <w:rPr>
          <w:lang w:val="fr-CH"/>
        </w:rPr>
        <w:t xml:space="preserve">de la Conférence de plénipotentiaires </w:t>
      </w:r>
      <w:r w:rsidR="007A218E" w:rsidRPr="007A218E">
        <w:rPr>
          <w:lang w:val="fr-CH"/>
        </w:rPr>
        <w:t>–</w:t>
      </w:r>
      <w:r w:rsidR="007A218E">
        <w:rPr>
          <w:lang w:val="fr-CH"/>
        </w:rPr>
        <w:t xml:space="preserve"> Rôle des télécommunications/</w:t>
      </w:r>
      <w:r w:rsidR="0031650C" w:rsidRPr="007A218E">
        <w:rPr>
          <w:lang w:val="fr-CH"/>
        </w:rPr>
        <w:t>technologies de l'information et de la communication en ce qui concerne les changements climatiques et la protection de l'environnement</w:t>
      </w:r>
      <w:r w:rsidR="007A218E" w:rsidRPr="007A218E">
        <w:rPr>
          <w:lang w:val="fr-CH"/>
        </w:rPr>
        <w:t>.</w:t>
      </w:r>
    </w:p>
    <w:p w:rsidR="008E3D37" w:rsidRPr="007A218E" w:rsidRDefault="008E3D37" w:rsidP="007A218E">
      <w:pPr>
        <w:pStyle w:val="FootnoteText"/>
        <w:ind w:left="567" w:hanging="567"/>
        <w:rPr>
          <w:lang w:val="fr-CH"/>
        </w:rPr>
      </w:pPr>
      <w:r w:rsidRPr="007A218E">
        <w:rPr>
          <w:lang w:val="fr-CH"/>
        </w:rPr>
        <w:tab/>
      </w:r>
      <w:bookmarkStart w:id="14" w:name="_GoBack"/>
      <w:bookmarkEnd w:id="14"/>
      <w:r w:rsidR="007A218E" w:rsidRPr="007A218E">
        <w:rPr>
          <w:lang w:val="fr-CH"/>
        </w:rPr>
        <w:t>–</w:t>
      </w:r>
      <w:r w:rsidRPr="007A218E">
        <w:rPr>
          <w:lang w:val="fr-CH"/>
        </w:rPr>
        <w:tab/>
        <w:t>Annex</w:t>
      </w:r>
      <w:r w:rsidR="0031650C" w:rsidRPr="007A218E">
        <w:rPr>
          <w:lang w:val="fr-CH"/>
        </w:rPr>
        <w:t>e</w:t>
      </w:r>
      <w:r w:rsidRPr="007A218E">
        <w:rPr>
          <w:lang w:val="fr-CH"/>
        </w:rPr>
        <w:t xml:space="preserve"> 2 </w:t>
      </w:r>
      <w:r w:rsidR="0031650C" w:rsidRPr="007A218E">
        <w:rPr>
          <w:lang w:val="fr-CH"/>
        </w:rPr>
        <w:t xml:space="preserve">de la </w:t>
      </w:r>
      <w:r w:rsidRPr="007A218E">
        <w:rPr>
          <w:lang w:val="fr-CH"/>
        </w:rPr>
        <w:t>D</w:t>
      </w:r>
      <w:r w:rsidR="0031650C" w:rsidRPr="007A218E">
        <w:rPr>
          <w:lang w:val="fr-CH"/>
        </w:rPr>
        <w:t>é</w:t>
      </w:r>
      <w:r w:rsidRPr="007A218E">
        <w:rPr>
          <w:lang w:val="fr-CH"/>
        </w:rPr>
        <w:t>cision 5 (R</w:t>
      </w:r>
      <w:r w:rsidR="0031650C" w:rsidRPr="007A218E">
        <w:rPr>
          <w:lang w:val="fr-CH"/>
        </w:rPr>
        <w:t>é</w:t>
      </w:r>
      <w:r w:rsidRPr="007A218E">
        <w:rPr>
          <w:lang w:val="fr-CH"/>
        </w:rPr>
        <w:t xml:space="preserve">v. Busan, 2014) </w:t>
      </w:r>
      <w:r w:rsidR="0031650C" w:rsidRPr="007A218E">
        <w:rPr>
          <w:lang w:val="fr-CH"/>
        </w:rPr>
        <w:t>de la C</w:t>
      </w:r>
      <w:r w:rsidR="007A218E">
        <w:rPr>
          <w:lang w:val="fr-CH"/>
        </w:rPr>
        <w:t xml:space="preserve">onférence de plénipotentiaires </w:t>
      </w:r>
      <w:r w:rsidR="007A218E" w:rsidRPr="007A218E">
        <w:rPr>
          <w:lang w:val="fr-CH"/>
        </w:rPr>
        <w:t>–</w:t>
      </w:r>
      <w:r w:rsidR="0031650C" w:rsidRPr="007A218E">
        <w:rPr>
          <w:lang w:val="fr-CH"/>
        </w:rPr>
        <w:t xml:space="preserve"> Mesures de réduction des charges</w:t>
      </w:r>
      <w:r w:rsidR="007A218E" w:rsidRPr="007A218E">
        <w:rPr>
          <w:lang w:val="fr-CH"/>
        </w:rPr>
        <w:t>.</w:t>
      </w:r>
    </w:p>
  </w:footnote>
  <w:footnote w:id="5">
    <w:p w:rsidR="008E3D37" w:rsidRPr="007A218E" w:rsidRDefault="008E3D37" w:rsidP="0091571E">
      <w:pPr>
        <w:pStyle w:val="FootnoteText"/>
      </w:pPr>
      <w:r w:rsidRPr="007A218E">
        <w:rPr>
          <w:rStyle w:val="FootnoteReference"/>
          <w:sz w:val="24"/>
          <w:lang w:val="fr-CH"/>
        </w:rPr>
        <w:footnoteRef/>
      </w:r>
      <w:r w:rsidRPr="007A218E">
        <w:rPr>
          <w:lang w:val="fr-CH"/>
        </w:rPr>
        <w:t xml:space="preserve"> </w:t>
      </w:r>
      <w:r w:rsidRPr="007A218E">
        <w:rPr>
          <w:lang w:val="fr-CH"/>
        </w:rPr>
        <w:tab/>
      </w:r>
      <w:r w:rsidR="0031650C" w:rsidRPr="007A218E">
        <w:rPr>
          <w:lang w:val="fr-CH"/>
        </w:rPr>
        <w:t>L'</w:t>
      </w:r>
      <w:r w:rsidRPr="007A218E">
        <w:rPr>
          <w:lang w:val="fr-CH"/>
        </w:rPr>
        <w:t xml:space="preserve">ICTC </w:t>
      </w:r>
      <w:r w:rsidR="0031650C" w:rsidRPr="007A218E">
        <w:rPr>
          <w:lang w:val="fr-CH"/>
        </w:rPr>
        <w:t xml:space="preserve">a été créé à la suite de l'adoption par le Conseil de la </w:t>
      </w:r>
      <w:r w:rsidRPr="007A218E">
        <w:rPr>
          <w:lang w:val="fr-CH"/>
        </w:rPr>
        <w:t>R</w:t>
      </w:r>
      <w:r w:rsidR="0031650C" w:rsidRPr="007A218E">
        <w:rPr>
          <w:lang w:val="fr-CH"/>
        </w:rPr>
        <w:t>é</w:t>
      </w:r>
      <w:r w:rsidR="0091571E">
        <w:rPr>
          <w:lang w:val="fr-CH"/>
        </w:rPr>
        <w:t>solution 1173 (Document </w:t>
      </w:r>
      <w:r w:rsidRPr="007A218E">
        <w:rPr>
          <w:lang w:val="fr-CH"/>
        </w:rPr>
        <w:t>C2001/102) autori</w:t>
      </w:r>
      <w:r w:rsidR="0031650C" w:rsidRPr="007A218E">
        <w:rPr>
          <w:lang w:val="fr-CH"/>
        </w:rPr>
        <w:t>sant la création d'un Fonds de roulement pour les TIC</w:t>
      </w:r>
      <w:r w:rsidRPr="007A218E">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570A44">
      <w:rPr>
        <w:noProof/>
      </w:rPr>
      <w:t>3</w:t>
    </w:r>
    <w:r>
      <w:rPr>
        <w:noProof/>
      </w:rPr>
      <w:fldChar w:fldCharType="end"/>
    </w:r>
  </w:p>
  <w:p w:rsidR="00732045" w:rsidRDefault="00732045" w:rsidP="00B11FB2">
    <w:pPr>
      <w:pStyle w:val="Header"/>
    </w:pPr>
    <w:r>
      <w:t>C1</w:t>
    </w:r>
    <w:r w:rsidR="00F45686">
      <w:t>7</w:t>
    </w:r>
    <w:r>
      <w:t>/</w:t>
    </w:r>
    <w:r w:rsidR="006846D6">
      <w:t>20</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607749"/>
    <w:multiLevelType w:val="hybridMultilevel"/>
    <w:tmpl w:val="E8742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0047"/>
    <w:multiLevelType w:val="hybridMultilevel"/>
    <w:tmpl w:val="BFCA28F6"/>
    <w:lvl w:ilvl="0" w:tplc="91889084">
      <w:start w:val="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37392"/>
    <w:multiLevelType w:val="hybridMultilevel"/>
    <w:tmpl w:val="F9BEB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87D96"/>
    <w:multiLevelType w:val="hybridMultilevel"/>
    <w:tmpl w:val="415A9EDE"/>
    <w:lvl w:ilvl="0" w:tplc="D612E6D6">
      <w:start w:val="201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37E0B"/>
    <w:multiLevelType w:val="hybridMultilevel"/>
    <w:tmpl w:val="7E620C0A"/>
    <w:lvl w:ilvl="0" w:tplc="D612E6D6">
      <w:start w:val="201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1A"/>
    <w:rsid w:val="0000454B"/>
    <w:rsid w:val="000228DE"/>
    <w:rsid w:val="00057C31"/>
    <w:rsid w:val="000A4CDB"/>
    <w:rsid w:val="000D0D0A"/>
    <w:rsid w:val="00103163"/>
    <w:rsid w:val="00115D93"/>
    <w:rsid w:val="001247A8"/>
    <w:rsid w:val="001378C0"/>
    <w:rsid w:val="00140ECE"/>
    <w:rsid w:val="00153667"/>
    <w:rsid w:val="00170C93"/>
    <w:rsid w:val="00182AF9"/>
    <w:rsid w:val="00192BE5"/>
    <w:rsid w:val="001A3287"/>
    <w:rsid w:val="001C7A75"/>
    <w:rsid w:val="001D4C31"/>
    <w:rsid w:val="001E4D21"/>
    <w:rsid w:val="00207CD1"/>
    <w:rsid w:val="00211330"/>
    <w:rsid w:val="00221A3B"/>
    <w:rsid w:val="002300CC"/>
    <w:rsid w:val="002477A2"/>
    <w:rsid w:val="00263A51"/>
    <w:rsid w:val="00275DCF"/>
    <w:rsid w:val="00285676"/>
    <w:rsid w:val="002A5D44"/>
    <w:rsid w:val="002C22BB"/>
    <w:rsid w:val="002F1968"/>
    <w:rsid w:val="002F1B76"/>
    <w:rsid w:val="00300176"/>
    <w:rsid w:val="0031650C"/>
    <w:rsid w:val="003224FD"/>
    <w:rsid w:val="00355FF5"/>
    <w:rsid w:val="00361350"/>
    <w:rsid w:val="00384E15"/>
    <w:rsid w:val="004038CB"/>
    <w:rsid w:val="0040546F"/>
    <w:rsid w:val="0042404A"/>
    <w:rsid w:val="0044618F"/>
    <w:rsid w:val="0046769A"/>
    <w:rsid w:val="00471C49"/>
    <w:rsid w:val="00475FB3"/>
    <w:rsid w:val="0048028C"/>
    <w:rsid w:val="00484DD7"/>
    <w:rsid w:val="0049038B"/>
    <w:rsid w:val="004908D1"/>
    <w:rsid w:val="00490F55"/>
    <w:rsid w:val="004C37A9"/>
    <w:rsid w:val="004D3F4F"/>
    <w:rsid w:val="004F259E"/>
    <w:rsid w:val="004F6B12"/>
    <w:rsid w:val="00511F1D"/>
    <w:rsid w:val="00540615"/>
    <w:rsid w:val="00540A6D"/>
    <w:rsid w:val="00547778"/>
    <w:rsid w:val="005559B5"/>
    <w:rsid w:val="00570A44"/>
    <w:rsid w:val="00571EEA"/>
    <w:rsid w:val="00575417"/>
    <w:rsid w:val="005768E1"/>
    <w:rsid w:val="005C3890"/>
    <w:rsid w:val="005D64BF"/>
    <w:rsid w:val="005F7BFE"/>
    <w:rsid w:val="00600017"/>
    <w:rsid w:val="006643AB"/>
    <w:rsid w:val="006734E0"/>
    <w:rsid w:val="006846D6"/>
    <w:rsid w:val="006A1F55"/>
    <w:rsid w:val="006C1C40"/>
    <w:rsid w:val="006C4AE4"/>
    <w:rsid w:val="006C604A"/>
    <w:rsid w:val="00702064"/>
    <w:rsid w:val="007210CD"/>
    <w:rsid w:val="00732045"/>
    <w:rsid w:val="007369DB"/>
    <w:rsid w:val="007956C2"/>
    <w:rsid w:val="007A187E"/>
    <w:rsid w:val="007A218E"/>
    <w:rsid w:val="007B18BB"/>
    <w:rsid w:val="007C72C2"/>
    <w:rsid w:val="007D4436"/>
    <w:rsid w:val="007E5ECF"/>
    <w:rsid w:val="007F257A"/>
    <w:rsid w:val="007F2DCB"/>
    <w:rsid w:val="007F3665"/>
    <w:rsid w:val="00800037"/>
    <w:rsid w:val="00814394"/>
    <w:rsid w:val="00826711"/>
    <w:rsid w:val="00833AFB"/>
    <w:rsid w:val="0084563E"/>
    <w:rsid w:val="00861D73"/>
    <w:rsid w:val="008A4E87"/>
    <w:rsid w:val="008D76E6"/>
    <w:rsid w:val="008E3D37"/>
    <w:rsid w:val="0091571E"/>
    <w:rsid w:val="0092392D"/>
    <w:rsid w:val="00943F1D"/>
    <w:rsid w:val="009751E5"/>
    <w:rsid w:val="009C307F"/>
    <w:rsid w:val="009C6EAF"/>
    <w:rsid w:val="009D6B3B"/>
    <w:rsid w:val="009E2174"/>
    <w:rsid w:val="00A2113E"/>
    <w:rsid w:val="00A23A51"/>
    <w:rsid w:val="00A24607"/>
    <w:rsid w:val="00A25CD3"/>
    <w:rsid w:val="00A47349"/>
    <w:rsid w:val="00A82767"/>
    <w:rsid w:val="00AA332F"/>
    <w:rsid w:val="00AA7BBB"/>
    <w:rsid w:val="00AB64A8"/>
    <w:rsid w:val="00AC0266"/>
    <w:rsid w:val="00AC2154"/>
    <w:rsid w:val="00AD01F5"/>
    <w:rsid w:val="00AD24EC"/>
    <w:rsid w:val="00AE2D35"/>
    <w:rsid w:val="00AF0DDE"/>
    <w:rsid w:val="00AF1060"/>
    <w:rsid w:val="00AF30C9"/>
    <w:rsid w:val="00B11FB2"/>
    <w:rsid w:val="00B2756E"/>
    <w:rsid w:val="00B309F9"/>
    <w:rsid w:val="00B32B60"/>
    <w:rsid w:val="00B52558"/>
    <w:rsid w:val="00B61619"/>
    <w:rsid w:val="00B97ADF"/>
    <w:rsid w:val="00BA011A"/>
    <w:rsid w:val="00BB4545"/>
    <w:rsid w:val="00BD5873"/>
    <w:rsid w:val="00BE4191"/>
    <w:rsid w:val="00C04BE3"/>
    <w:rsid w:val="00C25D29"/>
    <w:rsid w:val="00C27A7C"/>
    <w:rsid w:val="00C440B2"/>
    <w:rsid w:val="00CA08ED"/>
    <w:rsid w:val="00CA4BF0"/>
    <w:rsid w:val="00CF183B"/>
    <w:rsid w:val="00CF66A1"/>
    <w:rsid w:val="00D05BE6"/>
    <w:rsid w:val="00D375CD"/>
    <w:rsid w:val="00D44AED"/>
    <w:rsid w:val="00D774D3"/>
    <w:rsid w:val="00D904E8"/>
    <w:rsid w:val="00DA08C3"/>
    <w:rsid w:val="00DA4DCA"/>
    <w:rsid w:val="00DB7AAB"/>
    <w:rsid w:val="00DC22AA"/>
    <w:rsid w:val="00DF74DD"/>
    <w:rsid w:val="00E00513"/>
    <w:rsid w:val="00E25AD0"/>
    <w:rsid w:val="00E26F2C"/>
    <w:rsid w:val="00E77E19"/>
    <w:rsid w:val="00EA659E"/>
    <w:rsid w:val="00EB487A"/>
    <w:rsid w:val="00EB6350"/>
    <w:rsid w:val="00ED1372"/>
    <w:rsid w:val="00EF19AC"/>
    <w:rsid w:val="00F15B57"/>
    <w:rsid w:val="00F427DB"/>
    <w:rsid w:val="00F45686"/>
    <w:rsid w:val="00F55F9A"/>
    <w:rsid w:val="00F65889"/>
    <w:rsid w:val="00FA5EB1"/>
    <w:rsid w:val="00FA7439"/>
    <w:rsid w:val="00FB1B55"/>
    <w:rsid w:val="00FB3A4E"/>
    <w:rsid w:val="00FB4B8C"/>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BCFE5E1-F5D8-4B1A-BD9A-3043020B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71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826711"/>
    <w:pPr>
      <w:keepNext/>
      <w:keepLines/>
      <w:spacing w:before="480"/>
      <w:ind w:left="567" w:hanging="567"/>
      <w:outlineLvl w:val="0"/>
    </w:pPr>
    <w:rPr>
      <w:b/>
      <w:sz w:val="28"/>
    </w:rPr>
  </w:style>
  <w:style w:type="paragraph" w:styleId="Heading2">
    <w:name w:val="heading 2"/>
    <w:basedOn w:val="Heading1"/>
    <w:next w:val="Normal"/>
    <w:qFormat/>
    <w:rsid w:val="00826711"/>
    <w:pPr>
      <w:spacing w:before="320"/>
      <w:outlineLvl w:val="1"/>
    </w:pPr>
    <w:rPr>
      <w:sz w:val="24"/>
    </w:rPr>
  </w:style>
  <w:style w:type="paragraph" w:styleId="Heading3">
    <w:name w:val="heading 3"/>
    <w:basedOn w:val="Heading1"/>
    <w:next w:val="Normal"/>
    <w:qFormat/>
    <w:rsid w:val="00826711"/>
    <w:pPr>
      <w:spacing w:before="200"/>
      <w:outlineLvl w:val="2"/>
    </w:pPr>
    <w:rPr>
      <w:sz w:val="24"/>
    </w:rPr>
  </w:style>
  <w:style w:type="paragraph" w:styleId="Heading4">
    <w:name w:val="heading 4"/>
    <w:basedOn w:val="Heading3"/>
    <w:next w:val="Normal"/>
    <w:qFormat/>
    <w:rsid w:val="00826711"/>
    <w:pPr>
      <w:ind w:left="1134" w:hanging="1134"/>
      <w:outlineLvl w:val="3"/>
    </w:pPr>
  </w:style>
  <w:style w:type="paragraph" w:styleId="Heading5">
    <w:name w:val="heading 5"/>
    <w:basedOn w:val="Heading4"/>
    <w:next w:val="Normal"/>
    <w:qFormat/>
    <w:rsid w:val="00826711"/>
    <w:pPr>
      <w:outlineLvl w:val="4"/>
    </w:pPr>
  </w:style>
  <w:style w:type="paragraph" w:styleId="Heading6">
    <w:name w:val="heading 6"/>
    <w:basedOn w:val="Heading4"/>
    <w:next w:val="Normal"/>
    <w:qFormat/>
    <w:rsid w:val="00826711"/>
    <w:pPr>
      <w:outlineLvl w:val="5"/>
    </w:pPr>
  </w:style>
  <w:style w:type="paragraph" w:styleId="Heading7">
    <w:name w:val="heading 7"/>
    <w:basedOn w:val="Heading4"/>
    <w:next w:val="Normal"/>
    <w:qFormat/>
    <w:rsid w:val="00826711"/>
    <w:pPr>
      <w:ind w:left="1701" w:hanging="1701"/>
      <w:outlineLvl w:val="6"/>
    </w:pPr>
  </w:style>
  <w:style w:type="paragraph" w:styleId="Heading8">
    <w:name w:val="heading 8"/>
    <w:basedOn w:val="Heading4"/>
    <w:next w:val="Normal"/>
    <w:qFormat/>
    <w:rsid w:val="00826711"/>
    <w:pPr>
      <w:ind w:left="1701" w:hanging="1701"/>
      <w:outlineLvl w:val="7"/>
    </w:pPr>
  </w:style>
  <w:style w:type="paragraph" w:styleId="Heading9">
    <w:name w:val="heading 9"/>
    <w:basedOn w:val="Heading4"/>
    <w:next w:val="Normal"/>
    <w:qFormat/>
    <w:rsid w:val="0082671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2671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82671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2671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2671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2671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2671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2671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26711"/>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826711"/>
    <w:pPr>
      <w:ind w:left="1698"/>
    </w:pPr>
  </w:style>
  <w:style w:type="paragraph" w:styleId="Index6">
    <w:name w:val="index 6"/>
    <w:basedOn w:val="Normal"/>
    <w:next w:val="Normal"/>
    <w:rsid w:val="00826711"/>
    <w:pPr>
      <w:ind w:left="1415"/>
    </w:pPr>
  </w:style>
  <w:style w:type="paragraph" w:styleId="Index5">
    <w:name w:val="index 5"/>
    <w:basedOn w:val="Normal"/>
    <w:next w:val="Normal"/>
    <w:rsid w:val="00826711"/>
    <w:pPr>
      <w:ind w:left="1132"/>
    </w:pPr>
  </w:style>
  <w:style w:type="paragraph" w:styleId="Index4">
    <w:name w:val="index 4"/>
    <w:basedOn w:val="Normal"/>
    <w:next w:val="Normal"/>
    <w:rsid w:val="00826711"/>
    <w:pPr>
      <w:ind w:left="849"/>
    </w:pPr>
  </w:style>
  <w:style w:type="paragraph" w:styleId="Index3">
    <w:name w:val="index 3"/>
    <w:basedOn w:val="Normal"/>
    <w:next w:val="Normal"/>
    <w:rsid w:val="00826711"/>
    <w:pPr>
      <w:ind w:left="566"/>
    </w:pPr>
  </w:style>
  <w:style w:type="paragraph" w:styleId="Index2">
    <w:name w:val="index 2"/>
    <w:basedOn w:val="Normal"/>
    <w:next w:val="Normal"/>
    <w:rsid w:val="00826711"/>
    <w:pPr>
      <w:ind w:left="283"/>
    </w:pPr>
  </w:style>
  <w:style w:type="paragraph" w:styleId="Index1">
    <w:name w:val="index 1"/>
    <w:basedOn w:val="Normal"/>
    <w:next w:val="Normal"/>
    <w:rsid w:val="00826711"/>
  </w:style>
  <w:style w:type="character" w:styleId="LineNumber">
    <w:name w:val="line number"/>
    <w:basedOn w:val="DefaultParagraphFont"/>
    <w:rsid w:val="00826711"/>
  </w:style>
  <w:style w:type="paragraph" w:styleId="IndexHeading">
    <w:name w:val="index heading"/>
    <w:basedOn w:val="Normal"/>
    <w:next w:val="Index1"/>
    <w:rsid w:val="00826711"/>
  </w:style>
  <w:style w:type="paragraph" w:styleId="Footer">
    <w:name w:val="footer"/>
    <w:basedOn w:val="Normal"/>
    <w:rsid w:val="00826711"/>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26711"/>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26711"/>
    <w:rPr>
      <w:rFonts w:ascii="Calibri" w:hAnsi="Calibri"/>
      <w:position w:val="6"/>
      <w:sz w:val="16"/>
    </w:rPr>
  </w:style>
  <w:style w:type="paragraph" w:styleId="FootnoteText">
    <w:name w:val="footnote text"/>
    <w:basedOn w:val="Normal"/>
    <w:link w:val="FootnoteTextChar"/>
    <w:rsid w:val="00826711"/>
    <w:pPr>
      <w:keepLines/>
      <w:tabs>
        <w:tab w:val="left" w:pos="256"/>
      </w:tabs>
      <w:ind w:left="256" w:hanging="256"/>
    </w:pPr>
  </w:style>
  <w:style w:type="paragraph" w:styleId="NormalIndent">
    <w:name w:val="Normal Indent"/>
    <w:basedOn w:val="Normal"/>
    <w:rsid w:val="00826711"/>
    <w:pPr>
      <w:ind w:left="567"/>
    </w:pPr>
  </w:style>
  <w:style w:type="paragraph" w:customStyle="1" w:styleId="enumlev1">
    <w:name w:val="enumlev1"/>
    <w:basedOn w:val="Normal"/>
    <w:rsid w:val="00826711"/>
    <w:pPr>
      <w:spacing w:before="86"/>
      <w:ind w:left="567" w:hanging="567"/>
    </w:pPr>
  </w:style>
  <w:style w:type="paragraph" w:customStyle="1" w:styleId="enumlev2">
    <w:name w:val="enumlev2"/>
    <w:basedOn w:val="enumlev1"/>
    <w:rsid w:val="00826711"/>
    <w:pPr>
      <w:ind w:left="1134"/>
    </w:pPr>
  </w:style>
  <w:style w:type="paragraph" w:customStyle="1" w:styleId="enumlev3">
    <w:name w:val="enumlev3"/>
    <w:basedOn w:val="enumlev2"/>
    <w:rsid w:val="00826711"/>
    <w:pPr>
      <w:ind w:left="1701"/>
    </w:pPr>
  </w:style>
  <w:style w:type="paragraph" w:customStyle="1" w:styleId="Equation">
    <w:name w:val="Equation"/>
    <w:basedOn w:val="Normal"/>
    <w:rsid w:val="00826711"/>
    <w:pPr>
      <w:tabs>
        <w:tab w:val="center" w:pos="4820"/>
        <w:tab w:val="right" w:pos="9639"/>
      </w:tabs>
    </w:pPr>
  </w:style>
  <w:style w:type="paragraph" w:customStyle="1" w:styleId="Head">
    <w:name w:val="Head"/>
    <w:basedOn w:val="Normal"/>
    <w:rsid w:val="00826711"/>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826711"/>
    <w:pPr>
      <w:spacing w:before="240"/>
    </w:pPr>
  </w:style>
  <w:style w:type="paragraph" w:customStyle="1" w:styleId="Call">
    <w:name w:val="Call"/>
    <w:basedOn w:val="Normal"/>
    <w:next w:val="Normal"/>
    <w:rsid w:val="00826711"/>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826711"/>
    <w:pPr>
      <w:tabs>
        <w:tab w:val="clear" w:pos="567"/>
        <w:tab w:val="clear" w:pos="1134"/>
        <w:tab w:val="clear" w:pos="1701"/>
        <w:tab w:val="clear" w:pos="2268"/>
        <w:tab w:val="clear" w:pos="2835"/>
        <w:tab w:val="right" w:pos="9781"/>
      </w:tabs>
    </w:pPr>
    <w:rPr>
      <w:b/>
    </w:rPr>
  </w:style>
  <w:style w:type="paragraph" w:styleId="List">
    <w:name w:val="List"/>
    <w:basedOn w:val="Normal"/>
    <w:rsid w:val="00826711"/>
    <w:pPr>
      <w:tabs>
        <w:tab w:val="left" w:pos="2127"/>
      </w:tabs>
      <w:ind w:left="2127" w:hanging="2127"/>
    </w:pPr>
  </w:style>
  <w:style w:type="paragraph" w:customStyle="1" w:styleId="docnoted">
    <w:name w:val="docnoted"/>
    <w:basedOn w:val="Normal"/>
    <w:rsid w:val="00EA659E"/>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826711"/>
    <w:pPr>
      <w:tabs>
        <w:tab w:val="left" w:pos="1276"/>
      </w:tabs>
      <w:spacing w:before="199"/>
      <w:ind w:left="1701" w:hanging="1701"/>
    </w:pPr>
    <w:rPr>
      <w:caps/>
    </w:rPr>
  </w:style>
  <w:style w:type="paragraph" w:customStyle="1" w:styleId="Reasons">
    <w:name w:val="Reasons"/>
    <w:basedOn w:val="Normal"/>
    <w:qFormat/>
    <w:rsid w:val="00826711"/>
  </w:style>
  <w:style w:type="paragraph" w:customStyle="1" w:styleId="meeting">
    <w:name w:val="meeting"/>
    <w:basedOn w:val="Head"/>
    <w:next w:val="Head"/>
    <w:rsid w:val="00826711"/>
    <w:pPr>
      <w:tabs>
        <w:tab w:val="left" w:pos="7371"/>
      </w:tabs>
      <w:spacing w:after="567"/>
    </w:pPr>
  </w:style>
  <w:style w:type="paragraph" w:customStyle="1" w:styleId="Subject">
    <w:name w:val="Subject"/>
    <w:basedOn w:val="Normal"/>
    <w:next w:val="Source"/>
    <w:rsid w:val="00826711"/>
    <w:pPr>
      <w:tabs>
        <w:tab w:val="left" w:pos="709"/>
      </w:tabs>
      <w:spacing w:before="0"/>
      <w:ind w:left="709" w:hanging="709"/>
    </w:pPr>
  </w:style>
  <w:style w:type="paragraph" w:customStyle="1" w:styleId="Source">
    <w:name w:val="Source"/>
    <w:basedOn w:val="Normal"/>
    <w:next w:val="Title1"/>
    <w:rsid w:val="00826711"/>
    <w:pPr>
      <w:spacing w:before="840"/>
      <w:jc w:val="center"/>
    </w:pPr>
    <w:rPr>
      <w:b/>
      <w:sz w:val="28"/>
    </w:rPr>
  </w:style>
  <w:style w:type="paragraph" w:customStyle="1" w:styleId="Object">
    <w:name w:val="Object"/>
    <w:basedOn w:val="Subject"/>
    <w:next w:val="Subject"/>
    <w:rsid w:val="00826711"/>
  </w:style>
  <w:style w:type="paragraph" w:customStyle="1" w:styleId="Data">
    <w:name w:val="Data"/>
    <w:basedOn w:val="Subject"/>
    <w:next w:val="Subject"/>
    <w:rsid w:val="00826711"/>
  </w:style>
  <w:style w:type="paragraph" w:customStyle="1" w:styleId="Headingb">
    <w:name w:val="Heading_b"/>
    <w:basedOn w:val="Heading3"/>
    <w:next w:val="Normal"/>
    <w:rsid w:val="00826711"/>
    <w:pPr>
      <w:spacing w:before="160"/>
      <w:outlineLvl w:val="0"/>
    </w:pPr>
  </w:style>
  <w:style w:type="paragraph" w:customStyle="1" w:styleId="Title1">
    <w:name w:val="Title 1"/>
    <w:basedOn w:val="Source"/>
    <w:next w:val="Title2"/>
    <w:rsid w:val="00826711"/>
    <w:pPr>
      <w:spacing w:before="240"/>
    </w:pPr>
    <w:rPr>
      <w:b w:val="0"/>
      <w:caps/>
    </w:rPr>
  </w:style>
  <w:style w:type="paragraph" w:customStyle="1" w:styleId="dnum">
    <w:name w:val="dnum"/>
    <w:basedOn w:val="Normal"/>
    <w:rsid w:val="00826711"/>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826711"/>
    <w:rPr>
      <w:caps w:val="0"/>
    </w:rPr>
  </w:style>
  <w:style w:type="paragraph" w:customStyle="1" w:styleId="Note">
    <w:name w:val="Note"/>
    <w:basedOn w:val="Normal"/>
    <w:rsid w:val="00826711"/>
    <w:pPr>
      <w:spacing w:before="80"/>
    </w:pPr>
  </w:style>
  <w:style w:type="paragraph" w:styleId="TOC9">
    <w:name w:val="toc 9"/>
    <w:basedOn w:val="Normal"/>
    <w:next w:val="Normal"/>
    <w:rsid w:val="00826711"/>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826711"/>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826711"/>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826711"/>
    <w:rPr>
      <w:color w:val="0000FF"/>
      <w:u w:val="single"/>
    </w:rPr>
  </w:style>
  <w:style w:type="character" w:styleId="FollowedHyperlink">
    <w:name w:val="FollowedHyperlink"/>
    <w:basedOn w:val="DefaultParagraphFont"/>
    <w:rsid w:val="00826711"/>
    <w:rPr>
      <w:color w:val="800080"/>
      <w:u w:val="single"/>
    </w:rPr>
  </w:style>
  <w:style w:type="paragraph" w:customStyle="1" w:styleId="AnnexNo">
    <w:name w:val="Annex_No"/>
    <w:basedOn w:val="Normal"/>
    <w:next w:val="Annexref"/>
    <w:rsid w:val="00826711"/>
    <w:pPr>
      <w:spacing w:before="720"/>
      <w:jc w:val="center"/>
    </w:pPr>
    <w:rPr>
      <w:caps/>
      <w:sz w:val="28"/>
    </w:rPr>
  </w:style>
  <w:style w:type="paragraph" w:customStyle="1" w:styleId="Annexref">
    <w:name w:val="Annex_ref"/>
    <w:basedOn w:val="Normal"/>
    <w:next w:val="Annextitle"/>
    <w:rsid w:val="00826711"/>
    <w:pPr>
      <w:jc w:val="center"/>
    </w:pPr>
    <w:rPr>
      <w:sz w:val="28"/>
    </w:rPr>
  </w:style>
  <w:style w:type="paragraph" w:customStyle="1" w:styleId="Annextitle">
    <w:name w:val="Annex_title"/>
    <w:basedOn w:val="Normal"/>
    <w:next w:val="Normal"/>
    <w:rsid w:val="00826711"/>
    <w:pPr>
      <w:spacing w:before="240" w:after="240"/>
      <w:jc w:val="center"/>
    </w:pPr>
    <w:rPr>
      <w:b/>
      <w:sz w:val="28"/>
    </w:rPr>
  </w:style>
  <w:style w:type="paragraph" w:customStyle="1" w:styleId="AppendixNo">
    <w:name w:val="Appendix_No"/>
    <w:basedOn w:val="AnnexNo"/>
    <w:next w:val="Appendixref"/>
    <w:rsid w:val="00826711"/>
  </w:style>
  <w:style w:type="paragraph" w:customStyle="1" w:styleId="Appendixref">
    <w:name w:val="Appendix_ref"/>
    <w:basedOn w:val="Annexref"/>
    <w:next w:val="Appendixtitle"/>
    <w:rsid w:val="00826711"/>
  </w:style>
  <w:style w:type="paragraph" w:customStyle="1" w:styleId="Appendixtitle">
    <w:name w:val="Appendix_title"/>
    <w:basedOn w:val="Annextitle"/>
    <w:next w:val="Normal"/>
    <w:rsid w:val="00826711"/>
  </w:style>
  <w:style w:type="paragraph" w:customStyle="1" w:styleId="Artheading">
    <w:name w:val="Art_heading"/>
    <w:basedOn w:val="Normal"/>
    <w:next w:val="Normalaftertitle"/>
    <w:rsid w:val="00826711"/>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2671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2671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26711"/>
  </w:style>
  <w:style w:type="paragraph" w:customStyle="1" w:styleId="Chaptitle">
    <w:name w:val="Chap_title"/>
    <w:basedOn w:val="Arttitle"/>
    <w:next w:val="Normal"/>
    <w:rsid w:val="00826711"/>
  </w:style>
  <w:style w:type="character" w:styleId="EndnoteReference">
    <w:name w:val="endnote reference"/>
    <w:basedOn w:val="DefaultParagraphFont"/>
    <w:rsid w:val="00EA659E"/>
    <w:rPr>
      <w:vertAlign w:val="superscript"/>
    </w:rPr>
  </w:style>
  <w:style w:type="paragraph" w:customStyle="1" w:styleId="Equationlegend">
    <w:name w:val="Equation_legend"/>
    <w:basedOn w:val="NormalIndent"/>
    <w:rsid w:val="00826711"/>
    <w:pPr>
      <w:tabs>
        <w:tab w:val="right" w:pos="1531"/>
      </w:tabs>
      <w:spacing w:before="80"/>
      <w:ind w:left="1701" w:hanging="1701"/>
    </w:pPr>
  </w:style>
  <w:style w:type="paragraph" w:customStyle="1" w:styleId="Figure">
    <w:name w:val="Figure"/>
    <w:basedOn w:val="Normal"/>
    <w:next w:val="Figuretitle"/>
    <w:rsid w:val="00826711"/>
    <w:pPr>
      <w:keepNext/>
      <w:keepLines/>
      <w:spacing w:after="120"/>
      <w:jc w:val="center"/>
    </w:pPr>
  </w:style>
  <w:style w:type="paragraph" w:customStyle="1" w:styleId="Figurelegend">
    <w:name w:val="Figure_legend"/>
    <w:basedOn w:val="Normal"/>
    <w:rsid w:val="00826711"/>
    <w:pPr>
      <w:keepNext/>
      <w:keepLines/>
      <w:spacing w:before="20" w:after="20"/>
    </w:pPr>
    <w:rPr>
      <w:sz w:val="18"/>
    </w:rPr>
  </w:style>
  <w:style w:type="paragraph" w:customStyle="1" w:styleId="TableNo">
    <w:name w:val="Table_No"/>
    <w:basedOn w:val="Normal"/>
    <w:next w:val="Tabletitle"/>
    <w:rsid w:val="00826711"/>
    <w:pPr>
      <w:keepNext/>
      <w:spacing w:before="560" w:after="120"/>
      <w:jc w:val="center"/>
    </w:pPr>
    <w:rPr>
      <w:caps/>
    </w:rPr>
  </w:style>
  <w:style w:type="paragraph" w:customStyle="1" w:styleId="Tabletitle">
    <w:name w:val="Table_title"/>
    <w:basedOn w:val="TableNo"/>
    <w:next w:val="Tabletext"/>
    <w:rsid w:val="0082671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826711"/>
    <w:pPr>
      <w:spacing w:before="240" w:after="480"/>
    </w:pPr>
  </w:style>
  <w:style w:type="paragraph" w:customStyle="1" w:styleId="Figurewithouttitle">
    <w:name w:val="Figure_without_title"/>
    <w:basedOn w:val="Figure"/>
    <w:next w:val="Normalaftertitle"/>
    <w:rsid w:val="00826711"/>
    <w:pPr>
      <w:keepNext w:val="0"/>
      <w:spacing w:after="240"/>
    </w:pPr>
  </w:style>
  <w:style w:type="paragraph" w:customStyle="1" w:styleId="Headingi">
    <w:name w:val="Heading_i"/>
    <w:basedOn w:val="Heading3"/>
    <w:next w:val="Normal"/>
    <w:rsid w:val="00826711"/>
    <w:pPr>
      <w:spacing w:before="160"/>
      <w:outlineLvl w:val="0"/>
    </w:pPr>
    <w:rPr>
      <w:b w:val="0"/>
      <w:i/>
    </w:rPr>
  </w:style>
  <w:style w:type="character" w:styleId="PageNumber">
    <w:name w:val="page number"/>
    <w:basedOn w:val="DefaultParagraphFont"/>
    <w:rsid w:val="00826711"/>
    <w:rPr>
      <w:rFonts w:ascii="Calibri" w:hAnsi="Calibri"/>
    </w:rPr>
  </w:style>
  <w:style w:type="paragraph" w:customStyle="1" w:styleId="PartNo">
    <w:name w:val="Part_No"/>
    <w:basedOn w:val="AnnexNo"/>
    <w:next w:val="Parttitle"/>
    <w:rsid w:val="00826711"/>
  </w:style>
  <w:style w:type="paragraph" w:customStyle="1" w:styleId="Partref">
    <w:name w:val="Part_ref"/>
    <w:basedOn w:val="Annexref"/>
    <w:next w:val="Normalaftertitle"/>
    <w:rsid w:val="00826711"/>
  </w:style>
  <w:style w:type="paragraph" w:customStyle="1" w:styleId="Parttitle">
    <w:name w:val="Part_title"/>
    <w:basedOn w:val="Annextitle"/>
    <w:next w:val="Partref"/>
    <w:rsid w:val="00826711"/>
  </w:style>
  <w:style w:type="paragraph" w:customStyle="1" w:styleId="RecNo">
    <w:name w:val="Rec_No"/>
    <w:basedOn w:val="Normal"/>
    <w:next w:val="Rectitle"/>
    <w:rsid w:val="00826711"/>
    <w:pPr>
      <w:spacing w:before="720"/>
      <w:jc w:val="center"/>
    </w:pPr>
    <w:rPr>
      <w:caps/>
      <w:sz w:val="28"/>
    </w:rPr>
  </w:style>
  <w:style w:type="paragraph" w:customStyle="1" w:styleId="Rectitle">
    <w:name w:val="Rec_title"/>
    <w:basedOn w:val="Normal"/>
    <w:next w:val="Heading1"/>
    <w:rsid w:val="00826711"/>
    <w:pPr>
      <w:spacing w:before="240"/>
      <w:jc w:val="center"/>
    </w:pPr>
    <w:rPr>
      <w:b/>
      <w:sz w:val="28"/>
    </w:rPr>
  </w:style>
  <w:style w:type="paragraph" w:customStyle="1" w:styleId="Recref">
    <w:name w:val="Rec_ref"/>
    <w:basedOn w:val="Rectitle"/>
    <w:next w:val="Recdate"/>
    <w:rsid w:val="00826711"/>
    <w:pPr>
      <w:spacing w:before="120"/>
    </w:pPr>
    <w:rPr>
      <w:rFonts w:ascii="Times New Roman" w:hAnsi="Times New Roman"/>
      <w:b w:val="0"/>
      <w:sz w:val="24"/>
    </w:rPr>
  </w:style>
  <w:style w:type="paragraph" w:customStyle="1" w:styleId="Recdate">
    <w:name w:val="Rec_date"/>
    <w:basedOn w:val="Recref"/>
    <w:next w:val="Normalaftertitle"/>
    <w:rsid w:val="00826711"/>
    <w:pPr>
      <w:jc w:val="right"/>
    </w:pPr>
    <w:rPr>
      <w:sz w:val="22"/>
    </w:rPr>
  </w:style>
  <w:style w:type="paragraph" w:customStyle="1" w:styleId="Questiondate">
    <w:name w:val="Question_date"/>
    <w:basedOn w:val="Recdate"/>
    <w:next w:val="Normalaftertitle"/>
    <w:rsid w:val="00826711"/>
  </w:style>
  <w:style w:type="paragraph" w:customStyle="1" w:styleId="QuestionNo">
    <w:name w:val="Question_No"/>
    <w:basedOn w:val="RecNo"/>
    <w:next w:val="Questiontitle"/>
    <w:rsid w:val="00826711"/>
  </w:style>
  <w:style w:type="paragraph" w:customStyle="1" w:styleId="Questionref">
    <w:name w:val="Question_ref"/>
    <w:basedOn w:val="Recref"/>
    <w:next w:val="Questiondate"/>
    <w:rsid w:val="00826711"/>
  </w:style>
  <w:style w:type="paragraph" w:customStyle="1" w:styleId="Questiontitle">
    <w:name w:val="Question_title"/>
    <w:basedOn w:val="Rectitle"/>
    <w:next w:val="Questionref"/>
    <w:rsid w:val="00826711"/>
  </w:style>
  <w:style w:type="paragraph" w:customStyle="1" w:styleId="Reftext">
    <w:name w:val="Ref_text"/>
    <w:basedOn w:val="Normal"/>
    <w:rsid w:val="00826711"/>
    <w:pPr>
      <w:ind w:left="567" w:hanging="567"/>
    </w:pPr>
  </w:style>
  <w:style w:type="paragraph" w:customStyle="1" w:styleId="Reftitle">
    <w:name w:val="Ref_title"/>
    <w:basedOn w:val="Normal"/>
    <w:next w:val="Reftext"/>
    <w:rsid w:val="00826711"/>
    <w:pPr>
      <w:spacing w:before="480"/>
      <w:jc w:val="center"/>
    </w:pPr>
    <w:rPr>
      <w:caps/>
      <w:sz w:val="28"/>
    </w:rPr>
  </w:style>
  <w:style w:type="paragraph" w:customStyle="1" w:styleId="Repdate">
    <w:name w:val="Rep_date"/>
    <w:basedOn w:val="Recdate"/>
    <w:next w:val="Normalaftertitle"/>
    <w:rsid w:val="00826711"/>
  </w:style>
  <w:style w:type="paragraph" w:customStyle="1" w:styleId="RepNo">
    <w:name w:val="Rep_No"/>
    <w:basedOn w:val="RecNo"/>
    <w:next w:val="Reptitle"/>
    <w:rsid w:val="00826711"/>
  </w:style>
  <w:style w:type="paragraph" w:customStyle="1" w:styleId="Repref">
    <w:name w:val="Rep_ref"/>
    <w:basedOn w:val="Recref"/>
    <w:next w:val="Repdate"/>
    <w:rsid w:val="00826711"/>
  </w:style>
  <w:style w:type="paragraph" w:customStyle="1" w:styleId="Reptitle">
    <w:name w:val="Rep_title"/>
    <w:basedOn w:val="Rectitle"/>
    <w:next w:val="Repref"/>
    <w:rsid w:val="00826711"/>
  </w:style>
  <w:style w:type="paragraph" w:customStyle="1" w:styleId="Resdate">
    <w:name w:val="Res_date"/>
    <w:basedOn w:val="Recdate"/>
    <w:next w:val="Normalaftertitle"/>
    <w:rsid w:val="00826711"/>
  </w:style>
  <w:style w:type="paragraph" w:customStyle="1" w:styleId="ResNo">
    <w:name w:val="Res_No"/>
    <w:basedOn w:val="AnnexNo"/>
    <w:next w:val="Restitle"/>
    <w:rsid w:val="00826711"/>
  </w:style>
  <w:style w:type="paragraph" w:customStyle="1" w:styleId="Resref">
    <w:name w:val="Res_ref"/>
    <w:basedOn w:val="Recref"/>
    <w:next w:val="Resdate"/>
    <w:rsid w:val="00826711"/>
  </w:style>
  <w:style w:type="paragraph" w:customStyle="1" w:styleId="Restitle">
    <w:name w:val="Res_title"/>
    <w:basedOn w:val="Annextitle"/>
    <w:next w:val="Normal"/>
    <w:rsid w:val="00826711"/>
  </w:style>
  <w:style w:type="paragraph" w:customStyle="1" w:styleId="SectionNo">
    <w:name w:val="Section_No"/>
    <w:basedOn w:val="AnnexNo"/>
    <w:next w:val="Sectiontitle"/>
    <w:rsid w:val="00826711"/>
  </w:style>
  <w:style w:type="paragraph" w:customStyle="1" w:styleId="Sectiontitle">
    <w:name w:val="Section_title"/>
    <w:basedOn w:val="Normal"/>
    <w:next w:val="Normalaftertitle"/>
    <w:rsid w:val="00826711"/>
    <w:rPr>
      <w:sz w:val="28"/>
    </w:rPr>
  </w:style>
  <w:style w:type="paragraph" w:customStyle="1" w:styleId="SpecialFooter">
    <w:name w:val="Special Footer"/>
    <w:basedOn w:val="Footer"/>
    <w:rsid w:val="00826711"/>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826711"/>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826711"/>
    <w:pPr>
      <w:spacing w:before="120" w:after="120"/>
      <w:jc w:val="center"/>
    </w:pPr>
    <w:rPr>
      <w:b/>
    </w:rPr>
  </w:style>
  <w:style w:type="paragraph" w:customStyle="1" w:styleId="Tablelegend">
    <w:name w:val="Table_legend"/>
    <w:basedOn w:val="Tabletext"/>
    <w:rsid w:val="00826711"/>
    <w:pPr>
      <w:spacing w:before="120"/>
    </w:pPr>
  </w:style>
  <w:style w:type="paragraph" w:customStyle="1" w:styleId="Tableref">
    <w:name w:val="Table_ref"/>
    <w:basedOn w:val="Normal"/>
    <w:next w:val="Tabletitle"/>
    <w:rsid w:val="00826711"/>
    <w:pPr>
      <w:keepNext/>
      <w:spacing w:before="567"/>
      <w:jc w:val="center"/>
    </w:pPr>
  </w:style>
  <w:style w:type="paragraph" w:customStyle="1" w:styleId="Title2">
    <w:name w:val="Title 2"/>
    <w:basedOn w:val="Source"/>
    <w:next w:val="Title3"/>
    <w:rsid w:val="00826711"/>
    <w:pPr>
      <w:spacing w:before="240"/>
    </w:pPr>
    <w:rPr>
      <w:b w:val="0"/>
      <w:caps/>
    </w:rPr>
  </w:style>
  <w:style w:type="paragraph" w:customStyle="1" w:styleId="Title3">
    <w:name w:val="Title 3"/>
    <w:basedOn w:val="Title2"/>
    <w:next w:val="Normalaftertitle"/>
    <w:rsid w:val="00826711"/>
    <w:rPr>
      <w:caps w:val="0"/>
    </w:rPr>
  </w:style>
  <w:style w:type="paragraph" w:customStyle="1" w:styleId="Title4">
    <w:name w:val="Title 4"/>
    <w:basedOn w:val="Title3"/>
    <w:next w:val="Heading1"/>
    <w:rsid w:val="00826711"/>
    <w:rPr>
      <w:b/>
    </w:rPr>
  </w:style>
  <w:style w:type="paragraph" w:customStyle="1" w:styleId="FigureNo">
    <w:name w:val="Figure_No"/>
    <w:basedOn w:val="Normal"/>
    <w:next w:val="Figuretitle"/>
    <w:rsid w:val="00826711"/>
    <w:pPr>
      <w:keepNext/>
      <w:keepLines/>
      <w:spacing w:before="240" w:after="120"/>
      <w:jc w:val="center"/>
    </w:pPr>
    <w:rPr>
      <w:caps/>
    </w:rPr>
  </w:style>
  <w:style w:type="paragraph" w:customStyle="1" w:styleId="firstfooter0">
    <w:name w:val="firstfooter"/>
    <w:basedOn w:val="Normal"/>
    <w:rsid w:val="0082671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82671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0228DE"/>
    <w:pPr>
      <w:ind w:left="720"/>
      <w:contextualSpacing/>
    </w:pPr>
  </w:style>
  <w:style w:type="character" w:customStyle="1" w:styleId="Heading1Char">
    <w:name w:val="Heading 1 Char"/>
    <w:basedOn w:val="DefaultParagraphFont"/>
    <w:link w:val="Heading1"/>
    <w:rsid w:val="000228DE"/>
    <w:rPr>
      <w:rFonts w:ascii="Calibri" w:hAnsi="Calibri"/>
      <w:b/>
      <w:sz w:val="28"/>
      <w:lang w:val="fr-FR" w:eastAsia="en-US"/>
    </w:rPr>
  </w:style>
  <w:style w:type="paragraph" w:styleId="BalloonText">
    <w:name w:val="Balloon Text"/>
    <w:basedOn w:val="Normal"/>
    <w:link w:val="BalloonTextChar"/>
    <w:semiHidden/>
    <w:unhideWhenUsed/>
    <w:rsid w:val="00EF19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F19AC"/>
    <w:rPr>
      <w:rFonts w:ascii="Segoe UI" w:hAnsi="Segoe UI" w:cs="Segoe UI"/>
      <w:sz w:val="18"/>
      <w:szCs w:val="18"/>
      <w:lang w:val="fr-FR" w:eastAsia="en-US"/>
    </w:rPr>
  </w:style>
  <w:style w:type="paragraph" w:customStyle="1" w:styleId="Default">
    <w:name w:val="Default"/>
    <w:rsid w:val="008E3D37"/>
    <w:pPr>
      <w:autoSpaceDE w:val="0"/>
      <w:autoSpaceDN w:val="0"/>
      <w:adjustRightInd w:val="0"/>
    </w:pPr>
    <w:rPr>
      <w:rFonts w:ascii="Times New Roman" w:eastAsiaTheme="minorHAnsi" w:hAnsi="Times New Roman"/>
      <w:color w:val="000000"/>
      <w:sz w:val="24"/>
      <w:szCs w:val="24"/>
      <w:lang w:eastAsia="en-US"/>
    </w:rPr>
  </w:style>
  <w:style w:type="character" w:customStyle="1" w:styleId="FootnoteTextChar">
    <w:name w:val="Footnote Text Char"/>
    <w:basedOn w:val="DefaultParagraphFont"/>
    <w:link w:val="FootnoteText"/>
    <w:rsid w:val="008E3D37"/>
    <w:rPr>
      <w:rFonts w:ascii="Calibri" w:hAnsi="Calibri"/>
      <w:sz w:val="24"/>
      <w:lang w:val="fr-FR" w:eastAsia="en-US"/>
    </w:rPr>
  </w:style>
  <w:style w:type="paragraph" w:customStyle="1" w:styleId="Pa34">
    <w:name w:val="Pa34"/>
    <w:basedOn w:val="Default"/>
    <w:next w:val="Default"/>
    <w:uiPriority w:val="99"/>
    <w:rsid w:val="008E3D37"/>
    <w:pPr>
      <w:spacing w:line="201" w:lineRule="atLeast"/>
    </w:pPr>
    <w:rPr>
      <w:rFonts w:ascii="Myriad Pro" w:eastAsiaTheme="minorEastAsia" w:hAnsi="Myriad Pro" w:cstheme="minorBid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1107">
      <w:bodyDiv w:val="1"/>
      <w:marLeft w:val="0"/>
      <w:marRight w:val="0"/>
      <w:marTop w:val="0"/>
      <w:marBottom w:val="0"/>
      <w:divBdr>
        <w:top w:val="none" w:sz="0" w:space="0" w:color="auto"/>
        <w:left w:val="none" w:sz="0" w:space="0" w:color="auto"/>
        <w:bottom w:val="none" w:sz="0" w:space="0" w:color="auto"/>
        <w:right w:val="none" w:sz="0" w:space="0" w:color="auto"/>
      </w:divBdr>
    </w:div>
    <w:div w:id="574894484">
      <w:bodyDiv w:val="1"/>
      <w:marLeft w:val="0"/>
      <w:marRight w:val="0"/>
      <w:marTop w:val="0"/>
      <w:marBottom w:val="0"/>
      <w:divBdr>
        <w:top w:val="none" w:sz="0" w:space="0" w:color="auto"/>
        <w:left w:val="none" w:sz="0" w:space="0" w:color="auto"/>
        <w:bottom w:val="none" w:sz="0" w:space="0" w:color="auto"/>
        <w:right w:val="none" w:sz="0" w:space="0" w:color="auto"/>
      </w:divBdr>
    </w:div>
    <w:div w:id="593587563">
      <w:bodyDiv w:val="1"/>
      <w:marLeft w:val="0"/>
      <w:marRight w:val="0"/>
      <w:marTop w:val="0"/>
      <w:marBottom w:val="0"/>
      <w:divBdr>
        <w:top w:val="none" w:sz="0" w:space="0" w:color="auto"/>
        <w:left w:val="none" w:sz="0" w:space="0" w:color="auto"/>
        <w:bottom w:val="none" w:sz="0" w:space="0" w:color="auto"/>
        <w:right w:val="none" w:sz="0" w:space="0" w:color="auto"/>
      </w:divBdr>
    </w:div>
    <w:div w:id="777211809">
      <w:bodyDiv w:val="1"/>
      <w:marLeft w:val="0"/>
      <w:marRight w:val="0"/>
      <w:marTop w:val="0"/>
      <w:marBottom w:val="0"/>
      <w:divBdr>
        <w:top w:val="none" w:sz="0" w:space="0" w:color="auto"/>
        <w:left w:val="none" w:sz="0" w:space="0" w:color="auto"/>
        <w:bottom w:val="none" w:sz="0" w:space="0" w:color="auto"/>
        <w:right w:val="none" w:sz="0" w:space="0" w:color="auto"/>
      </w:divBdr>
    </w:div>
    <w:div w:id="824009678">
      <w:bodyDiv w:val="1"/>
      <w:marLeft w:val="0"/>
      <w:marRight w:val="0"/>
      <w:marTop w:val="0"/>
      <w:marBottom w:val="0"/>
      <w:divBdr>
        <w:top w:val="none" w:sz="0" w:space="0" w:color="auto"/>
        <w:left w:val="none" w:sz="0" w:space="0" w:color="auto"/>
        <w:bottom w:val="none" w:sz="0" w:space="0" w:color="auto"/>
        <w:right w:val="none" w:sz="0" w:space="0" w:color="auto"/>
      </w:divBdr>
    </w:div>
    <w:div w:id="953026089">
      <w:bodyDiv w:val="1"/>
      <w:marLeft w:val="0"/>
      <w:marRight w:val="0"/>
      <w:marTop w:val="0"/>
      <w:marBottom w:val="0"/>
      <w:divBdr>
        <w:top w:val="none" w:sz="0" w:space="0" w:color="auto"/>
        <w:left w:val="none" w:sz="0" w:space="0" w:color="auto"/>
        <w:bottom w:val="none" w:sz="0" w:space="0" w:color="auto"/>
        <w:right w:val="none" w:sz="0" w:space="0" w:color="auto"/>
      </w:divBdr>
    </w:div>
    <w:div w:id="988830670">
      <w:bodyDiv w:val="1"/>
      <w:marLeft w:val="0"/>
      <w:marRight w:val="0"/>
      <w:marTop w:val="0"/>
      <w:marBottom w:val="0"/>
      <w:divBdr>
        <w:top w:val="none" w:sz="0" w:space="0" w:color="auto"/>
        <w:left w:val="none" w:sz="0" w:space="0" w:color="auto"/>
        <w:bottom w:val="none" w:sz="0" w:space="0" w:color="auto"/>
        <w:right w:val="none" w:sz="0" w:space="0" w:color="auto"/>
      </w:divBdr>
    </w:div>
    <w:div w:id="1230966594">
      <w:bodyDiv w:val="1"/>
      <w:marLeft w:val="0"/>
      <w:marRight w:val="0"/>
      <w:marTop w:val="0"/>
      <w:marBottom w:val="0"/>
      <w:divBdr>
        <w:top w:val="none" w:sz="0" w:space="0" w:color="auto"/>
        <w:left w:val="none" w:sz="0" w:space="0" w:color="auto"/>
        <w:bottom w:val="none" w:sz="0" w:space="0" w:color="auto"/>
        <w:right w:val="none" w:sz="0" w:space="0" w:color="auto"/>
      </w:divBdr>
    </w:div>
    <w:div w:id="1358774992">
      <w:bodyDiv w:val="1"/>
      <w:marLeft w:val="0"/>
      <w:marRight w:val="0"/>
      <w:marTop w:val="0"/>
      <w:marBottom w:val="0"/>
      <w:divBdr>
        <w:top w:val="none" w:sz="0" w:space="0" w:color="auto"/>
        <w:left w:val="none" w:sz="0" w:space="0" w:color="auto"/>
        <w:bottom w:val="none" w:sz="0" w:space="0" w:color="auto"/>
        <w:right w:val="none" w:sz="0" w:space="0" w:color="auto"/>
      </w:divBdr>
    </w:div>
    <w:div w:id="202470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192</TotalTime>
  <Pages>3</Pages>
  <Words>979</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MESURES D'EFFICACITÉ</vt:lpstr>
    </vt:vector>
  </TitlesOfParts>
  <Manager>Secrétariat général - Pool</Manager>
  <Company>Union internationale des télécommunications (UIT)</Company>
  <LinksUpToDate>false</LinksUpToDate>
  <CharactersWithSpaces>6392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MESURES D'EFFICACITÉ</dc:title>
  <dc:subject>Conseil 2017</dc:subject>
  <dc:creator>Rapport du Secrétaire général</dc:creator>
  <cp:keywords>C2017, C17</cp:keywords>
  <dc:description>Document C16/45-F  Pour: Point de l'ordre du jour: ADM 1_x000d_Date du document: 7 avril 2016_x000d_Enregistré par ITU51009305 à 13:50:39 le 22/04/2016</dc:description>
  <cp:lastModifiedBy>Jones, Jacqueline</cp:lastModifiedBy>
  <cp:revision>15</cp:revision>
  <cp:lastPrinted>2017-05-01T09:09:00Z</cp:lastPrinted>
  <dcterms:created xsi:type="dcterms:W3CDTF">2017-05-01T06:34:00Z</dcterms:created>
  <dcterms:modified xsi:type="dcterms:W3CDTF">2017-05-02T09:31:00Z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C16/45-F</vt:lpwstr>
  </property>
  <property fmtid="{D5CDD505-2E9C-101B-9397-08002B2CF9AE}" pid="3" name="Docdate">
    <vt:lpwstr>7 avril 2016</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1</vt:lpwstr>
  </property>
  <property fmtid="{D5CDD505-2E9C-101B-9397-08002B2CF9AE}" pid="7" name="Docauthor">
    <vt:lpwstr>Rapport du Secrétaire général</vt:lpwstr>
  </property>
</Properties>
</file>