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BD1D74">
        <w:trPr>
          <w:cantSplit/>
        </w:trPr>
        <w:tc>
          <w:tcPr>
            <w:tcW w:w="6911" w:type="dxa"/>
          </w:tcPr>
          <w:p w:rsidR="00700D1F" w:rsidRPr="00BD1D74" w:rsidRDefault="00D94637" w:rsidP="00A5354B">
            <w:pPr>
              <w:spacing w:before="360" w:after="48"/>
              <w:rPr>
                <w:position w:val="6"/>
                <w:lang w:eastAsia="zh-CN"/>
              </w:rPr>
            </w:pPr>
            <w:r w:rsidRPr="00BD1D74">
              <w:rPr>
                <w:rFonts w:hint="eastAsia"/>
                <w:b/>
                <w:bCs/>
                <w:sz w:val="26"/>
                <w:szCs w:val="26"/>
                <w:lang w:val="en-US" w:eastAsia="zh-CN"/>
              </w:rPr>
              <w:t>理事会</w:t>
            </w:r>
            <w:r w:rsidRPr="00BD1D74">
              <w:rPr>
                <w:rFonts w:cs="Arial"/>
                <w:b/>
                <w:bCs/>
                <w:sz w:val="26"/>
                <w:szCs w:val="26"/>
                <w:lang w:val="en-US" w:eastAsia="zh-CN"/>
              </w:rPr>
              <w:t>20</w:t>
            </w:r>
            <w:r w:rsidR="00325C25" w:rsidRPr="00BD1D74">
              <w:rPr>
                <w:rFonts w:cs="Arial"/>
                <w:b/>
                <w:bCs/>
                <w:sz w:val="26"/>
                <w:szCs w:val="26"/>
                <w:lang w:val="en-US" w:eastAsia="zh-CN"/>
              </w:rPr>
              <w:t>1</w:t>
            </w:r>
            <w:r w:rsidR="00A5354B" w:rsidRPr="00BD1D74">
              <w:rPr>
                <w:rFonts w:cs="Arial"/>
                <w:b/>
                <w:bCs/>
                <w:sz w:val="26"/>
                <w:szCs w:val="26"/>
                <w:lang w:val="en-US" w:eastAsia="zh-CN"/>
              </w:rPr>
              <w:t>7</w:t>
            </w:r>
            <w:r w:rsidRPr="00BD1D74">
              <w:rPr>
                <w:rFonts w:hint="eastAsia"/>
                <w:b/>
                <w:bCs/>
                <w:sz w:val="26"/>
                <w:szCs w:val="26"/>
                <w:lang w:val="en-US" w:eastAsia="zh-CN"/>
              </w:rPr>
              <w:t>年会议</w:t>
            </w:r>
            <w:r w:rsidRPr="00BD1D74">
              <w:rPr>
                <w:rFonts w:cs="Arial"/>
                <w:b/>
                <w:bCs/>
                <w:szCs w:val="24"/>
                <w:lang w:val="en-US" w:eastAsia="zh-CN"/>
              </w:rPr>
              <w:br/>
            </w:r>
            <w:r w:rsidR="009625D8" w:rsidRPr="00BD1D74">
              <w:rPr>
                <w:b/>
                <w:bCs/>
                <w:color w:val="000000"/>
                <w:lang w:eastAsia="zh-CN"/>
              </w:rPr>
              <w:t>201</w:t>
            </w:r>
            <w:r w:rsidR="00A5354B" w:rsidRPr="00BD1D74">
              <w:rPr>
                <w:b/>
                <w:bCs/>
                <w:color w:val="000000"/>
                <w:lang w:eastAsia="zh-CN"/>
              </w:rPr>
              <w:t>7</w:t>
            </w:r>
            <w:r w:rsidR="009625D8" w:rsidRPr="00BD1D74">
              <w:rPr>
                <w:rFonts w:hint="eastAsia"/>
                <w:b/>
                <w:bCs/>
                <w:color w:val="000000"/>
                <w:lang w:eastAsia="zh-CN"/>
              </w:rPr>
              <w:t>年</w:t>
            </w:r>
            <w:r w:rsidR="009625D8" w:rsidRPr="00BD1D74">
              <w:rPr>
                <w:b/>
                <w:bCs/>
                <w:color w:val="000000"/>
                <w:lang w:eastAsia="zh-CN"/>
              </w:rPr>
              <w:t>5</w:t>
            </w:r>
            <w:r w:rsidR="009625D8" w:rsidRPr="00BD1D74">
              <w:rPr>
                <w:rFonts w:hint="eastAsia"/>
                <w:b/>
                <w:bCs/>
                <w:color w:val="000000"/>
                <w:lang w:eastAsia="zh-CN"/>
              </w:rPr>
              <w:t>月</w:t>
            </w:r>
            <w:r w:rsidR="00A5354B" w:rsidRPr="00BD1D74">
              <w:rPr>
                <w:b/>
                <w:bCs/>
                <w:color w:val="000000"/>
                <w:lang w:eastAsia="zh-CN"/>
              </w:rPr>
              <w:t>1</w:t>
            </w:r>
            <w:r w:rsidR="00A5354B" w:rsidRPr="00BD1D74">
              <w:rPr>
                <w:rFonts w:hint="eastAsia"/>
                <w:b/>
                <w:bCs/>
                <w:color w:val="000000"/>
                <w:lang w:eastAsia="zh-CN"/>
              </w:rPr>
              <w:t>5</w:t>
            </w:r>
            <w:r w:rsidR="00A5354B" w:rsidRPr="00BD1D74">
              <w:rPr>
                <w:b/>
                <w:bCs/>
                <w:color w:val="000000"/>
                <w:lang w:eastAsia="zh-CN"/>
              </w:rPr>
              <w:t>-</w:t>
            </w:r>
            <w:r w:rsidR="009625D8" w:rsidRPr="00BD1D74">
              <w:rPr>
                <w:b/>
                <w:bCs/>
                <w:color w:val="000000"/>
                <w:lang w:eastAsia="zh-CN"/>
              </w:rPr>
              <w:t>2</w:t>
            </w:r>
            <w:r w:rsidR="0098459B" w:rsidRPr="00BD1D74">
              <w:rPr>
                <w:rFonts w:hint="eastAsia"/>
                <w:b/>
                <w:bCs/>
                <w:color w:val="000000"/>
                <w:lang w:eastAsia="zh-CN"/>
              </w:rPr>
              <w:t>5</w:t>
            </w:r>
            <w:r w:rsidR="009625D8" w:rsidRPr="00BD1D74">
              <w:rPr>
                <w:rFonts w:hint="eastAsia"/>
                <w:b/>
                <w:bCs/>
                <w:color w:val="000000"/>
                <w:lang w:eastAsia="zh-CN"/>
              </w:rPr>
              <w:t>日</w:t>
            </w:r>
            <w:r w:rsidR="009625D8" w:rsidRPr="00BD1D74">
              <w:rPr>
                <w:rFonts w:cs="SimSun" w:hint="eastAsia"/>
                <w:b/>
                <w:bCs/>
                <w:smallCaps/>
                <w:szCs w:val="24"/>
                <w:lang w:val="en-US" w:eastAsia="zh-CN"/>
              </w:rPr>
              <w:t>，</w:t>
            </w:r>
            <w:r w:rsidR="009625D8" w:rsidRPr="00BD1D74">
              <w:rPr>
                <w:rFonts w:hint="eastAsia"/>
                <w:b/>
                <w:bCs/>
                <w:szCs w:val="24"/>
                <w:lang w:eastAsia="zh-CN"/>
              </w:rPr>
              <w:t>日内瓦</w:t>
            </w:r>
          </w:p>
        </w:tc>
        <w:tc>
          <w:tcPr>
            <w:tcW w:w="3120" w:type="dxa"/>
          </w:tcPr>
          <w:p w:rsidR="00700D1F" w:rsidRPr="00BD1D74" w:rsidRDefault="00AB42C1" w:rsidP="00864589">
            <w:pPr>
              <w:spacing w:before="0"/>
              <w:jc w:val="right"/>
            </w:pPr>
            <w:bookmarkStart w:id="0" w:name="ditulogo"/>
            <w:bookmarkEnd w:id="0"/>
            <w:r w:rsidRPr="00BD1D74">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BD1D74">
        <w:trPr>
          <w:cantSplit/>
        </w:trPr>
        <w:tc>
          <w:tcPr>
            <w:tcW w:w="6911" w:type="dxa"/>
            <w:tcBorders>
              <w:bottom w:val="single" w:sz="12" w:space="0" w:color="auto"/>
            </w:tcBorders>
          </w:tcPr>
          <w:p w:rsidR="00700D1F" w:rsidRPr="00BD1D74" w:rsidRDefault="00595A9F" w:rsidP="00001B77">
            <w:pPr>
              <w:spacing w:before="0" w:after="48"/>
              <w:rPr>
                <w:b/>
                <w:smallCaps/>
                <w:szCs w:val="24"/>
                <w:lang w:val="fr-CH" w:eastAsia="zh-CN"/>
              </w:rPr>
            </w:pPr>
            <w:r w:rsidRPr="00BD1D74">
              <w:rPr>
                <w:rFonts w:hint="eastAsia"/>
                <w:b/>
                <w:smallCaps/>
                <w:szCs w:val="24"/>
                <w:lang w:val="fr-CH" w:eastAsia="zh-CN"/>
              </w:rPr>
              <w:t>国</w:t>
            </w:r>
            <w:r w:rsidRPr="00BD1D74">
              <w:rPr>
                <w:rFonts w:hint="eastAsia"/>
                <w:b/>
                <w:smallCaps/>
                <w:szCs w:val="24"/>
                <w:lang w:val="fr-CH" w:eastAsia="zh-CN"/>
              </w:rPr>
              <w:t xml:space="preserve"> </w:t>
            </w:r>
            <w:r w:rsidRPr="00BD1D74">
              <w:rPr>
                <w:rFonts w:hint="eastAsia"/>
                <w:b/>
                <w:smallCaps/>
                <w:szCs w:val="24"/>
                <w:lang w:val="fr-CH" w:eastAsia="zh-CN"/>
              </w:rPr>
              <w:t>际</w:t>
            </w:r>
            <w:r w:rsidRPr="00BD1D74">
              <w:rPr>
                <w:rFonts w:hint="eastAsia"/>
                <w:b/>
                <w:smallCaps/>
                <w:szCs w:val="24"/>
                <w:lang w:val="fr-CH" w:eastAsia="zh-CN"/>
              </w:rPr>
              <w:t xml:space="preserve"> </w:t>
            </w:r>
            <w:r w:rsidRPr="00BD1D74">
              <w:rPr>
                <w:b/>
                <w:smallCaps/>
                <w:szCs w:val="24"/>
                <w:lang w:val="fr-CH" w:eastAsia="zh-CN"/>
              </w:rPr>
              <w:t>电</w:t>
            </w:r>
            <w:r w:rsidRPr="00BD1D74">
              <w:rPr>
                <w:rFonts w:hint="eastAsia"/>
                <w:b/>
                <w:smallCaps/>
                <w:szCs w:val="24"/>
                <w:lang w:val="fr-CH" w:eastAsia="zh-CN"/>
              </w:rPr>
              <w:t xml:space="preserve"> </w:t>
            </w:r>
            <w:r w:rsidRPr="00BD1D74">
              <w:rPr>
                <w:b/>
                <w:smallCaps/>
                <w:szCs w:val="24"/>
                <w:lang w:val="fr-CH" w:eastAsia="zh-CN"/>
              </w:rPr>
              <w:t>信</w:t>
            </w:r>
            <w:r w:rsidRPr="00BD1D74">
              <w:rPr>
                <w:rFonts w:hint="eastAsia"/>
                <w:b/>
                <w:smallCaps/>
                <w:szCs w:val="24"/>
                <w:lang w:val="fr-CH" w:eastAsia="zh-CN"/>
              </w:rPr>
              <w:t xml:space="preserve"> </w:t>
            </w:r>
            <w:r w:rsidRPr="00BD1D74">
              <w:rPr>
                <w:b/>
                <w:smallCaps/>
                <w:szCs w:val="24"/>
                <w:lang w:val="fr-CH" w:eastAsia="zh-CN"/>
              </w:rPr>
              <w:t>联</w:t>
            </w:r>
            <w:r w:rsidRPr="00BD1D74">
              <w:rPr>
                <w:rFonts w:hint="eastAsia"/>
                <w:b/>
                <w:smallCaps/>
                <w:szCs w:val="24"/>
                <w:lang w:val="fr-CH" w:eastAsia="zh-CN"/>
              </w:rPr>
              <w:t xml:space="preserve"> </w:t>
            </w:r>
            <w:r w:rsidRPr="00BD1D74">
              <w:rPr>
                <w:b/>
                <w:smallCaps/>
                <w:szCs w:val="24"/>
                <w:lang w:val="fr-CH" w:eastAsia="zh-CN"/>
              </w:rPr>
              <w:t>盟</w:t>
            </w:r>
          </w:p>
        </w:tc>
        <w:tc>
          <w:tcPr>
            <w:tcW w:w="3120" w:type="dxa"/>
            <w:tcBorders>
              <w:bottom w:val="single" w:sz="12" w:space="0" w:color="auto"/>
            </w:tcBorders>
          </w:tcPr>
          <w:p w:rsidR="00700D1F" w:rsidRPr="00BD1D74" w:rsidRDefault="00700D1F" w:rsidP="00001B77">
            <w:pPr>
              <w:spacing w:before="0"/>
              <w:rPr>
                <w:szCs w:val="24"/>
              </w:rPr>
            </w:pPr>
          </w:p>
        </w:tc>
      </w:tr>
      <w:tr w:rsidR="00700D1F" w:rsidRPr="00BD1D74">
        <w:trPr>
          <w:cantSplit/>
        </w:trPr>
        <w:tc>
          <w:tcPr>
            <w:tcW w:w="6911" w:type="dxa"/>
            <w:tcBorders>
              <w:top w:val="single" w:sz="12" w:space="0" w:color="auto"/>
            </w:tcBorders>
          </w:tcPr>
          <w:p w:rsidR="00700D1F" w:rsidRPr="00BD1D74" w:rsidRDefault="00700D1F" w:rsidP="00001B77">
            <w:pPr>
              <w:spacing w:before="0" w:after="48"/>
              <w:rPr>
                <w:b/>
                <w:smallCaps/>
                <w:szCs w:val="24"/>
              </w:rPr>
            </w:pPr>
          </w:p>
        </w:tc>
        <w:tc>
          <w:tcPr>
            <w:tcW w:w="3120" w:type="dxa"/>
            <w:tcBorders>
              <w:top w:val="single" w:sz="12" w:space="0" w:color="auto"/>
            </w:tcBorders>
          </w:tcPr>
          <w:p w:rsidR="00700D1F" w:rsidRPr="00BD1D74" w:rsidRDefault="00700D1F" w:rsidP="00001B77">
            <w:pPr>
              <w:spacing w:before="0"/>
              <w:rPr>
                <w:szCs w:val="24"/>
              </w:rPr>
            </w:pPr>
          </w:p>
        </w:tc>
      </w:tr>
      <w:tr w:rsidR="00700D1F" w:rsidRPr="00BD1D74">
        <w:trPr>
          <w:cantSplit/>
          <w:trHeight w:val="23"/>
        </w:trPr>
        <w:tc>
          <w:tcPr>
            <w:tcW w:w="6911" w:type="dxa"/>
            <w:vMerge w:val="restart"/>
          </w:tcPr>
          <w:p w:rsidR="00700D1F" w:rsidRPr="00BD1D74" w:rsidRDefault="00700D1F" w:rsidP="00722CF4">
            <w:pPr>
              <w:tabs>
                <w:tab w:val="left" w:pos="851"/>
              </w:tabs>
              <w:rPr>
                <w:b/>
                <w:szCs w:val="24"/>
                <w:lang w:eastAsia="zh-CN"/>
              </w:rPr>
            </w:pPr>
            <w:bookmarkStart w:id="1" w:name="dmeeting" w:colFirst="0" w:colLast="0"/>
            <w:r w:rsidRPr="00BD1D74">
              <w:rPr>
                <w:rFonts w:hint="eastAsia"/>
                <w:b/>
                <w:szCs w:val="24"/>
                <w:lang w:eastAsia="zh-CN"/>
              </w:rPr>
              <w:t>议项</w:t>
            </w:r>
            <w:r w:rsidRPr="00BD1D74">
              <w:rPr>
                <w:b/>
                <w:szCs w:val="24"/>
                <w:lang w:eastAsia="zh-CN"/>
              </w:rPr>
              <w:t>：</w:t>
            </w:r>
            <w:r w:rsidR="005A204A" w:rsidRPr="00BD1D74">
              <w:rPr>
                <w:b/>
              </w:rPr>
              <w:t xml:space="preserve"> </w:t>
            </w:r>
            <w:r w:rsidR="00722CF4" w:rsidRPr="00BD1D74">
              <w:rPr>
                <w:b/>
              </w:rPr>
              <w:t>ADM</w:t>
            </w:r>
            <w:r w:rsidR="005A204A" w:rsidRPr="00BD1D74">
              <w:rPr>
                <w:b/>
              </w:rPr>
              <w:t xml:space="preserve"> </w:t>
            </w:r>
            <w:r w:rsidR="00722CF4" w:rsidRPr="00BD1D74">
              <w:rPr>
                <w:b/>
              </w:rPr>
              <w:t>19</w:t>
            </w:r>
          </w:p>
        </w:tc>
        <w:tc>
          <w:tcPr>
            <w:tcW w:w="3120" w:type="dxa"/>
          </w:tcPr>
          <w:p w:rsidR="00700D1F" w:rsidRPr="00BD1D74" w:rsidRDefault="00700D1F" w:rsidP="00722CF4">
            <w:pPr>
              <w:tabs>
                <w:tab w:val="left" w:pos="851"/>
              </w:tabs>
              <w:spacing w:before="0"/>
              <w:rPr>
                <w:b/>
                <w:bCs/>
                <w:lang w:eastAsia="zh-CN"/>
              </w:rPr>
            </w:pPr>
            <w:r w:rsidRPr="00BD1D74">
              <w:rPr>
                <w:rFonts w:hint="eastAsia"/>
                <w:b/>
                <w:bCs/>
                <w:szCs w:val="24"/>
                <w:lang w:val="fr-CH" w:eastAsia="zh-CN"/>
              </w:rPr>
              <w:t>文件</w:t>
            </w:r>
            <w:r w:rsidRPr="00BD1D74">
              <w:rPr>
                <w:b/>
                <w:bCs/>
                <w:sz w:val="20"/>
                <w:lang w:eastAsia="zh-CN"/>
              </w:rPr>
              <w:t xml:space="preserve"> </w:t>
            </w:r>
            <w:r w:rsidRPr="00BD1D74">
              <w:rPr>
                <w:b/>
                <w:bCs/>
                <w:szCs w:val="24"/>
                <w:lang w:eastAsia="zh-CN"/>
              </w:rPr>
              <w:t>C</w:t>
            </w:r>
            <w:r w:rsidR="00325C25" w:rsidRPr="00BD1D74">
              <w:rPr>
                <w:b/>
                <w:bCs/>
                <w:szCs w:val="24"/>
                <w:lang w:eastAsia="zh-CN"/>
              </w:rPr>
              <w:t>1</w:t>
            </w:r>
            <w:r w:rsidR="00A5354B" w:rsidRPr="00BD1D74">
              <w:rPr>
                <w:b/>
                <w:bCs/>
                <w:szCs w:val="24"/>
                <w:lang w:eastAsia="zh-CN"/>
              </w:rPr>
              <w:t>7</w:t>
            </w:r>
            <w:r w:rsidRPr="00BD1D74">
              <w:rPr>
                <w:b/>
                <w:bCs/>
                <w:szCs w:val="24"/>
                <w:lang w:eastAsia="zh-CN"/>
              </w:rPr>
              <w:t>/</w:t>
            </w:r>
            <w:r w:rsidR="00722CF4" w:rsidRPr="00BD1D74">
              <w:rPr>
                <w:b/>
                <w:bCs/>
                <w:szCs w:val="24"/>
                <w:lang w:eastAsia="zh-CN"/>
              </w:rPr>
              <w:t>20</w:t>
            </w:r>
            <w:r w:rsidR="00595A9F" w:rsidRPr="00BD1D74">
              <w:rPr>
                <w:b/>
                <w:bCs/>
                <w:szCs w:val="24"/>
                <w:lang w:eastAsia="zh-CN"/>
              </w:rPr>
              <w:t>-</w:t>
            </w:r>
            <w:r w:rsidRPr="00BD1D74">
              <w:rPr>
                <w:b/>
                <w:bCs/>
                <w:szCs w:val="24"/>
                <w:lang w:eastAsia="zh-CN"/>
              </w:rPr>
              <w:t>C</w:t>
            </w:r>
          </w:p>
        </w:tc>
      </w:tr>
      <w:bookmarkEnd w:id="1"/>
      <w:tr w:rsidR="00700D1F" w:rsidRPr="00BD1D74">
        <w:trPr>
          <w:cantSplit/>
          <w:trHeight w:val="23"/>
        </w:trPr>
        <w:tc>
          <w:tcPr>
            <w:tcW w:w="6911" w:type="dxa"/>
            <w:vMerge/>
          </w:tcPr>
          <w:p w:rsidR="00700D1F" w:rsidRPr="00BD1D74" w:rsidRDefault="00700D1F" w:rsidP="00001B77">
            <w:pPr>
              <w:tabs>
                <w:tab w:val="left" w:pos="851"/>
              </w:tabs>
              <w:rPr>
                <w:b/>
                <w:lang w:eastAsia="zh-CN"/>
              </w:rPr>
            </w:pPr>
          </w:p>
        </w:tc>
        <w:tc>
          <w:tcPr>
            <w:tcW w:w="3120" w:type="dxa"/>
          </w:tcPr>
          <w:p w:rsidR="00700D1F" w:rsidRPr="00BD1D74" w:rsidRDefault="00700D1F" w:rsidP="00722CF4">
            <w:pPr>
              <w:tabs>
                <w:tab w:val="left" w:pos="993"/>
              </w:tabs>
              <w:spacing w:before="0"/>
              <w:rPr>
                <w:b/>
                <w:bCs/>
                <w:szCs w:val="24"/>
                <w:lang w:eastAsia="zh-CN"/>
              </w:rPr>
            </w:pPr>
            <w:r w:rsidRPr="00BD1D74">
              <w:rPr>
                <w:b/>
                <w:bCs/>
                <w:szCs w:val="24"/>
                <w:lang w:eastAsia="zh-CN"/>
              </w:rPr>
              <w:t>20</w:t>
            </w:r>
            <w:r w:rsidR="00325C25" w:rsidRPr="00BD1D74">
              <w:rPr>
                <w:b/>
                <w:bCs/>
                <w:szCs w:val="24"/>
                <w:lang w:eastAsia="zh-CN"/>
              </w:rPr>
              <w:t>1</w:t>
            </w:r>
            <w:r w:rsidR="00A5354B" w:rsidRPr="00BD1D74">
              <w:rPr>
                <w:b/>
                <w:bCs/>
                <w:szCs w:val="24"/>
                <w:lang w:eastAsia="zh-CN"/>
              </w:rPr>
              <w:t>7</w:t>
            </w:r>
            <w:r w:rsidRPr="00BD1D74">
              <w:rPr>
                <w:rFonts w:hint="eastAsia"/>
                <w:b/>
                <w:bCs/>
                <w:szCs w:val="24"/>
                <w:lang w:eastAsia="zh-CN"/>
              </w:rPr>
              <w:t>年</w:t>
            </w:r>
            <w:r w:rsidR="00722CF4" w:rsidRPr="00BD1D74">
              <w:rPr>
                <w:rFonts w:cstheme="minorHAnsi"/>
                <w:b/>
                <w:bCs/>
                <w:szCs w:val="24"/>
                <w:lang w:eastAsia="zh-CN"/>
              </w:rPr>
              <w:t>2</w:t>
            </w:r>
            <w:r w:rsidRPr="00BD1D74">
              <w:rPr>
                <w:rFonts w:hint="eastAsia"/>
                <w:b/>
                <w:bCs/>
                <w:szCs w:val="24"/>
                <w:lang w:eastAsia="zh-CN"/>
              </w:rPr>
              <w:t>月</w:t>
            </w:r>
            <w:r w:rsidR="00722CF4" w:rsidRPr="00BD1D74">
              <w:rPr>
                <w:rFonts w:cstheme="minorHAnsi"/>
                <w:b/>
                <w:bCs/>
                <w:szCs w:val="24"/>
                <w:lang w:eastAsia="zh-CN"/>
              </w:rPr>
              <w:t>8</w:t>
            </w:r>
            <w:r w:rsidRPr="00BD1D74">
              <w:rPr>
                <w:rFonts w:hint="eastAsia"/>
                <w:b/>
                <w:bCs/>
                <w:szCs w:val="24"/>
                <w:lang w:eastAsia="zh-CN"/>
              </w:rPr>
              <w:t>日</w:t>
            </w:r>
          </w:p>
        </w:tc>
      </w:tr>
      <w:tr w:rsidR="00700D1F" w:rsidRPr="00BD1D74">
        <w:trPr>
          <w:cantSplit/>
          <w:trHeight w:val="23"/>
        </w:trPr>
        <w:tc>
          <w:tcPr>
            <w:tcW w:w="6911" w:type="dxa"/>
            <w:vMerge/>
          </w:tcPr>
          <w:p w:rsidR="00700D1F" w:rsidRPr="00BD1D74" w:rsidRDefault="00700D1F" w:rsidP="00001B77">
            <w:pPr>
              <w:tabs>
                <w:tab w:val="left" w:pos="851"/>
              </w:tabs>
              <w:rPr>
                <w:b/>
                <w:lang w:eastAsia="zh-CN"/>
              </w:rPr>
            </w:pPr>
          </w:p>
        </w:tc>
        <w:tc>
          <w:tcPr>
            <w:tcW w:w="3120" w:type="dxa"/>
          </w:tcPr>
          <w:p w:rsidR="00700D1F" w:rsidRPr="00BD1D74" w:rsidRDefault="00700D1F" w:rsidP="00001B77">
            <w:pPr>
              <w:tabs>
                <w:tab w:val="left" w:pos="993"/>
              </w:tabs>
              <w:spacing w:before="0"/>
              <w:rPr>
                <w:b/>
                <w:bCs/>
                <w:szCs w:val="24"/>
                <w:lang w:eastAsia="zh-CN"/>
              </w:rPr>
            </w:pPr>
            <w:r w:rsidRPr="00BD1D74">
              <w:rPr>
                <w:rFonts w:hint="eastAsia"/>
                <w:b/>
                <w:bCs/>
                <w:szCs w:val="24"/>
                <w:lang w:eastAsia="zh-CN"/>
              </w:rPr>
              <w:t>原文：</w:t>
            </w:r>
            <w:r w:rsidR="00F11595" w:rsidRPr="00BD1D74">
              <w:rPr>
                <w:rFonts w:hint="eastAsia"/>
                <w:b/>
                <w:bCs/>
                <w:szCs w:val="24"/>
                <w:lang w:eastAsia="zh-CN"/>
              </w:rPr>
              <w:t>英</w:t>
            </w:r>
            <w:r w:rsidRPr="00BD1D74">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5A204A" w:rsidRPr="00BD1D74">
        <w:trPr>
          <w:cantSplit/>
        </w:trPr>
        <w:tc>
          <w:tcPr>
            <w:tcW w:w="10031" w:type="dxa"/>
          </w:tcPr>
          <w:p w:rsidR="005A204A" w:rsidRPr="00BD1D74" w:rsidRDefault="00722CF4" w:rsidP="00722CF4">
            <w:pPr>
              <w:pStyle w:val="Source"/>
            </w:pPr>
            <w:r w:rsidRPr="00BD1D74">
              <w:rPr>
                <w:rFonts w:hint="eastAsia"/>
                <w:lang w:val="fr-CH" w:eastAsia="zh-CN"/>
              </w:rPr>
              <w:t>秘书长的</w:t>
            </w:r>
            <w:r w:rsidRPr="00BD1D74">
              <w:rPr>
                <w:lang w:val="fr-CH" w:eastAsia="zh-CN"/>
              </w:rPr>
              <w:t>报告</w:t>
            </w:r>
          </w:p>
        </w:tc>
      </w:tr>
      <w:tr w:rsidR="005A204A" w:rsidRPr="00BD1D74">
        <w:trPr>
          <w:cantSplit/>
        </w:trPr>
        <w:tc>
          <w:tcPr>
            <w:tcW w:w="10031" w:type="dxa"/>
          </w:tcPr>
          <w:p w:rsidR="005A204A" w:rsidRPr="00BD1D74" w:rsidRDefault="0044368B" w:rsidP="005A204A">
            <w:pPr>
              <w:pStyle w:val="Title1"/>
              <w:rPr>
                <w:lang w:eastAsia="zh-CN"/>
              </w:rPr>
            </w:pPr>
            <w:bookmarkStart w:id="2" w:name="lt_pId013"/>
            <w:r>
              <w:rPr>
                <w:rFonts w:hint="eastAsia"/>
                <w:lang w:eastAsia="zh-CN"/>
              </w:rPr>
              <w:t>秘书处的信息技术和信息管理战略</w:t>
            </w:r>
            <w:bookmarkEnd w:id="2"/>
          </w:p>
        </w:tc>
      </w:tr>
    </w:tbl>
    <w:p w:rsidR="0093362E" w:rsidRPr="00BD1D74" w:rsidRDefault="0093362E" w:rsidP="00001B77">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BD1D74"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5A2A8D" w:rsidRPr="0044368B" w:rsidRDefault="005A2A8D" w:rsidP="005A2A8D">
            <w:pPr>
              <w:pStyle w:val="Headingb"/>
              <w:rPr>
                <w:i/>
                <w:iCs/>
                <w:lang w:val="en-US" w:eastAsia="zh-CN"/>
              </w:rPr>
            </w:pPr>
            <w:r w:rsidRPr="00BD1D74">
              <w:rPr>
                <w:rFonts w:cs="Microsoft YaHei" w:hint="eastAsia"/>
                <w:iCs/>
                <w:lang w:val="fr-FR" w:eastAsia="zh-CN"/>
              </w:rPr>
              <w:t>概</w:t>
            </w:r>
            <w:r w:rsidRPr="00BD1D74">
              <w:rPr>
                <w:rFonts w:cs="Microsoft YaHei" w:hint="eastAsia"/>
                <w:iCs/>
                <w:lang w:eastAsia="zh-CN"/>
              </w:rPr>
              <w:t>要</w:t>
            </w:r>
          </w:p>
          <w:p w:rsidR="00722CF4" w:rsidRPr="00BD1D74" w:rsidRDefault="0044368B" w:rsidP="001F77D8">
            <w:pPr>
              <w:ind w:firstLineChars="200" w:firstLine="480"/>
              <w:jc w:val="both"/>
              <w:rPr>
                <w:lang w:eastAsia="zh-CN"/>
              </w:rPr>
            </w:pPr>
            <w:bookmarkStart w:id="3" w:name="lt_pId016"/>
            <w:r>
              <w:rPr>
                <w:rFonts w:hint="eastAsia"/>
                <w:lang w:eastAsia="zh-CN"/>
              </w:rPr>
              <w:t>本文件概述了秘书处</w:t>
            </w:r>
            <w:r w:rsidRPr="0044368B">
              <w:rPr>
                <w:rFonts w:hint="eastAsia"/>
                <w:b/>
                <w:lang w:eastAsia="zh-CN"/>
              </w:rPr>
              <w:t>内部</w:t>
            </w:r>
            <w:r>
              <w:rPr>
                <w:rFonts w:hint="eastAsia"/>
                <w:lang w:eastAsia="zh-CN"/>
              </w:rPr>
              <w:t>信息技术和信息管理战略的高层方向。</w:t>
            </w:r>
            <w:bookmarkEnd w:id="3"/>
          </w:p>
          <w:p w:rsidR="00722CF4" w:rsidRPr="00BD1D74" w:rsidRDefault="0044368B" w:rsidP="001F77D8">
            <w:pPr>
              <w:ind w:firstLineChars="200" w:firstLine="480"/>
              <w:jc w:val="both"/>
              <w:rPr>
                <w:lang w:eastAsia="zh-CN"/>
              </w:rPr>
            </w:pPr>
            <w:bookmarkStart w:id="4" w:name="lt_pId017"/>
            <w:r>
              <w:rPr>
                <w:rFonts w:hint="eastAsia"/>
                <w:lang w:eastAsia="zh-CN"/>
              </w:rPr>
              <w:t>联检组</w:t>
            </w:r>
            <w:r w:rsidR="001F77D8">
              <w:rPr>
                <w:rFonts w:hint="eastAsia"/>
                <w:lang w:eastAsia="zh-CN"/>
              </w:rPr>
              <w:t>《</w:t>
            </w:r>
            <w:r>
              <w:rPr>
                <w:color w:val="000000"/>
                <w:lang w:eastAsia="zh-CN"/>
              </w:rPr>
              <w:t>审查国际电联管理和行政管理</w:t>
            </w:r>
            <w:r w:rsidR="001F77D8">
              <w:rPr>
                <w:rFonts w:hint="eastAsia"/>
                <w:color w:val="000000"/>
                <w:lang w:eastAsia="zh-CN"/>
              </w:rPr>
              <w:t>》</w:t>
            </w:r>
            <w:r w:rsidR="001F77D8">
              <w:rPr>
                <w:color w:val="000000"/>
                <w:lang w:eastAsia="zh-CN"/>
              </w:rPr>
              <w:t>报告</w:t>
            </w:r>
            <w:r>
              <w:rPr>
                <w:rFonts w:hint="eastAsia"/>
                <w:color w:val="000000"/>
                <w:lang w:eastAsia="zh-CN"/>
              </w:rPr>
              <w:t>已强调了</w:t>
            </w:r>
            <w:r>
              <w:rPr>
                <w:rFonts w:hint="eastAsia"/>
                <w:lang w:eastAsia="zh-CN"/>
              </w:rPr>
              <w:t>更新国际电联</w:t>
            </w:r>
            <w:r>
              <w:rPr>
                <w:rFonts w:hint="eastAsia"/>
                <w:lang w:eastAsia="zh-CN"/>
              </w:rPr>
              <w:t>ICT</w:t>
            </w:r>
            <w:r>
              <w:rPr>
                <w:rFonts w:hint="eastAsia"/>
                <w:lang w:eastAsia="zh-CN"/>
              </w:rPr>
              <w:t>战略的重要性：“要进一步加强国际电联的信息技术和信息管理，</w:t>
            </w:r>
            <w:r>
              <w:rPr>
                <w:color w:val="000000"/>
                <w:lang w:eastAsia="zh-CN"/>
              </w:rPr>
              <w:t>建议</w:t>
            </w:r>
            <w:r>
              <w:rPr>
                <w:color w:val="000000"/>
                <w:lang w:eastAsia="zh-CN"/>
              </w:rPr>
              <w:t>11</w:t>
            </w:r>
            <w:r>
              <w:rPr>
                <w:rFonts w:hint="eastAsia"/>
                <w:color w:val="000000"/>
                <w:lang w:eastAsia="zh-CN"/>
              </w:rPr>
              <w:t>要求</w:t>
            </w:r>
            <w:r w:rsidR="001D6FDF">
              <w:rPr>
                <w:rFonts w:hint="eastAsia"/>
                <w:color w:val="000000"/>
                <w:lang w:eastAsia="zh-CN"/>
              </w:rPr>
              <w:t>制定</w:t>
            </w:r>
            <w:r>
              <w:rPr>
                <w:color w:val="000000"/>
                <w:lang w:eastAsia="zh-CN"/>
              </w:rPr>
              <w:t>最新</w:t>
            </w:r>
            <w:r w:rsidR="001D6FDF">
              <w:rPr>
                <w:rFonts w:hint="eastAsia"/>
                <w:color w:val="000000"/>
                <w:lang w:eastAsia="zh-CN"/>
              </w:rPr>
              <w:t>的</w:t>
            </w:r>
            <w:r>
              <w:rPr>
                <w:color w:val="000000"/>
                <w:lang w:eastAsia="zh-CN"/>
              </w:rPr>
              <w:t>信息技术和信息管理</w:t>
            </w:r>
            <w:r w:rsidR="001F77D8">
              <w:rPr>
                <w:rFonts w:hint="eastAsia"/>
                <w:color w:val="000000"/>
                <w:lang w:eastAsia="zh-CN"/>
              </w:rPr>
              <w:t>战略</w:t>
            </w:r>
            <w:r>
              <w:rPr>
                <w:color w:val="000000"/>
                <w:lang w:eastAsia="zh-CN"/>
              </w:rPr>
              <w:t>，</w:t>
            </w:r>
            <w:r w:rsidR="001D6FDF">
              <w:rPr>
                <w:rFonts w:hint="eastAsia"/>
                <w:color w:val="000000"/>
                <w:lang w:eastAsia="zh-CN"/>
              </w:rPr>
              <w:t>将</w:t>
            </w:r>
            <w:r w:rsidR="001D6FDF">
              <w:rPr>
                <w:color w:val="000000"/>
                <w:lang w:eastAsia="zh-CN"/>
              </w:rPr>
              <w:t>信息</w:t>
            </w:r>
            <w:r w:rsidR="001D6FDF">
              <w:rPr>
                <w:rFonts w:hint="eastAsia"/>
                <w:color w:val="000000"/>
                <w:lang w:eastAsia="zh-CN"/>
              </w:rPr>
              <w:t>和知识</w:t>
            </w:r>
            <w:r w:rsidR="001D6FDF">
              <w:rPr>
                <w:color w:val="000000"/>
                <w:lang w:eastAsia="zh-CN"/>
              </w:rPr>
              <w:t>管理的</w:t>
            </w:r>
            <w:r w:rsidR="001D6FDF">
              <w:rPr>
                <w:rFonts w:hint="eastAsia"/>
                <w:color w:val="000000"/>
                <w:lang w:eastAsia="zh-CN"/>
              </w:rPr>
              <w:t>所有问题集中在一处”</w:t>
            </w:r>
            <w:r w:rsidR="001D6FDF" w:rsidRPr="00BD1D74">
              <w:rPr>
                <w:lang w:eastAsia="zh-CN"/>
              </w:rPr>
              <w:t>–</w:t>
            </w:r>
            <w:r w:rsidR="001D6FDF">
              <w:rPr>
                <w:rFonts w:hint="eastAsia"/>
                <w:color w:val="000000"/>
                <w:lang w:eastAsia="zh-CN"/>
              </w:rPr>
              <w:t>“</w:t>
            </w:r>
            <w:r>
              <w:rPr>
                <w:color w:val="000000"/>
                <w:lang w:eastAsia="zh-CN"/>
              </w:rPr>
              <w:t>其中包括有关信息管理的各个层面，并每年向理事会报告其实施情况</w:t>
            </w:r>
            <w:r>
              <w:rPr>
                <w:rFonts w:hint="eastAsia"/>
                <w:lang w:eastAsia="zh-CN"/>
              </w:rPr>
              <w:t>”</w:t>
            </w:r>
            <w:r w:rsidR="001D6FDF">
              <w:rPr>
                <w:rFonts w:hint="eastAsia"/>
                <w:lang w:eastAsia="zh-CN"/>
              </w:rPr>
              <w:t>。</w:t>
            </w:r>
            <w:bookmarkEnd w:id="4"/>
          </w:p>
          <w:p w:rsidR="00722CF4" w:rsidRPr="00BD1D74" w:rsidRDefault="00722CF4" w:rsidP="001F77D8">
            <w:pPr>
              <w:ind w:firstLineChars="200" w:firstLine="480"/>
              <w:jc w:val="both"/>
              <w:rPr>
                <w:lang w:eastAsia="zh-CN"/>
              </w:rPr>
            </w:pPr>
            <w:bookmarkStart w:id="5" w:name="lt_pId019"/>
            <w:r w:rsidRPr="00BD1D74">
              <w:rPr>
                <w:lang w:eastAsia="zh-CN"/>
              </w:rPr>
              <w:t>ICT</w:t>
            </w:r>
            <w:r w:rsidR="001D6FDF">
              <w:rPr>
                <w:rFonts w:hint="eastAsia"/>
                <w:lang w:eastAsia="zh-CN"/>
              </w:rPr>
              <w:t>战略包括</w:t>
            </w:r>
            <w:r w:rsidR="001D6FDF">
              <w:rPr>
                <w:rFonts w:hint="eastAsia"/>
                <w:lang w:eastAsia="zh-CN"/>
              </w:rPr>
              <w:t>4</w:t>
            </w:r>
            <w:r w:rsidR="001D6FDF">
              <w:rPr>
                <w:rFonts w:hint="eastAsia"/>
                <w:lang w:eastAsia="zh-CN"/>
              </w:rPr>
              <w:t>个重要</w:t>
            </w:r>
            <w:r w:rsidR="001D6FDF">
              <w:rPr>
                <w:lang w:eastAsia="zh-CN"/>
              </w:rPr>
              <w:t>ICT</w:t>
            </w:r>
            <w:r w:rsidR="001D6FDF">
              <w:rPr>
                <w:rFonts w:hint="eastAsia"/>
                <w:lang w:eastAsia="zh-CN"/>
              </w:rPr>
              <w:t>战略方向：</w:t>
            </w:r>
            <w:bookmarkStart w:id="6" w:name="_Hlk481320560"/>
            <w:r w:rsidR="001D6FDF">
              <w:rPr>
                <w:rFonts w:hint="eastAsia"/>
                <w:lang w:eastAsia="zh-CN"/>
              </w:rPr>
              <w:t>通过全面的</w:t>
            </w:r>
            <w:r w:rsidR="001D6FDF" w:rsidRPr="001D6FDF">
              <w:rPr>
                <w:rFonts w:hint="eastAsia"/>
                <w:b/>
                <w:lang w:eastAsia="zh-CN"/>
              </w:rPr>
              <w:t>国际电联数字变革</w:t>
            </w:r>
            <w:r w:rsidR="001D6FDF">
              <w:rPr>
                <w:rFonts w:hint="eastAsia"/>
                <w:lang w:eastAsia="zh-CN"/>
              </w:rPr>
              <w:t>实现</w:t>
            </w:r>
            <w:bookmarkEnd w:id="6"/>
            <w:r w:rsidR="001D6FDF" w:rsidRPr="001D6FDF">
              <w:rPr>
                <w:rFonts w:hint="eastAsia"/>
                <w:b/>
                <w:lang w:eastAsia="zh-CN"/>
              </w:rPr>
              <w:t>数字第一</w:t>
            </w:r>
            <w:r w:rsidR="001D6FDF">
              <w:rPr>
                <w:rFonts w:hint="eastAsia"/>
                <w:lang w:eastAsia="zh-CN"/>
              </w:rPr>
              <w:t>、</w:t>
            </w:r>
            <w:r w:rsidR="001D6FDF" w:rsidRPr="001D6FDF">
              <w:rPr>
                <w:rFonts w:hint="eastAsia"/>
                <w:b/>
                <w:lang w:eastAsia="zh-CN"/>
              </w:rPr>
              <w:t>移动</w:t>
            </w:r>
            <w:r w:rsidR="001D6FDF">
              <w:rPr>
                <w:rFonts w:hint="eastAsia"/>
                <w:lang w:eastAsia="zh-CN"/>
              </w:rPr>
              <w:t>、</w:t>
            </w:r>
            <w:r w:rsidR="001D6FDF" w:rsidRPr="001D6FDF">
              <w:rPr>
                <w:rFonts w:hint="eastAsia"/>
                <w:b/>
                <w:lang w:eastAsia="zh-CN"/>
              </w:rPr>
              <w:t>安全</w:t>
            </w:r>
            <w:r w:rsidR="001D6FDF">
              <w:rPr>
                <w:rFonts w:hint="eastAsia"/>
                <w:lang w:eastAsia="zh-CN"/>
              </w:rPr>
              <w:t>和</w:t>
            </w:r>
            <w:r w:rsidR="001D6FDF" w:rsidRPr="001D6FDF">
              <w:rPr>
                <w:rFonts w:hint="eastAsia"/>
                <w:b/>
                <w:lang w:eastAsia="zh-CN"/>
              </w:rPr>
              <w:t>数据驱动</w:t>
            </w:r>
            <w:r w:rsidR="001D6FDF">
              <w:rPr>
                <w:rFonts w:hint="eastAsia"/>
                <w:lang w:eastAsia="zh-CN"/>
              </w:rPr>
              <w:t>。</w:t>
            </w:r>
            <w:bookmarkEnd w:id="5"/>
          </w:p>
          <w:p w:rsidR="00722CF4" w:rsidRPr="00BD1D74" w:rsidRDefault="001D6FDF" w:rsidP="001F77D8">
            <w:pPr>
              <w:ind w:firstLineChars="200" w:firstLine="480"/>
              <w:jc w:val="both"/>
              <w:rPr>
                <w:lang w:eastAsia="zh-CN"/>
              </w:rPr>
            </w:pPr>
            <w:r>
              <w:rPr>
                <w:lang w:eastAsia="zh-CN"/>
              </w:rPr>
              <w:t>ICT</w:t>
            </w:r>
            <w:r>
              <w:rPr>
                <w:rFonts w:hint="eastAsia"/>
                <w:lang w:eastAsia="zh-CN"/>
              </w:rPr>
              <w:t>战略的落实支持国际电联的战略规划，可使国际电联</w:t>
            </w:r>
            <w:bookmarkStart w:id="7" w:name="_Hlk481322614"/>
            <w:r>
              <w:rPr>
                <w:rFonts w:hint="eastAsia"/>
                <w:lang w:eastAsia="zh-CN"/>
              </w:rPr>
              <w:t>从数字创新</w:t>
            </w:r>
            <w:r w:rsidR="001F77D8">
              <w:rPr>
                <w:rFonts w:hint="eastAsia"/>
                <w:lang w:eastAsia="zh-CN"/>
              </w:rPr>
              <w:t>，</w:t>
            </w:r>
            <w:r>
              <w:rPr>
                <w:rFonts w:hint="eastAsia"/>
                <w:lang w:eastAsia="zh-CN"/>
              </w:rPr>
              <w:t>提高安全</w:t>
            </w:r>
            <w:r w:rsidR="001F77D8">
              <w:rPr>
                <w:rFonts w:hint="eastAsia"/>
                <w:lang w:eastAsia="zh-CN"/>
              </w:rPr>
              <w:t>，</w:t>
            </w:r>
            <w:r>
              <w:rPr>
                <w:rFonts w:hint="eastAsia"/>
                <w:lang w:eastAsia="zh-CN"/>
              </w:rPr>
              <w:t>确保在正确的时间获得正确的信息，提高对不断变化环境的响应性及在为行政职能提供支持的过程中提高效率等方面最大程度地受益</w:t>
            </w:r>
            <w:bookmarkEnd w:id="7"/>
            <w:r>
              <w:rPr>
                <w:rFonts w:hint="eastAsia"/>
                <w:lang w:eastAsia="zh-CN"/>
              </w:rPr>
              <w:t>。</w:t>
            </w:r>
          </w:p>
          <w:p w:rsidR="005A2A8D" w:rsidRPr="00BD1D74" w:rsidRDefault="005A2A8D" w:rsidP="005A2A8D">
            <w:pPr>
              <w:pStyle w:val="Headingb"/>
              <w:rPr>
                <w:i/>
                <w:iCs/>
                <w:lang w:eastAsia="zh-CN"/>
              </w:rPr>
            </w:pPr>
            <w:r w:rsidRPr="00BD1D74">
              <w:rPr>
                <w:rFonts w:cs="Microsoft YaHei" w:hint="eastAsia"/>
                <w:iCs/>
                <w:lang w:eastAsia="zh-CN"/>
              </w:rPr>
              <w:t>需采取的行动</w:t>
            </w:r>
          </w:p>
          <w:p w:rsidR="00B40A53" w:rsidRPr="00BD1D74" w:rsidRDefault="001D6FDF" w:rsidP="001F77D8">
            <w:pPr>
              <w:spacing w:after="120"/>
              <w:ind w:firstLineChars="200" w:firstLine="480"/>
              <w:rPr>
                <w:lang w:eastAsia="zh-CN"/>
              </w:rPr>
            </w:pPr>
            <w:r>
              <w:rPr>
                <w:rFonts w:hint="eastAsia"/>
                <w:lang w:eastAsia="zh-CN"/>
              </w:rPr>
              <w:t>请理事会</w:t>
            </w:r>
            <w:r w:rsidRPr="001D6FDF">
              <w:rPr>
                <w:rFonts w:hint="eastAsia"/>
                <w:b/>
                <w:lang w:eastAsia="zh-CN"/>
              </w:rPr>
              <w:t>批准</w:t>
            </w:r>
            <w:r>
              <w:rPr>
                <w:rFonts w:hint="eastAsia"/>
                <w:lang w:eastAsia="zh-CN"/>
              </w:rPr>
              <w:t>本文件。</w:t>
            </w:r>
          </w:p>
        </w:tc>
      </w:tr>
    </w:tbl>
    <w:p w:rsidR="002C18B5" w:rsidRPr="00BD1D74" w:rsidRDefault="002C18B5" w:rsidP="005D4BD7">
      <w:pPr>
        <w:pStyle w:val="Heading1"/>
        <w:snapToGrid w:val="0"/>
        <w:spacing w:before="360" w:after="120"/>
        <w:ind w:left="0" w:firstLine="0"/>
        <w:rPr>
          <w:lang w:eastAsia="zh-CN"/>
        </w:rPr>
      </w:pPr>
      <w:bookmarkStart w:id="8" w:name="_Toc466550106"/>
      <w:bookmarkStart w:id="9" w:name="_Toc473010170"/>
      <w:r w:rsidRPr="00BD1D74">
        <w:rPr>
          <w:lang w:eastAsia="zh-CN"/>
        </w:rPr>
        <w:t>1</w:t>
      </w:r>
      <w:r w:rsidRPr="00BD1D74">
        <w:rPr>
          <w:lang w:eastAsia="zh-CN"/>
        </w:rPr>
        <w:tab/>
      </w:r>
      <w:bookmarkStart w:id="10" w:name="lt_pId024"/>
      <w:r w:rsidR="001D6FDF">
        <w:rPr>
          <w:rFonts w:hint="eastAsia"/>
          <w:lang w:eastAsia="zh-CN"/>
        </w:rPr>
        <w:t>背景情况</w:t>
      </w:r>
      <w:bookmarkEnd w:id="8"/>
      <w:bookmarkEnd w:id="9"/>
      <w:bookmarkEnd w:id="10"/>
    </w:p>
    <w:p w:rsidR="002C18B5" w:rsidRPr="005D4BD7" w:rsidRDefault="002C18B5" w:rsidP="00A627C4">
      <w:pPr>
        <w:pStyle w:val="Default"/>
        <w:snapToGrid w:val="0"/>
        <w:spacing w:before="120" w:after="120"/>
        <w:jc w:val="both"/>
        <w:rPr>
          <w:lang w:eastAsia="zh-CN"/>
        </w:rPr>
      </w:pPr>
      <w:proofErr w:type="gramStart"/>
      <w:r w:rsidRPr="00BD1D74">
        <w:rPr>
          <w:rFonts w:ascii="Calibri" w:eastAsia="SimSun" w:hAnsi="Calibri" w:cstheme="majorBidi"/>
          <w:lang w:val="en-GB" w:eastAsia="zh-CN"/>
        </w:rPr>
        <w:t>1.1</w:t>
      </w:r>
      <w:proofErr w:type="gramEnd"/>
      <w:r w:rsidRPr="00BD1D74">
        <w:rPr>
          <w:rFonts w:ascii="Calibri" w:eastAsia="SimSun" w:hAnsi="Calibri" w:cstheme="majorBidi"/>
          <w:lang w:val="en-GB" w:eastAsia="zh-CN"/>
        </w:rPr>
        <w:tab/>
      </w:r>
      <w:bookmarkStart w:id="11" w:name="lt_pId026"/>
      <w:r w:rsidR="00A627C4" w:rsidRPr="00BD1D74">
        <w:rPr>
          <w:rFonts w:ascii="Calibri" w:eastAsia="SimSun" w:hAnsi="Calibri" w:cstheme="majorBidi"/>
          <w:lang w:val="en-GB" w:eastAsia="zh-CN"/>
        </w:rPr>
        <w:t>2016</w:t>
      </w:r>
      <w:r w:rsidR="004318A9">
        <w:rPr>
          <w:rFonts w:ascii="Calibri" w:eastAsia="SimSun" w:hAnsi="Calibri" w:cstheme="majorBidi" w:hint="eastAsia"/>
          <w:lang w:val="en-GB" w:eastAsia="zh-CN"/>
        </w:rPr>
        <w:t>年联检组</w:t>
      </w:r>
      <w:r w:rsidR="00BD1D74" w:rsidRPr="00BD1D74">
        <w:rPr>
          <w:rFonts w:ascii="SimSun" w:eastAsia="SimSun" w:hAnsi="SimSun" w:cstheme="majorBidi"/>
          <w:lang w:val="en-GB" w:eastAsia="zh-CN"/>
        </w:rPr>
        <w:t>“</w:t>
      </w:r>
      <w:bookmarkStart w:id="12" w:name="_Hlk481318733"/>
      <w:r w:rsidR="00A627C4" w:rsidRPr="00BD1D74">
        <w:rPr>
          <w:rFonts w:ascii="Calibri" w:eastAsia="SimSun" w:hAnsi="Calibri" w:cs="Microsoft YaHei" w:hint="eastAsia"/>
          <w:lang w:val="en-GB" w:eastAsia="zh-CN"/>
        </w:rPr>
        <w:t>审查国际电信联盟（</w:t>
      </w:r>
      <w:r w:rsidR="00A627C4" w:rsidRPr="00BD1D74">
        <w:rPr>
          <w:rFonts w:ascii="Calibri" w:eastAsia="SimSun" w:hAnsi="Calibri" w:cstheme="majorBidi"/>
          <w:lang w:val="en-GB" w:eastAsia="zh-CN"/>
        </w:rPr>
        <w:t>ITU</w:t>
      </w:r>
      <w:r w:rsidR="00A627C4" w:rsidRPr="00BD1D74">
        <w:rPr>
          <w:rFonts w:ascii="Calibri" w:eastAsia="SimSun" w:hAnsi="Calibri" w:cs="Microsoft YaHei" w:hint="eastAsia"/>
          <w:lang w:val="en-GB" w:eastAsia="zh-CN"/>
        </w:rPr>
        <w:t>）的管理和行政管理</w:t>
      </w:r>
      <w:bookmarkEnd w:id="12"/>
      <w:r w:rsidR="00BD1D74" w:rsidRPr="00BD1D74">
        <w:rPr>
          <w:rFonts w:ascii="SimSun" w:eastAsia="SimSun" w:hAnsi="SimSun" w:cstheme="majorBidi"/>
          <w:lang w:val="en-GB" w:eastAsia="zh-CN"/>
        </w:rPr>
        <w:t>”</w:t>
      </w:r>
      <w:r w:rsidR="004318A9">
        <w:rPr>
          <w:rFonts w:ascii="SimSun" w:eastAsia="SimSun" w:hAnsi="SimSun" w:cstheme="majorBidi" w:hint="eastAsia"/>
          <w:lang w:val="en-GB" w:eastAsia="zh-CN"/>
        </w:rPr>
        <w:t>报告做出结论：</w:t>
      </w:r>
      <w:bookmarkEnd w:id="11"/>
      <w:r w:rsidR="00BD1D74" w:rsidRPr="00BD1D74">
        <w:rPr>
          <w:rFonts w:ascii="SimSun" w:eastAsia="SimSun" w:hAnsi="SimSun" w:cstheme="majorBidi"/>
          <w:lang w:val="en-GB" w:eastAsia="zh-CN"/>
        </w:rPr>
        <w:t>“</w:t>
      </w:r>
      <w:bookmarkStart w:id="13" w:name="lt_pId028"/>
      <w:r w:rsidR="00A627C4" w:rsidRPr="00BD1D74">
        <w:rPr>
          <w:rFonts w:asciiTheme="minorHAnsi" w:eastAsia="STKaiti" w:hAnsiTheme="minorHAnsi" w:cs="Microsoft YaHei"/>
          <w:lang w:val="en-GB" w:eastAsia="zh-CN"/>
        </w:rPr>
        <w:t>国际电联所处环境日新月异，其若干核心活动领域竞争激烈，来自私营部门的竞争尤为强劲。因此，在迅速演进发展的信息通信技术（</w:t>
      </w:r>
      <w:r w:rsidR="00A627C4" w:rsidRPr="00BD1D74">
        <w:rPr>
          <w:rFonts w:asciiTheme="minorHAnsi" w:eastAsia="STKaiti" w:hAnsiTheme="minorHAnsi" w:cstheme="majorBidi"/>
          <w:lang w:val="en-GB" w:eastAsia="zh-CN"/>
        </w:rPr>
        <w:t>ICT</w:t>
      </w:r>
      <w:r w:rsidR="00A627C4" w:rsidRPr="00BD1D74">
        <w:rPr>
          <w:rFonts w:asciiTheme="minorHAnsi" w:eastAsia="STKaiti" w:hAnsiTheme="minorHAnsi" w:cs="Microsoft YaHei"/>
          <w:lang w:val="en-GB" w:eastAsia="zh-CN"/>
        </w:rPr>
        <w:t>）世界中确保国际电</w:t>
      </w:r>
      <w:proofErr w:type="gramStart"/>
      <w:r w:rsidR="00A627C4" w:rsidRPr="00BD1D74">
        <w:rPr>
          <w:rFonts w:asciiTheme="minorHAnsi" w:eastAsia="STKaiti" w:hAnsiTheme="minorHAnsi" w:cs="Microsoft YaHei"/>
          <w:lang w:val="en-GB" w:eastAsia="zh-CN"/>
        </w:rPr>
        <w:t>联依然</w:t>
      </w:r>
      <w:proofErr w:type="gramEnd"/>
      <w:r w:rsidR="00A627C4" w:rsidRPr="00BD1D74">
        <w:rPr>
          <w:rFonts w:asciiTheme="minorHAnsi" w:eastAsia="STKaiti" w:hAnsiTheme="minorHAnsi" w:cs="Microsoft YaHei"/>
          <w:lang w:val="en-GB" w:eastAsia="zh-CN"/>
        </w:rPr>
        <w:t>发挥应有作用并保住其应有地位至关重要。</w:t>
      </w:r>
      <w:r w:rsidR="00BD1D74" w:rsidRPr="00BD1D74">
        <w:rPr>
          <w:rFonts w:ascii="SimSun" w:eastAsia="SimSun" w:hAnsi="SimSun" w:cstheme="majorBidi"/>
          <w:lang w:val="en-GB" w:eastAsia="zh-CN"/>
        </w:rPr>
        <w:t>”</w:t>
      </w:r>
      <w:bookmarkEnd w:id="13"/>
      <w:r w:rsidR="00A627C4" w:rsidRPr="00BD1D74">
        <w:rPr>
          <w:rStyle w:val="FootnoteReference"/>
          <w:rFonts w:ascii="Calibri" w:eastAsia="SimSun" w:hAnsi="Calibri" w:cstheme="majorBidi"/>
          <w:szCs w:val="18"/>
          <w:lang w:val="en-GB"/>
        </w:rPr>
        <w:footnoteReference w:id="1"/>
      </w:r>
    </w:p>
    <w:p w:rsidR="002C18B5" w:rsidRPr="005D4BD7" w:rsidRDefault="002C18B5" w:rsidP="005D4BD7">
      <w:pPr>
        <w:rPr>
          <w:lang w:eastAsia="zh-CN"/>
        </w:rPr>
      </w:pPr>
      <w:proofErr w:type="gramStart"/>
      <w:r w:rsidRPr="00BD1D74">
        <w:rPr>
          <w:lang w:eastAsia="zh-CN"/>
        </w:rPr>
        <w:t>1.2</w:t>
      </w:r>
      <w:proofErr w:type="gramEnd"/>
      <w:r w:rsidRPr="00BD1D74">
        <w:rPr>
          <w:lang w:eastAsia="zh-CN"/>
        </w:rPr>
        <w:tab/>
      </w:r>
      <w:bookmarkStart w:id="16" w:name="lt_pId030"/>
      <w:r w:rsidR="004318A9">
        <w:rPr>
          <w:rFonts w:hint="eastAsia"/>
          <w:lang w:eastAsia="zh-CN"/>
        </w:rPr>
        <w:t>现在，国际电联比以往任何时候都需要面对这一挑战并向在数字经济中创造价值转型</w:t>
      </w:r>
      <w:r w:rsidRPr="00BD1D74">
        <w:rPr>
          <w:lang w:eastAsia="zh-CN"/>
        </w:rPr>
        <w:t xml:space="preserve"> – </w:t>
      </w:r>
      <w:r w:rsidR="004318A9">
        <w:rPr>
          <w:rFonts w:hint="eastAsia"/>
          <w:lang w:eastAsia="zh-CN"/>
        </w:rPr>
        <w:t>在数字世界中，消费者是驾驶员，数据则是燃料。</w:t>
      </w:r>
      <w:bookmarkEnd w:id="16"/>
    </w:p>
    <w:p w:rsidR="002C18B5" w:rsidRPr="005D4BD7" w:rsidRDefault="002C18B5" w:rsidP="001F77D8">
      <w:pPr>
        <w:pStyle w:val="Default"/>
        <w:snapToGrid w:val="0"/>
        <w:spacing w:before="120" w:after="120"/>
        <w:jc w:val="both"/>
        <w:rPr>
          <w:lang w:eastAsia="zh-CN"/>
        </w:rPr>
      </w:pPr>
      <w:proofErr w:type="gramStart"/>
      <w:r w:rsidRPr="00BD1D74">
        <w:rPr>
          <w:rFonts w:ascii="Calibri" w:eastAsia="SimSun" w:hAnsi="Calibri" w:cstheme="majorBidi"/>
          <w:lang w:val="en-GB" w:eastAsia="zh-CN"/>
        </w:rPr>
        <w:lastRenderedPageBreak/>
        <w:t>1.3</w:t>
      </w:r>
      <w:proofErr w:type="gramEnd"/>
      <w:r w:rsidRPr="00BD1D74">
        <w:rPr>
          <w:rFonts w:ascii="Calibri" w:eastAsia="SimSun" w:hAnsi="Calibri" w:cstheme="majorBidi"/>
          <w:lang w:val="en-GB" w:eastAsia="zh-CN"/>
        </w:rPr>
        <w:tab/>
      </w:r>
      <w:bookmarkStart w:id="17" w:name="lt_pId032"/>
      <w:r w:rsidR="004318A9">
        <w:rPr>
          <w:rFonts w:ascii="Calibri" w:eastAsia="SimSun" w:hAnsi="Calibri" w:cstheme="majorBidi" w:hint="eastAsia"/>
          <w:lang w:val="en-GB" w:eastAsia="zh-CN"/>
        </w:rPr>
        <w:t>这就要求</w:t>
      </w:r>
      <w:r w:rsidR="006363C0">
        <w:rPr>
          <w:rFonts w:ascii="Calibri" w:eastAsia="SimSun" w:hAnsi="Calibri" w:cstheme="majorBidi" w:hint="eastAsia"/>
          <w:lang w:val="en-GB" w:eastAsia="zh-CN"/>
        </w:rPr>
        <w:t>在对利益攸关</w:t>
      </w:r>
      <w:r w:rsidR="00CA0A6B">
        <w:rPr>
          <w:rFonts w:ascii="Calibri" w:eastAsia="SimSun" w:hAnsi="Calibri" w:cstheme="majorBidi" w:hint="eastAsia"/>
          <w:lang w:val="en-GB" w:eastAsia="zh-CN"/>
        </w:rPr>
        <w:t>各</w:t>
      </w:r>
      <w:r w:rsidR="006363C0">
        <w:rPr>
          <w:rFonts w:ascii="Calibri" w:eastAsia="SimSun" w:hAnsi="Calibri" w:cstheme="majorBidi" w:hint="eastAsia"/>
          <w:lang w:val="en-GB" w:eastAsia="zh-CN"/>
        </w:rPr>
        <w:t>方的要求做出响应时，审慎地将</w:t>
      </w:r>
      <w:r w:rsidR="006363C0">
        <w:rPr>
          <w:rFonts w:ascii="Calibri" w:eastAsia="SimSun" w:hAnsi="Calibri" w:cstheme="majorBidi" w:hint="eastAsia"/>
          <w:lang w:val="en-GB" w:eastAsia="zh-CN"/>
        </w:rPr>
        <w:t>ICT</w:t>
      </w:r>
      <w:r w:rsidR="006363C0">
        <w:rPr>
          <w:rFonts w:ascii="Calibri" w:eastAsia="SimSun" w:hAnsi="Calibri" w:cstheme="majorBidi" w:hint="eastAsia"/>
          <w:lang w:val="en-GB" w:eastAsia="zh-CN"/>
        </w:rPr>
        <w:t>作为一种智能促进</w:t>
      </w:r>
      <w:r w:rsidR="00CA0A6B">
        <w:rPr>
          <w:rFonts w:ascii="Calibri" w:eastAsia="SimSun" w:hAnsi="Calibri" w:cstheme="majorBidi" w:hint="eastAsia"/>
          <w:lang w:val="en-GB" w:eastAsia="zh-CN"/>
        </w:rPr>
        <w:t>工具，更具灵活行、响应性、协作性和包容性并将</w:t>
      </w:r>
      <w:r w:rsidR="00CA0A6B">
        <w:rPr>
          <w:rFonts w:ascii="Calibri" w:eastAsia="SimSun" w:hAnsi="Calibri" w:cstheme="majorBidi" w:hint="eastAsia"/>
          <w:lang w:val="en-GB" w:eastAsia="zh-CN"/>
        </w:rPr>
        <w:t>ICT</w:t>
      </w:r>
      <w:r w:rsidR="00CA0A6B">
        <w:rPr>
          <w:rFonts w:ascii="Calibri" w:eastAsia="SimSun" w:hAnsi="Calibri" w:cstheme="majorBidi" w:hint="eastAsia"/>
          <w:lang w:val="en-GB" w:eastAsia="zh-CN"/>
        </w:rPr>
        <w:t>视为新工作方法中的一种投资，从而提高内部效率并为成员国、部门成员、学术成员和部门准成员的参与和协作创建效率更高的</w:t>
      </w:r>
      <w:r w:rsidR="00473A3D">
        <w:rPr>
          <w:rFonts w:ascii="Calibri" w:eastAsia="SimSun" w:hAnsi="Calibri" w:cstheme="majorBidi" w:hint="eastAsia"/>
          <w:lang w:val="en-GB" w:eastAsia="zh-CN"/>
        </w:rPr>
        <w:t>手段。</w:t>
      </w:r>
      <w:bookmarkEnd w:id="17"/>
    </w:p>
    <w:p w:rsidR="002C18B5" w:rsidRPr="00473A3D" w:rsidRDefault="002C18B5" w:rsidP="005D4BD7">
      <w:pPr>
        <w:rPr>
          <w:lang w:eastAsia="zh-CN"/>
        </w:rPr>
      </w:pPr>
      <w:r w:rsidRPr="00BD1D74">
        <w:rPr>
          <w:lang w:eastAsia="zh-CN"/>
        </w:rPr>
        <w:t>1.4</w:t>
      </w:r>
      <w:r w:rsidRPr="00BD1D74">
        <w:rPr>
          <w:lang w:eastAsia="zh-CN"/>
        </w:rPr>
        <w:tab/>
      </w:r>
      <w:bookmarkStart w:id="18" w:name="lt_pId034"/>
      <w:r w:rsidRPr="00BD1D74">
        <w:rPr>
          <w:lang w:eastAsia="zh-CN"/>
        </w:rPr>
        <w:t>ICT</w:t>
      </w:r>
      <w:r w:rsidR="00473A3D">
        <w:rPr>
          <w:rFonts w:hint="eastAsia"/>
          <w:lang w:eastAsia="zh-CN"/>
        </w:rPr>
        <w:t>战略基于以下促进因素：</w:t>
      </w:r>
      <w:bookmarkEnd w:id="18"/>
      <w:r w:rsidRPr="00BD1D74">
        <w:rPr>
          <w:rStyle w:val="FootnoteReference"/>
          <w:szCs w:val="18"/>
          <w:lang w:eastAsia="zh-CN"/>
        </w:rPr>
        <w:footnoteReference w:id="2"/>
      </w:r>
    </w:p>
    <w:p w:rsidR="00E37C1C" w:rsidRPr="00BD1D74" w:rsidRDefault="00E37C1C" w:rsidP="005D4BD7">
      <w:pPr>
        <w:pStyle w:val="enumlev1"/>
        <w:tabs>
          <w:tab w:val="clear" w:pos="794"/>
          <w:tab w:val="clear" w:pos="1191"/>
          <w:tab w:val="left" w:pos="567"/>
        </w:tabs>
        <w:ind w:left="567" w:hanging="567"/>
        <w:rPr>
          <w:b/>
          <w:color w:val="800000"/>
          <w:sz w:val="22"/>
          <w:lang w:eastAsia="zh-CN"/>
        </w:rPr>
      </w:pPr>
      <w:bookmarkStart w:id="20" w:name="_Toc466550107"/>
      <w:bookmarkStart w:id="21" w:name="_Toc473010171"/>
      <w:r w:rsidRPr="00BD1D74">
        <w:rPr>
          <w:rFonts w:hint="eastAsia"/>
          <w:lang w:eastAsia="zh-CN"/>
        </w:rPr>
        <w:t>E.1</w:t>
      </w:r>
      <w:r w:rsidRPr="00BD1D74">
        <w:rPr>
          <w:lang w:eastAsia="zh-CN"/>
        </w:rPr>
        <w:t>：</w:t>
      </w:r>
      <w:r w:rsidRPr="00BD1D74">
        <w:rPr>
          <w:rFonts w:hint="eastAsia"/>
          <w:lang w:eastAsia="zh-CN"/>
        </w:rPr>
        <w:t>确保人力资源、财务资源和资金资源的高效和有效使用；有利于工作的开展、安全且健康的工作环境</w:t>
      </w:r>
    </w:p>
    <w:p w:rsidR="00E37C1C" w:rsidRPr="00BD1D74" w:rsidRDefault="00E37C1C" w:rsidP="005D4BD7">
      <w:pPr>
        <w:pStyle w:val="enumlev1"/>
        <w:rPr>
          <w:lang w:eastAsia="zh-CN"/>
        </w:rPr>
      </w:pPr>
      <w:r w:rsidRPr="00BD1D74">
        <w:rPr>
          <w:rFonts w:hint="eastAsia"/>
          <w:lang w:eastAsia="zh-CN"/>
        </w:rPr>
        <w:t>E.2</w:t>
      </w:r>
      <w:r w:rsidRPr="00BD1D74">
        <w:rPr>
          <w:rFonts w:hint="eastAsia"/>
          <w:lang w:eastAsia="zh-CN"/>
        </w:rPr>
        <w:t>：确保大会、会议、文件、出版物和信息基础设施的高效和方便提供</w:t>
      </w:r>
    </w:p>
    <w:p w:rsidR="002C18B5" w:rsidRPr="00BD1D74" w:rsidRDefault="002C18B5" w:rsidP="002C18B5">
      <w:pPr>
        <w:pStyle w:val="Heading1"/>
        <w:snapToGrid w:val="0"/>
        <w:spacing w:after="120"/>
        <w:ind w:left="0" w:firstLine="0"/>
        <w:rPr>
          <w:lang w:eastAsia="zh-CN"/>
        </w:rPr>
      </w:pPr>
      <w:r w:rsidRPr="00BD1D74">
        <w:rPr>
          <w:lang w:eastAsia="zh-CN"/>
        </w:rPr>
        <w:t>2</w:t>
      </w:r>
      <w:r w:rsidRPr="00BD1D74">
        <w:rPr>
          <w:lang w:eastAsia="zh-CN"/>
        </w:rPr>
        <w:tab/>
      </w:r>
      <w:bookmarkStart w:id="22" w:name="lt_pId040"/>
      <w:r w:rsidRPr="00BD1D74">
        <w:rPr>
          <w:lang w:eastAsia="zh-CN"/>
        </w:rPr>
        <w:t>ICT</w:t>
      </w:r>
      <w:r w:rsidR="00176B20">
        <w:rPr>
          <w:rFonts w:hint="eastAsia"/>
          <w:lang w:eastAsia="zh-CN"/>
        </w:rPr>
        <w:t>战略重点和目标</w:t>
      </w:r>
      <w:bookmarkEnd w:id="20"/>
      <w:bookmarkEnd w:id="21"/>
      <w:bookmarkEnd w:id="22"/>
    </w:p>
    <w:p w:rsidR="002C18B5" w:rsidRPr="00BD1D74" w:rsidRDefault="002C18B5" w:rsidP="005D4BD7">
      <w:pPr>
        <w:rPr>
          <w:lang w:eastAsia="zh-CN"/>
        </w:rPr>
      </w:pPr>
      <w:proofErr w:type="gramStart"/>
      <w:r w:rsidRPr="00BD1D74">
        <w:rPr>
          <w:lang w:eastAsia="zh-CN"/>
        </w:rPr>
        <w:t>2.1</w:t>
      </w:r>
      <w:proofErr w:type="gramEnd"/>
      <w:r w:rsidRPr="00BD1D74">
        <w:rPr>
          <w:lang w:eastAsia="zh-CN"/>
        </w:rPr>
        <w:tab/>
      </w:r>
      <w:bookmarkStart w:id="23" w:name="lt_pId042"/>
      <w:r w:rsidR="00176B20">
        <w:rPr>
          <w:rFonts w:hint="eastAsia"/>
          <w:lang w:eastAsia="zh-CN"/>
        </w:rPr>
        <w:t>要实现</w:t>
      </w:r>
      <w:r w:rsidR="00176B20">
        <w:rPr>
          <w:rFonts w:hint="eastAsia"/>
          <w:lang w:eastAsia="zh-CN"/>
        </w:rPr>
        <w:t>2016-2019</w:t>
      </w:r>
      <w:r w:rsidR="00176B20">
        <w:rPr>
          <w:rFonts w:hint="eastAsia"/>
          <w:lang w:eastAsia="zh-CN"/>
        </w:rPr>
        <w:t>年《战略规划》中所述的战略目标</w:t>
      </w:r>
      <w:r w:rsidRPr="00BD1D74">
        <w:rPr>
          <w:rStyle w:val="FootnoteReference"/>
          <w:rFonts w:cstheme="majorBidi"/>
          <w:szCs w:val="18"/>
        </w:rPr>
        <w:footnoteReference w:id="3"/>
      </w:r>
      <w:r w:rsidR="00176B20">
        <w:rPr>
          <w:rFonts w:hint="eastAsia"/>
          <w:lang w:eastAsia="zh-CN"/>
        </w:rPr>
        <w:t>，国际电联的关键</w:t>
      </w:r>
      <w:r w:rsidRPr="00BD1D74">
        <w:rPr>
          <w:lang w:eastAsia="zh-CN"/>
        </w:rPr>
        <w:t>ICT</w:t>
      </w:r>
      <w:r w:rsidR="00176B20">
        <w:rPr>
          <w:rFonts w:hint="eastAsia"/>
          <w:lang w:eastAsia="zh-CN"/>
        </w:rPr>
        <w:t>战略重点</w:t>
      </w:r>
      <w:r w:rsidRPr="00BD1D74">
        <w:rPr>
          <w:lang w:eastAsia="zh-CN"/>
        </w:rPr>
        <w:t xml:space="preserve"> </w:t>
      </w:r>
      <w:r w:rsidR="00176B20">
        <w:rPr>
          <w:rFonts w:hint="eastAsia"/>
          <w:lang w:eastAsia="zh-CN"/>
        </w:rPr>
        <w:t>将是：</w:t>
      </w:r>
      <w:r w:rsidR="00176B20" w:rsidRPr="00176B20">
        <w:rPr>
          <w:rFonts w:hint="eastAsia"/>
          <w:lang w:eastAsia="zh-CN"/>
        </w:rPr>
        <w:t>通过全面的</w:t>
      </w:r>
      <w:r w:rsidR="00176B20" w:rsidRPr="00176B20">
        <w:rPr>
          <w:rFonts w:hint="eastAsia"/>
          <w:b/>
          <w:lang w:eastAsia="zh-CN"/>
        </w:rPr>
        <w:t>国际电联数字变革</w:t>
      </w:r>
      <w:r w:rsidR="00176B20" w:rsidRPr="00176B20">
        <w:rPr>
          <w:rFonts w:hint="eastAsia"/>
          <w:lang w:eastAsia="zh-CN"/>
        </w:rPr>
        <w:t>实现</w:t>
      </w:r>
      <w:r w:rsidR="00176B20" w:rsidRPr="00176B20">
        <w:rPr>
          <w:rFonts w:hint="eastAsia"/>
          <w:b/>
          <w:lang w:eastAsia="zh-CN"/>
        </w:rPr>
        <w:t>数字第一</w:t>
      </w:r>
      <w:r w:rsidR="00176B20">
        <w:rPr>
          <w:rFonts w:hint="eastAsia"/>
          <w:lang w:eastAsia="zh-CN"/>
        </w:rPr>
        <w:t>、</w:t>
      </w:r>
      <w:r w:rsidR="00176B20" w:rsidRPr="00176B20">
        <w:rPr>
          <w:rFonts w:hint="eastAsia"/>
          <w:b/>
          <w:lang w:eastAsia="zh-CN"/>
        </w:rPr>
        <w:t>数据驱动</w:t>
      </w:r>
      <w:r w:rsidR="00176B20">
        <w:rPr>
          <w:rFonts w:hint="eastAsia"/>
          <w:lang w:eastAsia="zh-CN"/>
        </w:rPr>
        <w:t>、</w:t>
      </w:r>
      <w:r w:rsidR="00176B20" w:rsidRPr="00176B20">
        <w:rPr>
          <w:rFonts w:hint="eastAsia"/>
          <w:b/>
          <w:lang w:eastAsia="zh-CN"/>
        </w:rPr>
        <w:t>移动</w:t>
      </w:r>
      <w:r w:rsidR="00176B20">
        <w:rPr>
          <w:rFonts w:hint="eastAsia"/>
          <w:lang w:eastAsia="zh-CN"/>
        </w:rPr>
        <w:t>和</w:t>
      </w:r>
      <w:r w:rsidR="00176B20" w:rsidRPr="00176B20">
        <w:rPr>
          <w:rFonts w:hint="eastAsia"/>
          <w:b/>
          <w:lang w:eastAsia="zh-CN"/>
        </w:rPr>
        <w:t>安全</w:t>
      </w:r>
      <w:r w:rsidR="00176B20">
        <w:rPr>
          <w:rFonts w:hint="eastAsia"/>
          <w:lang w:eastAsia="zh-CN"/>
        </w:rPr>
        <w:t>。</w:t>
      </w:r>
      <w:bookmarkEnd w:id="23"/>
    </w:p>
    <w:p w:rsidR="002C18B5" w:rsidRPr="00BD1D74" w:rsidRDefault="002C18B5" w:rsidP="005D4BD7">
      <w:pPr>
        <w:rPr>
          <w:lang w:eastAsia="zh-CN"/>
        </w:rPr>
      </w:pPr>
      <w:proofErr w:type="gramStart"/>
      <w:r w:rsidRPr="00BD1D74">
        <w:rPr>
          <w:lang w:eastAsia="zh-CN"/>
        </w:rPr>
        <w:t>2.2</w:t>
      </w:r>
      <w:proofErr w:type="gramEnd"/>
      <w:r w:rsidRPr="00BD1D74">
        <w:rPr>
          <w:lang w:eastAsia="zh-CN"/>
        </w:rPr>
        <w:tab/>
      </w:r>
      <w:bookmarkStart w:id="25" w:name="lt_pId045"/>
      <w:r w:rsidR="000F2D25">
        <w:rPr>
          <w:rFonts w:hint="eastAsia"/>
          <w:lang w:eastAsia="zh-CN"/>
        </w:rPr>
        <w:t>该</w:t>
      </w:r>
      <w:r w:rsidR="000F2D25">
        <w:rPr>
          <w:rFonts w:hint="eastAsia"/>
          <w:lang w:eastAsia="zh-CN"/>
        </w:rPr>
        <w:t>ICT</w:t>
      </w:r>
      <w:r w:rsidR="000F2D25">
        <w:rPr>
          <w:rFonts w:hint="eastAsia"/>
          <w:lang w:eastAsia="zh-CN"/>
        </w:rPr>
        <w:t>战略的四个组成部分作为促进因素，可为国际电联以下目标的活动提供支持：</w:t>
      </w:r>
      <w:bookmarkEnd w:id="25"/>
    </w:p>
    <w:p w:rsidR="002C18B5" w:rsidRPr="001F77D8" w:rsidRDefault="001F77D8" w:rsidP="001F77D8">
      <w:pPr>
        <w:pStyle w:val="enumlev1"/>
        <w:rPr>
          <w:b/>
          <w:bCs/>
          <w:lang w:eastAsia="zh-CN"/>
        </w:rPr>
      </w:pPr>
      <w:bookmarkStart w:id="26" w:name="lt_pId046"/>
      <w:r w:rsidRPr="005D4BD7">
        <w:rPr>
          <w:rFonts w:ascii="Times New Roman" w:hAnsi="Times New Roman"/>
          <w:b/>
          <w:bCs/>
          <w:sz w:val="30"/>
          <w:szCs w:val="30"/>
          <w:rtl/>
          <w:lang w:eastAsia="zh-CN" w:bidi="ar-EG"/>
        </w:rPr>
        <w:t>▪</w:t>
      </w:r>
      <w:r>
        <w:rPr>
          <w:rFonts w:ascii="Times New Roman" w:hAnsi="Times New Roman"/>
          <w:b/>
          <w:bCs/>
          <w:lang w:eastAsia="zh-CN" w:bidi="ar-EG"/>
        </w:rPr>
        <w:tab/>
      </w:r>
      <w:r w:rsidR="000F2D25" w:rsidRPr="001F77D8">
        <w:rPr>
          <w:rFonts w:hint="eastAsia"/>
          <w:b/>
          <w:bCs/>
          <w:lang w:eastAsia="zh-CN"/>
        </w:rPr>
        <w:t>目标</w:t>
      </w:r>
      <w:r w:rsidR="000F2D25" w:rsidRPr="001F77D8">
        <w:rPr>
          <w:b/>
          <w:bCs/>
          <w:lang w:eastAsia="zh-CN"/>
        </w:rPr>
        <w:t>1</w:t>
      </w:r>
      <w:r w:rsidR="000F2D25" w:rsidRPr="001F77D8">
        <w:rPr>
          <w:rFonts w:hint="eastAsia"/>
          <w:b/>
          <w:bCs/>
          <w:lang w:eastAsia="zh-CN"/>
        </w:rPr>
        <w:t>：</w:t>
      </w:r>
      <w:bookmarkEnd w:id="26"/>
      <w:r w:rsidR="000F2D25" w:rsidRPr="001F77D8">
        <w:rPr>
          <w:rFonts w:hint="eastAsia"/>
          <w:b/>
          <w:bCs/>
          <w:lang w:eastAsia="zh-CN"/>
        </w:rPr>
        <w:t>加强成员参与</w:t>
      </w:r>
    </w:p>
    <w:p w:rsidR="002C18B5" w:rsidRPr="00BD1D74" w:rsidRDefault="001D1822" w:rsidP="0078007C">
      <w:pPr>
        <w:ind w:firstLineChars="200" w:firstLine="480"/>
        <w:rPr>
          <w:lang w:eastAsia="zh-CN"/>
        </w:rPr>
      </w:pPr>
      <w:bookmarkStart w:id="27" w:name="lt_pId048"/>
      <w:r>
        <w:rPr>
          <w:rFonts w:hint="eastAsia"/>
          <w:lang w:eastAsia="zh-CN"/>
        </w:rPr>
        <w:t>丰富成员</w:t>
      </w:r>
      <w:r w:rsidR="0079510A">
        <w:rPr>
          <w:rFonts w:hint="eastAsia"/>
          <w:lang w:eastAsia="zh-CN"/>
        </w:rPr>
        <w:t>参加研究组、论坛和大会正式工作的体验并促进成员之间的非正式交流和信息共享。</w:t>
      </w:r>
      <w:bookmarkEnd w:id="27"/>
    </w:p>
    <w:p w:rsidR="002C18B5" w:rsidRPr="001F77D8" w:rsidRDefault="001F77D8" w:rsidP="001F77D8">
      <w:pPr>
        <w:pStyle w:val="enumlev1"/>
        <w:rPr>
          <w:b/>
          <w:bCs/>
          <w:lang w:eastAsia="zh-CN"/>
        </w:rPr>
      </w:pPr>
      <w:bookmarkStart w:id="28" w:name="lt_pId049"/>
      <w:r w:rsidRPr="005D4BD7">
        <w:rPr>
          <w:rFonts w:ascii="Times New Roman" w:hAnsi="Times New Roman"/>
          <w:b/>
          <w:bCs/>
          <w:sz w:val="30"/>
          <w:szCs w:val="30"/>
          <w:rtl/>
          <w:lang w:eastAsia="zh-CN" w:bidi="ar-EG"/>
        </w:rPr>
        <w:t>▪</w:t>
      </w:r>
      <w:r w:rsidR="005D4BD7">
        <w:rPr>
          <w:rFonts w:ascii="Times New Roman" w:hAnsi="Times New Roman"/>
          <w:b/>
          <w:bCs/>
          <w:lang w:eastAsia="zh-CN" w:bidi="ar-EG"/>
        </w:rPr>
        <w:tab/>
      </w:r>
      <w:r w:rsidR="0079510A" w:rsidRPr="001F77D8">
        <w:rPr>
          <w:rFonts w:hint="eastAsia"/>
          <w:b/>
          <w:bCs/>
          <w:lang w:eastAsia="zh-CN"/>
        </w:rPr>
        <w:t>目标</w:t>
      </w:r>
      <w:r w:rsidR="0079510A" w:rsidRPr="001F77D8">
        <w:rPr>
          <w:b/>
          <w:bCs/>
          <w:lang w:eastAsia="zh-CN"/>
        </w:rPr>
        <w:t>2</w:t>
      </w:r>
      <w:bookmarkEnd w:id="28"/>
      <w:r w:rsidR="0079510A" w:rsidRPr="001F77D8">
        <w:rPr>
          <w:rFonts w:hint="eastAsia"/>
          <w:b/>
          <w:bCs/>
          <w:lang w:eastAsia="zh-CN"/>
        </w:rPr>
        <w:t>：</w:t>
      </w:r>
      <w:bookmarkStart w:id="29" w:name="lt_pId050"/>
      <w:r w:rsidR="0079510A" w:rsidRPr="001F77D8">
        <w:rPr>
          <w:rFonts w:hint="eastAsia"/>
          <w:b/>
          <w:bCs/>
          <w:lang w:eastAsia="zh-CN"/>
        </w:rPr>
        <w:t>促进数据</w:t>
      </w:r>
      <w:r w:rsidR="0079510A" w:rsidRPr="001F77D8">
        <w:rPr>
          <w:rFonts w:hint="eastAsia"/>
          <w:b/>
          <w:bCs/>
          <w:lang w:eastAsia="zh-CN"/>
        </w:rPr>
        <w:t>/</w:t>
      </w:r>
      <w:r w:rsidR="0079510A" w:rsidRPr="001F77D8">
        <w:rPr>
          <w:rFonts w:hint="eastAsia"/>
          <w:b/>
          <w:bCs/>
          <w:lang w:eastAsia="zh-CN"/>
        </w:rPr>
        <w:t>信息的获取与协作</w:t>
      </w:r>
      <w:bookmarkEnd w:id="29"/>
      <w:r w:rsidR="002C18B5" w:rsidRPr="001F77D8">
        <w:rPr>
          <w:b/>
          <w:bCs/>
          <w:lang w:eastAsia="zh-CN"/>
        </w:rPr>
        <w:t xml:space="preserve"> </w:t>
      </w:r>
    </w:p>
    <w:p w:rsidR="00E37C1C" w:rsidRPr="00BD1D74" w:rsidRDefault="00E37C1C" w:rsidP="0078007C">
      <w:pPr>
        <w:ind w:firstLineChars="200" w:firstLine="480"/>
        <w:rPr>
          <w:rFonts w:cstheme="majorBidi"/>
          <w:b/>
          <w:color w:val="800000"/>
          <w:sz w:val="22"/>
          <w:lang w:eastAsia="zh-CN"/>
        </w:rPr>
      </w:pPr>
      <w:bookmarkStart w:id="30" w:name="lt_pId052"/>
      <w:r w:rsidRPr="00BD1D74">
        <w:rPr>
          <w:rFonts w:hint="eastAsia"/>
          <w:lang w:eastAsia="zh-CN"/>
        </w:rPr>
        <w:t>在成员和全球电信大家庭中实现国际电联信息的最大价值，从而增进和加强公众对国际电联的认知度。</w:t>
      </w:r>
    </w:p>
    <w:p w:rsidR="002C18B5" w:rsidRPr="001F77D8" w:rsidRDefault="001F77D8" w:rsidP="001F77D8">
      <w:pPr>
        <w:pStyle w:val="enumlev1"/>
        <w:rPr>
          <w:b/>
          <w:bCs/>
          <w:lang w:eastAsia="zh-CN"/>
        </w:rPr>
      </w:pPr>
      <w:r w:rsidRPr="005D4BD7">
        <w:rPr>
          <w:rFonts w:ascii="Times New Roman" w:hAnsi="Times New Roman"/>
          <w:b/>
          <w:bCs/>
          <w:sz w:val="30"/>
          <w:szCs w:val="30"/>
          <w:rtl/>
          <w:lang w:eastAsia="zh-CN" w:bidi="ar-EG"/>
        </w:rPr>
        <w:t>▪</w:t>
      </w:r>
      <w:r w:rsidR="005D4BD7">
        <w:rPr>
          <w:rFonts w:ascii="Times New Roman" w:hAnsi="Times New Roman"/>
          <w:b/>
          <w:bCs/>
          <w:lang w:eastAsia="zh-CN" w:bidi="ar-EG"/>
        </w:rPr>
        <w:tab/>
      </w:r>
      <w:r w:rsidR="0079510A" w:rsidRPr="001F77D8">
        <w:rPr>
          <w:rFonts w:cstheme="majorBidi" w:hint="eastAsia"/>
          <w:b/>
          <w:bCs/>
          <w:lang w:eastAsia="zh-CN"/>
        </w:rPr>
        <w:t>目标</w:t>
      </w:r>
      <w:r w:rsidR="002C18B5" w:rsidRPr="001F77D8">
        <w:rPr>
          <w:rFonts w:cstheme="majorBidi"/>
          <w:b/>
          <w:bCs/>
          <w:lang w:eastAsia="zh-CN"/>
        </w:rPr>
        <w:t>3</w:t>
      </w:r>
      <w:bookmarkEnd w:id="30"/>
      <w:r w:rsidR="0079510A" w:rsidRPr="001F77D8">
        <w:rPr>
          <w:rFonts w:cstheme="majorBidi" w:hint="eastAsia"/>
          <w:b/>
          <w:bCs/>
          <w:lang w:eastAsia="zh-CN"/>
        </w:rPr>
        <w:t>：</w:t>
      </w:r>
      <w:bookmarkStart w:id="31" w:name="lt_pId053"/>
      <w:r w:rsidR="0079510A" w:rsidRPr="001F77D8">
        <w:rPr>
          <w:rFonts w:ascii="Microsoft YaHei" w:eastAsia="Microsoft YaHei" w:hAnsi="Microsoft YaHei" w:hint="eastAsia"/>
          <w:b/>
          <w:bCs/>
          <w:lang w:eastAsia="zh-CN"/>
        </w:rPr>
        <w:t>实现运作效率</w:t>
      </w:r>
      <w:bookmarkEnd w:id="31"/>
      <w:r w:rsidR="002C18B5" w:rsidRPr="001F77D8">
        <w:rPr>
          <w:b/>
          <w:bCs/>
          <w:lang w:eastAsia="zh-CN"/>
        </w:rPr>
        <w:t xml:space="preserve"> </w:t>
      </w:r>
    </w:p>
    <w:p w:rsidR="002C18B5" w:rsidRPr="00BD1D74" w:rsidRDefault="0079510A" w:rsidP="0078007C">
      <w:pPr>
        <w:ind w:firstLineChars="200" w:firstLine="480"/>
        <w:rPr>
          <w:lang w:eastAsia="zh-CN"/>
        </w:rPr>
      </w:pPr>
      <w:bookmarkStart w:id="32" w:name="lt_pId054"/>
      <w:r>
        <w:rPr>
          <w:rFonts w:hint="eastAsia"/>
          <w:lang w:eastAsia="zh-CN"/>
        </w:rPr>
        <w:t>支持提高整个国际电联（总部和驻地办事处）的效率并合理管理国际电联的资源</w:t>
      </w:r>
      <w:r w:rsidR="00C1734A">
        <w:rPr>
          <w:rFonts w:hint="eastAsia"/>
          <w:lang w:eastAsia="zh-CN"/>
        </w:rPr>
        <w:t>。</w:t>
      </w:r>
      <w:bookmarkEnd w:id="32"/>
      <w:r w:rsidR="002C18B5" w:rsidRPr="00BD1D74">
        <w:rPr>
          <w:rStyle w:val="FootnoteReference"/>
          <w:rFonts w:cstheme="majorBidi"/>
          <w:szCs w:val="18"/>
        </w:rPr>
        <w:footnoteReference w:id="4"/>
      </w:r>
      <w:r w:rsidR="002C18B5" w:rsidRPr="00BD1D74">
        <w:rPr>
          <w:lang w:eastAsia="zh-CN"/>
        </w:rPr>
        <w:t xml:space="preserve"> </w:t>
      </w:r>
    </w:p>
    <w:p w:rsidR="002C18B5" w:rsidRPr="001F77D8" w:rsidRDefault="005D4BD7" w:rsidP="001F77D8">
      <w:pPr>
        <w:pStyle w:val="enumlev1"/>
        <w:rPr>
          <w:b/>
          <w:bCs/>
          <w:lang w:eastAsia="zh-CN"/>
        </w:rPr>
      </w:pPr>
      <w:bookmarkStart w:id="33" w:name="lt_pId055"/>
      <w:r w:rsidRPr="005D4BD7">
        <w:rPr>
          <w:rFonts w:ascii="Times New Roman" w:hAnsi="Times New Roman"/>
          <w:b/>
          <w:bCs/>
          <w:sz w:val="30"/>
          <w:szCs w:val="30"/>
          <w:rtl/>
          <w:lang w:eastAsia="zh-CN" w:bidi="ar-EG"/>
        </w:rPr>
        <w:t>▪</w:t>
      </w:r>
      <w:r>
        <w:rPr>
          <w:rFonts w:ascii="Times New Roman" w:hAnsi="Times New Roman"/>
          <w:b/>
          <w:bCs/>
          <w:lang w:eastAsia="zh-CN" w:bidi="ar-EG"/>
        </w:rPr>
        <w:tab/>
      </w:r>
      <w:r w:rsidR="00C1734A" w:rsidRPr="001F77D8">
        <w:rPr>
          <w:rFonts w:hint="eastAsia"/>
          <w:b/>
          <w:bCs/>
          <w:lang w:eastAsia="zh-CN"/>
        </w:rPr>
        <w:t>目标</w:t>
      </w:r>
      <w:r w:rsidR="00C1734A" w:rsidRPr="001F77D8">
        <w:rPr>
          <w:b/>
          <w:bCs/>
          <w:lang w:eastAsia="zh-CN"/>
        </w:rPr>
        <w:t>4</w:t>
      </w:r>
      <w:r w:rsidR="00C1734A" w:rsidRPr="001F77D8">
        <w:rPr>
          <w:rFonts w:hint="eastAsia"/>
          <w:b/>
          <w:bCs/>
          <w:lang w:eastAsia="zh-CN"/>
        </w:rPr>
        <w:t>：</w:t>
      </w:r>
      <w:bookmarkStart w:id="34" w:name="lt_pId056"/>
      <w:bookmarkEnd w:id="33"/>
      <w:r w:rsidR="00C1734A" w:rsidRPr="001F77D8">
        <w:rPr>
          <w:rFonts w:hint="eastAsia"/>
          <w:b/>
          <w:bCs/>
          <w:lang w:eastAsia="zh-CN"/>
        </w:rPr>
        <w:t>确保安全可靠的工作环境</w:t>
      </w:r>
      <w:bookmarkEnd w:id="34"/>
    </w:p>
    <w:p w:rsidR="002C18B5" w:rsidRPr="00BD1D74" w:rsidRDefault="00C1734A" w:rsidP="0078007C">
      <w:pPr>
        <w:ind w:firstLineChars="200" w:firstLine="480"/>
        <w:rPr>
          <w:rFonts w:cstheme="majorBidi"/>
          <w:lang w:eastAsia="zh-CN"/>
        </w:rPr>
      </w:pPr>
      <w:bookmarkStart w:id="35" w:name="lt_pId057"/>
      <w:r>
        <w:rPr>
          <w:rFonts w:hint="eastAsia"/>
          <w:lang w:eastAsia="zh-CN"/>
        </w:rPr>
        <w:t>提高安全并实现职员和代表访问控制的现代化。</w:t>
      </w:r>
      <w:bookmarkEnd w:id="35"/>
    </w:p>
    <w:p w:rsidR="002C18B5" w:rsidRPr="00BD1D74" w:rsidRDefault="002C18B5" w:rsidP="005D4BD7">
      <w:pPr>
        <w:rPr>
          <w:lang w:eastAsia="zh-CN"/>
        </w:rPr>
      </w:pPr>
      <w:proofErr w:type="gramStart"/>
      <w:r w:rsidRPr="00BD1D74">
        <w:rPr>
          <w:lang w:eastAsia="zh-CN"/>
        </w:rPr>
        <w:t>2.3</w:t>
      </w:r>
      <w:proofErr w:type="gramEnd"/>
      <w:r w:rsidRPr="00BD1D74">
        <w:rPr>
          <w:lang w:eastAsia="zh-CN"/>
        </w:rPr>
        <w:tab/>
      </w:r>
      <w:bookmarkStart w:id="36" w:name="lt_pId059"/>
      <w:r w:rsidR="00C1734A">
        <w:rPr>
          <w:rFonts w:hint="eastAsia"/>
          <w:lang w:eastAsia="zh-CN"/>
        </w:rPr>
        <w:t>目标还包括：</w:t>
      </w:r>
      <w:bookmarkEnd w:id="36"/>
    </w:p>
    <w:p w:rsidR="002C18B5" w:rsidRPr="00BD1D74" w:rsidRDefault="0078007C" w:rsidP="0078007C">
      <w:pPr>
        <w:pStyle w:val="enumlev1"/>
        <w:rPr>
          <w:lang w:eastAsia="zh-CN"/>
        </w:rPr>
      </w:pPr>
      <w:r w:rsidRPr="005D4BD7">
        <w:rPr>
          <w:rFonts w:ascii="Times New Roman" w:hAnsi="Times New Roman"/>
          <w:b/>
          <w:bCs/>
          <w:sz w:val="30"/>
          <w:szCs w:val="30"/>
          <w:rtl/>
          <w:lang w:eastAsia="zh-CN" w:bidi="ar-EG"/>
        </w:rPr>
        <w:t>▪</w:t>
      </w:r>
      <w:r>
        <w:rPr>
          <w:rFonts w:ascii="Times New Roman" w:hAnsi="Times New Roman"/>
          <w:b/>
          <w:bCs/>
          <w:lang w:eastAsia="zh-CN" w:bidi="ar-EG"/>
        </w:rPr>
        <w:tab/>
      </w:r>
      <w:r w:rsidR="00E37C1C" w:rsidRPr="00BD1D74">
        <w:rPr>
          <w:rFonts w:cs="Microsoft YaHei" w:hint="eastAsia"/>
          <w:lang w:eastAsia="zh-CN"/>
        </w:rPr>
        <w:t>确定并消除重复工作，</w:t>
      </w:r>
      <w:r w:rsidR="001F77D8">
        <w:rPr>
          <w:rFonts w:cs="Microsoft YaHei" w:hint="eastAsia"/>
          <w:lang w:eastAsia="zh-CN"/>
        </w:rPr>
        <w:t>合理化</w:t>
      </w:r>
      <w:r w:rsidR="00E37C1C" w:rsidRPr="00BD1D74">
        <w:rPr>
          <w:rFonts w:cs="Microsoft YaHei" w:hint="eastAsia"/>
          <w:lang w:eastAsia="zh-CN"/>
        </w:rPr>
        <w:t>行政管理工作，以避免工作低效并从专业化团队中获益</w:t>
      </w:r>
      <w:r w:rsidR="001F77D8">
        <w:rPr>
          <w:rFonts w:cs="Microsoft YaHei" w:hint="eastAsia"/>
          <w:lang w:eastAsia="zh-CN"/>
        </w:rPr>
        <w:t>。</w:t>
      </w:r>
    </w:p>
    <w:p w:rsidR="002C18B5" w:rsidRPr="00BD1D74" w:rsidRDefault="0078007C" w:rsidP="0078007C">
      <w:pPr>
        <w:pStyle w:val="enumlev1"/>
        <w:rPr>
          <w:lang w:eastAsia="zh-CN"/>
        </w:rPr>
      </w:pPr>
      <w:bookmarkStart w:id="37" w:name="lt_pId061"/>
      <w:r w:rsidRPr="005D4BD7">
        <w:rPr>
          <w:rFonts w:ascii="Times New Roman" w:hAnsi="Times New Roman"/>
          <w:b/>
          <w:bCs/>
          <w:sz w:val="30"/>
          <w:szCs w:val="30"/>
          <w:rtl/>
          <w:lang w:eastAsia="zh-CN" w:bidi="ar-EG"/>
        </w:rPr>
        <w:t>▪</w:t>
      </w:r>
      <w:r>
        <w:rPr>
          <w:rFonts w:ascii="Times New Roman" w:hAnsi="Times New Roman"/>
          <w:b/>
          <w:bCs/>
          <w:lang w:eastAsia="zh-CN" w:bidi="ar-EG"/>
        </w:rPr>
        <w:tab/>
      </w:r>
      <w:r w:rsidR="00C1734A">
        <w:rPr>
          <w:rFonts w:hint="eastAsia"/>
          <w:lang w:eastAsia="zh-CN"/>
        </w:rPr>
        <w:t>在风险管理框架基础上对现有信息服务进行优化和集成。</w:t>
      </w:r>
      <w:bookmarkEnd w:id="37"/>
    </w:p>
    <w:p w:rsidR="002C18B5" w:rsidRPr="00BD1D74" w:rsidRDefault="0078007C" w:rsidP="0078007C">
      <w:pPr>
        <w:pStyle w:val="enumlev1"/>
        <w:rPr>
          <w:lang w:eastAsia="zh-CN"/>
        </w:rPr>
      </w:pPr>
      <w:bookmarkStart w:id="38" w:name="lt_pId062"/>
      <w:r w:rsidRPr="005D4BD7">
        <w:rPr>
          <w:rFonts w:ascii="Times New Roman" w:hAnsi="Times New Roman"/>
          <w:b/>
          <w:bCs/>
          <w:sz w:val="30"/>
          <w:szCs w:val="30"/>
          <w:rtl/>
          <w:lang w:eastAsia="zh-CN" w:bidi="ar-EG"/>
        </w:rPr>
        <w:t>▪</w:t>
      </w:r>
      <w:r>
        <w:rPr>
          <w:rFonts w:ascii="Times New Roman" w:hAnsi="Times New Roman"/>
          <w:b/>
          <w:bCs/>
          <w:lang w:eastAsia="zh-CN" w:bidi="ar-EG"/>
        </w:rPr>
        <w:tab/>
      </w:r>
      <w:r w:rsidR="00C1734A">
        <w:rPr>
          <w:rFonts w:hint="eastAsia"/>
          <w:lang w:eastAsia="zh-CN"/>
        </w:rPr>
        <w:t>建立并集中各信息功能，避免技术碎片化的风险。</w:t>
      </w:r>
      <w:bookmarkEnd w:id="38"/>
    </w:p>
    <w:p w:rsidR="002C18B5" w:rsidRPr="00BD1D74" w:rsidRDefault="0078007C" w:rsidP="0078007C">
      <w:pPr>
        <w:pStyle w:val="enumlev1"/>
        <w:rPr>
          <w:lang w:eastAsia="zh-CN"/>
        </w:rPr>
      </w:pPr>
      <w:bookmarkStart w:id="39" w:name="lt_pId063"/>
      <w:r w:rsidRPr="005D4BD7">
        <w:rPr>
          <w:rFonts w:ascii="Times New Roman" w:hAnsi="Times New Roman"/>
          <w:b/>
          <w:bCs/>
          <w:sz w:val="30"/>
          <w:szCs w:val="30"/>
          <w:rtl/>
          <w:lang w:eastAsia="zh-CN" w:bidi="ar-EG"/>
        </w:rPr>
        <w:t>▪</w:t>
      </w:r>
      <w:r>
        <w:rPr>
          <w:rFonts w:ascii="Times New Roman" w:hAnsi="Times New Roman"/>
          <w:b/>
          <w:bCs/>
          <w:lang w:eastAsia="zh-CN" w:bidi="ar-EG"/>
        </w:rPr>
        <w:tab/>
      </w:r>
      <w:r w:rsidR="00C1734A">
        <w:rPr>
          <w:rFonts w:hint="eastAsia"/>
          <w:lang w:eastAsia="zh-CN"/>
        </w:rPr>
        <w:t>提高职员的能力并改善工作业绩。</w:t>
      </w:r>
      <w:bookmarkEnd w:id="39"/>
    </w:p>
    <w:p w:rsidR="002C18B5" w:rsidRPr="00BD1D74" w:rsidRDefault="0078007C" w:rsidP="0078007C">
      <w:pPr>
        <w:pStyle w:val="enumlev1"/>
        <w:rPr>
          <w:lang w:eastAsia="zh-CN"/>
        </w:rPr>
      </w:pPr>
      <w:bookmarkStart w:id="40" w:name="lt_pId064"/>
      <w:r w:rsidRPr="005D4BD7">
        <w:rPr>
          <w:rFonts w:ascii="Times New Roman" w:hAnsi="Times New Roman"/>
          <w:b/>
          <w:bCs/>
          <w:sz w:val="30"/>
          <w:szCs w:val="30"/>
          <w:rtl/>
          <w:lang w:eastAsia="zh-CN" w:bidi="ar-EG"/>
        </w:rPr>
        <w:t>▪</w:t>
      </w:r>
      <w:r>
        <w:rPr>
          <w:rFonts w:ascii="Times New Roman" w:hAnsi="Times New Roman"/>
          <w:b/>
          <w:bCs/>
          <w:lang w:eastAsia="zh-CN" w:bidi="ar-EG"/>
        </w:rPr>
        <w:tab/>
      </w:r>
      <w:r w:rsidR="00CC49E4">
        <w:rPr>
          <w:rFonts w:hint="eastAsia"/>
          <w:lang w:eastAsia="zh-CN"/>
        </w:rPr>
        <w:t>促使国际电联为部门成员花费更多的时间并改进服务，</w:t>
      </w:r>
      <w:r w:rsidR="006C42CB">
        <w:rPr>
          <w:rFonts w:hint="eastAsia"/>
          <w:lang w:eastAsia="zh-CN"/>
        </w:rPr>
        <w:t>以便从行业创新和协作机遇中更好地获益。</w:t>
      </w:r>
      <w:bookmarkEnd w:id="40"/>
    </w:p>
    <w:p w:rsidR="002C18B5" w:rsidRPr="00BD1D74" w:rsidRDefault="002C18B5" w:rsidP="005D4BD7">
      <w:pPr>
        <w:rPr>
          <w:lang w:eastAsia="zh-CN"/>
        </w:rPr>
      </w:pPr>
      <w:proofErr w:type="gramStart"/>
      <w:r w:rsidRPr="00BD1D74">
        <w:rPr>
          <w:lang w:eastAsia="zh-CN"/>
        </w:rPr>
        <w:lastRenderedPageBreak/>
        <w:t>2.4</w:t>
      </w:r>
      <w:proofErr w:type="gramEnd"/>
      <w:r w:rsidRPr="00BD1D74">
        <w:rPr>
          <w:lang w:eastAsia="zh-CN"/>
        </w:rPr>
        <w:tab/>
      </w:r>
      <w:bookmarkStart w:id="41" w:name="lt_pId066"/>
      <w:r w:rsidR="006C42CB">
        <w:rPr>
          <w:rFonts w:hint="eastAsia"/>
          <w:lang w:eastAsia="zh-CN"/>
        </w:rPr>
        <w:t>落实最新的内部</w:t>
      </w:r>
      <w:r w:rsidR="006C42CB">
        <w:rPr>
          <w:rFonts w:hint="eastAsia"/>
          <w:lang w:eastAsia="zh-CN"/>
        </w:rPr>
        <w:t>ICT</w:t>
      </w:r>
      <w:r w:rsidR="001F77D8">
        <w:rPr>
          <w:rFonts w:hint="eastAsia"/>
          <w:lang w:eastAsia="zh-CN"/>
        </w:rPr>
        <w:t>战略</w:t>
      </w:r>
      <w:r w:rsidR="006C42CB">
        <w:rPr>
          <w:rFonts w:hint="eastAsia"/>
          <w:lang w:eastAsia="zh-CN"/>
        </w:rPr>
        <w:t>可使国际电联从</w:t>
      </w:r>
      <w:r w:rsidR="006C42CB" w:rsidRPr="006C42CB">
        <w:rPr>
          <w:rFonts w:hint="eastAsia"/>
          <w:lang w:eastAsia="zh-CN"/>
        </w:rPr>
        <w:t>从</w:t>
      </w:r>
      <w:r w:rsidR="006C42CB">
        <w:rPr>
          <w:rFonts w:hint="eastAsia"/>
          <w:lang w:eastAsia="zh-CN"/>
        </w:rPr>
        <w:t>信息技术</w:t>
      </w:r>
      <w:r w:rsidR="006C42CB" w:rsidRPr="006C42CB">
        <w:rPr>
          <w:rFonts w:hint="eastAsia"/>
          <w:lang w:eastAsia="zh-CN"/>
        </w:rPr>
        <w:t>创新</w:t>
      </w:r>
      <w:r w:rsidR="001F77D8">
        <w:rPr>
          <w:rFonts w:hint="eastAsia"/>
          <w:lang w:eastAsia="zh-CN"/>
        </w:rPr>
        <w:t>，</w:t>
      </w:r>
      <w:r w:rsidR="006C42CB" w:rsidRPr="006C42CB">
        <w:rPr>
          <w:rFonts w:hint="eastAsia"/>
          <w:lang w:eastAsia="zh-CN"/>
        </w:rPr>
        <w:t>提高安全</w:t>
      </w:r>
      <w:r w:rsidR="001F77D8">
        <w:rPr>
          <w:rFonts w:hint="eastAsia"/>
          <w:lang w:eastAsia="zh-CN"/>
        </w:rPr>
        <w:t>，</w:t>
      </w:r>
      <w:r w:rsidR="006C42CB" w:rsidRPr="006C42CB">
        <w:rPr>
          <w:rFonts w:hint="eastAsia"/>
          <w:lang w:eastAsia="zh-CN"/>
        </w:rPr>
        <w:t>确保在正确的时间获得正确的信息，提高对不断变化环境的响应性及在为行政职能提供支持的过程中提高效率等方面最大程度地受益</w:t>
      </w:r>
      <w:r w:rsidR="006C42CB">
        <w:rPr>
          <w:rFonts w:hint="eastAsia"/>
          <w:lang w:eastAsia="zh-CN"/>
        </w:rPr>
        <w:t>。</w:t>
      </w:r>
      <w:bookmarkEnd w:id="41"/>
    </w:p>
    <w:p w:rsidR="002C18B5" w:rsidRPr="00BD1D74" w:rsidRDefault="002C18B5" w:rsidP="005D4BD7">
      <w:pPr>
        <w:rPr>
          <w:lang w:eastAsia="zh-CN"/>
        </w:rPr>
      </w:pPr>
      <w:proofErr w:type="gramStart"/>
      <w:r w:rsidRPr="00BD1D74">
        <w:rPr>
          <w:lang w:eastAsia="zh-CN"/>
        </w:rPr>
        <w:t>2.5</w:t>
      </w:r>
      <w:proofErr w:type="gramEnd"/>
      <w:r w:rsidRPr="00BD1D74">
        <w:rPr>
          <w:lang w:eastAsia="zh-CN"/>
        </w:rPr>
        <w:tab/>
      </w:r>
      <w:bookmarkStart w:id="42" w:name="lt_pId068"/>
      <w:r w:rsidR="006C42CB">
        <w:rPr>
          <w:rFonts w:hint="eastAsia"/>
          <w:lang w:eastAsia="zh-CN"/>
        </w:rPr>
        <w:t>信息通信技术委员会（</w:t>
      </w:r>
      <w:r w:rsidR="006C42CB" w:rsidRPr="00BD1D74">
        <w:rPr>
          <w:lang w:eastAsia="zh-CN"/>
        </w:rPr>
        <w:t>ICTC</w:t>
      </w:r>
      <w:r w:rsidR="006C42CB">
        <w:rPr>
          <w:rFonts w:hint="eastAsia"/>
          <w:lang w:eastAsia="zh-CN"/>
        </w:rPr>
        <w:t>）</w:t>
      </w:r>
      <w:r w:rsidR="006C42CB" w:rsidRPr="00BD1D74">
        <w:rPr>
          <w:rStyle w:val="FootnoteReference"/>
          <w:szCs w:val="18"/>
        </w:rPr>
        <w:footnoteReference w:id="5"/>
      </w:r>
      <w:r w:rsidR="006C42CB">
        <w:rPr>
          <w:rFonts w:hint="eastAsia"/>
          <w:lang w:eastAsia="zh-CN"/>
        </w:rPr>
        <w:t>正在制定、落实、维护并更新相关战略方向。</w:t>
      </w:r>
      <w:bookmarkStart w:id="44" w:name="lt_pId069"/>
      <w:bookmarkEnd w:id="42"/>
      <w:r w:rsidR="006C42CB">
        <w:rPr>
          <w:rFonts w:hint="eastAsia"/>
          <w:lang w:eastAsia="zh-CN"/>
        </w:rPr>
        <w:t>将在国际电联年度活动报告中向理事会报告进展情况。</w:t>
      </w:r>
      <w:bookmarkEnd w:id="44"/>
    </w:p>
    <w:p w:rsidR="006D19AA" w:rsidRPr="00BD1D74" w:rsidRDefault="006D19AA" w:rsidP="0032202E">
      <w:pPr>
        <w:pStyle w:val="Reasons"/>
        <w:rPr>
          <w:lang w:eastAsia="zh-CN"/>
        </w:rPr>
      </w:pPr>
    </w:p>
    <w:p w:rsidR="006D19AA" w:rsidRPr="00BD1D74" w:rsidRDefault="006D19AA">
      <w:pPr>
        <w:jc w:val="center"/>
      </w:pPr>
      <w:r w:rsidRPr="00BD1D74">
        <w:t>______________</w:t>
      </w:r>
    </w:p>
    <w:sectPr w:rsidR="006D19AA" w:rsidRPr="00BD1D74"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A9F" w:rsidRDefault="00595A9F">
      <w:r>
        <w:separator/>
      </w:r>
    </w:p>
  </w:endnote>
  <w:endnote w:type="continuationSeparator" w:id="0">
    <w:p w:rsidR="00595A9F" w:rsidRDefault="0059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A20" w:rsidRPr="00823E1D" w:rsidRDefault="00823E1D" w:rsidP="006D19AA">
    <w:pPr>
      <w:pStyle w:val="Footer"/>
      <w:rPr>
        <w:color w:val="D9D9D9" w:themeColor="background1" w:themeShade="D9"/>
      </w:rPr>
    </w:pPr>
    <w:r w:rsidRPr="00823E1D">
      <w:rPr>
        <w:color w:val="D9D9D9" w:themeColor="background1" w:themeShade="D9"/>
      </w:rPr>
      <w:fldChar w:fldCharType="begin"/>
    </w:r>
    <w:r w:rsidRPr="00823E1D">
      <w:rPr>
        <w:color w:val="D9D9D9" w:themeColor="background1" w:themeShade="D9"/>
      </w:rPr>
      <w:instrText xml:space="preserve"> FILENAME \p  \* MERGEFORMAT </w:instrText>
    </w:r>
    <w:r w:rsidRPr="00823E1D">
      <w:rPr>
        <w:color w:val="D9D9D9" w:themeColor="background1" w:themeShade="D9"/>
      </w:rPr>
      <w:fldChar w:fldCharType="separate"/>
    </w:r>
    <w:r w:rsidR="001F77D8" w:rsidRPr="00823E1D">
      <w:rPr>
        <w:color w:val="D9D9D9" w:themeColor="background1" w:themeShade="D9"/>
      </w:rPr>
      <w:t>P:\CHI\SG\CONSEIL\C17\000\020C.docx</w:t>
    </w:r>
    <w:r w:rsidRPr="00823E1D">
      <w:rPr>
        <w:color w:val="D9D9D9" w:themeColor="background1" w:themeShade="D9"/>
      </w:rPr>
      <w:fldChar w:fldCharType="end"/>
    </w:r>
    <w:r w:rsidR="00942A20" w:rsidRPr="00823E1D">
      <w:rPr>
        <w:color w:val="D9D9D9" w:themeColor="background1" w:themeShade="D9"/>
      </w:rPr>
      <w:t xml:space="preserve"> (</w:t>
    </w:r>
    <w:r w:rsidR="00C8567F" w:rsidRPr="00823E1D">
      <w:rPr>
        <w:color w:val="D9D9D9" w:themeColor="background1" w:themeShade="D9"/>
      </w:rPr>
      <w:t>4094</w:t>
    </w:r>
    <w:r w:rsidR="006D19AA" w:rsidRPr="00823E1D">
      <w:rPr>
        <w:color w:val="D9D9D9" w:themeColor="background1" w:themeShade="D9"/>
      </w:rPr>
      <w:t>70</w:t>
    </w:r>
    <w:r w:rsidR="00942A20" w:rsidRPr="00823E1D">
      <w:rPr>
        <w:color w:val="D9D9D9" w:themeColor="background1" w:themeShade="D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Default="00AC516F" w:rsidP="005820DC">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5820DC" w:rsidRPr="00823E1D" w:rsidRDefault="00116F76" w:rsidP="006D19AA">
    <w:pPr>
      <w:pStyle w:val="Footer"/>
      <w:rPr>
        <w:color w:val="D9D9D9" w:themeColor="background1" w:themeShade="D9"/>
      </w:rPr>
    </w:pPr>
    <w:r w:rsidRPr="00823E1D">
      <w:rPr>
        <w:color w:val="D9D9D9" w:themeColor="background1" w:themeShade="D9"/>
      </w:rPr>
      <w:fldChar w:fldCharType="begin"/>
    </w:r>
    <w:r w:rsidRPr="00823E1D">
      <w:rPr>
        <w:color w:val="D9D9D9" w:themeColor="background1" w:themeShade="D9"/>
      </w:rPr>
      <w:instrText xml:space="preserve"> FILENAME \p  \* MERGEFORMAT </w:instrText>
    </w:r>
    <w:r w:rsidRPr="00823E1D">
      <w:rPr>
        <w:color w:val="D9D9D9" w:themeColor="background1" w:themeShade="D9"/>
      </w:rPr>
      <w:fldChar w:fldCharType="separate"/>
    </w:r>
    <w:r w:rsidR="001F77D8" w:rsidRPr="00823E1D">
      <w:rPr>
        <w:color w:val="D9D9D9" w:themeColor="background1" w:themeShade="D9"/>
      </w:rPr>
      <w:t>P:\CHI\SG\CONSEIL\C17\000\020C.docx</w:t>
    </w:r>
    <w:r w:rsidRPr="00823E1D">
      <w:rPr>
        <w:color w:val="D9D9D9" w:themeColor="background1" w:themeShade="D9"/>
      </w:rPr>
      <w:fldChar w:fldCharType="end"/>
    </w:r>
    <w:r w:rsidR="00C8567F" w:rsidRPr="00823E1D">
      <w:rPr>
        <w:color w:val="D9D9D9" w:themeColor="background1" w:themeShade="D9"/>
      </w:rPr>
      <w:t xml:space="preserve"> (4094</w:t>
    </w:r>
    <w:r w:rsidR="006D19AA" w:rsidRPr="00823E1D">
      <w:rPr>
        <w:color w:val="D9D9D9" w:themeColor="background1" w:themeShade="D9"/>
      </w:rPr>
      <w:t>70</w:t>
    </w:r>
    <w:r w:rsidR="00C8567F" w:rsidRPr="00823E1D">
      <w:rPr>
        <w:color w:val="D9D9D9" w:themeColor="background1" w:themeShade="D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A9F" w:rsidRDefault="00595A9F">
      <w:r>
        <w:t>____________________</w:t>
      </w:r>
    </w:p>
  </w:footnote>
  <w:footnote w:type="continuationSeparator" w:id="0">
    <w:p w:rsidR="00595A9F" w:rsidRDefault="00595A9F">
      <w:r>
        <w:continuationSeparator/>
      </w:r>
    </w:p>
  </w:footnote>
  <w:footnote w:id="1">
    <w:p w:rsidR="00A627C4" w:rsidRPr="00BD1D74" w:rsidRDefault="00A627C4" w:rsidP="00A627C4">
      <w:pPr>
        <w:pStyle w:val="FootnoteText"/>
        <w:spacing w:before="0"/>
        <w:rPr>
          <w:sz w:val="20"/>
          <w:lang w:eastAsia="zh-CN"/>
        </w:rPr>
      </w:pPr>
      <w:r w:rsidRPr="00BD1D74">
        <w:rPr>
          <w:rStyle w:val="FootnoteReference"/>
          <w:sz w:val="20"/>
        </w:rPr>
        <w:footnoteRef/>
      </w:r>
      <w:r w:rsidRPr="00BD1D74">
        <w:rPr>
          <w:sz w:val="20"/>
          <w:lang w:eastAsia="zh-CN"/>
        </w:rPr>
        <w:t xml:space="preserve"> </w:t>
      </w:r>
      <w:r w:rsidRPr="00BD1D74">
        <w:rPr>
          <w:sz w:val="20"/>
          <w:lang w:eastAsia="zh-CN"/>
        </w:rPr>
        <w:tab/>
      </w:r>
      <w:bookmarkStart w:id="14" w:name="lt_pId071"/>
      <w:r w:rsidR="001F77D8">
        <w:rPr>
          <w:sz w:val="20"/>
          <w:lang w:eastAsia="zh-CN"/>
        </w:rPr>
        <w:t>JIU/REP/2016/1</w:t>
      </w:r>
      <w:r w:rsidR="004318A9">
        <w:rPr>
          <w:rFonts w:hint="eastAsia"/>
          <w:sz w:val="20"/>
          <w:lang w:eastAsia="zh-CN"/>
        </w:rPr>
        <w:t>号报告《</w:t>
      </w:r>
      <w:r w:rsidR="004318A9" w:rsidRPr="004318A9">
        <w:rPr>
          <w:rFonts w:hint="eastAsia"/>
          <w:sz w:val="20"/>
          <w:lang w:eastAsia="zh-CN"/>
        </w:rPr>
        <w:t>审</w:t>
      </w:r>
      <w:bookmarkStart w:id="15" w:name="_GoBack"/>
      <w:bookmarkEnd w:id="15"/>
      <w:r w:rsidR="004318A9" w:rsidRPr="004318A9">
        <w:rPr>
          <w:rFonts w:hint="eastAsia"/>
          <w:sz w:val="20"/>
          <w:lang w:eastAsia="zh-CN"/>
        </w:rPr>
        <w:t>查国际电信联盟（</w:t>
      </w:r>
      <w:r w:rsidR="004318A9" w:rsidRPr="004318A9">
        <w:rPr>
          <w:sz w:val="20"/>
          <w:lang w:eastAsia="zh-CN"/>
        </w:rPr>
        <w:t>ITU</w:t>
      </w:r>
      <w:r w:rsidR="004318A9" w:rsidRPr="004318A9">
        <w:rPr>
          <w:rFonts w:hint="eastAsia"/>
          <w:sz w:val="20"/>
          <w:lang w:eastAsia="zh-CN"/>
        </w:rPr>
        <w:t>）的管理和行政管理</w:t>
      </w:r>
      <w:r w:rsidR="004318A9">
        <w:rPr>
          <w:rFonts w:hint="eastAsia"/>
          <w:sz w:val="20"/>
          <w:lang w:eastAsia="zh-CN"/>
        </w:rPr>
        <w:t>》</w:t>
      </w:r>
      <w:bookmarkEnd w:id="14"/>
    </w:p>
  </w:footnote>
  <w:footnote w:id="2">
    <w:p w:rsidR="002C18B5" w:rsidRPr="00BD1D74" w:rsidRDefault="002C18B5" w:rsidP="00E37C1C">
      <w:pPr>
        <w:pStyle w:val="FootnoteText"/>
        <w:spacing w:before="0"/>
        <w:rPr>
          <w:sz w:val="20"/>
          <w:lang w:eastAsia="zh-CN"/>
        </w:rPr>
      </w:pPr>
      <w:r w:rsidRPr="00BD1D74">
        <w:rPr>
          <w:rStyle w:val="FootnoteReference"/>
          <w:sz w:val="20"/>
        </w:rPr>
        <w:footnoteRef/>
      </w:r>
      <w:r w:rsidRPr="00BD1D74">
        <w:rPr>
          <w:sz w:val="20"/>
          <w:lang w:eastAsia="zh-CN"/>
        </w:rPr>
        <w:t xml:space="preserve"> </w:t>
      </w:r>
      <w:r w:rsidRPr="00BD1D74">
        <w:rPr>
          <w:sz w:val="20"/>
          <w:lang w:eastAsia="zh-CN"/>
        </w:rPr>
        <w:tab/>
      </w:r>
      <w:bookmarkStart w:id="19" w:name="lt_pId072"/>
      <w:r w:rsidR="00E37C1C" w:rsidRPr="00BD1D74">
        <w:rPr>
          <w:rFonts w:hint="eastAsia"/>
          <w:sz w:val="20"/>
          <w:lang w:eastAsia="zh-CN"/>
        </w:rPr>
        <w:t>有关国际电联战略规划实施及活动的报告（国际电联年度进展报告）</w:t>
      </w:r>
      <w:r w:rsidR="00473A3D">
        <w:rPr>
          <w:rFonts w:hint="eastAsia"/>
          <w:sz w:val="20"/>
          <w:lang w:eastAsia="zh-CN"/>
        </w:rPr>
        <w:t>，</w:t>
      </w:r>
      <w:r w:rsidRPr="00BD1D74">
        <w:rPr>
          <w:sz w:val="20"/>
          <w:lang w:eastAsia="zh-CN"/>
        </w:rPr>
        <w:t>C16/35(Rev.1)</w:t>
      </w:r>
      <w:bookmarkEnd w:id="19"/>
      <w:r w:rsidR="00473A3D">
        <w:rPr>
          <w:rFonts w:hint="eastAsia"/>
          <w:sz w:val="20"/>
          <w:lang w:eastAsia="zh-CN"/>
        </w:rPr>
        <w:t>号文件</w:t>
      </w:r>
    </w:p>
  </w:footnote>
  <w:footnote w:id="3">
    <w:p w:rsidR="002C18B5" w:rsidRPr="00BD1D74" w:rsidRDefault="002C18B5" w:rsidP="002C18B5">
      <w:pPr>
        <w:pStyle w:val="FootnoteText"/>
        <w:spacing w:before="0"/>
        <w:rPr>
          <w:lang w:eastAsia="zh-CN"/>
        </w:rPr>
      </w:pPr>
      <w:r w:rsidRPr="00BD1D74">
        <w:rPr>
          <w:rStyle w:val="FootnoteReference"/>
          <w:sz w:val="20"/>
        </w:rPr>
        <w:footnoteRef/>
      </w:r>
      <w:r w:rsidRPr="00BD1D74">
        <w:rPr>
          <w:sz w:val="20"/>
          <w:lang w:eastAsia="zh-CN"/>
        </w:rPr>
        <w:t xml:space="preserve"> </w:t>
      </w:r>
      <w:r w:rsidRPr="00BD1D74">
        <w:rPr>
          <w:sz w:val="20"/>
          <w:lang w:eastAsia="zh-CN"/>
        </w:rPr>
        <w:tab/>
      </w:r>
      <w:bookmarkStart w:id="24" w:name="lt_pId073"/>
      <w:r w:rsidR="00473A3D">
        <w:rPr>
          <w:rFonts w:hint="eastAsia"/>
          <w:sz w:val="20"/>
          <w:lang w:eastAsia="zh-CN"/>
        </w:rPr>
        <w:t>第</w:t>
      </w:r>
      <w:r w:rsidR="00473A3D">
        <w:rPr>
          <w:rFonts w:hint="eastAsia"/>
          <w:sz w:val="20"/>
          <w:lang w:eastAsia="zh-CN"/>
        </w:rPr>
        <w:t>71</w:t>
      </w:r>
      <w:r w:rsidR="00473A3D">
        <w:rPr>
          <w:rFonts w:hint="eastAsia"/>
          <w:sz w:val="20"/>
          <w:lang w:eastAsia="zh-CN"/>
        </w:rPr>
        <w:t>号决议（</w:t>
      </w:r>
      <w:r w:rsidR="00473A3D" w:rsidRPr="00BD1D74">
        <w:rPr>
          <w:rFonts w:hint="eastAsia"/>
          <w:sz w:val="20"/>
          <w:lang w:eastAsia="zh-CN"/>
        </w:rPr>
        <w:t>2014</w:t>
      </w:r>
      <w:r w:rsidR="00473A3D" w:rsidRPr="00BD1D74">
        <w:rPr>
          <w:rFonts w:hint="eastAsia"/>
          <w:sz w:val="20"/>
          <w:lang w:eastAsia="zh-CN"/>
        </w:rPr>
        <w:t>年，釜山，修订版</w:t>
      </w:r>
      <w:r w:rsidR="00473A3D">
        <w:rPr>
          <w:rFonts w:hint="eastAsia"/>
          <w:sz w:val="20"/>
          <w:lang w:eastAsia="zh-CN"/>
        </w:rPr>
        <w:t>）附件</w:t>
      </w:r>
      <w:r w:rsidRPr="00BD1D74">
        <w:rPr>
          <w:rFonts w:cstheme="majorBidi"/>
          <w:sz w:val="20"/>
          <w:lang w:eastAsia="zh-CN"/>
        </w:rPr>
        <w:t>2</w:t>
      </w:r>
      <w:bookmarkEnd w:id="24"/>
    </w:p>
  </w:footnote>
  <w:footnote w:id="4">
    <w:p w:rsidR="002C18B5" w:rsidRPr="00BD1D74" w:rsidRDefault="002C18B5" w:rsidP="00E37C1C">
      <w:pPr>
        <w:pStyle w:val="FootnoteText"/>
        <w:tabs>
          <w:tab w:val="left" w:pos="284"/>
        </w:tabs>
        <w:spacing w:before="0"/>
        <w:ind w:left="142" w:hanging="142"/>
        <w:rPr>
          <w:b/>
          <w:color w:val="800000"/>
          <w:sz w:val="22"/>
          <w:lang w:eastAsia="zh-CN"/>
        </w:rPr>
      </w:pPr>
      <w:r w:rsidRPr="00BD1D74">
        <w:rPr>
          <w:rStyle w:val="FootnoteReference"/>
          <w:sz w:val="20"/>
        </w:rPr>
        <w:footnoteRef/>
      </w:r>
      <w:r w:rsidRPr="00BD1D74">
        <w:rPr>
          <w:sz w:val="20"/>
          <w:lang w:eastAsia="zh-CN"/>
        </w:rPr>
        <w:tab/>
        <w:t xml:space="preserve">- </w:t>
      </w:r>
      <w:r w:rsidRPr="00BD1D74">
        <w:rPr>
          <w:sz w:val="20"/>
          <w:lang w:eastAsia="zh-CN"/>
        </w:rPr>
        <w:tab/>
      </w:r>
      <w:r w:rsidR="00E37C1C" w:rsidRPr="00BD1D74">
        <w:rPr>
          <w:rFonts w:hint="eastAsia"/>
          <w:sz w:val="20"/>
          <w:lang w:eastAsia="zh-CN"/>
        </w:rPr>
        <w:t>第</w:t>
      </w:r>
      <w:r w:rsidR="00E37C1C" w:rsidRPr="00BD1D74">
        <w:rPr>
          <w:rFonts w:hint="eastAsia"/>
          <w:sz w:val="20"/>
          <w:lang w:eastAsia="zh-CN"/>
        </w:rPr>
        <w:t>25</w:t>
      </w:r>
      <w:r w:rsidR="00E37C1C" w:rsidRPr="00BD1D74">
        <w:rPr>
          <w:rFonts w:hint="eastAsia"/>
          <w:sz w:val="20"/>
          <w:lang w:eastAsia="zh-CN"/>
        </w:rPr>
        <w:t>号决议（</w:t>
      </w:r>
      <w:r w:rsidR="00E37C1C" w:rsidRPr="00BD1D74">
        <w:rPr>
          <w:rFonts w:hint="eastAsia"/>
          <w:sz w:val="20"/>
          <w:lang w:eastAsia="zh-CN"/>
        </w:rPr>
        <w:t>2014</w:t>
      </w:r>
      <w:r w:rsidR="00E37C1C" w:rsidRPr="00BD1D74">
        <w:rPr>
          <w:rFonts w:hint="eastAsia"/>
          <w:sz w:val="20"/>
          <w:lang w:eastAsia="zh-CN"/>
        </w:rPr>
        <w:t>年，釜山，修订版）</w:t>
      </w:r>
      <w:r w:rsidR="00E37C1C" w:rsidRPr="00BD1D74">
        <w:rPr>
          <w:sz w:val="20"/>
          <w:lang w:eastAsia="zh-CN"/>
        </w:rPr>
        <w:t>–</w:t>
      </w:r>
      <w:r w:rsidR="00E37C1C" w:rsidRPr="00BD1D74">
        <w:rPr>
          <w:rFonts w:hint="eastAsia"/>
          <w:sz w:val="20"/>
          <w:lang w:eastAsia="zh-CN"/>
        </w:rPr>
        <w:t xml:space="preserve"> </w:t>
      </w:r>
      <w:r w:rsidR="00E37C1C" w:rsidRPr="00BD1D74">
        <w:rPr>
          <w:rFonts w:hint="eastAsia"/>
          <w:sz w:val="20"/>
          <w:lang w:eastAsia="zh-CN"/>
        </w:rPr>
        <w:t>加强区域代表处的作用</w:t>
      </w:r>
    </w:p>
    <w:p w:rsidR="002C18B5" w:rsidRPr="00BD1D74" w:rsidRDefault="002C18B5" w:rsidP="00BD1D74">
      <w:pPr>
        <w:pStyle w:val="FootnoteText"/>
        <w:tabs>
          <w:tab w:val="left" w:pos="284"/>
        </w:tabs>
        <w:spacing w:before="0"/>
        <w:ind w:left="142" w:hanging="142"/>
        <w:rPr>
          <w:sz w:val="20"/>
          <w:lang w:eastAsia="zh-CN"/>
        </w:rPr>
      </w:pPr>
      <w:r w:rsidRPr="00BD1D74">
        <w:rPr>
          <w:sz w:val="20"/>
          <w:lang w:eastAsia="zh-CN"/>
        </w:rPr>
        <w:tab/>
        <w:t xml:space="preserve">- </w:t>
      </w:r>
      <w:r w:rsidRPr="00BD1D74">
        <w:rPr>
          <w:sz w:val="20"/>
          <w:lang w:eastAsia="zh-CN"/>
        </w:rPr>
        <w:tab/>
      </w:r>
      <w:r w:rsidR="00BD1D74" w:rsidRPr="00BD1D74">
        <w:rPr>
          <w:rFonts w:hint="eastAsia"/>
          <w:sz w:val="20"/>
          <w:lang w:eastAsia="zh-CN"/>
        </w:rPr>
        <w:t>第</w:t>
      </w:r>
      <w:r w:rsidR="00BD1D74" w:rsidRPr="00BD1D74">
        <w:rPr>
          <w:rFonts w:hint="eastAsia"/>
          <w:sz w:val="20"/>
          <w:lang w:eastAsia="zh-CN"/>
        </w:rPr>
        <w:t>182</w:t>
      </w:r>
      <w:r w:rsidR="00BD1D74" w:rsidRPr="00BD1D74">
        <w:rPr>
          <w:rFonts w:hint="eastAsia"/>
          <w:sz w:val="20"/>
          <w:lang w:eastAsia="zh-CN"/>
        </w:rPr>
        <w:t>号决议（</w:t>
      </w:r>
      <w:r w:rsidR="00BD1D74" w:rsidRPr="00BD1D74">
        <w:rPr>
          <w:rFonts w:hint="eastAsia"/>
          <w:sz w:val="20"/>
          <w:lang w:eastAsia="zh-CN"/>
        </w:rPr>
        <w:t>2014</w:t>
      </w:r>
      <w:r w:rsidR="00BD1D74" w:rsidRPr="00BD1D74">
        <w:rPr>
          <w:rFonts w:hint="eastAsia"/>
          <w:sz w:val="20"/>
          <w:lang w:eastAsia="zh-CN"/>
        </w:rPr>
        <w:t>年，釜山，修订版）</w:t>
      </w:r>
      <w:r w:rsidR="00BD1D74" w:rsidRPr="00BD1D74">
        <w:rPr>
          <w:sz w:val="20"/>
          <w:lang w:eastAsia="zh-CN"/>
        </w:rPr>
        <w:t>–</w:t>
      </w:r>
      <w:r w:rsidR="00BD1D74" w:rsidRPr="00BD1D74">
        <w:rPr>
          <w:rFonts w:hint="eastAsia"/>
          <w:sz w:val="20"/>
          <w:lang w:eastAsia="zh-CN"/>
        </w:rPr>
        <w:t xml:space="preserve"> </w:t>
      </w:r>
      <w:r w:rsidR="00BD1D74" w:rsidRPr="00BD1D74">
        <w:rPr>
          <w:rFonts w:hint="eastAsia"/>
          <w:sz w:val="20"/>
          <w:lang w:eastAsia="zh-CN"/>
        </w:rPr>
        <w:t>电信</w:t>
      </w:r>
      <w:r w:rsidR="00BD1D74" w:rsidRPr="00BD1D74">
        <w:rPr>
          <w:rFonts w:hint="eastAsia"/>
          <w:sz w:val="20"/>
          <w:lang w:eastAsia="zh-CN"/>
        </w:rPr>
        <w:t>/</w:t>
      </w:r>
      <w:r w:rsidR="00BD1D74" w:rsidRPr="00BD1D74">
        <w:rPr>
          <w:rFonts w:hint="eastAsia"/>
          <w:sz w:val="20"/>
          <w:lang w:eastAsia="zh-CN"/>
        </w:rPr>
        <w:t>信息通信技术在气候变化和环境保护方面的作用</w:t>
      </w:r>
    </w:p>
    <w:p w:rsidR="002C18B5" w:rsidRPr="00BD1D74" w:rsidRDefault="002C18B5" w:rsidP="00BD1D74">
      <w:pPr>
        <w:pStyle w:val="FootnoteText"/>
        <w:tabs>
          <w:tab w:val="left" w:pos="284"/>
        </w:tabs>
        <w:spacing w:before="0"/>
        <w:ind w:left="142" w:hanging="142"/>
        <w:rPr>
          <w:sz w:val="20"/>
          <w:lang w:eastAsia="zh-CN"/>
        </w:rPr>
      </w:pPr>
      <w:r w:rsidRPr="00BD1D74">
        <w:rPr>
          <w:sz w:val="20"/>
          <w:lang w:eastAsia="zh-CN"/>
        </w:rPr>
        <w:tab/>
        <w:t xml:space="preserve">- </w:t>
      </w:r>
      <w:r w:rsidRPr="00BD1D74">
        <w:rPr>
          <w:sz w:val="20"/>
          <w:lang w:eastAsia="zh-CN"/>
        </w:rPr>
        <w:tab/>
      </w:r>
      <w:r w:rsidR="00BD1D74" w:rsidRPr="00BD1D74">
        <w:rPr>
          <w:rFonts w:hint="eastAsia"/>
          <w:sz w:val="20"/>
          <w:lang w:eastAsia="zh-CN"/>
        </w:rPr>
        <w:t>第</w:t>
      </w:r>
      <w:r w:rsidR="00BD1D74" w:rsidRPr="00BD1D74">
        <w:rPr>
          <w:rFonts w:hint="eastAsia"/>
          <w:sz w:val="20"/>
          <w:lang w:eastAsia="zh-CN"/>
        </w:rPr>
        <w:t>5</w:t>
      </w:r>
      <w:r w:rsidR="00BD1D74" w:rsidRPr="00BD1D74">
        <w:rPr>
          <w:rFonts w:hint="eastAsia"/>
          <w:sz w:val="20"/>
          <w:lang w:eastAsia="zh-CN"/>
        </w:rPr>
        <w:t>号决定（</w:t>
      </w:r>
      <w:r w:rsidR="00BD1D74" w:rsidRPr="00BD1D74">
        <w:rPr>
          <w:rFonts w:hint="eastAsia"/>
          <w:sz w:val="20"/>
          <w:lang w:eastAsia="zh-CN"/>
        </w:rPr>
        <w:t>2014</w:t>
      </w:r>
      <w:r w:rsidR="00BD1D74" w:rsidRPr="00BD1D74">
        <w:rPr>
          <w:rFonts w:hint="eastAsia"/>
          <w:sz w:val="20"/>
          <w:lang w:eastAsia="zh-CN"/>
        </w:rPr>
        <w:t>年，釜山，修订版）</w:t>
      </w:r>
      <w:r w:rsidR="00BD1D74" w:rsidRPr="00BD1D74">
        <w:rPr>
          <w:sz w:val="20"/>
          <w:lang w:eastAsia="zh-CN"/>
        </w:rPr>
        <w:t>–</w:t>
      </w:r>
      <w:r w:rsidR="00BD1D74" w:rsidRPr="00BD1D74">
        <w:rPr>
          <w:rFonts w:hint="eastAsia"/>
          <w:sz w:val="20"/>
          <w:lang w:eastAsia="zh-CN"/>
        </w:rPr>
        <w:t xml:space="preserve"> </w:t>
      </w:r>
      <w:r w:rsidR="00BD1D74" w:rsidRPr="00BD1D74">
        <w:rPr>
          <w:rFonts w:hint="eastAsia"/>
          <w:sz w:val="20"/>
          <w:lang w:eastAsia="zh-CN"/>
        </w:rPr>
        <w:t>国际电联</w:t>
      </w:r>
      <w:r w:rsidR="00BD1D74" w:rsidRPr="00BD1D74">
        <w:rPr>
          <w:rFonts w:hint="eastAsia"/>
          <w:sz w:val="20"/>
          <w:lang w:eastAsia="zh-CN"/>
        </w:rPr>
        <w:t>2016-2019</w:t>
      </w:r>
      <w:r w:rsidR="00BD1D74" w:rsidRPr="00BD1D74">
        <w:rPr>
          <w:rFonts w:hint="eastAsia"/>
          <w:sz w:val="20"/>
          <w:lang w:eastAsia="zh-CN"/>
        </w:rPr>
        <w:t>年的收入和支出附件</w:t>
      </w:r>
      <w:r w:rsidR="00BD1D74" w:rsidRPr="00BD1D74">
        <w:rPr>
          <w:rFonts w:hint="eastAsia"/>
          <w:sz w:val="20"/>
          <w:lang w:eastAsia="zh-CN"/>
        </w:rPr>
        <w:t>2</w:t>
      </w:r>
    </w:p>
  </w:footnote>
  <w:footnote w:id="5">
    <w:p w:rsidR="006C42CB" w:rsidRPr="00BD1D74" w:rsidRDefault="006C42CB" w:rsidP="006C42CB">
      <w:pPr>
        <w:pStyle w:val="FootnoteText"/>
        <w:tabs>
          <w:tab w:val="clear" w:pos="255"/>
        </w:tabs>
        <w:spacing w:before="0"/>
        <w:ind w:left="284" w:hanging="284"/>
        <w:rPr>
          <w:lang w:eastAsia="zh-CN"/>
        </w:rPr>
      </w:pPr>
      <w:r w:rsidRPr="00BD1D74">
        <w:rPr>
          <w:rStyle w:val="FootnoteReference"/>
          <w:sz w:val="20"/>
        </w:rPr>
        <w:footnoteRef/>
      </w:r>
      <w:r w:rsidRPr="00BD1D74">
        <w:rPr>
          <w:sz w:val="20"/>
          <w:lang w:eastAsia="zh-CN"/>
        </w:rPr>
        <w:t xml:space="preserve"> </w:t>
      </w:r>
      <w:r w:rsidRPr="00BD1D74">
        <w:rPr>
          <w:sz w:val="20"/>
          <w:lang w:eastAsia="zh-CN"/>
        </w:rPr>
        <w:tab/>
      </w:r>
      <w:bookmarkStart w:id="43" w:name="lt_pId081"/>
      <w:r w:rsidRPr="00BD1D74">
        <w:rPr>
          <w:sz w:val="20"/>
          <w:lang w:eastAsia="zh-CN"/>
        </w:rPr>
        <w:t>ICTC</w:t>
      </w:r>
      <w:r>
        <w:rPr>
          <w:rFonts w:hint="eastAsia"/>
          <w:sz w:val="20"/>
          <w:lang w:eastAsia="zh-CN"/>
        </w:rPr>
        <w:t>根据理事会第</w:t>
      </w:r>
      <w:r>
        <w:rPr>
          <w:rFonts w:hint="eastAsia"/>
          <w:sz w:val="20"/>
          <w:lang w:eastAsia="zh-CN"/>
        </w:rPr>
        <w:t>1173</w:t>
      </w:r>
      <w:r>
        <w:rPr>
          <w:rFonts w:hint="eastAsia"/>
          <w:sz w:val="20"/>
          <w:lang w:eastAsia="zh-CN"/>
        </w:rPr>
        <w:t>号决议（</w:t>
      </w:r>
      <w:r w:rsidRPr="00BD1D74">
        <w:rPr>
          <w:sz w:val="20"/>
          <w:lang w:eastAsia="zh-CN"/>
        </w:rPr>
        <w:t>C2001/102</w:t>
      </w:r>
      <w:r>
        <w:rPr>
          <w:rFonts w:hint="eastAsia"/>
          <w:sz w:val="20"/>
          <w:lang w:eastAsia="zh-CN"/>
        </w:rPr>
        <w:t>号文件）设立，并据此批准成立了</w:t>
      </w:r>
      <w:r>
        <w:rPr>
          <w:rFonts w:hint="eastAsia"/>
          <w:sz w:val="20"/>
          <w:lang w:eastAsia="zh-CN"/>
        </w:rPr>
        <w:t>ICT</w:t>
      </w:r>
      <w:r>
        <w:rPr>
          <w:rFonts w:hint="eastAsia"/>
          <w:sz w:val="20"/>
          <w:lang w:eastAsia="zh-CN"/>
        </w:rPr>
        <w:t>资本基金。</w:t>
      </w:r>
      <w:bookmarkEnd w:id="4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823E1D">
      <w:rPr>
        <w:noProof/>
      </w:rPr>
      <w:t>2</w:t>
    </w:r>
    <w:r>
      <w:rPr>
        <w:noProof/>
      </w:rPr>
      <w:fldChar w:fldCharType="end"/>
    </w:r>
  </w:p>
  <w:p w:rsidR="00AC516F" w:rsidRDefault="0098459B" w:rsidP="006D19AA">
    <w:pPr>
      <w:pStyle w:val="Header"/>
      <w:rPr>
        <w:lang w:eastAsia="zh-CN"/>
      </w:rPr>
    </w:pPr>
    <w:r>
      <w:t>C1</w:t>
    </w:r>
    <w:r w:rsidR="00A5354B">
      <w:rPr>
        <w:lang w:eastAsia="zh-CN"/>
      </w:rPr>
      <w:t>7</w:t>
    </w:r>
    <w:r w:rsidR="004672E6">
      <w:t>/</w:t>
    </w:r>
    <w:r w:rsidR="006D19AA">
      <w:rPr>
        <w:lang w:eastAsia="zh-CN"/>
      </w:rPr>
      <w:t>20</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607749"/>
    <w:multiLevelType w:val="hybridMultilevel"/>
    <w:tmpl w:val="E8742B42"/>
    <w:lvl w:ilvl="0" w:tplc="DD802CDE">
      <w:start w:val="1"/>
      <w:numFmt w:val="bullet"/>
      <w:lvlText w:val=""/>
      <w:lvlJc w:val="left"/>
      <w:pPr>
        <w:ind w:left="720" w:hanging="360"/>
      </w:pPr>
      <w:rPr>
        <w:rFonts w:ascii="Wingdings" w:hAnsi="Wingdings" w:hint="default"/>
      </w:rPr>
    </w:lvl>
    <w:lvl w:ilvl="1" w:tplc="8EF494C2" w:tentative="1">
      <w:start w:val="1"/>
      <w:numFmt w:val="bullet"/>
      <w:lvlText w:val="o"/>
      <w:lvlJc w:val="left"/>
      <w:pPr>
        <w:ind w:left="1440" w:hanging="360"/>
      </w:pPr>
      <w:rPr>
        <w:rFonts w:ascii="Courier New" w:hAnsi="Courier New" w:cs="Courier New" w:hint="default"/>
      </w:rPr>
    </w:lvl>
    <w:lvl w:ilvl="2" w:tplc="6A1C239C" w:tentative="1">
      <w:start w:val="1"/>
      <w:numFmt w:val="bullet"/>
      <w:lvlText w:val=""/>
      <w:lvlJc w:val="left"/>
      <w:pPr>
        <w:ind w:left="2160" w:hanging="360"/>
      </w:pPr>
      <w:rPr>
        <w:rFonts w:ascii="Wingdings" w:hAnsi="Wingdings" w:hint="default"/>
      </w:rPr>
    </w:lvl>
    <w:lvl w:ilvl="3" w:tplc="70D64DB8" w:tentative="1">
      <w:start w:val="1"/>
      <w:numFmt w:val="bullet"/>
      <w:lvlText w:val=""/>
      <w:lvlJc w:val="left"/>
      <w:pPr>
        <w:ind w:left="2880" w:hanging="360"/>
      </w:pPr>
      <w:rPr>
        <w:rFonts w:ascii="Symbol" w:hAnsi="Symbol" w:hint="default"/>
      </w:rPr>
    </w:lvl>
    <w:lvl w:ilvl="4" w:tplc="0810D228" w:tentative="1">
      <w:start w:val="1"/>
      <w:numFmt w:val="bullet"/>
      <w:lvlText w:val="o"/>
      <w:lvlJc w:val="left"/>
      <w:pPr>
        <w:ind w:left="3600" w:hanging="360"/>
      </w:pPr>
      <w:rPr>
        <w:rFonts w:ascii="Courier New" w:hAnsi="Courier New" w:cs="Courier New" w:hint="default"/>
      </w:rPr>
    </w:lvl>
    <w:lvl w:ilvl="5" w:tplc="E1F4EFF0" w:tentative="1">
      <w:start w:val="1"/>
      <w:numFmt w:val="bullet"/>
      <w:lvlText w:val=""/>
      <w:lvlJc w:val="left"/>
      <w:pPr>
        <w:ind w:left="4320" w:hanging="360"/>
      </w:pPr>
      <w:rPr>
        <w:rFonts w:ascii="Wingdings" w:hAnsi="Wingdings" w:hint="default"/>
      </w:rPr>
    </w:lvl>
    <w:lvl w:ilvl="6" w:tplc="7B10A478" w:tentative="1">
      <w:start w:val="1"/>
      <w:numFmt w:val="bullet"/>
      <w:lvlText w:val=""/>
      <w:lvlJc w:val="left"/>
      <w:pPr>
        <w:ind w:left="5040" w:hanging="360"/>
      </w:pPr>
      <w:rPr>
        <w:rFonts w:ascii="Symbol" w:hAnsi="Symbol" w:hint="default"/>
      </w:rPr>
    </w:lvl>
    <w:lvl w:ilvl="7" w:tplc="18B666EE" w:tentative="1">
      <w:start w:val="1"/>
      <w:numFmt w:val="bullet"/>
      <w:lvlText w:val="o"/>
      <w:lvlJc w:val="left"/>
      <w:pPr>
        <w:ind w:left="5760" w:hanging="360"/>
      </w:pPr>
      <w:rPr>
        <w:rFonts w:ascii="Courier New" w:hAnsi="Courier New" w:cs="Courier New" w:hint="default"/>
      </w:rPr>
    </w:lvl>
    <w:lvl w:ilvl="8" w:tplc="2206B150" w:tentative="1">
      <w:start w:val="1"/>
      <w:numFmt w:val="bullet"/>
      <w:lvlText w:val=""/>
      <w:lvlJc w:val="left"/>
      <w:pPr>
        <w:ind w:left="6480" w:hanging="360"/>
      </w:pPr>
      <w:rPr>
        <w:rFonts w:ascii="Wingdings" w:hAnsi="Wingdings" w:hint="default"/>
      </w:rPr>
    </w:lvl>
  </w:abstractNum>
  <w:abstractNum w:abstractNumId="2" w15:restartNumberingAfterBreak="0">
    <w:nsid w:val="1C121B2C"/>
    <w:multiLevelType w:val="hybridMultilevel"/>
    <w:tmpl w:val="DBFC0A32"/>
    <w:lvl w:ilvl="0" w:tplc="3076ABAE">
      <w:numFmt w:val="bullet"/>
      <w:lvlText w:val="–"/>
      <w:lvlJc w:val="left"/>
      <w:pPr>
        <w:ind w:left="1155" w:hanging="795"/>
      </w:pPr>
      <w:rPr>
        <w:rFonts w:ascii="Calibri" w:eastAsia="SimSun" w:hAnsi="Calibri" w:cs="Times New Roman" w:hint="default"/>
        <w:b w:val="0"/>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0837392"/>
    <w:multiLevelType w:val="hybridMultilevel"/>
    <w:tmpl w:val="F9BEB37E"/>
    <w:lvl w:ilvl="0" w:tplc="EADEE384">
      <w:start w:val="1"/>
      <w:numFmt w:val="bullet"/>
      <w:lvlText w:val=""/>
      <w:lvlJc w:val="left"/>
      <w:pPr>
        <w:ind w:left="720" w:hanging="360"/>
      </w:pPr>
      <w:rPr>
        <w:rFonts w:ascii="Wingdings" w:hAnsi="Wingdings" w:hint="default"/>
      </w:rPr>
    </w:lvl>
    <w:lvl w:ilvl="1" w:tplc="EFB80DF2" w:tentative="1">
      <w:start w:val="1"/>
      <w:numFmt w:val="bullet"/>
      <w:lvlText w:val="o"/>
      <w:lvlJc w:val="left"/>
      <w:pPr>
        <w:ind w:left="1440" w:hanging="360"/>
      </w:pPr>
      <w:rPr>
        <w:rFonts w:ascii="Courier New" w:hAnsi="Courier New" w:cs="Courier New" w:hint="default"/>
      </w:rPr>
    </w:lvl>
    <w:lvl w:ilvl="2" w:tplc="686C621E" w:tentative="1">
      <w:start w:val="1"/>
      <w:numFmt w:val="bullet"/>
      <w:lvlText w:val=""/>
      <w:lvlJc w:val="left"/>
      <w:pPr>
        <w:ind w:left="2160" w:hanging="360"/>
      </w:pPr>
      <w:rPr>
        <w:rFonts w:ascii="Wingdings" w:hAnsi="Wingdings" w:hint="default"/>
      </w:rPr>
    </w:lvl>
    <w:lvl w:ilvl="3" w:tplc="9D5C60CC" w:tentative="1">
      <w:start w:val="1"/>
      <w:numFmt w:val="bullet"/>
      <w:lvlText w:val=""/>
      <w:lvlJc w:val="left"/>
      <w:pPr>
        <w:ind w:left="2880" w:hanging="360"/>
      </w:pPr>
      <w:rPr>
        <w:rFonts w:ascii="Symbol" w:hAnsi="Symbol" w:hint="default"/>
      </w:rPr>
    </w:lvl>
    <w:lvl w:ilvl="4" w:tplc="FFF875B2" w:tentative="1">
      <w:start w:val="1"/>
      <w:numFmt w:val="bullet"/>
      <w:lvlText w:val="o"/>
      <w:lvlJc w:val="left"/>
      <w:pPr>
        <w:ind w:left="3600" w:hanging="360"/>
      </w:pPr>
      <w:rPr>
        <w:rFonts w:ascii="Courier New" w:hAnsi="Courier New" w:cs="Courier New" w:hint="default"/>
      </w:rPr>
    </w:lvl>
    <w:lvl w:ilvl="5" w:tplc="AB3CC19E" w:tentative="1">
      <w:start w:val="1"/>
      <w:numFmt w:val="bullet"/>
      <w:lvlText w:val=""/>
      <w:lvlJc w:val="left"/>
      <w:pPr>
        <w:ind w:left="4320" w:hanging="360"/>
      </w:pPr>
      <w:rPr>
        <w:rFonts w:ascii="Wingdings" w:hAnsi="Wingdings" w:hint="default"/>
      </w:rPr>
    </w:lvl>
    <w:lvl w:ilvl="6" w:tplc="5DDC36DA" w:tentative="1">
      <w:start w:val="1"/>
      <w:numFmt w:val="bullet"/>
      <w:lvlText w:val=""/>
      <w:lvlJc w:val="left"/>
      <w:pPr>
        <w:ind w:left="5040" w:hanging="360"/>
      </w:pPr>
      <w:rPr>
        <w:rFonts w:ascii="Symbol" w:hAnsi="Symbol" w:hint="default"/>
      </w:rPr>
    </w:lvl>
    <w:lvl w:ilvl="7" w:tplc="BB5C2870" w:tentative="1">
      <w:start w:val="1"/>
      <w:numFmt w:val="bullet"/>
      <w:lvlText w:val="o"/>
      <w:lvlJc w:val="left"/>
      <w:pPr>
        <w:ind w:left="5760" w:hanging="360"/>
      </w:pPr>
      <w:rPr>
        <w:rFonts w:ascii="Courier New" w:hAnsi="Courier New" w:cs="Courier New" w:hint="default"/>
      </w:rPr>
    </w:lvl>
    <w:lvl w:ilvl="8" w:tplc="C89C87F2" w:tentative="1">
      <w:start w:val="1"/>
      <w:numFmt w:val="bullet"/>
      <w:lvlText w:val=""/>
      <w:lvlJc w:val="left"/>
      <w:pPr>
        <w:ind w:left="6480" w:hanging="360"/>
      </w:pPr>
      <w:rPr>
        <w:rFonts w:ascii="Wingdings" w:hAnsi="Wingdings" w:hint="default"/>
      </w:rPr>
    </w:lvl>
  </w:abstractNum>
  <w:abstractNum w:abstractNumId="7" w15:restartNumberingAfterBreak="0">
    <w:nsid w:val="5F225C31"/>
    <w:multiLevelType w:val="hybridMultilevel"/>
    <w:tmpl w:val="01347FCC"/>
    <w:lvl w:ilvl="0" w:tplc="9D347A34">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1538F8"/>
    <w:multiLevelType w:val="hybridMultilevel"/>
    <w:tmpl w:val="1C36A32C"/>
    <w:lvl w:ilvl="0" w:tplc="C15676CE">
      <w:numFmt w:val="bullet"/>
      <w:lvlText w:val="•"/>
      <w:lvlJc w:val="left"/>
      <w:pPr>
        <w:ind w:left="1210" w:hanging="502"/>
      </w:pPr>
      <w:rPr>
        <w:rFonts w:asciiTheme="minorHAnsi" w:eastAsia="Times New Roman" w:hAnsiTheme="minorHAnsi" w:cs="Times New Roman" w:hint="default"/>
      </w:rPr>
    </w:lvl>
    <w:lvl w:ilvl="1" w:tplc="629E9D32">
      <w:start w:val="1"/>
      <w:numFmt w:val="bullet"/>
      <w:lvlText w:val="o"/>
      <w:lvlJc w:val="left"/>
      <w:pPr>
        <w:ind w:left="1222" w:hanging="360"/>
      </w:pPr>
      <w:rPr>
        <w:rFonts w:ascii="Courier New" w:hAnsi="Courier New" w:cs="Courier New" w:hint="default"/>
      </w:rPr>
    </w:lvl>
    <w:lvl w:ilvl="2" w:tplc="03FA09AA" w:tentative="1">
      <w:start w:val="1"/>
      <w:numFmt w:val="bullet"/>
      <w:lvlText w:val=""/>
      <w:lvlJc w:val="left"/>
      <w:pPr>
        <w:ind w:left="1942" w:hanging="360"/>
      </w:pPr>
      <w:rPr>
        <w:rFonts w:ascii="Wingdings" w:hAnsi="Wingdings" w:hint="default"/>
      </w:rPr>
    </w:lvl>
    <w:lvl w:ilvl="3" w:tplc="3C9CB272" w:tentative="1">
      <w:start w:val="1"/>
      <w:numFmt w:val="bullet"/>
      <w:lvlText w:val=""/>
      <w:lvlJc w:val="left"/>
      <w:pPr>
        <w:ind w:left="2662" w:hanging="360"/>
      </w:pPr>
      <w:rPr>
        <w:rFonts w:ascii="Symbol" w:hAnsi="Symbol" w:hint="default"/>
      </w:rPr>
    </w:lvl>
    <w:lvl w:ilvl="4" w:tplc="41CCC234" w:tentative="1">
      <w:start w:val="1"/>
      <w:numFmt w:val="bullet"/>
      <w:lvlText w:val="o"/>
      <w:lvlJc w:val="left"/>
      <w:pPr>
        <w:ind w:left="3382" w:hanging="360"/>
      </w:pPr>
      <w:rPr>
        <w:rFonts w:ascii="Courier New" w:hAnsi="Courier New" w:cs="Courier New" w:hint="default"/>
      </w:rPr>
    </w:lvl>
    <w:lvl w:ilvl="5" w:tplc="E1C86A96" w:tentative="1">
      <w:start w:val="1"/>
      <w:numFmt w:val="bullet"/>
      <w:lvlText w:val=""/>
      <w:lvlJc w:val="left"/>
      <w:pPr>
        <w:ind w:left="4102" w:hanging="360"/>
      </w:pPr>
      <w:rPr>
        <w:rFonts w:ascii="Wingdings" w:hAnsi="Wingdings" w:hint="default"/>
      </w:rPr>
    </w:lvl>
    <w:lvl w:ilvl="6" w:tplc="72FCAEFA" w:tentative="1">
      <w:start w:val="1"/>
      <w:numFmt w:val="bullet"/>
      <w:lvlText w:val=""/>
      <w:lvlJc w:val="left"/>
      <w:pPr>
        <w:ind w:left="4822" w:hanging="360"/>
      </w:pPr>
      <w:rPr>
        <w:rFonts w:ascii="Symbol" w:hAnsi="Symbol" w:hint="default"/>
      </w:rPr>
    </w:lvl>
    <w:lvl w:ilvl="7" w:tplc="1D9AEF80" w:tentative="1">
      <w:start w:val="1"/>
      <w:numFmt w:val="bullet"/>
      <w:lvlText w:val="o"/>
      <w:lvlJc w:val="left"/>
      <w:pPr>
        <w:ind w:left="5542" w:hanging="360"/>
      </w:pPr>
      <w:rPr>
        <w:rFonts w:ascii="Courier New" w:hAnsi="Courier New" w:cs="Courier New" w:hint="default"/>
      </w:rPr>
    </w:lvl>
    <w:lvl w:ilvl="8" w:tplc="992CC084" w:tentative="1">
      <w:start w:val="1"/>
      <w:numFmt w:val="bullet"/>
      <w:lvlText w:val=""/>
      <w:lvlJc w:val="left"/>
      <w:pPr>
        <w:ind w:left="6262" w:hanging="360"/>
      </w:pPr>
      <w:rPr>
        <w:rFonts w:ascii="Wingdings" w:hAnsi="Wingdings" w:hint="default"/>
      </w:rPr>
    </w:lvl>
  </w:abstractNum>
  <w:abstractNum w:abstractNumId="9"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9"/>
  </w:num>
  <w:num w:numId="5">
    <w:abstractNumId w:val="11"/>
  </w:num>
  <w:num w:numId="6">
    <w:abstractNumId w:val="10"/>
  </w:num>
  <w:num w:numId="7">
    <w:abstractNumId w:val="3"/>
  </w:num>
  <w:num w:numId="8">
    <w:abstractNumId w:val="7"/>
  </w:num>
  <w:num w:numId="9">
    <w:abstractNumId w:val="2"/>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9F"/>
    <w:rsid w:val="00001B77"/>
    <w:rsid w:val="0000517A"/>
    <w:rsid w:val="00031E72"/>
    <w:rsid w:val="000404D2"/>
    <w:rsid w:val="0004103F"/>
    <w:rsid w:val="000853C0"/>
    <w:rsid w:val="000A1C21"/>
    <w:rsid w:val="000D15EA"/>
    <w:rsid w:val="000F2D25"/>
    <w:rsid w:val="00100D84"/>
    <w:rsid w:val="00116F76"/>
    <w:rsid w:val="00124C9D"/>
    <w:rsid w:val="00157773"/>
    <w:rsid w:val="00164008"/>
    <w:rsid w:val="00176B20"/>
    <w:rsid w:val="00177002"/>
    <w:rsid w:val="0018251A"/>
    <w:rsid w:val="00190272"/>
    <w:rsid w:val="00193244"/>
    <w:rsid w:val="00195C6C"/>
    <w:rsid w:val="00195FED"/>
    <w:rsid w:val="001A4BD6"/>
    <w:rsid w:val="001C2F3E"/>
    <w:rsid w:val="001D1822"/>
    <w:rsid w:val="001D5A18"/>
    <w:rsid w:val="001D6FDF"/>
    <w:rsid w:val="001E6916"/>
    <w:rsid w:val="001F27A7"/>
    <w:rsid w:val="001F2F0F"/>
    <w:rsid w:val="001F61E0"/>
    <w:rsid w:val="001F77D8"/>
    <w:rsid w:val="00280EB8"/>
    <w:rsid w:val="002A6670"/>
    <w:rsid w:val="002C18B5"/>
    <w:rsid w:val="00303502"/>
    <w:rsid w:val="00325C25"/>
    <w:rsid w:val="00336796"/>
    <w:rsid w:val="00372C8F"/>
    <w:rsid w:val="00380ECE"/>
    <w:rsid w:val="003826BE"/>
    <w:rsid w:val="00393DDF"/>
    <w:rsid w:val="00397F55"/>
    <w:rsid w:val="003A299D"/>
    <w:rsid w:val="003B4343"/>
    <w:rsid w:val="003B4454"/>
    <w:rsid w:val="003C2E37"/>
    <w:rsid w:val="003D0B5B"/>
    <w:rsid w:val="003D217E"/>
    <w:rsid w:val="003F1415"/>
    <w:rsid w:val="0040144C"/>
    <w:rsid w:val="00403EB7"/>
    <w:rsid w:val="00430BF0"/>
    <w:rsid w:val="004318A9"/>
    <w:rsid w:val="0044368B"/>
    <w:rsid w:val="004672E6"/>
    <w:rsid w:val="00473A3D"/>
    <w:rsid w:val="00474ED1"/>
    <w:rsid w:val="00493085"/>
    <w:rsid w:val="00493C4F"/>
    <w:rsid w:val="004A36EC"/>
    <w:rsid w:val="004D163F"/>
    <w:rsid w:val="004D229B"/>
    <w:rsid w:val="004E4BFF"/>
    <w:rsid w:val="004F2598"/>
    <w:rsid w:val="005403F7"/>
    <w:rsid w:val="00540632"/>
    <w:rsid w:val="00541CF4"/>
    <w:rsid w:val="005451E8"/>
    <w:rsid w:val="005507F2"/>
    <w:rsid w:val="0057339C"/>
    <w:rsid w:val="005759CC"/>
    <w:rsid w:val="005820DC"/>
    <w:rsid w:val="00595A9F"/>
    <w:rsid w:val="005A204A"/>
    <w:rsid w:val="005A2A8D"/>
    <w:rsid w:val="005A72E1"/>
    <w:rsid w:val="005C6632"/>
    <w:rsid w:val="005C691C"/>
    <w:rsid w:val="005D1C9E"/>
    <w:rsid w:val="005D4BD7"/>
    <w:rsid w:val="005E0567"/>
    <w:rsid w:val="006363C0"/>
    <w:rsid w:val="00654257"/>
    <w:rsid w:val="0065435A"/>
    <w:rsid w:val="00665E07"/>
    <w:rsid w:val="006A2DD3"/>
    <w:rsid w:val="006A5AF8"/>
    <w:rsid w:val="006C36CD"/>
    <w:rsid w:val="006C42CB"/>
    <w:rsid w:val="006D19AA"/>
    <w:rsid w:val="006F4B6C"/>
    <w:rsid w:val="00700D1F"/>
    <w:rsid w:val="007205CB"/>
    <w:rsid w:val="00722CF4"/>
    <w:rsid w:val="00726073"/>
    <w:rsid w:val="00734FE8"/>
    <w:rsid w:val="007360CE"/>
    <w:rsid w:val="0074272E"/>
    <w:rsid w:val="00772315"/>
    <w:rsid w:val="00775157"/>
    <w:rsid w:val="0078007C"/>
    <w:rsid w:val="007813AE"/>
    <w:rsid w:val="0079510A"/>
    <w:rsid w:val="007A37DB"/>
    <w:rsid w:val="007E189D"/>
    <w:rsid w:val="00811259"/>
    <w:rsid w:val="00813AA2"/>
    <w:rsid w:val="008173A3"/>
    <w:rsid w:val="00823E1D"/>
    <w:rsid w:val="0086059C"/>
    <w:rsid w:val="00864589"/>
    <w:rsid w:val="008808D9"/>
    <w:rsid w:val="00890AFB"/>
    <w:rsid w:val="00890FC4"/>
    <w:rsid w:val="00895905"/>
    <w:rsid w:val="009164A9"/>
    <w:rsid w:val="009258CB"/>
    <w:rsid w:val="0093362E"/>
    <w:rsid w:val="00942A20"/>
    <w:rsid w:val="00944563"/>
    <w:rsid w:val="00953160"/>
    <w:rsid w:val="009625D8"/>
    <w:rsid w:val="0098459B"/>
    <w:rsid w:val="00997185"/>
    <w:rsid w:val="009C2458"/>
    <w:rsid w:val="009C4A7B"/>
    <w:rsid w:val="009C6123"/>
    <w:rsid w:val="009D1E3B"/>
    <w:rsid w:val="009F1E3E"/>
    <w:rsid w:val="00A1213C"/>
    <w:rsid w:val="00A272FF"/>
    <w:rsid w:val="00A47688"/>
    <w:rsid w:val="00A5354B"/>
    <w:rsid w:val="00A627C4"/>
    <w:rsid w:val="00AB42C1"/>
    <w:rsid w:val="00AC516F"/>
    <w:rsid w:val="00AE2926"/>
    <w:rsid w:val="00B003D8"/>
    <w:rsid w:val="00B0184B"/>
    <w:rsid w:val="00B035CD"/>
    <w:rsid w:val="00B0769D"/>
    <w:rsid w:val="00B217F8"/>
    <w:rsid w:val="00B332EA"/>
    <w:rsid w:val="00B40A53"/>
    <w:rsid w:val="00B45365"/>
    <w:rsid w:val="00B46A65"/>
    <w:rsid w:val="00B60184"/>
    <w:rsid w:val="00B62D20"/>
    <w:rsid w:val="00B76D67"/>
    <w:rsid w:val="00B81E75"/>
    <w:rsid w:val="00BC3A9A"/>
    <w:rsid w:val="00BC56EB"/>
    <w:rsid w:val="00BD1A5A"/>
    <w:rsid w:val="00BD1D74"/>
    <w:rsid w:val="00BD7A9B"/>
    <w:rsid w:val="00BD7BE1"/>
    <w:rsid w:val="00BF416B"/>
    <w:rsid w:val="00C0402A"/>
    <w:rsid w:val="00C1734A"/>
    <w:rsid w:val="00C64E4E"/>
    <w:rsid w:val="00C66E64"/>
    <w:rsid w:val="00C761A0"/>
    <w:rsid w:val="00C8567F"/>
    <w:rsid w:val="00C85F7E"/>
    <w:rsid w:val="00CA0A6B"/>
    <w:rsid w:val="00CC49E4"/>
    <w:rsid w:val="00CD47F0"/>
    <w:rsid w:val="00CD5566"/>
    <w:rsid w:val="00CD64D7"/>
    <w:rsid w:val="00CE6F22"/>
    <w:rsid w:val="00CE768C"/>
    <w:rsid w:val="00CF41F6"/>
    <w:rsid w:val="00CF7D3E"/>
    <w:rsid w:val="00D02B4E"/>
    <w:rsid w:val="00D12012"/>
    <w:rsid w:val="00D177F0"/>
    <w:rsid w:val="00D36817"/>
    <w:rsid w:val="00D3721E"/>
    <w:rsid w:val="00D5666C"/>
    <w:rsid w:val="00D666BC"/>
    <w:rsid w:val="00D7462A"/>
    <w:rsid w:val="00D83542"/>
    <w:rsid w:val="00D92F45"/>
    <w:rsid w:val="00D94637"/>
    <w:rsid w:val="00D96ADD"/>
    <w:rsid w:val="00D9725C"/>
    <w:rsid w:val="00DA6D12"/>
    <w:rsid w:val="00DA7006"/>
    <w:rsid w:val="00DC6427"/>
    <w:rsid w:val="00DD312E"/>
    <w:rsid w:val="00DD66A1"/>
    <w:rsid w:val="00DE196D"/>
    <w:rsid w:val="00DF6B49"/>
    <w:rsid w:val="00E00F6F"/>
    <w:rsid w:val="00E067C5"/>
    <w:rsid w:val="00E265BF"/>
    <w:rsid w:val="00E378D8"/>
    <w:rsid w:val="00E37C1C"/>
    <w:rsid w:val="00E43A12"/>
    <w:rsid w:val="00E55171"/>
    <w:rsid w:val="00E67C67"/>
    <w:rsid w:val="00E70D28"/>
    <w:rsid w:val="00E77476"/>
    <w:rsid w:val="00E8228B"/>
    <w:rsid w:val="00E85110"/>
    <w:rsid w:val="00EE5706"/>
    <w:rsid w:val="00EF373D"/>
    <w:rsid w:val="00F11595"/>
    <w:rsid w:val="00F13BC9"/>
    <w:rsid w:val="00F357B2"/>
    <w:rsid w:val="00F36556"/>
    <w:rsid w:val="00F6537C"/>
    <w:rsid w:val="00F705DF"/>
    <w:rsid w:val="00F70622"/>
    <w:rsid w:val="00F8136E"/>
    <w:rsid w:val="00F85624"/>
    <w:rsid w:val="00F87C05"/>
    <w:rsid w:val="00F93191"/>
    <w:rsid w:val="00F93A17"/>
    <w:rsid w:val="00FA2AE1"/>
    <w:rsid w:val="00FA2AF6"/>
    <w:rsid w:val="00FB073D"/>
    <w:rsid w:val="00FB771F"/>
    <w:rsid w:val="00FC5386"/>
    <w:rsid w:val="00FE6D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6D15A6E5-52E9-4D75-95C5-DBEBA9D7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uiPriority w:val="99"/>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locked/>
    <w:rsid w:val="00B003D8"/>
    <w:rPr>
      <w:rFonts w:ascii="Calibri" w:eastAsia="Times New Roman" w:hAnsi="Calibri"/>
      <w:sz w:val="24"/>
      <w:lang w:val="en-GB" w:eastAsia="en-US"/>
    </w:rPr>
  </w:style>
  <w:style w:type="character" w:customStyle="1" w:styleId="enumlev1Char">
    <w:name w:val="enumlev1 Char"/>
    <w:basedOn w:val="DefaultParagraphFont"/>
    <w:link w:val="enumlev1"/>
    <w:uiPriority w:val="99"/>
    <w:locked/>
    <w:rsid w:val="00DA6D12"/>
    <w:rPr>
      <w:rFonts w:ascii="Calibri" w:hAnsi="Calibri"/>
      <w:sz w:val="24"/>
      <w:lang w:val="en-GB" w:eastAsia="en-US"/>
    </w:rPr>
  </w:style>
  <w:style w:type="paragraph" w:customStyle="1" w:styleId="Default">
    <w:name w:val="Default"/>
    <w:rsid w:val="002C18B5"/>
    <w:pPr>
      <w:autoSpaceDE w:val="0"/>
      <w:autoSpaceDN w:val="0"/>
      <w:adjustRightInd w:val="0"/>
    </w:pPr>
    <w:rPr>
      <w:rFonts w:ascii="Times New Roman" w:eastAsiaTheme="minorHAnsi" w:hAnsi="Times New Roman"/>
      <w:color w:val="000000"/>
      <w:sz w:val="24"/>
      <w:szCs w:val="24"/>
      <w:lang w:eastAsia="en-US"/>
    </w:rPr>
  </w:style>
  <w:style w:type="paragraph" w:customStyle="1" w:styleId="Pa34">
    <w:name w:val="Pa34"/>
    <w:basedOn w:val="Default"/>
    <w:next w:val="Default"/>
    <w:uiPriority w:val="99"/>
    <w:rsid w:val="002C18B5"/>
    <w:pPr>
      <w:spacing w:line="201" w:lineRule="atLeast"/>
    </w:pPr>
    <w:rPr>
      <w:rFonts w:ascii="Myriad Pro" w:eastAsiaTheme="minorEastAsia" w:hAnsi="Myriad Pro" w:cstheme="minorBidi"/>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447355064">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37225141">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973682775">
      <w:bodyDiv w:val="1"/>
      <w:marLeft w:val="0"/>
      <w:marRight w:val="0"/>
      <w:marTop w:val="0"/>
      <w:marBottom w:val="0"/>
      <w:divBdr>
        <w:top w:val="none" w:sz="0" w:space="0" w:color="auto"/>
        <w:left w:val="none" w:sz="0" w:space="0" w:color="auto"/>
        <w:bottom w:val="none" w:sz="0" w:space="0" w:color="auto"/>
        <w:right w:val="none" w:sz="0" w:space="0" w:color="auto"/>
      </w:divBdr>
    </w:div>
    <w:div w:id="1084835389">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3C785-020D-4AE9-89BF-4B9A0E768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0</TotalTime>
  <Pages>3</Pages>
  <Words>1397</Words>
  <Characters>201</Characters>
  <Application>Microsoft Office Word</Application>
  <DocSecurity>4</DocSecurity>
  <Lines>1</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1595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technology and information management strategy for the secretariat</dc:title>
  <dc:subject>Council 2017</dc:subject>
  <dc:creator>Wang, Yujia</dc:creator>
  <cp:keywords>C2017, C17</cp:keywords>
  <dc:description/>
  <cp:lastModifiedBy>Brouard, Ricarda</cp:lastModifiedBy>
  <cp:revision>2</cp:revision>
  <cp:lastPrinted>2015-02-24T13:23:00Z</cp:lastPrinted>
  <dcterms:created xsi:type="dcterms:W3CDTF">2017-05-02T08:38:00Z</dcterms:created>
  <dcterms:modified xsi:type="dcterms:W3CDTF">2017-05-02T08:38:00Z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