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220A57" w:rsidRPr="006E69BF">
        <w:trPr>
          <w:cantSplit/>
        </w:trPr>
        <w:tc>
          <w:tcPr>
            <w:tcW w:w="6912" w:type="dxa"/>
          </w:tcPr>
          <w:p w:rsidR="00220A57" w:rsidRPr="006E69BF" w:rsidRDefault="00220A57" w:rsidP="007F5C0E">
            <w:pPr>
              <w:spacing w:before="360"/>
            </w:pPr>
            <w:bookmarkStart w:id="0" w:name="dc06"/>
            <w:bookmarkEnd w:id="0"/>
            <w:r w:rsidRPr="006E69BF">
              <w:rPr>
                <w:b/>
                <w:bCs/>
                <w:sz w:val="30"/>
                <w:szCs w:val="30"/>
              </w:rPr>
              <w:t>Conseil 2017</w:t>
            </w:r>
            <w:r w:rsidRPr="006E69BF">
              <w:rPr>
                <w:rFonts w:ascii="Verdana" w:hAnsi="Verdana"/>
                <w:b/>
                <w:bCs/>
                <w:sz w:val="26"/>
                <w:szCs w:val="26"/>
              </w:rPr>
              <w:br/>
            </w:r>
            <w:r w:rsidRPr="006E69BF">
              <w:rPr>
                <w:b/>
                <w:bCs/>
                <w:szCs w:val="24"/>
              </w:rPr>
              <w:t>Genève, 15-25 mai 2017</w:t>
            </w:r>
          </w:p>
        </w:tc>
        <w:tc>
          <w:tcPr>
            <w:tcW w:w="3261" w:type="dxa"/>
          </w:tcPr>
          <w:p w:rsidR="00220A57" w:rsidRPr="006E69BF" w:rsidRDefault="00220A57" w:rsidP="007F5C0E">
            <w:pPr>
              <w:spacing w:before="0"/>
              <w:jc w:val="right"/>
            </w:pPr>
            <w:bookmarkStart w:id="1" w:name="ditulogo"/>
            <w:bookmarkEnd w:id="1"/>
            <w:r w:rsidRPr="006E69B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20A57" w:rsidRPr="006E69BF" w:rsidTr="0087067C">
        <w:trPr>
          <w:cantSplit/>
          <w:trHeight w:val="20"/>
        </w:trPr>
        <w:tc>
          <w:tcPr>
            <w:tcW w:w="6912" w:type="dxa"/>
            <w:tcBorders>
              <w:bottom w:val="single" w:sz="12" w:space="0" w:color="auto"/>
            </w:tcBorders>
            <w:vAlign w:val="center"/>
          </w:tcPr>
          <w:p w:rsidR="00220A57" w:rsidRPr="006E69BF" w:rsidRDefault="00220A57" w:rsidP="007F5C0E">
            <w:pPr>
              <w:spacing w:before="0"/>
              <w:rPr>
                <w:b/>
                <w:bCs/>
                <w:sz w:val="26"/>
                <w:szCs w:val="26"/>
              </w:rPr>
            </w:pPr>
          </w:p>
        </w:tc>
        <w:tc>
          <w:tcPr>
            <w:tcW w:w="3261" w:type="dxa"/>
            <w:tcBorders>
              <w:bottom w:val="single" w:sz="12" w:space="0" w:color="auto"/>
            </w:tcBorders>
          </w:tcPr>
          <w:p w:rsidR="00220A57" w:rsidRPr="006E69BF" w:rsidRDefault="00220A57" w:rsidP="007F5C0E">
            <w:pPr>
              <w:spacing w:before="0"/>
              <w:rPr>
                <w:b/>
                <w:bCs/>
              </w:rPr>
            </w:pPr>
          </w:p>
        </w:tc>
      </w:tr>
      <w:tr w:rsidR="00220A57" w:rsidRPr="006E69BF">
        <w:trPr>
          <w:cantSplit/>
          <w:trHeight w:val="20"/>
        </w:trPr>
        <w:tc>
          <w:tcPr>
            <w:tcW w:w="6912" w:type="dxa"/>
            <w:tcBorders>
              <w:top w:val="single" w:sz="12" w:space="0" w:color="auto"/>
            </w:tcBorders>
          </w:tcPr>
          <w:p w:rsidR="00220A57" w:rsidRPr="006E69BF" w:rsidRDefault="00220A57" w:rsidP="007F5C0E">
            <w:pPr>
              <w:spacing w:before="0"/>
              <w:rPr>
                <w:smallCaps/>
                <w:sz w:val="22"/>
              </w:rPr>
            </w:pPr>
          </w:p>
        </w:tc>
        <w:tc>
          <w:tcPr>
            <w:tcW w:w="3261" w:type="dxa"/>
            <w:tcBorders>
              <w:top w:val="single" w:sz="12" w:space="0" w:color="auto"/>
            </w:tcBorders>
          </w:tcPr>
          <w:p w:rsidR="00220A57" w:rsidRPr="006E69BF" w:rsidRDefault="00220A57" w:rsidP="007F5C0E">
            <w:pPr>
              <w:spacing w:before="0"/>
              <w:rPr>
                <w:b/>
                <w:bCs/>
              </w:rPr>
            </w:pPr>
          </w:p>
        </w:tc>
      </w:tr>
      <w:tr w:rsidR="00220A57" w:rsidRPr="006E69BF">
        <w:trPr>
          <w:cantSplit/>
          <w:trHeight w:val="20"/>
        </w:trPr>
        <w:tc>
          <w:tcPr>
            <w:tcW w:w="6912" w:type="dxa"/>
            <w:vMerge w:val="restart"/>
          </w:tcPr>
          <w:p w:rsidR="00220A57" w:rsidRPr="006E69BF" w:rsidRDefault="00220A57" w:rsidP="007F5C0E">
            <w:pPr>
              <w:spacing w:before="0"/>
              <w:rPr>
                <w:rFonts w:cs="Times"/>
                <w:b/>
                <w:bCs/>
                <w:szCs w:val="24"/>
              </w:rPr>
            </w:pPr>
            <w:bookmarkStart w:id="2" w:name="dnum" w:colFirst="1" w:colLast="1"/>
            <w:bookmarkStart w:id="3" w:name="dmeeting" w:colFirst="0" w:colLast="0"/>
            <w:r w:rsidRPr="006E69BF">
              <w:rPr>
                <w:rFonts w:cs="Times"/>
                <w:b/>
                <w:bCs/>
                <w:szCs w:val="24"/>
              </w:rPr>
              <w:t xml:space="preserve">Point de l'ordre du </w:t>
            </w:r>
            <w:proofErr w:type="gramStart"/>
            <w:r w:rsidRPr="006E69BF">
              <w:rPr>
                <w:rFonts w:cs="Times"/>
                <w:b/>
                <w:bCs/>
                <w:szCs w:val="24"/>
              </w:rPr>
              <w:t>jour:</w:t>
            </w:r>
            <w:proofErr w:type="gramEnd"/>
            <w:r w:rsidRPr="006E69BF">
              <w:rPr>
                <w:rFonts w:cs="Times"/>
                <w:b/>
                <w:bCs/>
                <w:szCs w:val="24"/>
              </w:rPr>
              <w:t xml:space="preserve"> PL </w:t>
            </w:r>
            <w:r w:rsidR="00BD2B34" w:rsidRPr="006E69BF">
              <w:rPr>
                <w:rFonts w:cs="Times"/>
                <w:b/>
                <w:bCs/>
                <w:szCs w:val="24"/>
              </w:rPr>
              <w:t>1.</w:t>
            </w:r>
            <w:r w:rsidR="00141A0E" w:rsidRPr="006E69BF">
              <w:rPr>
                <w:rFonts w:cs="Times"/>
                <w:b/>
                <w:bCs/>
                <w:szCs w:val="24"/>
              </w:rPr>
              <w:t>5</w:t>
            </w:r>
          </w:p>
        </w:tc>
        <w:tc>
          <w:tcPr>
            <w:tcW w:w="3261" w:type="dxa"/>
          </w:tcPr>
          <w:p w:rsidR="00220A57" w:rsidRPr="006E69BF" w:rsidRDefault="00220A57" w:rsidP="007F5C0E">
            <w:pPr>
              <w:spacing w:before="0"/>
              <w:rPr>
                <w:b/>
                <w:bCs/>
              </w:rPr>
            </w:pPr>
            <w:r w:rsidRPr="006E69BF">
              <w:rPr>
                <w:b/>
                <w:bCs/>
              </w:rPr>
              <w:t>Document C17/1</w:t>
            </w:r>
            <w:r w:rsidR="00141A0E" w:rsidRPr="006E69BF">
              <w:rPr>
                <w:b/>
                <w:bCs/>
              </w:rPr>
              <w:t>8</w:t>
            </w:r>
            <w:r w:rsidRPr="006E69BF">
              <w:rPr>
                <w:b/>
                <w:bCs/>
              </w:rPr>
              <w:t>-F</w:t>
            </w:r>
          </w:p>
        </w:tc>
      </w:tr>
      <w:tr w:rsidR="00220A57" w:rsidRPr="006E69BF">
        <w:trPr>
          <w:cantSplit/>
          <w:trHeight w:val="20"/>
        </w:trPr>
        <w:tc>
          <w:tcPr>
            <w:tcW w:w="6912" w:type="dxa"/>
            <w:vMerge/>
          </w:tcPr>
          <w:p w:rsidR="00220A57" w:rsidRPr="006E69BF" w:rsidRDefault="00220A57" w:rsidP="007F5C0E">
            <w:pPr>
              <w:shd w:val="solid" w:color="FFFFFF" w:fill="FFFFFF"/>
              <w:spacing w:before="180"/>
              <w:rPr>
                <w:smallCaps/>
              </w:rPr>
            </w:pPr>
            <w:bookmarkStart w:id="4" w:name="ddate" w:colFirst="1" w:colLast="1"/>
            <w:bookmarkEnd w:id="2"/>
            <w:bookmarkEnd w:id="3"/>
          </w:p>
        </w:tc>
        <w:tc>
          <w:tcPr>
            <w:tcW w:w="3261" w:type="dxa"/>
          </w:tcPr>
          <w:p w:rsidR="00220A57" w:rsidRPr="006E69BF" w:rsidRDefault="00220A57" w:rsidP="007F5C0E">
            <w:pPr>
              <w:spacing w:before="0"/>
              <w:rPr>
                <w:b/>
                <w:bCs/>
              </w:rPr>
            </w:pPr>
            <w:r w:rsidRPr="006E69BF">
              <w:rPr>
                <w:b/>
                <w:bCs/>
              </w:rPr>
              <w:t>14 mars 2017</w:t>
            </w:r>
          </w:p>
        </w:tc>
      </w:tr>
      <w:tr w:rsidR="00220A57" w:rsidRPr="006E69BF">
        <w:trPr>
          <w:cantSplit/>
          <w:trHeight w:val="20"/>
        </w:trPr>
        <w:tc>
          <w:tcPr>
            <w:tcW w:w="6912" w:type="dxa"/>
            <w:vMerge/>
          </w:tcPr>
          <w:p w:rsidR="00220A57" w:rsidRPr="006E69BF" w:rsidRDefault="00220A57" w:rsidP="007F5C0E">
            <w:pPr>
              <w:shd w:val="solid" w:color="FFFFFF" w:fill="FFFFFF"/>
              <w:spacing w:before="180"/>
              <w:rPr>
                <w:smallCaps/>
              </w:rPr>
            </w:pPr>
            <w:bookmarkStart w:id="5" w:name="dorlang" w:colFirst="1" w:colLast="1"/>
            <w:bookmarkEnd w:id="4"/>
          </w:p>
        </w:tc>
        <w:tc>
          <w:tcPr>
            <w:tcW w:w="3261" w:type="dxa"/>
          </w:tcPr>
          <w:p w:rsidR="00220A57" w:rsidRPr="006E69BF" w:rsidRDefault="00220A57" w:rsidP="007F5C0E">
            <w:pPr>
              <w:spacing w:before="0"/>
              <w:rPr>
                <w:b/>
                <w:bCs/>
              </w:rPr>
            </w:pPr>
            <w:proofErr w:type="gramStart"/>
            <w:r w:rsidRPr="006E69BF">
              <w:rPr>
                <w:b/>
                <w:bCs/>
              </w:rPr>
              <w:t>Original:</w:t>
            </w:r>
            <w:proofErr w:type="gramEnd"/>
            <w:r w:rsidRPr="006E69BF">
              <w:rPr>
                <w:b/>
                <w:bCs/>
              </w:rPr>
              <w:t xml:space="preserve"> anglais</w:t>
            </w:r>
          </w:p>
        </w:tc>
      </w:tr>
      <w:tr w:rsidR="00220A57" w:rsidRPr="006E69BF">
        <w:trPr>
          <w:cantSplit/>
        </w:trPr>
        <w:tc>
          <w:tcPr>
            <w:tcW w:w="10173" w:type="dxa"/>
            <w:gridSpan w:val="2"/>
          </w:tcPr>
          <w:p w:rsidR="00220A57" w:rsidRPr="006E69BF" w:rsidRDefault="00141A0E" w:rsidP="007F5C0E">
            <w:pPr>
              <w:pStyle w:val="Source"/>
            </w:pPr>
            <w:bookmarkStart w:id="6" w:name="dsource" w:colFirst="0" w:colLast="0"/>
            <w:bookmarkEnd w:id="5"/>
            <w:r w:rsidRPr="006E69BF">
              <w:rPr>
                <w:rFonts w:asciiTheme="minorHAnsi" w:hAnsiTheme="minorHAnsi"/>
              </w:rPr>
              <w:t>Rapport du Se</w:t>
            </w:r>
            <w:bookmarkStart w:id="7" w:name="_GoBack"/>
            <w:bookmarkEnd w:id="7"/>
            <w:r w:rsidRPr="006E69BF">
              <w:rPr>
                <w:rFonts w:asciiTheme="minorHAnsi" w:hAnsiTheme="minorHAnsi"/>
              </w:rPr>
              <w:t>crétaire général</w:t>
            </w:r>
          </w:p>
        </w:tc>
      </w:tr>
      <w:tr w:rsidR="00220A57" w:rsidRPr="006E69BF">
        <w:trPr>
          <w:cantSplit/>
        </w:trPr>
        <w:tc>
          <w:tcPr>
            <w:tcW w:w="10173" w:type="dxa"/>
            <w:gridSpan w:val="2"/>
          </w:tcPr>
          <w:p w:rsidR="00220A57" w:rsidRPr="006E69BF" w:rsidRDefault="00141A0E" w:rsidP="007F5C0E">
            <w:pPr>
              <w:pStyle w:val="Title1"/>
            </w:pPr>
            <w:bookmarkStart w:id="8" w:name="dtitle1" w:colFirst="0" w:colLast="0"/>
            <w:bookmarkEnd w:id="6"/>
            <w:r w:rsidRPr="006E69BF">
              <w:rPr>
                <w:rFonts w:asciiTheme="minorHAnsi" w:hAnsiTheme="minorHAnsi"/>
              </w:rPr>
              <w:t>Activités de l'UIT relatives au renforcement du rôle de l'union dans l'instauration de la confiance et de la sécurité dans l'utilisation des technologies de l'information et de la communication</w:t>
            </w:r>
          </w:p>
        </w:tc>
      </w:tr>
      <w:bookmarkEnd w:id="8"/>
    </w:tbl>
    <w:p w:rsidR="00220A57" w:rsidRPr="006E69BF" w:rsidRDefault="00220A57" w:rsidP="007F5C0E"/>
    <w:tbl>
      <w:tblPr>
        <w:tblW w:w="834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5"/>
      </w:tblGrid>
      <w:tr w:rsidR="009F5CE7" w:rsidRPr="006E69BF" w:rsidTr="00731C72">
        <w:trPr>
          <w:trHeight w:val="3372"/>
        </w:trPr>
        <w:tc>
          <w:tcPr>
            <w:tcW w:w="8345" w:type="dxa"/>
            <w:tcBorders>
              <w:top w:val="single" w:sz="12" w:space="0" w:color="auto"/>
              <w:left w:val="single" w:sz="12" w:space="0" w:color="auto"/>
              <w:bottom w:val="single" w:sz="12" w:space="0" w:color="auto"/>
              <w:right w:val="single" w:sz="12" w:space="0" w:color="auto"/>
            </w:tcBorders>
          </w:tcPr>
          <w:p w:rsidR="009F5CE7" w:rsidRPr="006E69BF" w:rsidRDefault="009F5CE7" w:rsidP="007F5C0E">
            <w:pPr>
              <w:pStyle w:val="Headingb"/>
              <w:rPr>
                <w:rFonts w:asciiTheme="minorHAnsi" w:hAnsiTheme="minorHAnsi"/>
                <w:szCs w:val="24"/>
              </w:rPr>
            </w:pPr>
            <w:r w:rsidRPr="006E69BF">
              <w:rPr>
                <w:rFonts w:asciiTheme="minorHAnsi" w:hAnsiTheme="minorHAnsi"/>
                <w:szCs w:val="24"/>
              </w:rPr>
              <w:t>Résumé</w:t>
            </w:r>
          </w:p>
          <w:p w:rsidR="009F5CE7" w:rsidRPr="006E69BF" w:rsidRDefault="009F5CE7" w:rsidP="007F5C0E">
            <w:pPr>
              <w:rPr>
                <w:rFonts w:asciiTheme="minorHAnsi" w:hAnsiTheme="minorHAnsi"/>
                <w:szCs w:val="24"/>
              </w:rPr>
            </w:pPr>
            <w:r w:rsidRPr="006E69BF">
              <w:rPr>
                <w:rFonts w:asciiTheme="minorHAnsi" w:hAnsiTheme="minorHAnsi"/>
                <w:color w:val="000000"/>
              </w:rPr>
              <w:t>Le présent rapport résume les activités menées par l'UIT depuis la session de 201</w:t>
            </w:r>
            <w:r w:rsidR="004072FE" w:rsidRPr="006E69BF">
              <w:rPr>
                <w:rFonts w:asciiTheme="minorHAnsi" w:hAnsiTheme="minorHAnsi"/>
                <w:color w:val="000000"/>
              </w:rPr>
              <w:t>6</w:t>
            </w:r>
            <w:r w:rsidRPr="006E69BF">
              <w:rPr>
                <w:rFonts w:asciiTheme="minorHAnsi" w:hAnsiTheme="minorHAnsi"/>
                <w:color w:val="000000"/>
              </w:rPr>
              <w:t xml:space="preserve"> du Conseil au titre de la Résolution 130 (Rév. </w:t>
            </w:r>
            <w:r w:rsidRPr="006E69BF">
              <w:rPr>
                <w:rFonts w:asciiTheme="minorHAnsi" w:hAnsiTheme="minorHAnsi"/>
                <w:color w:val="000000"/>
                <w:szCs w:val="24"/>
              </w:rPr>
              <w:t>Busan, 2014</w:t>
            </w:r>
            <w:r w:rsidRPr="006E69BF">
              <w:rPr>
                <w:rFonts w:asciiTheme="minorHAnsi" w:hAnsiTheme="minorHAnsi"/>
                <w:color w:val="000000"/>
              </w:rPr>
              <w:t>) de la Conférence de plénipotentiaires, du rôle de l'UIT en tant que coordonnateur unique pour la grande orientation C5 du SMSI et des autres décisions prises par les membres concernant le renforcement du rôle de l'UIT dans l'instauration de la confiance et de la sécurité dans l'utilisation des technologies de l'information et de la communication (TIC)</w:t>
            </w:r>
            <w:r w:rsidRPr="006E69BF">
              <w:rPr>
                <w:rFonts w:asciiTheme="minorHAnsi" w:hAnsiTheme="minorHAnsi"/>
                <w:szCs w:val="24"/>
              </w:rPr>
              <w:t>.</w:t>
            </w:r>
          </w:p>
          <w:p w:rsidR="009F5CE7" w:rsidRPr="006E69BF" w:rsidRDefault="009F5CE7" w:rsidP="007F5C0E">
            <w:pPr>
              <w:pStyle w:val="Headingb"/>
              <w:rPr>
                <w:rFonts w:asciiTheme="minorHAnsi" w:hAnsiTheme="minorHAnsi"/>
                <w:szCs w:val="24"/>
              </w:rPr>
            </w:pPr>
            <w:r w:rsidRPr="006E69BF">
              <w:rPr>
                <w:rFonts w:asciiTheme="minorHAnsi" w:hAnsiTheme="minorHAnsi"/>
                <w:szCs w:val="24"/>
              </w:rPr>
              <w:t>Suite à donner</w:t>
            </w:r>
          </w:p>
          <w:p w:rsidR="009F5CE7" w:rsidRPr="006E69BF" w:rsidRDefault="009F5CE7" w:rsidP="007F5C0E">
            <w:pPr>
              <w:rPr>
                <w:rFonts w:asciiTheme="minorHAnsi" w:hAnsiTheme="minorHAnsi"/>
                <w:szCs w:val="24"/>
              </w:rPr>
            </w:pPr>
            <w:r w:rsidRPr="006E69BF">
              <w:rPr>
                <w:rFonts w:asciiTheme="minorHAnsi" w:hAnsiTheme="minorHAnsi"/>
                <w:szCs w:val="24"/>
              </w:rPr>
              <w:t xml:space="preserve">Le Conseil est invité à </w:t>
            </w:r>
            <w:r w:rsidRPr="006E69BF">
              <w:rPr>
                <w:rFonts w:asciiTheme="minorHAnsi" w:hAnsiTheme="minorHAnsi"/>
                <w:b/>
                <w:bCs/>
                <w:szCs w:val="24"/>
              </w:rPr>
              <w:t>prendre note</w:t>
            </w:r>
            <w:r w:rsidRPr="006E69BF">
              <w:rPr>
                <w:rFonts w:asciiTheme="minorHAnsi" w:hAnsiTheme="minorHAnsi"/>
                <w:szCs w:val="24"/>
              </w:rPr>
              <w:t xml:space="preserve"> du présent rapport.</w:t>
            </w:r>
          </w:p>
          <w:p w:rsidR="009F5CE7" w:rsidRPr="006E69BF" w:rsidRDefault="009F5CE7" w:rsidP="007F5C0E">
            <w:pPr>
              <w:pStyle w:val="Table"/>
              <w:keepNext w:val="0"/>
              <w:spacing w:before="0" w:after="0"/>
              <w:rPr>
                <w:rFonts w:asciiTheme="minorHAnsi" w:hAnsiTheme="minorHAnsi"/>
                <w:caps w:val="0"/>
                <w:szCs w:val="24"/>
                <w:lang w:val="fr-FR"/>
              </w:rPr>
            </w:pPr>
            <w:r w:rsidRPr="006E69BF">
              <w:rPr>
                <w:rFonts w:asciiTheme="minorHAnsi" w:hAnsiTheme="minorHAnsi"/>
                <w:caps w:val="0"/>
                <w:szCs w:val="24"/>
                <w:lang w:val="fr-FR"/>
              </w:rPr>
              <w:t>____________</w:t>
            </w:r>
          </w:p>
          <w:p w:rsidR="009F5CE7" w:rsidRPr="006E69BF" w:rsidRDefault="009F5CE7" w:rsidP="007F5C0E">
            <w:pPr>
              <w:pStyle w:val="Headingb"/>
              <w:rPr>
                <w:rFonts w:asciiTheme="minorHAnsi" w:hAnsiTheme="minorHAnsi"/>
                <w:szCs w:val="24"/>
              </w:rPr>
            </w:pPr>
            <w:r w:rsidRPr="006E69BF">
              <w:rPr>
                <w:rFonts w:asciiTheme="minorHAnsi" w:hAnsiTheme="minorHAnsi"/>
                <w:szCs w:val="24"/>
              </w:rPr>
              <w:t>Références</w:t>
            </w:r>
          </w:p>
          <w:p w:rsidR="009F5CE7" w:rsidRPr="006E69BF" w:rsidRDefault="00731C72" w:rsidP="007F5C0E">
            <w:pPr>
              <w:spacing w:after="120"/>
              <w:rPr>
                <w:rFonts w:asciiTheme="minorHAnsi" w:hAnsiTheme="minorHAnsi"/>
                <w:i/>
                <w:iCs/>
                <w:color w:val="000000"/>
                <w:szCs w:val="24"/>
              </w:rPr>
            </w:pPr>
            <w:hyperlink r:id="rId8" w:history="1">
              <w:r w:rsidR="009F5CE7" w:rsidRPr="006E69BF">
                <w:rPr>
                  <w:rFonts w:asciiTheme="minorHAnsi" w:hAnsiTheme="minorHAnsi"/>
                  <w:i/>
                  <w:iCs/>
                  <w:color w:val="0000FF"/>
                  <w:spacing w:val="-2"/>
                  <w:szCs w:val="24"/>
                  <w:u w:val="single"/>
                </w:rPr>
                <w:t>Résolution 71 (Rév. Busan, 2014)</w:t>
              </w:r>
            </w:hyperlink>
            <w:r w:rsidR="009F5CE7" w:rsidRPr="006E69BF">
              <w:rPr>
                <w:rFonts w:asciiTheme="minorHAnsi" w:hAnsiTheme="minorHAnsi"/>
                <w:i/>
                <w:iCs/>
                <w:color w:val="000000"/>
                <w:spacing w:val="-2"/>
                <w:szCs w:val="24"/>
              </w:rPr>
              <w:t xml:space="preserve">, </w:t>
            </w:r>
            <w:hyperlink r:id="rId9" w:history="1">
              <w:r w:rsidR="009F5CE7" w:rsidRPr="006E69BF">
                <w:rPr>
                  <w:rFonts w:asciiTheme="minorHAnsi" w:hAnsiTheme="minorHAnsi"/>
                  <w:i/>
                  <w:iCs/>
                  <w:color w:val="0000FF"/>
                  <w:spacing w:val="-2"/>
                  <w:szCs w:val="24"/>
                  <w:u w:val="single"/>
                </w:rPr>
                <w:t>Résolution 130 (Rév. Busan, 2014)</w:t>
              </w:r>
            </w:hyperlink>
            <w:r w:rsidR="009F5CE7" w:rsidRPr="006E69BF">
              <w:rPr>
                <w:rFonts w:asciiTheme="minorHAnsi" w:hAnsiTheme="minorHAnsi"/>
                <w:i/>
                <w:iCs/>
                <w:color w:val="000000"/>
                <w:spacing w:val="-2"/>
                <w:szCs w:val="24"/>
              </w:rPr>
              <w:t>,</w:t>
            </w:r>
            <w:r w:rsidR="009F5CE7" w:rsidRPr="006E69BF">
              <w:rPr>
                <w:rFonts w:asciiTheme="minorHAnsi" w:hAnsiTheme="minorHAnsi"/>
                <w:i/>
                <w:iCs/>
                <w:color w:val="000000"/>
                <w:szCs w:val="24"/>
              </w:rPr>
              <w:t xml:space="preserve"> </w:t>
            </w:r>
            <w:hyperlink r:id="rId10" w:history="1">
              <w:r w:rsidR="004072FE" w:rsidRPr="006E69BF">
                <w:rPr>
                  <w:rFonts w:asciiTheme="minorHAnsi" w:hAnsiTheme="minorHAnsi"/>
                  <w:i/>
                  <w:iCs/>
                  <w:color w:val="0000FF"/>
                  <w:spacing w:val="-2"/>
                  <w:szCs w:val="24"/>
                  <w:u w:val="single"/>
                </w:rPr>
                <w:t>Résolution 140 (Rév. Busan, 2014)</w:t>
              </w:r>
            </w:hyperlink>
            <w:r w:rsidR="004072FE" w:rsidRPr="006E69BF">
              <w:rPr>
                <w:rFonts w:asciiTheme="minorHAnsi" w:hAnsiTheme="minorHAnsi"/>
                <w:i/>
                <w:iCs/>
                <w:color w:val="000000"/>
                <w:spacing w:val="-2"/>
                <w:szCs w:val="24"/>
              </w:rPr>
              <w:t>,</w:t>
            </w:r>
            <w:r w:rsidR="004072FE" w:rsidRPr="006E69BF">
              <w:rPr>
                <w:rFonts w:asciiTheme="minorHAnsi" w:hAnsiTheme="minorHAnsi"/>
                <w:i/>
                <w:iCs/>
                <w:color w:val="000000"/>
                <w:szCs w:val="24"/>
              </w:rPr>
              <w:t xml:space="preserve"> </w:t>
            </w:r>
            <w:hyperlink r:id="rId11" w:history="1">
              <w:r w:rsidR="009F5CE7" w:rsidRPr="006E69BF">
                <w:rPr>
                  <w:rFonts w:asciiTheme="minorHAnsi" w:hAnsiTheme="minorHAnsi"/>
                  <w:i/>
                  <w:iCs/>
                  <w:color w:val="0000FF"/>
                  <w:szCs w:val="24"/>
                  <w:u w:val="single"/>
                </w:rPr>
                <w:t>Résolution 174 (Rév. Busan, 2014)</w:t>
              </w:r>
            </w:hyperlink>
            <w:r w:rsidR="004C4DBE" w:rsidRPr="006E69BF">
              <w:rPr>
                <w:rFonts w:asciiTheme="minorHAnsi" w:hAnsiTheme="minorHAnsi"/>
                <w:i/>
                <w:iCs/>
                <w:szCs w:val="24"/>
              </w:rPr>
              <w:t xml:space="preserve"> et </w:t>
            </w:r>
            <w:hyperlink r:id="rId12" w:history="1">
              <w:r w:rsidR="004C4DBE" w:rsidRPr="006E69BF">
                <w:rPr>
                  <w:rFonts w:asciiTheme="minorHAnsi" w:hAnsiTheme="minorHAnsi"/>
                  <w:i/>
                  <w:iCs/>
                  <w:color w:val="0000FF"/>
                  <w:szCs w:val="24"/>
                  <w:u w:val="single"/>
                </w:rPr>
                <w:t>Résolution 179 (Rév. Busan, 2014)</w:t>
              </w:r>
            </w:hyperlink>
            <w:r w:rsidR="004C4DBE" w:rsidRPr="006E69BF">
              <w:rPr>
                <w:rFonts w:asciiTheme="minorHAnsi" w:hAnsiTheme="minorHAnsi"/>
                <w:i/>
                <w:iCs/>
                <w:szCs w:val="24"/>
              </w:rPr>
              <w:t xml:space="preserve"> </w:t>
            </w:r>
            <w:r w:rsidR="004C4DBE" w:rsidRPr="006E69BF">
              <w:rPr>
                <w:rFonts w:asciiTheme="minorHAnsi" w:hAnsiTheme="minorHAnsi"/>
                <w:i/>
                <w:iCs/>
                <w:color w:val="000000"/>
                <w:szCs w:val="24"/>
              </w:rPr>
              <w:t>de la Conférence de plénipotentiaires,</w:t>
            </w:r>
            <w:r w:rsidR="009F5CE7" w:rsidRPr="006E69BF">
              <w:rPr>
                <w:rFonts w:asciiTheme="minorHAnsi" w:hAnsiTheme="minorHAnsi"/>
                <w:i/>
                <w:iCs/>
                <w:color w:val="000000"/>
                <w:szCs w:val="24"/>
              </w:rPr>
              <w:t xml:space="preserve"> </w:t>
            </w:r>
            <w:hyperlink r:id="rId13" w:anchor="res181" w:history="1">
              <w:r w:rsidR="009F5CE7" w:rsidRPr="006E69BF">
                <w:rPr>
                  <w:rFonts w:asciiTheme="minorHAnsi" w:hAnsiTheme="minorHAnsi"/>
                  <w:i/>
                  <w:iCs/>
                  <w:color w:val="0000FF"/>
                  <w:szCs w:val="24"/>
                  <w:u w:val="single"/>
                </w:rPr>
                <w:t>Résolution</w:t>
              </w:r>
              <w:r w:rsidR="004072FE" w:rsidRPr="006E69BF">
                <w:rPr>
                  <w:rFonts w:asciiTheme="minorHAnsi" w:hAnsiTheme="minorHAnsi"/>
                  <w:i/>
                  <w:iCs/>
                  <w:color w:val="0000FF"/>
                  <w:szCs w:val="24"/>
                  <w:u w:val="single"/>
                </w:rPr>
                <w:t> </w:t>
              </w:r>
              <w:r w:rsidR="009F5CE7" w:rsidRPr="006E69BF">
                <w:rPr>
                  <w:rFonts w:asciiTheme="minorHAnsi" w:hAnsiTheme="minorHAnsi"/>
                  <w:i/>
                  <w:iCs/>
                  <w:color w:val="0000FF"/>
                  <w:szCs w:val="24"/>
                  <w:u w:val="single"/>
                </w:rPr>
                <w:t>181 (Guadalajara, 2010)</w:t>
              </w:r>
            </w:hyperlink>
            <w:r w:rsidR="009F5CE7" w:rsidRPr="006E69BF">
              <w:rPr>
                <w:rFonts w:asciiTheme="minorHAnsi" w:hAnsiTheme="minorHAnsi"/>
                <w:i/>
                <w:iCs/>
                <w:color w:val="000000"/>
                <w:szCs w:val="24"/>
              </w:rPr>
              <w:t xml:space="preserve">, </w:t>
            </w:r>
            <w:hyperlink r:id="rId14" w:history="1">
              <w:r w:rsidR="004072FE" w:rsidRPr="006E69BF">
                <w:rPr>
                  <w:rFonts w:asciiTheme="minorHAnsi" w:hAnsiTheme="minorHAnsi"/>
                  <w:i/>
                  <w:iCs/>
                  <w:color w:val="0000FF"/>
                  <w:szCs w:val="24"/>
                  <w:u w:val="single"/>
                </w:rPr>
                <w:t>Règlement</w:t>
              </w:r>
            </w:hyperlink>
            <w:r w:rsidR="004072FE" w:rsidRPr="006E69BF">
              <w:rPr>
                <w:rFonts w:asciiTheme="minorHAnsi" w:hAnsiTheme="minorHAnsi"/>
                <w:i/>
                <w:iCs/>
                <w:color w:val="0000FF"/>
                <w:szCs w:val="24"/>
                <w:u w:val="single"/>
              </w:rPr>
              <w:t xml:space="preserve"> des télécommunications internationales</w:t>
            </w:r>
            <w:r w:rsidR="004072FE" w:rsidRPr="006E69BF">
              <w:rPr>
                <w:rFonts w:asciiTheme="minorHAnsi" w:hAnsiTheme="minorHAnsi"/>
                <w:i/>
                <w:iCs/>
                <w:color w:val="000000"/>
                <w:szCs w:val="24"/>
              </w:rPr>
              <w:t xml:space="preserve"> (</w:t>
            </w:r>
            <w:proofErr w:type="spellStart"/>
            <w:r w:rsidR="004072FE" w:rsidRPr="006E69BF">
              <w:rPr>
                <w:rFonts w:asciiTheme="minorHAnsi" w:hAnsiTheme="minorHAnsi"/>
                <w:i/>
                <w:iCs/>
                <w:color w:val="000000"/>
                <w:szCs w:val="24"/>
              </w:rPr>
              <w:t>Rév.Dubaï</w:t>
            </w:r>
            <w:proofErr w:type="spellEnd"/>
            <w:r w:rsidR="004072FE" w:rsidRPr="006E69BF">
              <w:rPr>
                <w:rFonts w:asciiTheme="minorHAnsi" w:hAnsiTheme="minorHAnsi"/>
                <w:i/>
                <w:iCs/>
                <w:color w:val="000000"/>
                <w:szCs w:val="24"/>
              </w:rPr>
              <w:t>, 2012),</w:t>
            </w:r>
            <w:r w:rsidR="004072FE" w:rsidRPr="006E69BF">
              <w:t xml:space="preserve"> </w:t>
            </w:r>
            <w:hyperlink r:id="rId15" w:history="1">
              <w:r w:rsidR="004072FE" w:rsidRPr="00E0351B">
                <w:rPr>
                  <w:rStyle w:val="Hyperlink"/>
                  <w:rFonts w:asciiTheme="minorHAnsi" w:hAnsiTheme="minorHAnsi"/>
                  <w:i/>
                  <w:iCs/>
                  <w:szCs w:val="24"/>
                </w:rPr>
                <w:t>Résolution 1306 du Conseil</w:t>
              </w:r>
            </w:hyperlink>
            <w:r w:rsidR="004072FE" w:rsidRPr="006E69BF">
              <w:rPr>
                <w:rFonts w:asciiTheme="minorHAnsi" w:hAnsiTheme="minorHAnsi"/>
                <w:i/>
                <w:iCs/>
                <w:color w:val="000000"/>
                <w:szCs w:val="24"/>
              </w:rPr>
              <w:t xml:space="preserve">, </w:t>
            </w:r>
            <w:r w:rsidR="004072FE" w:rsidRPr="006E69BF">
              <w:rPr>
                <w:rFonts w:asciiTheme="minorHAnsi" w:hAnsiTheme="minorHAnsi"/>
                <w:i/>
                <w:iCs/>
                <w:color w:val="000000"/>
              </w:rPr>
              <w:t xml:space="preserve">Résolutions </w:t>
            </w:r>
            <w:hyperlink r:id="rId16" w:history="1">
              <w:r w:rsidR="004072FE" w:rsidRPr="006E69BF">
                <w:rPr>
                  <w:rFonts w:asciiTheme="minorHAnsi" w:hAnsiTheme="minorHAnsi"/>
                  <w:i/>
                  <w:iCs/>
                  <w:color w:val="0000FF"/>
                  <w:szCs w:val="24"/>
                  <w:u w:val="single"/>
                </w:rPr>
                <w:t>2</w:t>
              </w:r>
            </w:hyperlink>
            <w:r w:rsidR="004072FE" w:rsidRPr="006E69BF">
              <w:rPr>
                <w:i/>
                <w:iCs/>
              </w:rPr>
              <w:t xml:space="preserve">, </w:t>
            </w:r>
            <w:hyperlink r:id="rId17" w:history="1">
              <w:r w:rsidR="004072FE" w:rsidRPr="00E0351B">
                <w:rPr>
                  <w:rStyle w:val="Hyperlink"/>
                  <w:rFonts w:asciiTheme="minorHAnsi" w:hAnsiTheme="minorHAnsi"/>
                  <w:i/>
                  <w:iCs/>
                  <w:szCs w:val="24"/>
                </w:rPr>
                <w:t>45</w:t>
              </w:r>
            </w:hyperlink>
            <w:r w:rsidR="004072FE" w:rsidRPr="006E69BF">
              <w:rPr>
                <w:i/>
                <w:iCs/>
              </w:rPr>
              <w:t xml:space="preserve">, </w:t>
            </w:r>
            <w:hyperlink r:id="rId18" w:history="1">
              <w:r w:rsidR="004072FE" w:rsidRPr="00E0351B">
                <w:rPr>
                  <w:rStyle w:val="Hyperlink"/>
                  <w:rFonts w:asciiTheme="minorHAnsi" w:hAnsiTheme="minorHAnsi"/>
                  <w:i/>
                  <w:iCs/>
                  <w:szCs w:val="24"/>
                </w:rPr>
                <w:t>67</w:t>
              </w:r>
            </w:hyperlink>
            <w:r w:rsidR="004072FE" w:rsidRPr="006E69BF">
              <w:rPr>
                <w:rFonts w:asciiTheme="minorHAnsi" w:hAnsiTheme="minorHAnsi"/>
                <w:i/>
                <w:iCs/>
                <w:color w:val="000000"/>
              </w:rPr>
              <w:t xml:space="preserve"> et </w:t>
            </w:r>
            <w:hyperlink r:id="rId19" w:history="1">
              <w:r w:rsidR="004072FE" w:rsidRPr="006E69BF">
                <w:rPr>
                  <w:rFonts w:asciiTheme="minorHAnsi" w:hAnsiTheme="minorHAnsi"/>
                  <w:i/>
                  <w:iCs/>
                  <w:color w:val="0000FF"/>
                  <w:szCs w:val="24"/>
                  <w:u w:val="single"/>
                </w:rPr>
                <w:t>69</w:t>
              </w:r>
            </w:hyperlink>
            <w:r w:rsidR="00155189" w:rsidRPr="00155189">
              <w:rPr>
                <w:i/>
                <w:iCs/>
              </w:rPr>
              <w:t xml:space="preserve"> </w:t>
            </w:r>
            <w:r w:rsidR="007F5C0E" w:rsidRPr="006E69BF">
              <w:rPr>
                <w:rFonts w:asciiTheme="minorHAnsi" w:hAnsiTheme="minorHAnsi"/>
                <w:i/>
                <w:iCs/>
                <w:color w:val="000000"/>
              </w:rPr>
              <w:t xml:space="preserve">(Rév. Dubaï, 2014) </w:t>
            </w:r>
            <w:r w:rsidR="004072FE" w:rsidRPr="006E69BF">
              <w:rPr>
                <w:rFonts w:asciiTheme="minorHAnsi" w:hAnsiTheme="minorHAnsi"/>
                <w:i/>
                <w:iCs/>
                <w:color w:val="000000"/>
              </w:rPr>
              <w:t>de la CMDT</w:t>
            </w:r>
            <w:r w:rsidR="00DD6246" w:rsidRPr="006E69BF">
              <w:rPr>
                <w:rFonts w:asciiTheme="minorHAnsi" w:hAnsiTheme="minorHAnsi"/>
                <w:i/>
                <w:iCs/>
                <w:color w:val="000000"/>
              </w:rPr>
              <w:t xml:space="preserve">, </w:t>
            </w:r>
            <w:hyperlink r:id="rId20" w:history="1">
              <w:r w:rsidR="00DD6246" w:rsidRPr="006E69BF">
                <w:rPr>
                  <w:i/>
                  <w:iCs/>
                  <w:color w:val="0000FF"/>
                  <w:szCs w:val="24"/>
                  <w:u w:val="single"/>
                </w:rPr>
                <w:t>Objectif 3</w:t>
              </w:r>
            </w:hyperlink>
            <w:r w:rsidR="00DD6246" w:rsidRPr="006E69BF">
              <w:rPr>
                <w:rFonts w:asciiTheme="minorHAnsi" w:hAnsiTheme="minorHAnsi"/>
                <w:i/>
                <w:iCs/>
                <w:color w:val="000000"/>
              </w:rPr>
              <w:t xml:space="preserve"> du Plan d'action de Dubaï (PAD) de la CMDT-14</w:t>
            </w:r>
            <w:r w:rsidR="001C0138" w:rsidRPr="006E69BF">
              <w:rPr>
                <w:rFonts w:asciiTheme="minorHAnsi" w:hAnsiTheme="minorHAnsi"/>
                <w:i/>
                <w:iCs/>
                <w:color w:val="000000"/>
              </w:rPr>
              <w:t xml:space="preserve">, Résolutions </w:t>
            </w:r>
            <w:hyperlink r:id="rId21" w:history="1">
              <w:r w:rsidR="001C0138" w:rsidRPr="006E69BF">
                <w:rPr>
                  <w:rFonts w:asciiTheme="minorHAnsi" w:hAnsiTheme="minorHAnsi"/>
                  <w:i/>
                  <w:iCs/>
                  <w:color w:val="0000FF"/>
                  <w:spacing w:val="2"/>
                  <w:szCs w:val="24"/>
                  <w:u w:val="single"/>
                </w:rPr>
                <w:t>50</w:t>
              </w:r>
            </w:hyperlink>
            <w:r w:rsidR="001C0138" w:rsidRPr="006E69BF">
              <w:rPr>
                <w:rFonts w:asciiTheme="minorHAnsi" w:hAnsiTheme="minorHAnsi"/>
                <w:i/>
                <w:iCs/>
                <w:color w:val="000000"/>
              </w:rPr>
              <w:t xml:space="preserve">, </w:t>
            </w:r>
            <w:hyperlink r:id="rId22" w:history="1">
              <w:r w:rsidR="001C0138" w:rsidRPr="006E69BF">
                <w:rPr>
                  <w:rFonts w:asciiTheme="minorHAnsi" w:hAnsiTheme="minorHAnsi"/>
                  <w:i/>
                  <w:iCs/>
                  <w:color w:val="0000FF"/>
                  <w:spacing w:val="2"/>
                  <w:szCs w:val="24"/>
                  <w:u w:val="single"/>
                </w:rPr>
                <w:t>52</w:t>
              </w:r>
            </w:hyperlink>
            <w:r w:rsidR="001C0138" w:rsidRPr="006E69BF">
              <w:rPr>
                <w:rFonts w:asciiTheme="minorHAnsi" w:hAnsiTheme="minorHAnsi"/>
                <w:i/>
                <w:iCs/>
                <w:color w:val="000000"/>
              </w:rPr>
              <w:t xml:space="preserve"> et </w:t>
            </w:r>
            <w:hyperlink r:id="rId23" w:history="1">
              <w:r w:rsidR="001C0138" w:rsidRPr="006E69BF">
                <w:rPr>
                  <w:rStyle w:val="Hyperlink"/>
                  <w:rFonts w:asciiTheme="minorHAnsi" w:hAnsiTheme="minorHAnsi"/>
                  <w:i/>
                  <w:iCs/>
                </w:rPr>
                <w:t>75</w:t>
              </w:r>
            </w:hyperlink>
            <w:r w:rsidR="001C0138" w:rsidRPr="006E69BF">
              <w:rPr>
                <w:rFonts w:asciiTheme="minorHAnsi" w:hAnsiTheme="minorHAnsi"/>
                <w:i/>
                <w:iCs/>
                <w:color w:val="000000"/>
              </w:rPr>
              <w:t xml:space="preserve"> </w:t>
            </w:r>
            <w:r w:rsidR="007F5C0E" w:rsidRPr="006E69BF">
              <w:rPr>
                <w:rFonts w:asciiTheme="minorHAnsi" w:hAnsiTheme="minorHAnsi"/>
                <w:i/>
                <w:iCs/>
                <w:color w:val="000000"/>
              </w:rPr>
              <w:t>(Rév. Hammamet, 2016) et</w:t>
            </w:r>
            <w:r w:rsidR="001C0138" w:rsidRPr="006E69BF">
              <w:rPr>
                <w:rFonts w:asciiTheme="minorHAnsi" w:hAnsiTheme="minorHAnsi"/>
                <w:i/>
                <w:iCs/>
                <w:color w:val="000000"/>
              </w:rPr>
              <w:t xml:space="preserve"> </w:t>
            </w:r>
            <w:hyperlink r:id="rId24" w:history="1">
              <w:r w:rsidR="001C0138" w:rsidRPr="006E69BF">
                <w:rPr>
                  <w:rStyle w:val="Hyperlink"/>
                  <w:rFonts w:asciiTheme="minorHAnsi" w:hAnsiTheme="minorHAnsi"/>
                  <w:i/>
                  <w:iCs/>
                </w:rPr>
                <w:t>58</w:t>
              </w:r>
            </w:hyperlink>
            <w:r w:rsidR="001C0138" w:rsidRPr="006E69BF">
              <w:rPr>
                <w:rFonts w:asciiTheme="minorHAnsi" w:hAnsiTheme="minorHAnsi"/>
                <w:i/>
                <w:iCs/>
                <w:color w:val="000000"/>
              </w:rPr>
              <w:t xml:space="preserve"> (Rév. Dubaï, 2012)</w:t>
            </w:r>
            <w:r w:rsidR="007F5C0E" w:rsidRPr="006E69BF">
              <w:rPr>
                <w:rFonts w:asciiTheme="minorHAnsi" w:hAnsiTheme="minorHAnsi"/>
                <w:i/>
                <w:iCs/>
                <w:color w:val="000000"/>
              </w:rPr>
              <w:t xml:space="preserve"> de l'AMNT</w:t>
            </w:r>
            <w:r w:rsidR="001C0138" w:rsidRPr="006E69BF">
              <w:rPr>
                <w:rFonts w:asciiTheme="minorHAnsi" w:hAnsiTheme="minorHAnsi"/>
                <w:i/>
                <w:iCs/>
                <w:color w:val="000000"/>
              </w:rPr>
              <w:t xml:space="preserve">, </w:t>
            </w:r>
            <w:r w:rsidR="003305B9" w:rsidRPr="006E69BF">
              <w:rPr>
                <w:rFonts w:asciiTheme="minorHAnsi" w:hAnsiTheme="minorHAnsi"/>
                <w:i/>
                <w:iCs/>
                <w:color w:val="000000"/>
              </w:rPr>
              <w:t xml:space="preserve">Documents </w:t>
            </w:r>
            <w:hyperlink r:id="rId25" w:history="1">
              <w:r w:rsidR="003305B9" w:rsidRPr="006E69BF">
                <w:rPr>
                  <w:rFonts w:asciiTheme="minorHAnsi" w:hAnsiTheme="minorHAnsi"/>
                  <w:i/>
                  <w:iCs/>
                  <w:color w:val="0000FF"/>
                  <w:szCs w:val="24"/>
                  <w:u w:val="single"/>
                </w:rPr>
                <w:t>C05/32</w:t>
              </w:r>
            </w:hyperlink>
            <w:r w:rsidR="003305B9" w:rsidRPr="006E69BF">
              <w:rPr>
                <w:rFonts w:asciiTheme="minorHAnsi" w:hAnsiTheme="minorHAnsi"/>
                <w:i/>
                <w:iCs/>
                <w:color w:val="000000"/>
                <w:szCs w:val="24"/>
              </w:rPr>
              <w:t xml:space="preserve">, </w:t>
            </w:r>
            <w:hyperlink r:id="rId26" w:history="1">
              <w:r w:rsidR="007F5C0E" w:rsidRPr="006E69BF">
                <w:rPr>
                  <w:rFonts w:asciiTheme="minorHAnsi" w:hAnsiTheme="minorHAnsi"/>
                  <w:i/>
                  <w:iCs/>
                  <w:color w:val="0000FF"/>
                  <w:szCs w:val="24"/>
                  <w:u w:val="single"/>
                </w:rPr>
                <w:t>C05/INF</w:t>
              </w:r>
              <w:r w:rsidR="003305B9" w:rsidRPr="006E69BF">
                <w:rPr>
                  <w:rFonts w:asciiTheme="minorHAnsi" w:hAnsiTheme="minorHAnsi"/>
                  <w:i/>
                  <w:iCs/>
                  <w:color w:val="0000FF"/>
                  <w:szCs w:val="24"/>
                  <w:u w:val="single"/>
                </w:rPr>
                <w:t>/10</w:t>
              </w:r>
            </w:hyperlink>
            <w:r w:rsidR="003305B9" w:rsidRPr="006E69BF">
              <w:rPr>
                <w:rFonts w:asciiTheme="minorHAnsi" w:hAnsiTheme="minorHAnsi"/>
                <w:i/>
                <w:iCs/>
                <w:color w:val="000000"/>
                <w:szCs w:val="24"/>
              </w:rPr>
              <w:t xml:space="preserve">, </w:t>
            </w:r>
            <w:hyperlink r:id="rId27" w:history="1">
              <w:r w:rsidR="003305B9" w:rsidRPr="006E69BF">
                <w:rPr>
                  <w:rFonts w:asciiTheme="minorHAnsi" w:hAnsiTheme="minorHAnsi"/>
                  <w:i/>
                  <w:iCs/>
                  <w:color w:val="0000FF"/>
                  <w:szCs w:val="24"/>
                  <w:u w:val="single"/>
                </w:rPr>
                <w:t>C06/4</w:t>
              </w:r>
            </w:hyperlink>
            <w:r w:rsidR="003305B9" w:rsidRPr="006E69BF">
              <w:rPr>
                <w:rFonts w:asciiTheme="minorHAnsi" w:hAnsiTheme="minorHAnsi"/>
                <w:i/>
                <w:iCs/>
                <w:color w:val="000000"/>
                <w:szCs w:val="24"/>
              </w:rPr>
              <w:t xml:space="preserve">, </w:t>
            </w:r>
            <w:hyperlink r:id="rId28" w:history="1">
              <w:r w:rsidR="003305B9" w:rsidRPr="006E69BF">
                <w:rPr>
                  <w:rFonts w:asciiTheme="minorHAnsi" w:hAnsiTheme="minorHAnsi"/>
                  <w:i/>
                  <w:iCs/>
                  <w:color w:val="0000FF"/>
                  <w:szCs w:val="24"/>
                  <w:u w:val="single"/>
                </w:rPr>
                <w:t>C07/21</w:t>
              </w:r>
            </w:hyperlink>
            <w:r w:rsidR="003305B9" w:rsidRPr="006E69BF">
              <w:rPr>
                <w:rFonts w:asciiTheme="minorHAnsi" w:hAnsiTheme="minorHAnsi"/>
                <w:i/>
                <w:iCs/>
                <w:color w:val="000000"/>
                <w:szCs w:val="24"/>
              </w:rPr>
              <w:t xml:space="preserve">, </w:t>
            </w:r>
            <w:hyperlink r:id="rId29" w:history="1">
              <w:r w:rsidR="003305B9" w:rsidRPr="006E69BF">
                <w:rPr>
                  <w:rFonts w:asciiTheme="minorHAnsi" w:hAnsiTheme="minorHAnsi"/>
                  <w:i/>
                  <w:iCs/>
                  <w:color w:val="0000FF"/>
                  <w:szCs w:val="24"/>
                  <w:u w:val="single"/>
                </w:rPr>
                <w:t>C08/33</w:t>
              </w:r>
            </w:hyperlink>
            <w:r w:rsidR="003305B9" w:rsidRPr="006E69BF">
              <w:rPr>
                <w:rFonts w:asciiTheme="minorHAnsi" w:hAnsiTheme="minorHAnsi"/>
                <w:i/>
                <w:iCs/>
                <w:color w:val="000000"/>
                <w:szCs w:val="24"/>
              </w:rPr>
              <w:t xml:space="preserve">, </w:t>
            </w:r>
            <w:hyperlink r:id="rId30" w:history="1">
              <w:r w:rsidR="003305B9" w:rsidRPr="006E69BF">
                <w:rPr>
                  <w:rFonts w:asciiTheme="minorHAnsi" w:hAnsiTheme="minorHAnsi"/>
                  <w:i/>
                  <w:iCs/>
                  <w:color w:val="0000FF"/>
                  <w:szCs w:val="24"/>
                  <w:u w:val="single"/>
                </w:rPr>
                <w:t>C09/50</w:t>
              </w:r>
            </w:hyperlink>
            <w:r w:rsidR="003305B9" w:rsidRPr="006E69BF">
              <w:rPr>
                <w:rFonts w:asciiTheme="minorHAnsi" w:hAnsiTheme="minorHAnsi"/>
                <w:i/>
                <w:iCs/>
                <w:szCs w:val="24"/>
              </w:rPr>
              <w:t xml:space="preserve">, </w:t>
            </w:r>
            <w:hyperlink r:id="rId31" w:history="1">
              <w:r w:rsidR="003305B9" w:rsidRPr="006E69BF">
                <w:rPr>
                  <w:rFonts w:asciiTheme="minorHAnsi" w:hAnsiTheme="minorHAnsi"/>
                  <w:i/>
                  <w:iCs/>
                  <w:color w:val="0000FF"/>
                  <w:szCs w:val="24"/>
                  <w:u w:val="single"/>
                </w:rPr>
                <w:t>C10/12</w:t>
              </w:r>
            </w:hyperlink>
            <w:r w:rsidR="003305B9" w:rsidRPr="006E69BF">
              <w:rPr>
                <w:rFonts w:asciiTheme="minorHAnsi" w:hAnsiTheme="minorHAnsi"/>
                <w:i/>
                <w:iCs/>
                <w:color w:val="0000FF"/>
                <w:szCs w:val="24"/>
              </w:rPr>
              <w:t xml:space="preserve">, </w:t>
            </w:r>
            <w:hyperlink r:id="rId32" w:history="1">
              <w:r w:rsidR="003305B9" w:rsidRPr="006E69BF">
                <w:rPr>
                  <w:rFonts w:asciiTheme="minorHAnsi" w:hAnsiTheme="minorHAnsi"/>
                  <w:i/>
                  <w:iCs/>
                  <w:color w:val="0000FF"/>
                  <w:szCs w:val="24"/>
                  <w:u w:val="single"/>
                </w:rPr>
                <w:t>C11/54</w:t>
              </w:r>
            </w:hyperlink>
            <w:r w:rsidR="003305B9" w:rsidRPr="006E69BF">
              <w:rPr>
                <w:rFonts w:asciiTheme="minorHAnsi" w:hAnsiTheme="minorHAnsi"/>
                <w:i/>
                <w:iCs/>
                <w:color w:val="0000FF"/>
                <w:szCs w:val="24"/>
              </w:rPr>
              <w:t xml:space="preserve">, </w:t>
            </w:r>
            <w:hyperlink r:id="rId33" w:history="1">
              <w:r w:rsidR="003305B9" w:rsidRPr="006E69BF">
                <w:rPr>
                  <w:rFonts w:asciiTheme="minorHAnsi" w:hAnsiTheme="minorHAnsi"/>
                  <w:i/>
                  <w:iCs/>
                  <w:color w:val="0000FF"/>
                  <w:szCs w:val="24"/>
                  <w:u w:val="single"/>
                </w:rPr>
                <w:t>C12/29</w:t>
              </w:r>
            </w:hyperlink>
            <w:r w:rsidR="003305B9" w:rsidRPr="006E69BF">
              <w:rPr>
                <w:rFonts w:asciiTheme="minorHAnsi" w:hAnsiTheme="minorHAnsi"/>
                <w:i/>
                <w:iCs/>
                <w:color w:val="0000FF"/>
                <w:szCs w:val="24"/>
              </w:rPr>
              <w:t xml:space="preserve">, </w:t>
            </w:r>
            <w:hyperlink r:id="rId34" w:history="1">
              <w:r w:rsidR="003305B9" w:rsidRPr="006E69BF">
                <w:rPr>
                  <w:rFonts w:asciiTheme="minorHAnsi" w:hAnsiTheme="minorHAnsi"/>
                  <w:i/>
                  <w:iCs/>
                  <w:color w:val="0000FF"/>
                  <w:szCs w:val="24"/>
                  <w:u w:val="single"/>
                </w:rPr>
                <w:t>C13/23</w:t>
              </w:r>
            </w:hyperlink>
            <w:r w:rsidR="003305B9" w:rsidRPr="006E69BF">
              <w:rPr>
                <w:rFonts w:asciiTheme="minorHAnsi" w:hAnsiTheme="minorHAnsi"/>
                <w:i/>
                <w:iCs/>
                <w:color w:val="0000FF"/>
                <w:szCs w:val="24"/>
              </w:rPr>
              <w:t xml:space="preserve">, </w:t>
            </w:r>
            <w:hyperlink r:id="rId35" w:history="1">
              <w:r w:rsidR="003305B9" w:rsidRPr="006E69BF">
                <w:rPr>
                  <w:rFonts w:asciiTheme="minorHAnsi" w:hAnsiTheme="minorHAnsi"/>
                  <w:i/>
                  <w:iCs/>
                  <w:color w:val="0000FF"/>
                  <w:szCs w:val="24"/>
                  <w:u w:val="single"/>
                </w:rPr>
                <w:t>C14/23</w:t>
              </w:r>
            </w:hyperlink>
            <w:r w:rsidR="007F5C0E" w:rsidRPr="006E69BF">
              <w:rPr>
                <w:rFonts w:asciiTheme="minorHAnsi" w:hAnsiTheme="minorHAnsi"/>
                <w:i/>
                <w:iCs/>
                <w:szCs w:val="24"/>
              </w:rPr>
              <w:t>,</w:t>
            </w:r>
            <w:r w:rsidR="003305B9" w:rsidRPr="006E69BF">
              <w:rPr>
                <w:rFonts w:asciiTheme="minorHAnsi" w:hAnsiTheme="minorHAnsi"/>
                <w:i/>
                <w:iCs/>
                <w:szCs w:val="24"/>
              </w:rPr>
              <w:t xml:space="preserve"> </w:t>
            </w:r>
            <w:hyperlink r:id="rId36" w:history="1">
              <w:r w:rsidR="003305B9" w:rsidRPr="006E69BF">
                <w:rPr>
                  <w:rStyle w:val="Hyperlink"/>
                  <w:rFonts w:asciiTheme="minorHAnsi" w:hAnsiTheme="minorHAnsi"/>
                  <w:i/>
                  <w:iCs/>
                  <w:szCs w:val="24"/>
                </w:rPr>
                <w:t>C15/18</w:t>
              </w:r>
            </w:hyperlink>
            <w:r w:rsidR="003305B9" w:rsidRPr="006E69BF">
              <w:rPr>
                <w:rFonts w:asciiTheme="minorHAnsi" w:hAnsiTheme="minorHAnsi"/>
                <w:i/>
                <w:iCs/>
                <w:color w:val="000000"/>
              </w:rPr>
              <w:t xml:space="preserve"> et </w:t>
            </w:r>
            <w:hyperlink r:id="rId37" w:history="1">
              <w:r w:rsidR="003305B9" w:rsidRPr="006E69BF">
                <w:rPr>
                  <w:rStyle w:val="Hyperlink"/>
                  <w:rFonts w:asciiTheme="minorHAnsi" w:hAnsiTheme="minorHAnsi"/>
                  <w:i/>
                  <w:iCs/>
                </w:rPr>
                <w:t>C16/18</w:t>
              </w:r>
            </w:hyperlink>
            <w:r w:rsidR="003305B9" w:rsidRPr="006E69BF">
              <w:rPr>
                <w:rFonts w:asciiTheme="minorHAnsi" w:hAnsiTheme="minorHAnsi"/>
                <w:i/>
                <w:iCs/>
                <w:color w:val="000000"/>
              </w:rPr>
              <w:t xml:space="preserve"> du Conseil</w:t>
            </w:r>
            <w:r w:rsidR="007F5C0E" w:rsidRPr="006E69BF">
              <w:rPr>
                <w:rFonts w:asciiTheme="minorHAnsi" w:hAnsiTheme="minorHAnsi"/>
                <w:i/>
                <w:iCs/>
                <w:color w:val="000000"/>
              </w:rPr>
              <w:t>.</w:t>
            </w:r>
          </w:p>
        </w:tc>
      </w:tr>
    </w:tbl>
    <w:p w:rsidR="009F5CE7" w:rsidRPr="006E69BF" w:rsidRDefault="009F5CE7" w:rsidP="00FC60E0">
      <w:r w:rsidRPr="006E69BF">
        <w:br w:type="page"/>
      </w:r>
    </w:p>
    <w:p w:rsidR="009F5CE7" w:rsidRPr="006E69BF" w:rsidRDefault="009F5CE7" w:rsidP="0024677E">
      <w:pPr>
        <w:pStyle w:val="Heading1"/>
      </w:pPr>
      <w:r w:rsidRPr="006E69BF">
        <w:lastRenderedPageBreak/>
        <w:t>1</w:t>
      </w:r>
      <w:r w:rsidRPr="006E69BF">
        <w:tab/>
        <w:t xml:space="preserve">Activités relatives à la </w:t>
      </w:r>
      <w:proofErr w:type="spellStart"/>
      <w:r w:rsidRPr="0024677E">
        <w:t>cybersécurité</w:t>
      </w:r>
      <w:proofErr w:type="spellEnd"/>
      <w:r w:rsidRPr="006E69BF">
        <w:t xml:space="preserve"> et à la lutte contre le spam </w:t>
      </w:r>
    </w:p>
    <w:p w:rsidR="009F5CE7" w:rsidRPr="006E69BF" w:rsidRDefault="009F5CE7" w:rsidP="00FC60E0">
      <w:pPr>
        <w:rPr>
          <w:szCs w:val="24"/>
        </w:rPr>
      </w:pPr>
      <w:r w:rsidRPr="006E69BF">
        <w:rPr>
          <w:szCs w:val="24"/>
        </w:rPr>
        <w:t>1.1</w:t>
      </w:r>
      <w:r w:rsidRPr="006E69BF">
        <w:rPr>
          <w:szCs w:val="24"/>
        </w:rPr>
        <w:tab/>
      </w:r>
      <w:r w:rsidRPr="006E69BF">
        <w:t>Le développement des TIC, étayé par la sécurité et la confiance, est reconnu comme un facteur essentiel du développement durable.</w:t>
      </w:r>
      <w:r w:rsidRPr="006E69BF">
        <w:rPr>
          <w:szCs w:val="24"/>
        </w:rPr>
        <w:t xml:space="preserve"> </w:t>
      </w:r>
      <w:r w:rsidRPr="006E69BF">
        <w:t xml:space="preserve">Le présent rapport, qui s'articule autour des cinq piliers du </w:t>
      </w:r>
      <w:hyperlink r:id="rId38" w:history="1">
        <w:r w:rsidRPr="006E69BF">
          <w:rPr>
            <w:rStyle w:val="Hyperlink"/>
            <w:rFonts w:asciiTheme="minorHAnsi" w:hAnsiTheme="minorHAnsi"/>
          </w:rPr>
          <w:t xml:space="preserve">Programme mondial </w:t>
        </w:r>
        <w:proofErr w:type="spellStart"/>
        <w:r w:rsidRPr="006E69BF">
          <w:rPr>
            <w:rStyle w:val="Hyperlink"/>
            <w:rFonts w:asciiTheme="minorHAnsi" w:hAnsiTheme="minorHAnsi"/>
          </w:rPr>
          <w:t>cybersécurité</w:t>
        </w:r>
        <w:proofErr w:type="spellEnd"/>
        <w:r w:rsidRPr="006E69BF">
          <w:rPr>
            <w:rStyle w:val="Hyperlink"/>
            <w:rFonts w:asciiTheme="minorHAnsi" w:hAnsiTheme="minorHAnsi"/>
          </w:rPr>
          <w:t xml:space="preserve"> (GCA)</w:t>
        </w:r>
      </w:hyperlink>
      <w:r w:rsidRPr="006E69BF">
        <w:t xml:space="preserve">, fait apparaître la complémentarité des programmes de travail existants de l'UIT et vise à faciliter la mise en </w:t>
      </w:r>
      <w:proofErr w:type="spellStart"/>
      <w:r w:rsidRPr="006E69BF">
        <w:t>oeuvre</w:t>
      </w:r>
      <w:proofErr w:type="spellEnd"/>
      <w:r w:rsidRPr="006E69BF">
        <w:t xml:space="preserve"> des activités menées par le BDT, le TSB et le BR dans ce domaine. </w:t>
      </w:r>
    </w:p>
    <w:p w:rsidR="009F5CE7" w:rsidRPr="006E69BF" w:rsidRDefault="009F5CE7" w:rsidP="0024677E">
      <w:pPr>
        <w:pStyle w:val="Heading1"/>
      </w:pPr>
      <w:r w:rsidRPr="006E69BF">
        <w:t>2</w:t>
      </w:r>
      <w:r w:rsidRPr="006E69BF">
        <w:tab/>
        <w:t>Cadre législatif</w:t>
      </w:r>
    </w:p>
    <w:p w:rsidR="009F5CE7" w:rsidRPr="006E69BF" w:rsidRDefault="009F5CE7" w:rsidP="00FC60E0">
      <w:r w:rsidRPr="006E69BF">
        <w:t>2.1</w:t>
      </w:r>
      <w:r w:rsidRPr="006E69BF">
        <w:tab/>
        <w:t xml:space="preserve">Dans le cadre de l'Objectif 3 du Plan d'action de Dubaï, et compte tenu de la Question 3/2 (ancienne Question 22/1) de l'UIT-D, l'UIT aide les Etats Membres à comprendre les aspects juridiques de la </w:t>
      </w:r>
      <w:proofErr w:type="spellStart"/>
      <w:r w:rsidRPr="006E69BF">
        <w:t>cybersécurité</w:t>
      </w:r>
      <w:proofErr w:type="spellEnd"/>
      <w:r w:rsidRPr="006E69BF">
        <w:t xml:space="preserve">, en mettant à leur disposition ses </w:t>
      </w:r>
      <w:hyperlink r:id="rId39" w:history="1">
        <w:r w:rsidRPr="006E69BF">
          <w:rPr>
            <w:rStyle w:val="Hyperlink"/>
            <w:rFonts w:asciiTheme="minorHAnsi" w:hAnsiTheme="minorHAnsi"/>
            <w:szCs w:val="24"/>
          </w:rPr>
          <w:t>ressources sur la législation relative à la cybercriminalité</w:t>
        </w:r>
      </w:hyperlink>
      <w:r w:rsidRPr="006E69BF">
        <w:t>, afin de contribuer à l'harmonisation de leurs cadres juridiques.</w:t>
      </w:r>
    </w:p>
    <w:p w:rsidR="009F5CE7" w:rsidRPr="006E69BF" w:rsidRDefault="009F5CE7" w:rsidP="00FC60E0">
      <w:r w:rsidRPr="006E69BF">
        <w:t>2.2</w:t>
      </w:r>
      <w:r w:rsidRPr="006E69BF">
        <w:tab/>
        <w:t>En ce qui concerne le cadre législatif, l'UIT collabore étroitement avec des partenaires tels que l'Office des Nations Unies contre la drogue et le crime (ONUDC) et d'autres partenaires bénéficiant de compétences spécialisées dans ce domaine.</w:t>
      </w:r>
    </w:p>
    <w:p w:rsidR="009F5CE7" w:rsidRPr="006E69BF" w:rsidRDefault="009F5CE7" w:rsidP="0024677E">
      <w:pPr>
        <w:pStyle w:val="Heading1"/>
      </w:pPr>
      <w:r w:rsidRPr="006E69BF">
        <w:t>3</w:t>
      </w:r>
      <w:r w:rsidRPr="006E69BF">
        <w:tab/>
        <w:t xml:space="preserve">Mesures </w:t>
      </w:r>
      <w:r w:rsidRPr="0024677E">
        <w:t>techniques</w:t>
      </w:r>
      <w:r w:rsidRPr="006E69BF">
        <w:t xml:space="preserve"> et procédures </w:t>
      </w:r>
    </w:p>
    <w:p w:rsidR="009F5CE7" w:rsidRPr="006E69BF" w:rsidRDefault="009F5CE7" w:rsidP="00FC60E0">
      <w:pPr>
        <w:rPr>
          <w:bCs/>
        </w:rPr>
      </w:pPr>
      <w:proofErr w:type="gramStart"/>
      <w:r w:rsidRPr="006E69BF">
        <w:t>3.1</w:t>
      </w:r>
      <w:r w:rsidRPr="006E69BF">
        <w:tab/>
        <w:t xml:space="preserve">La </w:t>
      </w:r>
      <w:hyperlink r:id="rId40" w:history="1">
        <w:r w:rsidRPr="006E69BF">
          <w:rPr>
            <w:rStyle w:val="Hyperlink"/>
            <w:rFonts w:asciiTheme="minorHAnsi" w:hAnsiTheme="minorHAnsi"/>
            <w:szCs w:val="24"/>
          </w:rPr>
          <w:t>Commission d'études 17 (CE 17)</w:t>
        </w:r>
      </w:hyperlink>
      <w:r w:rsidRPr="006E69BF">
        <w:t xml:space="preserve"> de l'UIT-T, en sa qualité de commission d'études directrice chargée de la sécurité et de la gestion d'identité (</w:t>
      </w:r>
      <w:proofErr w:type="spellStart"/>
      <w:r w:rsidRPr="006E69BF">
        <w:t>IdM</w:t>
      </w:r>
      <w:proofErr w:type="spellEnd"/>
      <w:r w:rsidRPr="006E69BF">
        <w:t xml:space="preserve">), continue de contribuer à l'étude et à la normalisation dans les domaines de la </w:t>
      </w:r>
      <w:proofErr w:type="spellStart"/>
      <w:r w:rsidRPr="006E69BF">
        <w:t>cybersécurité</w:t>
      </w:r>
      <w:proofErr w:type="spellEnd"/>
      <w:r w:rsidRPr="006E69BF">
        <w:t xml:space="preserve">, de la lutte contre le spam, de la gestion d'identité, des certificats UIT-T X.509, de la gestion de la sécurité de l'information, des réseaux de capteurs ubiquitaires, de la </w:t>
      </w:r>
      <w:proofErr w:type="spellStart"/>
      <w:r w:rsidRPr="006E69BF">
        <w:t>télébiométrie</w:t>
      </w:r>
      <w:proofErr w:type="spellEnd"/>
      <w:r w:rsidRPr="006E69BF">
        <w:t>, de la sécurité de la TVIP, de la sécurité de la virtualisation dans l'optique de la sécurité de l'informatique en nuage ainsi que de l'architecture de la sécurité et de la sécurité des applications, souvent en coopération avec des organisations et des consortiums de normalisation extérieurs.</w:t>
      </w:r>
      <w:proofErr w:type="gramEnd"/>
      <w:r w:rsidRPr="006E69BF">
        <w:t xml:space="preserve"> </w:t>
      </w:r>
    </w:p>
    <w:p w:rsidR="00D04B75" w:rsidRPr="006E69BF" w:rsidRDefault="009F5CE7" w:rsidP="00FC60E0">
      <w:proofErr w:type="gramStart"/>
      <w:r w:rsidRPr="006E69BF">
        <w:t>3.2</w:t>
      </w:r>
      <w:r w:rsidRPr="006E69BF">
        <w:tab/>
      </w:r>
      <w:r w:rsidR="0027121B" w:rsidRPr="006E69BF">
        <w:t>Depuis la session de 2016 du Conseil</w:t>
      </w:r>
      <w:r w:rsidR="00763E87" w:rsidRPr="006E69BF">
        <w:t xml:space="preserve"> de l'UIT</w:t>
      </w:r>
      <w:r w:rsidR="0027121B" w:rsidRPr="006E69BF">
        <w:t xml:space="preserve">, </w:t>
      </w:r>
      <w:proofErr w:type="spellStart"/>
      <w:r w:rsidR="0027121B" w:rsidRPr="006E69BF">
        <w:t>l</w:t>
      </w:r>
      <w:r w:rsidRPr="006E69BF">
        <w:t>a</w:t>
      </w:r>
      <w:proofErr w:type="spellEnd"/>
      <w:r w:rsidRPr="006E69BF">
        <w:t xml:space="preserve"> CE 17 a approuvé l</w:t>
      </w:r>
      <w:r w:rsidR="0027121B" w:rsidRPr="006E69BF">
        <w:t>es</w:t>
      </w:r>
      <w:r w:rsidRPr="006E69BF">
        <w:t xml:space="preserve"> Recommandation</w:t>
      </w:r>
      <w:r w:rsidR="0027121B" w:rsidRPr="006E69BF">
        <w:t>s</w:t>
      </w:r>
      <w:r w:rsidRPr="006E69BF">
        <w:t xml:space="preserve"> UIT</w:t>
      </w:r>
      <w:r w:rsidR="00636FBD">
        <w:noBreakHyphen/>
      </w:r>
      <w:r w:rsidRPr="006E69BF">
        <w:t xml:space="preserve">T </w:t>
      </w:r>
      <w:r w:rsidR="00673265">
        <w:t xml:space="preserve">sur la </w:t>
      </w:r>
      <w:proofErr w:type="spellStart"/>
      <w:r w:rsidR="00673265">
        <w:t>cybersécurité</w:t>
      </w:r>
      <w:proofErr w:type="spellEnd"/>
      <w:r w:rsidR="00673265">
        <w:t xml:space="preserve"> suivantes</w:t>
      </w:r>
      <w:r w:rsidR="0027121B" w:rsidRPr="006E69BF">
        <w:t xml:space="preserve">: </w:t>
      </w:r>
      <w:r w:rsidR="00592F11" w:rsidRPr="006E69BF">
        <w:t>Recommandation UIT-T X.1038 "Exigences de sécurité et architecture de référence pour les réseaux pilotés par logiciel"</w:t>
      </w:r>
      <w:r w:rsidR="0027121B" w:rsidRPr="006E69BF">
        <w:t xml:space="preserve">; </w:t>
      </w:r>
      <w:r w:rsidR="00592F11" w:rsidRPr="006E69BF">
        <w:t xml:space="preserve">Recommandation UIT-T X.1039 "Mesures de sécurité techniques pour la mise en </w:t>
      </w:r>
      <w:proofErr w:type="spellStart"/>
      <w:r w:rsidR="00592F11" w:rsidRPr="006E69BF">
        <w:t>oeuvre</w:t>
      </w:r>
      <w:proofErr w:type="spellEnd"/>
      <w:r w:rsidR="00592F11" w:rsidRPr="006E69BF">
        <w:t xml:space="preserve"> des dimensions de sécurité UIT-T X.805"</w:t>
      </w:r>
      <w:r w:rsidR="0027121B" w:rsidRPr="006E69BF">
        <w:t xml:space="preserve">; </w:t>
      </w:r>
      <w:r w:rsidR="00897D4A" w:rsidRPr="006E69BF">
        <w:t xml:space="preserve">Recommandation UIT-T X.1085 "Technologies de l'information – Techniques de sécurité – Cadre d'authentification </w:t>
      </w:r>
      <w:proofErr w:type="spellStart"/>
      <w:r w:rsidR="00897D4A" w:rsidRPr="006E69BF">
        <w:t>télébiométrique</w:t>
      </w:r>
      <w:proofErr w:type="spellEnd"/>
      <w:r w:rsidR="00897D4A" w:rsidRPr="006E69BF">
        <w:t xml:space="preserve"> utilisant un module matériel de sécurité biométrique"</w:t>
      </w:r>
      <w:r w:rsidR="0027121B" w:rsidRPr="006E69BF">
        <w:t xml:space="preserve">; </w:t>
      </w:r>
      <w:r w:rsidR="00D04B75" w:rsidRPr="006E69BF">
        <w:t>Recommandation UIT-T X.1087 "</w:t>
      </w:r>
      <w:r w:rsidR="000749D2" w:rsidRPr="006E69BF">
        <w:t xml:space="preserve">Contremesures techniques et opérationnelles pour les applications de la </w:t>
      </w:r>
      <w:proofErr w:type="spellStart"/>
      <w:r w:rsidR="000749D2" w:rsidRPr="006E69BF">
        <w:t>télébiométrie</w:t>
      </w:r>
      <w:proofErr w:type="spellEnd"/>
      <w:r w:rsidR="000749D2" w:rsidRPr="006E69BF">
        <w:t xml:space="preserve"> utilisant des dispositifs mobiles"</w:t>
      </w:r>
      <w:r w:rsidR="0027121B" w:rsidRPr="006E69BF">
        <w:t xml:space="preserve">; </w:t>
      </w:r>
      <w:r w:rsidR="00D04B75" w:rsidRPr="006E69BF">
        <w:t>Recommandation UIT-T X.1258 "</w:t>
      </w:r>
      <w:r w:rsidR="000749D2" w:rsidRPr="006E69BF">
        <w:t>Authentification d'entité améliorée basée sur des attributs agrégés"</w:t>
      </w:r>
      <w:r w:rsidR="0027121B" w:rsidRPr="006E69BF">
        <w:t xml:space="preserve">; </w:t>
      </w:r>
      <w:r w:rsidR="00D04B75" w:rsidRPr="006E69BF">
        <w:t>Recommandation UIT-T X.1542 "</w:t>
      </w:r>
      <w:r w:rsidR="000749D2" w:rsidRPr="006E69BF">
        <w:t>Format d'échange de messages sur les informations de session"</w:t>
      </w:r>
      <w:r w:rsidR="0027121B" w:rsidRPr="006E69BF">
        <w:t xml:space="preserve">; </w:t>
      </w:r>
      <w:r w:rsidR="00D04B75" w:rsidRPr="006E69BF">
        <w:t>Recommandation UIT-T X.1641 "</w:t>
      </w:r>
      <w:r w:rsidR="000749D2" w:rsidRPr="006E69BF">
        <w:t>Lignes directrices relatives à la sécurité des données des clients de services de nuage"</w:t>
      </w:r>
      <w:r w:rsidR="0027121B" w:rsidRPr="006E69BF">
        <w:t xml:space="preserve">; </w:t>
      </w:r>
      <w:r w:rsidR="00763E87" w:rsidRPr="006E69BF">
        <w:t xml:space="preserve">par ailleurs d'importantes modifications ont été apportées aux </w:t>
      </w:r>
      <w:r w:rsidR="0027121B" w:rsidRPr="006E69BF">
        <w:t>Recommandation</w:t>
      </w:r>
      <w:r w:rsidR="00763E87" w:rsidRPr="006E69BF">
        <w:t>s</w:t>
      </w:r>
      <w:r w:rsidR="0027121B" w:rsidRPr="006E69BF">
        <w:t xml:space="preserve"> UIT-T </w:t>
      </w:r>
      <w:r w:rsidR="00763E87" w:rsidRPr="006E69BF">
        <w:t xml:space="preserve">de la série </w:t>
      </w:r>
      <w:r w:rsidR="00D04B75" w:rsidRPr="006E69BF">
        <w:t xml:space="preserve">X.500 </w:t>
      </w:r>
      <w:r w:rsidR="0027121B" w:rsidRPr="006E69BF">
        <w:t>"</w:t>
      </w:r>
      <w:r w:rsidR="002C5F68" w:rsidRPr="006E69BF">
        <w:t>Technologies de l'information – Interconnexion des</w:t>
      </w:r>
      <w:r w:rsidR="00763E87" w:rsidRPr="006E69BF">
        <w:t xml:space="preserve"> systèmes ouverts – L'annuaire</w:t>
      </w:r>
      <w:r w:rsidR="0027121B" w:rsidRPr="006E69BF">
        <w:t>".</w:t>
      </w:r>
      <w:proofErr w:type="gramEnd"/>
    </w:p>
    <w:p w:rsidR="00D23328" w:rsidRPr="006E69BF" w:rsidRDefault="00D23328" w:rsidP="00FC60E0">
      <w:pPr>
        <w:rPr>
          <w:rFonts w:asciiTheme="minorHAnsi" w:eastAsia="SimSun" w:hAnsiTheme="minorHAnsi" w:cs="Arial"/>
          <w:szCs w:val="24"/>
          <w:lang w:eastAsia="zh-CN"/>
        </w:rPr>
      </w:pPr>
      <w:r w:rsidRPr="006E69BF">
        <w:t>3.3</w:t>
      </w:r>
      <w:r w:rsidRPr="006E69BF">
        <w:tab/>
      </w:r>
      <w:r w:rsidR="00C57B4D" w:rsidRPr="006E69BF">
        <w:t>Sept projets de Recommandation devraient être approuvés selon la procédure TAP en mars</w:t>
      </w:r>
      <w:r w:rsidR="00636FBD">
        <w:t> </w:t>
      </w:r>
      <w:r w:rsidR="00C57B4D" w:rsidRPr="006E69BF">
        <w:t xml:space="preserve">2017, concernant la </w:t>
      </w:r>
      <w:proofErr w:type="spellStart"/>
      <w:r w:rsidR="00C57B4D" w:rsidRPr="006E69BF">
        <w:t>cybersécurité</w:t>
      </w:r>
      <w:proofErr w:type="spellEnd"/>
      <w:r w:rsidR="00C57B4D" w:rsidRPr="006E69BF">
        <w:t>, la protection des informations d'identification personnelle, le contrôle d'accès, le chiffrement pour l'Internet des objets, la perception par l'utilisateur final des indicateurs de fiabilité et les capacités de mise à jour sécurisée des logiciels pour les systèmes de transport intelligents.</w:t>
      </w:r>
      <w:r w:rsidR="00417D43" w:rsidRPr="006E69BF">
        <w:t xml:space="preserve"> Par ailleurs, huit autres projets de Recommandation </w:t>
      </w:r>
      <w:r w:rsidR="00417D43" w:rsidRPr="006E69BF">
        <w:lastRenderedPageBreak/>
        <w:t xml:space="preserve">devraient être achevés et soumis à la procédure d'approbation AAP, concernant les techniques structurées d'échange d'information sur la </w:t>
      </w:r>
      <w:proofErr w:type="spellStart"/>
      <w:r w:rsidR="00417D43" w:rsidRPr="006E69BF">
        <w:t>cybersécurité</w:t>
      </w:r>
      <w:proofErr w:type="spellEnd"/>
      <w:r w:rsidR="00417D43" w:rsidRPr="006E69BF">
        <w:t>, la lutte contre les réseaux zombies</w:t>
      </w:r>
      <w:r w:rsidR="00763E87" w:rsidRPr="006E69BF">
        <w:t xml:space="preserve"> utilisant des téléphones intelligents</w:t>
      </w:r>
      <w:r w:rsidR="00417D43" w:rsidRPr="006E69BF">
        <w:t>, la lutte contre le spam de messagerie instantanée (SPIM), le hameçonnage par SMS, les mesures contre le vol de téléphones mobiles et la sécurité des capacités ouvertes des</w:t>
      </w:r>
      <w:r w:rsidR="00E72100" w:rsidRPr="006E69BF">
        <w:t xml:space="preserve"> services de télécommunication. </w:t>
      </w:r>
      <w:proofErr w:type="gramStart"/>
      <w:r w:rsidR="001B7A24" w:rsidRPr="006E69BF">
        <w:t>D</w:t>
      </w:r>
      <w:r w:rsidR="00E72100" w:rsidRPr="006E69BF">
        <w:t xml:space="preserve">es travaux ont </w:t>
      </w:r>
      <w:r w:rsidR="001B7A24" w:rsidRPr="006E69BF">
        <w:t>été entrepris</w:t>
      </w:r>
      <w:r w:rsidR="00E72100" w:rsidRPr="006E69BF">
        <w:t xml:space="preserve"> en vue de l'élaboration de projets de Recommandation sur la lutte contre les escroqueries </w:t>
      </w:r>
      <w:r w:rsidR="00763E87" w:rsidRPr="006E69BF">
        <w:t>par</w:t>
      </w:r>
      <w:r w:rsidR="00E72100" w:rsidRPr="006E69BF">
        <w:t xml:space="preserve"> service téléphonique, la sécurité des services de compteurs intelligents dans les réseaux de distribution intelligents, </w:t>
      </w:r>
      <w:r w:rsidR="00763E87" w:rsidRPr="006E69BF">
        <w:t xml:space="preserve">la mise en </w:t>
      </w:r>
      <w:proofErr w:type="spellStart"/>
      <w:r w:rsidR="00763E87" w:rsidRPr="006E69BF">
        <w:t>oeuvre</w:t>
      </w:r>
      <w:proofErr w:type="spellEnd"/>
      <w:r w:rsidR="00763E87" w:rsidRPr="006E69BF">
        <w:t xml:space="preserve"> de la </w:t>
      </w:r>
      <w:proofErr w:type="spellStart"/>
      <w:r w:rsidR="00763E87" w:rsidRPr="006E69BF">
        <w:t>dé</w:t>
      </w:r>
      <w:r w:rsidR="000D0FEE" w:rsidRPr="006E69BF">
        <w:t>sidentification</w:t>
      </w:r>
      <w:proofErr w:type="spellEnd"/>
      <w:r w:rsidR="000D0FEE" w:rsidRPr="006E69BF">
        <w:t xml:space="preserve">, les mécanismes hybrides d'authentification et de gestion des clés dans le modèle client-serveur, l'analyse des </w:t>
      </w:r>
      <w:proofErr w:type="spellStart"/>
      <w:r w:rsidR="000D0FEE" w:rsidRPr="006E69BF">
        <w:t>mégadonnées</w:t>
      </w:r>
      <w:proofErr w:type="spellEnd"/>
      <w:r w:rsidR="000D0FEE" w:rsidRPr="006E69BF">
        <w:t xml:space="preserve"> dans les services Internet mobiles, </w:t>
      </w:r>
      <w:r w:rsidR="00763E87" w:rsidRPr="006E69BF">
        <w:t xml:space="preserve">la sécurité des </w:t>
      </w:r>
      <w:proofErr w:type="spellStart"/>
      <w:r w:rsidR="00763E87" w:rsidRPr="006E69BF">
        <w:t>mégadonnées</w:t>
      </w:r>
      <w:proofErr w:type="spellEnd"/>
      <w:r w:rsidR="00763E87" w:rsidRPr="006E69BF">
        <w:t xml:space="preserve"> en tant que service, des communications en tant que service et des réseaux en tant que service, </w:t>
      </w:r>
      <w:r w:rsidR="000D0FEE" w:rsidRPr="006E69BF">
        <w:t xml:space="preserve">l'authentification </w:t>
      </w:r>
      <w:proofErr w:type="spellStart"/>
      <w:r w:rsidR="000D0FEE" w:rsidRPr="006E69BF">
        <w:t>télébiométrique</w:t>
      </w:r>
      <w:proofErr w:type="spellEnd"/>
      <w:r w:rsidR="000D0FEE" w:rsidRPr="006E69BF">
        <w:t xml:space="preserve"> utilisant des bio-signaux, la détection </w:t>
      </w:r>
      <w:proofErr w:type="spellStart"/>
      <w:r w:rsidR="000D0FEE" w:rsidRPr="006E69BF">
        <w:t>télébiométrique</w:t>
      </w:r>
      <w:proofErr w:type="spellEnd"/>
      <w:r w:rsidR="000D0FEE" w:rsidRPr="006E69BF">
        <w:t xml:space="preserve"> des piratage et le profil de syntaxe de message cryptographique</w:t>
      </w:r>
      <w:r w:rsidRPr="006E69BF">
        <w:rPr>
          <w:rFonts w:asciiTheme="minorHAnsi" w:eastAsia="SimSun" w:hAnsiTheme="minorHAnsi" w:cs="Arial"/>
          <w:szCs w:val="24"/>
          <w:lang w:eastAsia="zh-CN"/>
        </w:rPr>
        <w:t xml:space="preserve"> (CMS).</w:t>
      </w:r>
      <w:proofErr w:type="gramEnd"/>
    </w:p>
    <w:p w:rsidR="00D23328" w:rsidRPr="006E69BF" w:rsidRDefault="00D23328" w:rsidP="00FC60E0">
      <w:pPr>
        <w:rPr>
          <w:rFonts w:eastAsia="SimSun"/>
          <w:highlight w:val="yellow"/>
          <w:lang w:eastAsia="zh-CN"/>
        </w:rPr>
      </w:pPr>
      <w:r w:rsidRPr="006E69BF">
        <w:rPr>
          <w:rFonts w:eastAsia="SimSun"/>
          <w:lang w:eastAsia="zh-CN"/>
        </w:rPr>
        <w:t>3.4</w:t>
      </w:r>
      <w:r w:rsidRPr="006E69BF">
        <w:rPr>
          <w:rFonts w:eastAsia="SimSun"/>
          <w:lang w:eastAsia="zh-CN"/>
        </w:rPr>
        <w:tab/>
      </w:r>
      <w:hyperlink r:id="rId41" w:history="1">
        <w:r w:rsidR="001B7A24" w:rsidRPr="006E69BF">
          <w:rPr>
            <w:rStyle w:val="Hyperlink"/>
            <w:rFonts w:asciiTheme="minorHAnsi" w:eastAsia="SimSun" w:hAnsiTheme="minorHAnsi" w:cs="Arial"/>
            <w:bCs/>
            <w:szCs w:val="24"/>
            <w:lang w:eastAsia="zh-CN"/>
          </w:rPr>
          <w:t>Le Groupe régional de la CE 17 pour l'Afrique</w:t>
        </w:r>
      </w:hyperlink>
      <w:r w:rsidR="001B7A24" w:rsidRPr="006E69BF">
        <w:rPr>
          <w:rFonts w:eastAsia="SimSun"/>
          <w:lang w:eastAsia="zh-CN"/>
        </w:rPr>
        <w:t xml:space="preserve"> a tenu sa deuxième réunion les 27 et 28</w:t>
      </w:r>
      <w:r w:rsidR="00763E87" w:rsidRPr="006E69BF">
        <w:rPr>
          <w:rFonts w:eastAsia="SimSun"/>
          <w:lang w:eastAsia="zh-CN"/>
        </w:rPr>
        <w:t> </w:t>
      </w:r>
      <w:r w:rsidR="001B7A24" w:rsidRPr="006E69BF">
        <w:rPr>
          <w:rFonts w:eastAsia="SimSun"/>
          <w:lang w:eastAsia="zh-CN"/>
        </w:rPr>
        <w:t>juillet</w:t>
      </w:r>
      <w:r w:rsidR="00763E87" w:rsidRPr="006E69BF">
        <w:rPr>
          <w:rFonts w:eastAsia="SimSun"/>
          <w:lang w:eastAsia="zh-CN"/>
        </w:rPr>
        <w:t> </w:t>
      </w:r>
      <w:r w:rsidR="001B7A24" w:rsidRPr="006E69BF">
        <w:rPr>
          <w:rFonts w:eastAsia="SimSun"/>
          <w:lang w:eastAsia="zh-CN"/>
        </w:rPr>
        <w:t>2016 à Khartoum (République du Soudan)</w:t>
      </w:r>
      <w:r w:rsidRPr="006E69BF">
        <w:rPr>
          <w:rFonts w:eastAsia="SimSun"/>
          <w:lang w:eastAsia="zh-CN"/>
        </w:rPr>
        <w:t>.</w:t>
      </w:r>
    </w:p>
    <w:p w:rsidR="009F5CE7" w:rsidRPr="006E69BF" w:rsidRDefault="009F5CE7" w:rsidP="00FC60E0">
      <w:r w:rsidRPr="006E69BF">
        <w:t>3.</w:t>
      </w:r>
      <w:r w:rsidR="00D23328" w:rsidRPr="006E69BF">
        <w:t>5</w:t>
      </w:r>
      <w:r w:rsidRPr="006E69BF">
        <w:tab/>
      </w:r>
      <w:r w:rsidR="001B7A24" w:rsidRPr="006E69BF">
        <w:t>L</w:t>
      </w:r>
      <w:r w:rsidRPr="006E69BF">
        <w:t xml:space="preserve">a CE 17 a </w:t>
      </w:r>
      <w:r w:rsidR="00763E87" w:rsidRPr="006E69BF">
        <w:t>continué à travailler en</w:t>
      </w:r>
      <w:r w:rsidRPr="006E69BF">
        <w:t xml:space="preserve"> coordination </w:t>
      </w:r>
      <w:r w:rsidR="00763E87" w:rsidRPr="006E69BF">
        <w:t>avec la nouvelle CE 20 de l'UIT-</w:t>
      </w:r>
      <w:proofErr w:type="gramStart"/>
      <w:r w:rsidR="00763E87" w:rsidRPr="006E69BF">
        <w:t>T:</w:t>
      </w:r>
      <w:proofErr w:type="gramEnd"/>
      <w:r w:rsidR="00763E87" w:rsidRPr="006E69BF">
        <w:t xml:space="preserve"> "L'Internet des objets et ses applications, y compris les villes et les communautés intelligentes (SC&amp;C)" </w:t>
      </w:r>
      <w:r w:rsidRPr="006E69BF">
        <w:t>dans le domaine de la sécurité de l'Internet des objets (</w:t>
      </w:r>
      <w:proofErr w:type="spellStart"/>
      <w:r w:rsidRPr="006E69BF">
        <w:t>IoT</w:t>
      </w:r>
      <w:proofErr w:type="spellEnd"/>
      <w:r w:rsidRPr="006E69BF">
        <w:t>).</w:t>
      </w:r>
    </w:p>
    <w:p w:rsidR="009F5CE7" w:rsidRPr="006E69BF" w:rsidRDefault="009F5CE7" w:rsidP="00FC60E0">
      <w:r w:rsidRPr="006E69BF">
        <w:t>3.</w:t>
      </w:r>
      <w:r w:rsidR="00D23328" w:rsidRPr="006E69BF">
        <w:t>6</w:t>
      </w:r>
      <w:r w:rsidRPr="006E69BF">
        <w:tab/>
        <w:t xml:space="preserve">L'UIT-R poursuit ses travaux dans le domaine de la normalisation des radiocommunications, de façon à répondre à l'évolution constante des réseaux de télécommunication modernes. Ce Secteur a défini des principes de sécurité clairs concernant les réseaux IMT (3G, 4G et 5G) (Recommandations UIT-R M.1078, M.1223, M.1457, M.1645, M.2012 et M.2083). Il a également publié des Recommandations sur les questions de sécurité relatives à l'architecture de gestion des réseaux pour les systèmes numériques à satellites (Recommandation UIT-R S.1250) et sur l'amélioration de la qualité de fonctionnement du protocole de commande de transmission sur les réseaux à satellite (Recommandation UIT-R S.1711). </w:t>
      </w:r>
    </w:p>
    <w:p w:rsidR="009F5CE7" w:rsidRPr="006E69BF" w:rsidRDefault="009F5CE7" w:rsidP="0024677E">
      <w:pPr>
        <w:pStyle w:val="Heading1"/>
      </w:pPr>
      <w:r w:rsidRPr="006E69BF">
        <w:t>4</w:t>
      </w:r>
      <w:r w:rsidRPr="006E69BF">
        <w:tab/>
        <w:t xml:space="preserve">Structures </w:t>
      </w:r>
      <w:r w:rsidRPr="0024677E">
        <w:t>organisationnelles</w:t>
      </w:r>
      <w:r w:rsidRPr="006E69BF">
        <w:t xml:space="preserve"> </w:t>
      </w:r>
    </w:p>
    <w:p w:rsidR="009F5CE7" w:rsidRPr="006E69BF" w:rsidRDefault="009F5CE7" w:rsidP="00FC60E0">
      <w:r w:rsidRPr="006E69BF">
        <w:t>4.1</w:t>
      </w:r>
      <w:r w:rsidRPr="006E69BF">
        <w:tab/>
        <w:t xml:space="preserve">L'UIT continue de contribuer au renforcement des capacités aux niveaux régional et international. L'Union a procédé à des évaluations techniques pour faire le point sur l'état de préparation à la </w:t>
      </w:r>
      <w:hyperlink r:id="rId42" w:history="1">
        <w:r w:rsidRPr="006E69BF">
          <w:rPr>
            <w:rStyle w:val="Hyperlink"/>
          </w:rPr>
          <w:t>création d'équipes d'intervention en cas d'incident informatique (CIRT)</w:t>
        </w:r>
      </w:hyperlink>
      <w:r w:rsidRPr="006E69BF">
        <w:t xml:space="preserve"> dans 6</w:t>
      </w:r>
      <w:r w:rsidR="006A5816" w:rsidRPr="006E69BF">
        <w:t>8</w:t>
      </w:r>
      <w:r w:rsidRPr="006E69BF">
        <w:t> pays, et poursuit ses activités en vue de prendre les mesures de suivi nécessaires. Des CIRT nationaux sont en cours de mise en place</w:t>
      </w:r>
      <w:r w:rsidR="006A5816" w:rsidRPr="006E69BF">
        <w:t xml:space="preserve"> ou d'amélioration</w:t>
      </w:r>
      <w:r w:rsidRPr="006E69BF">
        <w:t xml:space="preserve"> au Burundi, en Gambie</w:t>
      </w:r>
      <w:r w:rsidR="006A5816" w:rsidRPr="006E69BF">
        <w:t>, à Chypre et au Kenya</w:t>
      </w:r>
      <w:r w:rsidRPr="006E69BF">
        <w:t>, les activités connexes ayan</w:t>
      </w:r>
      <w:r w:rsidR="00FF5E56" w:rsidRPr="006E69BF">
        <w:t>t été menées à bonne fin dans dou</w:t>
      </w:r>
      <w:r w:rsidRPr="006E69BF">
        <w:t>ze pays.</w:t>
      </w:r>
    </w:p>
    <w:p w:rsidR="007D3948" w:rsidRPr="006E69BF" w:rsidRDefault="007D3948" w:rsidP="00FC60E0">
      <w:r w:rsidRPr="006E69BF">
        <w:t>4.2</w:t>
      </w:r>
      <w:r w:rsidRPr="006E69BF">
        <w:tab/>
      </w:r>
      <w:r w:rsidR="003912EC" w:rsidRPr="006E69BF">
        <w:t xml:space="preserve">L'UIT a travaillé en partenariat avec le Centre mondial des capacités de </w:t>
      </w:r>
      <w:proofErr w:type="spellStart"/>
      <w:r w:rsidR="003912EC" w:rsidRPr="006E69BF">
        <w:t>cybersécurité</w:t>
      </w:r>
      <w:proofErr w:type="spellEnd"/>
      <w:r w:rsidR="003912EC" w:rsidRPr="006E69BF">
        <w:t xml:space="preserve"> de l'Oxford Martin </w:t>
      </w:r>
      <w:proofErr w:type="spellStart"/>
      <w:r w:rsidR="003912EC" w:rsidRPr="006E69BF">
        <w:t>School</w:t>
      </w:r>
      <w:proofErr w:type="spellEnd"/>
      <w:r w:rsidR="003912EC" w:rsidRPr="006E69BF">
        <w:t xml:space="preserve">, avec lequel elle a mené conjointement une évaluation des capacités de </w:t>
      </w:r>
      <w:proofErr w:type="spellStart"/>
      <w:r w:rsidR="003912EC" w:rsidRPr="006E69BF">
        <w:t>cybersécurité</w:t>
      </w:r>
      <w:proofErr w:type="spellEnd"/>
      <w:r w:rsidR="003912EC" w:rsidRPr="006E69BF">
        <w:t xml:space="preserve"> en Thaïlande, en Sierra Leone et à Madagascar. </w:t>
      </w:r>
    </w:p>
    <w:p w:rsidR="00A6311D" w:rsidRPr="006E69BF" w:rsidRDefault="009F5CE7" w:rsidP="00FC60E0">
      <w:pPr>
        <w:rPr>
          <w:rFonts w:asciiTheme="minorHAnsi" w:hAnsiTheme="minorHAnsi"/>
          <w:szCs w:val="24"/>
        </w:rPr>
      </w:pPr>
      <w:r w:rsidRPr="006E69BF">
        <w:t>4.</w:t>
      </w:r>
      <w:r w:rsidR="007D3948" w:rsidRPr="006E69BF">
        <w:t>3</w:t>
      </w:r>
      <w:r w:rsidRPr="006E69BF">
        <w:tab/>
        <w:t xml:space="preserve">L'UIT continue d'organiser des </w:t>
      </w:r>
      <w:hyperlink r:id="rId43" w:history="1">
        <w:proofErr w:type="spellStart"/>
        <w:r w:rsidRPr="006E69BF">
          <w:rPr>
            <w:rStyle w:val="Hyperlink"/>
          </w:rPr>
          <w:t>cyberexercices</w:t>
        </w:r>
        <w:proofErr w:type="spellEnd"/>
      </w:hyperlink>
      <w:r w:rsidRPr="006E69BF">
        <w:t xml:space="preserve"> pour les pays partenaires, afin de renforcer les capacités des équipes participantes en matière de communication et d'intervention en cas d'incident, et d'intensifier la coopération nationale et internationale dans le domaine de la lutte contre les </w:t>
      </w:r>
      <w:proofErr w:type="spellStart"/>
      <w:r w:rsidRPr="006E69BF">
        <w:t>cybermenaces</w:t>
      </w:r>
      <w:proofErr w:type="spellEnd"/>
      <w:r w:rsidRPr="006E69BF">
        <w:t xml:space="preserve">. A ce jour, l'UIT a organisé </w:t>
      </w:r>
      <w:r w:rsidR="00A6311D" w:rsidRPr="006E69BF">
        <w:t>seize</w:t>
      </w:r>
      <w:r w:rsidRPr="006E69BF">
        <w:t xml:space="preserve"> </w:t>
      </w:r>
      <w:proofErr w:type="spellStart"/>
      <w:r w:rsidRPr="006E69BF">
        <w:t>cyberexercices</w:t>
      </w:r>
      <w:proofErr w:type="spellEnd"/>
      <w:r w:rsidRPr="006E69BF">
        <w:t xml:space="preserve">, auxquels plus de 100 pays ont participé. Au cours de la période couverte par le présent rapport, des </w:t>
      </w:r>
      <w:proofErr w:type="spellStart"/>
      <w:r w:rsidRPr="006E69BF">
        <w:t>cyberexercices</w:t>
      </w:r>
      <w:proofErr w:type="spellEnd"/>
      <w:r w:rsidRPr="006E69BF">
        <w:t xml:space="preserve"> internationaux ont été organisés </w:t>
      </w:r>
      <w:r w:rsidR="00FF5E56" w:rsidRPr="006E69BF">
        <w:rPr>
          <w:rFonts w:asciiTheme="minorHAnsi" w:hAnsiTheme="minorHAnsi"/>
          <w:szCs w:val="24"/>
        </w:rPr>
        <w:t>à Quito</w:t>
      </w:r>
      <w:r w:rsidR="00A6311D" w:rsidRPr="006E69BF">
        <w:rPr>
          <w:rFonts w:asciiTheme="minorHAnsi" w:hAnsiTheme="minorHAnsi"/>
          <w:szCs w:val="24"/>
        </w:rPr>
        <w:t xml:space="preserve"> </w:t>
      </w:r>
      <w:r w:rsidR="00FF5E56" w:rsidRPr="006E69BF">
        <w:rPr>
          <w:rFonts w:asciiTheme="minorHAnsi" w:hAnsiTheme="minorHAnsi"/>
          <w:szCs w:val="24"/>
        </w:rPr>
        <w:t>(</w:t>
      </w:r>
      <w:r w:rsidR="00A6311D" w:rsidRPr="006E69BF">
        <w:rPr>
          <w:rFonts w:asciiTheme="minorHAnsi" w:hAnsiTheme="minorHAnsi"/>
          <w:szCs w:val="24"/>
        </w:rPr>
        <w:t>Equateur</w:t>
      </w:r>
      <w:r w:rsidR="00FF5E56" w:rsidRPr="006E69BF">
        <w:rPr>
          <w:rFonts w:asciiTheme="minorHAnsi" w:hAnsiTheme="minorHAnsi"/>
          <w:szCs w:val="24"/>
        </w:rPr>
        <w:t>)</w:t>
      </w:r>
      <w:r w:rsidR="00A6311D" w:rsidRPr="006E69BF">
        <w:rPr>
          <w:rFonts w:asciiTheme="minorHAnsi" w:hAnsiTheme="minorHAnsi"/>
          <w:szCs w:val="24"/>
        </w:rPr>
        <w:t xml:space="preserve"> </w:t>
      </w:r>
      <w:r w:rsidR="004B4778" w:rsidRPr="006E69BF">
        <w:rPr>
          <w:rFonts w:asciiTheme="minorHAnsi" w:hAnsiTheme="minorHAnsi"/>
          <w:szCs w:val="24"/>
        </w:rPr>
        <w:t xml:space="preserve">pour la </w:t>
      </w:r>
      <w:hyperlink r:id="rId44" w:history="1">
        <w:r w:rsidR="004B4778" w:rsidRPr="006E69BF">
          <w:rPr>
            <w:rStyle w:val="Hyperlink"/>
            <w:rFonts w:asciiTheme="minorHAnsi" w:hAnsiTheme="minorHAnsi"/>
            <w:szCs w:val="24"/>
          </w:rPr>
          <w:t>région Amériques</w:t>
        </w:r>
      </w:hyperlink>
      <w:r w:rsidR="00A6311D" w:rsidRPr="006E69BF">
        <w:rPr>
          <w:rFonts w:asciiTheme="minorHAnsi" w:hAnsiTheme="minorHAnsi"/>
          <w:szCs w:val="24"/>
        </w:rPr>
        <w:t xml:space="preserve"> </w:t>
      </w:r>
      <w:r w:rsidR="00A6311D" w:rsidRPr="006E69BF">
        <w:rPr>
          <w:rFonts w:asciiTheme="minorHAnsi" w:hAnsiTheme="minorHAnsi"/>
          <w:szCs w:val="24"/>
        </w:rPr>
        <w:lastRenderedPageBreak/>
        <w:t>(2</w:t>
      </w:r>
      <w:r w:rsidR="003912EC" w:rsidRPr="006E69BF">
        <w:rPr>
          <w:rFonts w:asciiTheme="minorHAnsi" w:hAnsiTheme="minorHAnsi"/>
          <w:szCs w:val="24"/>
        </w:rPr>
        <w:t>7</w:t>
      </w:r>
      <w:r w:rsidR="00FF5E56" w:rsidRPr="006E69BF">
        <w:rPr>
          <w:rFonts w:asciiTheme="minorHAnsi" w:hAnsiTheme="minorHAnsi"/>
          <w:szCs w:val="24"/>
        </w:rPr>
        <w:t> </w:t>
      </w:r>
      <w:r w:rsidR="003912EC" w:rsidRPr="006E69BF">
        <w:rPr>
          <w:rFonts w:asciiTheme="minorHAnsi" w:hAnsiTheme="minorHAnsi"/>
          <w:szCs w:val="24"/>
        </w:rPr>
        <w:t>juin</w:t>
      </w:r>
      <w:r w:rsidR="00FF5E56" w:rsidRPr="006E69BF">
        <w:rPr>
          <w:rFonts w:asciiTheme="minorHAnsi" w:hAnsiTheme="minorHAnsi"/>
          <w:szCs w:val="24"/>
        </w:rPr>
        <w:t xml:space="preserve"> </w:t>
      </w:r>
      <w:r w:rsidR="003912EC" w:rsidRPr="006E69BF">
        <w:rPr>
          <w:rFonts w:asciiTheme="minorHAnsi" w:hAnsiTheme="minorHAnsi"/>
          <w:szCs w:val="24"/>
        </w:rPr>
        <w:t>–</w:t>
      </w:r>
      <w:r w:rsidR="00FF5E56" w:rsidRPr="006E69BF">
        <w:rPr>
          <w:rFonts w:asciiTheme="minorHAnsi" w:hAnsiTheme="minorHAnsi"/>
          <w:szCs w:val="24"/>
        </w:rPr>
        <w:t xml:space="preserve"> </w:t>
      </w:r>
      <w:r w:rsidR="003912EC" w:rsidRPr="006E69BF">
        <w:rPr>
          <w:rFonts w:asciiTheme="minorHAnsi" w:hAnsiTheme="minorHAnsi"/>
          <w:szCs w:val="24"/>
        </w:rPr>
        <w:t>1</w:t>
      </w:r>
      <w:r w:rsidR="00FF5E56" w:rsidRPr="006E69BF">
        <w:rPr>
          <w:rFonts w:asciiTheme="minorHAnsi" w:hAnsiTheme="minorHAnsi"/>
          <w:szCs w:val="24"/>
        </w:rPr>
        <w:t>er</w:t>
      </w:r>
      <w:r w:rsidR="003912EC" w:rsidRPr="006E69BF">
        <w:rPr>
          <w:rFonts w:asciiTheme="minorHAnsi" w:hAnsiTheme="minorHAnsi"/>
          <w:szCs w:val="24"/>
        </w:rPr>
        <w:t xml:space="preserve"> juillet 2016), à Tunis</w:t>
      </w:r>
      <w:r w:rsidR="00A6311D" w:rsidRPr="006E69BF">
        <w:rPr>
          <w:rFonts w:asciiTheme="minorHAnsi" w:hAnsiTheme="minorHAnsi"/>
          <w:szCs w:val="24"/>
        </w:rPr>
        <w:t xml:space="preserve"> </w:t>
      </w:r>
      <w:r w:rsidR="003912EC" w:rsidRPr="006E69BF">
        <w:rPr>
          <w:rFonts w:asciiTheme="minorHAnsi" w:hAnsiTheme="minorHAnsi"/>
          <w:szCs w:val="24"/>
        </w:rPr>
        <w:t>(</w:t>
      </w:r>
      <w:r w:rsidR="00A6311D" w:rsidRPr="006E69BF">
        <w:rPr>
          <w:rFonts w:asciiTheme="minorHAnsi" w:hAnsiTheme="minorHAnsi"/>
          <w:szCs w:val="24"/>
        </w:rPr>
        <w:t>Tunisie</w:t>
      </w:r>
      <w:r w:rsidR="003912EC" w:rsidRPr="006E69BF">
        <w:rPr>
          <w:rFonts w:asciiTheme="minorHAnsi" w:hAnsiTheme="minorHAnsi"/>
          <w:szCs w:val="24"/>
        </w:rPr>
        <w:t>)</w:t>
      </w:r>
      <w:r w:rsidR="00A6311D" w:rsidRPr="006E69BF">
        <w:rPr>
          <w:rFonts w:asciiTheme="minorHAnsi" w:hAnsiTheme="minorHAnsi"/>
          <w:szCs w:val="24"/>
        </w:rPr>
        <w:t xml:space="preserve"> </w:t>
      </w:r>
      <w:r w:rsidR="004B4778" w:rsidRPr="006E69BF">
        <w:rPr>
          <w:rFonts w:asciiTheme="minorHAnsi" w:hAnsiTheme="minorHAnsi"/>
          <w:szCs w:val="24"/>
        </w:rPr>
        <w:t xml:space="preserve">pour la </w:t>
      </w:r>
      <w:hyperlink r:id="rId45" w:history="1">
        <w:r w:rsidR="004B4778" w:rsidRPr="006E69BF">
          <w:rPr>
            <w:rStyle w:val="Hyperlink"/>
            <w:rFonts w:asciiTheme="minorHAnsi" w:hAnsiTheme="minorHAnsi"/>
            <w:szCs w:val="24"/>
          </w:rPr>
          <w:t>région des Etats arabes</w:t>
        </w:r>
      </w:hyperlink>
      <w:r w:rsidR="00A6311D" w:rsidRPr="006E69BF">
        <w:rPr>
          <w:rFonts w:asciiTheme="minorHAnsi" w:hAnsiTheme="minorHAnsi"/>
          <w:szCs w:val="24"/>
        </w:rPr>
        <w:t xml:space="preserve"> (23-27 mai 2016) </w:t>
      </w:r>
      <w:r w:rsidR="009548A0" w:rsidRPr="006E69BF">
        <w:rPr>
          <w:rFonts w:asciiTheme="minorHAnsi" w:hAnsiTheme="minorHAnsi"/>
          <w:szCs w:val="24"/>
        </w:rPr>
        <w:t xml:space="preserve">et à </w:t>
      </w:r>
      <w:r w:rsidR="00A6311D" w:rsidRPr="006E69BF">
        <w:rPr>
          <w:rFonts w:asciiTheme="minorHAnsi" w:hAnsiTheme="minorHAnsi"/>
          <w:szCs w:val="24"/>
        </w:rPr>
        <w:t>Mauri</w:t>
      </w:r>
      <w:r w:rsidR="009548A0" w:rsidRPr="006E69BF">
        <w:rPr>
          <w:rFonts w:asciiTheme="minorHAnsi" w:hAnsiTheme="minorHAnsi"/>
          <w:szCs w:val="24"/>
        </w:rPr>
        <w:t>ce</w:t>
      </w:r>
      <w:r w:rsidR="00A6311D" w:rsidRPr="006E69BF">
        <w:rPr>
          <w:rFonts w:asciiTheme="minorHAnsi" w:hAnsiTheme="minorHAnsi"/>
          <w:szCs w:val="24"/>
        </w:rPr>
        <w:t xml:space="preserve"> </w:t>
      </w:r>
      <w:r w:rsidR="004B4778" w:rsidRPr="006E69BF">
        <w:rPr>
          <w:rFonts w:asciiTheme="minorHAnsi" w:hAnsiTheme="minorHAnsi"/>
          <w:szCs w:val="24"/>
        </w:rPr>
        <w:t xml:space="preserve">pour la </w:t>
      </w:r>
      <w:hyperlink r:id="rId46" w:history="1">
        <w:r w:rsidR="004B4778" w:rsidRPr="006E69BF">
          <w:rPr>
            <w:rStyle w:val="Hyperlink"/>
            <w:rFonts w:asciiTheme="minorHAnsi" w:hAnsiTheme="minorHAnsi"/>
            <w:szCs w:val="24"/>
          </w:rPr>
          <w:t>région Afrique</w:t>
        </w:r>
      </w:hyperlink>
      <w:r w:rsidR="00A6311D" w:rsidRPr="006E69BF">
        <w:rPr>
          <w:rFonts w:asciiTheme="minorHAnsi" w:hAnsiTheme="minorHAnsi"/>
          <w:szCs w:val="24"/>
        </w:rPr>
        <w:t xml:space="preserve"> (4-8 </w:t>
      </w:r>
      <w:r w:rsidR="009548A0" w:rsidRPr="006E69BF">
        <w:rPr>
          <w:rFonts w:asciiTheme="minorHAnsi" w:hAnsiTheme="minorHAnsi"/>
          <w:szCs w:val="24"/>
        </w:rPr>
        <w:t>avril</w:t>
      </w:r>
      <w:r w:rsidR="00A6311D" w:rsidRPr="006E69BF">
        <w:rPr>
          <w:rFonts w:asciiTheme="minorHAnsi" w:hAnsiTheme="minorHAnsi"/>
          <w:szCs w:val="24"/>
        </w:rPr>
        <w:t xml:space="preserve"> 2016).</w:t>
      </w:r>
    </w:p>
    <w:p w:rsidR="004A4EA6" w:rsidRPr="006E69BF" w:rsidRDefault="009F5CE7" w:rsidP="00FC60E0">
      <w:r w:rsidRPr="006E69BF">
        <w:t>4.</w:t>
      </w:r>
      <w:r w:rsidR="004B4778" w:rsidRPr="006E69BF">
        <w:t>4</w:t>
      </w:r>
      <w:r w:rsidRPr="006E69BF">
        <w:tab/>
        <w:t xml:space="preserve">Un </w:t>
      </w:r>
      <w:hyperlink r:id="rId47" w:history="1">
        <w:r w:rsidRPr="006E69BF">
          <w:rPr>
            <w:rStyle w:val="Hyperlink"/>
          </w:rPr>
          <w:t>kit pratique sur les stratégies nationales</w:t>
        </w:r>
      </w:hyperlink>
      <w:r w:rsidRPr="006E69BF">
        <w:t xml:space="preserve"> en matière de </w:t>
      </w:r>
      <w:proofErr w:type="spellStart"/>
      <w:r w:rsidRPr="006E69BF">
        <w:t>cybersécurité</w:t>
      </w:r>
      <w:proofErr w:type="spellEnd"/>
      <w:r w:rsidRPr="006E69BF">
        <w:t xml:space="preserve"> est en cours d'élaboration, dans le cadre d'une action coordonnée par l'UIT qui fait appel à de multiples parties prenantes. Pour faire avancer les travaux, </w:t>
      </w:r>
      <w:r w:rsidR="003912EC" w:rsidRPr="006E69BF">
        <w:t>trois</w:t>
      </w:r>
      <w:r w:rsidRPr="006E69BF">
        <w:t xml:space="preserve"> atelier</w:t>
      </w:r>
      <w:r w:rsidR="003912EC" w:rsidRPr="006E69BF">
        <w:t>s</w:t>
      </w:r>
      <w:r w:rsidRPr="006E69BF">
        <w:t xml:space="preserve"> réunissant les partenaires concernés </w:t>
      </w:r>
      <w:r w:rsidR="003912EC" w:rsidRPr="006E69BF">
        <w:t>ont</w:t>
      </w:r>
      <w:r w:rsidRPr="006E69BF">
        <w:t xml:space="preserve"> été organisé</w:t>
      </w:r>
      <w:r w:rsidR="003912EC" w:rsidRPr="006E69BF">
        <w:t>s</w:t>
      </w:r>
      <w:r w:rsidRPr="006E69BF">
        <w:t xml:space="preserve"> les 18 et 19 février 2016 au siège de l'UIT à Genève (Suisse)</w:t>
      </w:r>
      <w:r w:rsidR="003912EC" w:rsidRPr="006E69BF">
        <w:t xml:space="preserve">, les 6 et 7 juin 2016 à la Saïd Business </w:t>
      </w:r>
      <w:proofErr w:type="spellStart"/>
      <w:r w:rsidR="003912EC" w:rsidRPr="006E69BF">
        <w:t>School</w:t>
      </w:r>
      <w:proofErr w:type="spellEnd"/>
      <w:r w:rsidR="003912EC" w:rsidRPr="006E69BF">
        <w:t xml:space="preserve"> de l'Université d'Oxford (Royaume-Uni) et les 13 et 14 octobre 201</w:t>
      </w:r>
      <w:r w:rsidR="00FF5E56" w:rsidRPr="006E69BF">
        <w:t>6</w:t>
      </w:r>
      <w:r w:rsidR="003912EC" w:rsidRPr="006E69BF">
        <w:t xml:space="preserve"> à Washington DC (Etats-Unis), à l'invitation de l'Organisation des Etats Américains (OEA). Ce kit pratique sera bientôt achevé et sera mis à la disposition du public d'ici à </w:t>
      </w:r>
      <w:r w:rsidR="00FF5E56" w:rsidRPr="006E69BF">
        <w:t xml:space="preserve">la </w:t>
      </w:r>
      <w:r w:rsidR="003912EC" w:rsidRPr="006E69BF">
        <w:t xml:space="preserve">fin </w:t>
      </w:r>
      <w:r w:rsidR="00FF5E56" w:rsidRPr="006E69BF">
        <w:t xml:space="preserve">de l'année </w:t>
      </w:r>
      <w:r w:rsidR="003912EC" w:rsidRPr="006E69BF">
        <w:t>2017.</w:t>
      </w:r>
      <w:r w:rsidR="004A4EA6" w:rsidRPr="006E69BF">
        <w:t xml:space="preserve"> </w:t>
      </w:r>
    </w:p>
    <w:p w:rsidR="004D1123" w:rsidRPr="006E69BF" w:rsidRDefault="004A4EA6" w:rsidP="00FC60E0">
      <w:r w:rsidRPr="006E69BF">
        <w:t>4.5</w:t>
      </w:r>
      <w:r w:rsidRPr="006E69BF">
        <w:tab/>
      </w:r>
      <w:r w:rsidR="005A6EFC" w:rsidRPr="006E69BF">
        <w:t>L</w:t>
      </w:r>
      <w:r w:rsidR="004D1123" w:rsidRPr="006E69BF">
        <w:t xml:space="preserve">'UIT </w:t>
      </w:r>
      <w:r w:rsidR="00FF5E56" w:rsidRPr="006E69BF">
        <w:t>a fourni une assistance au</w:t>
      </w:r>
      <w:r w:rsidR="005A6EFC" w:rsidRPr="006E69BF">
        <w:t xml:space="preserve"> </w:t>
      </w:r>
      <w:r w:rsidR="004D1123" w:rsidRPr="006E69BF">
        <w:t xml:space="preserve">Népal </w:t>
      </w:r>
      <w:r w:rsidR="005A6EFC" w:rsidRPr="006E69BF">
        <w:t>concernant l'élaboration d</w:t>
      </w:r>
      <w:r w:rsidR="004D1123" w:rsidRPr="006E69BF">
        <w:t>e</w:t>
      </w:r>
      <w:r w:rsidR="00FF5E56" w:rsidRPr="006E69BF">
        <w:t xml:space="preserve"> sa</w:t>
      </w:r>
      <w:r w:rsidR="004D1123" w:rsidRPr="006E69BF">
        <w:t xml:space="preserve"> stratégie nationale de </w:t>
      </w:r>
      <w:proofErr w:type="spellStart"/>
      <w:r w:rsidR="004D1123" w:rsidRPr="006E69BF">
        <w:t>cybersécurité</w:t>
      </w:r>
      <w:proofErr w:type="spellEnd"/>
      <w:r w:rsidR="004D1123" w:rsidRPr="006E69BF">
        <w:t xml:space="preserve"> </w:t>
      </w:r>
      <w:r w:rsidR="005A6EFC" w:rsidRPr="006E69BF">
        <w:t xml:space="preserve">et la protection en ligne des enfants, ce qui a permis d'améliorer </w:t>
      </w:r>
      <w:r w:rsidR="004D1123" w:rsidRPr="006E69BF">
        <w:t xml:space="preserve">la sensibilisation et </w:t>
      </w:r>
      <w:r w:rsidR="005A6EFC" w:rsidRPr="006E69BF">
        <w:t xml:space="preserve">de renforcer </w:t>
      </w:r>
      <w:r w:rsidR="004D1123" w:rsidRPr="006E69BF">
        <w:t xml:space="preserve">les capacités </w:t>
      </w:r>
      <w:r w:rsidR="005A6EFC" w:rsidRPr="006E69BF">
        <w:t xml:space="preserve">au sein </w:t>
      </w:r>
      <w:r w:rsidR="004D1123" w:rsidRPr="006E69BF">
        <w:t xml:space="preserve">d'une centaine de parties prenantes issues des secteurs public, réglementaire et privé. Elle a également </w:t>
      </w:r>
      <w:r w:rsidR="00FF5E56" w:rsidRPr="006E69BF">
        <w:t>men</w:t>
      </w:r>
      <w:r w:rsidR="004D1123" w:rsidRPr="006E69BF">
        <w:t>é avec</w:t>
      </w:r>
      <w:r w:rsidR="0024677E">
        <w:t xml:space="preserve"> succès</w:t>
      </w:r>
      <w:r w:rsidR="004D1123" w:rsidRPr="006E69BF">
        <w:t xml:space="preserve"> une simulation de </w:t>
      </w:r>
      <w:proofErr w:type="spellStart"/>
      <w:r w:rsidR="004D1123" w:rsidRPr="006E69BF">
        <w:t>cybersécurité</w:t>
      </w:r>
      <w:proofErr w:type="spellEnd"/>
      <w:r w:rsidR="004D1123" w:rsidRPr="006E69BF">
        <w:t xml:space="preserve"> et </w:t>
      </w:r>
      <w:r w:rsidR="00FF5E56" w:rsidRPr="006E69BF">
        <w:t>renforc</w:t>
      </w:r>
      <w:r w:rsidR="004D1123" w:rsidRPr="006E69BF">
        <w:t>é la coopération avec l'Autorité des té</w:t>
      </w:r>
      <w:r w:rsidR="00FF5E56" w:rsidRPr="006E69BF">
        <w:t>lécommunications du Népal (NTA).</w:t>
      </w:r>
    </w:p>
    <w:p w:rsidR="004D1123" w:rsidRPr="006E69BF" w:rsidRDefault="004D1123" w:rsidP="00FC60E0">
      <w:r w:rsidRPr="006E69BF">
        <w:t>4.6</w:t>
      </w:r>
      <w:r w:rsidRPr="006E69BF">
        <w:tab/>
        <w:t xml:space="preserve">Une enquête sur l'état de préparation en matière de </w:t>
      </w:r>
      <w:proofErr w:type="spellStart"/>
      <w:r w:rsidRPr="006E69BF">
        <w:t>cybersécurité</w:t>
      </w:r>
      <w:proofErr w:type="spellEnd"/>
      <w:r w:rsidRPr="006E69BF">
        <w:t xml:space="preserve"> a été menée dans plusieurs pays de la région Asie-Pacifique (2015-2016) sur la base des cinq </w:t>
      </w:r>
      <w:r w:rsidR="0024677E" w:rsidRPr="006E69BF">
        <w:t>piliers</w:t>
      </w:r>
      <w:r w:rsidRPr="006E69BF">
        <w:t xml:space="preserve"> du Programme mondial </w:t>
      </w:r>
      <w:proofErr w:type="spellStart"/>
      <w:r w:rsidRPr="006E69BF">
        <w:t>cybersécurité</w:t>
      </w:r>
      <w:proofErr w:type="spellEnd"/>
      <w:r w:rsidRPr="006E69BF">
        <w:t xml:space="preserve"> (GCA).</w:t>
      </w:r>
    </w:p>
    <w:p w:rsidR="009F5CE7" w:rsidRPr="006E69BF" w:rsidRDefault="009F5CE7" w:rsidP="007F5C0E">
      <w:pPr>
        <w:pStyle w:val="Heading1"/>
      </w:pPr>
      <w:r w:rsidRPr="006E69BF">
        <w:t>5</w:t>
      </w:r>
      <w:r w:rsidRPr="006E69BF">
        <w:tab/>
        <w:t>Renforcement des capacités</w:t>
      </w:r>
    </w:p>
    <w:p w:rsidR="009F5CE7" w:rsidRPr="006E69BF" w:rsidRDefault="009F5CE7" w:rsidP="00FC60E0">
      <w:r w:rsidRPr="006E69BF">
        <w:t>5.1</w:t>
      </w:r>
      <w:r w:rsidRPr="006E69BF">
        <w:tab/>
        <w:t xml:space="preserve">L'UIT continue d'organiser des </w:t>
      </w:r>
      <w:hyperlink r:id="rId48" w:history="1">
        <w:r w:rsidRPr="006E69BF">
          <w:rPr>
            <w:rStyle w:val="Hyperlink"/>
            <w:rFonts w:asciiTheme="minorHAnsi" w:hAnsiTheme="minorHAnsi"/>
            <w:szCs w:val="24"/>
          </w:rPr>
          <w:t xml:space="preserve">forums régionaux sur la </w:t>
        </w:r>
        <w:proofErr w:type="spellStart"/>
        <w:r w:rsidRPr="006E69BF">
          <w:rPr>
            <w:rStyle w:val="Hyperlink"/>
            <w:rFonts w:asciiTheme="minorHAnsi" w:hAnsiTheme="minorHAnsi"/>
            <w:szCs w:val="24"/>
          </w:rPr>
          <w:t>cybersécurité</w:t>
        </w:r>
        <w:proofErr w:type="spellEnd"/>
      </w:hyperlink>
      <w:r w:rsidR="00017F3E" w:rsidRPr="006E69BF">
        <w:t xml:space="preserve"> à l'intention de toutes s</w:t>
      </w:r>
      <w:r w:rsidRPr="006E69BF">
        <w:t xml:space="preserve">es régions, qu'elle utilise comme instrument de renforcement des capacités pour différents programmes et diverses activités de l'UIT-D ainsi que comme cadre opérationnel de coopération aux niveaux régional et international. </w:t>
      </w:r>
    </w:p>
    <w:p w:rsidR="009F5CE7" w:rsidRPr="006E69BF" w:rsidRDefault="009F5CE7" w:rsidP="00FC60E0">
      <w:r w:rsidRPr="006E69BF">
        <w:t>5.</w:t>
      </w:r>
      <w:r w:rsidR="00666CB4" w:rsidRPr="006E69BF">
        <w:t>2</w:t>
      </w:r>
      <w:r w:rsidRPr="006E69BF">
        <w:rPr>
          <w:b/>
          <w:bCs/>
        </w:rPr>
        <w:tab/>
      </w:r>
      <w:r w:rsidRPr="006E69BF">
        <w:t>La Commission d'études 2 de l'UIT-D</w:t>
      </w:r>
      <w:r w:rsidRPr="006E69BF">
        <w:rPr>
          <w:b/>
          <w:bCs/>
        </w:rPr>
        <w:t xml:space="preserve"> </w:t>
      </w:r>
      <w:r w:rsidRPr="006E69BF">
        <w:t xml:space="preserve">poursuit ses travaux </w:t>
      </w:r>
      <w:r w:rsidR="00017F3E" w:rsidRPr="006E69BF">
        <w:t xml:space="preserve">menés </w:t>
      </w:r>
      <w:r w:rsidRPr="006E69BF">
        <w:t>pendant</w:t>
      </w:r>
      <w:r w:rsidR="00017F3E" w:rsidRPr="006E69BF">
        <w:t xml:space="preserve"> la période d'études 2014-2018 sur </w:t>
      </w:r>
      <w:r w:rsidRPr="006E69BF">
        <w:t xml:space="preserve">la </w:t>
      </w:r>
      <w:hyperlink r:id="rId49" w:history="1">
        <w:r w:rsidRPr="006E69BF">
          <w:rPr>
            <w:rStyle w:val="Hyperlink"/>
            <w:rFonts w:asciiTheme="minorHAnsi" w:hAnsiTheme="minorHAnsi"/>
            <w:szCs w:val="24"/>
          </w:rPr>
          <w:t>Question 3/</w:t>
        </w:r>
        <w:proofErr w:type="gramStart"/>
        <w:r w:rsidRPr="006E69BF">
          <w:rPr>
            <w:rStyle w:val="Hyperlink"/>
            <w:rFonts w:asciiTheme="minorHAnsi" w:hAnsiTheme="minorHAnsi"/>
            <w:szCs w:val="24"/>
          </w:rPr>
          <w:t>2</w:t>
        </w:r>
        <w:r w:rsidRPr="006E69BF">
          <w:rPr>
            <w:rStyle w:val="Hyperlink"/>
            <w:rFonts w:asciiTheme="minorHAnsi" w:hAnsiTheme="minorHAnsi"/>
            <w:spacing w:val="-2"/>
            <w:szCs w:val="24"/>
          </w:rPr>
          <w:t>:</w:t>
        </w:r>
        <w:proofErr w:type="gramEnd"/>
        <w:r w:rsidRPr="006E69BF">
          <w:rPr>
            <w:rStyle w:val="Hyperlink"/>
            <w:rFonts w:asciiTheme="minorHAnsi" w:hAnsiTheme="minorHAnsi"/>
            <w:spacing w:val="-2"/>
            <w:szCs w:val="24"/>
          </w:rPr>
          <w:t xml:space="preserve"> </w:t>
        </w:r>
        <w:r w:rsidRPr="006E69BF">
          <w:rPr>
            <w:rStyle w:val="Hyperlink"/>
            <w:rFonts w:asciiTheme="minorHAnsi" w:hAnsiTheme="minorHAnsi"/>
            <w:szCs w:val="24"/>
          </w:rPr>
          <w:t xml:space="preserve">Sécurisation des réseaux d'information et de communication: bonnes pratiques pour créer une culture de la </w:t>
        </w:r>
        <w:proofErr w:type="spellStart"/>
        <w:r w:rsidRPr="006E69BF">
          <w:rPr>
            <w:rStyle w:val="Hyperlink"/>
            <w:rFonts w:asciiTheme="minorHAnsi" w:hAnsiTheme="minorHAnsi"/>
            <w:szCs w:val="24"/>
          </w:rPr>
          <w:t>cybersécurité</w:t>
        </w:r>
        <w:proofErr w:type="spellEnd"/>
      </w:hyperlink>
      <w:r w:rsidRPr="006E69BF">
        <w:rPr>
          <w:color w:val="000000"/>
        </w:rPr>
        <w:t>.</w:t>
      </w:r>
    </w:p>
    <w:p w:rsidR="009C52A5" w:rsidRPr="006E69BF" w:rsidRDefault="009C52A5" w:rsidP="00FC60E0">
      <w:r w:rsidRPr="006E69BF">
        <w:t>5.3</w:t>
      </w:r>
      <w:r w:rsidRPr="006E69BF">
        <w:tab/>
      </w:r>
      <w:r w:rsidR="00725B1A" w:rsidRPr="006E69BF">
        <w:t>U</w:t>
      </w:r>
      <w:r w:rsidRPr="006E69BF">
        <w:t xml:space="preserve">n atelier sur le thème </w:t>
      </w:r>
      <w:hyperlink r:id="rId50" w:history="1">
        <w:r w:rsidRPr="006E69BF">
          <w:rPr>
            <w:rStyle w:val="Hyperlink"/>
            <w:rFonts w:asciiTheme="minorHAnsi" w:hAnsiTheme="minorHAnsi" w:cstheme="majorBidi"/>
            <w:szCs w:val="24"/>
          </w:rPr>
          <w:t xml:space="preserve">"Stratégie de la </w:t>
        </w:r>
        <w:proofErr w:type="spellStart"/>
        <w:r w:rsidRPr="006E69BF">
          <w:rPr>
            <w:rStyle w:val="Hyperlink"/>
            <w:rFonts w:asciiTheme="minorHAnsi" w:hAnsiTheme="minorHAnsi" w:cstheme="majorBidi"/>
            <w:szCs w:val="24"/>
          </w:rPr>
          <w:t>cybersécurité</w:t>
        </w:r>
        <w:proofErr w:type="spellEnd"/>
        <w:r w:rsidRPr="006E69BF">
          <w:rPr>
            <w:rStyle w:val="Hyperlink"/>
            <w:rFonts w:asciiTheme="minorHAnsi" w:hAnsiTheme="minorHAnsi" w:cstheme="majorBidi"/>
            <w:szCs w:val="24"/>
          </w:rPr>
          <w:t xml:space="preserve"> dans les pays d'Afrique"</w:t>
        </w:r>
      </w:hyperlink>
      <w:r w:rsidRPr="006E69BF">
        <w:t xml:space="preserve"> </w:t>
      </w:r>
      <w:r w:rsidR="00725B1A" w:rsidRPr="006E69BF">
        <w:t>a été organisé conjointement par l'UIT et l'UAT avec l'appui du TSB et du BDT,</w:t>
      </w:r>
      <w:r w:rsidRPr="006E69BF">
        <w:t xml:space="preserve"> </w:t>
      </w:r>
      <w:r w:rsidR="00017F3E" w:rsidRPr="006E69BF">
        <w:t xml:space="preserve">du 24 au 26 juillet 2016, au siège de la National </w:t>
      </w:r>
      <w:proofErr w:type="spellStart"/>
      <w:r w:rsidR="00017F3E" w:rsidRPr="006E69BF">
        <w:t>Telecommunication</w:t>
      </w:r>
      <w:proofErr w:type="spellEnd"/>
      <w:r w:rsidR="00017F3E" w:rsidRPr="006E69BF">
        <w:t xml:space="preserve"> Corporation (NTC) </w:t>
      </w:r>
      <w:r w:rsidRPr="006E69BF">
        <w:t>à Khartoum (République du Soudan).</w:t>
      </w:r>
    </w:p>
    <w:p w:rsidR="00725B1A" w:rsidRPr="006E69BF" w:rsidRDefault="009C52A5" w:rsidP="00FC60E0">
      <w:r w:rsidRPr="006E69BF">
        <w:t>5.4</w:t>
      </w:r>
      <w:r w:rsidRPr="006E69BF">
        <w:tab/>
      </w:r>
      <w:r w:rsidR="00725B1A" w:rsidRPr="006E69BF">
        <w:t xml:space="preserve">Pour la première fois, l'UIT a travaillé officiellement en partenariat avec l'Agence européenne chargée de la sécurité des réseaux et de l'information (ENISA) pour organiser un </w:t>
      </w:r>
      <w:hyperlink r:id="rId51" w:history="1">
        <w:r w:rsidR="00725B1A" w:rsidRPr="006E69BF">
          <w:rPr>
            <w:rStyle w:val="Hyperlink"/>
            <w:rFonts w:asciiTheme="minorHAnsi" w:hAnsiTheme="minorHAnsi" w:cstheme="majorBidi"/>
            <w:szCs w:val="24"/>
          </w:rPr>
          <w:t xml:space="preserve">Forum régional </w:t>
        </w:r>
        <w:r w:rsidR="00017F3E" w:rsidRPr="006E69BF">
          <w:rPr>
            <w:rStyle w:val="Hyperlink"/>
            <w:rFonts w:asciiTheme="minorHAnsi" w:hAnsiTheme="minorHAnsi" w:cstheme="majorBidi"/>
            <w:szCs w:val="24"/>
          </w:rPr>
          <w:t xml:space="preserve">conjoint </w:t>
        </w:r>
        <w:r w:rsidR="00725B1A" w:rsidRPr="006E69BF">
          <w:rPr>
            <w:rStyle w:val="Hyperlink"/>
            <w:rFonts w:asciiTheme="minorHAnsi" w:hAnsiTheme="minorHAnsi" w:cstheme="majorBidi"/>
            <w:szCs w:val="24"/>
          </w:rPr>
          <w:t xml:space="preserve">UIT-ENISA sur la </w:t>
        </w:r>
        <w:proofErr w:type="spellStart"/>
        <w:r w:rsidR="00725B1A" w:rsidRPr="006E69BF">
          <w:rPr>
            <w:rStyle w:val="Hyperlink"/>
            <w:rFonts w:asciiTheme="minorHAnsi" w:hAnsiTheme="minorHAnsi" w:cstheme="majorBidi"/>
            <w:szCs w:val="24"/>
          </w:rPr>
          <w:t>cybersécurité</w:t>
        </w:r>
        <w:proofErr w:type="spellEnd"/>
      </w:hyperlink>
      <w:r w:rsidR="00017F3E" w:rsidRPr="006E69BF">
        <w:t>,</w:t>
      </w:r>
      <w:r w:rsidR="00725B1A" w:rsidRPr="006E69BF">
        <w:t xml:space="preserve"> les 29 et 30 novembre 2016 à Sofia (Bulgarie).</w:t>
      </w:r>
    </w:p>
    <w:p w:rsidR="00370EC9" w:rsidRPr="006E69BF" w:rsidRDefault="009C52A5" w:rsidP="00FC60E0">
      <w:r w:rsidRPr="006E69BF">
        <w:t>5.5</w:t>
      </w:r>
      <w:r w:rsidR="00612895" w:rsidRPr="006E69BF">
        <w:tab/>
      </w:r>
      <w:r w:rsidR="008B48AB" w:rsidRPr="006E69BF">
        <w:t>La 4ème édition de la</w:t>
      </w:r>
      <w:r w:rsidR="002E78B2" w:rsidRPr="006E69BF">
        <w:t xml:space="preserve"> </w:t>
      </w:r>
      <w:hyperlink r:id="rId52" w:history="1">
        <w:r w:rsidR="002E78B2" w:rsidRPr="006E69BF">
          <w:rPr>
            <w:rStyle w:val="Hyperlink"/>
            <w:rFonts w:asciiTheme="minorHAnsi" w:hAnsiTheme="minorHAnsi"/>
            <w:szCs w:val="24"/>
          </w:rPr>
          <w:t xml:space="preserve">"Plate-forme de dialogue entre secteur public et secteur privé sur la </w:t>
        </w:r>
        <w:proofErr w:type="spellStart"/>
        <w:r w:rsidR="002E78B2" w:rsidRPr="006E69BF">
          <w:rPr>
            <w:rStyle w:val="Hyperlink"/>
            <w:rFonts w:asciiTheme="minorHAnsi" w:hAnsiTheme="minorHAnsi"/>
            <w:szCs w:val="24"/>
          </w:rPr>
          <w:t>cybersécurité</w:t>
        </w:r>
        <w:proofErr w:type="spellEnd"/>
        <w:r w:rsidR="002E78B2" w:rsidRPr="006E69BF">
          <w:rPr>
            <w:rStyle w:val="Hyperlink"/>
            <w:rFonts w:asciiTheme="minorHAnsi" w:hAnsiTheme="minorHAnsi"/>
            <w:szCs w:val="24"/>
          </w:rPr>
          <w:t xml:space="preserve"> en Europe centrale"</w:t>
        </w:r>
      </w:hyperlink>
      <w:r w:rsidR="002E78B2" w:rsidRPr="006E69BF">
        <w:t xml:space="preserve"> a eu lieu </w:t>
      </w:r>
      <w:r w:rsidR="008B48AB" w:rsidRPr="006E69BF">
        <w:t>du 14 au 16 septembre 2016</w:t>
      </w:r>
      <w:r w:rsidR="002E78B2" w:rsidRPr="006E69BF">
        <w:t xml:space="preserve"> à Sibiu (Roumanie).</w:t>
      </w:r>
    </w:p>
    <w:p w:rsidR="009F5CE7" w:rsidRPr="006E69BF" w:rsidRDefault="009F5CE7" w:rsidP="00FC60E0">
      <w:r w:rsidRPr="006E69BF">
        <w:t>5.</w:t>
      </w:r>
      <w:r w:rsidR="009C52A5" w:rsidRPr="006E69BF">
        <w:t>6</w:t>
      </w:r>
      <w:r w:rsidRPr="006E69BF">
        <w:tab/>
        <w:t xml:space="preserve">A la suite de la présentation en 2014 des premiers résultats du projet relatif à l'Indice de la </w:t>
      </w:r>
      <w:hyperlink r:id="rId53" w:history="1">
        <w:proofErr w:type="spellStart"/>
        <w:r w:rsidRPr="006E69BF">
          <w:rPr>
            <w:rStyle w:val="Hyperlink"/>
            <w:rFonts w:asciiTheme="minorHAnsi" w:hAnsiTheme="minorHAnsi"/>
            <w:szCs w:val="24"/>
          </w:rPr>
          <w:t>cybersécurité</w:t>
        </w:r>
        <w:proofErr w:type="spellEnd"/>
        <w:r w:rsidRPr="006E69BF">
          <w:rPr>
            <w:rStyle w:val="Hyperlink"/>
            <w:rFonts w:asciiTheme="minorHAnsi" w:hAnsiTheme="minorHAnsi"/>
            <w:szCs w:val="24"/>
          </w:rPr>
          <w:t xml:space="preserve"> dans le monde (GCI)</w:t>
        </w:r>
      </w:hyperlink>
      <w:r w:rsidRPr="006E69BF">
        <w:t xml:space="preserve">, une </w:t>
      </w:r>
      <w:hyperlink r:id="rId54" w:history="1">
        <w:r w:rsidRPr="006E69BF">
          <w:rPr>
            <w:rStyle w:val="Hyperlink"/>
            <w:rFonts w:asciiTheme="minorHAnsi" w:hAnsiTheme="minorHAnsi"/>
            <w:szCs w:val="24"/>
          </w:rPr>
          <w:t>nouvelle version du GCI</w:t>
        </w:r>
      </w:hyperlink>
      <w:r w:rsidRPr="006E69BF">
        <w:t>, comprenant un index amélioré et un groupe de partenaires, est en cours d'élaboration.</w:t>
      </w:r>
      <w:r w:rsidR="008B48AB" w:rsidRPr="006E69BF">
        <w:t xml:space="preserve"> </w:t>
      </w:r>
      <w:r w:rsidR="00CC3F40" w:rsidRPr="006E69BF">
        <w:t>A ce jour, 136 pays ont</w:t>
      </w:r>
      <w:r w:rsidR="008B48AB" w:rsidRPr="006E69BF">
        <w:t xml:space="preserve"> répondu au question</w:t>
      </w:r>
      <w:r w:rsidR="00CC3F40" w:rsidRPr="006E69BF">
        <w:t>naire</w:t>
      </w:r>
      <w:r w:rsidR="008B48AB" w:rsidRPr="006E69BF">
        <w:t xml:space="preserve"> et l'analyse des réponses est en cours.</w:t>
      </w:r>
    </w:p>
    <w:p w:rsidR="002E78B2" w:rsidRPr="006E69BF" w:rsidRDefault="002E78B2" w:rsidP="00FC60E0">
      <w:r w:rsidRPr="006E69BF">
        <w:t>5.7</w:t>
      </w:r>
      <w:r w:rsidRPr="006E69BF">
        <w:tab/>
      </w:r>
      <w:r w:rsidR="000F6AE6" w:rsidRPr="006E69BF">
        <w:t>En 2016, l'UIT a aidé au renforcement des compétences techniques pour aider les intervenants en cas d'incident au Myanmar, au Viet Nam, en République démocratique populaire Lao et au Cambodge</w:t>
      </w:r>
      <w:r w:rsidR="00CC3F40" w:rsidRPr="006E69BF">
        <w:t>.</w:t>
      </w:r>
    </w:p>
    <w:p w:rsidR="009F5CE7" w:rsidRPr="006E69BF" w:rsidRDefault="009F5CE7" w:rsidP="00731C72">
      <w:pPr>
        <w:pStyle w:val="Heading1"/>
        <w:spacing w:before="360"/>
      </w:pPr>
      <w:r w:rsidRPr="006E69BF">
        <w:lastRenderedPageBreak/>
        <w:t>6</w:t>
      </w:r>
      <w:r w:rsidRPr="006E69BF">
        <w:tab/>
        <w:t xml:space="preserve">Coopération </w:t>
      </w:r>
      <w:r w:rsidRPr="00FC60E0">
        <w:t>internationale</w:t>
      </w:r>
    </w:p>
    <w:p w:rsidR="009F5CE7" w:rsidRPr="006E69BF" w:rsidRDefault="009F5CE7" w:rsidP="00FC60E0">
      <w:r w:rsidRPr="006E69BF">
        <w:t>6.1</w:t>
      </w:r>
      <w:r w:rsidRPr="006E69BF">
        <w:tab/>
        <w:t xml:space="preserve">L'UIT continue de nouer des relations et des </w:t>
      </w:r>
      <w:hyperlink r:id="rId55" w:history="1">
        <w:r w:rsidRPr="006E69BF">
          <w:rPr>
            <w:rStyle w:val="Hyperlink"/>
            <w:rFonts w:asciiTheme="minorHAnsi" w:hAnsiTheme="minorHAnsi"/>
            <w:szCs w:val="24"/>
          </w:rPr>
          <w:t>partenariats</w:t>
        </w:r>
      </w:hyperlink>
      <w:r w:rsidRPr="006E69BF">
        <w:t xml:space="preserve"> avec diverses organisations et initiatives</w:t>
      </w:r>
      <w:r w:rsidR="00CC3F40" w:rsidRPr="006E69BF">
        <w:t xml:space="preserve"> régionales et internationales</w:t>
      </w:r>
      <w:r w:rsidRPr="006E69BF">
        <w:t xml:space="preserve">, notamment la Commonwealth </w:t>
      </w:r>
      <w:proofErr w:type="spellStart"/>
      <w:r w:rsidRPr="006E69BF">
        <w:t>Cybercrime</w:t>
      </w:r>
      <w:proofErr w:type="spellEnd"/>
      <w:r w:rsidRPr="006E69BF">
        <w:t xml:space="preserve"> Initiative, </w:t>
      </w:r>
      <w:r w:rsidR="00CC3F40" w:rsidRPr="006E69BF">
        <w:t>l'</w:t>
      </w:r>
      <w:r w:rsidRPr="006E69BF">
        <w:t>ENISA, INTERPOL, la CEDEAO, la Banque mondiale le Forum FIRST</w:t>
      </w:r>
      <w:r w:rsidR="000F6AE6" w:rsidRPr="006E69BF">
        <w:t xml:space="preserve"> et les associations régionales d'équipes SCIRT/CERT, comme AP CERT, AFRICA CERT et OIC CERT</w:t>
      </w:r>
      <w:r w:rsidRPr="006E69BF">
        <w:t xml:space="preserve">. </w:t>
      </w:r>
    </w:p>
    <w:p w:rsidR="009F5CE7" w:rsidRPr="006E69BF" w:rsidRDefault="009F5CE7" w:rsidP="00FC60E0">
      <w:r w:rsidRPr="006E69BF">
        <w:t>6.</w:t>
      </w:r>
      <w:r w:rsidR="00D24E20" w:rsidRPr="006E69BF">
        <w:t>2</w:t>
      </w:r>
      <w:r w:rsidRPr="006E69BF">
        <w:tab/>
        <w:t xml:space="preserve">En tant que coordonnateur principal de la grande orientation C5 du SMSI, l'UIT a organisé plusieurs manifestations à l'occasion du </w:t>
      </w:r>
      <w:hyperlink r:id="rId56" w:history="1">
        <w:r w:rsidRPr="006E69BF">
          <w:rPr>
            <w:rStyle w:val="Hyperlink"/>
            <w:rFonts w:asciiTheme="minorHAnsi" w:hAnsiTheme="minorHAnsi"/>
            <w:szCs w:val="24"/>
          </w:rPr>
          <w:t>Forum 201</w:t>
        </w:r>
        <w:r w:rsidR="003A2D7C" w:rsidRPr="006E69BF">
          <w:rPr>
            <w:rStyle w:val="Hyperlink"/>
            <w:rFonts w:asciiTheme="minorHAnsi" w:hAnsiTheme="minorHAnsi"/>
            <w:szCs w:val="24"/>
          </w:rPr>
          <w:t>6</w:t>
        </w:r>
        <w:r w:rsidRPr="006E69BF">
          <w:rPr>
            <w:rStyle w:val="Hyperlink"/>
            <w:rFonts w:asciiTheme="minorHAnsi" w:hAnsiTheme="minorHAnsi"/>
            <w:szCs w:val="24"/>
          </w:rPr>
          <w:t xml:space="preserve"> du SMSI</w:t>
        </w:r>
      </w:hyperlink>
      <w:r w:rsidRPr="006E69BF">
        <w:t>, qui ont permis à tous les groupes de parties prenantes d'échanger des données d'expérience dans le cadre de l</w:t>
      </w:r>
      <w:r w:rsidR="003A2D7C" w:rsidRPr="006E69BF">
        <w:t xml:space="preserve">eur </w:t>
      </w:r>
      <w:r w:rsidRPr="006E69BF">
        <w:t xml:space="preserve">action au niveau mondial en vue </w:t>
      </w:r>
      <w:r w:rsidR="00CC3F40" w:rsidRPr="006E69BF">
        <w:t>d'instaurer</w:t>
      </w:r>
      <w:r w:rsidRPr="006E69BF">
        <w:t xml:space="preserve"> la confiance et la sécurité dans l'utilisation des TIC. </w:t>
      </w:r>
    </w:p>
    <w:p w:rsidR="00C463F9" w:rsidRPr="006E69BF" w:rsidRDefault="00D24E20" w:rsidP="00FC60E0">
      <w:r w:rsidRPr="006E69BF">
        <w:t>6.3</w:t>
      </w:r>
      <w:r w:rsidRPr="006E69BF">
        <w:tab/>
      </w:r>
      <w:r w:rsidR="00C463F9" w:rsidRPr="006E69BF">
        <w:t>Pendant le Forum</w:t>
      </w:r>
      <w:r w:rsidRPr="006E69BF">
        <w:t xml:space="preserve"> </w:t>
      </w:r>
      <w:r w:rsidR="00CC3F40" w:rsidRPr="006E69BF">
        <w:t xml:space="preserve">d'ITU </w:t>
      </w:r>
      <w:r w:rsidRPr="006E69BF">
        <w:t xml:space="preserve">Telecom 2016, </w:t>
      </w:r>
      <w:r w:rsidR="00C463F9" w:rsidRPr="006E69BF">
        <w:t>l'UIT</w:t>
      </w:r>
      <w:r w:rsidRPr="006E69BF">
        <w:t xml:space="preserve">, </w:t>
      </w:r>
      <w:r w:rsidR="00C463F9" w:rsidRPr="006E69BF">
        <w:t>en</w:t>
      </w:r>
      <w:r w:rsidRPr="006E69BF">
        <w:t xml:space="preserve"> collaboration </w:t>
      </w:r>
      <w:r w:rsidR="00C463F9" w:rsidRPr="006E69BF">
        <w:t>avec l'</w:t>
      </w:r>
      <w:proofErr w:type="spellStart"/>
      <w:r w:rsidRPr="006E69BF">
        <w:t>EastWest</w:t>
      </w:r>
      <w:proofErr w:type="spellEnd"/>
      <w:r w:rsidRPr="006E69BF">
        <w:t xml:space="preserve"> Institute (EWI), </w:t>
      </w:r>
      <w:r w:rsidR="00C463F9" w:rsidRPr="006E69BF">
        <w:t xml:space="preserve">a organisé une séance de discussion sur le thème </w:t>
      </w:r>
      <w:hyperlink r:id="rId57" w:history="1">
        <w:r w:rsidR="00C463F9" w:rsidRPr="006E69BF">
          <w:rPr>
            <w:rStyle w:val="Hyperlink"/>
            <w:rFonts w:asciiTheme="minorHAnsi" w:hAnsiTheme="minorHAnsi"/>
            <w:spacing w:val="-2"/>
            <w:szCs w:val="24"/>
          </w:rPr>
          <w:t>"Confiance dans les TIC, innovation et commerce"</w:t>
        </w:r>
      </w:hyperlink>
      <w:r w:rsidR="00C463F9" w:rsidRPr="006E69BF">
        <w:t>.</w:t>
      </w:r>
    </w:p>
    <w:p w:rsidR="003D276F" w:rsidRPr="006E69BF" w:rsidRDefault="00D24E20" w:rsidP="00FC60E0">
      <w:r w:rsidRPr="006E69BF">
        <w:t>6.4</w:t>
      </w:r>
      <w:r w:rsidRPr="006E69BF">
        <w:tab/>
      </w:r>
      <w:r w:rsidR="003D276F" w:rsidRPr="006E69BF">
        <w:t xml:space="preserve">L'UIT a participé à la </w:t>
      </w:r>
      <w:hyperlink r:id="rId58" w:history="1">
        <w:r w:rsidR="003D276F" w:rsidRPr="006E69BF">
          <w:rPr>
            <w:rStyle w:val="Hyperlink"/>
            <w:rFonts w:asciiTheme="minorHAnsi" w:hAnsiTheme="minorHAnsi"/>
            <w:spacing w:val="-2"/>
            <w:szCs w:val="24"/>
          </w:rPr>
          <w:t>conférence internationale multi-parties prenantes "Cyberespace, énergie et dévelop</w:t>
        </w:r>
        <w:r w:rsidR="00CC3F40" w:rsidRPr="006E69BF">
          <w:rPr>
            <w:rStyle w:val="Hyperlink"/>
            <w:rFonts w:asciiTheme="minorHAnsi" w:hAnsiTheme="minorHAnsi"/>
            <w:spacing w:val="-2"/>
            <w:szCs w:val="24"/>
          </w:rPr>
          <w:t>pement –</w:t>
        </w:r>
        <w:r w:rsidR="003D276F" w:rsidRPr="006E69BF">
          <w:rPr>
            <w:rStyle w:val="Hyperlink"/>
            <w:rFonts w:asciiTheme="minorHAnsi" w:hAnsiTheme="minorHAnsi"/>
            <w:spacing w:val="-2"/>
            <w:szCs w:val="24"/>
          </w:rPr>
          <w:t xml:space="preserve"> Protection des infrastructures énergétiques essentielles"</w:t>
        </w:r>
      </w:hyperlink>
      <w:r w:rsidR="003D276F" w:rsidRPr="006E69BF">
        <w:t xml:space="preserve"> organisée par le Gouve</w:t>
      </w:r>
      <w:r w:rsidR="00CC3F40" w:rsidRPr="006E69BF">
        <w:t>rnement de l'Autriche, l'</w:t>
      </w:r>
      <w:proofErr w:type="spellStart"/>
      <w:r w:rsidR="00CC3F40" w:rsidRPr="006E69BF">
        <w:t>EnergyPa</w:t>
      </w:r>
      <w:r w:rsidR="003D276F" w:rsidRPr="006E69BF">
        <w:t>ct</w:t>
      </w:r>
      <w:proofErr w:type="spellEnd"/>
      <w:r w:rsidR="003D276F" w:rsidRPr="006E69BF">
        <w:t xml:space="preserve"> </w:t>
      </w:r>
      <w:proofErr w:type="spellStart"/>
      <w:r w:rsidR="003D276F" w:rsidRPr="006E69BF">
        <w:t>Foundation</w:t>
      </w:r>
      <w:proofErr w:type="spellEnd"/>
      <w:r w:rsidR="00CC3F40" w:rsidRPr="006E69BF">
        <w:t xml:space="preserve"> et l'Institut autrichien de la technologie</w:t>
      </w:r>
      <w:r w:rsidR="003D276F" w:rsidRPr="006E69BF">
        <w:t>, avec le concours de la CEI, de l'ONUDC et de l'UIT, à Vienne (Autriche) le 16 février 2017.</w:t>
      </w:r>
    </w:p>
    <w:p w:rsidR="009F5CE7" w:rsidRPr="006E69BF" w:rsidRDefault="009F5CE7" w:rsidP="00FC60E0">
      <w:r w:rsidRPr="006E69BF">
        <w:t>6.</w:t>
      </w:r>
      <w:r w:rsidR="00D24E20" w:rsidRPr="006E69BF">
        <w:t>5</w:t>
      </w:r>
      <w:r w:rsidRPr="006E69BF">
        <w:tab/>
      </w:r>
      <w:hyperlink r:id="rId59" w:history="1">
        <w:r w:rsidRPr="006E69BF">
          <w:rPr>
            <w:rStyle w:val="Hyperlink"/>
            <w:rFonts w:asciiTheme="minorHAnsi" w:hAnsiTheme="minorHAnsi"/>
            <w:szCs w:val="24"/>
          </w:rPr>
          <w:t>195 profils par pays</w:t>
        </w:r>
      </w:hyperlink>
      <w:r w:rsidRPr="006E69BF">
        <w:t xml:space="preserve"> sont </w:t>
      </w:r>
      <w:r w:rsidR="003D276F" w:rsidRPr="006E69BF">
        <w:t>toujours</w:t>
      </w:r>
      <w:r w:rsidRPr="006E69BF">
        <w:t xml:space="preserve"> à la disposition du public sur le site web de l'UIT. Ces profils sont des représentations factuelles non analytiques de la situation en matière de </w:t>
      </w:r>
      <w:proofErr w:type="spellStart"/>
      <w:r w:rsidRPr="006E69BF">
        <w:t>cybersécurité</w:t>
      </w:r>
      <w:proofErr w:type="spellEnd"/>
      <w:r w:rsidRPr="006E69BF">
        <w:t xml:space="preserve"> de chaque pays, qui reposent sur les </w:t>
      </w:r>
      <w:hyperlink r:id="rId60" w:history="1">
        <w:r w:rsidRPr="006E69BF">
          <w:rPr>
            <w:rStyle w:val="Hyperlink"/>
            <w:rFonts w:asciiTheme="minorHAnsi" w:hAnsiTheme="minorHAnsi"/>
            <w:szCs w:val="24"/>
          </w:rPr>
          <w:t>cinq piliers du programme GCA</w:t>
        </w:r>
      </w:hyperlink>
      <w:r w:rsidRPr="006E69BF">
        <w:t xml:space="preserve">. Il s'agit de documents évolutifs qui </w:t>
      </w:r>
      <w:r w:rsidR="003D276F" w:rsidRPr="006E69BF">
        <w:t>continuent d'être</w:t>
      </w:r>
      <w:r w:rsidRPr="006E69BF">
        <w:t xml:space="preserve"> mis à jour à mesure que de</w:t>
      </w:r>
      <w:r w:rsidR="002F0505" w:rsidRPr="006E69BF">
        <w:t xml:space="preserve"> nouvelles</w:t>
      </w:r>
      <w:r w:rsidRPr="006E69BF">
        <w:t xml:space="preserve"> données concernan</w:t>
      </w:r>
      <w:r w:rsidR="002F0505" w:rsidRPr="006E69BF">
        <w:t>t les pays so</w:t>
      </w:r>
      <w:r w:rsidR="003D276F" w:rsidRPr="006E69BF">
        <w:t>nt</w:t>
      </w:r>
      <w:r w:rsidRPr="006E69BF">
        <w:t xml:space="preserve"> </w:t>
      </w:r>
      <w:r w:rsidR="003D276F" w:rsidRPr="006E69BF">
        <w:t>disponibles</w:t>
      </w:r>
      <w:r w:rsidRPr="006E69BF">
        <w:t>.</w:t>
      </w:r>
    </w:p>
    <w:p w:rsidR="009F5CE7" w:rsidRPr="006E69BF" w:rsidRDefault="009F5CE7" w:rsidP="0024677E">
      <w:pPr>
        <w:pStyle w:val="Heading1"/>
        <w:rPr>
          <w:rFonts w:eastAsia="SimSun" w:cs="Arial"/>
          <w:bCs/>
          <w:szCs w:val="22"/>
        </w:rPr>
      </w:pPr>
      <w:r w:rsidRPr="006E69BF">
        <w:rPr>
          <w:rFonts w:eastAsia="SimSun" w:cs="Arial"/>
          <w:bCs/>
          <w:szCs w:val="22"/>
        </w:rPr>
        <w:t>7</w:t>
      </w:r>
      <w:r w:rsidRPr="006E69BF">
        <w:rPr>
          <w:rFonts w:eastAsia="SimSun" w:cs="Arial"/>
          <w:bCs/>
          <w:szCs w:val="22"/>
        </w:rPr>
        <w:tab/>
      </w:r>
      <w:r w:rsidRPr="006E69BF">
        <w:t xml:space="preserve">Protection en ligne des </w:t>
      </w:r>
      <w:r w:rsidRPr="0024677E">
        <w:t>enfants</w:t>
      </w:r>
      <w:r w:rsidRPr="006E69BF">
        <w:t xml:space="preserve"> (COP) </w:t>
      </w:r>
    </w:p>
    <w:p w:rsidR="009F5CE7" w:rsidRPr="006E69BF" w:rsidRDefault="009F5CE7" w:rsidP="0024677E">
      <w:pPr>
        <w:rPr>
          <w:szCs w:val="24"/>
        </w:rPr>
      </w:pPr>
      <w:r w:rsidRPr="006E69BF">
        <w:rPr>
          <w:rFonts w:cstheme="minorHAnsi"/>
          <w:szCs w:val="24"/>
        </w:rPr>
        <w:t>7.1</w:t>
      </w:r>
      <w:r w:rsidRPr="006E69BF">
        <w:rPr>
          <w:rFonts w:cstheme="minorHAnsi"/>
          <w:szCs w:val="24"/>
        </w:rPr>
        <w:tab/>
      </w:r>
      <w:r w:rsidRPr="006E69BF">
        <w:t xml:space="preserve">Le </w:t>
      </w:r>
      <w:hyperlink r:id="rId61" w:history="1">
        <w:r w:rsidRPr="006E69BF">
          <w:rPr>
            <w:rStyle w:val="Hyperlink"/>
            <w:rFonts w:asciiTheme="minorHAnsi" w:hAnsiTheme="minorHAnsi"/>
          </w:rPr>
          <w:t>Groupe de travail du Conseil sur la protection en ligne des enfants</w:t>
        </w:r>
      </w:hyperlink>
      <w:r w:rsidRPr="006E69BF">
        <w:t xml:space="preserve"> (G</w:t>
      </w:r>
      <w:r w:rsidR="00615F65" w:rsidRPr="006E69BF">
        <w:t>TC</w:t>
      </w:r>
      <w:r w:rsidRPr="006E69BF">
        <w:t xml:space="preserve">-COP) a tenu deux réunions depuis la dernière période considérée, et a notamment organisé des consultations ouvertes en ligne avec des jeunes sur différents thèmes. On trouvera davantage de renseignements dans le </w:t>
      </w:r>
      <w:hyperlink r:id="rId62" w:history="1">
        <w:r w:rsidRPr="006E69BF">
          <w:rPr>
            <w:rStyle w:val="Hyperlink"/>
            <w:rFonts w:asciiTheme="minorHAnsi" w:hAnsiTheme="minorHAnsi"/>
            <w:szCs w:val="24"/>
          </w:rPr>
          <w:t>Document C1</w:t>
        </w:r>
        <w:r w:rsidR="003D276F" w:rsidRPr="006E69BF">
          <w:rPr>
            <w:rStyle w:val="Hyperlink"/>
            <w:rFonts w:asciiTheme="minorHAnsi" w:hAnsiTheme="minorHAnsi"/>
            <w:szCs w:val="24"/>
          </w:rPr>
          <w:t>7</w:t>
        </w:r>
        <w:r w:rsidRPr="006E69BF">
          <w:rPr>
            <w:rStyle w:val="Hyperlink"/>
            <w:rFonts w:asciiTheme="minorHAnsi" w:hAnsiTheme="minorHAnsi"/>
            <w:szCs w:val="24"/>
          </w:rPr>
          <w:t>/15</w:t>
        </w:r>
      </w:hyperlink>
      <w:r w:rsidRPr="006E69BF">
        <w:rPr>
          <w:szCs w:val="24"/>
        </w:rPr>
        <w:t>.</w:t>
      </w:r>
    </w:p>
    <w:p w:rsidR="003D276F" w:rsidRPr="006E69BF" w:rsidRDefault="009F5CE7" w:rsidP="0024677E">
      <w:r w:rsidRPr="006E69BF">
        <w:t>7.2</w:t>
      </w:r>
      <w:r w:rsidRPr="006E69BF">
        <w:tab/>
        <w:t>L'UIT et ses partenaires</w:t>
      </w:r>
      <w:r w:rsidR="003D276F" w:rsidRPr="006E69BF">
        <w:t xml:space="preserve"> continuent de travailler en étroite coopération a</w:t>
      </w:r>
      <w:r w:rsidR="00615F65" w:rsidRPr="006E69BF">
        <w:t>fin</w:t>
      </w:r>
      <w:r w:rsidR="003D276F" w:rsidRPr="006E69BF">
        <w:t xml:space="preserve"> de progresser vers la réalisation des Objectifs de développement durable (ODD), en particulier l'ODD 16.2</w:t>
      </w:r>
      <w:r w:rsidR="005700D8" w:rsidRPr="006E69BF">
        <w:t xml:space="preserve"> "Mettre un terme à la maltraitance, à l’exploitation et à la traite, et à toutes les formes de violence et de torture dont sont victimes les enfants."</w:t>
      </w:r>
    </w:p>
    <w:p w:rsidR="005700D8" w:rsidRPr="006E69BF" w:rsidRDefault="00F42ECB" w:rsidP="0024677E">
      <w:r w:rsidRPr="006E69BF">
        <w:rPr>
          <w:color w:val="000000"/>
        </w:rPr>
        <w:t>7.3</w:t>
      </w:r>
      <w:r w:rsidRPr="006E69BF">
        <w:rPr>
          <w:color w:val="000000"/>
        </w:rPr>
        <w:tab/>
      </w:r>
      <w:r w:rsidR="005700D8" w:rsidRPr="006E69BF">
        <w:rPr>
          <w:color w:val="000000"/>
        </w:rPr>
        <w:t xml:space="preserve">Lors des deux précédentes réunions du GTC-COP, </w:t>
      </w:r>
      <w:r w:rsidRPr="006E69BF">
        <w:t xml:space="preserve">Child </w:t>
      </w:r>
      <w:proofErr w:type="spellStart"/>
      <w:r w:rsidRPr="006E69BF">
        <w:t>Helpline</w:t>
      </w:r>
      <w:proofErr w:type="spellEnd"/>
      <w:r w:rsidRPr="006E69BF">
        <w:t xml:space="preserve"> International (CHI) </w:t>
      </w:r>
      <w:r w:rsidR="005700D8" w:rsidRPr="006E69BF">
        <w:t>a présenté les résultats de la campagne "</w:t>
      </w:r>
      <w:proofErr w:type="spellStart"/>
      <w:r w:rsidR="00731C72">
        <w:fldChar w:fldCharType="begin"/>
      </w:r>
      <w:r w:rsidR="00731C72">
        <w:instrText xml:space="preserve"> HYPERLINK "ht</w:instrText>
      </w:r>
      <w:r w:rsidR="00731C72">
        <w:instrText xml:space="preserve">tp://www.itu.int/en/cop/Pages/consultation-may2016.aspx" </w:instrText>
      </w:r>
      <w:r w:rsidR="00731C72">
        <w:fldChar w:fldCharType="separate"/>
      </w:r>
      <w:r w:rsidR="005700D8" w:rsidRPr="006E69BF">
        <w:rPr>
          <w:rStyle w:val="Hyperlink"/>
          <w:rFonts w:asciiTheme="minorHAnsi" w:hAnsiTheme="minorHAnsi"/>
          <w:szCs w:val="24"/>
        </w:rPr>
        <w:t>Oeuvrer</w:t>
      </w:r>
      <w:proofErr w:type="spellEnd"/>
      <w:r w:rsidR="005700D8" w:rsidRPr="006E69BF">
        <w:rPr>
          <w:rStyle w:val="Hyperlink"/>
          <w:rFonts w:asciiTheme="minorHAnsi" w:hAnsiTheme="minorHAnsi"/>
          <w:szCs w:val="24"/>
        </w:rPr>
        <w:t xml:space="preserve"> en partenariat pour protéger les enfants et les jeunes</w:t>
      </w:r>
      <w:r w:rsidR="00731C72">
        <w:rPr>
          <w:rStyle w:val="Hyperlink"/>
          <w:rFonts w:asciiTheme="minorHAnsi" w:hAnsiTheme="minorHAnsi"/>
          <w:szCs w:val="24"/>
        </w:rPr>
        <w:fldChar w:fldCharType="end"/>
      </w:r>
      <w:r w:rsidR="005700D8" w:rsidRPr="006E69BF">
        <w:t>" menée conjointement par l'UIT et CHI. Les résultats finals de cette campagne, qui avait été lancée en mai</w:t>
      </w:r>
      <w:r w:rsidR="006E69BF" w:rsidRPr="006E69BF">
        <w:t> </w:t>
      </w:r>
      <w:r w:rsidR="005700D8" w:rsidRPr="006E69BF">
        <w:t xml:space="preserve">2016, ont été présentés le 15 novembre 2016 </w:t>
      </w:r>
      <w:r w:rsidR="00B86770" w:rsidRPr="006E69BF">
        <w:t>à l'occasion d'</w:t>
      </w:r>
      <w:r w:rsidR="005700D8" w:rsidRPr="006E69BF">
        <w:t>ITU Telecom World 2016 et de nouvelles méthodes pour développer les services des permanences téléphoniques pour les enfants ont été présentées aux participants. L'accent a été mis sur la collaboration entre les membres de l'UIT et les permanences téléphoniques. Les membres du GTC-COP ont salué cette campagne et le Président a encouragé le Secrétariat à poursuivre cette initiative afin d'avancer vers la réalisation de l'Objectif de développement durable 16.</w:t>
      </w:r>
    </w:p>
    <w:p w:rsidR="005700D8" w:rsidRPr="006E69BF" w:rsidRDefault="00F42ECB" w:rsidP="0024677E">
      <w:pPr>
        <w:keepNext/>
        <w:keepLines/>
        <w:jc w:val="both"/>
        <w:rPr>
          <w:color w:val="000000"/>
        </w:rPr>
      </w:pPr>
      <w:r w:rsidRPr="006E69BF">
        <w:rPr>
          <w:color w:val="000000"/>
        </w:rPr>
        <w:lastRenderedPageBreak/>
        <w:t>7.4</w:t>
      </w:r>
      <w:r w:rsidRPr="006E69BF">
        <w:rPr>
          <w:color w:val="000000"/>
        </w:rPr>
        <w:tab/>
      </w:r>
      <w:r w:rsidR="005700D8" w:rsidRPr="006E69BF">
        <w:rPr>
          <w:color w:val="000000"/>
        </w:rPr>
        <w:t xml:space="preserve">Les bureaux régionaux de l'UIT continuent de fournir une assistance aux Etats Membres concernant l'analyse de leur cadre de protection en ligne des enfants, l'objectif étant d'élaborer et de proposer un cadre viable pouvant être mis en </w:t>
      </w:r>
      <w:proofErr w:type="spellStart"/>
      <w:r w:rsidR="005700D8" w:rsidRPr="006E69BF">
        <w:rPr>
          <w:color w:val="000000"/>
        </w:rPr>
        <w:t>oeuvre</w:t>
      </w:r>
      <w:proofErr w:type="spellEnd"/>
      <w:r w:rsidR="005700D8" w:rsidRPr="006E69BF">
        <w:rPr>
          <w:color w:val="000000"/>
        </w:rPr>
        <w:t xml:space="preserve"> sur une longue période.</w:t>
      </w:r>
    </w:p>
    <w:p w:rsidR="002B184E" w:rsidRPr="006E69BF" w:rsidRDefault="009F5CE7" w:rsidP="0024677E">
      <w:pPr>
        <w:spacing w:before="0"/>
        <w:jc w:val="center"/>
      </w:pPr>
      <w:r w:rsidRPr="006E69BF">
        <w:t>______________</w:t>
      </w:r>
    </w:p>
    <w:sectPr w:rsidR="002B184E" w:rsidRPr="006E69BF" w:rsidSect="005C3890">
      <w:headerReference w:type="even" r:id="rId63"/>
      <w:headerReference w:type="default" r:id="rId64"/>
      <w:footerReference w:type="even" r:id="rId65"/>
      <w:footerReference w:type="default" r:id="rId66"/>
      <w:footerReference w:type="first" r:id="rId6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67C" w:rsidRDefault="0087067C">
      <w:r>
        <w:separator/>
      </w:r>
    </w:p>
  </w:endnote>
  <w:endnote w:type="continuationSeparator" w:id="0">
    <w:p w:rsidR="0087067C" w:rsidRDefault="0087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Default="00731C72">
    <w:pPr>
      <w:pStyle w:val="Footer"/>
    </w:pPr>
    <w:r>
      <w:fldChar w:fldCharType="begin"/>
    </w:r>
    <w:r>
      <w:instrText xml:space="preserve"> FILENAME \p \* MERGEFORMAT </w:instrText>
    </w:r>
    <w:r>
      <w:fldChar w:fldCharType="separate"/>
    </w:r>
    <w:r w:rsidR="00155189">
      <w:t>P:\FRA\SG\CONSEIL\C17\000\018F.docx</w:t>
    </w:r>
    <w:r>
      <w:fldChar w:fldCharType="end"/>
    </w:r>
    <w:r w:rsidR="0087067C">
      <w:tab/>
    </w:r>
    <w:r w:rsidR="0087067C">
      <w:fldChar w:fldCharType="begin"/>
    </w:r>
    <w:r w:rsidR="0087067C">
      <w:instrText xml:space="preserve"> savedate \@ dd.MM.yy </w:instrText>
    </w:r>
    <w:r w:rsidR="0087067C">
      <w:fldChar w:fldCharType="separate"/>
    </w:r>
    <w:r>
      <w:t>23.03.17</w:t>
    </w:r>
    <w:r w:rsidR="0087067C">
      <w:fldChar w:fldCharType="end"/>
    </w:r>
    <w:r w:rsidR="0087067C">
      <w:tab/>
    </w:r>
    <w:r w:rsidR="0087067C">
      <w:fldChar w:fldCharType="begin"/>
    </w:r>
    <w:r w:rsidR="0087067C">
      <w:instrText xml:space="preserve"> printdate \@ dd.MM.yy </w:instrText>
    </w:r>
    <w:r w:rsidR="0087067C">
      <w:fldChar w:fldCharType="separate"/>
    </w:r>
    <w:r w:rsidR="00155189">
      <w:t>22.03.17</w:t>
    </w:r>
    <w:r w:rsidR="0087067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Pr="00731C72" w:rsidRDefault="00731C72" w:rsidP="0027121B">
    <w:pPr>
      <w:pStyle w:val="Footer"/>
      <w:rPr>
        <w:color w:val="D9D9D9" w:themeColor="background1" w:themeShade="D9"/>
      </w:rPr>
    </w:pPr>
    <w:r w:rsidRPr="00731C72">
      <w:rPr>
        <w:color w:val="D9D9D9" w:themeColor="background1" w:themeShade="D9"/>
      </w:rPr>
      <w:fldChar w:fldCharType="begin"/>
    </w:r>
    <w:r w:rsidRPr="00731C72">
      <w:rPr>
        <w:color w:val="D9D9D9" w:themeColor="background1" w:themeShade="D9"/>
      </w:rPr>
      <w:instrText xml:space="preserve"> FILENAME \p  \* MERGEFORMAT </w:instrText>
    </w:r>
    <w:r w:rsidRPr="00731C72">
      <w:rPr>
        <w:color w:val="D9D9D9" w:themeColor="background1" w:themeShade="D9"/>
      </w:rPr>
      <w:fldChar w:fldCharType="separate"/>
    </w:r>
    <w:r w:rsidR="00155189" w:rsidRPr="00731C72">
      <w:rPr>
        <w:color w:val="D9D9D9" w:themeColor="background1" w:themeShade="D9"/>
      </w:rPr>
      <w:t>P:\FRA\SG\CONSEIL\C17\000\018F.docx</w:t>
    </w:r>
    <w:r w:rsidRPr="00731C72">
      <w:rPr>
        <w:color w:val="D9D9D9" w:themeColor="background1" w:themeShade="D9"/>
      </w:rPr>
      <w:fldChar w:fldCharType="end"/>
    </w:r>
    <w:r w:rsidR="002A56CB" w:rsidRPr="00731C72">
      <w:rPr>
        <w:color w:val="D9D9D9" w:themeColor="background1" w:themeShade="D9"/>
      </w:rPr>
      <w:t xml:space="preserve"> (</w:t>
    </w:r>
    <w:r w:rsidR="0027121B" w:rsidRPr="00731C72">
      <w:rPr>
        <w:color w:val="D9D9D9" w:themeColor="background1" w:themeShade="D9"/>
      </w:rPr>
      <w:t>409468</w:t>
    </w:r>
    <w:r w:rsidR="002A56CB" w:rsidRPr="00731C72">
      <w:rPr>
        <w:color w:val="D9D9D9" w:themeColor="background1" w:themeShade="D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Default="0087067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67C" w:rsidRDefault="0087067C">
      <w:r>
        <w:t>____________________</w:t>
      </w:r>
    </w:p>
  </w:footnote>
  <w:footnote w:type="continuationSeparator" w:id="0">
    <w:p w:rsidR="0087067C" w:rsidRDefault="00870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Default="0087067C">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7067C" w:rsidRDefault="0087067C">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Default="0087067C" w:rsidP="00475FB3">
    <w:pPr>
      <w:pStyle w:val="Header"/>
    </w:pPr>
    <w:r>
      <w:fldChar w:fldCharType="begin"/>
    </w:r>
    <w:r>
      <w:instrText>PAGE</w:instrText>
    </w:r>
    <w:r>
      <w:fldChar w:fldCharType="separate"/>
    </w:r>
    <w:r w:rsidR="00731C72">
      <w:rPr>
        <w:noProof/>
      </w:rPr>
      <w:t>2</w:t>
    </w:r>
    <w:r>
      <w:rPr>
        <w:noProof/>
      </w:rPr>
      <w:fldChar w:fldCharType="end"/>
    </w:r>
  </w:p>
  <w:p w:rsidR="0087067C" w:rsidRDefault="0087067C" w:rsidP="006E69BF">
    <w:pPr>
      <w:pStyle w:val="Header"/>
    </w:pPr>
    <w:r>
      <w:t>C17/1</w:t>
    </w:r>
    <w:r w:rsidR="006E69BF">
      <w:t>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07D4"/>
    <w:multiLevelType w:val="hybridMultilevel"/>
    <w:tmpl w:val="8E8066DE"/>
    <w:lvl w:ilvl="0" w:tplc="D7BCFC62">
      <w:start w:val="1"/>
      <w:numFmt w:val="lowerLetter"/>
      <w:lvlText w:val="%1)"/>
      <w:lvlJc w:val="left"/>
      <w:pPr>
        <w:ind w:left="1080" w:hanging="360"/>
      </w:pPr>
      <w:rPr>
        <w:rFonts w:hint="default"/>
      </w:rPr>
    </w:lvl>
    <w:lvl w:ilvl="1" w:tplc="FA1CAACA" w:tentative="1">
      <w:start w:val="1"/>
      <w:numFmt w:val="lowerLetter"/>
      <w:lvlText w:val="%2."/>
      <w:lvlJc w:val="left"/>
      <w:pPr>
        <w:ind w:left="1800" w:hanging="360"/>
      </w:pPr>
    </w:lvl>
    <w:lvl w:ilvl="2" w:tplc="86A63250" w:tentative="1">
      <w:start w:val="1"/>
      <w:numFmt w:val="lowerRoman"/>
      <w:lvlText w:val="%3."/>
      <w:lvlJc w:val="right"/>
      <w:pPr>
        <w:ind w:left="2520" w:hanging="180"/>
      </w:pPr>
    </w:lvl>
    <w:lvl w:ilvl="3" w:tplc="A59A8C12" w:tentative="1">
      <w:start w:val="1"/>
      <w:numFmt w:val="decimal"/>
      <w:lvlText w:val="%4."/>
      <w:lvlJc w:val="left"/>
      <w:pPr>
        <w:ind w:left="3240" w:hanging="360"/>
      </w:pPr>
    </w:lvl>
    <w:lvl w:ilvl="4" w:tplc="06BCD98C" w:tentative="1">
      <w:start w:val="1"/>
      <w:numFmt w:val="lowerLetter"/>
      <w:lvlText w:val="%5."/>
      <w:lvlJc w:val="left"/>
      <w:pPr>
        <w:ind w:left="3960" w:hanging="360"/>
      </w:pPr>
    </w:lvl>
    <w:lvl w:ilvl="5" w:tplc="6974F732" w:tentative="1">
      <w:start w:val="1"/>
      <w:numFmt w:val="lowerRoman"/>
      <w:lvlText w:val="%6."/>
      <w:lvlJc w:val="right"/>
      <w:pPr>
        <w:ind w:left="4680" w:hanging="180"/>
      </w:pPr>
    </w:lvl>
    <w:lvl w:ilvl="6" w:tplc="F634DD1C" w:tentative="1">
      <w:start w:val="1"/>
      <w:numFmt w:val="decimal"/>
      <w:lvlText w:val="%7."/>
      <w:lvlJc w:val="left"/>
      <w:pPr>
        <w:ind w:left="5400" w:hanging="360"/>
      </w:pPr>
    </w:lvl>
    <w:lvl w:ilvl="7" w:tplc="2522D3BC" w:tentative="1">
      <w:start w:val="1"/>
      <w:numFmt w:val="lowerLetter"/>
      <w:lvlText w:val="%8."/>
      <w:lvlJc w:val="left"/>
      <w:pPr>
        <w:ind w:left="6120" w:hanging="360"/>
      </w:pPr>
    </w:lvl>
    <w:lvl w:ilvl="8" w:tplc="61569F48" w:tentative="1">
      <w:start w:val="1"/>
      <w:numFmt w:val="lowerRoman"/>
      <w:lvlText w:val="%9."/>
      <w:lvlJc w:val="right"/>
      <w:pPr>
        <w:ind w:left="6840" w:hanging="180"/>
      </w:pPr>
    </w:lvl>
  </w:abstractNum>
  <w:abstractNum w:abstractNumId="1" w15:restartNumberingAfterBreak="0">
    <w:nsid w:val="204122DC"/>
    <w:multiLevelType w:val="hybridMultilevel"/>
    <w:tmpl w:val="99F85190"/>
    <w:lvl w:ilvl="0" w:tplc="B30208CA">
      <w:start w:val="1"/>
      <w:numFmt w:val="decimal"/>
      <w:lvlText w:val="%1."/>
      <w:lvlJc w:val="left"/>
      <w:pPr>
        <w:ind w:left="720" w:hanging="360"/>
      </w:pPr>
      <w:rPr>
        <w:rFonts w:hint="default"/>
      </w:rPr>
    </w:lvl>
    <w:lvl w:ilvl="1" w:tplc="6BCCE2BC">
      <w:start w:val="1"/>
      <w:numFmt w:val="lowerLetter"/>
      <w:lvlText w:val="%2."/>
      <w:lvlJc w:val="left"/>
      <w:pPr>
        <w:ind w:left="1440" w:hanging="360"/>
      </w:pPr>
      <w:rPr>
        <w:b w:val="0"/>
        <w:bCs w:val="0"/>
      </w:rPr>
    </w:lvl>
    <w:lvl w:ilvl="2" w:tplc="C47E8F96" w:tentative="1">
      <w:start w:val="1"/>
      <w:numFmt w:val="lowerRoman"/>
      <w:lvlText w:val="%3."/>
      <w:lvlJc w:val="right"/>
      <w:pPr>
        <w:ind w:left="2160" w:hanging="180"/>
      </w:pPr>
    </w:lvl>
    <w:lvl w:ilvl="3" w:tplc="151E97CA" w:tentative="1">
      <w:start w:val="1"/>
      <w:numFmt w:val="decimal"/>
      <w:lvlText w:val="%4."/>
      <w:lvlJc w:val="left"/>
      <w:pPr>
        <w:ind w:left="2880" w:hanging="360"/>
      </w:pPr>
    </w:lvl>
    <w:lvl w:ilvl="4" w:tplc="BBBCC2D2" w:tentative="1">
      <w:start w:val="1"/>
      <w:numFmt w:val="lowerLetter"/>
      <w:lvlText w:val="%5."/>
      <w:lvlJc w:val="left"/>
      <w:pPr>
        <w:ind w:left="3600" w:hanging="360"/>
      </w:pPr>
    </w:lvl>
    <w:lvl w:ilvl="5" w:tplc="9E4C6FC0" w:tentative="1">
      <w:start w:val="1"/>
      <w:numFmt w:val="lowerRoman"/>
      <w:lvlText w:val="%6."/>
      <w:lvlJc w:val="right"/>
      <w:pPr>
        <w:ind w:left="4320" w:hanging="180"/>
      </w:pPr>
    </w:lvl>
    <w:lvl w:ilvl="6" w:tplc="74EA920E" w:tentative="1">
      <w:start w:val="1"/>
      <w:numFmt w:val="decimal"/>
      <w:lvlText w:val="%7."/>
      <w:lvlJc w:val="left"/>
      <w:pPr>
        <w:ind w:left="5040" w:hanging="360"/>
      </w:pPr>
    </w:lvl>
    <w:lvl w:ilvl="7" w:tplc="D10E7BD6" w:tentative="1">
      <w:start w:val="1"/>
      <w:numFmt w:val="lowerLetter"/>
      <w:lvlText w:val="%8."/>
      <w:lvlJc w:val="left"/>
      <w:pPr>
        <w:ind w:left="5760" w:hanging="360"/>
      </w:pPr>
    </w:lvl>
    <w:lvl w:ilvl="8" w:tplc="38CEC89E" w:tentative="1">
      <w:start w:val="1"/>
      <w:numFmt w:val="lowerRoman"/>
      <w:lvlText w:val="%9."/>
      <w:lvlJc w:val="right"/>
      <w:pPr>
        <w:ind w:left="6480" w:hanging="180"/>
      </w:pPr>
    </w:lvl>
  </w:abstractNum>
  <w:abstractNum w:abstractNumId="2" w15:restartNumberingAfterBreak="0">
    <w:nsid w:val="26537ED7"/>
    <w:multiLevelType w:val="hybridMultilevel"/>
    <w:tmpl w:val="44106A32"/>
    <w:lvl w:ilvl="0" w:tplc="E710EB24">
      <w:start w:val="1"/>
      <w:numFmt w:val="bullet"/>
      <w:lvlText w:val=""/>
      <w:lvlJc w:val="left"/>
      <w:pPr>
        <w:ind w:left="720" w:hanging="360"/>
      </w:pPr>
      <w:rPr>
        <w:rFonts w:ascii="Symbol" w:hAnsi="Symbol" w:hint="default"/>
      </w:rPr>
    </w:lvl>
    <w:lvl w:ilvl="1" w:tplc="79F2D442" w:tentative="1">
      <w:start w:val="1"/>
      <w:numFmt w:val="bullet"/>
      <w:lvlText w:val="o"/>
      <w:lvlJc w:val="left"/>
      <w:pPr>
        <w:ind w:left="1440" w:hanging="360"/>
      </w:pPr>
      <w:rPr>
        <w:rFonts w:ascii="Courier New" w:hAnsi="Courier New" w:cs="Courier New" w:hint="default"/>
      </w:rPr>
    </w:lvl>
    <w:lvl w:ilvl="2" w:tplc="63C035C4" w:tentative="1">
      <w:start w:val="1"/>
      <w:numFmt w:val="bullet"/>
      <w:lvlText w:val=""/>
      <w:lvlJc w:val="left"/>
      <w:pPr>
        <w:ind w:left="2160" w:hanging="360"/>
      </w:pPr>
      <w:rPr>
        <w:rFonts w:ascii="Wingdings" w:hAnsi="Wingdings" w:hint="default"/>
      </w:rPr>
    </w:lvl>
    <w:lvl w:ilvl="3" w:tplc="EDCC626E" w:tentative="1">
      <w:start w:val="1"/>
      <w:numFmt w:val="bullet"/>
      <w:lvlText w:val=""/>
      <w:lvlJc w:val="left"/>
      <w:pPr>
        <w:ind w:left="2880" w:hanging="360"/>
      </w:pPr>
      <w:rPr>
        <w:rFonts w:ascii="Symbol" w:hAnsi="Symbol" w:hint="default"/>
      </w:rPr>
    </w:lvl>
    <w:lvl w:ilvl="4" w:tplc="99C6E29C" w:tentative="1">
      <w:start w:val="1"/>
      <w:numFmt w:val="bullet"/>
      <w:lvlText w:val="o"/>
      <w:lvlJc w:val="left"/>
      <w:pPr>
        <w:ind w:left="3600" w:hanging="360"/>
      </w:pPr>
      <w:rPr>
        <w:rFonts w:ascii="Courier New" w:hAnsi="Courier New" w:cs="Courier New" w:hint="default"/>
      </w:rPr>
    </w:lvl>
    <w:lvl w:ilvl="5" w:tplc="34864738" w:tentative="1">
      <w:start w:val="1"/>
      <w:numFmt w:val="bullet"/>
      <w:lvlText w:val=""/>
      <w:lvlJc w:val="left"/>
      <w:pPr>
        <w:ind w:left="4320" w:hanging="360"/>
      </w:pPr>
      <w:rPr>
        <w:rFonts w:ascii="Wingdings" w:hAnsi="Wingdings" w:hint="default"/>
      </w:rPr>
    </w:lvl>
    <w:lvl w:ilvl="6" w:tplc="95A679C6" w:tentative="1">
      <w:start w:val="1"/>
      <w:numFmt w:val="bullet"/>
      <w:lvlText w:val=""/>
      <w:lvlJc w:val="left"/>
      <w:pPr>
        <w:ind w:left="5040" w:hanging="360"/>
      </w:pPr>
      <w:rPr>
        <w:rFonts w:ascii="Symbol" w:hAnsi="Symbol" w:hint="default"/>
      </w:rPr>
    </w:lvl>
    <w:lvl w:ilvl="7" w:tplc="055A9640" w:tentative="1">
      <w:start w:val="1"/>
      <w:numFmt w:val="bullet"/>
      <w:lvlText w:val="o"/>
      <w:lvlJc w:val="left"/>
      <w:pPr>
        <w:ind w:left="5760" w:hanging="360"/>
      </w:pPr>
      <w:rPr>
        <w:rFonts w:ascii="Courier New" w:hAnsi="Courier New" w:cs="Courier New" w:hint="default"/>
      </w:rPr>
    </w:lvl>
    <w:lvl w:ilvl="8" w:tplc="B67AF4CC"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49280A3A">
      <w:start w:val="1"/>
      <w:numFmt w:val="decimal"/>
      <w:pStyle w:val="normalWSIS"/>
      <w:lvlText w:val="%1."/>
      <w:lvlJc w:val="left"/>
      <w:pPr>
        <w:ind w:left="2490" w:hanging="360"/>
      </w:pPr>
      <w:rPr>
        <w:b w:val="0"/>
        <w:bCs w:val="0"/>
        <w:color w:val="auto"/>
        <w:sz w:val="20"/>
        <w:szCs w:val="20"/>
      </w:rPr>
    </w:lvl>
    <w:lvl w:ilvl="1" w:tplc="9CA6F406">
      <w:start w:val="1"/>
      <w:numFmt w:val="lowerLetter"/>
      <w:lvlText w:val="%2."/>
      <w:lvlJc w:val="left"/>
      <w:pPr>
        <w:ind w:left="2861" w:hanging="360"/>
      </w:pPr>
    </w:lvl>
    <w:lvl w:ilvl="2" w:tplc="3A4847BC" w:tentative="1">
      <w:start w:val="1"/>
      <w:numFmt w:val="lowerRoman"/>
      <w:lvlText w:val="%3."/>
      <w:lvlJc w:val="right"/>
      <w:pPr>
        <w:ind w:left="3581" w:hanging="180"/>
      </w:pPr>
    </w:lvl>
    <w:lvl w:ilvl="3" w:tplc="7B70E122" w:tentative="1">
      <w:start w:val="1"/>
      <w:numFmt w:val="decimal"/>
      <w:lvlText w:val="%4."/>
      <w:lvlJc w:val="left"/>
      <w:pPr>
        <w:ind w:left="4301" w:hanging="360"/>
      </w:pPr>
    </w:lvl>
    <w:lvl w:ilvl="4" w:tplc="7436BF94" w:tentative="1">
      <w:start w:val="1"/>
      <w:numFmt w:val="lowerLetter"/>
      <w:lvlText w:val="%5."/>
      <w:lvlJc w:val="left"/>
      <w:pPr>
        <w:ind w:left="5021" w:hanging="360"/>
      </w:pPr>
    </w:lvl>
    <w:lvl w:ilvl="5" w:tplc="42D0AC9E" w:tentative="1">
      <w:start w:val="1"/>
      <w:numFmt w:val="lowerRoman"/>
      <w:lvlText w:val="%6."/>
      <w:lvlJc w:val="right"/>
      <w:pPr>
        <w:ind w:left="5741" w:hanging="180"/>
      </w:pPr>
    </w:lvl>
    <w:lvl w:ilvl="6" w:tplc="AC4A323C" w:tentative="1">
      <w:start w:val="1"/>
      <w:numFmt w:val="decimal"/>
      <w:lvlText w:val="%7."/>
      <w:lvlJc w:val="left"/>
      <w:pPr>
        <w:ind w:left="6461" w:hanging="360"/>
      </w:pPr>
    </w:lvl>
    <w:lvl w:ilvl="7" w:tplc="75DA85FA" w:tentative="1">
      <w:start w:val="1"/>
      <w:numFmt w:val="lowerLetter"/>
      <w:lvlText w:val="%8."/>
      <w:lvlJc w:val="left"/>
      <w:pPr>
        <w:ind w:left="7181" w:hanging="360"/>
      </w:pPr>
    </w:lvl>
    <w:lvl w:ilvl="8" w:tplc="26DAEE50" w:tentative="1">
      <w:start w:val="1"/>
      <w:numFmt w:val="lowerRoman"/>
      <w:lvlText w:val="%9."/>
      <w:lvlJc w:val="right"/>
      <w:pPr>
        <w:ind w:left="7901" w:hanging="180"/>
      </w:pPr>
    </w:lvl>
  </w:abstractNum>
  <w:abstractNum w:abstractNumId="4" w15:restartNumberingAfterBreak="0">
    <w:nsid w:val="33C95A9E"/>
    <w:multiLevelType w:val="multilevel"/>
    <w:tmpl w:val="6DEC62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9836975"/>
    <w:multiLevelType w:val="hybridMultilevel"/>
    <w:tmpl w:val="F6F83AF2"/>
    <w:lvl w:ilvl="0" w:tplc="06D0D2FA">
      <w:start w:val="1"/>
      <w:numFmt w:val="decimal"/>
      <w:lvlText w:val="%1."/>
      <w:lvlJc w:val="left"/>
      <w:pPr>
        <w:ind w:left="720" w:hanging="360"/>
      </w:pPr>
      <w:rPr>
        <w:rFonts w:hint="default"/>
      </w:rPr>
    </w:lvl>
    <w:lvl w:ilvl="1" w:tplc="69CE8E8A" w:tentative="1">
      <w:start w:val="1"/>
      <w:numFmt w:val="bullet"/>
      <w:lvlText w:val="o"/>
      <w:lvlJc w:val="left"/>
      <w:pPr>
        <w:ind w:left="1440" w:hanging="360"/>
      </w:pPr>
      <w:rPr>
        <w:rFonts w:ascii="Courier New" w:hAnsi="Courier New" w:cs="Courier New" w:hint="default"/>
      </w:rPr>
    </w:lvl>
    <w:lvl w:ilvl="2" w:tplc="B9686B66" w:tentative="1">
      <w:start w:val="1"/>
      <w:numFmt w:val="bullet"/>
      <w:lvlText w:val=""/>
      <w:lvlJc w:val="left"/>
      <w:pPr>
        <w:ind w:left="2160" w:hanging="360"/>
      </w:pPr>
      <w:rPr>
        <w:rFonts w:ascii="Wingdings" w:hAnsi="Wingdings" w:hint="default"/>
      </w:rPr>
    </w:lvl>
    <w:lvl w:ilvl="3" w:tplc="802E0478" w:tentative="1">
      <w:start w:val="1"/>
      <w:numFmt w:val="bullet"/>
      <w:lvlText w:val=""/>
      <w:lvlJc w:val="left"/>
      <w:pPr>
        <w:ind w:left="2880" w:hanging="360"/>
      </w:pPr>
      <w:rPr>
        <w:rFonts w:ascii="Symbol" w:hAnsi="Symbol" w:hint="default"/>
      </w:rPr>
    </w:lvl>
    <w:lvl w:ilvl="4" w:tplc="EAD8F25C" w:tentative="1">
      <w:start w:val="1"/>
      <w:numFmt w:val="bullet"/>
      <w:lvlText w:val="o"/>
      <w:lvlJc w:val="left"/>
      <w:pPr>
        <w:ind w:left="3600" w:hanging="360"/>
      </w:pPr>
      <w:rPr>
        <w:rFonts w:ascii="Courier New" w:hAnsi="Courier New" w:cs="Courier New" w:hint="default"/>
      </w:rPr>
    </w:lvl>
    <w:lvl w:ilvl="5" w:tplc="7A64CF36" w:tentative="1">
      <w:start w:val="1"/>
      <w:numFmt w:val="bullet"/>
      <w:lvlText w:val=""/>
      <w:lvlJc w:val="left"/>
      <w:pPr>
        <w:ind w:left="4320" w:hanging="360"/>
      </w:pPr>
      <w:rPr>
        <w:rFonts w:ascii="Wingdings" w:hAnsi="Wingdings" w:hint="default"/>
      </w:rPr>
    </w:lvl>
    <w:lvl w:ilvl="6" w:tplc="E46C9100" w:tentative="1">
      <w:start w:val="1"/>
      <w:numFmt w:val="bullet"/>
      <w:lvlText w:val=""/>
      <w:lvlJc w:val="left"/>
      <w:pPr>
        <w:ind w:left="5040" w:hanging="360"/>
      </w:pPr>
      <w:rPr>
        <w:rFonts w:ascii="Symbol" w:hAnsi="Symbol" w:hint="default"/>
      </w:rPr>
    </w:lvl>
    <w:lvl w:ilvl="7" w:tplc="3886F32E" w:tentative="1">
      <w:start w:val="1"/>
      <w:numFmt w:val="bullet"/>
      <w:lvlText w:val="o"/>
      <w:lvlJc w:val="left"/>
      <w:pPr>
        <w:ind w:left="5760" w:hanging="360"/>
      </w:pPr>
      <w:rPr>
        <w:rFonts w:ascii="Courier New" w:hAnsi="Courier New" w:cs="Courier New" w:hint="default"/>
      </w:rPr>
    </w:lvl>
    <w:lvl w:ilvl="8" w:tplc="B02AE500"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57"/>
    <w:rsid w:val="00017F3E"/>
    <w:rsid w:val="0004520F"/>
    <w:rsid w:val="000749D2"/>
    <w:rsid w:val="000B4AE2"/>
    <w:rsid w:val="000C72B0"/>
    <w:rsid w:val="000D0D0A"/>
    <w:rsid w:val="000D0FEE"/>
    <w:rsid w:val="000F6AE6"/>
    <w:rsid w:val="00103163"/>
    <w:rsid w:val="00115D93"/>
    <w:rsid w:val="001247A8"/>
    <w:rsid w:val="001378C0"/>
    <w:rsid w:val="00141A0E"/>
    <w:rsid w:val="00155189"/>
    <w:rsid w:val="00173C99"/>
    <w:rsid w:val="0018694A"/>
    <w:rsid w:val="001A3287"/>
    <w:rsid w:val="001B7A24"/>
    <w:rsid w:val="001C0138"/>
    <w:rsid w:val="001D4C31"/>
    <w:rsid w:val="001E4D21"/>
    <w:rsid w:val="001F1FB3"/>
    <w:rsid w:val="00207CD1"/>
    <w:rsid w:val="00220A57"/>
    <w:rsid w:val="0024677E"/>
    <w:rsid w:val="002477A2"/>
    <w:rsid w:val="00263A51"/>
    <w:rsid w:val="00267E02"/>
    <w:rsid w:val="0027121B"/>
    <w:rsid w:val="002A3A06"/>
    <w:rsid w:val="002A56CB"/>
    <w:rsid w:val="002A5D44"/>
    <w:rsid w:val="002B184E"/>
    <w:rsid w:val="002C5F68"/>
    <w:rsid w:val="002C64E5"/>
    <w:rsid w:val="002E0BC4"/>
    <w:rsid w:val="002E78B2"/>
    <w:rsid w:val="002F0505"/>
    <w:rsid w:val="002F1B76"/>
    <w:rsid w:val="002F1E8B"/>
    <w:rsid w:val="003305B9"/>
    <w:rsid w:val="00355FF5"/>
    <w:rsid w:val="00361350"/>
    <w:rsid w:val="00370EC9"/>
    <w:rsid w:val="003912EC"/>
    <w:rsid w:val="003A2D7C"/>
    <w:rsid w:val="003C4317"/>
    <w:rsid w:val="003D276F"/>
    <w:rsid w:val="003E5E2A"/>
    <w:rsid w:val="004030A9"/>
    <w:rsid w:val="004038CB"/>
    <w:rsid w:val="0040546F"/>
    <w:rsid w:val="004072FE"/>
    <w:rsid w:val="004167FD"/>
    <w:rsid w:val="00417D43"/>
    <w:rsid w:val="0042404A"/>
    <w:rsid w:val="0044618F"/>
    <w:rsid w:val="0046769A"/>
    <w:rsid w:val="00475FB3"/>
    <w:rsid w:val="004A4EA6"/>
    <w:rsid w:val="004B4778"/>
    <w:rsid w:val="004B516E"/>
    <w:rsid w:val="004C37A9"/>
    <w:rsid w:val="004C4DBE"/>
    <w:rsid w:val="004D1123"/>
    <w:rsid w:val="004E3D46"/>
    <w:rsid w:val="004F2586"/>
    <w:rsid w:val="004F259E"/>
    <w:rsid w:val="00506498"/>
    <w:rsid w:val="00511F1D"/>
    <w:rsid w:val="00540615"/>
    <w:rsid w:val="00540A6D"/>
    <w:rsid w:val="00565E68"/>
    <w:rsid w:val="005700D8"/>
    <w:rsid w:val="00571EEA"/>
    <w:rsid w:val="00575417"/>
    <w:rsid w:val="005768E1"/>
    <w:rsid w:val="00590885"/>
    <w:rsid w:val="00592F11"/>
    <w:rsid w:val="005A6EFC"/>
    <w:rsid w:val="005C372D"/>
    <w:rsid w:val="005C3890"/>
    <w:rsid w:val="005F7BFE"/>
    <w:rsid w:val="00600017"/>
    <w:rsid w:val="00612895"/>
    <w:rsid w:val="00615F65"/>
    <w:rsid w:val="006235CA"/>
    <w:rsid w:val="00632656"/>
    <w:rsid w:val="00636FBD"/>
    <w:rsid w:val="00654C42"/>
    <w:rsid w:val="006643AB"/>
    <w:rsid w:val="00666CB4"/>
    <w:rsid w:val="00673265"/>
    <w:rsid w:val="00681ACC"/>
    <w:rsid w:val="006A5816"/>
    <w:rsid w:val="006E69BF"/>
    <w:rsid w:val="007210CD"/>
    <w:rsid w:val="00722799"/>
    <w:rsid w:val="007246A0"/>
    <w:rsid w:val="00725B1A"/>
    <w:rsid w:val="00731C72"/>
    <w:rsid w:val="00732045"/>
    <w:rsid w:val="0073492E"/>
    <w:rsid w:val="007369DB"/>
    <w:rsid w:val="00763E87"/>
    <w:rsid w:val="007956C2"/>
    <w:rsid w:val="0079675E"/>
    <w:rsid w:val="007A187E"/>
    <w:rsid w:val="007C72C2"/>
    <w:rsid w:val="007D3948"/>
    <w:rsid w:val="007D4436"/>
    <w:rsid w:val="007F257A"/>
    <w:rsid w:val="007F3665"/>
    <w:rsid w:val="007F5C0E"/>
    <w:rsid w:val="00800037"/>
    <w:rsid w:val="00806B5B"/>
    <w:rsid w:val="00812F57"/>
    <w:rsid w:val="00861D73"/>
    <w:rsid w:val="0087067C"/>
    <w:rsid w:val="00897D4A"/>
    <w:rsid w:val="008A4E87"/>
    <w:rsid w:val="008B0DC8"/>
    <w:rsid w:val="008B48AB"/>
    <w:rsid w:val="008D76E6"/>
    <w:rsid w:val="008E2EA8"/>
    <w:rsid w:val="008F4655"/>
    <w:rsid w:val="008F77EB"/>
    <w:rsid w:val="0092210B"/>
    <w:rsid w:val="0092392D"/>
    <w:rsid w:val="0093234A"/>
    <w:rsid w:val="009548A0"/>
    <w:rsid w:val="009C307F"/>
    <w:rsid w:val="009C52A5"/>
    <w:rsid w:val="009F5CE7"/>
    <w:rsid w:val="00A2113E"/>
    <w:rsid w:val="00A23A51"/>
    <w:rsid w:val="00A24607"/>
    <w:rsid w:val="00A25CD3"/>
    <w:rsid w:val="00A32643"/>
    <w:rsid w:val="00A472A9"/>
    <w:rsid w:val="00A56B16"/>
    <w:rsid w:val="00A6311D"/>
    <w:rsid w:val="00A6696C"/>
    <w:rsid w:val="00A82767"/>
    <w:rsid w:val="00AA332F"/>
    <w:rsid w:val="00AA7BBB"/>
    <w:rsid w:val="00AB64A8"/>
    <w:rsid w:val="00AC0266"/>
    <w:rsid w:val="00AC7FBB"/>
    <w:rsid w:val="00AD24EC"/>
    <w:rsid w:val="00B309F9"/>
    <w:rsid w:val="00B32B60"/>
    <w:rsid w:val="00B61619"/>
    <w:rsid w:val="00B86770"/>
    <w:rsid w:val="00BB4545"/>
    <w:rsid w:val="00BD2B34"/>
    <w:rsid w:val="00BD5873"/>
    <w:rsid w:val="00BF0D6E"/>
    <w:rsid w:val="00C04BE3"/>
    <w:rsid w:val="00C22AFA"/>
    <w:rsid w:val="00C25D29"/>
    <w:rsid w:val="00C27A7C"/>
    <w:rsid w:val="00C463F9"/>
    <w:rsid w:val="00C46873"/>
    <w:rsid w:val="00C51B65"/>
    <w:rsid w:val="00C57B4D"/>
    <w:rsid w:val="00C61BF9"/>
    <w:rsid w:val="00CA08ED"/>
    <w:rsid w:val="00CC3F40"/>
    <w:rsid w:val="00CD6936"/>
    <w:rsid w:val="00CF183B"/>
    <w:rsid w:val="00D04B75"/>
    <w:rsid w:val="00D23328"/>
    <w:rsid w:val="00D24767"/>
    <w:rsid w:val="00D24E20"/>
    <w:rsid w:val="00D375CD"/>
    <w:rsid w:val="00D553A2"/>
    <w:rsid w:val="00D774D3"/>
    <w:rsid w:val="00D904E8"/>
    <w:rsid w:val="00DA08C3"/>
    <w:rsid w:val="00DB5A3E"/>
    <w:rsid w:val="00DC22AA"/>
    <w:rsid w:val="00DD6246"/>
    <w:rsid w:val="00DF74DD"/>
    <w:rsid w:val="00E0351B"/>
    <w:rsid w:val="00E25AD0"/>
    <w:rsid w:val="00E60106"/>
    <w:rsid w:val="00E623A6"/>
    <w:rsid w:val="00E72100"/>
    <w:rsid w:val="00E8485C"/>
    <w:rsid w:val="00E910AB"/>
    <w:rsid w:val="00EB6350"/>
    <w:rsid w:val="00F15B57"/>
    <w:rsid w:val="00F41847"/>
    <w:rsid w:val="00F427DB"/>
    <w:rsid w:val="00F42ECB"/>
    <w:rsid w:val="00F5681B"/>
    <w:rsid w:val="00FA5EB1"/>
    <w:rsid w:val="00FA7439"/>
    <w:rsid w:val="00FB0FA1"/>
    <w:rsid w:val="00FB751C"/>
    <w:rsid w:val="00FC4EC0"/>
    <w:rsid w:val="00FC60E0"/>
    <w:rsid w:val="00FD3DC8"/>
    <w:rsid w:val="00FF0181"/>
    <w:rsid w:val="00FF5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0150355-F5F1-4E13-8A64-FC66F414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20A5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A472A9"/>
    <w:pPr>
      <w:ind w:left="720"/>
      <w:contextualSpacing/>
    </w:pPr>
    <w:rPr>
      <w:lang w:val="en-GB"/>
    </w:rPr>
  </w:style>
  <w:style w:type="table" w:styleId="TableGrid">
    <w:name w:val="Table Grid"/>
    <w:basedOn w:val="TableNormal"/>
    <w:rsid w:val="002F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9F5CE7"/>
    <w:rPr>
      <w:rFonts w:ascii="Calibri" w:hAnsi="Calibri"/>
      <w:sz w:val="24"/>
      <w:lang w:val="fr-FR" w:eastAsia="en-US"/>
    </w:rPr>
  </w:style>
  <w:style w:type="paragraph" w:customStyle="1" w:styleId="normalWSIS">
    <w:name w:val="normal WSIS"/>
    <w:basedOn w:val="ListParagraph"/>
    <w:link w:val="normalWSISChar"/>
    <w:qFormat/>
    <w:rsid w:val="009F5CE7"/>
    <w:pPr>
      <w:numPr>
        <w:numId w:val="6"/>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9F5CE7"/>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council/Basic-Texts/ResDecRec-PP10-e.docx" TargetMode="External"/><Relationship Id="rId18" Type="http://schemas.openxmlformats.org/officeDocument/2006/relationships/hyperlink" Target="http://www.itu.int/en/ITU-D/Cybersecurity/Documents/67revDubai.pdf" TargetMode="External"/><Relationship Id="rId26" Type="http://schemas.openxmlformats.org/officeDocument/2006/relationships/hyperlink" Target="http://www.itu.int/md/S05-CL-INF-0010/en" TargetMode="External"/><Relationship Id="rId39" Type="http://schemas.openxmlformats.org/officeDocument/2006/relationships/hyperlink" Target="http://www.itu.int/en/ITU-D/Cybersecurity/Pages/Legal-Measures.aspx" TargetMode="External"/><Relationship Id="rId21" Type="http://schemas.openxmlformats.org/officeDocument/2006/relationships/hyperlink" Target="http://www.itu.int/en/ITU-T/wtsa12/Documents/resolutions/Resolution%2050.pdf" TargetMode="External"/><Relationship Id="rId34" Type="http://schemas.openxmlformats.org/officeDocument/2006/relationships/hyperlink" Target="http://www.itu.int/md/S13-CL-C-0023/en" TargetMode="External"/><Relationship Id="rId42" Type="http://schemas.openxmlformats.org/officeDocument/2006/relationships/hyperlink" Target="http://www.itu.int/en/ITU-D/Cybersecurity/Pages/Organizational-Structures.aspx" TargetMode="External"/><Relationship Id="rId47" Type="http://schemas.openxmlformats.org/officeDocument/2006/relationships/hyperlink" Target="http://www.itu.int/en/ITU-D/Cybersecurity/Pages/National-Strategies.aspx" TargetMode="External"/><Relationship Id="rId50" Type="http://schemas.openxmlformats.org/officeDocument/2006/relationships/hyperlink" Target="http://www.itu.int/en/ITU-T/Workshops-and-Seminars/cybersecurity/Pages/default.aspx" TargetMode="External"/><Relationship Id="rId55" Type="http://schemas.openxmlformats.org/officeDocument/2006/relationships/hyperlink" Target="http://www.itu.int/en/ITU-D/Cybersecurity/Pages/partnership.aspx"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en/ITU-D/TIES_Protected/WTDC14/WTDC14-FinalReport-E.pdf" TargetMode="External"/><Relationship Id="rId29" Type="http://schemas.openxmlformats.org/officeDocument/2006/relationships/hyperlink" Target="http://www.itu.int/md/S08-CL-C-0033/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action/cybersecurity/Documents/Resolutions/pp-14_Res.%20174.pdf" TargetMode="External"/><Relationship Id="rId24" Type="http://schemas.openxmlformats.org/officeDocument/2006/relationships/hyperlink" Target="https://www.itu.int/pub/T-RES-T.58-2016" TargetMode="External"/><Relationship Id="rId32" Type="http://schemas.openxmlformats.org/officeDocument/2006/relationships/hyperlink" Target="http://www.itu.int/md/S11-CL-C-0054/en" TargetMode="External"/><Relationship Id="rId37" Type="http://schemas.openxmlformats.org/officeDocument/2006/relationships/hyperlink" Target="https://www.itu.int/md/S16-CL-C-0018/fr" TargetMode="External"/><Relationship Id="rId40" Type="http://schemas.openxmlformats.org/officeDocument/2006/relationships/hyperlink" Target="http://www.itu.int/ITU-T/studygroups/com17/" TargetMode="External"/><Relationship Id="rId45" Type="http://schemas.openxmlformats.org/officeDocument/2006/relationships/hyperlink" Target="http://www.itu.int/en/ITU-D/Cybersecurity/Pages/Tunisia_cyberdrill_2016.aspx" TargetMode="External"/><Relationship Id="rId53" Type="http://schemas.openxmlformats.org/officeDocument/2006/relationships/hyperlink" Target="http://www.itu.int/en/ITU-D/Cybersecurity/Pages/GCI.aspx" TargetMode="External"/><Relationship Id="rId58" Type="http://schemas.openxmlformats.org/officeDocument/2006/relationships/hyperlink" Target="https://www.energypact.org/energypact-foundation_conferences/"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5-CL-C-0109/en" TargetMode="External"/><Relationship Id="rId23" Type="http://schemas.openxmlformats.org/officeDocument/2006/relationships/hyperlink" Target="http://www.itu.int/en/ITU-T/wtsa12/Documents/resolutions/Resolution%2075.pdf" TargetMode="External"/><Relationship Id="rId28" Type="http://schemas.openxmlformats.org/officeDocument/2006/relationships/hyperlink" Target="http://www.itu.int/md/S07-CL-C-0021/en" TargetMode="External"/><Relationship Id="rId36" Type="http://schemas.openxmlformats.org/officeDocument/2006/relationships/hyperlink" Target="http://www.itu.int/md/S15-CL-C-0018/en" TargetMode="External"/><Relationship Id="rId49" Type="http://schemas.openxmlformats.org/officeDocument/2006/relationships/hyperlink" Target="http://www.itu.int/net4/ITU-D/CDS/sg/rgqlist.asp?lg=1&amp;sp=2014&amp;rgq=D14-SG02-RGQ03.2&amp;stg=2" TargetMode="External"/><Relationship Id="rId57" Type="http://schemas.openxmlformats.org/officeDocument/2006/relationships/hyperlink" Target="http://www.itu.int/net4/Telecom/webs/TelecomWorld/session/description/C-00001734" TargetMode="External"/><Relationship Id="rId61" Type="http://schemas.openxmlformats.org/officeDocument/2006/relationships/hyperlink" Target="http://www.itu.int/en/council/cwg-cop/Pages/default.aspx" TargetMode="External"/><Relationship Id="rId10" Type="http://schemas.openxmlformats.org/officeDocument/2006/relationships/hyperlink" Target="http://www.itu.int/en/action/cybersecurity/Documents/Resolutions/pp-14_Res.%20140.pdf" TargetMode="External"/><Relationship Id="rId19" Type="http://schemas.openxmlformats.org/officeDocument/2006/relationships/hyperlink" Target="http://www.itu.int/en/ITU-D/Cybersecurity/Documents/69revDubai.pdf" TargetMode="External"/><Relationship Id="rId31" Type="http://schemas.openxmlformats.org/officeDocument/2006/relationships/hyperlink" Target="http://www.itu.int/md/S10-CL-C-0012/en" TargetMode="External"/><Relationship Id="rId44" Type="http://schemas.openxmlformats.org/officeDocument/2006/relationships/hyperlink" Target="http://www.itu.int/en/ITU-D/Regional-Presence/Americas/Pages/EVENTS/2016/15551.aspx" TargetMode="External"/><Relationship Id="rId52" Type="http://schemas.openxmlformats.org/officeDocument/2006/relationships/hyperlink" Target="https://www.itu.int/en/ITU-D/Regional-Presence/Europe/Pages/Events/2016/CYBR/Cyber-Security-in-Romania.aspx" TargetMode="External"/><Relationship Id="rId60" Type="http://schemas.openxmlformats.org/officeDocument/2006/relationships/hyperlink" Target="http://www.itu.int/en/action/cybersecurity/Pages/gca.aspx"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en/action/cybersecurity/Documents/Resolutions/pp-14_Res.%20130.pdf" TargetMode="External"/><Relationship Id="rId14" Type="http://schemas.openxmlformats.org/officeDocument/2006/relationships/hyperlink" Target="http://www.itu.int/pub/S-CONF-WCIT-2012/fr" TargetMode="External"/><Relationship Id="rId22" Type="http://schemas.openxmlformats.org/officeDocument/2006/relationships/hyperlink" Target="http://www.itu.int/en/ITU-T/wtsa12/Documents/resolutions/Resolution%2052.pdf" TargetMode="External"/><Relationship Id="rId27" Type="http://schemas.openxmlformats.org/officeDocument/2006/relationships/hyperlink" Target="http://www.itu.int/md/S06-CL-C-0004/en" TargetMode="External"/><Relationship Id="rId30" Type="http://schemas.openxmlformats.org/officeDocument/2006/relationships/hyperlink" Target="http://www.itu.int/md/S09-CL-C-0050/en" TargetMode="External"/><Relationship Id="rId35" Type="http://schemas.openxmlformats.org/officeDocument/2006/relationships/hyperlink" Target="http://www.itu.int/md/S14-CL-C-0023/en" TargetMode="External"/><Relationship Id="rId43" Type="http://schemas.openxmlformats.org/officeDocument/2006/relationships/hyperlink" Target="http://www.itu.int/en/ITU-D/Cybersecurity/Pages/Organizational-Structures.aspx" TargetMode="External"/><Relationship Id="rId48" Type="http://schemas.openxmlformats.org/officeDocument/2006/relationships/hyperlink" Target="http://www.itu.int/en/ITU-D/Cybersecurity/Pages/Events.aspx" TargetMode="External"/><Relationship Id="rId56" Type="http://schemas.openxmlformats.org/officeDocument/2006/relationships/hyperlink" Target="https://www.itu.int/net4/wsis/forum/2016/" TargetMode="External"/><Relationship Id="rId64" Type="http://schemas.openxmlformats.org/officeDocument/2006/relationships/header" Target="header2.xml"/><Relationship Id="rId69" Type="http://schemas.openxmlformats.org/officeDocument/2006/relationships/theme" Target="theme/theme1.xml"/><Relationship Id="rId8" Type="http://schemas.openxmlformats.org/officeDocument/2006/relationships/hyperlink" Target="http://www.itu.int/en/council/planning/Documents/PP-14_Res71.pdf" TargetMode="External"/><Relationship Id="rId51" Type="http://schemas.openxmlformats.org/officeDocument/2006/relationships/hyperlink" Target="http://www.itu.int/en/ITU-D/Regional-Presence/Europe/Pages/Events/2016/RCYBF/Regional-Cybersecurity-Forum.aspx" TargetMode="External"/><Relationship Id="rId3" Type="http://schemas.openxmlformats.org/officeDocument/2006/relationships/settings" Target="settings.xml"/><Relationship Id="rId12" Type="http://schemas.openxmlformats.org/officeDocument/2006/relationships/hyperlink" Target="http://www.itu.int/en/action/cybersecurity/Documents/Resolutions/pp-14_Res.%20179.pdf" TargetMode="External"/><Relationship Id="rId17" Type="http://schemas.openxmlformats.org/officeDocument/2006/relationships/hyperlink" Target="http://www.itu.int/en/ITU-D/Cybersecurity/Documents/45revDubai.pdf" TargetMode="External"/><Relationship Id="rId25" Type="http://schemas.openxmlformats.org/officeDocument/2006/relationships/hyperlink" Target="http://www.itu.int/md/S05-CL-C-0032/en" TargetMode="External"/><Relationship Id="rId33" Type="http://schemas.openxmlformats.org/officeDocument/2006/relationships/hyperlink" Target="http://www.itu.int/md/S12-CL-C-0029/en" TargetMode="External"/><Relationship Id="rId38" Type="http://schemas.openxmlformats.org/officeDocument/2006/relationships/hyperlink" Target="http://www.itu.int/en/action/cybersecurity/Pages/gca.aspx" TargetMode="External"/><Relationship Id="rId46" Type="http://schemas.openxmlformats.org/officeDocument/2006/relationships/hyperlink" Target="http://www.itu.int/en/ITU-D/Cybersecurity/Pages/Mauritius_cyberdrill_2016.aspx" TargetMode="External"/><Relationship Id="rId59" Type="http://schemas.openxmlformats.org/officeDocument/2006/relationships/hyperlink" Target="http://www.itu.int/en/ITU-D/Cybersecurity/Pages/Country_Profiles.aspx" TargetMode="External"/><Relationship Id="rId67" Type="http://schemas.openxmlformats.org/officeDocument/2006/relationships/footer" Target="footer3.xml"/><Relationship Id="rId20" Type="http://schemas.openxmlformats.org/officeDocument/2006/relationships/hyperlink" Target="https://www.itu.int/en/ITU-D/TIES_Protected/WTDC14/WTDC14-FinalReport-E.pdf" TargetMode="External"/><Relationship Id="rId41" Type="http://schemas.openxmlformats.org/officeDocument/2006/relationships/hyperlink" Target="http://www.itu.int/en/ITU-T/studygroups/2013-2016/17/sg17rgafr/Pages/default.aspx" TargetMode="External"/><Relationship Id="rId54" Type="http://schemas.openxmlformats.org/officeDocument/2006/relationships/hyperlink" Target="http://www.itu.int/en/ITU-D/Cybersecurity/Pages/GCI-2016.aspx" TargetMode="External"/><Relationship Id="rId62" Type="http://schemas.openxmlformats.org/officeDocument/2006/relationships/hyperlink" Target="https://www.itu.int/md/S17-CL-C-0015/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0</TotalTime>
  <Pages>6</Pages>
  <Words>2392</Words>
  <Characters>17812</Characters>
  <Application>Microsoft Office Word</Application>
  <DocSecurity>4</DocSecurity>
  <Lines>148</Lines>
  <Paragraphs>40</Paragraphs>
  <ScaleCrop>false</ScaleCrop>
  <HeadingPairs>
    <vt:vector size="2" baseType="variant">
      <vt:variant>
        <vt:lpstr>Title</vt:lpstr>
      </vt:variant>
      <vt:variant>
        <vt:i4>1</vt:i4>
      </vt:variant>
    </vt:vector>
  </HeadingPairs>
  <TitlesOfParts>
    <vt:vector size="1" baseType="lpstr">
      <vt:lpstr>ACTIVITÉS DE L'UIT RELATIVES AU RENFORCEMENT DU RÔLE DE L'UNION DANS L'INSTAURATION DE LA CONFIANCE ET DE LA SÉCURITÉ DANS L'UTILISATION DES TECHNOLOGIES DE L'INFORMATION ET DE LA COMMUNICATION</vt:lpstr>
    </vt:vector>
  </TitlesOfParts>
  <Manager>Secrétariat général - Pool</Manager>
  <Company>Union internationale des télécommunications (UIT)</Company>
  <LinksUpToDate>false</LinksUpToDate>
  <CharactersWithSpaces>20164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AU RENFORCEMENT DU RÔLE DE L'UNION DANS L'INSTAURATION DE LA CONFIANCE ET DE LA SÉCURITÉ DANS L'UTILISATION DES TECHNOLOGIES DE L'INFORMATION ET DE LA COMMUNICATION</dc:title>
  <dc:subject>Conseil 2010</dc:subject>
  <dc:creator>Rapport du Secrétaire général</dc:creator>
  <cp:keywords>C2010, C10</cp:keywords>
  <dc:description>Document C17/18-F  Pour: Point de l'ordre du jour: PL 1.5_x000d_Date du document: 14 mars 2017_x000d_Enregistré par ITU51007810 à 08:12:30 le 23/03/2017</dc:description>
  <cp:lastModifiedBy>Brouard, Ricarda</cp:lastModifiedBy>
  <cp:revision>2</cp:revision>
  <cp:lastPrinted>2017-03-22T15:24:00Z</cp:lastPrinted>
  <dcterms:created xsi:type="dcterms:W3CDTF">2017-03-24T08:59:00Z</dcterms:created>
  <dcterms:modified xsi:type="dcterms:W3CDTF">2017-03-24T08:59:00Z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C17/18-F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1.5</vt:lpwstr>
  </property>
  <property fmtid="{D5CDD505-2E9C-101B-9397-08002B2CF9AE}" pid="7" name="Docauthor">
    <vt:lpwstr>Rapport du Secrétaire général</vt:lpwstr>
  </property>
</Properties>
</file>