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52CD8" w:rsidRPr="00813E5E" w14:paraId="3561D7DC" w14:textId="77777777">
        <w:trPr>
          <w:cantSplit/>
        </w:trPr>
        <w:tc>
          <w:tcPr>
            <w:tcW w:w="6911" w:type="dxa"/>
          </w:tcPr>
          <w:p w14:paraId="3561D7DA" w14:textId="77777777" w:rsidR="00B52CD8" w:rsidRPr="00813E5E" w:rsidRDefault="00B52CD8" w:rsidP="00B52CD8">
            <w:pPr>
              <w:spacing w:before="360" w:after="48" w:line="240" w:lineRule="atLeast"/>
              <w:rPr>
                <w:position w:val="6"/>
              </w:rPr>
            </w:pPr>
            <w:bookmarkStart w:id="0" w:name="dc06"/>
            <w:bookmarkStart w:id="1" w:name="_GoBack"/>
            <w:bookmarkEnd w:id="0"/>
            <w:bookmarkEnd w:id="1"/>
            <w:r w:rsidRPr="00B52CD8">
              <w:rPr>
                <w:b/>
                <w:bCs/>
                <w:position w:val="6"/>
                <w:sz w:val="30"/>
                <w:szCs w:val="30"/>
                <w:lang w:val="fr-CH"/>
              </w:rPr>
              <w:t>Council 2017</w:t>
            </w:r>
            <w:r w:rsidRPr="00B52CD8">
              <w:rPr>
                <w:rFonts w:cs="Times"/>
                <w:b/>
                <w:position w:val="6"/>
                <w:sz w:val="26"/>
                <w:szCs w:val="26"/>
                <w:lang w:val="en-US"/>
              </w:rPr>
              <w:br/>
            </w:r>
            <w:r w:rsidRPr="00B52CD8">
              <w:rPr>
                <w:b/>
                <w:bCs/>
                <w:position w:val="6"/>
                <w:szCs w:val="24"/>
                <w:lang w:val="fr-CH"/>
              </w:rPr>
              <w:t>Geneva, 15-25 May 2017</w:t>
            </w:r>
          </w:p>
        </w:tc>
        <w:tc>
          <w:tcPr>
            <w:tcW w:w="3120" w:type="dxa"/>
          </w:tcPr>
          <w:p w14:paraId="3561D7DB" w14:textId="77777777" w:rsidR="00B52CD8" w:rsidRPr="00813E5E" w:rsidRDefault="00B52CD8" w:rsidP="00B52CD8">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3561D820" wp14:editId="3561D82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52CD8" w:rsidRPr="00813E5E" w14:paraId="3561D7DF" w14:textId="77777777">
        <w:trPr>
          <w:cantSplit/>
        </w:trPr>
        <w:tc>
          <w:tcPr>
            <w:tcW w:w="6911" w:type="dxa"/>
            <w:tcBorders>
              <w:bottom w:val="single" w:sz="12" w:space="0" w:color="auto"/>
            </w:tcBorders>
          </w:tcPr>
          <w:p w14:paraId="3561D7DD" w14:textId="77777777" w:rsidR="00B52CD8" w:rsidRPr="00813E5E" w:rsidRDefault="00B52CD8">
            <w:pPr>
              <w:spacing w:before="0" w:after="48" w:line="240" w:lineRule="atLeast"/>
              <w:rPr>
                <w:b/>
                <w:smallCaps/>
                <w:szCs w:val="24"/>
              </w:rPr>
            </w:pPr>
          </w:p>
        </w:tc>
        <w:tc>
          <w:tcPr>
            <w:tcW w:w="3120" w:type="dxa"/>
            <w:tcBorders>
              <w:bottom w:val="single" w:sz="12" w:space="0" w:color="auto"/>
            </w:tcBorders>
          </w:tcPr>
          <w:p w14:paraId="3561D7DE" w14:textId="77777777" w:rsidR="00B52CD8" w:rsidRPr="00813E5E" w:rsidRDefault="00B52CD8">
            <w:pPr>
              <w:spacing w:before="0" w:line="240" w:lineRule="atLeast"/>
              <w:rPr>
                <w:szCs w:val="24"/>
              </w:rPr>
            </w:pPr>
          </w:p>
        </w:tc>
      </w:tr>
      <w:tr w:rsidR="00B52CD8" w:rsidRPr="00813E5E" w14:paraId="3561D7E2" w14:textId="77777777">
        <w:trPr>
          <w:cantSplit/>
        </w:trPr>
        <w:tc>
          <w:tcPr>
            <w:tcW w:w="6911" w:type="dxa"/>
            <w:tcBorders>
              <w:top w:val="single" w:sz="12" w:space="0" w:color="auto"/>
            </w:tcBorders>
          </w:tcPr>
          <w:p w14:paraId="3561D7E0" w14:textId="77777777" w:rsidR="00B52CD8" w:rsidRPr="00813E5E" w:rsidRDefault="00B52CD8">
            <w:pPr>
              <w:spacing w:before="0" w:after="48" w:line="240" w:lineRule="atLeast"/>
              <w:rPr>
                <w:b/>
                <w:smallCaps/>
                <w:szCs w:val="24"/>
              </w:rPr>
            </w:pPr>
          </w:p>
        </w:tc>
        <w:tc>
          <w:tcPr>
            <w:tcW w:w="3120" w:type="dxa"/>
            <w:tcBorders>
              <w:top w:val="single" w:sz="12" w:space="0" w:color="auto"/>
            </w:tcBorders>
          </w:tcPr>
          <w:p w14:paraId="3561D7E1" w14:textId="77777777" w:rsidR="00B52CD8" w:rsidRPr="00813E5E" w:rsidRDefault="00B52CD8">
            <w:pPr>
              <w:spacing w:before="0" w:line="240" w:lineRule="atLeast"/>
              <w:rPr>
                <w:szCs w:val="24"/>
              </w:rPr>
            </w:pPr>
          </w:p>
        </w:tc>
      </w:tr>
      <w:tr w:rsidR="00B52CD8" w:rsidRPr="00813E5E" w14:paraId="3561D7E5" w14:textId="77777777">
        <w:trPr>
          <w:cantSplit/>
          <w:trHeight w:val="23"/>
        </w:trPr>
        <w:tc>
          <w:tcPr>
            <w:tcW w:w="6911" w:type="dxa"/>
            <w:vMerge w:val="restart"/>
          </w:tcPr>
          <w:p w14:paraId="3561D7E3" w14:textId="77777777" w:rsidR="00B52CD8" w:rsidRPr="00B52CD8" w:rsidRDefault="00B52CD8" w:rsidP="00B52CD8">
            <w:pPr>
              <w:tabs>
                <w:tab w:val="left" w:pos="851"/>
              </w:tabs>
              <w:spacing w:before="0" w:line="240" w:lineRule="atLeast"/>
              <w:rPr>
                <w:b/>
              </w:rPr>
            </w:pPr>
            <w:bookmarkStart w:id="3" w:name="dmeeting" w:colFirst="0" w:colLast="0"/>
            <w:bookmarkStart w:id="4" w:name="dnum" w:colFirst="1" w:colLast="1"/>
            <w:r>
              <w:rPr>
                <w:b/>
              </w:rPr>
              <w:t>Agenda item: PL 1.5</w:t>
            </w:r>
          </w:p>
        </w:tc>
        <w:tc>
          <w:tcPr>
            <w:tcW w:w="3120" w:type="dxa"/>
          </w:tcPr>
          <w:p w14:paraId="3561D7E4" w14:textId="77777777" w:rsidR="00B52CD8" w:rsidRPr="00B52CD8" w:rsidRDefault="00B52CD8" w:rsidP="00B52CD8">
            <w:pPr>
              <w:tabs>
                <w:tab w:val="left" w:pos="851"/>
              </w:tabs>
              <w:spacing w:before="0" w:line="240" w:lineRule="atLeast"/>
              <w:rPr>
                <w:b/>
              </w:rPr>
            </w:pPr>
            <w:r>
              <w:rPr>
                <w:b/>
              </w:rPr>
              <w:t>Document C17/18-E</w:t>
            </w:r>
          </w:p>
        </w:tc>
      </w:tr>
      <w:tr w:rsidR="00B52CD8" w:rsidRPr="00813E5E" w14:paraId="3561D7E8" w14:textId="77777777">
        <w:trPr>
          <w:cantSplit/>
          <w:trHeight w:val="23"/>
        </w:trPr>
        <w:tc>
          <w:tcPr>
            <w:tcW w:w="6911" w:type="dxa"/>
            <w:vMerge/>
          </w:tcPr>
          <w:p w14:paraId="3561D7E6" w14:textId="77777777" w:rsidR="00B52CD8" w:rsidRPr="00813E5E" w:rsidRDefault="00B52CD8">
            <w:pPr>
              <w:tabs>
                <w:tab w:val="left" w:pos="851"/>
              </w:tabs>
              <w:spacing w:line="240" w:lineRule="atLeast"/>
              <w:rPr>
                <w:b/>
              </w:rPr>
            </w:pPr>
            <w:bookmarkStart w:id="5" w:name="ddate" w:colFirst="1" w:colLast="1"/>
            <w:bookmarkEnd w:id="3"/>
            <w:bookmarkEnd w:id="4"/>
          </w:p>
        </w:tc>
        <w:tc>
          <w:tcPr>
            <w:tcW w:w="3120" w:type="dxa"/>
          </w:tcPr>
          <w:p w14:paraId="3561D7E7" w14:textId="77777777" w:rsidR="00B52CD8" w:rsidRPr="00B52CD8" w:rsidRDefault="00B52CD8" w:rsidP="00B52CD8">
            <w:pPr>
              <w:tabs>
                <w:tab w:val="left" w:pos="993"/>
              </w:tabs>
              <w:spacing w:before="0"/>
              <w:rPr>
                <w:b/>
              </w:rPr>
            </w:pPr>
            <w:r>
              <w:rPr>
                <w:b/>
              </w:rPr>
              <w:t>14 March 2017</w:t>
            </w:r>
          </w:p>
        </w:tc>
      </w:tr>
      <w:tr w:rsidR="00B52CD8" w:rsidRPr="00813E5E" w14:paraId="3561D7EB" w14:textId="77777777">
        <w:trPr>
          <w:cantSplit/>
          <w:trHeight w:val="23"/>
        </w:trPr>
        <w:tc>
          <w:tcPr>
            <w:tcW w:w="6911" w:type="dxa"/>
            <w:vMerge/>
          </w:tcPr>
          <w:p w14:paraId="3561D7E9" w14:textId="77777777" w:rsidR="00B52CD8" w:rsidRPr="00813E5E" w:rsidRDefault="00B52CD8">
            <w:pPr>
              <w:tabs>
                <w:tab w:val="left" w:pos="851"/>
              </w:tabs>
              <w:spacing w:line="240" w:lineRule="atLeast"/>
              <w:rPr>
                <w:b/>
              </w:rPr>
            </w:pPr>
            <w:bookmarkStart w:id="6" w:name="dorlang" w:colFirst="1" w:colLast="1"/>
            <w:bookmarkEnd w:id="5"/>
          </w:p>
        </w:tc>
        <w:tc>
          <w:tcPr>
            <w:tcW w:w="3120" w:type="dxa"/>
          </w:tcPr>
          <w:p w14:paraId="3561D7EA" w14:textId="77777777" w:rsidR="00B52CD8" w:rsidRPr="00B52CD8" w:rsidRDefault="00B52CD8" w:rsidP="00B52CD8">
            <w:pPr>
              <w:tabs>
                <w:tab w:val="left" w:pos="993"/>
              </w:tabs>
              <w:spacing w:before="0"/>
              <w:rPr>
                <w:b/>
              </w:rPr>
            </w:pPr>
            <w:r>
              <w:rPr>
                <w:b/>
              </w:rPr>
              <w:t>Original: English</w:t>
            </w:r>
          </w:p>
        </w:tc>
      </w:tr>
      <w:tr w:rsidR="00B52CD8" w:rsidRPr="00813E5E" w14:paraId="3561D7ED" w14:textId="77777777">
        <w:trPr>
          <w:cantSplit/>
        </w:trPr>
        <w:tc>
          <w:tcPr>
            <w:tcW w:w="10031" w:type="dxa"/>
            <w:gridSpan w:val="2"/>
          </w:tcPr>
          <w:p w14:paraId="3561D7EC" w14:textId="77777777" w:rsidR="00B52CD8" w:rsidRPr="00813E5E" w:rsidRDefault="00B52CD8" w:rsidP="0075152F">
            <w:pPr>
              <w:pStyle w:val="Source"/>
              <w:framePr w:hSpace="0" w:wrap="auto" w:hAnchor="text" w:yAlign="inline"/>
            </w:pPr>
            <w:bookmarkStart w:id="7" w:name="dsource" w:colFirst="0" w:colLast="0"/>
            <w:bookmarkEnd w:id="6"/>
            <w:r>
              <w:t>Report by the Secretary-General</w:t>
            </w:r>
          </w:p>
        </w:tc>
      </w:tr>
      <w:tr w:rsidR="00B52CD8" w:rsidRPr="00813E5E" w14:paraId="3561D7EF" w14:textId="77777777">
        <w:trPr>
          <w:cantSplit/>
        </w:trPr>
        <w:tc>
          <w:tcPr>
            <w:tcW w:w="10031" w:type="dxa"/>
            <w:gridSpan w:val="2"/>
          </w:tcPr>
          <w:p w14:paraId="3561D7EE" w14:textId="77777777" w:rsidR="00B52CD8" w:rsidRPr="00813E5E" w:rsidRDefault="00B52CD8" w:rsidP="0075152F">
            <w:pPr>
              <w:pStyle w:val="Title1"/>
              <w:framePr w:hSpace="0" w:wrap="auto" w:hAnchor="text" w:yAlign="inline"/>
            </w:pPr>
            <w:bookmarkStart w:id="8" w:name="dtitle1" w:colFirst="0" w:colLast="0"/>
            <w:bookmarkEnd w:id="7"/>
            <w:r w:rsidRPr="00B52CD8">
              <w:t>ITU ACTIVITIES ON STRENGTHENING THE ROLE OF ITU IN BUILDING CONFIDENCE AND SECURITY IN THE USE OF INFORMATION AND COMMUNICATION TECHNOLOGIES</w:t>
            </w:r>
          </w:p>
        </w:tc>
      </w:tr>
      <w:bookmarkEnd w:id="8"/>
    </w:tbl>
    <w:p w14:paraId="3561D7F0" w14:textId="77777777" w:rsidR="00B52CD8" w:rsidRPr="00813E5E" w:rsidRDefault="00B52CD8"/>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2"/>
      </w:tblGrid>
      <w:tr w:rsidR="00B52CD8" w:rsidRPr="00813E5E" w14:paraId="3561D7F8" w14:textId="77777777" w:rsidTr="0093475A">
        <w:trPr>
          <w:trHeight w:val="3372"/>
          <w:jc w:val="center"/>
        </w:trPr>
        <w:tc>
          <w:tcPr>
            <w:tcW w:w="8382" w:type="dxa"/>
            <w:tcBorders>
              <w:top w:val="single" w:sz="12" w:space="0" w:color="auto"/>
              <w:left w:val="single" w:sz="12" w:space="0" w:color="auto"/>
              <w:bottom w:val="single" w:sz="12" w:space="0" w:color="auto"/>
              <w:right w:val="single" w:sz="12" w:space="0" w:color="auto"/>
            </w:tcBorders>
          </w:tcPr>
          <w:p w14:paraId="3561D7F1" w14:textId="77777777" w:rsidR="00B52CD8" w:rsidRPr="00813E5E" w:rsidRDefault="00B52CD8">
            <w:pPr>
              <w:pStyle w:val="Headingb"/>
            </w:pPr>
            <w:r w:rsidRPr="00813E5E">
              <w:t>Summary</w:t>
            </w:r>
          </w:p>
          <w:p w14:paraId="3561D7F2" w14:textId="77777777" w:rsidR="00B52CD8" w:rsidRPr="00813E5E" w:rsidRDefault="00B52CD8" w:rsidP="00323C4F">
            <w:pPr>
              <w:jc w:val="both"/>
            </w:pPr>
            <w:r w:rsidRPr="00B52CD8">
              <w:t>This report summarizes ITU’s activities since Council 2016 in relation to Resolution 130 (Rev. Busan, 2014), ITU’s role as sole facilitator for WSIS Action Line C5, and other decisions by the membership on strengthening the role of ITU in building confidence and security in the use of information and communication technologies (ICTs).</w:t>
            </w:r>
          </w:p>
          <w:p w14:paraId="3561D7F3" w14:textId="77777777" w:rsidR="00B52CD8" w:rsidRPr="00813E5E" w:rsidRDefault="00B52CD8" w:rsidP="00323C4F">
            <w:pPr>
              <w:pStyle w:val="Headingb"/>
              <w:jc w:val="both"/>
            </w:pPr>
            <w:r w:rsidRPr="00813E5E">
              <w:t>Action required</w:t>
            </w:r>
          </w:p>
          <w:p w14:paraId="3561D7F4" w14:textId="77777777" w:rsidR="00B52CD8" w:rsidRPr="00813E5E" w:rsidRDefault="00B52CD8" w:rsidP="00323C4F">
            <w:pPr>
              <w:jc w:val="both"/>
            </w:pPr>
            <w:r w:rsidRPr="00B52CD8">
              <w:t xml:space="preserve">The Council is invited to </w:t>
            </w:r>
            <w:r w:rsidRPr="00323C4F">
              <w:rPr>
                <w:b/>
                <w:bCs/>
              </w:rPr>
              <w:t>note</w:t>
            </w:r>
            <w:r w:rsidRPr="00B52CD8">
              <w:t xml:space="preserve"> the report.</w:t>
            </w:r>
          </w:p>
          <w:p w14:paraId="3561D7F5" w14:textId="77777777" w:rsidR="00B52CD8" w:rsidRPr="00813E5E" w:rsidRDefault="00B52CD8">
            <w:pPr>
              <w:pStyle w:val="Table"/>
              <w:keepNext w:val="0"/>
              <w:spacing w:before="0" w:after="0"/>
              <w:rPr>
                <w:rFonts w:ascii="Calibri" w:hAnsi="Calibri"/>
                <w:caps w:val="0"/>
                <w:sz w:val="22"/>
              </w:rPr>
            </w:pPr>
            <w:r w:rsidRPr="00813E5E">
              <w:rPr>
                <w:rFonts w:ascii="Calibri" w:hAnsi="Calibri"/>
                <w:caps w:val="0"/>
                <w:sz w:val="22"/>
              </w:rPr>
              <w:t>____________</w:t>
            </w:r>
          </w:p>
          <w:p w14:paraId="3561D7F6" w14:textId="77777777" w:rsidR="00B52CD8" w:rsidRPr="00813E5E" w:rsidRDefault="00B52CD8">
            <w:pPr>
              <w:pStyle w:val="Headingb"/>
            </w:pPr>
            <w:r w:rsidRPr="00813E5E">
              <w:t>References</w:t>
            </w:r>
          </w:p>
          <w:p w14:paraId="3561D7F7" w14:textId="77777777" w:rsidR="00B52CD8" w:rsidRPr="00813E5E" w:rsidRDefault="00B52CD8" w:rsidP="00323C4F">
            <w:pPr>
              <w:spacing w:after="120"/>
              <w:jc w:val="both"/>
              <w:rPr>
                <w:i/>
                <w:iCs/>
              </w:rPr>
            </w:pPr>
            <w:r w:rsidRPr="00A42A25">
              <w:rPr>
                <w:i/>
                <w:iCs/>
              </w:rPr>
              <w:t>Plenipotentiary Resolutions</w:t>
            </w:r>
            <w:r>
              <w:t xml:space="preserve"> </w:t>
            </w:r>
            <w:hyperlink r:id="rId12" w:history="1">
              <w:r>
                <w:rPr>
                  <w:rFonts w:asciiTheme="minorHAnsi" w:hAnsiTheme="minorHAnsi"/>
                  <w:i/>
                  <w:iCs/>
                  <w:color w:val="0000FF"/>
                  <w:spacing w:val="-2"/>
                  <w:szCs w:val="24"/>
                  <w:u w:val="single"/>
                </w:rPr>
                <w:t>71</w:t>
              </w:r>
            </w:hyperlink>
            <w:r w:rsidRPr="00B806DF">
              <w:rPr>
                <w:rFonts w:asciiTheme="minorHAnsi" w:hAnsiTheme="minorHAnsi"/>
                <w:i/>
                <w:iCs/>
                <w:color w:val="000000"/>
                <w:spacing w:val="-2"/>
                <w:szCs w:val="24"/>
              </w:rPr>
              <w:t xml:space="preserve">, </w:t>
            </w:r>
            <w:hyperlink r:id="rId13" w:history="1">
              <w:r w:rsidRPr="00564BCB">
                <w:rPr>
                  <w:rStyle w:val="Hyperlink"/>
                  <w:rFonts w:asciiTheme="minorHAnsi" w:hAnsiTheme="minorHAnsi"/>
                  <w:i/>
                  <w:iCs/>
                  <w:spacing w:val="-2"/>
                  <w:szCs w:val="24"/>
                </w:rPr>
                <w:t>130</w:t>
              </w:r>
            </w:hyperlink>
            <w:r w:rsidRPr="00B806DF">
              <w:rPr>
                <w:rFonts w:asciiTheme="minorHAnsi" w:hAnsiTheme="minorHAnsi"/>
                <w:i/>
                <w:iCs/>
                <w:color w:val="000000"/>
                <w:spacing w:val="-2"/>
                <w:szCs w:val="24"/>
              </w:rPr>
              <w:t>,</w:t>
            </w:r>
            <w:r>
              <w:rPr>
                <w:rFonts w:asciiTheme="minorHAnsi" w:hAnsiTheme="minorHAnsi"/>
                <w:i/>
                <w:iCs/>
                <w:color w:val="000000"/>
                <w:spacing w:val="-2"/>
                <w:szCs w:val="24"/>
              </w:rPr>
              <w:t xml:space="preserve"> </w:t>
            </w:r>
            <w:hyperlink r:id="rId14" w:history="1">
              <w:r w:rsidRPr="00A42A25">
                <w:rPr>
                  <w:rStyle w:val="Hyperlink"/>
                  <w:rFonts w:asciiTheme="minorHAnsi" w:hAnsiTheme="minorHAnsi"/>
                  <w:i/>
                  <w:iCs/>
                  <w:spacing w:val="-2"/>
                  <w:szCs w:val="24"/>
                </w:rPr>
                <w:t>140</w:t>
              </w:r>
            </w:hyperlink>
            <w:r>
              <w:rPr>
                <w:rFonts w:asciiTheme="minorHAnsi" w:hAnsiTheme="minorHAnsi"/>
                <w:i/>
                <w:iCs/>
                <w:color w:val="000000"/>
                <w:spacing w:val="-2"/>
                <w:szCs w:val="24"/>
              </w:rPr>
              <w:t xml:space="preserve">, </w:t>
            </w:r>
            <w:hyperlink r:id="rId15" w:history="1">
              <w:r w:rsidRPr="00564BCB">
                <w:rPr>
                  <w:rStyle w:val="Hyperlink"/>
                  <w:rFonts w:asciiTheme="minorHAnsi" w:hAnsiTheme="minorHAnsi"/>
                  <w:i/>
                  <w:iCs/>
                  <w:szCs w:val="24"/>
                </w:rPr>
                <w:t>174</w:t>
              </w:r>
            </w:hyperlink>
            <w:r>
              <w:rPr>
                <w:rFonts w:asciiTheme="minorHAnsi" w:hAnsiTheme="minorHAnsi"/>
                <w:color w:val="0000FF"/>
                <w:szCs w:val="24"/>
              </w:rPr>
              <w:t xml:space="preserve">, </w:t>
            </w:r>
            <w:hyperlink r:id="rId16" w:history="1">
              <w:r w:rsidRPr="00A42A25">
                <w:rPr>
                  <w:rStyle w:val="Hyperlink"/>
                  <w:rFonts w:asciiTheme="minorHAnsi" w:hAnsiTheme="minorHAnsi"/>
                  <w:i/>
                  <w:iCs/>
                  <w:szCs w:val="24"/>
                </w:rPr>
                <w:t>179</w:t>
              </w:r>
            </w:hyperlink>
            <w:r w:rsidRPr="00A42A25">
              <w:rPr>
                <w:rFonts w:asciiTheme="minorHAnsi" w:hAnsiTheme="minorHAnsi"/>
                <w:i/>
                <w:iCs/>
                <w:color w:val="0000FF"/>
                <w:szCs w:val="24"/>
              </w:rPr>
              <w:t xml:space="preserve"> </w:t>
            </w:r>
            <w:r w:rsidRPr="00A42A25">
              <w:rPr>
                <w:rFonts w:asciiTheme="minorHAnsi" w:hAnsiTheme="minorHAnsi"/>
                <w:i/>
                <w:iCs/>
                <w:color w:val="000000"/>
                <w:szCs w:val="24"/>
              </w:rPr>
              <w:t>(Rev. Busan, 2014)</w:t>
            </w:r>
            <w:r>
              <w:rPr>
                <w:rFonts w:asciiTheme="minorHAnsi" w:hAnsiTheme="minorHAnsi"/>
                <w:i/>
                <w:iCs/>
                <w:color w:val="000000"/>
                <w:szCs w:val="24"/>
              </w:rPr>
              <w:t xml:space="preserve">, </w:t>
            </w:r>
            <w:hyperlink r:id="rId17" w:history="1">
              <w:r w:rsidRPr="00A42A25">
                <w:rPr>
                  <w:rStyle w:val="Hyperlink"/>
                  <w:rFonts w:asciiTheme="minorHAnsi" w:hAnsiTheme="minorHAnsi"/>
                  <w:i/>
                  <w:iCs/>
                  <w:szCs w:val="24"/>
                </w:rPr>
                <w:t>181</w:t>
              </w:r>
            </w:hyperlink>
            <w:r w:rsidRPr="00A42A25">
              <w:rPr>
                <w:rFonts w:asciiTheme="minorHAnsi" w:hAnsiTheme="minorHAnsi"/>
                <w:i/>
                <w:iCs/>
                <w:szCs w:val="24"/>
              </w:rPr>
              <w:t xml:space="preserve"> (Guadalajara, 2010</w:t>
            </w:r>
            <w:r>
              <w:rPr>
                <w:rFonts w:asciiTheme="minorHAnsi" w:hAnsiTheme="minorHAnsi"/>
                <w:i/>
                <w:iCs/>
                <w:szCs w:val="24"/>
              </w:rPr>
              <w:t>)</w:t>
            </w:r>
            <w:r w:rsidRPr="00B806DF">
              <w:rPr>
                <w:rFonts w:asciiTheme="minorHAnsi" w:hAnsiTheme="minorHAnsi"/>
                <w:i/>
                <w:iCs/>
                <w:color w:val="000000"/>
                <w:szCs w:val="24"/>
              </w:rPr>
              <w:t xml:space="preserve">, </w:t>
            </w:r>
            <w:hyperlink r:id="rId18" w:history="1">
              <w:r w:rsidRPr="00B806DF">
                <w:rPr>
                  <w:rFonts w:asciiTheme="minorHAnsi" w:hAnsiTheme="minorHAnsi"/>
                  <w:i/>
                  <w:iCs/>
                  <w:color w:val="0000FF"/>
                  <w:szCs w:val="24"/>
                  <w:u w:val="single"/>
                </w:rPr>
                <w:t>International Telecommunication Regulations</w:t>
              </w:r>
            </w:hyperlink>
            <w:r w:rsidRPr="00B806DF">
              <w:rPr>
                <w:rFonts w:asciiTheme="minorHAnsi" w:hAnsiTheme="minorHAnsi"/>
                <w:i/>
                <w:iCs/>
                <w:color w:val="000000"/>
                <w:szCs w:val="24"/>
              </w:rPr>
              <w:t xml:space="preserve"> (Rev. Dubai, 2012), Council </w:t>
            </w:r>
            <w:hyperlink r:id="rId19" w:history="1">
              <w:r w:rsidRPr="0093475A">
                <w:rPr>
                  <w:rStyle w:val="Hyperlink"/>
                  <w:rFonts w:asciiTheme="minorHAnsi" w:hAnsiTheme="minorHAnsi"/>
                  <w:i/>
                  <w:iCs/>
                  <w:szCs w:val="24"/>
                </w:rPr>
                <w:t>Resolution 1306</w:t>
              </w:r>
            </w:hyperlink>
            <w:r w:rsidRPr="00B806DF">
              <w:rPr>
                <w:rFonts w:asciiTheme="minorHAnsi" w:hAnsiTheme="minorHAnsi"/>
                <w:i/>
                <w:iCs/>
                <w:color w:val="000000"/>
                <w:szCs w:val="24"/>
              </w:rPr>
              <w:t>, WTDC</w:t>
            </w:r>
            <w:r>
              <w:rPr>
                <w:rFonts w:asciiTheme="minorHAnsi" w:hAnsiTheme="minorHAnsi"/>
                <w:i/>
                <w:iCs/>
                <w:color w:val="000000"/>
                <w:szCs w:val="24"/>
              </w:rPr>
              <w:t xml:space="preserve"> </w:t>
            </w:r>
            <w:r w:rsidRPr="00B806DF">
              <w:rPr>
                <w:rFonts w:asciiTheme="minorHAnsi" w:hAnsiTheme="minorHAnsi"/>
                <w:i/>
                <w:iCs/>
                <w:color w:val="000000"/>
                <w:szCs w:val="24"/>
              </w:rPr>
              <w:t>Res</w:t>
            </w:r>
            <w:r>
              <w:rPr>
                <w:rFonts w:asciiTheme="minorHAnsi" w:hAnsiTheme="minorHAnsi"/>
                <w:i/>
                <w:iCs/>
                <w:color w:val="000000"/>
                <w:szCs w:val="24"/>
              </w:rPr>
              <w:t>olutions</w:t>
            </w:r>
            <w:r w:rsidRPr="00B806DF">
              <w:rPr>
                <w:rFonts w:asciiTheme="minorHAnsi" w:hAnsiTheme="minorHAnsi"/>
                <w:i/>
                <w:iCs/>
                <w:color w:val="000000"/>
                <w:szCs w:val="24"/>
              </w:rPr>
              <w:t xml:space="preserve"> </w:t>
            </w:r>
            <w:hyperlink r:id="rId20" w:history="1">
              <w:r w:rsidRPr="00B806DF">
                <w:rPr>
                  <w:rFonts w:asciiTheme="minorHAnsi" w:hAnsiTheme="minorHAnsi"/>
                  <w:i/>
                  <w:iCs/>
                  <w:color w:val="0000FF"/>
                  <w:szCs w:val="24"/>
                  <w:u w:val="single"/>
                </w:rPr>
                <w:t>2</w:t>
              </w:r>
            </w:hyperlink>
            <w:r w:rsidRPr="00B806DF">
              <w:rPr>
                <w:rFonts w:asciiTheme="minorHAnsi" w:hAnsiTheme="minorHAnsi"/>
                <w:i/>
                <w:iCs/>
                <w:color w:val="000000"/>
                <w:szCs w:val="24"/>
              </w:rPr>
              <w:t xml:space="preserve"> </w:t>
            </w:r>
            <w:r>
              <w:rPr>
                <w:rFonts w:asciiTheme="minorHAnsi" w:hAnsiTheme="minorHAnsi"/>
                <w:i/>
                <w:iCs/>
                <w:color w:val="000000"/>
                <w:szCs w:val="24"/>
              </w:rPr>
              <w:t>,</w:t>
            </w:r>
            <w:hyperlink r:id="rId21" w:history="1">
              <w:r w:rsidRPr="00B806DF">
                <w:rPr>
                  <w:rFonts w:asciiTheme="minorHAnsi" w:hAnsiTheme="minorHAnsi"/>
                  <w:i/>
                  <w:iCs/>
                  <w:color w:val="0000FF"/>
                  <w:szCs w:val="24"/>
                  <w:u w:val="single"/>
                </w:rPr>
                <w:t>45</w:t>
              </w:r>
            </w:hyperlink>
            <w:r w:rsidRPr="00B806DF">
              <w:rPr>
                <w:rFonts w:asciiTheme="minorHAnsi" w:hAnsiTheme="minorHAnsi"/>
                <w:i/>
                <w:iCs/>
                <w:color w:val="000000"/>
                <w:szCs w:val="24"/>
              </w:rPr>
              <w:t>,</w:t>
            </w:r>
            <w:r>
              <w:rPr>
                <w:rFonts w:asciiTheme="minorHAnsi" w:hAnsiTheme="minorHAnsi"/>
                <w:i/>
                <w:iCs/>
                <w:color w:val="000000"/>
                <w:szCs w:val="24"/>
              </w:rPr>
              <w:t xml:space="preserve"> </w:t>
            </w:r>
            <w:hyperlink r:id="rId22" w:history="1">
              <w:r w:rsidRPr="002754AD">
                <w:rPr>
                  <w:rStyle w:val="Hyperlink"/>
                  <w:rFonts w:asciiTheme="minorHAnsi" w:hAnsiTheme="minorHAnsi"/>
                  <w:i/>
                  <w:iCs/>
                  <w:szCs w:val="24"/>
                </w:rPr>
                <w:t>67</w:t>
              </w:r>
            </w:hyperlink>
            <w:r>
              <w:rPr>
                <w:rFonts w:asciiTheme="minorHAnsi" w:hAnsiTheme="minorHAnsi"/>
                <w:i/>
                <w:iCs/>
                <w:color w:val="000000"/>
                <w:szCs w:val="24"/>
              </w:rPr>
              <w:t xml:space="preserve">, </w:t>
            </w:r>
            <w:hyperlink r:id="rId23" w:history="1">
              <w:r w:rsidRPr="002754AD">
                <w:rPr>
                  <w:rStyle w:val="Hyperlink"/>
                  <w:rFonts w:asciiTheme="minorHAnsi" w:hAnsiTheme="minorHAnsi"/>
                  <w:i/>
                  <w:iCs/>
                  <w:szCs w:val="24"/>
                </w:rPr>
                <w:t>69</w:t>
              </w:r>
            </w:hyperlink>
            <w:r>
              <w:rPr>
                <w:rFonts w:asciiTheme="minorHAnsi" w:hAnsiTheme="minorHAnsi"/>
                <w:i/>
                <w:iCs/>
                <w:color w:val="000000"/>
                <w:szCs w:val="24"/>
              </w:rPr>
              <w:t xml:space="preserve"> (Rev. Dubai, 2014), </w:t>
            </w:r>
            <w:r w:rsidRPr="00B806DF">
              <w:rPr>
                <w:rFonts w:asciiTheme="minorHAnsi" w:hAnsiTheme="minorHAnsi"/>
                <w:i/>
                <w:iCs/>
                <w:color w:val="000000"/>
                <w:szCs w:val="24"/>
              </w:rPr>
              <w:t xml:space="preserve">WTDC-14/DAP </w:t>
            </w:r>
            <w:hyperlink r:id="rId24" w:history="1">
              <w:r w:rsidRPr="00B806DF">
                <w:rPr>
                  <w:color w:val="0000FF"/>
                  <w:szCs w:val="24"/>
                  <w:u w:val="single"/>
                </w:rPr>
                <w:t>Objective 3</w:t>
              </w:r>
            </w:hyperlink>
            <w:hyperlink r:id="rId25" w:history="1"/>
            <w:r w:rsidRPr="00B806DF">
              <w:rPr>
                <w:rFonts w:asciiTheme="minorHAnsi" w:hAnsiTheme="minorHAnsi"/>
                <w:i/>
                <w:iCs/>
                <w:color w:val="000000"/>
                <w:szCs w:val="24"/>
              </w:rPr>
              <w:t xml:space="preserve">, </w:t>
            </w:r>
            <w:r w:rsidRPr="00B806DF">
              <w:rPr>
                <w:rFonts w:asciiTheme="minorHAnsi" w:hAnsiTheme="minorHAnsi"/>
                <w:i/>
                <w:iCs/>
                <w:color w:val="000000"/>
                <w:spacing w:val="2"/>
                <w:szCs w:val="24"/>
              </w:rPr>
              <w:t>WTSA</w:t>
            </w:r>
            <w:r>
              <w:rPr>
                <w:rFonts w:asciiTheme="minorHAnsi" w:hAnsiTheme="minorHAnsi"/>
                <w:i/>
                <w:iCs/>
                <w:color w:val="000000"/>
                <w:spacing w:val="2"/>
                <w:szCs w:val="24"/>
              </w:rPr>
              <w:t xml:space="preserve"> Resolutions </w:t>
            </w:r>
            <w:hyperlink r:id="rId26" w:history="1">
              <w:r w:rsidRPr="005B16CC">
                <w:rPr>
                  <w:rStyle w:val="Hyperlink"/>
                  <w:rFonts w:asciiTheme="minorHAnsi" w:hAnsiTheme="minorHAnsi"/>
                  <w:i/>
                  <w:iCs/>
                  <w:spacing w:val="2"/>
                  <w:szCs w:val="24"/>
                  <w:lang w:val="en-US"/>
                </w:rPr>
                <w:t>50</w:t>
              </w:r>
            </w:hyperlink>
            <w:r w:rsidRPr="005B16CC">
              <w:rPr>
                <w:rFonts w:asciiTheme="minorHAnsi" w:hAnsiTheme="minorHAnsi"/>
                <w:i/>
                <w:iCs/>
                <w:color w:val="000000"/>
                <w:spacing w:val="2"/>
                <w:szCs w:val="24"/>
                <w:lang w:val="en-US"/>
              </w:rPr>
              <w:t xml:space="preserve">, </w:t>
            </w:r>
            <w:hyperlink r:id="rId27" w:history="1">
              <w:r w:rsidRPr="005B16CC">
                <w:rPr>
                  <w:rStyle w:val="Hyperlink"/>
                  <w:rFonts w:asciiTheme="minorHAnsi" w:hAnsiTheme="minorHAnsi"/>
                  <w:i/>
                  <w:iCs/>
                  <w:spacing w:val="2"/>
                  <w:szCs w:val="24"/>
                  <w:lang w:val="en-US"/>
                </w:rPr>
                <w:t>52</w:t>
              </w:r>
            </w:hyperlink>
            <w:r>
              <w:rPr>
                <w:rFonts w:asciiTheme="minorHAnsi" w:hAnsiTheme="minorHAnsi"/>
                <w:i/>
                <w:iCs/>
                <w:color w:val="000000"/>
                <w:spacing w:val="2"/>
                <w:szCs w:val="24"/>
              </w:rPr>
              <w:t xml:space="preserve">, </w:t>
            </w:r>
            <w:hyperlink r:id="rId28" w:history="1">
              <w:r w:rsidRPr="005B16CC">
                <w:rPr>
                  <w:rStyle w:val="Hyperlink"/>
                  <w:rFonts w:asciiTheme="minorHAnsi" w:hAnsiTheme="minorHAnsi"/>
                  <w:i/>
                  <w:iCs/>
                  <w:spacing w:val="2"/>
                  <w:szCs w:val="24"/>
                </w:rPr>
                <w:t>75</w:t>
              </w:r>
            </w:hyperlink>
            <w:r w:rsidRPr="005B16CC">
              <w:rPr>
                <w:rFonts w:asciiTheme="minorHAnsi" w:hAnsiTheme="minorHAnsi"/>
                <w:i/>
                <w:iCs/>
                <w:color w:val="000000"/>
                <w:spacing w:val="2"/>
                <w:szCs w:val="24"/>
                <w:lang w:val="en-US"/>
              </w:rPr>
              <w:t xml:space="preserve"> (Rev. Hammamet, 2016), </w:t>
            </w:r>
            <w:hyperlink r:id="rId29" w:history="1">
              <w:r w:rsidRPr="005B16CC">
                <w:rPr>
                  <w:rStyle w:val="Hyperlink"/>
                  <w:rFonts w:asciiTheme="minorHAnsi" w:hAnsiTheme="minorHAnsi"/>
                  <w:i/>
                  <w:iCs/>
                  <w:spacing w:val="2"/>
                  <w:szCs w:val="24"/>
                  <w:lang w:val="en-US"/>
                </w:rPr>
                <w:t>58</w:t>
              </w:r>
            </w:hyperlink>
            <w:r w:rsidRPr="00A634A2">
              <w:rPr>
                <w:rFonts w:asciiTheme="minorHAnsi" w:hAnsiTheme="minorHAnsi"/>
                <w:i/>
                <w:iCs/>
                <w:color w:val="000000"/>
                <w:spacing w:val="2"/>
                <w:szCs w:val="24"/>
                <w:lang w:val="en-US"/>
              </w:rPr>
              <w:t xml:space="preserve"> (Rev. Dubai, 2012)</w:t>
            </w:r>
            <w:r w:rsidRPr="00B806DF">
              <w:rPr>
                <w:rFonts w:asciiTheme="minorHAnsi" w:hAnsiTheme="minorHAnsi"/>
                <w:i/>
                <w:iCs/>
                <w:color w:val="000000"/>
                <w:spacing w:val="2"/>
                <w:szCs w:val="24"/>
              </w:rPr>
              <w:t xml:space="preserve">, </w:t>
            </w:r>
            <w:r w:rsidRPr="00B806DF">
              <w:rPr>
                <w:rFonts w:asciiTheme="minorHAnsi" w:hAnsiTheme="minorHAnsi"/>
                <w:i/>
                <w:iCs/>
                <w:color w:val="000000"/>
                <w:szCs w:val="24"/>
              </w:rPr>
              <w:t xml:space="preserve">Council Documents </w:t>
            </w:r>
            <w:hyperlink r:id="rId30" w:history="1">
              <w:r w:rsidRPr="00B806DF">
                <w:rPr>
                  <w:rFonts w:asciiTheme="minorHAnsi" w:hAnsiTheme="minorHAnsi"/>
                  <w:i/>
                  <w:iCs/>
                  <w:color w:val="0000FF"/>
                  <w:szCs w:val="24"/>
                  <w:u w:val="single"/>
                </w:rPr>
                <w:t>C05/32</w:t>
              </w:r>
            </w:hyperlink>
            <w:r w:rsidRPr="00B806DF">
              <w:rPr>
                <w:rFonts w:asciiTheme="minorHAnsi" w:hAnsiTheme="minorHAnsi"/>
                <w:i/>
                <w:iCs/>
                <w:color w:val="000000"/>
                <w:szCs w:val="24"/>
              </w:rPr>
              <w:t xml:space="preserve">, </w:t>
            </w:r>
            <w:hyperlink r:id="rId31" w:history="1">
              <w:r w:rsidRPr="0093475A">
                <w:rPr>
                  <w:rStyle w:val="Hyperlink"/>
                  <w:rFonts w:asciiTheme="minorHAnsi" w:hAnsiTheme="minorHAnsi"/>
                  <w:i/>
                  <w:iCs/>
                  <w:szCs w:val="24"/>
                </w:rPr>
                <w:t>C05/</w:t>
              </w:r>
              <w:r w:rsidR="0093475A" w:rsidRPr="0093475A">
                <w:rPr>
                  <w:rStyle w:val="Hyperlink"/>
                  <w:rFonts w:asciiTheme="minorHAnsi" w:hAnsiTheme="minorHAnsi"/>
                  <w:i/>
                  <w:iCs/>
                  <w:szCs w:val="24"/>
                </w:rPr>
                <w:t>INF</w:t>
              </w:r>
              <w:r w:rsidRPr="0093475A">
                <w:rPr>
                  <w:rStyle w:val="Hyperlink"/>
                  <w:rFonts w:asciiTheme="minorHAnsi" w:hAnsiTheme="minorHAnsi"/>
                  <w:i/>
                  <w:iCs/>
                  <w:szCs w:val="24"/>
                </w:rPr>
                <w:t>/10</w:t>
              </w:r>
            </w:hyperlink>
            <w:r w:rsidRPr="00B806DF">
              <w:rPr>
                <w:rFonts w:asciiTheme="minorHAnsi" w:hAnsiTheme="minorHAnsi"/>
                <w:i/>
                <w:iCs/>
                <w:color w:val="000000"/>
                <w:szCs w:val="24"/>
              </w:rPr>
              <w:t xml:space="preserve">, </w:t>
            </w:r>
            <w:hyperlink r:id="rId32" w:history="1">
              <w:r w:rsidRPr="00B806DF">
                <w:rPr>
                  <w:rFonts w:asciiTheme="minorHAnsi" w:hAnsiTheme="minorHAnsi"/>
                  <w:i/>
                  <w:iCs/>
                  <w:color w:val="0000FF"/>
                  <w:szCs w:val="24"/>
                  <w:u w:val="single"/>
                </w:rPr>
                <w:t>C06/4</w:t>
              </w:r>
            </w:hyperlink>
            <w:r w:rsidRPr="00B806DF">
              <w:rPr>
                <w:rFonts w:asciiTheme="minorHAnsi" w:hAnsiTheme="minorHAnsi"/>
                <w:i/>
                <w:iCs/>
                <w:color w:val="000000"/>
                <w:szCs w:val="24"/>
              </w:rPr>
              <w:t xml:space="preserve">, </w:t>
            </w:r>
            <w:hyperlink r:id="rId33" w:history="1">
              <w:r w:rsidRPr="00B806DF">
                <w:rPr>
                  <w:rFonts w:asciiTheme="minorHAnsi" w:hAnsiTheme="minorHAnsi"/>
                  <w:i/>
                  <w:iCs/>
                  <w:color w:val="0000FF"/>
                  <w:szCs w:val="24"/>
                  <w:u w:val="single"/>
                </w:rPr>
                <w:t>C07/21</w:t>
              </w:r>
            </w:hyperlink>
            <w:r w:rsidRPr="00B806DF">
              <w:rPr>
                <w:rFonts w:asciiTheme="minorHAnsi" w:hAnsiTheme="minorHAnsi"/>
                <w:i/>
                <w:iCs/>
                <w:color w:val="000000"/>
                <w:szCs w:val="24"/>
              </w:rPr>
              <w:t xml:space="preserve">, </w:t>
            </w:r>
            <w:hyperlink r:id="rId34" w:history="1">
              <w:r w:rsidRPr="00B806DF">
                <w:rPr>
                  <w:rFonts w:asciiTheme="minorHAnsi" w:hAnsiTheme="minorHAnsi"/>
                  <w:i/>
                  <w:iCs/>
                  <w:color w:val="0000FF"/>
                  <w:szCs w:val="24"/>
                  <w:u w:val="single"/>
                </w:rPr>
                <w:t>C08/33</w:t>
              </w:r>
            </w:hyperlink>
            <w:r w:rsidRPr="00B806DF">
              <w:rPr>
                <w:rFonts w:asciiTheme="minorHAnsi" w:hAnsiTheme="minorHAnsi"/>
                <w:i/>
                <w:iCs/>
                <w:color w:val="000000"/>
                <w:szCs w:val="24"/>
              </w:rPr>
              <w:t xml:space="preserve">, </w:t>
            </w:r>
            <w:hyperlink r:id="rId35" w:history="1">
              <w:r w:rsidRPr="00B806DF">
                <w:rPr>
                  <w:rFonts w:asciiTheme="minorHAnsi" w:hAnsiTheme="minorHAnsi"/>
                  <w:i/>
                  <w:iCs/>
                  <w:color w:val="0000FF"/>
                  <w:szCs w:val="24"/>
                  <w:u w:val="single"/>
                </w:rPr>
                <w:t>C09/50</w:t>
              </w:r>
            </w:hyperlink>
            <w:r w:rsidRPr="00B806DF">
              <w:rPr>
                <w:rFonts w:asciiTheme="minorHAnsi" w:hAnsiTheme="minorHAnsi"/>
                <w:szCs w:val="24"/>
              </w:rPr>
              <w:t xml:space="preserve">, </w:t>
            </w:r>
            <w:hyperlink r:id="rId36" w:history="1">
              <w:r w:rsidRPr="00B806DF">
                <w:rPr>
                  <w:rFonts w:asciiTheme="minorHAnsi" w:hAnsiTheme="minorHAnsi"/>
                  <w:i/>
                  <w:iCs/>
                  <w:color w:val="0000FF"/>
                  <w:szCs w:val="24"/>
                  <w:u w:val="single"/>
                </w:rPr>
                <w:t>C10/12</w:t>
              </w:r>
            </w:hyperlink>
            <w:r w:rsidRPr="00B806DF">
              <w:rPr>
                <w:rFonts w:asciiTheme="minorHAnsi" w:hAnsiTheme="minorHAnsi"/>
                <w:i/>
                <w:iCs/>
                <w:color w:val="0000FF"/>
                <w:szCs w:val="24"/>
              </w:rPr>
              <w:t xml:space="preserve">, </w:t>
            </w:r>
            <w:hyperlink r:id="rId37" w:history="1">
              <w:r w:rsidRPr="00B806DF">
                <w:rPr>
                  <w:rFonts w:asciiTheme="minorHAnsi" w:hAnsiTheme="minorHAnsi"/>
                  <w:i/>
                  <w:iCs/>
                  <w:color w:val="0000FF"/>
                  <w:szCs w:val="24"/>
                  <w:u w:val="single"/>
                </w:rPr>
                <w:t>C11/54</w:t>
              </w:r>
            </w:hyperlink>
            <w:r w:rsidRPr="00B806DF">
              <w:rPr>
                <w:rFonts w:asciiTheme="minorHAnsi" w:hAnsiTheme="minorHAnsi"/>
                <w:i/>
                <w:iCs/>
                <w:color w:val="0000FF"/>
                <w:szCs w:val="24"/>
              </w:rPr>
              <w:t xml:space="preserve">, </w:t>
            </w:r>
            <w:hyperlink r:id="rId38" w:history="1">
              <w:r w:rsidRPr="00B806DF">
                <w:rPr>
                  <w:rFonts w:asciiTheme="minorHAnsi" w:hAnsiTheme="minorHAnsi"/>
                  <w:i/>
                  <w:iCs/>
                  <w:color w:val="0000FF"/>
                  <w:szCs w:val="24"/>
                  <w:u w:val="single"/>
                </w:rPr>
                <w:t>C12/29</w:t>
              </w:r>
            </w:hyperlink>
            <w:r w:rsidRPr="00B806DF">
              <w:rPr>
                <w:rFonts w:asciiTheme="minorHAnsi" w:hAnsiTheme="minorHAnsi"/>
                <w:i/>
                <w:iCs/>
                <w:color w:val="0000FF"/>
                <w:szCs w:val="24"/>
              </w:rPr>
              <w:t xml:space="preserve">, </w:t>
            </w:r>
            <w:hyperlink r:id="rId39" w:history="1">
              <w:r w:rsidRPr="00B806DF">
                <w:rPr>
                  <w:rFonts w:asciiTheme="minorHAnsi" w:hAnsiTheme="minorHAnsi"/>
                  <w:i/>
                  <w:iCs/>
                  <w:color w:val="0000FF"/>
                  <w:szCs w:val="24"/>
                  <w:u w:val="single"/>
                </w:rPr>
                <w:t>C13/23</w:t>
              </w:r>
            </w:hyperlink>
            <w:r w:rsidRPr="00B806DF">
              <w:rPr>
                <w:rFonts w:asciiTheme="minorHAnsi" w:hAnsiTheme="minorHAnsi"/>
                <w:color w:val="0000FF"/>
                <w:szCs w:val="24"/>
              </w:rPr>
              <w:t xml:space="preserve">, </w:t>
            </w:r>
            <w:hyperlink r:id="rId40" w:history="1">
              <w:r w:rsidRPr="00B806DF">
                <w:rPr>
                  <w:rFonts w:asciiTheme="minorHAnsi" w:hAnsiTheme="minorHAnsi"/>
                  <w:i/>
                  <w:iCs/>
                  <w:color w:val="0000FF"/>
                  <w:szCs w:val="24"/>
                  <w:u w:val="single"/>
                </w:rPr>
                <w:t>C14/23</w:t>
              </w:r>
            </w:hyperlink>
            <w:r>
              <w:rPr>
                <w:rFonts w:asciiTheme="minorHAnsi" w:hAnsiTheme="minorHAnsi"/>
                <w:color w:val="0000FF"/>
                <w:szCs w:val="24"/>
              </w:rPr>
              <w:t xml:space="preserve">, </w:t>
            </w:r>
            <w:hyperlink r:id="rId41" w:history="1">
              <w:r w:rsidRPr="00B806DF">
                <w:rPr>
                  <w:rStyle w:val="Hyperlink"/>
                  <w:rFonts w:asciiTheme="minorHAnsi" w:hAnsiTheme="minorHAnsi"/>
                  <w:i/>
                  <w:iCs/>
                  <w:szCs w:val="24"/>
                </w:rPr>
                <w:t>C15/18</w:t>
              </w:r>
            </w:hyperlink>
            <w:r w:rsidRPr="0093475A">
              <w:rPr>
                <w:rStyle w:val="Hyperlink"/>
                <w:rFonts w:asciiTheme="minorHAnsi" w:hAnsiTheme="minorHAnsi"/>
                <w:i/>
                <w:iCs/>
                <w:color w:val="auto"/>
                <w:szCs w:val="24"/>
                <w:u w:val="none"/>
              </w:rPr>
              <w:t xml:space="preserve"> and </w:t>
            </w:r>
            <w:hyperlink r:id="rId42" w:history="1">
              <w:r w:rsidRPr="00DF7C21">
                <w:rPr>
                  <w:rStyle w:val="Hyperlink"/>
                  <w:rFonts w:asciiTheme="minorHAnsi" w:hAnsiTheme="minorHAnsi"/>
                  <w:i/>
                  <w:iCs/>
                  <w:szCs w:val="24"/>
                </w:rPr>
                <w:t>C16/18</w:t>
              </w:r>
            </w:hyperlink>
          </w:p>
        </w:tc>
      </w:tr>
    </w:tbl>
    <w:p w14:paraId="3561D7F9" w14:textId="77777777" w:rsidR="00B52CD8" w:rsidRPr="00B52CD8" w:rsidRDefault="00B52CD8" w:rsidP="0075152F">
      <w:pPr>
        <w:pStyle w:val="Heading2"/>
        <w:keepNext w:val="0"/>
        <w:keepLines w:val="0"/>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color w:val="000000"/>
          <w:szCs w:val="24"/>
        </w:rPr>
      </w:pPr>
      <w:bookmarkStart w:id="9" w:name="dstart"/>
      <w:bookmarkStart w:id="10" w:name="dbreak"/>
      <w:bookmarkEnd w:id="9"/>
      <w:bookmarkEnd w:id="10"/>
      <w:r w:rsidRPr="00B52CD8">
        <w:rPr>
          <w:rFonts w:asciiTheme="minorHAnsi" w:hAnsiTheme="minorHAnsi"/>
          <w:color w:val="000000"/>
          <w:szCs w:val="24"/>
        </w:rPr>
        <w:t>Cybersecurity and Countering Spam Activities</w:t>
      </w:r>
    </w:p>
    <w:p w14:paraId="3561D7FA" w14:textId="77777777" w:rsidR="00B52CD8" w:rsidRPr="00B52CD8" w:rsidRDefault="00B52CD8" w:rsidP="00B52CD8">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szCs w:val="24"/>
        </w:rPr>
      </w:pPr>
      <w:r w:rsidRPr="00B52CD8">
        <w:rPr>
          <w:rFonts w:asciiTheme="minorHAnsi" w:hAnsiTheme="minorHAnsi"/>
          <w:color w:val="000000"/>
          <w:szCs w:val="24"/>
        </w:rPr>
        <w:t>1.1</w:t>
      </w:r>
      <w:r w:rsidRPr="00B52CD8">
        <w:rPr>
          <w:rFonts w:asciiTheme="minorHAnsi" w:hAnsiTheme="minorHAnsi"/>
          <w:color w:val="000000"/>
          <w:szCs w:val="24"/>
        </w:rPr>
        <w:tab/>
        <w:t xml:space="preserve">The development of ICTs, underpinned by security and trust, is recognized as essential for sustainable development. </w:t>
      </w:r>
      <w:r w:rsidRPr="00B52CD8">
        <w:rPr>
          <w:rFonts w:asciiTheme="minorHAnsi" w:hAnsiTheme="minorHAnsi"/>
          <w:szCs w:val="24"/>
        </w:rPr>
        <w:t xml:space="preserve">This report, organized around the five pillars of the </w:t>
      </w:r>
      <w:hyperlink r:id="rId43" w:history="1">
        <w:r w:rsidRPr="00B52CD8">
          <w:rPr>
            <w:rStyle w:val="Hyperlink"/>
            <w:rFonts w:asciiTheme="minorHAnsi" w:hAnsiTheme="minorHAnsi"/>
            <w:szCs w:val="24"/>
          </w:rPr>
          <w:t>Global Cybersecurity Agenda (GCA)</w:t>
        </w:r>
      </w:hyperlink>
      <w:r w:rsidRPr="00B52CD8">
        <w:rPr>
          <w:rFonts w:asciiTheme="minorHAnsi" w:hAnsiTheme="minorHAnsi"/>
          <w:szCs w:val="24"/>
        </w:rPr>
        <w:t>, shows the complementary nature of existing ITU work programmes and facilitates the implementation of BDT, TSB, and BR activities in this domain.</w:t>
      </w:r>
    </w:p>
    <w:p w14:paraId="3561D7FB" w14:textId="77777777" w:rsidR="00B52CD8" w:rsidRPr="00B52CD8" w:rsidRDefault="00B52CD8" w:rsidP="0075152F">
      <w:pPr>
        <w:pStyle w:val="enumlev1"/>
        <w:tabs>
          <w:tab w:val="clear" w:pos="567"/>
          <w:tab w:val="clear" w:pos="1134"/>
          <w:tab w:val="clear" w:pos="1701"/>
          <w:tab w:val="clear" w:pos="2268"/>
          <w:tab w:val="clear" w:pos="2835"/>
        </w:tabs>
        <w:snapToGrid w:val="0"/>
        <w:spacing w:before="360" w:after="120"/>
        <w:ind w:left="0" w:firstLine="0"/>
        <w:jc w:val="both"/>
        <w:outlineLvl w:val="1"/>
        <w:rPr>
          <w:rFonts w:asciiTheme="minorHAnsi" w:hAnsiTheme="minorHAnsi"/>
          <w:b/>
          <w:bCs/>
          <w:szCs w:val="24"/>
        </w:rPr>
      </w:pPr>
      <w:r w:rsidRPr="00B52CD8">
        <w:rPr>
          <w:rFonts w:asciiTheme="minorHAnsi" w:hAnsiTheme="minorHAnsi"/>
          <w:b/>
          <w:bCs/>
          <w:szCs w:val="24"/>
        </w:rPr>
        <w:t>2.</w:t>
      </w:r>
      <w:r w:rsidRPr="00B52CD8">
        <w:rPr>
          <w:rFonts w:asciiTheme="minorHAnsi" w:hAnsiTheme="minorHAnsi"/>
          <w:b/>
          <w:bCs/>
          <w:szCs w:val="24"/>
        </w:rPr>
        <w:tab/>
        <w:t>Legal Measures</w:t>
      </w:r>
    </w:p>
    <w:p w14:paraId="3561D7FC" w14:textId="77777777" w:rsidR="00B52CD8" w:rsidRPr="00B52CD8" w:rsidRDefault="00B52CD8" w:rsidP="0075152F">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B52CD8">
        <w:rPr>
          <w:rFonts w:asciiTheme="minorHAnsi" w:hAnsiTheme="minorHAnsi"/>
          <w:sz w:val="24"/>
          <w:szCs w:val="24"/>
          <w:lang w:val="en-GB"/>
        </w:rPr>
        <w:t>2.1</w:t>
      </w:r>
      <w:r w:rsidRPr="00B52CD8">
        <w:rPr>
          <w:rFonts w:asciiTheme="minorHAnsi" w:hAnsiTheme="minorHAnsi"/>
          <w:sz w:val="24"/>
          <w:szCs w:val="24"/>
          <w:lang w:val="en-GB"/>
        </w:rPr>
        <w:tab/>
        <w:t xml:space="preserve">As part of Objective 3 of the Dubai Action Plan, and taking into account ITU-D Q 3/2 (former Q22/1), ITU is assisting Member States in understanding the legal aspects of cybersecurity through its </w:t>
      </w:r>
      <w:hyperlink r:id="rId44" w:history="1">
        <w:r w:rsidRPr="00B52CD8">
          <w:rPr>
            <w:rStyle w:val="Hyperlink"/>
            <w:rFonts w:asciiTheme="minorHAnsi" w:hAnsiTheme="minorHAnsi"/>
            <w:sz w:val="24"/>
            <w:szCs w:val="24"/>
            <w:lang w:val="en-GB"/>
          </w:rPr>
          <w:t>ITU Cybercrime Legislation Resources</w:t>
        </w:r>
      </w:hyperlink>
      <w:r w:rsidRPr="00B52CD8">
        <w:rPr>
          <w:rFonts w:asciiTheme="minorHAnsi" w:hAnsiTheme="minorHAnsi"/>
          <w:sz w:val="24"/>
          <w:szCs w:val="24"/>
          <w:lang w:val="en-GB"/>
        </w:rPr>
        <w:t xml:space="preserve"> in order to help harmonize their legal frameworks.</w:t>
      </w:r>
    </w:p>
    <w:p w14:paraId="3561D7FD" w14:textId="77777777" w:rsidR="00B52CD8" w:rsidRPr="00B52CD8" w:rsidRDefault="00B52CD8" w:rsidP="00B52CD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lastRenderedPageBreak/>
        <w:t>2.2</w:t>
      </w:r>
      <w:r w:rsidRPr="00B52CD8">
        <w:rPr>
          <w:rFonts w:asciiTheme="minorHAnsi" w:hAnsiTheme="minorHAnsi"/>
          <w:szCs w:val="24"/>
        </w:rPr>
        <w:tab/>
        <w:t>In the area of legal measures, ITU collaborates closely with partners such as UNODC and others that may have expertise in this area.</w:t>
      </w:r>
    </w:p>
    <w:p w14:paraId="3561D7FE" w14:textId="77777777" w:rsidR="00B52CD8" w:rsidRPr="00B52CD8" w:rsidRDefault="00B52CD8" w:rsidP="0075152F">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B52CD8">
        <w:rPr>
          <w:rFonts w:asciiTheme="minorHAnsi" w:hAnsiTheme="minorHAnsi"/>
          <w:b/>
          <w:bCs/>
          <w:szCs w:val="24"/>
        </w:rPr>
        <w:t>3.</w:t>
      </w:r>
      <w:r w:rsidRPr="00B52CD8">
        <w:rPr>
          <w:rFonts w:asciiTheme="minorHAnsi" w:hAnsiTheme="minorHAnsi"/>
          <w:b/>
          <w:bCs/>
          <w:szCs w:val="24"/>
        </w:rPr>
        <w:tab/>
        <w:t>Technical and Procedural Measures</w:t>
      </w:r>
    </w:p>
    <w:p w14:paraId="3561D7FF" w14:textId="77777777" w:rsidR="00B52CD8" w:rsidRPr="00B52CD8" w:rsidRDefault="00B52CD8" w:rsidP="00B52CD8">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Arial"/>
          <w:bCs/>
          <w:szCs w:val="24"/>
          <w:lang w:eastAsia="zh-CN"/>
        </w:rPr>
      </w:pPr>
      <w:r w:rsidRPr="00B52CD8">
        <w:rPr>
          <w:rFonts w:asciiTheme="minorHAnsi" w:eastAsia="SimSun" w:hAnsiTheme="minorHAnsi" w:cs="Arial"/>
          <w:szCs w:val="24"/>
          <w:lang w:eastAsia="zh-CN"/>
        </w:rPr>
        <w:t>3.1</w:t>
      </w:r>
      <w:r w:rsidRPr="00B52CD8">
        <w:rPr>
          <w:rFonts w:asciiTheme="minorHAnsi" w:eastAsia="SimSun" w:hAnsiTheme="minorHAnsi" w:cs="Arial"/>
          <w:szCs w:val="24"/>
          <w:lang w:eastAsia="zh-CN"/>
        </w:rPr>
        <w:tab/>
      </w:r>
      <w:hyperlink r:id="rId45" w:history="1">
        <w:r w:rsidRPr="00B52CD8">
          <w:rPr>
            <w:rFonts w:asciiTheme="minorHAnsi" w:eastAsia="SimSun" w:hAnsiTheme="minorHAnsi" w:cs="Arial"/>
            <w:color w:val="0000FF"/>
            <w:szCs w:val="24"/>
            <w:u w:val="single"/>
            <w:lang w:eastAsia="zh-CN"/>
          </w:rPr>
          <w:t>ITU-T Study Group 17 (SG-17)</w:t>
        </w:r>
      </w:hyperlink>
      <w:r w:rsidRPr="00B52CD8">
        <w:rPr>
          <w:rFonts w:asciiTheme="minorHAnsi" w:eastAsia="SimSun" w:hAnsiTheme="minorHAnsi" w:cs="Arial"/>
          <w:color w:val="0000FF"/>
          <w:szCs w:val="24"/>
          <w:u w:val="single"/>
          <w:lang w:eastAsia="zh-CN"/>
        </w:rPr>
        <w:t>,</w:t>
      </w:r>
      <w:r w:rsidRPr="00B52CD8">
        <w:rPr>
          <w:rFonts w:asciiTheme="minorHAnsi" w:eastAsia="SimSun" w:hAnsiTheme="minorHAnsi" w:cs="Arial"/>
          <w:szCs w:val="24"/>
          <w:lang w:eastAsia="zh-CN"/>
        </w:rPr>
        <w:t xml:space="preserve"> the lead study group on security and identity management (IdM), </w:t>
      </w:r>
      <w:r w:rsidRPr="00B52CD8">
        <w:rPr>
          <w:rFonts w:asciiTheme="minorHAnsi" w:eastAsia="SimSun" w:hAnsiTheme="minorHAnsi" w:cs="Arial"/>
          <w:bCs/>
          <w:szCs w:val="24"/>
          <w:lang w:eastAsia="zh-CN"/>
        </w:rPr>
        <w:t>continues to be instrumental in study and standardization in the areas of cybersecurity, anti-spam, IdM, ITU-T X.509 certificates, information security management, ubiquitous sensors networks, telebiometrics, IPTV security, virtualization security towards cloud computing security, and security architecture and application security, often in cooperation with external Standards Developing Organizations and Consortia.</w:t>
      </w:r>
    </w:p>
    <w:p w14:paraId="3561D800" w14:textId="77777777" w:rsidR="00B52CD8" w:rsidRPr="00B52CD8" w:rsidRDefault="00B52CD8" w:rsidP="00B52CD8">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Arial"/>
          <w:bCs/>
          <w:szCs w:val="24"/>
          <w:lang w:eastAsia="zh-CN"/>
        </w:rPr>
      </w:pPr>
      <w:r w:rsidRPr="00B52CD8">
        <w:rPr>
          <w:rFonts w:asciiTheme="minorHAnsi" w:eastAsia="SimSun" w:hAnsiTheme="minorHAnsi" w:cs="Arial"/>
          <w:bCs/>
          <w:szCs w:val="24"/>
          <w:lang w:eastAsia="zh-CN"/>
        </w:rPr>
        <w:t>3.2</w:t>
      </w:r>
      <w:r w:rsidRPr="00B52CD8">
        <w:rPr>
          <w:rFonts w:asciiTheme="minorHAnsi" w:eastAsia="SimSun" w:hAnsiTheme="minorHAnsi" w:cs="Arial"/>
          <w:bCs/>
          <w:szCs w:val="24"/>
          <w:lang w:eastAsia="zh-CN"/>
        </w:rPr>
        <w:tab/>
        <w:t xml:space="preserve">SG17 approved new cybersecurity Recommendations ITU-T X.1038 “Security requirements and reference architecture for software-defined networking”, X.1039 “Technical security measures for implementation of ITU-T X.805 security dimensions”, X.1085 “Information technology - Security techniques - Telebiometric authentication framework using biometric hardware security module”, X.1087 “Technical and operational countermeasures for telebiometric applications using mobile devices “, X.1258 “Enhanced entity authentication based on aggregated attributes”, X.1542 “Session information message exchange format”, X.1641 “Guidelines for cloud service customer data security”, and important revisions to X.500-series Recommendations on “Information technology – Open Systems Interconnection – The Directory” since ITU Council 2016. </w:t>
      </w:r>
    </w:p>
    <w:p w14:paraId="3561D801" w14:textId="77777777" w:rsidR="00B52CD8" w:rsidRPr="00B52CD8" w:rsidRDefault="00B52CD8" w:rsidP="00B52CD8">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Arial"/>
          <w:bCs/>
          <w:szCs w:val="24"/>
          <w:lang w:eastAsia="zh-CN"/>
        </w:rPr>
      </w:pPr>
      <w:r w:rsidRPr="00B52CD8">
        <w:rPr>
          <w:rFonts w:asciiTheme="minorHAnsi" w:eastAsia="SimSun" w:hAnsiTheme="minorHAnsi" w:cs="Arial"/>
          <w:bCs/>
          <w:szCs w:val="24"/>
          <w:lang w:eastAsia="zh-CN"/>
        </w:rPr>
        <w:t>3</w:t>
      </w:r>
      <w:r w:rsidRPr="00B52CD8">
        <w:rPr>
          <w:rFonts w:asciiTheme="minorHAnsi" w:eastAsia="SimSun" w:hAnsiTheme="minorHAnsi" w:cs="Arial"/>
          <w:bCs/>
          <w:szCs w:val="24"/>
          <w:lang w:val="en-US" w:eastAsia="zh-CN"/>
        </w:rPr>
        <w:t>.3</w:t>
      </w:r>
      <w:r w:rsidRPr="00B52CD8">
        <w:rPr>
          <w:rFonts w:asciiTheme="minorHAnsi" w:eastAsia="SimSun" w:hAnsiTheme="minorHAnsi" w:cs="Arial"/>
          <w:bCs/>
          <w:szCs w:val="24"/>
          <w:lang w:val="en-US" w:eastAsia="zh-CN"/>
        </w:rPr>
        <w:tab/>
      </w:r>
      <w:r w:rsidRPr="00B52CD8">
        <w:rPr>
          <w:rFonts w:asciiTheme="minorHAnsi" w:eastAsia="SimSun" w:hAnsiTheme="minorHAnsi" w:cs="Arial"/>
          <w:bCs/>
          <w:spacing w:val="-2"/>
          <w:szCs w:val="24"/>
          <w:lang w:eastAsia="zh-CN"/>
        </w:rPr>
        <w:t>Seven draft Recommendations are planned for TAP approval in March 2017 on cybersecurity</w:t>
      </w:r>
      <w:r w:rsidRPr="00B52CD8">
        <w:rPr>
          <w:rFonts w:asciiTheme="minorHAnsi" w:eastAsia="SimSun" w:hAnsiTheme="minorHAnsi" w:cs="Arial"/>
          <w:bCs/>
          <w:szCs w:val="24"/>
          <w:lang w:eastAsia="zh-CN"/>
        </w:rPr>
        <w:t xml:space="preserve">, </w:t>
      </w:r>
      <w:r w:rsidRPr="00B52CD8">
        <w:rPr>
          <w:rFonts w:eastAsia="SimSun" w:cs="Arial"/>
          <w:szCs w:val="24"/>
          <w:lang w:val="en-US" w:eastAsia="zh-CN"/>
        </w:rPr>
        <w:t xml:space="preserve">personally identifiable Information protection, </w:t>
      </w:r>
      <w:r w:rsidRPr="00B52CD8">
        <w:rPr>
          <w:rFonts w:asciiTheme="minorHAnsi" w:eastAsia="SimSun" w:hAnsiTheme="minorHAnsi" w:cs="Arial"/>
          <w:bCs/>
          <w:szCs w:val="24"/>
          <w:lang w:eastAsia="zh-CN"/>
        </w:rPr>
        <w:t xml:space="preserve">access control, encryption for IoT, end-user perception </w:t>
      </w:r>
      <w:r>
        <w:rPr>
          <w:rFonts w:asciiTheme="minorHAnsi" w:eastAsia="SimSun" w:hAnsiTheme="minorHAnsi" w:cs="Arial"/>
          <w:bCs/>
          <w:szCs w:val="24"/>
          <w:lang w:eastAsia="zh-CN"/>
        </w:rPr>
        <w:t xml:space="preserve">of trustworthiness indicators, </w:t>
      </w:r>
      <w:r w:rsidRPr="00B52CD8">
        <w:rPr>
          <w:rFonts w:asciiTheme="minorHAnsi" w:eastAsia="SimSun" w:hAnsiTheme="minorHAnsi" w:cs="Arial"/>
          <w:bCs/>
          <w:szCs w:val="24"/>
          <w:lang w:eastAsia="zh-CN"/>
        </w:rPr>
        <w:t>and secure software update capability for intelligent transport system; and eight other draft Recommendations are planned to be finalized to enter AAP approval process on structured cybersecurity information exchange techniques, countering smartphone-based botnets, countering instant messaging spam (SPIM), SMS phishing, mobile phone anti-theft measures</w:t>
      </w:r>
      <w:r>
        <w:rPr>
          <w:rFonts w:asciiTheme="minorHAnsi" w:eastAsia="SimSun" w:hAnsiTheme="minorHAnsi" w:cs="Arial"/>
          <w:bCs/>
          <w:szCs w:val="24"/>
          <w:lang w:eastAsia="zh-CN"/>
        </w:rPr>
        <w:t>,</w:t>
      </w:r>
      <w:r w:rsidRPr="00B52CD8">
        <w:rPr>
          <w:rFonts w:asciiTheme="minorHAnsi" w:eastAsia="SimSun" w:hAnsiTheme="minorHAnsi" w:cs="Arial"/>
          <w:bCs/>
          <w:szCs w:val="24"/>
          <w:lang w:eastAsia="zh-CN"/>
        </w:rPr>
        <w:t xml:space="preserve"> and security of open capabilities of telecommunication services. Work has been initiated on draft Recommendations on countering telephone service scam, smart metering service security in smart grids, de-identification processing, hybrid authentication and key management mech</w:t>
      </w:r>
      <w:r>
        <w:rPr>
          <w:rFonts w:asciiTheme="minorHAnsi" w:eastAsia="SimSun" w:hAnsiTheme="minorHAnsi" w:cs="Arial"/>
          <w:bCs/>
          <w:szCs w:val="24"/>
          <w:lang w:eastAsia="zh-CN"/>
        </w:rPr>
        <w:t xml:space="preserve">anisms in client-server model, </w:t>
      </w:r>
      <w:r w:rsidRPr="00B52CD8">
        <w:rPr>
          <w:rFonts w:asciiTheme="minorHAnsi" w:eastAsia="SimSun" w:hAnsiTheme="minorHAnsi" w:cs="Arial"/>
          <w:bCs/>
          <w:szCs w:val="24"/>
          <w:lang w:eastAsia="zh-CN"/>
        </w:rPr>
        <w:t xml:space="preserve">Big Data analytics in mobile Internet services, </w:t>
      </w:r>
      <w:r w:rsidRPr="00B52CD8">
        <w:rPr>
          <w:rFonts w:asciiTheme="minorHAnsi" w:eastAsia="SimSun" w:hAnsiTheme="minorHAnsi" w:cs="Arial"/>
          <w:bCs/>
          <w:spacing w:val="-4"/>
          <w:szCs w:val="24"/>
          <w:lang w:eastAsia="zh-CN"/>
        </w:rPr>
        <w:t>security of Big-Data-as-a-Service, Communication-as-a-Service and Network-as-a-Service, telebiometric</w:t>
      </w:r>
      <w:r w:rsidRPr="00B52CD8">
        <w:rPr>
          <w:rFonts w:asciiTheme="minorHAnsi" w:eastAsia="SimSun" w:hAnsiTheme="minorHAnsi" w:cs="Arial"/>
          <w:bCs/>
          <w:szCs w:val="24"/>
          <w:lang w:eastAsia="zh-CN"/>
        </w:rPr>
        <w:t xml:space="preserve"> authentication u</w:t>
      </w:r>
      <w:r>
        <w:rPr>
          <w:rFonts w:asciiTheme="minorHAnsi" w:eastAsia="SimSun" w:hAnsiTheme="minorHAnsi" w:cs="Arial"/>
          <w:bCs/>
          <w:szCs w:val="24"/>
          <w:lang w:eastAsia="zh-CN"/>
        </w:rPr>
        <w:t xml:space="preserve">sing bio-signals, telebiometric anti-spoofing detection </w:t>
      </w:r>
      <w:r w:rsidRPr="00B52CD8">
        <w:rPr>
          <w:rFonts w:asciiTheme="minorHAnsi" w:eastAsia="SimSun" w:hAnsiTheme="minorHAnsi" w:cs="Arial"/>
          <w:bCs/>
          <w:szCs w:val="24"/>
          <w:lang w:eastAsia="zh-CN"/>
        </w:rPr>
        <w:t>and Cryptographic</w:t>
      </w:r>
      <w:r>
        <w:rPr>
          <w:rFonts w:asciiTheme="minorHAnsi" w:eastAsia="SimSun" w:hAnsiTheme="minorHAnsi" w:cs="Arial"/>
          <w:bCs/>
          <w:szCs w:val="24"/>
          <w:lang w:eastAsia="zh-CN"/>
        </w:rPr>
        <w:t xml:space="preserve"> Message Syntax (CMS) Profile.</w:t>
      </w:r>
    </w:p>
    <w:p w14:paraId="3561D802" w14:textId="77777777" w:rsidR="00B52CD8" w:rsidRPr="00B52CD8" w:rsidRDefault="00B52CD8" w:rsidP="00B52CD8">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Arial"/>
          <w:bCs/>
          <w:szCs w:val="24"/>
          <w:highlight w:val="yellow"/>
          <w:lang w:eastAsia="zh-CN"/>
        </w:rPr>
      </w:pPr>
      <w:r w:rsidRPr="00B52CD8">
        <w:rPr>
          <w:rFonts w:asciiTheme="minorHAnsi" w:eastAsia="SimSun" w:hAnsiTheme="minorHAnsi" w:cs="Arial"/>
          <w:bCs/>
          <w:szCs w:val="24"/>
          <w:lang w:eastAsia="zh-CN"/>
        </w:rPr>
        <w:t>3.4</w:t>
      </w:r>
      <w:r w:rsidRPr="00B52CD8">
        <w:rPr>
          <w:rFonts w:asciiTheme="minorHAnsi" w:eastAsia="SimSun" w:hAnsiTheme="minorHAnsi" w:cs="Arial"/>
          <w:bCs/>
          <w:szCs w:val="24"/>
          <w:lang w:eastAsia="zh-CN"/>
        </w:rPr>
        <w:tab/>
      </w:r>
      <w:hyperlink r:id="rId46" w:history="1">
        <w:r w:rsidRPr="00B52CD8">
          <w:rPr>
            <w:rFonts w:asciiTheme="minorHAnsi" w:eastAsia="SimSun" w:hAnsiTheme="minorHAnsi" w:cs="Arial"/>
            <w:bCs/>
            <w:color w:val="0000FF"/>
            <w:szCs w:val="24"/>
            <w:u w:val="single"/>
            <w:lang w:eastAsia="zh-CN"/>
          </w:rPr>
          <w:t>SG17 regional group for Africa</w:t>
        </w:r>
      </w:hyperlink>
      <w:r w:rsidRPr="00B52CD8">
        <w:rPr>
          <w:rFonts w:asciiTheme="minorHAnsi" w:eastAsia="SimSun" w:hAnsiTheme="minorHAnsi" w:cs="Arial"/>
          <w:bCs/>
          <w:szCs w:val="24"/>
          <w:lang w:eastAsia="zh-CN"/>
        </w:rPr>
        <w:t xml:space="preserve"> held its second meeting on </w:t>
      </w:r>
      <w:r w:rsidRPr="00B52CD8">
        <w:rPr>
          <w:rFonts w:eastAsia="SimSun" w:cs="Arial"/>
          <w:bCs/>
          <w:szCs w:val="24"/>
          <w:lang w:val="en-US" w:eastAsia="zh-CN"/>
        </w:rPr>
        <w:t>27-28 July 2016 in Khartoum, Republic of Sudan.</w:t>
      </w:r>
    </w:p>
    <w:p w14:paraId="3561D803" w14:textId="77777777" w:rsidR="00B52CD8" w:rsidRPr="00B52CD8" w:rsidRDefault="00B52CD8" w:rsidP="00B52CD8">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rPr>
      </w:pPr>
      <w:r w:rsidRPr="00B52CD8">
        <w:rPr>
          <w:rFonts w:asciiTheme="minorHAnsi" w:eastAsia="SimSun" w:hAnsiTheme="minorHAnsi" w:cs="Arial"/>
          <w:bCs/>
          <w:szCs w:val="24"/>
          <w:lang w:eastAsia="zh-CN"/>
        </w:rPr>
        <w:t>3.5</w:t>
      </w:r>
      <w:r w:rsidRPr="00B52CD8">
        <w:rPr>
          <w:rFonts w:asciiTheme="minorHAnsi" w:eastAsia="SimSun" w:hAnsiTheme="minorHAnsi" w:cs="Arial"/>
          <w:bCs/>
          <w:szCs w:val="24"/>
          <w:lang w:eastAsia="zh-CN"/>
        </w:rPr>
        <w:tab/>
        <w:t>SG17 continued coordination with ITU-T SG20 “IoT and its applications including smart cities and communities (SC&amp;C)” on IoT security.</w:t>
      </w:r>
    </w:p>
    <w:p w14:paraId="3561D804"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B52CD8">
        <w:rPr>
          <w:rFonts w:asciiTheme="minorHAnsi" w:hAnsiTheme="minorHAnsi"/>
          <w:sz w:val="24"/>
          <w:szCs w:val="24"/>
          <w:lang w:val="en-GB"/>
        </w:rPr>
        <w:t>3.6</w:t>
      </w:r>
      <w:r w:rsidRPr="00B52CD8">
        <w:rPr>
          <w:rFonts w:asciiTheme="minorHAnsi" w:hAnsiTheme="minorHAnsi"/>
          <w:sz w:val="24"/>
          <w:szCs w:val="24"/>
          <w:lang w:val="en-GB"/>
        </w:rPr>
        <w:tab/>
        <w:t>ITU-R’s work in radiocommunication standardization continues, matching the constant evolution in modern telecommunication networks. ITU-R established clear security principles for IMT (3G, 4G and 5G) networks (Rec. ITU-R M.1078, M.1223, M.1457, M.1645, M.2012 and M.2083). It has also issued Recommendations on security issues in network management architecture for digital satellite systems (Rec. ITU-R S.1250) and performance enhancements of transmission control protocol over satellite networks (Rec. ITU-R S.1711).</w:t>
      </w:r>
    </w:p>
    <w:p w14:paraId="3561D805" w14:textId="77777777" w:rsidR="00B52CD8" w:rsidRPr="00B52CD8" w:rsidRDefault="00B52CD8" w:rsidP="0075152F">
      <w:pPr>
        <w:keepNext/>
        <w:keepLines/>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B52CD8">
        <w:rPr>
          <w:rFonts w:asciiTheme="minorHAnsi" w:hAnsiTheme="minorHAnsi"/>
          <w:b/>
          <w:bCs/>
          <w:szCs w:val="24"/>
        </w:rPr>
        <w:lastRenderedPageBreak/>
        <w:t>4.</w:t>
      </w:r>
      <w:r w:rsidRPr="00B52CD8">
        <w:rPr>
          <w:rFonts w:asciiTheme="minorHAnsi" w:hAnsiTheme="minorHAnsi"/>
          <w:b/>
          <w:bCs/>
          <w:szCs w:val="24"/>
        </w:rPr>
        <w:tab/>
        <w:t>Organizational Structures</w:t>
      </w:r>
    </w:p>
    <w:p w14:paraId="3561D806" w14:textId="77777777" w:rsidR="00B52CD8" w:rsidRPr="00B52CD8" w:rsidRDefault="00B52CD8" w:rsidP="0075152F">
      <w:pPr>
        <w:pStyle w:val="normalWSIS"/>
        <w:keepNext/>
        <w:keepLines/>
        <w:numPr>
          <w:ilvl w:val="0"/>
          <w:numId w:val="0"/>
        </w:numPr>
        <w:tabs>
          <w:tab w:val="clear" w:pos="426"/>
        </w:tabs>
        <w:adjustRightInd w:val="0"/>
        <w:snapToGrid w:val="0"/>
        <w:spacing w:after="120"/>
        <w:rPr>
          <w:rFonts w:asciiTheme="minorHAnsi" w:hAnsiTheme="minorHAnsi" w:cs="Segoe UI"/>
          <w:sz w:val="24"/>
          <w:szCs w:val="24"/>
        </w:rPr>
      </w:pPr>
      <w:r w:rsidRPr="00B52CD8">
        <w:rPr>
          <w:rFonts w:asciiTheme="minorHAnsi" w:hAnsiTheme="minorHAnsi"/>
          <w:sz w:val="24"/>
          <w:szCs w:val="24"/>
          <w:lang w:val="en-GB"/>
        </w:rPr>
        <w:t>4.1</w:t>
      </w:r>
      <w:r w:rsidRPr="00B52CD8">
        <w:rPr>
          <w:rFonts w:asciiTheme="minorHAnsi" w:hAnsiTheme="minorHAnsi"/>
          <w:sz w:val="24"/>
          <w:szCs w:val="24"/>
          <w:lang w:val="en-GB"/>
        </w:rPr>
        <w:tab/>
        <w:t xml:space="preserve">ITU continues to help build capacity at regional and international levels. </w:t>
      </w:r>
      <w:r w:rsidRPr="00B52CD8">
        <w:rPr>
          <w:rFonts w:asciiTheme="minorHAnsi" w:hAnsiTheme="minorHAnsi"/>
          <w:sz w:val="24"/>
          <w:szCs w:val="24"/>
        </w:rPr>
        <w:t xml:space="preserve">ITU has undertaken technical assessments to evaluate the preparedness for the </w:t>
      </w:r>
      <w:hyperlink r:id="rId47" w:history="1">
        <w:r w:rsidRPr="00B52CD8">
          <w:rPr>
            <w:rStyle w:val="Hyperlink"/>
            <w:rFonts w:asciiTheme="minorHAnsi" w:hAnsiTheme="minorHAnsi"/>
            <w:sz w:val="24"/>
            <w:szCs w:val="24"/>
          </w:rPr>
          <w:t>establishment of Computer Incident Response Teams (CIRTs</w:t>
        </w:r>
      </w:hyperlink>
      <w:r w:rsidRPr="00B52CD8">
        <w:rPr>
          <w:rStyle w:val="Hyperlink"/>
          <w:rFonts w:asciiTheme="minorHAnsi" w:hAnsiTheme="minorHAnsi"/>
          <w:sz w:val="24"/>
          <w:szCs w:val="24"/>
        </w:rPr>
        <w:t>)</w:t>
      </w:r>
      <w:r w:rsidRPr="00B52CD8">
        <w:rPr>
          <w:rFonts w:asciiTheme="minorHAnsi" w:hAnsiTheme="minorHAnsi"/>
          <w:sz w:val="24"/>
          <w:szCs w:val="24"/>
        </w:rPr>
        <w:t xml:space="preserve"> in 68 countries and is continuing with the necessary follow-up actions. National CIRT establishment and improvement is currently underway in Burundi, Gambia, Cyprus</w:t>
      </w:r>
      <w:r w:rsidR="00395F66">
        <w:rPr>
          <w:rFonts w:asciiTheme="minorHAnsi" w:hAnsiTheme="minorHAnsi"/>
          <w:sz w:val="24"/>
          <w:szCs w:val="24"/>
        </w:rPr>
        <w:t>,</w:t>
      </w:r>
      <w:r w:rsidRPr="00B52CD8">
        <w:rPr>
          <w:rFonts w:asciiTheme="minorHAnsi" w:hAnsiTheme="minorHAnsi"/>
          <w:sz w:val="24"/>
          <w:szCs w:val="24"/>
        </w:rPr>
        <w:t xml:space="preserve"> and Kenya after the successful completion of related activities in 12 countries.</w:t>
      </w:r>
    </w:p>
    <w:p w14:paraId="3561D807"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z w:val="24"/>
          <w:szCs w:val="24"/>
        </w:rPr>
        <w:t>4.2</w:t>
      </w:r>
      <w:r w:rsidRPr="00B52CD8">
        <w:rPr>
          <w:rFonts w:asciiTheme="minorHAnsi" w:hAnsiTheme="minorHAnsi"/>
          <w:sz w:val="24"/>
          <w:szCs w:val="24"/>
        </w:rPr>
        <w:tab/>
        <w:t>ITU partnered with the Global Cyber Security Capacity Centre at the Oxford Martin School</w:t>
      </w:r>
      <w:r w:rsidR="0075152F">
        <w:rPr>
          <w:rFonts w:asciiTheme="minorHAnsi" w:hAnsiTheme="minorHAnsi"/>
          <w:sz w:val="24"/>
          <w:szCs w:val="24"/>
        </w:rPr>
        <w:t>,</w:t>
      </w:r>
      <w:r w:rsidRPr="00B52CD8">
        <w:rPr>
          <w:rFonts w:asciiTheme="minorHAnsi" w:hAnsiTheme="minorHAnsi"/>
          <w:sz w:val="24"/>
          <w:szCs w:val="24"/>
        </w:rPr>
        <w:t xml:space="preserve"> and jointly performed Cybersecurity Capacity Reviews in Thailand, Sierra Leone</w:t>
      </w:r>
      <w:r w:rsidR="00395F66">
        <w:rPr>
          <w:rFonts w:asciiTheme="minorHAnsi" w:hAnsiTheme="minorHAnsi"/>
          <w:sz w:val="24"/>
          <w:szCs w:val="24"/>
        </w:rPr>
        <w:t>,</w:t>
      </w:r>
      <w:r w:rsidRPr="00B52CD8">
        <w:rPr>
          <w:rFonts w:asciiTheme="minorHAnsi" w:hAnsiTheme="minorHAnsi"/>
          <w:sz w:val="24"/>
          <w:szCs w:val="24"/>
        </w:rPr>
        <w:t xml:space="preserve"> and Madagascar.</w:t>
      </w:r>
    </w:p>
    <w:p w14:paraId="3561D808"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z w:val="24"/>
          <w:szCs w:val="24"/>
        </w:rPr>
        <w:t>4.3</w:t>
      </w:r>
      <w:r w:rsidRPr="00B52CD8">
        <w:rPr>
          <w:rFonts w:asciiTheme="minorHAnsi" w:hAnsiTheme="minorHAnsi"/>
          <w:sz w:val="24"/>
          <w:szCs w:val="24"/>
        </w:rPr>
        <w:tab/>
        <w:t xml:space="preserve">ITU continues to conduct </w:t>
      </w:r>
      <w:hyperlink r:id="rId48" w:history="1">
        <w:r w:rsidRPr="00B52CD8">
          <w:rPr>
            <w:rStyle w:val="Hyperlink"/>
            <w:rFonts w:asciiTheme="minorHAnsi" w:hAnsiTheme="minorHAnsi"/>
            <w:sz w:val="24"/>
            <w:szCs w:val="24"/>
          </w:rPr>
          <w:t>Cyber Drill</w:t>
        </w:r>
      </w:hyperlink>
      <w:r w:rsidRPr="00B52CD8">
        <w:rPr>
          <w:rStyle w:val="Hyperlink"/>
          <w:rFonts w:asciiTheme="minorHAnsi" w:hAnsiTheme="minorHAnsi"/>
          <w:sz w:val="24"/>
          <w:szCs w:val="24"/>
        </w:rPr>
        <w:t>s</w:t>
      </w:r>
      <w:r w:rsidRPr="00B52CD8">
        <w:rPr>
          <w:rFonts w:asciiTheme="minorHAnsi" w:hAnsiTheme="minorHAnsi"/>
          <w:sz w:val="24"/>
          <w:szCs w:val="24"/>
        </w:rPr>
        <w:t xml:space="preserve"> for its partner countries to enhance the communication and incident response capabilities of participating teams, and to strengthen national and international cooperation against cyber threats. So far, ITU has conducted 16 Cyber Drills involving more than 100 countries. In the current reporting period, international Cyber Drills were held in Quito, Ecuador for the </w:t>
      </w:r>
      <w:hyperlink r:id="rId49" w:history="1">
        <w:r w:rsidRPr="00B52CD8">
          <w:rPr>
            <w:rStyle w:val="Hyperlink"/>
            <w:rFonts w:asciiTheme="minorHAnsi" w:hAnsiTheme="minorHAnsi"/>
            <w:sz w:val="24"/>
            <w:szCs w:val="24"/>
          </w:rPr>
          <w:t>Americas Region</w:t>
        </w:r>
      </w:hyperlink>
      <w:r w:rsidRPr="00B52CD8">
        <w:rPr>
          <w:rFonts w:asciiTheme="minorHAnsi" w:hAnsiTheme="minorHAnsi"/>
          <w:sz w:val="24"/>
          <w:szCs w:val="24"/>
        </w:rPr>
        <w:t xml:space="preserve"> (</w:t>
      </w:r>
      <w:r w:rsidR="00395F66">
        <w:rPr>
          <w:rFonts w:asciiTheme="minorHAnsi" w:hAnsiTheme="minorHAnsi"/>
          <w:sz w:val="24"/>
          <w:szCs w:val="24"/>
        </w:rPr>
        <w:t>27 June–</w:t>
      </w:r>
      <w:r w:rsidRPr="00B52CD8">
        <w:rPr>
          <w:rFonts w:asciiTheme="minorHAnsi" w:hAnsiTheme="minorHAnsi"/>
          <w:sz w:val="24"/>
          <w:szCs w:val="24"/>
        </w:rPr>
        <w:t xml:space="preserve">1 July 2016), in Tunis, Tunisia for the </w:t>
      </w:r>
      <w:hyperlink r:id="rId50" w:history="1">
        <w:r w:rsidRPr="00B52CD8">
          <w:rPr>
            <w:rStyle w:val="Hyperlink"/>
            <w:rFonts w:asciiTheme="minorHAnsi" w:hAnsiTheme="minorHAnsi"/>
            <w:sz w:val="24"/>
            <w:szCs w:val="24"/>
          </w:rPr>
          <w:t>Arab Region</w:t>
        </w:r>
      </w:hyperlink>
      <w:r w:rsidRPr="00B52CD8">
        <w:rPr>
          <w:rFonts w:asciiTheme="minorHAnsi" w:hAnsiTheme="minorHAnsi"/>
          <w:sz w:val="24"/>
          <w:szCs w:val="24"/>
        </w:rPr>
        <w:t xml:space="preserve"> (23-27 May 2016) and in Mauritius for the </w:t>
      </w:r>
      <w:hyperlink r:id="rId51" w:history="1">
        <w:r w:rsidRPr="00B52CD8">
          <w:rPr>
            <w:rStyle w:val="Hyperlink"/>
            <w:rFonts w:asciiTheme="minorHAnsi" w:hAnsiTheme="minorHAnsi"/>
            <w:sz w:val="24"/>
            <w:szCs w:val="24"/>
          </w:rPr>
          <w:t>Africa Region</w:t>
        </w:r>
      </w:hyperlink>
      <w:r w:rsidRPr="00B52CD8">
        <w:rPr>
          <w:rFonts w:asciiTheme="minorHAnsi" w:hAnsiTheme="minorHAnsi"/>
          <w:sz w:val="24"/>
          <w:szCs w:val="24"/>
        </w:rPr>
        <w:t xml:space="preserve"> (4-8 April 2016).</w:t>
      </w:r>
    </w:p>
    <w:p w14:paraId="3561D809" w14:textId="77777777" w:rsidR="00B52CD8" w:rsidRPr="00B52CD8" w:rsidRDefault="00B52CD8" w:rsidP="00B52CD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t>4.4</w:t>
      </w:r>
      <w:r w:rsidRPr="00B52CD8">
        <w:rPr>
          <w:rFonts w:asciiTheme="minorHAnsi" w:hAnsiTheme="minorHAnsi"/>
          <w:szCs w:val="24"/>
        </w:rPr>
        <w:tab/>
        <w:t xml:space="preserve">A </w:t>
      </w:r>
      <w:hyperlink r:id="rId52" w:history="1">
        <w:r w:rsidRPr="00B52CD8">
          <w:rPr>
            <w:rStyle w:val="Hyperlink"/>
            <w:rFonts w:asciiTheme="minorHAnsi" w:hAnsiTheme="minorHAnsi"/>
            <w:szCs w:val="24"/>
          </w:rPr>
          <w:t>National Cybersecurity Strategy</w:t>
        </w:r>
      </w:hyperlink>
      <w:r w:rsidRPr="00B52CD8">
        <w:rPr>
          <w:rFonts w:asciiTheme="minorHAnsi" w:hAnsiTheme="minorHAnsi"/>
          <w:szCs w:val="24"/>
        </w:rPr>
        <w:t xml:space="preserve"> toolkit is under development, as a multistakeholder effort facilitated by ITU. To progress the work, three </w:t>
      </w:r>
      <w:r w:rsidRPr="00B52CD8">
        <w:rPr>
          <w:rFonts w:asciiTheme="minorHAnsi" w:hAnsiTheme="minorHAnsi"/>
          <w:szCs w:val="24"/>
          <w:lang w:val="en-US"/>
        </w:rPr>
        <w:t>partner</w:t>
      </w:r>
      <w:r w:rsidRPr="00B52CD8">
        <w:rPr>
          <w:rFonts w:asciiTheme="minorHAnsi" w:hAnsiTheme="minorHAnsi"/>
          <w:szCs w:val="24"/>
        </w:rPr>
        <w:t xml:space="preserve"> </w:t>
      </w:r>
      <w:r w:rsidRPr="00B52CD8">
        <w:rPr>
          <w:szCs w:val="24"/>
        </w:rPr>
        <w:t>workshops</w:t>
      </w:r>
      <w:r w:rsidRPr="00B52CD8">
        <w:rPr>
          <w:rFonts w:asciiTheme="minorHAnsi" w:hAnsiTheme="minorHAnsi"/>
          <w:szCs w:val="24"/>
        </w:rPr>
        <w:t xml:space="preserve"> were held on 18-19 February 2016 at the ITU HQs in Geneva, Switzerland, on 6-7 June 2016 at the </w:t>
      </w:r>
      <w:r w:rsidRPr="00B52CD8">
        <w:rPr>
          <w:szCs w:val="24"/>
        </w:rPr>
        <w:t>Saïd</w:t>
      </w:r>
      <w:r w:rsidRPr="00B52CD8" w:rsidDel="005A45E7">
        <w:rPr>
          <w:rFonts w:asciiTheme="minorHAnsi" w:hAnsiTheme="minorHAnsi"/>
          <w:szCs w:val="24"/>
        </w:rPr>
        <w:t xml:space="preserve"> </w:t>
      </w:r>
      <w:r w:rsidRPr="00B52CD8">
        <w:rPr>
          <w:rFonts w:asciiTheme="minorHAnsi" w:hAnsiTheme="minorHAnsi"/>
          <w:szCs w:val="24"/>
        </w:rPr>
        <w:t xml:space="preserve">Business School </w:t>
      </w:r>
      <w:r w:rsidRPr="00B52CD8">
        <w:rPr>
          <w:szCs w:val="24"/>
        </w:rPr>
        <w:t>of the University of Oxford,</w:t>
      </w:r>
      <w:r w:rsidRPr="00B52CD8">
        <w:rPr>
          <w:rFonts w:asciiTheme="minorHAnsi" w:hAnsiTheme="minorHAnsi"/>
          <w:szCs w:val="24"/>
        </w:rPr>
        <w:t xml:space="preserve"> United Kingdom</w:t>
      </w:r>
      <w:r w:rsidR="0075152F">
        <w:rPr>
          <w:rFonts w:asciiTheme="minorHAnsi" w:hAnsiTheme="minorHAnsi"/>
          <w:szCs w:val="24"/>
        </w:rPr>
        <w:t>,</w:t>
      </w:r>
      <w:r w:rsidRPr="00B52CD8">
        <w:rPr>
          <w:rFonts w:asciiTheme="minorHAnsi" w:hAnsiTheme="minorHAnsi"/>
          <w:szCs w:val="24"/>
        </w:rPr>
        <w:t xml:space="preserve"> and on 13-14 October 2016 in Washington DC, United States</w:t>
      </w:r>
      <w:r w:rsidR="00395F66">
        <w:rPr>
          <w:rFonts w:asciiTheme="minorHAnsi" w:hAnsiTheme="minorHAnsi"/>
          <w:szCs w:val="24"/>
        </w:rPr>
        <w:t>,</w:t>
      </w:r>
      <w:r w:rsidRPr="00B52CD8">
        <w:rPr>
          <w:rFonts w:asciiTheme="minorHAnsi" w:hAnsiTheme="minorHAnsi"/>
          <w:szCs w:val="24"/>
        </w:rPr>
        <w:t xml:space="preserve"> hosted by the Organization of American States (OAS). The product is under finalization and will be publicly available before the end of 2017.</w:t>
      </w:r>
    </w:p>
    <w:p w14:paraId="3561D80A" w14:textId="77777777" w:rsidR="00B52CD8" w:rsidRPr="00B52CD8" w:rsidRDefault="00B52CD8" w:rsidP="0075152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t>4.5</w:t>
      </w:r>
      <w:r w:rsidR="0075152F">
        <w:rPr>
          <w:rFonts w:asciiTheme="minorHAnsi" w:hAnsiTheme="minorHAnsi"/>
          <w:szCs w:val="24"/>
        </w:rPr>
        <w:tab/>
      </w:r>
      <w:r w:rsidRPr="00B52CD8">
        <w:rPr>
          <w:rFonts w:asciiTheme="minorHAnsi" w:hAnsiTheme="minorHAnsi"/>
          <w:szCs w:val="24"/>
        </w:rPr>
        <w:t>ITU assisted Nepal in drafting its National Cybersecurity Policy and in Child Online Protection (4-8 July 2016), enhancing awareness and capacity building for about 100 government, regulatory and private stakeholders, and also demonstrated a successful cybersecurity simulation, and enhanced cooperation with the Nepal Telecommunication Authority (NTA).</w:t>
      </w:r>
    </w:p>
    <w:p w14:paraId="3561D80B" w14:textId="77777777" w:rsidR="00B52CD8" w:rsidRPr="00B52CD8" w:rsidRDefault="00B52CD8" w:rsidP="0075152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t>4.6</w:t>
      </w:r>
      <w:r w:rsidR="0075152F">
        <w:rPr>
          <w:rFonts w:asciiTheme="minorHAnsi" w:hAnsiTheme="minorHAnsi"/>
          <w:szCs w:val="24"/>
        </w:rPr>
        <w:tab/>
      </w:r>
      <w:r w:rsidRPr="00B52CD8">
        <w:rPr>
          <w:rFonts w:asciiTheme="minorHAnsi" w:hAnsiTheme="minorHAnsi"/>
          <w:szCs w:val="24"/>
        </w:rPr>
        <w:t xml:space="preserve">A Survey of Cybersecurity readiness was carried out for countries in the </w:t>
      </w:r>
      <w:r w:rsidR="0075152F">
        <w:rPr>
          <w:rFonts w:asciiTheme="minorHAnsi" w:hAnsiTheme="minorHAnsi"/>
          <w:szCs w:val="24"/>
        </w:rPr>
        <w:t>Asia-</w:t>
      </w:r>
      <w:r w:rsidRPr="00B52CD8">
        <w:rPr>
          <w:rFonts w:asciiTheme="minorHAnsi" w:hAnsiTheme="minorHAnsi"/>
          <w:szCs w:val="24"/>
        </w:rPr>
        <w:t>Pacific region (2015-2016) based on the five pillars of the GCA.</w:t>
      </w:r>
    </w:p>
    <w:p w14:paraId="3561D80C" w14:textId="77777777" w:rsidR="00B52CD8" w:rsidRPr="00B52CD8" w:rsidRDefault="00B52CD8" w:rsidP="0075152F">
      <w:pPr>
        <w:tabs>
          <w:tab w:val="clear" w:pos="567"/>
          <w:tab w:val="clear" w:pos="1134"/>
          <w:tab w:val="clear" w:pos="1701"/>
          <w:tab w:val="clear" w:pos="2268"/>
          <w:tab w:val="clear" w:pos="2835"/>
        </w:tabs>
        <w:snapToGrid w:val="0"/>
        <w:spacing w:before="300" w:after="120"/>
        <w:jc w:val="both"/>
        <w:rPr>
          <w:rFonts w:asciiTheme="minorHAnsi" w:hAnsiTheme="minorHAnsi"/>
          <w:b/>
          <w:bCs/>
          <w:szCs w:val="24"/>
        </w:rPr>
      </w:pPr>
      <w:r w:rsidRPr="00B52CD8">
        <w:rPr>
          <w:rFonts w:asciiTheme="minorHAnsi" w:hAnsiTheme="minorHAnsi"/>
          <w:b/>
          <w:bCs/>
          <w:szCs w:val="24"/>
        </w:rPr>
        <w:t>5.</w:t>
      </w:r>
      <w:r w:rsidRPr="00B52CD8">
        <w:rPr>
          <w:rFonts w:asciiTheme="minorHAnsi" w:hAnsiTheme="minorHAnsi"/>
          <w:b/>
          <w:bCs/>
          <w:szCs w:val="24"/>
        </w:rPr>
        <w:tab/>
        <w:t>Capacity Building</w:t>
      </w:r>
    </w:p>
    <w:p w14:paraId="3561D80D"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B52CD8">
        <w:rPr>
          <w:rFonts w:asciiTheme="minorHAnsi" w:hAnsiTheme="minorHAnsi"/>
          <w:sz w:val="24"/>
          <w:szCs w:val="24"/>
          <w:lang w:val="en-GB"/>
        </w:rPr>
        <w:t>5.1</w:t>
      </w:r>
      <w:r w:rsidRPr="00B52CD8">
        <w:rPr>
          <w:rFonts w:asciiTheme="minorHAnsi" w:hAnsiTheme="minorHAnsi"/>
          <w:sz w:val="24"/>
          <w:szCs w:val="24"/>
          <w:lang w:val="en-GB"/>
        </w:rPr>
        <w:tab/>
        <w:t xml:space="preserve">ITU continues to organize </w:t>
      </w:r>
      <w:hyperlink r:id="rId53" w:history="1">
        <w:r w:rsidRPr="00B52CD8">
          <w:rPr>
            <w:rStyle w:val="Hyperlink"/>
            <w:rFonts w:asciiTheme="minorHAnsi" w:hAnsiTheme="minorHAnsi"/>
            <w:sz w:val="24"/>
            <w:szCs w:val="24"/>
            <w:lang w:val="en-GB"/>
          </w:rPr>
          <w:t>regional cybersecurity forums</w:t>
        </w:r>
      </w:hyperlink>
      <w:r w:rsidRPr="00B52CD8">
        <w:rPr>
          <w:rFonts w:asciiTheme="minorHAnsi" w:hAnsiTheme="minorHAnsi"/>
          <w:sz w:val="24"/>
          <w:szCs w:val="24"/>
          <w:lang w:val="en-GB"/>
        </w:rPr>
        <w:t xml:space="preserve"> for all ITU regions, using them as a capacity-building vehicle for different ITU-D programmes and activities as well as an operational platform for cooperation at the re</w:t>
      </w:r>
      <w:r w:rsidR="0075152F">
        <w:rPr>
          <w:rFonts w:asciiTheme="minorHAnsi" w:hAnsiTheme="minorHAnsi"/>
          <w:sz w:val="24"/>
          <w:szCs w:val="24"/>
          <w:lang w:val="en-GB"/>
        </w:rPr>
        <w:t>gional and international level.</w:t>
      </w:r>
    </w:p>
    <w:p w14:paraId="3561D80E" w14:textId="77777777" w:rsidR="00B52CD8" w:rsidRPr="00B52CD8" w:rsidRDefault="00B52CD8" w:rsidP="0075152F">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z w:val="24"/>
          <w:szCs w:val="24"/>
        </w:rPr>
        <w:t>5.2</w:t>
      </w:r>
      <w:r w:rsidRPr="00B52CD8">
        <w:rPr>
          <w:rFonts w:asciiTheme="minorHAnsi" w:hAnsiTheme="minorHAnsi"/>
          <w:b/>
          <w:bCs/>
          <w:sz w:val="24"/>
          <w:szCs w:val="24"/>
        </w:rPr>
        <w:tab/>
      </w:r>
      <w:r w:rsidRPr="00B52CD8">
        <w:rPr>
          <w:rFonts w:asciiTheme="minorHAnsi" w:hAnsiTheme="minorHAnsi"/>
          <w:sz w:val="24"/>
          <w:szCs w:val="24"/>
        </w:rPr>
        <w:t xml:space="preserve">ITU-D Study Group 2 continues its work for </w:t>
      </w:r>
      <w:r w:rsidR="0075152F">
        <w:rPr>
          <w:rFonts w:asciiTheme="minorHAnsi" w:hAnsiTheme="minorHAnsi"/>
          <w:sz w:val="24"/>
          <w:szCs w:val="24"/>
        </w:rPr>
        <w:t xml:space="preserve">the </w:t>
      </w:r>
      <w:r w:rsidRPr="00B52CD8">
        <w:rPr>
          <w:rFonts w:asciiTheme="minorHAnsi" w:hAnsiTheme="minorHAnsi"/>
          <w:sz w:val="24"/>
          <w:szCs w:val="24"/>
        </w:rPr>
        <w:t xml:space="preserve">Study Period 2014-2018 on </w:t>
      </w:r>
      <w:hyperlink r:id="rId54" w:history="1">
        <w:r w:rsidRPr="00B52CD8">
          <w:rPr>
            <w:rStyle w:val="Hyperlink"/>
            <w:rFonts w:asciiTheme="minorHAnsi" w:hAnsiTheme="minorHAnsi"/>
            <w:sz w:val="24"/>
            <w:szCs w:val="24"/>
          </w:rPr>
          <w:t>Question 3/2</w:t>
        </w:r>
        <w:r w:rsidRPr="00B52CD8">
          <w:rPr>
            <w:rStyle w:val="Hyperlink"/>
            <w:rFonts w:asciiTheme="minorHAnsi" w:hAnsiTheme="minorHAnsi"/>
            <w:spacing w:val="-2"/>
            <w:sz w:val="24"/>
            <w:szCs w:val="24"/>
          </w:rPr>
          <w:t>: Securing information and communication networks: Best practices for developing a culture of cybersecurity</w:t>
        </w:r>
      </w:hyperlink>
      <w:r w:rsidRPr="00B52CD8">
        <w:rPr>
          <w:rFonts w:asciiTheme="minorHAnsi" w:hAnsiTheme="minorHAnsi"/>
          <w:spacing w:val="-2"/>
          <w:sz w:val="24"/>
          <w:szCs w:val="24"/>
        </w:rPr>
        <w:t>.</w:t>
      </w:r>
    </w:p>
    <w:p w14:paraId="3561D80F"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cstheme="majorBidi"/>
          <w:sz w:val="24"/>
          <w:szCs w:val="24"/>
        </w:rPr>
      </w:pPr>
      <w:r w:rsidRPr="00B52CD8">
        <w:rPr>
          <w:rFonts w:asciiTheme="minorHAnsi" w:hAnsiTheme="minorHAnsi"/>
          <w:sz w:val="24"/>
          <w:szCs w:val="24"/>
        </w:rPr>
        <w:t>5.3</w:t>
      </w:r>
      <w:r w:rsidRPr="00B52CD8">
        <w:rPr>
          <w:rFonts w:asciiTheme="minorHAnsi" w:hAnsiTheme="minorHAnsi"/>
          <w:sz w:val="24"/>
          <w:szCs w:val="24"/>
        </w:rPr>
        <w:tab/>
      </w:r>
      <w:r w:rsidRPr="00B52CD8">
        <w:rPr>
          <w:rFonts w:asciiTheme="minorHAnsi" w:hAnsiTheme="minorHAnsi" w:cstheme="majorBidi"/>
          <w:sz w:val="24"/>
          <w:szCs w:val="24"/>
        </w:rPr>
        <w:t xml:space="preserve">A workshop on </w:t>
      </w:r>
      <w:hyperlink r:id="rId55" w:history="1">
        <w:r w:rsidRPr="00B52CD8">
          <w:rPr>
            <w:rStyle w:val="Hyperlink"/>
            <w:rFonts w:asciiTheme="minorHAnsi" w:hAnsiTheme="minorHAnsi" w:cstheme="majorBidi"/>
            <w:sz w:val="24"/>
            <w:szCs w:val="24"/>
          </w:rPr>
          <w:t>"Cybersecurity strategy in African countries"</w:t>
        </w:r>
      </w:hyperlink>
      <w:r w:rsidRPr="00B52CD8">
        <w:rPr>
          <w:rFonts w:asciiTheme="minorHAnsi" w:hAnsiTheme="minorHAnsi" w:cstheme="majorBidi"/>
          <w:sz w:val="24"/>
          <w:szCs w:val="24"/>
        </w:rPr>
        <w:t xml:space="preserve"> was jointly organized by ITU and ATU with the support of TSB and BDT on </w:t>
      </w:r>
      <w:r w:rsidR="0075152F">
        <w:rPr>
          <w:rFonts w:asciiTheme="minorHAnsi" w:hAnsiTheme="minorHAnsi" w:cstheme="majorBidi"/>
          <w:sz w:val="24"/>
          <w:szCs w:val="24"/>
        </w:rPr>
        <w:t>24-</w:t>
      </w:r>
      <w:r w:rsidRPr="00B52CD8">
        <w:rPr>
          <w:rFonts w:asciiTheme="minorHAnsi" w:hAnsiTheme="minorHAnsi" w:cstheme="majorBidi"/>
          <w:sz w:val="24"/>
          <w:szCs w:val="24"/>
        </w:rPr>
        <w:t>26 July 2016 at the National Telecommunication Corporation (NTC) headquarters in Khartoum, Republic of Sudan.</w:t>
      </w:r>
    </w:p>
    <w:p w14:paraId="3561D810" w14:textId="77777777" w:rsidR="00B52CD8" w:rsidRPr="00B52CD8" w:rsidRDefault="00B52CD8" w:rsidP="0075152F">
      <w:pPr>
        <w:shd w:val="clear" w:color="auto" w:fill="FFFFFF"/>
        <w:tabs>
          <w:tab w:val="clear" w:pos="567"/>
          <w:tab w:val="clear" w:pos="1134"/>
          <w:tab w:val="clear" w:pos="1701"/>
          <w:tab w:val="clear" w:pos="2268"/>
          <w:tab w:val="clear" w:pos="2835"/>
        </w:tabs>
        <w:overflowPunct/>
        <w:autoSpaceDE/>
        <w:autoSpaceDN/>
        <w:snapToGrid w:val="0"/>
        <w:spacing w:after="120"/>
        <w:jc w:val="both"/>
        <w:rPr>
          <w:rFonts w:ascii="Arial" w:hAnsi="Arial" w:cs="Arial"/>
          <w:color w:val="444444"/>
          <w:szCs w:val="24"/>
        </w:rPr>
      </w:pPr>
      <w:r w:rsidRPr="00B52CD8">
        <w:rPr>
          <w:rFonts w:asciiTheme="minorHAnsi" w:hAnsiTheme="minorHAnsi" w:cstheme="majorBidi"/>
          <w:szCs w:val="24"/>
        </w:rPr>
        <w:t>5.4</w:t>
      </w:r>
      <w:r w:rsidRPr="00B52CD8">
        <w:rPr>
          <w:rFonts w:asciiTheme="minorHAnsi" w:hAnsiTheme="minorHAnsi" w:cstheme="majorBidi"/>
          <w:szCs w:val="24"/>
        </w:rPr>
        <w:tab/>
        <w:t>For the first time, ITU formally partnered with the European Network and Se</w:t>
      </w:r>
      <w:r w:rsidR="00395F66">
        <w:rPr>
          <w:rFonts w:asciiTheme="minorHAnsi" w:hAnsiTheme="minorHAnsi" w:cstheme="majorBidi"/>
          <w:szCs w:val="24"/>
        </w:rPr>
        <w:t>curity Agency (ENISA) to organiz</w:t>
      </w:r>
      <w:r w:rsidRPr="00B52CD8">
        <w:rPr>
          <w:rFonts w:asciiTheme="minorHAnsi" w:hAnsiTheme="minorHAnsi" w:cstheme="majorBidi"/>
          <w:szCs w:val="24"/>
        </w:rPr>
        <w:t xml:space="preserve">e a joint </w:t>
      </w:r>
      <w:hyperlink r:id="rId56" w:history="1">
        <w:r w:rsidRPr="00B52CD8">
          <w:rPr>
            <w:rStyle w:val="Hyperlink"/>
            <w:rFonts w:asciiTheme="minorHAnsi" w:hAnsiTheme="minorHAnsi" w:cstheme="majorBidi"/>
            <w:szCs w:val="24"/>
          </w:rPr>
          <w:t>ITU-ENISA Regional Cybersecurity Forum</w:t>
        </w:r>
      </w:hyperlink>
      <w:r w:rsidRPr="00B52CD8">
        <w:rPr>
          <w:rFonts w:asciiTheme="minorHAnsi" w:hAnsiTheme="minorHAnsi" w:cstheme="majorBidi"/>
          <w:szCs w:val="24"/>
        </w:rPr>
        <w:t xml:space="preserve"> </w:t>
      </w:r>
      <w:r w:rsidR="0075152F">
        <w:rPr>
          <w:rFonts w:asciiTheme="minorHAnsi" w:hAnsiTheme="minorHAnsi" w:cstheme="majorBidi"/>
          <w:szCs w:val="24"/>
        </w:rPr>
        <w:t>on 29-</w:t>
      </w:r>
      <w:r w:rsidRPr="00B52CD8">
        <w:rPr>
          <w:rFonts w:asciiTheme="minorHAnsi" w:hAnsiTheme="minorHAnsi" w:cstheme="majorBidi"/>
          <w:szCs w:val="24"/>
        </w:rPr>
        <w:t>30 November 2016 in Sofia, Bulgaria.</w:t>
      </w:r>
    </w:p>
    <w:p w14:paraId="3561D811"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cstheme="majorBidi"/>
          <w:sz w:val="24"/>
          <w:szCs w:val="24"/>
        </w:rPr>
        <w:t>5.5</w:t>
      </w:r>
      <w:r w:rsidRPr="00B52CD8">
        <w:rPr>
          <w:rFonts w:asciiTheme="minorHAnsi" w:hAnsiTheme="minorHAnsi" w:cstheme="majorBidi"/>
          <w:sz w:val="24"/>
          <w:szCs w:val="24"/>
        </w:rPr>
        <w:tab/>
        <w:t>The 4</w:t>
      </w:r>
      <w:r w:rsidRPr="0075152F">
        <w:rPr>
          <w:rFonts w:asciiTheme="minorHAnsi" w:hAnsiTheme="minorHAnsi" w:cstheme="majorBidi"/>
          <w:sz w:val="24"/>
          <w:szCs w:val="24"/>
        </w:rPr>
        <w:t>th</w:t>
      </w:r>
      <w:r w:rsidRPr="00B52CD8">
        <w:rPr>
          <w:rFonts w:asciiTheme="minorHAnsi" w:hAnsiTheme="minorHAnsi" w:cstheme="majorBidi"/>
          <w:sz w:val="24"/>
          <w:szCs w:val="24"/>
        </w:rPr>
        <w:t xml:space="preserve"> edition of the </w:t>
      </w:r>
      <w:hyperlink r:id="rId57" w:history="1">
        <w:r w:rsidRPr="00B52CD8">
          <w:rPr>
            <w:rStyle w:val="Hyperlink"/>
            <w:rFonts w:asciiTheme="minorHAnsi" w:hAnsiTheme="minorHAnsi" w:cstheme="majorBidi"/>
            <w:sz w:val="24"/>
            <w:szCs w:val="24"/>
          </w:rPr>
          <w:t>“Central European Cybersecurity Public-Private Dialogue Platform”</w:t>
        </w:r>
      </w:hyperlink>
      <w:r w:rsidRPr="00B52CD8">
        <w:rPr>
          <w:rFonts w:asciiTheme="minorHAnsi" w:hAnsiTheme="minorHAnsi" w:cstheme="majorBidi"/>
          <w:sz w:val="24"/>
          <w:szCs w:val="24"/>
        </w:rPr>
        <w:t xml:space="preserve"> was held from 14 to 16 September 2016 in Sibiu, Romania.</w:t>
      </w:r>
    </w:p>
    <w:p w14:paraId="3561D812" w14:textId="77777777" w:rsidR="00B52CD8" w:rsidRPr="00B52CD8" w:rsidRDefault="00B52CD8" w:rsidP="00395F66">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z w:val="24"/>
          <w:szCs w:val="24"/>
        </w:rPr>
        <w:lastRenderedPageBreak/>
        <w:t>5.6</w:t>
      </w:r>
      <w:r w:rsidRPr="00B52CD8">
        <w:rPr>
          <w:rFonts w:asciiTheme="minorHAnsi" w:hAnsiTheme="minorHAnsi"/>
          <w:sz w:val="24"/>
          <w:szCs w:val="24"/>
        </w:rPr>
        <w:tab/>
        <w:t xml:space="preserve">Following the launch of the first </w:t>
      </w:r>
      <w:hyperlink r:id="rId58" w:history="1">
        <w:r w:rsidRPr="00B52CD8">
          <w:rPr>
            <w:rStyle w:val="Hyperlink"/>
            <w:rFonts w:asciiTheme="minorHAnsi" w:hAnsiTheme="minorHAnsi"/>
            <w:sz w:val="24"/>
            <w:szCs w:val="24"/>
          </w:rPr>
          <w:t>Global Cybersecurity Index</w:t>
        </w:r>
      </w:hyperlink>
      <w:r w:rsidRPr="00B52CD8">
        <w:rPr>
          <w:rFonts w:asciiTheme="minorHAnsi" w:hAnsiTheme="minorHAnsi"/>
          <w:sz w:val="24"/>
          <w:szCs w:val="24"/>
        </w:rPr>
        <w:t xml:space="preserve"> (GCI) results in 2014, a </w:t>
      </w:r>
      <w:hyperlink r:id="rId59" w:history="1">
        <w:r w:rsidRPr="00B52CD8">
          <w:rPr>
            <w:rStyle w:val="Hyperlink"/>
            <w:rFonts w:asciiTheme="minorHAnsi" w:hAnsiTheme="minorHAnsi"/>
            <w:sz w:val="24"/>
            <w:szCs w:val="24"/>
          </w:rPr>
          <w:t>new iteration of the GCI</w:t>
        </w:r>
      </w:hyperlink>
      <w:r w:rsidRPr="00B52CD8">
        <w:rPr>
          <w:rFonts w:asciiTheme="minorHAnsi" w:hAnsiTheme="minorHAnsi"/>
          <w:sz w:val="24"/>
          <w:szCs w:val="24"/>
        </w:rPr>
        <w:t xml:space="preserve"> is currently under elaboration with an enhanced index and set of partners. To date 136 countries have responded to the questionnaire and analysis i</w:t>
      </w:r>
      <w:r w:rsidR="00395F66">
        <w:rPr>
          <w:rFonts w:asciiTheme="minorHAnsi" w:hAnsiTheme="minorHAnsi"/>
          <w:sz w:val="24"/>
          <w:szCs w:val="24"/>
        </w:rPr>
        <w:t>s</w:t>
      </w:r>
      <w:r w:rsidRPr="00B52CD8">
        <w:rPr>
          <w:rFonts w:asciiTheme="minorHAnsi" w:hAnsiTheme="minorHAnsi"/>
          <w:sz w:val="24"/>
          <w:szCs w:val="24"/>
        </w:rPr>
        <w:t xml:space="preserve"> underway.</w:t>
      </w:r>
    </w:p>
    <w:p w14:paraId="3561D813"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z w:val="24"/>
          <w:szCs w:val="24"/>
        </w:rPr>
        <w:t xml:space="preserve">5.7 </w:t>
      </w:r>
      <w:r w:rsidRPr="00B52CD8">
        <w:rPr>
          <w:rFonts w:asciiTheme="minorHAnsi" w:hAnsiTheme="minorHAnsi"/>
          <w:sz w:val="24"/>
          <w:szCs w:val="24"/>
        </w:rPr>
        <w:tab/>
        <w:t>In Myanmar, Vietnam, Lao PDR</w:t>
      </w:r>
      <w:r w:rsidR="00395F66">
        <w:rPr>
          <w:rFonts w:asciiTheme="minorHAnsi" w:hAnsiTheme="minorHAnsi"/>
          <w:sz w:val="24"/>
          <w:szCs w:val="24"/>
        </w:rPr>
        <w:t>,</w:t>
      </w:r>
      <w:r w:rsidRPr="00B52CD8">
        <w:rPr>
          <w:rFonts w:asciiTheme="minorHAnsi" w:hAnsiTheme="minorHAnsi"/>
          <w:sz w:val="24"/>
          <w:szCs w:val="24"/>
        </w:rPr>
        <w:t xml:space="preserve"> and Cambodia, in 2016, ITU helped develop technical skills to assist Incident Responders.</w:t>
      </w:r>
    </w:p>
    <w:p w14:paraId="3561D814" w14:textId="77777777" w:rsidR="00B52CD8" w:rsidRPr="00B52CD8" w:rsidRDefault="00B52CD8" w:rsidP="0075152F">
      <w:pPr>
        <w:pStyle w:val="normalWSIS"/>
        <w:numPr>
          <w:ilvl w:val="0"/>
          <w:numId w:val="0"/>
        </w:numPr>
        <w:tabs>
          <w:tab w:val="clear" w:pos="426"/>
        </w:tabs>
        <w:adjustRightInd w:val="0"/>
        <w:snapToGrid w:val="0"/>
        <w:spacing w:before="300" w:after="120"/>
        <w:rPr>
          <w:rFonts w:asciiTheme="minorHAnsi" w:hAnsiTheme="minorHAnsi"/>
          <w:b/>
          <w:bCs/>
          <w:sz w:val="24"/>
          <w:szCs w:val="24"/>
        </w:rPr>
      </w:pPr>
      <w:r w:rsidRPr="00B52CD8">
        <w:rPr>
          <w:rFonts w:asciiTheme="minorHAnsi" w:hAnsiTheme="minorHAnsi"/>
          <w:b/>
          <w:bCs/>
          <w:sz w:val="24"/>
          <w:szCs w:val="24"/>
        </w:rPr>
        <w:t>6.</w:t>
      </w:r>
      <w:r w:rsidRPr="00B52CD8">
        <w:rPr>
          <w:rFonts w:asciiTheme="minorHAnsi" w:hAnsiTheme="minorHAnsi"/>
          <w:b/>
          <w:bCs/>
          <w:sz w:val="24"/>
          <w:szCs w:val="24"/>
        </w:rPr>
        <w:tab/>
        <w:t>International Cooperation</w:t>
      </w:r>
    </w:p>
    <w:p w14:paraId="3561D815"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B52CD8">
        <w:rPr>
          <w:rFonts w:asciiTheme="minorHAnsi" w:hAnsiTheme="minorHAnsi"/>
          <w:sz w:val="24"/>
          <w:szCs w:val="24"/>
        </w:rPr>
        <w:t>6.1</w:t>
      </w:r>
      <w:r w:rsidRPr="00B52CD8">
        <w:rPr>
          <w:rFonts w:asciiTheme="minorHAnsi" w:hAnsiTheme="minorHAnsi"/>
          <w:sz w:val="24"/>
          <w:szCs w:val="24"/>
        </w:rPr>
        <w:tab/>
        <w:t xml:space="preserve">ITU continues to develop relationships and </w:t>
      </w:r>
      <w:hyperlink r:id="rId60" w:history="1">
        <w:r w:rsidRPr="00B52CD8">
          <w:rPr>
            <w:rStyle w:val="Hyperlink"/>
            <w:rFonts w:asciiTheme="minorHAnsi" w:hAnsiTheme="minorHAnsi"/>
            <w:sz w:val="24"/>
            <w:szCs w:val="24"/>
          </w:rPr>
          <w:t>partnerships</w:t>
        </w:r>
      </w:hyperlink>
      <w:r w:rsidRPr="00B52CD8">
        <w:rPr>
          <w:rFonts w:asciiTheme="minorHAnsi" w:hAnsiTheme="minorHAnsi"/>
          <w:sz w:val="24"/>
          <w:szCs w:val="24"/>
        </w:rPr>
        <w:t xml:space="preserve"> with various regional and international organizations and initiatives, including the Commonwealth Cybercrime Initiative, ENISA, INTERPOL, ECOWAS, the World Bank, FIRST</w:t>
      </w:r>
      <w:r w:rsidR="00DE7798">
        <w:rPr>
          <w:rFonts w:asciiTheme="minorHAnsi" w:hAnsiTheme="minorHAnsi"/>
          <w:sz w:val="24"/>
          <w:szCs w:val="24"/>
        </w:rPr>
        <w:t>,</w:t>
      </w:r>
      <w:r w:rsidRPr="00B52CD8">
        <w:rPr>
          <w:rFonts w:asciiTheme="minorHAnsi" w:hAnsiTheme="minorHAnsi"/>
          <w:sz w:val="24"/>
          <w:szCs w:val="24"/>
        </w:rPr>
        <w:t xml:space="preserve"> and regional CSIRT/CERT associations, such as AP CERT, AFRICA CERT, </w:t>
      </w:r>
      <w:r w:rsidR="00DE7798">
        <w:rPr>
          <w:rFonts w:asciiTheme="minorHAnsi" w:hAnsiTheme="minorHAnsi"/>
          <w:sz w:val="24"/>
          <w:szCs w:val="24"/>
        </w:rPr>
        <w:t xml:space="preserve">and </w:t>
      </w:r>
      <w:r w:rsidRPr="00B52CD8">
        <w:rPr>
          <w:rFonts w:asciiTheme="minorHAnsi" w:hAnsiTheme="minorHAnsi"/>
          <w:sz w:val="24"/>
          <w:szCs w:val="24"/>
        </w:rPr>
        <w:t>OIC CERT.</w:t>
      </w:r>
    </w:p>
    <w:p w14:paraId="3561D816"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pacing w:val="-2"/>
          <w:sz w:val="24"/>
          <w:szCs w:val="24"/>
        </w:rPr>
      </w:pPr>
      <w:r w:rsidRPr="00B52CD8">
        <w:rPr>
          <w:rFonts w:asciiTheme="minorHAnsi" w:hAnsiTheme="minorHAnsi"/>
          <w:sz w:val="24"/>
          <w:szCs w:val="24"/>
        </w:rPr>
        <w:t>6.2</w:t>
      </w:r>
      <w:r w:rsidRPr="00B52CD8">
        <w:rPr>
          <w:rFonts w:asciiTheme="minorHAnsi" w:hAnsiTheme="minorHAnsi"/>
          <w:sz w:val="24"/>
          <w:szCs w:val="24"/>
        </w:rPr>
        <w:tab/>
        <w:t>In its role as the lead facilitator for WSIS Action Line C5</w:t>
      </w:r>
      <w:r w:rsidR="0075152F">
        <w:rPr>
          <w:rFonts w:asciiTheme="minorHAnsi" w:hAnsiTheme="minorHAnsi"/>
          <w:sz w:val="24"/>
          <w:szCs w:val="24"/>
        </w:rPr>
        <w:t>,</w:t>
      </w:r>
      <w:r w:rsidRPr="00B52CD8">
        <w:rPr>
          <w:rFonts w:asciiTheme="minorHAnsi" w:hAnsiTheme="minorHAnsi"/>
          <w:sz w:val="24"/>
          <w:szCs w:val="24"/>
        </w:rPr>
        <w:t xml:space="preserve"> ITU organized several events at the </w:t>
      </w:r>
      <w:hyperlink r:id="rId61" w:history="1">
        <w:r w:rsidRPr="00B52CD8">
          <w:rPr>
            <w:rStyle w:val="Hyperlink"/>
            <w:rFonts w:asciiTheme="minorHAnsi" w:hAnsiTheme="minorHAnsi"/>
            <w:sz w:val="24"/>
            <w:szCs w:val="24"/>
          </w:rPr>
          <w:t>WSIS Forum 2016</w:t>
        </w:r>
      </w:hyperlink>
      <w:r w:rsidRPr="00B52CD8">
        <w:rPr>
          <w:rFonts w:asciiTheme="minorHAnsi" w:hAnsiTheme="minorHAnsi"/>
          <w:sz w:val="24"/>
          <w:szCs w:val="24"/>
        </w:rPr>
        <w:t xml:space="preserve"> that facilitated experience sharing among all stakeholder groups in </w:t>
      </w:r>
      <w:r w:rsidRPr="00B52CD8">
        <w:rPr>
          <w:rFonts w:asciiTheme="minorHAnsi" w:hAnsiTheme="minorHAnsi"/>
          <w:spacing w:val="-2"/>
          <w:sz w:val="24"/>
          <w:szCs w:val="24"/>
        </w:rPr>
        <w:t xml:space="preserve">their global efforts towards building confidence and security in the use of ICTs. </w:t>
      </w:r>
    </w:p>
    <w:p w14:paraId="3561D817"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pacing w:val="-2"/>
          <w:sz w:val="24"/>
          <w:szCs w:val="24"/>
        </w:rPr>
      </w:pPr>
      <w:r w:rsidRPr="00B52CD8">
        <w:rPr>
          <w:rFonts w:asciiTheme="minorHAnsi" w:hAnsiTheme="minorHAnsi"/>
          <w:spacing w:val="-2"/>
          <w:sz w:val="24"/>
          <w:szCs w:val="24"/>
        </w:rPr>
        <w:t>6.3</w:t>
      </w:r>
      <w:r w:rsidRPr="00B52CD8">
        <w:rPr>
          <w:rFonts w:asciiTheme="minorHAnsi" w:hAnsiTheme="minorHAnsi"/>
          <w:spacing w:val="-2"/>
          <w:sz w:val="24"/>
          <w:szCs w:val="24"/>
        </w:rPr>
        <w:tab/>
        <w:t>During Telecom Forum 2016, ITU</w:t>
      </w:r>
      <w:r w:rsidR="0075152F">
        <w:rPr>
          <w:rFonts w:asciiTheme="minorHAnsi" w:hAnsiTheme="minorHAnsi"/>
          <w:spacing w:val="-2"/>
          <w:sz w:val="24"/>
          <w:szCs w:val="24"/>
        </w:rPr>
        <w:t>,</w:t>
      </w:r>
      <w:r w:rsidRPr="00B52CD8">
        <w:rPr>
          <w:rFonts w:asciiTheme="minorHAnsi" w:hAnsiTheme="minorHAnsi"/>
          <w:spacing w:val="-2"/>
          <w:sz w:val="24"/>
          <w:szCs w:val="24"/>
        </w:rPr>
        <w:t xml:space="preserve"> in collaboration with the EastWest Institute (EWI)</w:t>
      </w:r>
      <w:r w:rsidR="0075152F">
        <w:rPr>
          <w:rFonts w:asciiTheme="minorHAnsi" w:hAnsiTheme="minorHAnsi"/>
          <w:spacing w:val="-2"/>
          <w:sz w:val="24"/>
          <w:szCs w:val="24"/>
        </w:rPr>
        <w:t>,</w:t>
      </w:r>
      <w:r w:rsidRPr="00B52CD8">
        <w:rPr>
          <w:rFonts w:asciiTheme="minorHAnsi" w:hAnsiTheme="minorHAnsi"/>
          <w:spacing w:val="-2"/>
          <w:sz w:val="24"/>
          <w:szCs w:val="24"/>
        </w:rPr>
        <w:t xml:space="preserve"> organized a panel session on </w:t>
      </w:r>
      <w:hyperlink r:id="rId62" w:history="1">
        <w:r w:rsidRPr="00B52CD8">
          <w:rPr>
            <w:rStyle w:val="Hyperlink"/>
            <w:rFonts w:asciiTheme="minorHAnsi" w:hAnsiTheme="minorHAnsi"/>
            <w:spacing w:val="-2"/>
            <w:sz w:val="24"/>
            <w:szCs w:val="24"/>
          </w:rPr>
          <w:t>“ICT trust, innovation and trade”</w:t>
        </w:r>
      </w:hyperlink>
      <w:r w:rsidRPr="00B52CD8">
        <w:rPr>
          <w:rFonts w:asciiTheme="minorHAnsi" w:hAnsiTheme="minorHAnsi"/>
          <w:spacing w:val="-2"/>
          <w:sz w:val="24"/>
          <w:szCs w:val="24"/>
        </w:rPr>
        <w:t>.</w:t>
      </w:r>
    </w:p>
    <w:p w14:paraId="3561D818"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pacing w:val="-2"/>
          <w:sz w:val="24"/>
          <w:szCs w:val="24"/>
        </w:rPr>
        <w:t>6.4</w:t>
      </w:r>
      <w:r w:rsidRPr="00B52CD8">
        <w:rPr>
          <w:rFonts w:asciiTheme="minorHAnsi" w:hAnsiTheme="minorHAnsi"/>
          <w:spacing w:val="-2"/>
          <w:sz w:val="24"/>
          <w:szCs w:val="24"/>
        </w:rPr>
        <w:tab/>
        <w:t xml:space="preserve">ITU participated in the </w:t>
      </w:r>
      <w:hyperlink r:id="rId63" w:history="1">
        <w:r w:rsidRPr="00B52CD8">
          <w:rPr>
            <w:rStyle w:val="Hyperlink"/>
            <w:rFonts w:asciiTheme="minorHAnsi" w:hAnsiTheme="minorHAnsi"/>
            <w:spacing w:val="-2"/>
            <w:sz w:val="24"/>
            <w:szCs w:val="24"/>
          </w:rPr>
          <w:t>International Multistakeholder Conference “Cyberspace, Energy &amp; Development-Protecting Critical Energy Infrastructure”</w:t>
        </w:r>
      </w:hyperlink>
      <w:r w:rsidRPr="00B52CD8">
        <w:rPr>
          <w:rFonts w:asciiTheme="minorHAnsi" w:hAnsiTheme="minorHAnsi"/>
          <w:spacing w:val="-2"/>
          <w:sz w:val="24"/>
          <w:szCs w:val="24"/>
        </w:rPr>
        <w:t xml:space="preserve"> organized by the Austrian government, EnergyPact Foundation</w:t>
      </w:r>
      <w:r w:rsidR="00DE7798">
        <w:rPr>
          <w:rFonts w:asciiTheme="minorHAnsi" w:hAnsiTheme="minorHAnsi"/>
          <w:spacing w:val="-2"/>
          <w:sz w:val="24"/>
          <w:szCs w:val="24"/>
        </w:rPr>
        <w:t>,</w:t>
      </w:r>
      <w:r w:rsidRPr="00B52CD8">
        <w:rPr>
          <w:rFonts w:asciiTheme="minorHAnsi" w:hAnsiTheme="minorHAnsi"/>
          <w:spacing w:val="-2"/>
          <w:sz w:val="24"/>
          <w:szCs w:val="24"/>
        </w:rPr>
        <w:t xml:space="preserve"> and the Austrian Institute of Technology, supported by IEC, UNODC and ITU on 16 February 2017 in Vienna, Austria.</w:t>
      </w:r>
    </w:p>
    <w:p w14:paraId="3561D819" w14:textId="77777777"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z w:val="24"/>
          <w:szCs w:val="24"/>
        </w:rPr>
        <w:t>6.5</w:t>
      </w:r>
      <w:r w:rsidRPr="00B52CD8">
        <w:rPr>
          <w:rFonts w:asciiTheme="minorHAnsi" w:hAnsiTheme="minorHAnsi"/>
          <w:sz w:val="24"/>
          <w:szCs w:val="24"/>
        </w:rPr>
        <w:tab/>
      </w:r>
      <w:hyperlink r:id="rId64" w:history="1">
        <w:r w:rsidRPr="00B52CD8">
          <w:rPr>
            <w:rStyle w:val="Hyperlink"/>
            <w:rFonts w:asciiTheme="minorHAnsi" w:hAnsiTheme="minorHAnsi"/>
            <w:sz w:val="24"/>
            <w:szCs w:val="24"/>
          </w:rPr>
          <w:t>195 country profiles</w:t>
        </w:r>
      </w:hyperlink>
      <w:r w:rsidRPr="00B52CD8">
        <w:rPr>
          <w:rFonts w:asciiTheme="minorHAnsi" w:hAnsiTheme="minorHAnsi"/>
          <w:sz w:val="24"/>
          <w:szCs w:val="24"/>
        </w:rPr>
        <w:t xml:space="preserve"> continue to be publicly available on the ITU website. The profiles are factual, non-analytical representations of the cybersecurity wellness of each country based on the </w:t>
      </w:r>
      <w:hyperlink r:id="rId65" w:history="1">
        <w:r w:rsidRPr="00B52CD8">
          <w:rPr>
            <w:rStyle w:val="Hyperlink"/>
            <w:rFonts w:asciiTheme="minorHAnsi" w:hAnsiTheme="minorHAnsi"/>
            <w:sz w:val="24"/>
            <w:szCs w:val="24"/>
          </w:rPr>
          <w:t>five GCA pillars</w:t>
        </w:r>
      </w:hyperlink>
      <w:r w:rsidRPr="00B52CD8">
        <w:rPr>
          <w:rFonts w:asciiTheme="minorHAnsi" w:hAnsiTheme="minorHAnsi"/>
          <w:sz w:val="24"/>
          <w:szCs w:val="24"/>
        </w:rPr>
        <w:t>. The profiles are “living” documents that continue being updated as more data on the countries become available.</w:t>
      </w:r>
    </w:p>
    <w:p w14:paraId="3561D81A" w14:textId="77777777" w:rsidR="00B52CD8" w:rsidRPr="00B52CD8" w:rsidRDefault="00B52CD8" w:rsidP="0075152F">
      <w:pPr>
        <w:tabs>
          <w:tab w:val="clear" w:pos="567"/>
          <w:tab w:val="clear" w:pos="1134"/>
          <w:tab w:val="clear" w:pos="1701"/>
          <w:tab w:val="clear" w:pos="2268"/>
          <w:tab w:val="clear" w:pos="2835"/>
        </w:tabs>
        <w:overflowPunct/>
        <w:autoSpaceDE/>
        <w:autoSpaceDN/>
        <w:snapToGrid w:val="0"/>
        <w:spacing w:before="300" w:after="120"/>
        <w:jc w:val="both"/>
        <w:textAlignment w:val="auto"/>
        <w:rPr>
          <w:rFonts w:asciiTheme="minorHAnsi" w:eastAsia="SimSun" w:hAnsiTheme="minorHAnsi" w:cs="Arial"/>
          <w:bCs/>
          <w:szCs w:val="24"/>
          <w:lang w:val="en-US" w:eastAsia="zh-CN"/>
        </w:rPr>
      </w:pPr>
      <w:r w:rsidRPr="00B52CD8">
        <w:rPr>
          <w:rFonts w:asciiTheme="minorHAnsi" w:eastAsia="SimSun" w:hAnsiTheme="minorHAnsi" w:cs="Arial"/>
          <w:b/>
          <w:bCs/>
          <w:szCs w:val="24"/>
          <w:lang w:val="en-US" w:eastAsia="zh-CN"/>
        </w:rPr>
        <w:t>7.</w:t>
      </w:r>
      <w:r w:rsidRPr="00B52CD8">
        <w:rPr>
          <w:rFonts w:asciiTheme="minorHAnsi" w:eastAsia="SimSun" w:hAnsiTheme="minorHAnsi" w:cs="Arial"/>
          <w:b/>
          <w:bCs/>
          <w:szCs w:val="24"/>
          <w:lang w:val="en-US" w:eastAsia="zh-CN"/>
        </w:rPr>
        <w:tab/>
        <w:t>Child Online Protection (COP)</w:t>
      </w:r>
    </w:p>
    <w:p w14:paraId="3561D81B" w14:textId="77777777" w:rsidR="00B52CD8" w:rsidRPr="00B52CD8" w:rsidRDefault="00B52CD8" w:rsidP="00B52CD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t>7.1</w:t>
      </w:r>
      <w:r w:rsidRPr="00B52CD8">
        <w:rPr>
          <w:rFonts w:asciiTheme="minorHAnsi" w:hAnsiTheme="minorHAnsi"/>
          <w:szCs w:val="24"/>
        </w:rPr>
        <w:tab/>
        <w:t xml:space="preserve">The </w:t>
      </w:r>
      <w:hyperlink r:id="rId66" w:history="1">
        <w:r w:rsidRPr="00B52CD8">
          <w:rPr>
            <w:rFonts w:asciiTheme="minorHAnsi" w:hAnsiTheme="minorHAnsi"/>
            <w:color w:val="0000FF"/>
            <w:szCs w:val="24"/>
            <w:u w:val="single"/>
          </w:rPr>
          <w:t>Council Working Group on Child Online Protection</w:t>
        </w:r>
      </w:hyperlink>
      <w:r w:rsidRPr="00B52CD8">
        <w:rPr>
          <w:rFonts w:asciiTheme="minorHAnsi" w:hAnsiTheme="minorHAnsi"/>
          <w:szCs w:val="24"/>
        </w:rPr>
        <w:t xml:space="preserve"> (CWG-COP) held two meetings since its last reporting period, including online open consultations with youth on various topics. More information can be found in </w:t>
      </w:r>
      <w:r w:rsidRPr="0075152F">
        <w:rPr>
          <w:rFonts w:asciiTheme="minorHAnsi" w:hAnsiTheme="minorHAnsi"/>
          <w:szCs w:val="24"/>
        </w:rPr>
        <w:t xml:space="preserve">Document </w:t>
      </w:r>
      <w:hyperlink r:id="rId67" w:history="1">
        <w:r w:rsidRPr="0075152F">
          <w:rPr>
            <w:rStyle w:val="Hyperlink"/>
            <w:rFonts w:asciiTheme="minorHAnsi" w:hAnsiTheme="minorHAnsi"/>
            <w:szCs w:val="24"/>
          </w:rPr>
          <w:t>C17/15</w:t>
        </w:r>
      </w:hyperlink>
      <w:r w:rsidRPr="0075152F">
        <w:rPr>
          <w:rFonts w:asciiTheme="minorHAnsi" w:hAnsiTheme="minorHAnsi"/>
          <w:szCs w:val="24"/>
        </w:rPr>
        <w:t>.</w:t>
      </w:r>
    </w:p>
    <w:p w14:paraId="3561D81C" w14:textId="77777777" w:rsidR="00B52CD8" w:rsidRPr="00B52CD8" w:rsidRDefault="00B52CD8" w:rsidP="00B52CD8">
      <w:pPr>
        <w:tabs>
          <w:tab w:val="clear" w:pos="567"/>
          <w:tab w:val="clear" w:pos="1134"/>
          <w:tab w:val="clear" w:pos="1701"/>
          <w:tab w:val="clear" w:pos="2268"/>
          <w:tab w:val="clear" w:pos="2835"/>
        </w:tabs>
        <w:snapToGrid w:val="0"/>
        <w:spacing w:after="120"/>
        <w:jc w:val="both"/>
        <w:rPr>
          <w:rFonts w:asciiTheme="minorHAnsi" w:hAnsiTheme="minorHAnsi"/>
          <w:bCs/>
          <w:szCs w:val="24"/>
        </w:rPr>
      </w:pPr>
      <w:r w:rsidRPr="00B52CD8">
        <w:rPr>
          <w:rFonts w:asciiTheme="minorHAnsi" w:hAnsiTheme="minorHAnsi"/>
          <w:szCs w:val="24"/>
        </w:rPr>
        <w:t>7.2</w:t>
      </w:r>
      <w:r w:rsidRPr="00B52CD8">
        <w:rPr>
          <w:rFonts w:asciiTheme="minorHAnsi" w:hAnsiTheme="minorHAnsi"/>
          <w:szCs w:val="24"/>
        </w:rPr>
        <w:tab/>
        <w:t xml:space="preserve">ITU and its partners continue to work closely in order to progress the </w:t>
      </w:r>
      <w:r w:rsidRPr="00B52CD8">
        <w:rPr>
          <w:rFonts w:asciiTheme="minorHAnsi" w:hAnsiTheme="minorHAnsi"/>
          <w:bCs/>
          <w:szCs w:val="24"/>
        </w:rPr>
        <w:t>Sustainable Development Goals, and particularly</w:t>
      </w:r>
      <w:r w:rsidRPr="00B52CD8">
        <w:rPr>
          <w:szCs w:val="24"/>
        </w:rPr>
        <w:t xml:space="preserve"> SDG 16.2 “</w:t>
      </w:r>
      <w:r w:rsidRPr="00B52CD8">
        <w:rPr>
          <w:rFonts w:asciiTheme="minorHAnsi" w:hAnsiTheme="minorHAnsi"/>
          <w:bCs/>
          <w:szCs w:val="24"/>
        </w:rPr>
        <w:t>End abuse, exploitation, trafficking and all forms of violence against and torture of children”</w:t>
      </w:r>
      <w:r w:rsidR="0075152F">
        <w:rPr>
          <w:rFonts w:asciiTheme="minorHAnsi" w:hAnsiTheme="minorHAnsi"/>
          <w:bCs/>
          <w:szCs w:val="24"/>
        </w:rPr>
        <w:t>.</w:t>
      </w:r>
    </w:p>
    <w:p w14:paraId="3561D81D" w14:textId="77777777" w:rsidR="00B52CD8" w:rsidRPr="00B52CD8" w:rsidRDefault="00B52CD8" w:rsidP="00B52CD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t xml:space="preserve">7.3 </w:t>
      </w:r>
      <w:r w:rsidRPr="00B52CD8">
        <w:rPr>
          <w:rFonts w:asciiTheme="minorHAnsi" w:hAnsiTheme="minorHAnsi"/>
          <w:szCs w:val="24"/>
        </w:rPr>
        <w:tab/>
        <w:t>During the previous two CWG-COP meetings, Child Helpline International</w:t>
      </w:r>
      <w:r w:rsidR="0075152F">
        <w:rPr>
          <w:rFonts w:asciiTheme="minorHAnsi" w:hAnsiTheme="minorHAnsi"/>
          <w:szCs w:val="24"/>
        </w:rPr>
        <w:t xml:space="preserve"> (CHI)</w:t>
      </w:r>
      <w:r w:rsidRPr="00B52CD8">
        <w:rPr>
          <w:rFonts w:asciiTheme="minorHAnsi" w:hAnsiTheme="minorHAnsi"/>
          <w:szCs w:val="24"/>
        </w:rPr>
        <w:t xml:space="preserve"> presented the outcomes of the ITU-CHI </w:t>
      </w:r>
      <w:hyperlink r:id="rId68" w:history="1">
        <w:r w:rsidRPr="00B52CD8">
          <w:rPr>
            <w:rFonts w:asciiTheme="minorHAnsi" w:hAnsiTheme="minorHAnsi"/>
            <w:szCs w:val="24"/>
          </w:rPr>
          <w:t>joint campaign</w:t>
        </w:r>
      </w:hyperlink>
      <w:r w:rsidRPr="00B52CD8">
        <w:rPr>
          <w:rFonts w:asciiTheme="minorHAnsi" w:hAnsiTheme="minorHAnsi"/>
          <w:szCs w:val="24"/>
        </w:rPr>
        <w:t xml:space="preserve"> on </w:t>
      </w:r>
      <w:hyperlink r:id="rId69" w:history="1">
        <w:r w:rsidRPr="00B52CD8">
          <w:rPr>
            <w:rStyle w:val="Hyperlink"/>
            <w:rFonts w:asciiTheme="minorHAnsi" w:hAnsiTheme="minorHAnsi"/>
            <w:szCs w:val="24"/>
          </w:rPr>
          <w:t>"Partnering to Protect Children and Youth"</w:t>
        </w:r>
      </w:hyperlink>
      <w:r w:rsidRPr="00B52CD8">
        <w:rPr>
          <w:rFonts w:asciiTheme="minorHAnsi" w:hAnsiTheme="minorHAnsi"/>
          <w:szCs w:val="24"/>
        </w:rPr>
        <w:t>. Following the campaign’s launch in May 2016, the final results were presented on 15 November 2016 during ITU Telecom World 2016, and new ways to develop the child helpline services were shared with the participants. The collaboration between ITU members and helplines was emphasized. The CWG-COP members welcomed the campaign and the Chair encouraged the Secretariat to continue this effort, in order to make progress within the context of SDG 16.</w:t>
      </w:r>
    </w:p>
    <w:p w14:paraId="3561D81E" w14:textId="77777777" w:rsidR="00B52CD8" w:rsidRPr="00B52CD8" w:rsidRDefault="00B52CD8" w:rsidP="00B52CD8">
      <w:pPr>
        <w:tabs>
          <w:tab w:val="clear" w:pos="567"/>
          <w:tab w:val="clear" w:pos="1134"/>
          <w:tab w:val="clear" w:pos="1701"/>
          <w:tab w:val="clear" w:pos="2268"/>
          <w:tab w:val="clear" w:pos="2835"/>
        </w:tabs>
        <w:snapToGrid w:val="0"/>
        <w:spacing w:after="120"/>
        <w:jc w:val="both"/>
        <w:rPr>
          <w:color w:val="000000"/>
          <w:szCs w:val="24"/>
        </w:rPr>
      </w:pPr>
      <w:r w:rsidRPr="00B52CD8">
        <w:rPr>
          <w:color w:val="000000"/>
          <w:szCs w:val="24"/>
        </w:rPr>
        <w:t>7.4</w:t>
      </w:r>
      <w:r w:rsidRPr="00B52CD8">
        <w:rPr>
          <w:color w:val="000000"/>
          <w:szCs w:val="24"/>
        </w:rPr>
        <w:tab/>
        <w:t xml:space="preserve">The ITU Regional Offices continue providing assistance to Member States </w:t>
      </w:r>
      <w:r w:rsidRPr="00B52CD8">
        <w:rPr>
          <w:rFonts w:asciiTheme="minorHAnsi" w:hAnsiTheme="minorHAnsi"/>
          <w:bCs/>
          <w:szCs w:val="24"/>
        </w:rPr>
        <w:t>in analysing their Child Online Protection landscape, in order to draft and propose a sustainable framework that can be implemented over a long period.</w:t>
      </w:r>
    </w:p>
    <w:p w14:paraId="3561D81F" w14:textId="77777777" w:rsidR="00B52CD8" w:rsidRPr="0075152F" w:rsidRDefault="00B52CD8" w:rsidP="0075152F">
      <w:pPr>
        <w:pStyle w:val="Normalaftertitle"/>
        <w:tabs>
          <w:tab w:val="clear" w:pos="567"/>
          <w:tab w:val="clear" w:pos="1134"/>
          <w:tab w:val="clear" w:pos="1701"/>
          <w:tab w:val="clear" w:pos="2268"/>
          <w:tab w:val="clear" w:pos="2835"/>
        </w:tabs>
        <w:snapToGrid w:val="0"/>
        <w:spacing w:before="120"/>
        <w:jc w:val="center"/>
        <w:rPr>
          <w:szCs w:val="24"/>
        </w:rPr>
      </w:pPr>
      <w:r w:rsidRPr="0075152F">
        <w:rPr>
          <w:rFonts w:asciiTheme="minorHAnsi" w:hAnsiTheme="minorHAnsi"/>
          <w:szCs w:val="24"/>
        </w:rPr>
        <w:t>_________</w:t>
      </w:r>
      <w:r w:rsidR="0075152F" w:rsidRPr="0075152F">
        <w:rPr>
          <w:rFonts w:asciiTheme="minorHAnsi" w:hAnsiTheme="minorHAnsi"/>
          <w:szCs w:val="24"/>
        </w:rPr>
        <w:t>______</w:t>
      </w:r>
    </w:p>
    <w:sectPr w:rsidR="00B52CD8" w:rsidRPr="0075152F" w:rsidSect="004D1851">
      <w:headerReference w:type="default" r:id="rId70"/>
      <w:footerReference w:type="default" r:id="rId71"/>
      <w:footerReference w:type="first" r:id="rId7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1D824" w14:textId="77777777" w:rsidR="00B52CD8" w:rsidRDefault="00B52CD8">
      <w:r>
        <w:separator/>
      </w:r>
    </w:p>
  </w:endnote>
  <w:endnote w:type="continuationSeparator" w:id="0">
    <w:p w14:paraId="3561D825" w14:textId="77777777" w:rsidR="00B52CD8" w:rsidRDefault="00B5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D828" w14:textId="77777777" w:rsidR="00CB18FF" w:rsidRPr="0093475A" w:rsidRDefault="0093475A">
    <w:pPr>
      <w:pStyle w:val="Footer"/>
      <w:rPr>
        <w:color w:val="D9D9D9" w:themeColor="background1" w:themeShade="D9"/>
      </w:rPr>
    </w:pPr>
    <w:r w:rsidRPr="0093475A">
      <w:rPr>
        <w:color w:val="D9D9D9" w:themeColor="background1" w:themeShade="D9"/>
      </w:rPr>
      <w:fldChar w:fldCharType="begin"/>
    </w:r>
    <w:r w:rsidRPr="0093475A">
      <w:rPr>
        <w:color w:val="D9D9D9" w:themeColor="background1" w:themeShade="D9"/>
      </w:rPr>
      <w:instrText xml:space="preserve"> FILENAME \p  \* MERGEFORMAT </w:instrText>
    </w:r>
    <w:r w:rsidRPr="0093475A">
      <w:rPr>
        <w:color w:val="D9D9D9" w:themeColor="background1" w:themeShade="D9"/>
      </w:rPr>
      <w:fldChar w:fldCharType="separate"/>
    </w:r>
    <w:r w:rsidR="00B52CD8" w:rsidRPr="0093475A">
      <w:rPr>
        <w:color w:val="D9D9D9" w:themeColor="background1" w:themeShade="D9"/>
      </w:rPr>
      <w:t>Document1</w:t>
    </w:r>
    <w:r w:rsidRPr="0093475A">
      <w:rPr>
        <w:color w:val="D9D9D9" w:themeColor="background1" w:themeShade="D9"/>
      </w:rPr>
      <w:fldChar w:fldCharType="end"/>
    </w:r>
    <w:r w:rsidR="00CB18FF" w:rsidRPr="0093475A">
      <w:rPr>
        <w:color w:val="D9D9D9" w:themeColor="background1" w:themeShade="D9"/>
      </w:rPr>
      <w:tab/>
    </w:r>
    <w:r w:rsidR="00864AFF" w:rsidRPr="0093475A">
      <w:rPr>
        <w:color w:val="D9D9D9" w:themeColor="background1" w:themeShade="D9"/>
      </w:rPr>
      <w:fldChar w:fldCharType="begin"/>
    </w:r>
    <w:r w:rsidR="00CB18FF" w:rsidRPr="0093475A">
      <w:rPr>
        <w:color w:val="D9D9D9" w:themeColor="background1" w:themeShade="D9"/>
      </w:rPr>
      <w:instrText xml:space="preserve"> SAVEDATE \@ DD.MM.YY </w:instrText>
    </w:r>
    <w:r w:rsidR="00864AFF" w:rsidRPr="0093475A">
      <w:rPr>
        <w:color w:val="D9D9D9" w:themeColor="background1" w:themeShade="D9"/>
      </w:rPr>
      <w:fldChar w:fldCharType="separate"/>
    </w:r>
    <w:r w:rsidR="009A1266">
      <w:rPr>
        <w:color w:val="D9D9D9" w:themeColor="background1" w:themeShade="D9"/>
      </w:rPr>
      <w:t>08.03.17</w:t>
    </w:r>
    <w:r w:rsidR="00864AFF" w:rsidRPr="0093475A">
      <w:rPr>
        <w:color w:val="D9D9D9" w:themeColor="background1" w:themeShade="D9"/>
      </w:rPr>
      <w:fldChar w:fldCharType="end"/>
    </w:r>
    <w:r w:rsidR="00CB18FF" w:rsidRPr="0093475A">
      <w:rPr>
        <w:color w:val="D9D9D9" w:themeColor="background1" w:themeShade="D9"/>
      </w:rPr>
      <w:tab/>
    </w:r>
    <w:r w:rsidR="00864AFF" w:rsidRPr="0093475A">
      <w:rPr>
        <w:color w:val="D9D9D9" w:themeColor="background1" w:themeShade="D9"/>
      </w:rPr>
      <w:fldChar w:fldCharType="begin"/>
    </w:r>
    <w:r w:rsidR="00CB18FF" w:rsidRPr="0093475A">
      <w:rPr>
        <w:color w:val="D9D9D9" w:themeColor="background1" w:themeShade="D9"/>
      </w:rPr>
      <w:instrText xml:space="preserve"> PRINTDATE \@ DD.MM.YY </w:instrText>
    </w:r>
    <w:r w:rsidR="00864AFF" w:rsidRPr="0093475A">
      <w:rPr>
        <w:color w:val="D9D9D9" w:themeColor="background1" w:themeShade="D9"/>
      </w:rPr>
      <w:fldChar w:fldCharType="separate"/>
    </w:r>
    <w:r w:rsidR="00B52CD8" w:rsidRPr="0093475A">
      <w:rPr>
        <w:color w:val="D9D9D9" w:themeColor="background1" w:themeShade="D9"/>
      </w:rPr>
      <w:t>18.07.00</w:t>
    </w:r>
    <w:r w:rsidR="00864AFF" w:rsidRPr="0093475A">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D829" w14:textId="77777777" w:rsidR="00322D0D" w:rsidRDefault="00322D0D">
    <w:pPr>
      <w:spacing w:after="120"/>
      <w:jc w:val="center"/>
    </w:pPr>
    <w:r>
      <w:t xml:space="preserve">• </w:t>
    </w:r>
    <w:hyperlink r:id="rId1" w:history="1">
      <w:r>
        <w:rPr>
          <w:rStyle w:val="Hyperlink"/>
        </w:rPr>
        <w:t>http://www.itu.int/council</w:t>
      </w:r>
    </w:hyperlink>
    <w:r>
      <w:t xml:space="preserve"> •</w:t>
    </w:r>
  </w:p>
  <w:p w14:paraId="3561D82A" w14:textId="77777777" w:rsidR="00322D0D" w:rsidRPr="0093475A" w:rsidRDefault="0093475A">
    <w:pPr>
      <w:pStyle w:val="Footer"/>
      <w:rPr>
        <w:color w:val="D9D9D9" w:themeColor="background1" w:themeShade="D9"/>
      </w:rPr>
    </w:pPr>
    <w:r w:rsidRPr="0093475A">
      <w:rPr>
        <w:color w:val="D9D9D9" w:themeColor="background1" w:themeShade="D9"/>
      </w:rPr>
      <w:fldChar w:fldCharType="begin"/>
    </w:r>
    <w:r w:rsidRPr="0093475A">
      <w:rPr>
        <w:color w:val="D9D9D9" w:themeColor="background1" w:themeShade="D9"/>
      </w:rPr>
      <w:instrText xml:space="preserve"> FILENAME \p  \* MERGEFORMAT </w:instrText>
    </w:r>
    <w:r w:rsidRPr="0093475A">
      <w:rPr>
        <w:color w:val="D9D9D9" w:themeColor="background1" w:themeShade="D9"/>
      </w:rPr>
      <w:fldChar w:fldCharType="separate"/>
    </w:r>
    <w:r w:rsidR="00B52CD8" w:rsidRPr="0093475A">
      <w:rPr>
        <w:color w:val="D9D9D9" w:themeColor="background1" w:themeShade="D9"/>
      </w:rPr>
      <w:t>Document1</w:t>
    </w:r>
    <w:r w:rsidRPr="0093475A">
      <w:rPr>
        <w:color w:val="D9D9D9" w:themeColor="background1" w:themeShade="D9"/>
      </w:rPr>
      <w:fldChar w:fldCharType="end"/>
    </w:r>
    <w:r w:rsidR="00322D0D" w:rsidRPr="0093475A">
      <w:rPr>
        <w:color w:val="D9D9D9" w:themeColor="background1" w:themeShade="D9"/>
      </w:rPr>
      <w:tab/>
    </w:r>
    <w:r w:rsidR="00864AFF" w:rsidRPr="0093475A">
      <w:rPr>
        <w:color w:val="D9D9D9" w:themeColor="background1" w:themeShade="D9"/>
      </w:rPr>
      <w:fldChar w:fldCharType="begin"/>
    </w:r>
    <w:r w:rsidR="00322D0D" w:rsidRPr="0093475A">
      <w:rPr>
        <w:color w:val="D9D9D9" w:themeColor="background1" w:themeShade="D9"/>
      </w:rPr>
      <w:instrText xml:space="preserve"> SAVEDATE \@ DD.MM.YY </w:instrText>
    </w:r>
    <w:r w:rsidR="00864AFF" w:rsidRPr="0093475A">
      <w:rPr>
        <w:color w:val="D9D9D9" w:themeColor="background1" w:themeShade="D9"/>
      </w:rPr>
      <w:fldChar w:fldCharType="separate"/>
    </w:r>
    <w:r w:rsidR="009A1266">
      <w:rPr>
        <w:color w:val="D9D9D9" w:themeColor="background1" w:themeShade="D9"/>
      </w:rPr>
      <w:t>08.03.17</w:t>
    </w:r>
    <w:r w:rsidR="00864AFF" w:rsidRPr="0093475A">
      <w:rPr>
        <w:color w:val="D9D9D9" w:themeColor="background1" w:themeShade="D9"/>
      </w:rPr>
      <w:fldChar w:fldCharType="end"/>
    </w:r>
    <w:r w:rsidR="00322D0D" w:rsidRPr="0093475A">
      <w:rPr>
        <w:color w:val="D9D9D9" w:themeColor="background1" w:themeShade="D9"/>
      </w:rPr>
      <w:tab/>
    </w:r>
    <w:r w:rsidR="00864AFF" w:rsidRPr="0093475A">
      <w:rPr>
        <w:color w:val="D9D9D9" w:themeColor="background1" w:themeShade="D9"/>
      </w:rPr>
      <w:fldChar w:fldCharType="begin"/>
    </w:r>
    <w:r w:rsidR="00322D0D" w:rsidRPr="0093475A">
      <w:rPr>
        <w:color w:val="D9D9D9" w:themeColor="background1" w:themeShade="D9"/>
      </w:rPr>
      <w:instrText xml:space="preserve"> PRINTDATE \@ DD.MM.YY </w:instrText>
    </w:r>
    <w:r w:rsidR="00864AFF" w:rsidRPr="0093475A">
      <w:rPr>
        <w:color w:val="D9D9D9" w:themeColor="background1" w:themeShade="D9"/>
      </w:rPr>
      <w:fldChar w:fldCharType="separate"/>
    </w:r>
    <w:r w:rsidR="00B52CD8" w:rsidRPr="0093475A">
      <w:rPr>
        <w:color w:val="D9D9D9" w:themeColor="background1" w:themeShade="D9"/>
      </w:rPr>
      <w:t>18.07.00</w:t>
    </w:r>
    <w:r w:rsidR="00864AFF" w:rsidRPr="0093475A">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1D822" w14:textId="77777777" w:rsidR="00B52CD8" w:rsidRDefault="00B52CD8">
      <w:r>
        <w:t>____________________</w:t>
      </w:r>
    </w:p>
  </w:footnote>
  <w:footnote w:type="continuationSeparator" w:id="0">
    <w:p w14:paraId="3561D823" w14:textId="77777777" w:rsidR="00B52CD8" w:rsidRDefault="00B52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D826" w14:textId="77777777" w:rsidR="00322D0D" w:rsidRDefault="006535F1" w:rsidP="00CE433C">
    <w:pPr>
      <w:pStyle w:val="Header"/>
    </w:pPr>
    <w:r>
      <w:fldChar w:fldCharType="begin"/>
    </w:r>
    <w:r>
      <w:instrText>PAGE</w:instrText>
    </w:r>
    <w:r>
      <w:fldChar w:fldCharType="separate"/>
    </w:r>
    <w:r w:rsidR="009A1266">
      <w:rPr>
        <w:noProof/>
      </w:rPr>
      <w:t>2</w:t>
    </w:r>
    <w:r>
      <w:rPr>
        <w:noProof/>
      </w:rPr>
      <w:fldChar w:fldCharType="end"/>
    </w:r>
  </w:p>
  <w:p w14:paraId="3561D827" w14:textId="77777777" w:rsidR="00322D0D" w:rsidRDefault="00B52CD8" w:rsidP="005243FF">
    <w:pPr>
      <w:pStyle w:val="Header"/>
    </w:pPr>
    <w:r>
      <w:t>C17/18-E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 w15:restartNumberingAfterBreak="0">
    <w:nsid w:val="67A32A1E"/>
    <w:multiLevelType w:val="multilevel"/>
    <w:tmpl w:val="9A9E2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D8"/>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23C4F"/>
    <w:rsid w:val="003942D4"/>
    <w:rsid w:val="003958A8"/>
    <w:rsid w:val="00395F66"/>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5152F"/>
    <w:rsid w:val="00794D34"/>
    <w:rsid w:val="00813E5E"/>
    <w:rsid w:val="0083581B"/>
    <w:rsid w:val="00864AFF"/>
    <w:rsid w:val="008B4A6A"/>
    <w:rsid w:val="008C7E27"/>
    <w:rsid w:val="009173EF"/>
    <w:rsid w:val="00932906"/>
    <w:rsid w:val="0093475A"/>
    <w:rsid w:val="00961B0B"/>
    <w:rsid w:val="009A1266"/>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52CD8"/>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DE7798"/>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61D7DA"/>
  <w15:docId w15:val="{CA6C3B49-299E-40CE-9A1E-9E487A83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5152F"/>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52CD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WSIS">
    <w:name w:val="normal WSIS"/>
    <w:basedOn w:val="ListParagraph"/>
    <w:link w:val="normalWSISChar"/>
    <w:qFormat/>
    <w:rsid w:val="00B52CD8"/>
    <w:pPr>
      <w:numPr>
        <w:numId w:val="3"/>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B52CD8"/>
    <w:rPr>
      <w:rFonts w:ascii="Calibri" w:eastAsia="SimSun" w:hAnsi="Calibri" w:cs="Arial"/>
      <w:sz w:val="22"/>
      <w:szCs w:val="22"/>
    </w:rPr>
  </w:style>
  <w:style w:type="character" w:customStyle="1" w:styleId="enumlev1Char">
    <w:name w:val="enumlev1 Char"/>
    <w:basedOn w:val="DefaultParagraphFont"/>
    <w:link w:val="enumlev1"/>
    <w:rsid w:val="00B52CD8"/>
    <w:rPr>
      <w:rFonts w:ascii="Calibri" w:hAnsi="Calibri"/>
      <w:sz w:val="24"/>
      <w:lang w:val="en-GB" w:eastAsia="en-US"/>
    </w:rPr>
  </w:style>
  <w:style w:type="paragraph" w:styleId="ListParagraph">
    <w:name w:val="List Paragraph"/>
    <w:basedOn w:val="Normal"/>
    <w:uiPriority w:val="34"/>
    <w:qFormat/>
    <w:rsid w:val="00B52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action/cybersecurity/Documents/Resolutions/pp-14_Res.%20130.pdf" TargetMode="External"/><Relationship Id="rId18" Type="http://schemas.openxmlformats.org/officeDocument/2006/relationships/hyperlink" Target="http://www.itu.int/pub/S-CONF-WCIT-2012/en" TargetMode="External"/><Relationship Id="rId26" Type="http://schemas.openxmlformats.org/officeDocument/2006/relationships/hyperlink" Target="https://www.itu.int/pub/T-RES-T.50-2016" TargetMode="External"/><Relationship Id="rId39" Type="http://schemas.openxmlformats.org/officeDocument/2006/relationships/hyperlink" Target="http://www.itu.int/md/S13-CL-C-0023/en" TargetMode="External"/><Relationship Id="rId21" Type="http://schemas.openxmlformats.org/officeDocument/2006/relationships/hyperlink" Target="http://www.itu.int/en/ITU-D/Cybersecurity/Documents/45revDubai.pdf" TargetMode="External"/><Relationship Id="rId34" Type="http://schemas.openxmlformats.org/officeDocument/2006/relationships/hyperlink" Target="http://www.itu.int/md/S08-CL-C-0033/en" TargetMode="External"/><Relationship Id="rId42" Type="http://schemas.openxmlformats.org/officeDocument/2006/relationships/hyperlink" Target="https://www.itu.int/md/S16-CL-C-0018/en" TargetMode="External"/><Relationship Id="rId47" Type="http://schemas.openxmlformats.org/officeDocument/2006/relationships/hyperlink" Target="http://www.itu.int/en/ITU-D/Cybersecurity/Pages/Organizational-Structures.aspx" TargetMode="External"/><Relationship Id="rId50" Type="http://schemas.openxmlformats.org/officeDocument/2006/relationships/hyperlink" Target="http://www.itu.int/en/ITU-D/Cybersecurity/Pages/Tunisia_cyberdrill_2016.aspx" TargetMode="External"/><Relationship Id="rId55" Type="http://schemas.openxmlformats.org/officeDocument/2006/relationships/hyperlink" Target="http://www.itu.int/en/ITU-T/Workshops-and-Seminars/cybersecurity/Pages/default.aspx" TargetMode="External"/><Relationship Id="rId63" Type="http://schemas.openxmlformats.org/officeDocument/2006/relationships/hyperlink" Target="https://www.energypact.org/energypact-foundation_conferences/" TargetMode="External"/><Relationship Id="rId68" Type="http://schemas.openxmlformats.org/officeDocument/2006/relationships/hyperlink" Target="http://www.itu.int/en/council/cwg-cop/Documents/FinalCampaignPresentation.pptx"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action/cybersecurity/Documents/Resolutions/pp-14_Res.%20179.pdf" TargetMode="External"/><Relationship Id="rId29" Type="http://schemas.openxmlformats.org/officeDocument/2006/relationships/hyperlink" Target="https://www.itu.int/pub/T-RES-T.58-2016" TargetMode="External"/><Relationship Id="rId11" Type="http://schemas.openxmlformats.org/officeDocument/2006/relationships/image" Target="media/image1.png"/><Relationship Id="rId24" Type="http://schemas.openxmlformats.org/officeDocument/2006/relationships/hyperlink" Target="https://www.itu.int/en/ITU-D/TIES_Protected/WTDC14/WTDC14-FinalReport-E.pdf" TargetMode="External"/><Relationship Id="rId32" Type="http://schemas.openxmlformats.org/officeDocument/2006/relationships/hyperlink" Target="http://www.itu.int/md/S06-CL-C-0004/en" TargetMode="External"/><Relationship Id="rId37" Type="http://schemas.openxmlformats.org/officeDocument/2006/relationships/hyperlink" Target="http://www.itu.int/md/S11-CL-C-0054/en" TargetMode="External"/><Relationship Id="rId40" Type="http://schemas.openxmlformats.org/officeDocument/2006/relationships/hyperlink" Target="http://www.itu.int/md/S14-CL-C-0023/en" TargetMode="External"/><Relationship Id="rId45" Type="http://schemas.openxmlformats.org/officeDocument/2006/relationships/hyperlink" Target="http://www.itu.int/ITU-T/studygroups/com17/" TargetMode="External"/><Relationship Id="rId53" Type="http://schemas.openxmlformats.org/officeDocument/2006/relationships/hyperlink" Target="http://www.itu.int/en/ITU-D/Cybersecurity/Pages/Events.aspx" TargetMode="External"/><Relationship Id="rId58" Type="http://schemas.openxmlformats.org/officeDocument/2006/relationships/hyperlink" Target="http://www.itu.int/en/ITU-D/Cybersecurity/Pages/GCI.aspx" TargetMode="External"/><Relationship Id="rId66" Type="http://schemas.openxmlformats.org/officeDocument/2006/relationships/hyperlink" Target="http://www.itu.int/en/council/cwg-cop/Pages/default.aspx"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action/cybersecurity/Documents/Resolutions/pp-14_Res.%20174.pdf" TargetMode="External"/><Relationship Id="rId23" Type="http://schemas.openxmlformats.org/officeDocument/2006/relationships/hyperlink" Target="http://www.itu.int/en/ITU-D/Cybersecurity/Documents/69revDubai.pdf" TargetMode="External"/><Relationship Id="rId28" Type="http://schemas.openxmlformats.org/officeDocument/2006/relationships/hyperlink" Target="https://www.itu.int/pub/T-RES-T.75-2016" TargetMode="External"/><Relationship Id="rId36" Type="http://schemas.openxmlformats.org/officeDocument/2006/relationships/hyperlink" Target="http://www.itu.int/md/S10-CL-C-0012/en" TargetMode="External"/><Relationship Id="rId49" Type="http://schemas.openxmlformats.org/officeDocument/2006/relationships/hyperlink" Target="http://www.itu.int/en/ITU-D/Regional-Presence/Americas/Pages/EVENTS/2016/15551.aspx" TargetMode="External"/><Relationship Id="rId57" Type="http://schemas.openxmlformats.org/officeDocument/2006/relationships/hyperlink" Target="https://www.itu.int/en/ITU-D/Regional-Presence/Europe/Pages/Events/2016/CYBR/Cyber-Security-in-Romania.aspx" TargetMode="External"/><Relationship Id="rId61" Type="http://schemas.openxmlformats.org/officeDocument/2006/relationships/hyperlink" Target="https://www.itu.int/net4/wsis/forum/2016/" TargetMode="External"/><Relationship Id="rId10" Type="http://schemas.openxmlformats.org/officeDocument/2006/relationships/endnotes" Target="endnotes.xml"/><Relationship Id="rId19" Type="http://schemas.openxmlformats.org/officeDocument/2006/relationships/hyperlink" Target="https://www.itu.int/md/S15-CL-C-0109/en" TargetMode="External"/><Relationship Id="rId31" Type="http://schemas.openxmlformats.org/officeDocument/2006/relationships/hyperlink" Target="https://www.itu.int/md/S05-CL-INF-0010/en" TargetMode="External"/><Relationship Id="rId44" Type="http://schemas.openxmlformats.org/officeDocument/2006/relationships/hyperlink" Target="http://www.itu.int/en/ITU-D/Cybersecurity/Pages/Legal-Measures.aspx" TargetMode="External"/><Relationship Id="rId52" Type="http://schemas.openxmlformats.org/officeDocument/2006/relationships/hyperlink" Target="http://www.itu.int/en/ITU-D/Cybersecurity/Pages/National-Strategies.aspx" TargetMode="External"/><Relationship Id="rId60" Type="http://schemas.openxmlformats.org/officeDocument/2006/relationships/hyperlink" Target="http://www.itu.int/en/ITU-D/Cybersecurity/Pages/partnership.aspx" TargetMode="External"/><Relationship Id="rId65" Type="http://schemas.openxmlformats.org/officeDocument/2006/relationships/hyperlink" Target="http://www.itu.int/en/action/cybersecurity/Pages/gca.aspx"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action/cybersecurity/Documents/Resolutions/pp-14_Res.%20140.pdf" TargetMode="External"/><Relationship Id="rId22" Type="http://schemas.openxmlformats.org/officeDocument/2006/relationships/hyperlink" Target="http://www.itu.int/en/ITU-D/Cybersecurity/Documents/67revDubai.pdf" TargetMode="External"/><Relationship Id="rId27" Type="http://schemas.openxmlformats.org/officeDocument/2006/relationships/hyperlink" Target="https://www.itu.int/pub/T-RES-T.52-2016" TargetMode="External"/><Relationship Id="rId30" Type="http://schemas.openxmlformats.org/officeDocument/2006/relationships/hyperlink" Target="http://www.itu.int/md/S05-CL-C-0032/en" TargetMode="External"/><Relationship Id="rId35" Type="http://schemas.openxmlformats.org/officeDocument/2006/relationships/hyperlink" Target="http://www.itu.int/md/S09-CL-C-0050/en" TargetMode="External"/><Relationship Id="rId43" Type="http://schemas.openxmlformats.org/officeDocument/2006/relationships/hyperlink" Target="http://www.itu.int/en/action/cybersecurity/Pages/gca.aspx" TargetMode="External"/><Relationship Id="rId48" Type="http://schemas.openxmlformats.org/officeDocument/2006/relationships/hyperlink" Target="http://www.itu.int/en/ITU-D/Cybersecurity/Pages/Organizational-Structures.aspx" TargetMode="External"/><Relationship Id="rId56" Type="http://schemas.openxmlformats.org/officeDocument/2006/relationships/hyperlink" Target="http://www.itu.int/en/ITU-D/Regional-Presence/Europe/Pages/Events/2016/RCYBF/Regional-Cybersecurity-Forum.aspx" TargetMode="External"/><Relationship Id="rId64" Type="http://schemas.openxmlformats.org/officeDocument/2006/relationships/hyperlink" Target="http://www.itu.int/en/ITU-D/Cybersecurity/Pages/Country_Profiles.aspx" TargetMode="External"/><Relationship Id="rId69" Type="http://schemas.openxmlformats.org/officeDocument/2006/relationships/hyperlink" Target="http://www.itu.int/en/cop/Pages/consultation-may2016.aspx" TargetMode="External"/><Relationship Id="rId8" Type="http://schemas.openxmlformats.org/officeDocument/2006/relationships/webSettings" Target="webSettings.xml"/><Relationship Id="rId51" Type="http://schemas.openxmlformats.org/officeDocument/2006/relationships/hyperlink" Target="http://www.itu.int/en/ITU-D/Cybersecurity/Pages/Mauritius_cyberdrill_2016.aspx"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itu.int/en/council/planning/Documents/PP-14_Res71.pdf" TargetMode="External"/><Relationship Id="rId17" Type="http://schemas.openxmlformats.org/officeDocument/2006/relationships/hyperlink" Target="http://www.itu.int/osg/csd/cybersecurity/WSIS/RESOLUTION_181.pdf" TargetMode="External"/><Relationship Id="rId25" Type="http://schemas.openxmlformats.org/officeDocument/2006/relationships/hyperlink" Target="http://www.itu.int/osg/csd/intgov/resoultions_2010/programme2.pdf" TargetMode="External"/><Relationship Id="rId33" Type="http://schemas.openxmlformats.org/officeDocument/2006/relationships/hyperlink" Target="http://www.itu.int/md/S07-CL-C-0021/en" TargetMode="External"/><Relationship Id="rId38" Type="http://schemas.openxmlformats.org/officeDocument/2006/relationships/hyperlink" Target="http://www.itu.int/md/S12-CL-C-0029/en" TargetMode="External"/><Relationship Id="rId46" Type="http://schemas.openxmlformats.org/officeDocument/2006/relationships/hyperlink" Target="http://www.itu.int/en/ITU-T/studygroups/2013-2016/17/sg17rgafr/Pages/default.aspx" TargetMode="External"/><Relationship Id="rId59" Type="http://schemas.openxmlformats.org/officeDocument/2006/relationships/hyperlink" Target="http://www.itu.int/en/ITU-D/Cybersecurity/Pages/GCI-2016.aspx" TargetMode="External"/><Relationship Id="rId67" Type="http://schemas.openxmlformats.org/officeDocument/2006/relationships/hyperlink" Target="https://www.itu.int/md/S17-CL-C-0015/en" TargetMode="External"/><Relationship Id="rId20" Type="http://schemas.openxmlformats.org/officeDocument/2006/relationships/hyperlink" Target="https://www.itu.int/en/ITU-D/TIES_Protected/WTDC14/WTDC14-FinalReport-E.pdf" TargetMode="External"/><Relationship Id="rId41" Type="http://schemas.openxmlformats.org/officeDocument/2006/relationships/hyperlink" Target="http://www.itu.int/md/S15-CL-C-0018/en" TargetMode="External"/><Relationship Id="rId54" Type="http://schemas.openxmlformats.org/officeDocument/2006/relationships/hyperlink" Target="http://www.itu.int/net4/ITU-D/CDS/sg/rgqlist.asp?lg=1&amp;sp=2014&amp;rgq=D14-SG02-RGQ03.2&amp;stg=2" TargetMode="External"/><Relationship Id="rId62" Type="http://schemas.openxmlformats.org/officeDocument/2006/relationships/hyperlink" Target="http://www.itu.int/net4/Telecom/webs/TelecomWorld/session/description/C-00001734"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9F50-FD47-42AF-9BF8-DC74F876157D}">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2DA31F9-2D28-4F70-9DE9-075281994A92}">
  <ds:schemaRefs>
    <ds:schemaRef ds:uri="http://schemas.microsoft.com/sharepoint/v3/contenttype/forms"/>
  </ds:schemaRefs>
</ds:datastoreItem>
</file>

<file path=customXml/itemProps3.xml><?xml version="1.0" encoding="utf-8"?>
<ds:datastoreItem xmlns:ds="http://schemas.openxmlformats.org/officeDocument/2006/customXml" ds:itemID="{55224745-CC73-42EB-942D-FA546287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FAD827-BBBE-43FE-A0F2-D6B21D7B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4</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Strengthening the role of ITU in building confidence and security in the use of ICTs</vt:lpstr>
    </vt:vector>
  </TitlesOfParts>
  <Manager>General Secretariat - Pool</Manager>
  <Company>International Telecommunication Union (ITU)</Company>
  <LinksUpToDate>false</LinksUpToDate>
  <CharactersWithSpaces>16321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role of ITU in building confidence and security in the use of ICTs</dc:title>
  <dc:subject>Council 2017</dc:subject>
  <dc:creator>Brouard, Ricarda</dc:creator>
  <cp:keywords>C2017, C17</cp:keywords>
  <dc:description/>
  <cp:lastModifiedBy>Brouard, Ricarda</cp:lastModifiedBy>
  <cp:revision>2</cp:revision>
  <cp:lastPrinted>2000-07-18T13:30:00Z</cp:lastPrinted>
  <dcterms:created xsi:type="dcterms:W3CDTF">2017-03-14T14:47:00Z</dcterms:created>
  <dcterms:modified xsi:type="dcterms:W3CDTF">2017-03-14T14:47:00Z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