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DB318A" w:rsidRPr="00EE742D">
        <w:trPr>
          <w:cantSplit/>
        </w:trPr>
        <w:tc>
          <w:tcPr>
            <w:tcW w:w="6912" w:type="dxa"/>
          </w:tcPr>
          <w:p w:rsidR="00DB318A" w:rsidRPr="00EE742D" w:rsidRDefault="00DB318A" w:rsidP="00DB318A">
            <w:pPr>
              <w:spacing w:before="360"/>
              <w:rPr>
                <w:b/>
                <w:bCs/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EE742D">
              <w:rPr>
                <w:b/>
                <w:bCs/>
                <w:sz w:val="30"/>
                <w:szCs w:val="30"/>
              </w:rPr>
              <w:t>Consejo 2017</w:t>
            </w:r>
            <w:r w:rsidRPr="00EE742D">
              <w:rPr>
                <w:b/>
                <w:bCs/>
                <w:sz w:val="26"/>
                <w:szCs w:val="26"/>
              </w:rPr>
              <w:br/>
            </w:r>
            <w:r w:rsidRPr="00EE742D">
              <w:rPr>
                <w:b/>
                <w:bCs/>
                <w:szCs w:val="24"/>
              </w:rPr>
              <w:t>Ginebra, 15-25 de mayo de 2017</w:t>
            </w:r>
          </w:p>
          <w:p w:rsidR="0055357C" w:rsidRPr="00EE742D" w:rsidRDefault="0055357C" w:rsidP="00DB318A">
            <w:pPr>
              <w:spacing w:before="360"/>
              <w:rPr>
                <w:szCs w:val="24"/>
              </w:rPr>
            </w:pPr>
            <w:r w:rsidRPr="00EE742D">
              <w:rPr>
                <w:b/>
                <w:smallCaps/>
                <w:szCs w:val="24"/>
              </w:rPr>
              <w:t>UNIÓN INTERNACIONAL DE TELECOMUNICACIONES</w:t>
            </w:r>
          </w:p>
        </w:tc>
        <w:tc>
          <w:tcPr>
            <w:tcW w:w="3261" w:type="dxa"/>
          </w:tcPr>
          <w:p w:rsidR="00DB318A" w:rsidRPr="00EE742D" w:rsidRDefault="00DB318A" w:rsidP="00DB318A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EE742D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18A" w:rsidRPr="00EE742D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DB318A" w:rsidRPr="00EE742D" w:rsidRDefault="00DB318A" w:rsidP="0055357C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DB318A" w:rsidRPr="00EE74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DB318A" w:rsidRPr="00EE742D" w:rsidRDefault="00DB318A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DB318A" w:rsidRPr="00EE742D" w:rsidRDefault="00DB318A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DB318A" w:rsidRPr="00EE742D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DB318A" w:rsidRPr="00EE742D" w:rsidRDefault="00DB318A" w:rsidP="00DB318A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EE742D">
              <w:rPr>
                <w:rFonts w:cs="Times"/>
                <w:b/>
                <w:szCs w:val="24"/>
              </w:rPr>
              <w:t xml:space="preserve">Punto del orden del día: </w:t>
            </w:r>
            <w:r w:rsidRPr="00EE742D">
              <w:rPr>
                <w:rFonts w:cs="Times"/>
                <w:b/>
                <w:bCs/>
                <w:szCs w:val="24"/>
              </w:rPr>
              <w:t>ADM 1</w:t>
            </w:r>
          </w:p>
        </w:tc>
        <w:tc>
          <w:tcPr>
            <w:tcW w:w="3261" w:type="dxa"/>
          </w:tcPr>
          <w:p w:rsidR="00DB318A" w:rsidRPr="00EE742D" w:rsidRDefault="00DB318A" w:rsidP="00DB318A">
            <w:pPr>
              <w:spacing w:before="0"/>
              <w:rPr>
                <w:b/>
                <w:bCs/>
                <w:szCs w:val="24"/>
              </w:rPr>
            </w:pPr>
            <w:r w:rsidRPr="00EE742D">
              <w:rPr>
                <w:b/>
                <w:bCs/>
                <w:szCs w:val="24"/>
              </w:rPr>
              <w:t>Documento C17/9-S</w:t>
            </w:r>
          </w:p>
        </w:tc>
      </w:tr>
      <w:tr w:rsidR="00DB318A" w:rsidRPr="00EE742D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DB318A" w:rsidRPr="00EE742D" w:rsidRDefault="00DB318A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DB318A" w:rsidRPr="00EE742D" w:rsidRDefault="00DB318A" w:rsidP="00DB318A">
            <w:pPr>
              <w:spacing w:before="0"/>
              <w:rPr>
                <w:b/>
                <w:bCs/>
                <w:szCs w:val="24"/>
              </w:rPr>
            </w:pPr>
            <w:r w:rsidRPr="00EE742D">
              <w:rPr>
                <w:b/>
                <w:bCs/>
                <w:szCs w:val="24"/>
              </w:rPr>
              <w:t>21 de febrero de 2017</w:t>
            </w:r>
          </w:p>
        </w:tc>
      </w:tr>
      <w:tr w:rsidR="00DB318A" w:rsidRPr="00EE742D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DB318A" w:rsidRPr="00EE742D" w:rsidRDefault="00DB318A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DB318A" w:rsidRPr="00EE742D" w:rsidRDefault="00DB318A" w:rsidP="00DB318A">
            <w:pPr>
              <w:spacing w:before="0"/>
              <w:rPr>
                <w:b/>
                <w:bCs/>
                <w:szCs w:val="24"/>
              </w:rPr>
            </w:pPr>
            <w:r w:rsidRPr="00EE742D">
              <w:rPr>
                <w:b/>
                <w:bCs/>
                <w:szCs w:val="24"/>
              </w:rPr>
              <w:t>Original: inglés</w:t>
            </w:r>
          </w:p>
        </w:tc>
      </w:tr>
      <w:tr w:rsidR="00DB318A" w:rsidRPr="00EE742D">
        <w:trPr>
          <w:cantSplit/>
        </w:trPr>
        <w:tc>
          <w:tcPr>
            <w:tcW w:w="10173" w:type="dxa"/>
            <w:gridSpan w:val="2"/>
          </w:tcPr>
          <w:p w:rsidR="00DB318A" w:rsidRPr="00EE742D" w:rsidRDefault="00DB318A">
            <w:pPr>
              <w:pStyle w:val="Source"/>
            </w:pPr>
            <w:bookmarkStart w:id="7" w:name="dsource" w:colFirst="0" w:colLast="0"/>
            <w:bookmarkEnd w:id="1"/>
            <w:bookmarkEnd w:id="6"/>
            <w:r w:rsidRPr="00EE742D">
              <w:t>Informe del Secretario General</w:t>
            </w:r>
          </w:p>
        </w:tc>
      </w:tr>
      <w:tr w:rsidR="00DB318A" w:rsidRPr="00EE742D">
        <w:trPr>
          <w:cantSplit/>
        </w:trPr>
        <w:tc>
          <w:tcPr>
            <w:tcW w:w="10173" w:type="dxa"/>
            <w:gridSpan w:val="2"/>
          </w:tcPr>
          <w:p w:rsidR="00DB318A" w:rsidRPr="00EE742D" w:rsidRDefault="00DB318A">
            <w:pPr>
              <w:pStyle w:val="Title1"/>
            </w:pPr>
            <w:bookmarkStart w:id="8" w:name="dtitle1" w:colFirst="0" w:colLast="0"/>
            <w:bookmarkEnd w:id="7"/>
            <w:r w:rsidRPr="00EE742D">
              <w:t>EXAMEN ANUAL DE INGRESOS Y GASTOS</w:t>
            </w:r>
          </w:p>
        </w:tc>
      </w:tr>
      <w:bookmarkEnd w:id="8"/>
    </w:tbl>
    <w:p w:rsidR="00DB318A" w:rsidRPr="00EE742D" w:rsidRDefault="00DB318A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DB318A" w:rsidRPr="00EE742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18A" w:rsidRPr="00EE742D" w:rsidRDefault="00DB318A">
            <w:pPr>
              <w:pStyle w:val="Headingb"/>
            </w:pPr>
            <w:r w:rsidRPr="00EE742D">
              <w:t>Resumen</w:t>
            </w:r>
          </w:p>
          <w:p w:rsidR="00DB318A" w:rsidRPr="00EE742D" w:rsidRDefault="00DB318A" w:rsidP="009631F0">
            <w:r w:rsidRPr="00EE742D">
              <w:t>El presente documento contiene los elementos esenciales de la ejecución del presupuesto de 2016-2017, con arreglo a lo dispuesto en el número 73 del Convenio de la UIT, en el cual se estipula que el Consejo efectuará un examen anual de los ingresos y gastos.</w:t>
            </w:r>
          </w:p>
          <w:p w:rsidR="00DB318A" w:rsidRPr="00EE742D" w:rsidRDefault="00DB318A">
            <w:pPr>
              <w:pStyle w:val="Headingb"/>
            </w:pPr>
            <w:r w:rsidRPr="00EE742D">
              <w:t>Acción solicitada</w:t>
            </w:r>
          </w:p>
          <w:p w:rsidR="00DB318A" w:rsidRPr="00EE742D" w:rsidRDefault="00DB318A" w:rsidP="00170846">
            <w:r w:rsidRPr="00EE742D">
              <w:t xml:space="preserve">Se invita al Consejo a </w:t>
            </w:r>
            <w:r w:rsidR="00170846" w:rsidRPr="00EE742D">
              <w:rPr>
                <w:b/>
                <w:bCs/>
              </w:rPr>
              <w:t>refrendar</w:t>
            </w:r>
            <w:r w:rsidRPr="00EE742D">
              <w:t xml:space="preserve"> </w:t>
            </w:r>
            <w:r w:rsidR="00170846" w:rsidRPr="00EE742D">
              <w:t xml:space="preserve">el </w:t>
            </w:r>
            <w:r w:rsidRPr="00EE742D">
              <w:t>presente documento.</w:t>
            </w:r>
          </w:p>
          <w:p w:rsidR="00DB318A" w:rsidRPr="00EE742D" w:rsidRDefault="00DB318A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EE742D">
              <w:rPr>
                <w:caps w:val="0"/>
                <w:sz w:val="22"/>
                <w:lang w:val="es-ES_tradnl"/>
              </w:rPr>
              <w:t>____________</w:t>
            </w:r>
          </w:p>
          <w:p w:rsidR="00DB318A" w:rsidRPr="00EE742D" w:rsidRDefault="00DB318A">
            <w:pPr>
              <w:pStyle w:val="Headingb"/>
            </w:pPr>
            <w:r w:rsidRPr="00EE742D">
              <w:t>Referencia</w:t>
            </w:r>
          </w:p>
          <w:p w:rsidR="00DB318A" w:rsidRPr="00EE742D" w:rsidRDefault="00313D1C" w:rsidP="009631F0">
            <w:pPr>
              <w:spacing w:after="120"/>
              <w:rPr>
                <w:i/>
                <w:iCs/>
              </w:rPr>
            </w:pPr>
            <w:hyperlink r:id="rId8" w:anchor="cvart4" w:history="1">
              <w:r w:rsidR="00DB318A" w:rsidRPr="00EE742D">
                <w:rPr>
                  <w:rStyle w:val="Hyperlink"/>
                  <w:i/>
                  <w:iCs/>
                  <w:szCs w:val="24"/>
                </w:rPr>
                <w:t>CV/Art. 4</w:t>
              </w:r>
            </w:hyperlink>
            <w:r w:rsidR="00DB318A" w:rsidRPr="00EE742D">
              <w:rPr>
                <w:i/>
                <w:iCs/>
              </w:rPr>
              <w:t xml:space="preserve">, </w:t>
            </w:r>
            <w:hyperlink r:id="rId9" w:anchor="cv73" w:history="1">
              <w:r w:rsidR="00DB318A" w:rsidRPr="00EE742D">
                <w:rPr>
                  <w:i/>
                  <w:iCs/>
                </w:rPr>
                <w:t>número</w:t>
              </w:r>
              <w:r w:rsidR="00DB318A" w:rsidRPr="00EE742D">
                <w:rPr>
                  <w:rStyle w:val="Hyperlink"/>
                  <w:szCs w:val="24"/>
                </w:rPr>
                <w:t xml:space="preserve"> </w:t>
              </w:r>
              <w:r w:rsidR="00DB318A" w:rsidRPr="00EE742D">
                <w:rPr>
                  <w:rStyle w:val="Hyperlink"/>
                  <w:i/>
                  <w:iCs/>
                  <w:szCs w:val="24"/>
                </w:rPr>
                <w:t>73</w:t>
              </w:r>
            </w:hyperlink>
          </w:p>
          <w:p w:rsidR="00DB318A" w:rsidRPr="00EE742D" w:rsidRDefault="00DB318A" w:rsidP="00F52204">
            <w:pPr>
              <w:spacing w:after="120"/>
              <w:rPr>
                <w:i/>
                <w:iCs/>
              </w:rPr>
            </w:pPr>
            <w:r w:rsidRPr="00EE742D">
              <w:rPr>
                <w:i/>
                <w:iCs/>
                <w:szCs w:val="24"/>
              </w:rPr>
              <w:t xml:space="preserve">Resolución </w:t>
            </w:r>
            <w:hyperlink r:id="rId10" w:history="1">
              <w:r w:rsidRPr="00EE742D">
                <w:rPr>
                  <w:rStyle w:val="Hyperlink"/>
                  <w:i/>
                  <w:iCs/>
                  <w:szCs w:val="24"/>
                </w:rPr>
                <w:t>1375</w:t>
              </w:r>
            </w:hyperlink>
            <w:r w:rsidRPr="00EE742D">
              <w:rPr>
                <w:i/>
                <w:iCs/>
                <w:szCs w:val="24"/>
              </w:rPr>
              <w:t xml:space="preserve"> del Consejo</w:t>
            </w:r>
            <w:r w:rsidRPr="00EE742D">
              <w:rPr>
                <w:i/>
                <w:iCs/>
              </w:rPr>
              <w:t xml:space="preserve"> (Presupuesto bienal de la Unión Internacional de Telecomunicaciones para 2016-2017)</w:t>
            </w:r>
          </w:p>
        </w:tc>
      </w:tr>
    </w:tbl>
    <w:p w:rsidR="00DB318A" w:rsidRPr="00EE742D" w:rsidRDefault="00DB318A" w:rsidP="009631F0">
      <w:pPr>
        <w:pStyle w:val="Heading1"/>
      </w:pPr>
      <w:r w:rsidRPr="00EE742D">
        <w:t>1</w:t>
      </w:r>
      <w:r w:rsidRPr="00EE742D">
        <w:tab/>
        <w:t>Introducción</w:t>
      </w:r>
    </w:p>
    <w:p w:rsidR="00DB318A" w:rsidRPr="00EE742D" w:rsidRDefault="00DB318A">
      <w:r w:rsidRPr="00EE742D">
        <w:rPr>
          <w:szCs w:val="24"/>
        </w:rPr>
        <w:t>1.1</w:t>
      </w:r>
      <w:r w:rsidRPr="00EE742D">
        <w:rPr>
          <w:szCs w:val="24"/>
        </w:rPr>
        <w:tab/>
      </w:r>
      <w:r w:rsidRPr="00EE742D">
        <w:t>El presente documento tiene por objeto informar sobre el estado de aplicación del presupuesto de la Unión para 2016-2017 en lo que respecta a los ingresos y los gastos.</w:t>
      </w:r>
    </w:p>
    <w:p w:rsidR="00DB318A" w:rsidRPr="00EE742D" w:rsidRDefault="00DB318A">
      <w:pPr>
        <w:pStyle w:val="Heading1"/>
        <w:spacing w:before="360"/>
      </w:pPr>
      <w:r w:rsidRPr="00EE742D">
        <w:lastRenderedPageBreak/>
        <w:t>2</w:t>
      </w:r>
      <w:r w:rsidRPr="00EE742D">
        <w:tab/>
      </w:r>
      <w:r w:rsidR="00C946C2" w:rsidRPr="00EE742D">
        <w:t>Perspectiva general del</w:t>
      </w:r>
      <w:r w:rsidR="00170846" w:rsidRPr="00EE742D">
        <w:t xml:space="preserve"> </w:t>
      </w:r>
      <w:r w:rsidR="00C946C2" w:rsidRPr="00EE742D">
        <w:t xml:space="preserve">presupuesto </w:t>
      </w:r>
      <w:r w:rsidRPr="00EE742D">
        <w:t>de la U</w:t>
      </w:r>
      <w:r w:rsidR="00BC4D0F">
        <w:t>nión para 2016-2017 (Resolución </w:t>
      </w:r>
      <w:r w:rsidRPr="00EE742D">
        <w:t>1375</w:t>
      </w:r>
      <w:proofErr w:type="gramStart"/>
      <w:r w:rsidRPr="00EE742D">
        <w:t>)</w:t>
      </w:r>
      <w:proofErr w:type="gramEnd"/>
    </w:p>
    <w:p w:rsidR="00DB318A" w:rsidRPr="00EE742D" w:rsidRDefault="00DB318A" w:rsidP="00883386">
      <w:r w:rsidRPr="00EE742D">
        <w:t>2.1</w:t>
      </w:r>
      <w:r w:rsidRPr="00EE742D">
        <w:tab/>
        <w:t xml:space="preserve">En su reunión de 2015, el Consejo adoptó </w:t>
      </w:r>
      <w:r w:rsidR="00D52DB1" w:rsidRPr="00EE742D">
        <w:t>mediante su Resolución 1375</w:t>
      </w:r>
      <w:r w:rsidR="00EE742D">
        <w:t xml:space="preserve"> </w:t>
      </w:r>
      <w:r w:rsidRPr="00EE742D">
        <w:t>el presupuesto de la Unión para 2016-</w:t>
      </w:r>
      <w:r w:rsidR="00BC4D0F" w:rsidRPr="00EE742D">
        <w:t>2017,</w:t>
      </w:r>
      <w:r w:rsidR="00D52DB1" w:rsidRPr="00EE742D">
        <w:t xml:space="preserve"> que</w:t>
      </w:r>
      <w:r w:rsidRPr="00EE742D">
        <w:t xml:space="preserve"> asciende a 160 760 000 CHF para el ejercicio de 2016, y 160 543 000 para el ejercicio de 2017</w:t>
      </w:r>
      <w:r w:rsidR="00D52DB1" w:rsidRPr="00EE742D">
        <w:t>, es decir 321 303 000 CHF para el bienio</w:t>
      </w:r>
      <w:r w:rsidRPr="00EE742D">
        <w:t xml:space="preserve">. Se basa en una unidad contributiva anual de los Estados Miembros de 318 000 CHF, lo que corresponde a un crecimiento nominal cero comparado con </w:t>
      </w:r>
      <w:r w:rsidR="00D52DB1" w:rsidRPr="00EE742D">
        <w:t>el bienio</w:t>
      </w:r>
      <w:r w:rsidR="00EE742D">
        <w:t xml:space="preserve"> </w:t>
      </w:r>
      <w:r w:rsidR="00584449" w:rsidRPr="00EE742D">
        <w:t>2014-2015</w:t>
      </w:r>
      <w:r w:rsidRPr="00EE742D">
        <w:t>. El Presupuesto de la Unión se está aplicando de conformidad con el Artículo 10 del Reglamento Financiero.</w:t>
      </w:r>
    </w:p>
    <w:p w:rsidR="006A77BF" w:rsidRDefault="006A77BF" w:rsidP="00883386">
      <w:pPr>
        <w:rPr>
          <w:rFonts w:cs="Calibri"/>
        </w:rPr>
      </w:pPr>
      <w:r w:rsidRPr="00EE742D">
        <w:t>2.2</w:t>
      </w:r>
      <w:r w:rsidRPr="00EE742D">
        <w:tab/>
      </w:r>
      <w:r w:rsidR="00EE742D">
        <w:t>En el Cuadro 1 siguiente se indica la situación del bienio 2016-2017. Se muestran los resultados reales para 2016 al 7 de febrero de 2017, a reserva de pequeños cambios pendientes de la clausura de las cuentas, y las cifras reales para 2017 al 7 de febrero de 2017 con las previsiones a final de año para 2017</w:t>
      </w:r>
      <w:r w:rsidRPr="00EE742D">
        <w:rPr>
          <w:rFonts w:cs="Calibri"/>
        </w:rPr>
        <w:t>.</w:t>
      </w:r>
    </w:p>
    <w:p w:rsidR="00775469" w:rsidRPr="00EE742D" w:rsidRDefault="00775469" w:rsidP="00883386">
      <w:r w:rsidRPr="00EE742D">
        <w:t>2.3</w:t>
      </w:r>
      <w:r w:rsidRPr="00EE742D">
        <w:tab/>
      </w:r>
      <w:r>
        <w:t>Las previsiones de gastos para el año 2017 indican que se realizarán ahorros gracias al programa de ceses anticipados y la aplicación de medidas de eficiencia (véase el Documento</w:t>
      </w:r>
      <w:r w:rsidR="00CB1229">
        <w:t> </w:t>
      </w:r>
      <w:hyperlink r:id="rId11" w:history="1">
        <w:r w:rsidRPr="00EE742D">
          <w:rPr>
            <w:color w:val="0000FF"/>
            <w:u w:val="single"/>
          </w:rPr>
          <w:t>C17/45</w:t>
        </w:r>
      </w:hyperlink>
      <w:r w:rsidRPr="00EE742D">
        <w:t xml:space="preserve">), </w:t>
      </w:r>
      <w:r>
        <w:t>gracias al cual la Unión podrá transferir a la Cu</w:t>
      </w:r>
      <w:r w:rsidR="00CB1229">
        <w:t>enta de Provisión el importe de </w:t>
      </w:r>
      <w:r>
        <w:t>1,3 millones CHF indicado en el proyecto de presupuesto para 2018-2019. Por consiguiente, es probable que el resultado global previsto para el bienio 2016-2017 sea positivo</w:t>
      </w:r>
      <w:r w:rsidRPr="00EE742D">
        <w:t>.</w:t>
      </w:r>
    </w:p>
    <w:p w:rsidR="00775469" w:rsidRPr="00EE742D" w:rsidRDefault="00775469" w:rsidP="00883386">
      <w:r w:rsidRPr="00EE742D">
        <w:t>2.4</w:t>
      </w:r>
      <w:r w:rsidRPr="00EE742D">
        <w:tab/>
      </w:r>
      <w:r>
        <w:t xml:space="preserve">Durante el proceso de preparación del presupuesto para 2016-2017 se habían planificado seis Reuniones Preparatorias Regionales (RPR) del UIT-D en 2016. Ahora bien, durante los debates con los posibles países anfitriones, se decidió aplazar cuatro RPR a 2017. Por consiguiente, es necesario transferir esas actividades de 2016 a 2017, conforme a las disposiciones 4.a) y 4.b) </w:t>
      </w:r>
      <w:r>
        <w:lastRenderedPageBreak/>
        <w:t>del Artículo 13 del Reglamento Financiero y las Reglas Financieras. Por lo tanto, están previstos los ajustes siguientes</w:t>
      </w:r>
      <w:r w:rsidR="00883386">
        <w:t>:</w:t>
      </w:r>
    </w:p>
    <w:p w:rsidR="00775469" w:rsidRPr="00EE742D" w:rsidRDefault="00775469" w:rsidP="00CB1229">
      <w:pPr>
        <w:pStyle w:val="enumlev1"/>
      </w:pPr>
      <w:r w:rsidRPr="00EE742D">
        <w:t>a)</w:t>
      </w:r>
      <w:r w:rsidRPr="00EE742D">
        <w:tab/>
      </w:r>
      <w:r>
        <w:t>Para el año 2016 las actividades aplazadas que ascienden a 0,317 millones CHF se han abonado a la Cuenta de Provisión con cargo al presupuesto del UIT-D. Los detalles constan en el Informe de Gestión Financiera correspondiente al ejercicio 2016</w:t>
      </w:r>
      <w:r w:rsidRPr="00EE742D">
        <w:t>.</w:t>
      </w:r>
    </w:p>
    <w:p w:rsidR="00775469" w:rsidRPr="00EE742D" w:rsidRDefault="00775469" w:rsidP="00CB1229">
      <w:pPr>
        <w:pStyle w:val="enumlev1"/>
        <w:rPr>
          <w:szCs w:val="24"/>
        </w:rPr>
      </w:pPr>
      <w:r w:rsidRPr="00EE742D">
        <w:rPr>
          <w:szCs w:val="24"/>
        </w:rPr>
        <w:t>b)</w:t>
      </w:r>
      <w:r w:rsidRPr="00EE742D">
        <w:rPr>
          <w:szCs w:val="24"/>
        </w:rPr>
        <w:tab/>
      </w:r>
      <w:r>
        <w:rPr>
          <w:szCs w:val="24"/>
        </w:rPr>
        <w:t>Para el año 2017 la Cuenta de Provisión y el Presupuesto del UIT-D han aumentado en esa misma cantidad, es decir, 0,317 millones CHF</w:t>
      </w:r>
      <w:r w:rsidRPr="00EE742D">
        <w:rPr>
          <w:szCs w:val="24"/>
        </w:rPr>
        <w:t>.</w:t>
      </w:r>
    </w:p>
    <w:p w:rsidR="00DB318A" w:rsidRPr="00EE742D" w:rsidRDefault="00DB318A" w:rsidP="009631F0">
      <w:pPr>
        <w:pStyle w:val="Tabletitle"/>
        <w:spacing w:before="240"/>
      </w:pPr>
      <w:r w:rsidRPr="00EE742D">
        <w:t>Cuadro 1 – Aplicación del presupuesto con arreglo a la Resolución 1375</w:t>
      </w:r>
    </w:p>
    <w:p w:rsidR="001038DE" w:rsidRPr="00EE742D" w:rsidRDefault="00ED5C36" w:rsidP="00ED5C36">
      <w:pPr>
        <w:snapToGrid w:val="0"/>
        <w:ind w:left="7200" w:firstLine="720"/>
        <w:jc w:val="center"/>
        <w:rPr>
          <w:rFonts w:cs="Calibri"/>
          <w:b/>
          <w:bCs/>
        </w:rPr>
      </w:pPr>
      <w:r w:rsidRPr="00EE742D">
        <w:rPr>
          <w:rFonts w:cs="Arial"/>
          <w:i/>
          <w:iCs/>
          <w:sz w:val="14"/>
          <w:szCs w:val="14"/>
        </w:rPr>
        <w:t>Miles de francos suizos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19"/>
        <w:gridCol w:w="387"/>
        <w:gridCol w:w="850"/>
        <w:gridCol w:w="956"/>
        <w:gridCol w:w="727"/>
        <w:gridCol w:w="682"/>
        <w:gridCol w:w="249"/>
        <w:gridCol w:w="769"/>
        <w:gridCol w:w="860"/>
        <w:gridCol w:w="708"/>
        <w:gridCol w:w="727"/>
        <w:gridCol w:w="605"/>
      </w:tblGrid>
      <w:tr w:rsidR="00584449" w:rsidRPr="00EE742D" w:rsidTr="00775469">
        <w:trPr>
          <w:trHeight w:val="23"/>
        </w:trPr>
        <w:tc>
          <w:tcPr>
            <w:tcW w:w="1099" w:type="pct"/>
            <w:vMerge w:val="restart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CE6F1"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Ingresos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1668" w:type="pct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2016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1903" w:type="pct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2017</w:t>
            </w:r>
          </w:p>
        </w:tc>
      </w:tr>
      <w:tr w:rsidR="00584449" w:rsidRPr="00EE742D" w:rsidTr="005E6814">
        <w:trPr>
          <w:trHeight w:val="23"/>
        </w:trPr>
        <w:tc>
          <w:tcPr>
            <w:tcW w:w="1099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584449" w:rsidRPr="00EE742D" w:rsidRDefault="00910B04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Presupuesto</w:t>
            </w:r>
            <w:r w:rsidR="00584449"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**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584449" w:rsidRPr="00EE742D" w:rsidRDefault="00910B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Real</w:t>
            </w:r>
            <w:r w:rsidR="00584449"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*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584449" w:rsidRPr="00EE742D" w:rsidRDefault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Varia</w:t>
            </w:r>
            <w:r w:rsidR="00910B04"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ción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%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584449" w:rsidRPr="00EE742D" w:rsidRDefault="00910B04" w:rsidP="00910B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 xml:space="preserve">Presupuesto </w:t>
            </w:r>
            <w:r w:rsidR="00584449"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**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584449" w:rsidRPr="00EE742D" w:rsidRDefault="00910B04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Real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584449" w:rsidRPr="00EE742D" w:rsidRDefault="00910B04" w:rsidP="00910B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Previsión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584449" w:rsidRPr="00EE742D" w:rsidRDefault="00910B04" w:rsidP="00910B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Variación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%</w:t>
            </w:r>
          </w:p>
        </w:tc>
      </w:tr>
      <w:tr w:rsidR="00584449" w:rsidRPr="00EE742D" w:rsidTr="005E6814">
        <w:trPr>
          <w:trHeight w:val="23"/>
        </w:trPr>
        <w:tc>
          <w:tcPr>
            <w:tcW w:w="1099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2016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2016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2016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2016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2017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07.02.2017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2017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2017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2017</w:t>
            </w:r>
          </w:p>
        </w:tc>
      </w:tr>
      <w:tr w:rsidR="00584449" w:rsidRPr="00EE742D" w:rsidTr="005E6814">
        <w:trPr>
          <w:trHeight w:val="23"/>
        </w:trPr>
        <w:tc>
          <w:tcPr>
            <w:tcW w:w="1099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41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a</w:t>
            </w:r>
          </w:p>
        </w:tc>
        <w:tc>
          <w:tcPr>
            <w:tcW w:w="49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b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c = b - 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d = c / a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9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e</w:t>
            </w:r>
          </w:p>
        </w:tc>
        <w:tc>
          <w:tcPr>
            <w:tcW w:w="44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f</w:t>
            </w:r>
          </w:p>
        </w:tc>
        <w:tc>
          <w:tcPr>
            <w:tcW w:w="367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h = g - e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i = h / e</w:t>
            </w:r>
          </w:p>
        </w:tc>
      </w:tr>
      <w:tr w:rsidR="00584449" w:rsidRPr="00EE742D" w:rsidTr="005E6814">
        <w:trPr>
          <w:trHeight w:val="23"/>
        </w:trPr>
        <w:tc>
          <w:tcPr>
            <w:tcW w:w="1099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1. contribuciones previstas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77546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124 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401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1C681C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122 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891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1C681C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-1 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510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1C681C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>-1,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2%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1C681C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124 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401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1C681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122</w:t>
            </w:r>
            <w:r w:rsidR="001C681C"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 </w:t>
            </w: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303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1C681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123</w:t>
            </w:r>
            <w:r w:rsidR="001C681C"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 </w:t>
            </w: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192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-</w:t>
            </w:r>
            <w:r w:rsidR="001C681C"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1 </w:t>
            </w: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209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1C681C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>-1,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0%</w:t>
            </w:r>
          </w:p>
        </w:tc>
      </w:tr>
      <w:tr w:rsidR="00584449" w:rsidRPr="00EE742D" w:rsidTr="005E6814">
        <w:trPr>
          <w:trHeight w:val="23"/>
        </w:trPr>
        <w:tc>
          <w:tcPr>
            <w:tcW w:w="1099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2. recuperación de costes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77546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34 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625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1C681C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34 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382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-243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1C681C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>-0,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7%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1C681C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34 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625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1C681C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2 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710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1C681C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34 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350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-275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1C681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-0</w:t>
            </w:r>
            <w:r w:rsidR="001C681C">
              <w:rPr>
                <w:rFonts w:asciiTheme="minorHAnsi" w:hAnsiTheme="minorHAnsi" w:cs="Arial"/>
                <w:sz w:val="14"/>
                <w:szCs w:val="14"/>
                <w:lang w:eastAsia="zh-CN"/>
              </w:rPr>
              <w:t>,</w:t>
            </w: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8%</w:t>
            </w:r>
          </w:p>
        </w:tc>
      </w:tr>
      <w:tr w:rsidR="00584449" w:rsidRPr="00EE742D" w:rsidTr="005E6814">
        <w:trPr>
          <w:trHeight w:val="23"/>
        </w:trPr>
        <w:tc>
          <w:tcPr>
            <w:tcW w:w="1099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584449" w:rsidRPr="00EE742D" w:rsidRDefault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3. intereses devengados y otros</w:t>
            </w:r>
            <w:r w:rsidR="00910B04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 ingresos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400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251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-149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1C681C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>-37,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3%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400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46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300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-100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1C681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-25</w:t>
            </w:r>
            <w:r w:rsidR="001C681C">
              <w:rPr>
                <w:rFonts w:asciiTheme="minorHAnsi" w:hAnsiTheme="minorHAnsi" w:cs="Arial"/>
                <w:sz w:val="14"/>
                <w:szCs w:val="14"/>
                <w:lang w:eastAsia="zh-CN"/>
              </w:rPr>
              <w:t>,</w:t>
            </w: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0%</w:t>
            </w:r>
          </w:p>
        </w:tc>
      </w:tr>
      <w:tr w:rsidR="00584449" w:rsidRPr="00EE742D" w:rsidTr="005E6814">
        <w:trPr>
          <w:trHeight w:val="23"/>
        </w:trPr>
        <w:tc>
          <w:tcPr>
            <w:tcW w:w="1099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584449" w:rsidRPr="00EE742D" w:rsidRDefault="00584449" w:rsidP="00910B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4. </w:t>
            </w:r>
            <w:r w:rsidR="00910B04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Detracción de la Cuenta de Provisión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1C681C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1 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017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1C681C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-1 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017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1C681C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>-100,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0%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1C681C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1 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434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1C681C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1 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434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1C681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1</w:t>
            </w:r>
            <w:r w:rsidR="001C681C"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 </w:t>
            </w: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434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1C681C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>0,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0%</w:t>
            </w:r>
          </w:p>
        </w:tc>
      </w:tr>
      <w:tr w:rsidR="00584449" w:rsidRPr="00EE742D" w:rsidTr="005E6814">
        <w:trPr>
          <w:trHeight w:val="23"/>
        </w:trPr>
        <w:tc>
          <w:tcPr>
            <w:tcW w:w="1099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584449" w:rsidRPr="00EE742D" w:rsidRDefault="00910B04" w:rsidP="00910B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INGRESOS TOTALES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584449" w:rsidRPr="00EE742D" w:rsidRDefault="001C681C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 xml:space="preserve">160 </w:t>
            </w:r>
            <w:r w:rsidR="00584449"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443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584449" w:rsidRPr="00EE742D" w:rsidRDefault="00584449" w:rsidP="001C681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157</w:t>
            </w:r>
            <w:r w:rsidR="001C681C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 xml:space="preserve"> </w:t>
            </w: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524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-</w:t>
            </w:r>
            <w:r w:rsidR="001C681C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 xml:space="preserve">2 </w:t>
            </w: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919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584449" w:rsidRPr="00EE742D" w:rsidRDefault="001C681C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-1,</w:t>
            </w:r>
            <w:r w:rsidR="00584449"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8%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584449" w:rsidRPr="00EE742D" w:rsidRDefault="001C681C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 xml:space="preserve">160 </w:t>
            </w:r>
            <w:r w:rsidR="00584449"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860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584449" w:rsidRPr="00EE742D" w:rsidRDefault="001C681C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 xml:space="preserve">126 </w:t>
            </w:r>
            <w:r w:rsidR="00584449"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493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584449" w:rsidRPr="00EE742D" w:rsidRDefault="00584449" w:rsidP="001C681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159</w:t>
            </w:r>
            <w:r w:rsidR="001C681C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 xml:space="preserve"> </w:t>
            </w: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276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-</w:t>
            </w:r>
            <w:r w:rsidR="001C681C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 xml:space="preserve">1 </w:t>
            </w: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584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584449" w:rsidRPr="00EE742D" w:rsidRDefault="001C681C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-1,</w:t>
            </w:r>
            <w:r w:rsidR="00584449"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0%</w:t>
            </w:r>
          </w:p>
        </w:tc>
      </w:tr>
      <w:tr w:rsidR="00584449" w:rsidRPr="00EE742D" w:rsidTr="005E6814">
        <w:trPr>
          <w:trHeight w:val="23"/>
        </w:trPr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</w:tr>
      <w:tr w:rsidR="00584449" w:rsidRPr="00EE742D" w:rsidTr="00775469">
        <w:trPr>
          <w:trHeight w:val="23"/>
        </w:trPr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1668" w:type="pct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2016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1903" w:type="pct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2017</w:t>
            </w:r>
          </w:p>
        </w:tc>
      </w:tr>
      <w:tr w:rsidR="00584449" w:rsidRPr="00EE742D" w:rsidTr="005E6814">
        <w:trPr>
          <w:trHeight w:val="23"/>
        </w:trPr>
        <w:tc>
          <w:tcPr>
            <w:tcW w:w="1099" w:type="pct"/>
            <w:vMerge w:val="restart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CE6F1"/>
            <w:vAlign w:val="center"/>
            <w:hideMark/>
          </w:tcPr>
          <w:p w:rsidR="00584449" w:rsidRPr="00EE742D" w:rsidRDefault="00910B04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Gastos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584449" w:rsidRPr="00EE742D" w:rsidRDefault="00910B04" w:rsidP="00910B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 xml:space="preserve">Presupuesto </w:t>
            </w:r>
            <w:r w:rsidR="00584449"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**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584449" w:rsidRPr="00EE742D" w:rsidRDefault="00910B04" w:rsidP="00910B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 xml:space="preserve">Real </w:t>
            </w:r>
            <w:r w:rsidR="00584449"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*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584449" w:rsidRPr="00EE742D" w:rsidRDefault="00910B04" w:rsidP="00910B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Variación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%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584449" w:rsidRPr="00EE742D" w:rsidRDefault="00910B04" w:rsidP="00910B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Presupuesto</w:t>
            </w:r>
            <w:r w:rsidR="00584449"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**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584449" w:rsidRPr="00EE742D" w:rsidRDefault="00910B04" w:rsidP="00910B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Real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584449" w:rsidRPr="00EE742D" w:rsidRDefault="00910B04" w:rsidP="00910B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Previsión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584449" w:rsidRPr="00EE742D" w:rsidRDefault="00910B04" w:rsidP="00910B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Variación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%</w:t>
            </w:r>
          </w:p>
        </w:tc>
      </w:tr>
      <w:tr w:rsidR="00584449" w:rsidRPr="00EE742D" w:rsidTr="005E6814">
        <w:trPr>
          <w:trHeight w:val="23"/>
        </w:trPr>
        <w:tc>
          <w:tcPr>
            <w:tcW w:w="1099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2016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2016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2016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2016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2017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07.02.2017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2017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2017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2017</w:t>
            </w:r>
          </w:p>
        </w:tc>
      </w:tr>
      <w:tr w:rsidR="00584449" w:rsidRPr="00EE742D" w:rsidTr="005E6814">
        <w:trPr>
          <w:trHeight w:val="23"/>
        </w:trPr>
        <w:tc>
          <w:tcPr>
            <w:tcW w:w="1099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41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a</w:t>
            </w:r>
          </w:p>
        </w:tc>
        <w:tc>
          <w:tcPr>
            <w:tcW w:w="49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b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c = b - 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d = c / a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9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e</w:t>
            </w:r>
          </w:p>
        </w:tc>
        <w:tc>
          <w:tcPr>
            <w:tcW w:w="44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f</w:t>
            </w:r>
          </w:p>
        </w:tc>
        <w:tc>
          <w:tcPr>
            <w:tcW w:w="367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h = g - e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i = h / e</w:t>
            </w:r>
          </w:p>
        </w:tc>
      </w:tr>
      <w:tr w:rsidR="00584449" w:rsidRPr="00EE742D" w:rsidTr="005E6814">
        <w:trPr>
          <w:trHeight w:val="23"/>
        </w:trPr>
        <w:tc>
          <w:tcPr>
            <w:tcW w:w="1099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584449" w:rsidRPr="00EE742D" w:rsidRDefault="00584449" w:rsidP="00910B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1. </w:t>
            </w:r>
            <w:r w:rsidR="00910B04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Secretaría General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1C681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90</w:t>
            </w:r>
            <w:r w:rsidR="001C681C"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 </w:t>
            </w: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365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8</w:t>
            </w:r>
            <w:r w:rsidR="001C681C"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2 </w:t>
            </w: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789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1C681C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-7 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576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1C681C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>-8,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4%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B47CAA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90 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645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B47CAA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17 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B47CAA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88 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853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4B0367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-1 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792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4B0367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>-2,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0%</w:t>
            </w:r>
          </w:p>
        </w:tc>
      </w:tr>
      <w:tr w:rsidR="00584449" w:rsidRPr="00EE742D" w:rsidTr="005E6814">
        <w:trPr>
          <w:trHeight w:val="23"/>
        </w:trPr>
        <w:tc>
          <w:tcPr>
            <w:tcW w:w="1099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584449" w:rsidRPr="00EE742D" w:rsidRDefault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2. </w:t>
            </w:r>
            <w:r w:rsidR="00910B04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UIT</w:t>
            </w: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-R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1C681C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28 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898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1C681C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26 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542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1C681C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-2 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356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1C681C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>-8,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2%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B47CAA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28 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603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B47CAA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6 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105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B47CAA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28 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168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-435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4B0367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>-1,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5%</w:t>
            </w:r>
          </w:p>
        </w:tc>
      </w:tr>
      <w:tr w:rsidR="00584449" w:rsidRPr="00EE742D" w:rsidTr="005E6814">
        <w:trPr>
          <w:trHeight w:val="23"/>
        </w:trPr>
        <w:tc>
          <w:tcPr>
            <w:tcW w:w="1099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584449" w:rsidRPr="00EE742D" w:rsidRDefault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3. </w:t>
            </w:r>
            <w:r w:rsidR="00910B04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UIT</w:t>
            </w: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-T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1C681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13</w:t>
            </w:r>
            <w:r w:rsidR="001C681C"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 </w:t>
            </w: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394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1</w:t>
            </w:r>
            <w:r w:rsidR="001C681C"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3 </w:t>
            </w: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329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-65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1C681C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>-0,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5%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B47CAA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12 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438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B47CA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2</w:t>
            </w:r>
            <w:r w:rsidR="00B47CAA"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 </w:t>
            </w: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700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B47CA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12</w:t>
            </w:r>
            <w:r w:rsidR="00B47CAA"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 </w:t>
            </w: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315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-123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4B0367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>-1,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0%</w:t>
            </w:r>
          </w:p>
        </w:tc>
      </w:tr>
      <w:tr w:rsidR="00584449" w:rsidRPr="00EE742D" w:rsidTr="005E6814">
        <w:trPr>
          <w:trHeight w:val="23"/>
        </w:trPr>
        <w:tc>
          <w:tcPr>
            <w:tcW w:w="1099" w:type="pct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584449" w:rsidRPr="00EE742D" w:rsidRDefault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4. </w:t>
            </w:r>
            <w:r w:rsidR="00910B04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UIT</w:t>
            </w: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-D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1C681C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27 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786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1C681C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27 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219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-567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1C681C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>-2,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0%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B47CAA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29 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174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B47CAA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5 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975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B47CAA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28 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641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-534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4B0367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>-1,</w:t>
            </w:r>
            <w:r w:rsidR="00584449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8%</w:t>
            </w:r>
          </w:p>
        </w:tc>
      </w:tr>
      <w:tr w:rsidR="00584449" w:rsidRPr="00EE742D" w:rsidTr="005E6814">
        <w:trPr>
          <w:trHeight w:val="23"/>
        </w:trPr>
        <w:tc>
          <w:tcPr>
            <w:tcW w:w="1099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584449" w:rsidRPr="00EE742D" w:rsidRDefault="00910B04" w:rsidP="00910B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GASTOS TOTALES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584449" w:rsidRPr="00EE742D" w:rsidRDefault="001C681C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 xml:space="preserve">160 </w:t>
            </w:r>
            <w:r w:rsidR="00584449"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443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584449" w:rsidRPr="00EE742D" w:rsidRDefault="00584449" w:rsidP="001C681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149</w:t>
            </w:r>
            <w:r w:rsidR="001C681C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 xml:space="preserve"> </w:t>
            </w: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879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-</w:t>
            </w:r>
            <w:r w:rsidR="001C681C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 xml:space="preserve">10 </w:t>
            </w: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564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584449" w:rsidRPr="00EE742D" w:rsidRDefault="001C681C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-6,</w:t>
            </w:r>
            <w:r w:rsidR="00584449"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6%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584449" w:rsidRPr="00EE742D" w:rsidRDefault="00B47CAA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 xml:space="preserve">160 </w:t>
            </w:r>
            <w:r w:rsidR="00584449"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860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584449" w:rsidRPr="00EE742D" w:rsidRDefault="00B47CAA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 xml:space="preserve">31 </w:t>
            </w:r>
            <w:r w:rsidR="00584449"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980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584449" w:rsidRPr="00EE742D" w:rsidRDefault="00584449" w:rsidP="004B036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157</w:t>
            </w:r>
            <w:r w:rsidR="004B0367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 xml:space="preserve"> </w:t>
            </w: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976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-</w:t>
            </w:r>
            <w:r w:rsidR="004B0367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 xml:space="preserve">2 </w:t>
            </w: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884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584449" w:rsidRPr="00EE742D" w:rsidRDefault="004B0367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-1,</w:t>
            </w:r>
            <w:r w:rsidR="00584449"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8%</w:t>
            </w:r>
          </w:p>
        </w:tc>
      </w:tr>
      <w:tr w:rsidR="00584449" w:rsidRPr="00EE742D" w:rsidTr="005E6814">
        <w:trPr>
          <w:trHeight w:val="23"/>
        </w:trPr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201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41" w:type="pct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96" w:type="pct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77" w:type="pct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54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129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99" w:type="pct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46" w:type="pct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67" w:type="pct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77" w:type="pct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14" w:type="pct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 </w:t>
            </w:r>
          </w:p>
        </w:tc>
      </w:tr>
      <w:tr w:rsidR="00584449" w:rsidRPr="00EE742D" w:rsidTr="005E6814">
        <w:trPr>
          <w:trHeight w:val="23"/>
        </w:trPr>
        <w:tc>
          <w:tcPr>
            <w:tcW w:w="1099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584449" w:rsidRPr="00EE742D" w:rsidRDefault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Su</w:t>
            </w:r>
            <w:r w:rsidR="00910B04"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perávit</w:t>
            </w: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/D</w:t>
            </w:r>
            <w:r w:rsidR="00910B04"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é</w:t>
            </w: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ficit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584449" w:rsidRPr="00EE742D" w:rsidRDefault="001C681C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 xml:space="preserve">7 </w:t>
            </w:r>
            <w:r w:rsidR="00584449"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645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584449" w:rsidRPr="00EE742D" w:rsidRDefault="001C681C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 xml:space="preserve">7 </w:t>
            </w:r>
            <w:r w:rsidR="00584449"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645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584449" w:rsidRPr="00EE742D" w:rsidRDefault="00B47CAA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 xml:space="preserve">94 </w:t>
            </w:r>
            <w:r w:rsidR="00584449"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513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584449" w:rsidRPr="00EE742D" w:rsidRDefault="00B47CAA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 xml:space="preserve">1 </w:t>
            </w:r>
            <w:r w:rsidR="00584449"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300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584449" w:rsidRPr="00EE742D" w:rsidRDefault="004B0367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 xml:space="preserve">1 </w:t>
            </w:r>
            <w:r w:rsidR="00584449"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300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 </w:t>
            </w:r>
          </w:p>
        </w:tc>
      </w:tr>
      <w:tr w:rsidR="00584449" w:rsidRPr="00EE742D" w:rsidTr="005E6814">
        <w:trPr>
          <w:trHeight w:val="23"/>
        </w:trPr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910B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* </w:t>
            </w:r>
            <w:r w:rsidR="00910B04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Al 7 de febrero de 2017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4449" w:rsidRPr="00EE742D" w:rsidRDefault="00584449" w:rsidP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</w:tr>
      <w:tr w:rsidR="00584449" w:rsidRPr="00EE742D" w:rsidTr="00584449">
        <w:trPr>
          <w:trHeight w:val="23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49" w:rsidRPr="00EE742D" w:rsidRDefault="005844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color w:val="000000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color w:val="000000"/>
                <w:sz w:val="14"/>
                <w:szCs w:val="14"/>
                <w:lang w:eastAsia="zh-CN"/>
              </w:rPr>
              <w:lastRenderedPageBreak/>
              <w:t xml:space="preserve">** </w:t>
            </w:r>
            <w:r w:rsidR="00D83B8D" w:rsidRPr="00EE742D">
              <w:rPr>
                <w:rFonts w:asciiTheme="minorHAnsi" w:hAnsiTheme="minorHAnsi" w:cs="Arial"/>
                <w:color w:val="000000"/>
                <w:sz w:val="14"/>
                <w:szCs w:val="14"/>
                <w:lang w:eastAsia="zh-CN"/>
              </w:rPr>
              <w:t>El presupuesto presentado difiere del presupuesto original aprobado debido a transferencias efectuadas conforme a los Artículos 11 y 13 del Reglamento Financiero y las Reglas Financieras</w:t>
            </w:r>
          </w:p>
        </w:tc>
      </w:tr>
    </w:tbl>
    <w:p w:rsidR="001038DE" w:rsidRPr="00EE742D" w:rsidRDefault="001038DE" w:rsidP="005F345D">
      <w:pPr>
        <w:spacing w:before="0"/>
      </w:pPr>
      <w:bookmarkStart w:id="9" w:name="_GoBack"/>
      <w:bookmarkEnd w:id="9"/>
    </w:p>
    <w:p w:rsidR="00DB318A" w:rsidRPr="00EE742D" w:rsidRDefault="00DB318A">
      <w:pPr>
        <w:pStyle w:val="Heading1"/>
      </w:pPr>
      <w:r w:rsidRPr="00EE742D">
        <w:t>3</w:t>
      </w:r>
      <w:r w:rsidRPr="00EE742D">
        <w:tab/>
        <w:t>Ingresos</w:t>
      </w:r>
    </w:p>
    <w:p w:rsidR="00DB318A" w:rsidRPr="00EE742D" w:rsidRDefault="00DB318A" w:rsidP="00883386">
      <w:r w:rsidRPr="00EE742D">
        <w:t>3.1</w:t>
      </w:r>
      <w:r w:rsidRPr="00EE742D">
        <w:tab/>
        <w:t xml:space="preserve">Los ingresos de la Unión </w:t>
      </w:r>
      <w:r w:rsidR="00FF62DC" w:rsidRPr="00EE742D">
        <w:t xml:space="preserve">en concepto </w:t>
      </w:r>
      <w:r w:rsidRPr="00EE742D">
        <w:t xml:space="preserve">de contribuciones previstas, la recuperación de costes, los intereses/otros ingresos y las detracciones de la Cuenta de Provisión. </w:t>
      </w:r>
      <w:r w:rsidR="00534FE2" w:rsidRPr="00EE742D">
        <w:t>Es posible que los ingresos reales globales para el bienio sean ligeramente inferiores a los ingresos presupuestados indicados en el Cuadro 1</w:t>
      </w:r>
      <w:r w:rsidR="006A77BF" w:rsidRPr="00EE742D">
        <w:rPr>
          <w:szCs w:val="24"/>
        </w:rPr>
        <w:t>.</w:t>
      </w:r>
    </w:p>
    <w:p w:rsidR="009631F0" w:rsidRPr="00EE742D" w:rsidRDefault="00DB318A" w:rsidP="00883386">
      <w:r w:rsidRPr="00EE742D">
        <w:t>3.2</w:t>
      </w:r>
      <w:r w:rsidRPr="00EE742D">
        <w:tab/>
        <w:t xml:space="preserve">Los ingresos </w:t>
      </w:r>
      <w:r w:rsidR="00534FE2" w:rsidRPr="00EE742D">
        <w:t xml:space="preserve">en concepto </w:t>
      </w:r>
      <w:r w:rsidRPr="00EE742D">
        <w:t xml:space="preserve">de contribuciones previstas representan el 77% </w:t>
      </w:r>
      <w:r w:rsidR="00534FE2" w:rsidRPr="00EE742D">
        <w:t xml:space="preserve">de los ingresos totales presupuestados </w:t>
      </w:r>
      <w:r w:rsidRPr="00EE742D">
        <w:t>para 2016</w:t>
      </w:r>
      <w:r w:rsidR="00534FE2" w:rsidRPr="00EE742D">
        <w:t xml:space="preserve">-2017, que incluyen </w:t>
      </w:r>
      <w:r w:rsidRPr="00EE742D">
        <w:t>las contribuciones de los Estados Miembros, Miembros de Sector, Asociados e Instituciones Académicas. En el Cuadro 2 se muestra el desglose de las contribuciones previstas.</w:t>
      </w:r>
    </w:p>
    <w:p w:rsidR="00DB318A" w:rsidRPr="00EE742D" w:rsidRDefault="00DB318A">
      <w:pPr>
        <w:pStyle w:val="Tabletitle"/>
        <w:spacing w:before="240"/>
      </w:pPr>
      <w:r w:rsidRPr="00EE742D">
        <w:t xml:space="preserve">Cuadro 2 – Ingresos </w:t>
      </w:r>
      <w:r w:rsidR="00FF62DC" w:rsidRPr="00EE742D">
        <w:t xml:space="preserve">en concepto </w:t>
      </w:r>
      <w:r w:rsidRPr="00EE742D">
        <w:t>de contribuciones previstas</w:t>
      </w:r>
    </w:p>
    <w:p w:rsidR="009631F0" w:rsidRPr="00EE742D" w:rsidRDefault="00326B20" w:rsidP="00326B20">
      <w:pPr>
        <w:snapToGrid w:val="0"/>
        <w:ind w:left="7200" w:firstLine="720"/>
        <w:jc w:val="center"/>
        <w:rPr>
          <w:rFonts w:cs="Arial"/>
          <w:i/>
          <w:iCs/>
          <w:sz w:val="14"/>
          <w:szCs w:val="14"/>
        </w:rPr>
      </w:pPr>
      <w:r w:rsidRPr="00EE742D">
        <w:rPr>
          <w:rFonts w:cs="Arial"/>
          <w:i/>
          <w:iCs/>
          <w:sz w:val="14"/>
          <w:szCs w:val="14"/>
        </w:rPr>
        <w:t>Miles de francos suizos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69"/>
        <w:gridCol w:w="850"/>
        <w:gridCol w:w="850"/>
        <w:gridCol w:w="734"/>
        <w:gridCol w:w="848"/>
        <w:gridCol w:w="236"/>
        <w:gridCol w:w="852"/>
        <w:gridCol w:w="860"/>
        <w:gridCol w:w="844"/>
        <w:gridCol w:w="727"/>
        <w:gridCol w:w="769"/>
      </w:tblGrid>
      <w:tr w:rsidR="007428EC" w:rsidRPr="00EE742D" w:rsidTr="007428EC">
        <w:trPr>
          <w:trHeight w:val="227"/>
        </w:trPr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1702" w:type="pct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2016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2102" w:type="pct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2017</w:t>
            </w:r>
          </w:p>
        </w:tc>
      </w:tr>
      <w:tr w:rsidR="007428EC" w:rsidRPr="00EE742D" w:rsidTr="007428EC">
        <w:trPr>
          <w:trHeight w:val="227"/>
        </w:trPr>
        <w:tc>
          <w:tcPr>
            <w:tcW w:w="1073" w:type="pct"/>
            <w:vMerge w:val="restart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CE6F1"/>
            <w:vAlign w:val="center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Contribuciones previstas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Presupuesto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Real *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Variación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%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Presupuesto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Real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7428EC" w:rsidRPr="00EE742D" w:rsidRDefault="00D83B8D" w:rsidP="00D83B8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Previsión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7428EC" w:rsidRPr="00EE742D" w:rsidRDefault="00D83B8D" w:rsidP="00D83B8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Variación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%</w:t>
            </w:r>
          </w:p>
        </w:tc>
      </w:tr>
      <w:tr w:rsidR="007428EC" w:rsidRPr="00EE742D" w:rsidTr="007428EC">
        <w:trPr>
          <w:trHeight w:val="227"/>
        </w:trPr>
        <w:tc>
          <w:tcPr>
            <w:tcW w:w="1073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2016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2016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2016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2016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2017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07.02.2017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2017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2017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2017</w:t>
            </w:r>
          </w:p>
        </w:tc>
      </w:tr>
      <w:tr w:rsidR="007428EC" w:rsidRPr="00EE742D" w:rsidTr="007428EC">
        <w:trPr>
          <w:trHeight w:val="227"/>
        </w:trPr>
        <w:tc>
          <w:tcPr>
            <w:tcW w:w="1073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441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A</w:t>
            </w:r>
          </w:p>
        </w:tc>
        <w:tc>
          <w:tcPr>
            <w:tcW w:w="441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b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c = b - 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d = c / a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42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e</w:t>
            </w:r>
          </w:p>
        </w:tc>
        <w:tc>
          <w:tcPr>
            <w:tcW w:w="44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f</w:t>
            </w:r>
          </w:p>
        </w:tc>
        <w:tc>
          <w:tcPr>
            <w:tcW w:w="43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h = g - 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i = h / e</w:t>
            </w:r>
          </w:p>
        </w:tc>
      </w:tr>
      <w:tr w:rsidR="007428EC" w:rsidRPr="00EE742D" w:rsidTr="007428EC">
        <w:trPr>
          <w:trHeight w:val="227"/>
        </w:trPr>
        <w:tc>
          <w:tcPr>
            <w:tcW w:w="1073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7428EC" w:rsidRPr="00EE742D" w:rsidRDefault="007428EC" w:rsidP="00D83B8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1. </w:t>
            </w:r>
            <w:r w:rsidR="00D83B8D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Estados Miembros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904740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106 </w:t>
            </w:r>
            <w:r w:rsidR="007428EC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371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904740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106 </w:t>
            </w:r>
            <w:r w:rsidR="007428EC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292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-79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28EC" w:rsidRPr="00EE742D" w:rsidRDefault="00904740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>-0,</w:t>
            </w:r>
            <w:r w:rsidR="007428EC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1%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904740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106 </w:t>
            </w:r>
            <w:r w:rsidR="007428EC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371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904740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106 </w:t>
            </w:r>
            <w:r w:rsidR="007428EC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292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904740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106 </w:t>
            </w:r>
            <w:r w:rsidR="007428EC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292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-79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904740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>-0,</w:t>
            </w:r>
            <w:r w:rsidR="007428EC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1%</w:t>
            </w:r>
          </w:p>
        </w:tc>
      </w:tr>
      <w:tr w:rsidR="007428EC" w:rsidRPr="00EE742D" w:rsidTr="007428EC">
        <w:trPr>
          <w:trHeight w:val="227"/>
        </w:trPr>
        <w:tc>
          <w:tcPr>
            <w:tcW w:w="1073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7428EC" w:rsidRPr="00EE742D" w:rsidRDefault="007428EC" w:rsidP="00D83B8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2. </w:t>
            </w:r>
            <w:r w:rsidR="00D83B8D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Miembros de Sector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904740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15 </w:t>
            </w:r>
            <w:r w:rsidR="007428EC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875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904740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14 </w:t>
            </w:r>
            <w:r w:rsidR="007428EC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710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904740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-1 </w:t>
            </w:r>
            <w:r w:rsidR="007428EC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165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28EC" w:rsidRPr="00EE742D" w:rsidRDefault="00904740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>-7,</w:t>
            </w:r>
            <w:r w:rsidR="007428EC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3%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904740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15 </w:t>
            </w:r>
            <w:r w:rsidR="007428EC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875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14,133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904740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15 </w:t>
            </w:r>
            <w:r w:rsidR="007428EC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-875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904740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>-5,</w:t>
            </w:r>
            <w:r w:rsidR="007428EC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5%</w:t>
            </w:r>
          </w:p>
        </w:tc>
      </w:tr>
      <w:tr w:rsidR="007428EC" w:rsidRPr="00EE742D" w:rsidTr="007428EC">
        <w:trPr>
          <w:trHeight w:val="227"/>
        </w:trPr>
        <w:tc>
          <w:tcPr>
            <w:tcW w:w="1073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7428EC" w:rsidRPr="00EE742D" w:rsidRDefault="007428EC" w:rsidP="00D83B8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3. </w:t>
            </w:r>
            <w:r w:rsidR="00D83B8D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Asociados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904740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1 </w:t>
            </w:r>
            <w:r w:rsidR="007428EC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955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7428EC" w:rsidP="0090474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1</w:t>
            </w:r>
            <w:r w:rsidR="00904740"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 </w:t>
            </w: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587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-368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28EC" w:rsidRPr="00EE742D" w:rsidRDefault="00904740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>-18,</w:t>
            </w:r>
            <w:r w:rsidR="007428EC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8%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904740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1 </w:t>
            </w:r>
            <w:r w:rsidR="007428EC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955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7428EC" w:rsidP="0090474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1</w:t>
            </w:r>
            <w:r w:rsidR="00904740"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 </w:t>
            </w: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585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1</w:t>
            </w:r>
            <w:r w:rsidR="00904740"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 </w:t>
            </w: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600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-355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904740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>-18,</w:t>
            </w:r>
            <w:r w:rsidR="007428EC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2%</w:t>
            </w:r>
          </w:p>
        </w:tc>
      </w:tr>
      <w:tr w:rsidR="007428EC" w:rsidRPr="00EE742D" w:rsidTr="007428EC">
        <w:trPr>
          <w:trHeight w:val="227"/>
        </w:trPr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428EC" w:rsidRPr="00EE742D" w:rsidRDefault="007428EC" w:rsidP="00D83B8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4. </w:t>
            </w:r>
            <w:r w:rsidR="00D83B8D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Instituciones Académicas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299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99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28EC" w:rsidRPr="00EE742D" w:rsidRDefault="00904740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>49,</w:t>
            </w:r>
            <w:r w:rsidR="007428EC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5%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200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293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300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904740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>50,</w:t>
            </w:r>
            <w:r w:rsidR="007428EC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0%</w:t>
            </w:r>
          </w:p>
        </w:tc>
      </w:tr>
      <w:tr w:rsidR="007428EC" w:rsidRPr="00EE742D" w:rsidTr="007428EC">
        <w:trPr>
          <w:trHeight w:val="227"/>
        </w:trPr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5. Conferenc</w:t>
            </w:r>
            <w:r w:rsidR="00D83B8D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ias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</w:tr>
      <w:tr w:rsidR="007428EC" w:rsidRPr="00EE742D" w:rsidTr="007428EC">
        <w:trPr>
          <w:trHeight w:val="227"/>
        </w:trPr>
        <w:tc>
          <w:tcPr>
            <w:tcW w:w="1073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Total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7428EC" w:rsidRPr="00EE742D" w:rsidRDefault="00904740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 xml:space="preserve">124 </w:t>
            </w:r>
            <w:r w:rsidR="007428EC"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401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7428EC" w:rsidRPr="00EE742D" w:rsidRDefault="007428EC" w:rsidP="0090474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122</w:t>
            </w:r>
            <w:r w:rsidR="00904740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 xml:space="preserve"> </w:t>
            </w: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891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-</w:t>
            </w:r>
            <w:r w:rsidR="00904740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 xml:space="preserve">1 </w:t>
            </w: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510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28EC" w:rsidRPr="00EE742D" w:rsidRDefault="00904740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-1,</w:t>
            </w:r>
            <w:r w:rsidR="007428EC"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2%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7428EC" w:rsidRPr="00EE742D" w:rsidRDefault="00904740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 xml:space="preserve">124 </w:t>
            </w:r>
            <w:r w:rsidR="007428EC"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401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7428EC" w:rsidRPr="00EE742D" w:rsidRDefault="00904740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 xml:space="preserve">122 </w:t>
            </w:r>
            <w:r w:rsidR="007428EC"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303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7428EC" w:rsidRPr="00EE742D" w:rsidRDefault="00904740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 xml:space="preserve">123 </w:t>
            </w:r>
            <w:r w:rsidR="007428EC"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192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7428EC" w:rsidRPr="00EE742D" w:rsidRDefault="00904740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 xml:space="preserve">-1 </w:t>
            </w:r>
            <w:r w:rsidR="007428EC"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209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28EC" w:rsidRPr="00EE742D" w:rsidRDefault="00904740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-1,</w:t>
            </w:r>
            <w:r w:rsidR="007428EC"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0%</w:t>
            </w:r>
          </w:p>
        </w:tc>
      </w:tr>
      <w:tr w:rsidR="007428EC" w:rsidRPr="00EE742D" w:rsidTr="007428EC">
        <w:trPr>
          <w:trHeight w:val="227"/>
        </w:trPr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8EC" w:rsidRPr="00EE742D" w:rsidRDefault="007428EC" w:rsidP="00D83B8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* </w:t>
            </w:r>
            <w:r w:rsidR="00534FE2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A</w:t>
            </w:r>
            <w:r w:rsidR="00D83B8D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l</w:t>
            </w:r>
            <w:r w:rsidR="00534FE2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 </w:t>
            </w:r>
            <w:r w:rsidR="00D83B8D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7 de febrero de 2017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28EC" w:rsidRPr="00EE742D" w:rsidRDefault="007428EC" w:rsidP="007428E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 </w:t>
            </w:r>
          </w:p>
        </w:tc>
      </w:tr>
    </w:tbl>
    <w:p w:rsidR="00DB318A" w:rsidRPr="00EE742D" w:rsidRDefault="00DB318A" w:rsidP="00FC1D89">
      <w:pPr>
        <w:spacing w:before="360"/>
      </w:pPr>
      <w:r w:rsidRPr="00EE742D">
        <w:t>3.3</w:t>
      </w:r>
      <w:r w:rsidRPr="00EE742D">
        <w:tab/>
        <w:t>El Importe de la unidad contributiva anual para 2016</w:t>
      </w:r>
      <w:r w:rsidR="00D83B8D" w:rsidRPr="00EE742D">
        <w:t xml:space="preserve"> y </w:t>
      </w:r>
      <w:r w:rsidRPr="00EE742D">
        <w:t xml:space="preserve">2017 se fija en 318 000 CHF. El número de unidades de los Estados Miembros al </w:t>
      </w:r>
      <w:r w:rsidR="000303B3" w:rsidRPr="00EE742D">
        <w:t>31</w:t>
      </w:r>
      <w:r w:rsidRPr="00EE742D">
        <w:t xml:space="preserve"> de </w:t>
      </w:r>
      <w:r w:rsidR="000303B3" w:rsidRPr="00EE742D">
        <w:t>diciem</w:t>
      </w:r>
      <w:r w:rsidRPr="00EE742D">
        <w:t>bre de 2016 era de 334 1/</w:t>
      </w:r>
      <w:r w:rsidR="000303B3" w:rsidRPr="00EE742D">
        <w:t>4</w:t>
      </w:r>
      <w:r w:rsidR="00FF62DC" w:rsidRPr="00EE742D">
        <w:t xml:space="preserve"> unidades</w:t>
      </w:r>
      <w:r w:rsidRPr="00EE742D">
        <w:t>.</w:t>
      </w:r>
    </w:p>
    <w:p w:rsidR="00DB318A" w:rsidRPr="00EE742D" w:rsidRDefault="00DB318A" w:rsidP="00883386">
      <w:r w:rsidRPr="00EE742D">
        <w:lastRenderedPageBreak/>
        <w:t>3.4</w:t>
      </w:r>
      <w:r w:rsidRPr="00EE742D">
        <w:tab/>
        <w:t xml:space="preserve">El importe de la unidad contributiva anual </w:t>
      </w:r>
      <w:r w:rsidR="00FF62DC" w:rsidRPr="00EE742D">
        <w:t xml:space="preserve">del bienio </w:t>
      </w:r>
      <w:r w:rsidRPr="00EE742D">
        <w:t>2016</w:t>
      </w:r>
      <w:r w:rsidR="00FF62DC" w:rsidRPr="00EE742D">
        <w:t>-2017</w:t>
      </w:r>
      <w:r w:rsidRPr="00EE742D">
        <w:t xml:space="preserve"> para los Miembros de Sector se fijó</w:t>
      </w:r>
      <w:r w:rsidR="0049278D" w:rsidRPr="00EE742D">
        <w:t xml:space="preserve"> en </w:t>
      </w:r>
      <w:r w:rsidRPr="00EE742D">
        <w:t>63 600 CHF, y en 10 600 CHF para los Asociados.</w:t>
      </w:r>
    </w:p>
    <w:p w:rsidR="00DB318A" w:rsidRPr="00EE742D" w:rsidRDefault="00DB318A" w:rsidP="00883386">
      <w:r w:rsidRPr="00EE742D">
        <w:t>3.5</w:t>
      </w:r>
      <w:r w:rsidRPr="00EE742D">
        <w:tab/>
        <w:t xml:space="preserve">Desde 2011, la aplicación de la Resolución 169 (Rev. </w:t>
      </w:r>
      <w:proofErr w:type="spellStart"/>
      <w:r w:rsidRPr="00EE742D">
        <w:t>Busán</w:t>
      </w:r>
      <w:proofErr w:type="spellEnd"/>
      <w:r w:rsidRPr="00EE742D">
        <w:t xml:space="preserve">, 2014) ha generado nuevas fuentes de ingresos procedentes de Instituciones Académicas, universidades y sus establecimientos de investigación asociados. Al </w:t>
      </w:r>
      <w:r w:rsidR="00FF62DC" w:rsidRPr="00EE742D">
        <w:t xml:space="preserve">31 </w:t>
      </w:r>
      <w:r w:rsidRPr="00EE742D">
        <w:t xml:space="preserve">de </w:t>
      </w:r>
      <w:r w:rsidR="00FF62DC" w:rsidRPr="00EE742D">
        <w:t xml:space="preserve">diciembre </w:t>
      </w:r>
      <w:r w:rsidRPr="00EE742D">
        <w:t xml:space="preserve">de 2016, </w:t>
      </w:r>
      <w:r w:rsidR="00FF62DC" w:rsidRPr="00EE742D">
        <w:t xml:space="preserve">había en </w:t>
      </w:r>
      <w:r w:rsidRPr="00EE742D">
        <w:t xml:space="preserve">total </w:t>
      </w:r>
      <w:r w:rsidR="00FF62DC" w:rsidRPr="00EE742D">
        <w:t xml:space="preserve">126 </w:t>
      </w:r>
      <w:r w:rsidRPr="00EE742D">
        <w:t xml:space="preserve">Instituciones Académicas </w:t>
      </w:r>
      <w:r w:rsidR="00FF62DC" w:rsidRPr="00EE742D">
        <w:t>activas</w:t>
      </w:r>
      <w:r w:rsidRPr="00EE742D">
        <w:t>.</w:t>
      </w:r>
    </w:p>
    <w:p w:rsidR="0017265B" w:rsidRPr="00EE742D" w:rsidRDefault="00DB318A" w:rsidP="00883386">
      <w:r w:rsidRPr="00EE742D">
        <w:t>3.6</w:t>
      </w:r>
      <w:r w:rsidRPr="00EE742D">
        <w:tab/>
        <w:t xml:space="preserve">Los ingresos </w:t>
      </w:r>
      <w:r w:rsidR="00FF62DC" w:rsidRPr="00EE742D">
        <w:t xml:space="preserve">en concepto de </w:t>
      </w:r>
      <w:r w:rsidRPr="00EE742D">
        <w:t>recuperación de costes representan el 21,5 % del total de los ingresos presupuestados</w:t>
      </w:r>
      <w:r w:rsidR="00FF62DC" w:rsidRPr="00EE742D">
        <w:t xml:space="preserve"> para 2016-2017</w:t>
      </w:r>
      <w:r w:rsidRPr="00EE742D">
        <w:t>. En el Cuadro 3 se facilita el desglose de los mismos.</w:t>
      </w:r>
    </w:p>
    <w:p w:rsidR="00FC1D89" w:rsidRDefault="00FC1D8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:rsidR="00DB318A" w:rsidRPr="00EE742D" w:rsidRDefault="00DB318A">
      <w:pPr>
        <w:pStyle w:val="Tabletitle"/>
        <w:spacing w:before="360"/>
      </w:pPr>
      <w:r w:rsidRPr="00EE742D">
        <w:lastRenderedPageBreak/>
        <w:t xml:space="preserve">Cuadro 3 – Ingresos </w:t>
      </w:r>
      <w:r w:rsidR="00FF62DC" w:rsidRPr="00EE742D">
        <w:t xml:space="preserve">en concepto de </w:t>
      </w:r>
      <w:r w:rsidRPr="00EE742D">
        <w:t>recuperación de costes</w:t>
      </w:r>
    </w:p>
    <w:p w:rsidR="000303B3" w:rsidRPr="00EE742D" w:rsidRDefault="000303B3" w:rsidP="000303B3">
      <w:pPr>
        <w:snapToGrid w:val="0"/>
        <w:ind w:left="7200" w:firstLine="720"/>
        <w:jc w:val="center"/>
        <w:rPr>
          <w:rFonts w:cs="Calibri"/>
          <w:b/>
          <w:bCs/>
          <w:highlight w:val="cyan"/>
        </w:rPr>
      </w:pPr>
      <w:r w:rsidRPr="00EE742D">
        <w:rPr>
          <w:rFonts w:cs="Arial"/>
          <w:i/>
          <w:iCs/>
          <w:sz w:val="14"/>
          <w:szCs w:val="14"/>
        </w:rPr>
        <w:t>Miles de francos suizos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81"/>
        <w:gridCol w:w="798"/>
        <w:gridCol w:w="798"/>
        <w:gridCol w:w="771"/>
        <w:gridCol w:w="798"/>
        <w:gridCol w:w="283"/>
        <w:gridCol w:w="827"/>
        <w:gridCol w:w="927"/>
        <w:gridCol w:w="798"/>
        <w:gridCol w:w="773"/>
        <w:gridCol w:w="785"/>
      </w:tblGrid>
      <w:tr w:rsidR="00FF62DC" w:rsidRPr="00EE742D" w:rsidTr="00FF62DC">
        <w:trPr>
          <w:trHeight w:val="227"/>
        </w:trPr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1642" w:type="pct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2016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2132" w:type="pct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2017</w:t>
            </w:r>
          </w:p>
        </w:tc>
      </w:tr>
      <w:tr w:rsidR="00147874" w:rsidRPr="00EE742D" w:rsidTr="00FF62DC">
        <w:trPr>
          <w:trHeight w:val="227"/>
        </w:trPr>
        <w:tc>
          <w:tcPr>
            <w:tcW w:w="1079" w:type="pct"/>
            <w:vMerge w:val="restart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CE6F1"/>
            <w:vAlign w:val="center"/>
            <w:hideMark/>
          </w:tcPr>
          <w:p w:rsidR="00147874" w:rsidRPr="00EE742D" w:rsidRDefault="00147874" w:rsidP="0014787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Recuperación de costes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147874" w:rsidRPr="00EE742D" w:rsidRDefault="00147874" w:rsidP="0014787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b/>
                <w:bCs/>
                <w:sz w:val="12"/>
                <w:szCs w:val="12"/>
              </w:rPr>
              <w:t>Presupuesto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147874" w:rsidRPr="00EE742D" w:rsidRDefault="00147874" w:rsidP="0014787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cs="Arial"/>
                <w:b/>
                <w:bCs/>
                <w:sz w:val="14"/>
                <w:szCs w:val="14"/>
              </w:rPr>
              <w:t>Real al</w:t>
            </w:r>
            <w:r w:rsidRPr="00EE742D">
              <w:rPr>
                <w:b/>
                <w:bCs/>
                <w:sz w:val="14"/>
                <w:szCs w:val="14"/>
              </w:rPr>
              <w:t xml:space="preserve"> </w:t>
            </w:r>
            <w:r w:rsidRPr="00EE742D">
              <w:rPr>
                <w:rFonts w:cs="Arial"/>
                <w:b/>
                <w:bCs/>
                <w:sz w:val="14"/>
                <w:szCs w:val="14"/>
              </w:rPr>
              <w:t>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147874" w:rsidRPr="00EE742D" w:rsidRDefault="00147874" w:rsidP="0014787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cs="Arial"/>
                <w:b/>
                <w:bCs/>
                <w:sz w:val="14"/>
                <w:szCs w:val="14"/>
              </w:rPr>
              <w:t>Variación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147874" w:rsidRPr="00EE742D" w:rsidRDefault="00147874" w:rsidP="0014787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%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7874" w:rsidRPr="00EE742D" w:rsidRDefault="00147874" w:rsidP="0014787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147874" w:rsidRPr="00EE742D" w:rsidRDefault="00147874" w:rsidP="0014787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b/>
                <w:bCs/>
                <w:sz w:val="12"/>
                <w:szCs w:val="12"/>
              </w:rPr>
              <w:t>Presupuesto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147874" w:rsidRPr="00EE742D" w:rsidRDefault="00147874" w:rsidP="0014787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cs="Arial"/>
                <w:b/>
                <w:bCs/>
                <w:sz w:val="14"/>
                <w:szCs w:val="14"/>
              </w:rPr>
              <w:t>Real al</w:t>
            </w:r>
            <w:r w:rsidRPr="00EE742D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147874" w:rsidRPr="00EE742D" w:rsidRDefault="00147874" w:rsidP="0014787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cs="Arial"/>
                <w:b/>
                <w:bCs/>
                <w:sz w:val="14"/>
                <w:szCs w:val="14"/>
              </w:rPr>
              <w:t>Previsión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147874" w:rsidRPr="00EE742D" w:rsidRDefault="00147874" w:rsidP="0014787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cs="Arial"/>
                <w:b/>
                <w:bCs/>
                <w:sz w:val="14"/>
                <w:szCs w:val="14"/>
              </w:rPr>
              <w:t xml:space="preserve">Variación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147874" w:rsidRPr="00EE742D" w:rsidRDefault="00147874" w:rsidP="0014787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%</w:t>
            </w:r>
          </w:p>
        </w:tc>
      </w:tr>
      <w:tr w:rsidR="00FF62DC" w:rsidRPr="00EE742D" w:rsidTr="00FF62DC">
        <w:trPr>
          <w:trHeight w:val="227"/>
        </w:trPr>
        <w:tc>
          <w:tcPr>
            <w:tcW w:w="1079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2016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2016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2016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2016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2017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07.02.2017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2017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2017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2017</w:t>
            </w:r>
          </w:p>
        </w:tc>
      </w:tr>
      <w:tr w:rsidR="00FF62DC" w:rsidRPr="00EE742D" w:rsidTr="00FF62DC">
        <w:trPr>
          <w:trHeight w:val="227"/>
        </w:trPr>
        <w:tc>
          <w:tcPr>
            <w:tcW w:w="1079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414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a</w:t>
            </w:r>
          </w:p>
        </w:tc>
        <w:tc>
          <w:tcPr>
            <w:tcW w:w="414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c = b - 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d = c / a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2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e</w:t>
            </w:r>
          </w:p>
        </w:tc>
        <w:tc>
          <w:tcPr>
            <w:tcW w:w="481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f</w:t>
            </w:r>
          </w:p>
        </w:tc>
        <w:tc>
          <w:tcPr>
            <w:tcW w:w="414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g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h = g - e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i = h / e</w:t>
            </w:r>
          </w:p>
        </w:tc>
      </w:tr>
      <w:tr w:rsidR="00FF62DC" w:rsidRPr="00EE742D" w:rsidTr="00FF62DC">
        <w:trPr>
          <w:trHeight w:val="227"/>
        </w:trPr>
        <w:tc>
          <w:tcPr>
            <w:tcW w:w="1079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cs="Arial"/>
                <w:sz w:val="14"/>
                <w:szCs w:val="14"/>
              </w:rPr>
              <w:t xml:space="preserve">1. </w:t>
            </w:r>
            <w:r w:rsidRPr="00EE742D">
              <w:rPr>
                <w:sz w:val="14"/>
                <w:szCs w:val="14"/>
              </w:rPr>
              <w:t>Soporte del proyecto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C1D89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1 </w:t>
            </w:r>
            <w:r w:rsidR="00FF62DC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375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400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-975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62DC" w:rsidRPr="00EE742D" w:rsidRDefault="00FC1D89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>-70,</w:t>
            </w:r>
            <w:r w:rsidR="00FF62DC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9%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C1D89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1 </w:t>
            </w:r>
            <w:r w:rsidR="00FF62DC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375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600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-775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C1D89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>-56,</w:t>
            </w:r>
            <w:r w:rsidR="00FF62DC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4%</w:t>
            </w:r>
          </w:p>
        </w:tc>
      </w:tr>
      <w:tr w:rsidR="00FF62DC" w:rsidRPr="00EE742D" w:rsidTr="00FF62DC">
        <w:trPr>
          <w:trHeight w:val="227"/>
        </w:trPr>
        <w:tc>
          <w:tcPr>
            <w:tcW w:w="1079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cs="Arial"/>
                <w:sz w:val="14"/>
                <w:szCs w:val="14"/>
              </w:rPr>
              <w:t xml:space="preserve">2. </w:t>
            </w:r>
            <w:r w:rsidRPr="00EE742D">
              <w:rPr>
                <w:sz w:val="14"/>
                <w:szCs w:val="14"/>
              </w:rPr>
              <w:t>Venta de publicaciones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C1D89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18 </w:t>
            </w:r>
            <w:r w:rsidR="00FF62DC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500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C1D89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18 </w:t>
            </w:r>
            <w:r w:rsidR="00FF62DC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995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495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62DC" w:rsidRPr="00EE742D" w:rsidRDefault="00FC1D89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>2,</w:t>
            </w:r>
            <w:r w:rsidR="00FF62DC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7%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C1D89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18 </w:t>
            </w:r>
            <w:r w:rsidR="00FF62DC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500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C1D89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2 </w:t>
            </w:r>
            <w:r w:rsidR="00FF62DC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187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C1D89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18 </w:t>
            </w:r>
            <w:r w:rsidR="00FF62DC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500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C1D89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>0,</w:t>
            </w:r>
            <w:r w:rsidR="00FF62DC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0%</w:t>
            </w:r>
          </w:p>
        </w:tc>
      </w:tr>
      <w:tr w:rsidR="00FF62DC" w:rsidRPr="00EE742D" w:rsidTr="00FF62DC">
        <w:trPr>
          <w:trHeight w:val="227"/>
        </w:trPr>
        <w:tc>
          <w:tcPr>
            <w:tcW w:w="1079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cs="Arial"/>
                <w:sz w:val="14"/>
                <w:szCs w:val="14"/>
              </w:rPr>
              <w:t>3. UIFN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250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118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-132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62DC" w:rsidRPr="00EE742D" w:rsidRDefault="00FC1D89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>-52,</w:t>
            </w:r>
            <w:r w:rsidR="00FF62DC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8%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250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250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C1D89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>0,</w:t>
            </w:r>
            <w:r w:rsidR="00FF62DC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0%</w:t>
            </w:r>
          </w:p>
        </w:tc>
      </w:tr>
      <w:tr w:rsidR="00FF62DC" w:rsidRPr="00EE742D" w:rsidTr="00FF62DC">
        <w:trPr>
          <w:trHeight w:val="227"/>
        </w:trPr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cs="Arial"/>
                <w:sz w:val="14"/>
                <w:szCs w:val="14"/>
              </w:rPr>
              <w:t>4. TELECOM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C1D89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1 </w:t>
            </w:r>
            <w:r w:rsidR="00FF62DC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500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C1D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1</w:t>
            </w:r>
            <w:r w:rsidR="00FC1D89"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 </w:t>
            </w: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500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62DC" w:rsidRPr="00EE742D" w:rsidRDefault="00FF62DC" w:rsidP="00FC1D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0</w:t>
            </w:r>
            <w:r w:rsidR="00FC1D89">
              <w:rPr>
                <w:rFonts w:asciiTheme="minorHAnsi" w:hAnsiTheme="minorHAnsi" w:cs="Arial"/>
                <w:sz w:val="14"/>
                <w:szCs w:val="14"/>
                <w:lang w:eastAsia="zh-CN"/>
              </w:rPr>
              <w:t>,</w:t>
            </w: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0%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C1D89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1 </w:t>
            </w:r>
            <w:r w:rsidR="00FF62DC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500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C1D89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1 </w:t>
            </w:r>
            <w:r w:rsidR="00FF62DC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500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C1D89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>0,</w:t>
            </w:r>
            <w:r w:rsidR="00FF62DC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0%</w:t>
            </w:r>
          </w:p>
        </w:tc>
      </w:tr>
      <w:tr w:rsidR="00FF62DC" w:rsidRPr="00EE742D" w:rsidTr="00FF62DC">
        <w:trPr>
          <w:trHeight w:val="227"/>
        </w:trPr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cs="Arial"/>
                <w:sz w:val="14"/>
                <w:szCs w:val="14"/>
              </w:rPr>
              <w:t xml:space="preserve">5. </w:t>
            </w:r>
            <w:r w:rsidRPr="00EE742D">
              <w:rPr>
                <w:sz w:val="14"/>
                <w:szCs w:val="14"/>
              </w:rPr>
              <w:t>Notificaciones de redes de satélites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C1D89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13 </w:t>
            </w:r>
            <w:r w:rsidR="00FF62DC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C1D89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13 </w:t>
            </w:r>
            <w:r w:rsidR="00FF62DC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231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231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62DC" w:rsidRPr="00EE742D" w:rsidRDefault="00FC1D89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>1,</w:t>
            </w:r>
            <w:r w:rsidR="00FF62DC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8%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C1D89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13 </w:t>
            </w:r>
            <w:r w:rsidR="00FF62DC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000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523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C1D89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 xml:space="preserve">13 </w:t>
            </w:r>
            <w:r w:rsidR="00FF62DC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500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500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C1D89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zh-CN"/>
              </w:rPr>
              <w:t>3,</w:t>
            </w:r>
            <w:r w:rsidR="00FF62DC"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8%</w:t>
            </w:r>
          </w:p>
        </w:tc>
      </w:tr>
      <w:tr w:rsidR="00FF62DC" w:rsidRPr="00EE742D" w:rsidTr="00FF62DC">
        <w:trPr>
          <w:trHeight w:val="227"/>
        </w:trPr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cs="Arial"/>
                <w:sz w:val="14"/>
                <w:szCs w:val="14"/>
              </w:rPr>
              <w:t xml:space="preserve">6. </w:t>
            </w:r>
            <w:r w:rsidRPr="00EE742D">
              <w:rPr>
                <w:sz w:val="14"/>
                <w:szCs w:val="14"/>
              </w:rPr>
              <w:t>Otros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138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138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</w:tr>
      <w:tr w:rsidR="00FF62DC" w:rsidRPr="00EE742D" w:rsidTr="00FF62DC">
        <w:trPr>
          <w:trHeight w:val="227"/>
        </w:trPr>
        <w:tc>
          <w:tcPr>
            <w:tcW w:w="1079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Total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FF62DC" w:rsidRPr="00EE742D" w:rsidRDefault="00656D38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 xml:space="preserve">34 </w:t>
            </w:r>
            <w:r w:rsidR="00FF62DC"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625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FF62DC" w:rsidRPr="00EE742D" w:rsidRDefault="00FF62DC" w:rsidP="00656D3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34</w:t>
            </w:r>
            <w:r w:rsidR="00656D38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 xml:space="preserve"> </w:t>
            </w: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382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-243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FF62DC" w:rsidRPr="00EE742D" w:rsidRDefault="00FF62DC" w:rsidP="00FC1D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-0</w:t>
            </w:r>
            <w:r w:rsidR="00FC1D89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,</w:t>
            </w: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7%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FF62DC" w:rsidRPr="00EE742D" w:rsidRDefault="00FC1D89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 xml:space="preserve">34 </w:t>
            </w:r>
            <w:r w:rsidR="00FF62DC"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625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FF62DC" w:rsidRPr="00EE742D" w:rsidRDefault="00FC1D89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 xml:space="preserve">2 </w:t>
            </w:r>
            <w:r w:rsidR="00FF62DC"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710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FF62DC" w:rsidRPr="00EE742D" w:rsidRDefault="00FC1D89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34</w:t>
            </w:r>
            <w:r w:rsidR="00CB1229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 xml:space="preserve"> </w:t>
            </w:r>
            <w:r w:rsidR="00FF62DC"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350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-275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FF62DC" w:rsidRPr="00EE742D" w:rsidRDefault="00FC1D89" w:rsidP="00656D3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-0</w:t>
            </w:r>
            <w:r w:rsidR="00656D38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,</w:t>
            </w:r>
            <w:r w:rsidR="00FF62DC" w:rsidRPr="00EE742D">
              <w:rPr>
                <w:rFonts w:asciiTheme="minorHAnsi" w:hAnsiTheme="minorHAnsi" w:cs="Arial"/>
                <w:b/>
                <w:bCs/>
                <w:sz w:val="14"/>
                <w:szCs w:val="14"/>
                <w:lang w:eastAsia="zh-CN"/>
              </w:rPr>
              <w:t>8%</w:t>
            </w:r>
          </w:p>
        </w:tc>
      </w:tr>
      <w:tr w:rsidR="00FF62DC" w:rsidRPr="00EE742D" w:rsidTr="00FF62DC">
        <w:trPr>
          <w:trHeight w:val="227"/>
        </w:trPr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* Al 7 de febrero de 2017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2DC" w:rsidRPr="00EE742D" w:rsidRDefault="00FF62DC" w:rsidP="00FF62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eastAsia="zh-CN"/>
              </w:rPr>
            </w:pPr>
            <w:r w:rsidRPr="00EE742D">
              <w:rPr>
                <w:rFonts w:asciiTheme="minorHAnsi" w:hAnsiTheme="minorHAnsi" w:cs="Arial"/>
                <w:sz w:val="14"/>
                <w:szCs w:val="14"/>
                <w:lang w:eastAsia="zh-CN"/>
              </w:rPr>
              <w:t> </w:t>
            </w:r>
          </w:p>
        </w:tc>
      </w:tr>
    </w:tbl>
    <w:p w:rsidR="00DB318A" w:rsidRPr="00EE742D" w:rsidRDefault="00DB318A">
      <w:pPr>
        <w:pStyle w:val="Heading1"/>
      </w:pPr>
      <w:r w:rsidRPr="00EE742D">
        <w:t>4</w:t>
      </w:r>
      <w:r w:rsidRPr="00EE742D">
        <w:tab/>
        <w:t>Gastos</w:t>
      </w:r>
    </w:p>
    <w:p w:rsidR="00DB318A" w:rsidRPr="00EE742D" w:rsidRDefault="00DB318A" w:rsidP="00883386">
      <w:r w:rsidRPr="00EE742D">
        <w:t>4.1</w:t>
      </w:r>
      <w:r w:rsidRPr="00EE742D">
        <w:tab/>
        <w:t>En lo que respecta a los gastos, se están aplicando continuamente medidas y esfuerzos para incrementar la eficiencia, con arreglo a lo dispuesto en la Resolución 1375. El objetivo es mantener los gastos dentro de lo presupuestado.</w:t>
      </w:r>
    </w:p>
    <w:p w:rsidR="00DB318A" w:rsidRPr="00EE742D" w:rsidRDefault="00DB318A">
      <w:pPr>
        <w:pStyle w:val="Heading1"/>
      </w:pPr>
      <w:r w:rsidRPr="00EE742D">
        <w:t>5</w:t>
      </w:r>
      <w:r w:rsidRPr="00EE742D">
        <w:tab/>
        <w:t>Cuenta de Provisión</w:t>
      </w:r>
    </w:p>
    <w:p w:rsidR="00DB318A" w:rsidRPr="00EE742D" w:rsidRDefault="00DB318A" w:rsidP="00883386">
      <w:r w:rsidRPr="00EE742D">
        <w:t>5.1</w:t>
      </w:r>
      <w:r w:rsidRPr="00EE742D">
        <w:tab/>
      </w:r>
      <w:r w:rsidR="004B1557" w:rsidRPr="00EE742D">
        <w:t>El Consejo encargó al Secretario General en la Resolución 1375 que detrajera 1 millón CHF de la Cuenta de Provisión el 1 de enero de 2016, para pasarlo al fondo ASHI a fin de responder al pasivo a largo plazo no financiado.</w:t>
      </w:r>
    </w:p>
    <w:p w:rsidR="00785567" w:rsidRPr="00EE742D" w:rsidRDefault="00785567" w:rsidP="00883386">
      <w:r w:rsidRPr="00EE742D">
        <w:t>5.2</w:t>
      </w:r>
      <w:r w:rsidRPr="00EE742D">
        <w:tab/>
      </w:r>
      <w:r w:rsidR="00B50F35" w:rsidRPr="00EE742D">
        <w:t xml:space="preserve">Al 31 de diciembre de 2015, el saldo de la Cuenta de Provisión era de 27,5 millones CHF. El resultado del ejercicio 2016 </w:t>
      </w:r>
      <w:r w:rsidR="00B523AA" w:rsidRPr="00EE742D">
        <w:t>se indicará</w:t>
      </w:r>
      <w:r w:rsidR="00B50F35" w:rsidRPr="00EE742D">
        <w:t xml:space="preserve"> después del cierre.</w:t>
      </w:r>
    </w:p>
    <w:p w:rsidR="00BF7A55" w:rsidRPr="00EE742D" w:rsidRDefault="00BF7A55" w:rsidP="00562D74">
      <w:pPr>
        <w:pStyle w:val="Reasons"/>
      </w:pPr>
    </w:p>
    <w:p w:rsidR="00BF7A55" w:rsidRPr="00EE742D" w:rsidRDefault="00BF7A55">
      <w:pPr>
        <w:jc w:val="center"/>
      </w:pPr>
      <w:r w:rsidRPr="00EE742D">
        <w:t>______________</w:t>
      </w:r>
    </w:p>
    <w:sectPr w:rsidR="00BF7A55" w:rsidRPr="00EE742D" w:rsidSect="006710F6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740" w:rsidRDefault="00904740">
      <w:r>
        <w:separator/>
      </w:r>
    </w:p>
  </w:endnote>
  <w:endnote w:type="continuationSeparator" w:id="0">
    <w:p w:rsidR="00904740" w:rsidRDefault="0090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740" w:rsidRPr="00313D1C" w:rsidRDefault="005E6814" w:rsidP="005E6814">
    <w:pPr>
      <w:pStyle w:val="Footer"/>
      <w:rPr>
        <w:color w:val="D9D9D9" w:themeColor="background1" w:themeShade="D9"/>
        <w:lang w:val="fr-CH"/>
      </w:rPr>
    </w:pPr>
    <w:r w:rsidRPr="00313D1C">
      <w:rPr>
        <w:color w:val="D9D9D9" w:themeColor="background1" w:themeShade="D9"/>
      </w:rPr>
      <w:fldChar w:fldCharType="begin"/>
    </w:r>
    <w:r w:rsidRPr="00313D1C">
      <w:rPr>
        <w:color w:val="D9D9D9" w:themeColor="background1" w:themeShade="D9"/>
        <w:lang w:val="fr-CH"/>
      </w:rPr>
      <w:instrText xml:space="preserve"> FILENAME \p  \* MERGEFORMAT </w:instrText>
    </w:r>
    <w:r w:rsidRPr="00313D1C">
      <w:rPr>
        <w:color w:val="D9D9D9" w:themeColor="background1" w:themeShade="D9"/>
      </w:rPr>
      <w:fldChar w:fldCharType="separate"/>
    </w:r>
    <w:r w:rsidR="0029475F" w:rsidRPr="00313D1C">
      <w:rPr>
        <w:color w:val="D9D9D9" w:themeColor="background1" w:themeShade="D9"/>
        <w:lang w:val="fr-CH"/>
      </w:rPr>
      <w:t>P:\ESP\SG\CONSEIL\C17\000\009S.docx</w:t>
    </w:r>
    <w:r w:rsidRPr="00313D1C">
      <w:rPr>
        <w:color w:val="D9D9D9" w:themeColor="background1" w:themeShade="D9"/>
      </w:rPr>
      <w:fldChar w:fldCharType="end"/>
    </w:r>
    <w:r w:rsidRPr="00313D1C">
      <w:rPr>
        <w:color w:val="D9D9D9" w:themeColor="background1" w:themeShade="D9"/>
        <w:lang w:val="fr-CH"/>
      </w:rPr>
      <w:t xml:space="preserve"> (407285)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740" w:rsidRPr="005E6814" w:rsidRDefault="005E6814" w:rsidP="005E6814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740" w:rsidRDefault="00904740">
      <w:r>
        <w:t>____________________</w:t>
      </w:r>
    </w:p>
  </w:footnote>
  <w:footnote w:type="continuationSeparator" w:id="0">
    <w:p w:rsidR="00904740" w:rsidRDefault="00904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740" w:rsidRDefault="00904740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313D1C">
      <w:rPr>
        <w:noProof/>
      </w:rPr>
      <w:t>4</w:t>
    </w:r>
    <w:r>
      <w:rPr>
        <w:noProof/>
      </w:rPr>
      <w:fldChar w:fldCharType="end"/>
    </w:r>
  </w:p>
  <w:p w:rsidR="00904740" w:rsidRDefault="00904740" w:rsidP="008C196E">
    <w:pPr>
      <w:pStyle w:val="Header"/>
    </w:pPr>
    <w:r>
      <w:t>C17/9-S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9613A"/>
    <w:multiLevelType w:val="hybridMultilevel"/>
    <w:tmpl w:val="E59C3EF8"/>
    <w:lvl w:ilvl="0" w:tplc="FABC8DC2">
      <w:start w:val="1"/>
      <w:numFmt w:val="decimal"/>
      <w:lvlText w:val="Table %1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8A"/>
    <w:rsid w:val="000213BE"/>
    <w:rsid w:val="000303B3"/>
    <w:rsid w:val="000721FB"/>
    <w:rsid w:val="000B0D00"/>
    <w:rsid w:val="000B6C07"/>
    <w:rsid w:val="000B7C15"/>
    <w:rsid w:val="000D1D0F"/>
    <w:rsid w:val="000E0D24"/>
    <w:rsid w:val="000F5290"/>
    <w:rsid w:val="0010165C"/>
    <w:rsid w:val="001038DE"/>
    <w:rsid w:val="00146BFB"/>
    <w:rsid w:val="00147874"/>
    <w:rsid w:val="00151A49"/>
    <w:rsid w:val="00153D57"/>
    <w:rsid w:val="00165F19"/>
    <w:rsid w:val="00170846"/>
    <w:rsid w:val="0017265B"/>
    <w:rsid w:val="00194EB9"/>
    <w:rsid w:val="001B3CCB"/>
    <w:rsid w:val="001C681C"/>
    <w:rsid w:val="001C785C"/>
    <w:rsid w:val="001F14A2"/>
    <w:rsid w:val="0026777B"/>
    <w:rsid w:val="00277655"/>
    <w:rsid w:val="002801AA"/>
    <w:rsid w:val="00284D4F"/>
    <w:rsid w:val="0029475F"/>
    <w:rsid w:val="002C4676"/>
    <w:rsid w:val="002C70B0"/>
    <w:rsid w:val="002D1D11"/>
    <w:rsid w:val="002E420A"/>
    <w:rsid w:val="002F3CC4"/>
    <w:rsid w:val="00313D1C"/>
    <w:rsid w:val="00326B20"/>
    <w:rsid w:val="003A1744"/>
    <w:rsid w:val="003B7450"/>
    <w:rsid w:val="003D6036"/>
    <w:rsid w:val="003F180C"/>
    <w:rsid w:val="00410C0D"/>
    <w:rsid w:val="00430D8D"/>
    <w:rsid w:val="004407CE"/>
    <w:rsid w:val="004457D4"/>
    <w:rsid w:val="0049278D"/>
    <w:rsid w:val="004B0367"/>
    <w:rsid w:val="004B1557"/>
    <w:rsid w:val="004E4B2B"/>
    <w:rsid w:val="004F39CE"/>
    <w:rsid w:val="005064A6"/>
    <w:rsid w:val="00513630"/>
    <w:rsid w:val="00525F2F"/>
    <w:rsid w:val="005313E4"/>
    <w:rsid w:val="00534FE2"/>
    <w:rsid w:val="0055357C"/>
    <w:rsid w:val="00560125"/>
    <w:rsid w:val="00562D74"/>
    <w:rsid w:val="00565BAD"/>
    <w:rsid w:val="00575310"/>
    <w:rsid w:val="00584449"/>
    <w:rsid w:val="00585553"/>
    <w:rsid w:val="005B1B6B"/>
    <w:rsid w:val="005B34D9"/>
    <w:rsid w:val="005D0CCF"/>
    <w:rsid w:val="005E6814"/>
    <w:rsid w:val="005F345D"/>
    <w:rsid w:val="005F410F"/>
    <w:rsid w:val="0060149A"/>
    <w:rsid w:val="00601924"/>
    <w:rsid w:val="006447EA"/>
    <w:rsid w:val="0064731F"/>
    <w:rsid w:val="00656D38"/>
    <w:rsid w:val="00662E96"/>
    <w:rsid w:val="00667905"/>
    <w:rsid w:val="006710F6"/>
    <w:rsid w:val="006A77BF"/>
    <w:rsid w:val="006B5247"/>
    <w:rsid w:val="006C1B56"/>
    <w:rsid w:val="006D4761"/>
    <w:rsid w:val="006E367B"/>
    <w:rsid w:val="006E6669"/>
    <w:rsid w:val="00726872"/>
    <w:rsid w:val="007428EC"/>
    <w:rsid w:val="00760F1C"/>
    <w:rsid w:val="007657F0"/>
    <w:rsid w:val="00775469"/>
    <w:rsid w:val="00785567"/>
    <w:rsid w:val="007D310C"/>
    <w:rsid w:val="007E5DD3"/>
    <w:rsid w:val="007F350B"/>
    <w:rsid w:val="00810FD8"/>
    <w:rsid w:val="00820BE4"/>
    <w:rsid w:val="00821CD8"/>
    <w:rsid w:val="00830751"/>
    <w:rsid w:val="008451E8"/>
    <w:rsid w:val="0085177F"/>
    <w:rsid w:val="00883386"/>
    <w:rsid w:val="00894101"/>
    <w:rsid w:val="008A3BFF"/>
    <w:rsid w:val="008C196E"/>
    <w:rsid w:val="008C662C"/>
    <w:rsid w:val="008E6942"/>
    <w:rsid w:val="008E7DDC"/>
    <w:rsid w:val="00904740"/>
    <w:rsid w:val="0091034C"/>
    <w:rsid w:val="00910B04"/>
    <w:rsid w:val="00913B9C"/>
    <w:rsid w:val="00913FEB"/>
    <w:rsid w:val="00956E77"/>
    <w:rsid w:val="009631F0"/>
    <w:rsid w:val="009C0A1B"/>
    <w:rsid w:val="009E57E5"/>
    <w:rsid w:val="00A37985"/>
    <w:rsid w:val="00A825FE"/>
    <w:rsid w:val="00AA390C"/>
    <w:rsid w:val="00AC4DE4"/>
    <w:rsid w:val="00AD4A34"/>
    <w:rsid w:val="00AD608A"/>
    <w:rsid w:val="00B0200A"/>
    <w:rsid w:val="00B206D4"/>
    <w:rsid w:val="00B47CAA"/>
    <w:rsid w:val="00B50F35"/>
    <w:rsid w:val="00B523AA"/>
    <w:rsid w:val="00B574DB"/>
    <w:rsid w:val="00B826C2"/>
    <w:rsid w:val="00B8298E"/>
    <w:rsid w:val="00BB4916"/>
    <w:rsid w:val="00BC4D0F"/>
    <w:rsid w:val="00BD0723"/>
    <w:rsid w:val="00BD2518"/>
    <w:rsid w:val="00BF1D1C"/>
    <w:rsid w:val="00BF7A55"/>
    <w:rsid w:val="00C00948"/>
    <w:rsid w:val="00C20C59"/>
    <w:rsid w:val="00C37F93"/>
    <w:rsid w:val="00C521AE"/>
    <w:rsid w:val="00C55B1F"/>
    <w:rsid w:val="00C946C2"/>
    <w:rsid w:val="00CA2602"/>
    <w:rsid w:val="00CB1229"/>
    <w:rsid w:val="00CF1A67"/>
    <w:rsid w:val="00D2750E"/>
    <w:rsid w:val="00D321ED"/>
    <w:rsid w:val="00D52DB1"/>
    <w:rsid w:val="00D62446"/>
    <w:rsid w:val="00D83B8D"/>
    <w:rsid w:val="00D91396"/>
    <w:rsid w:val="00DA4EA2"/>
    <w:rsid w:val="00DB318A"/>
    <w:rsid w:val="00DC3D3E"/>
    <w:rsid w:val="00DE2C90"/>
    <w:rsid w:val="00DE3B24"/>
    <w:rsid w:val="00E006A0"/>
    <w:rsid w:val="00E06947"/>
    <w:rsid w:val="00E3592D"/>
    <w:rsid w:val="00E569BE"/>
    <w:rsid w:val="00E874C2"/>
    <w:rsid w:val="00E92DE8"/>
    <w:rsid w:val="00EA0F09"/>
    <w:rsid w:val="00EB1212"/>
    <w:rsid w:val="00ED5C36"/>
    <w:rsid w:val="00ED65AB"/>
    <w:rsid w:val="00EE742D"/>
    <w:rsid w:val="00F12850"/>
    <w:rsid w:val="00F33BF4"/>
    <w:rsid w:val="00F52204"/>
    <w:rsid w:val="00F60116"/>
    <w:rsid w:val="00F7105E"/>
    <w:rsid w:val="00F75F57"/>
    <w:rsid w:val="00F82FEE"/>
    <w:rsid w:val="00F968F5"/>
    <w:rsid w:val="00FC1D89"/>
    <w:rsid w:val="00FC5D54"/>
    <w:rsid w:val="00FF11BD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92ED4DCD-49F7-4F37-90E0-45794E3F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DB318A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Heading1Char">
    <w:name w:val="Heading 1 Char"/>
    <w:basedOn w:val="DefaultParagraphFont"/>
    <w:link w:val="Heading1"/>
    <w:rsid w:val="00DB318A"/>
    <w:rPr>
      <w:rFonts w:ascii="Calibri" w:hAnsi="Calibri"/>
      <w:b/>
      <w:sz w:val="28"/>
      <w:lang w:val="es-ES_tradnl" w:eastAsia="en-US"/>
    </w:rPr>
  </w:style>
  <w:style w:type="table" w:styleId="TableGrid">
    <w:name w:val="Table Grid"/>
    <w:basedOn w:val="TableNormal"/>
    <w:rsid w:val="00DB31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1B3CC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B3CCB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council/Basic-Texts/convention-s.doc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7-CL-C-0045/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S15-CL-C-0117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council/Basic-Texts/convention-s.doc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PS_C17.dotm</Template>
  <TotalTime>1</TotalTime>
  <Pages>4</Pages>
  <Words>1539</Words>
  <Characters>7376</Characters>
  <Application>Microsoft Office Word</Application>
  <DocSecurity>4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EXAMEN ANUAL DE INGRESOS Y GASTOS</vt:lpstr>
    </vt:vector>
  </TitlesOfParts>
  <Manager>Secretaría General - Pool</Manager>
  <Company>Unión Internacional de Telecomunicaciones (UIT)</Company>
  <LinksUpToDate>false</LinksUpToDate>
  <CharactersWithSpaces>8898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ANUAL DE INGRESOS Y GASTOS</dc:title>
  <dc:subject>Consejo 2017</dc:subject>
  <dc:creator>Informe del Secretario General</dc:creator>
  <cp:keywords>C2017, C17</cp:keywords>
  <dc:description>Documento C17/9-S  Para: Punto del orden del día: ADM 1_x000d_Fecha del documento: 21 de febrero de 2017_x000d_Registrado por ITU51007828 a 14:44:15 el 21/03/2017</dc:description>
  <cp:lastModifiedBy>Brouard, Ricarda</cp:lastModifiedBy>
  <cp:revision>2</cp:revision>
  <cp:lastPrinted>2017-03-21T11:06:00Z</cp:lastPrinted>
  <dcterms:created xsi:type="dcterms:W3CDTF">2017-03-21T14:59:00Z</dcterms:created>
  <dcterms:modified xsi:type="dcterms:W3CDTF">2017-03-21T14:59:00Z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C17/9-S</vt:lpwstr>
  </property>
  <property fmtid="{D5CDD505-2E9C-101B-9397-08002B2CF9AE}" pid="3" name="Docdate">
    <vt:lpwstr>21 de febrero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 UNIÓN INTERNACIONAL DE TELECOMUNICACIONES</vt:lpwstr>
  </property>
  <property fmtid="{D5CDD505-2E9C-101B-9397-08002B2CF9AE}" pid="6" name="Docdest">
    <vt:lpwstr>Punto del orden del día: ADM 1</vt:lpwstr>
  </property>
  <property fmtid="{D5CDD505-2E9C-101B-9397-08002B2CF9AE}" pid="7" name="Docauthor">
    <vt:lpwstr>Informe del Secretario General</vt:lpwstr>
  </property>
</Properties>
</file>