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9B46A9" w:rsidRPr="00A83750">
        <w:trPr>
          <w:cantSplit/>
        </w:trPr>
        <w:tc>
          <w:tcPr>
            <w:tcW w:w="6912" w:type="dxa"/>
          </w:tcPr>
          <w:p w:rsidR="009B46A9" w:rsidRDefault="009B46A9" w:rsidP="009B46A9">
            <w:pPr>
              <w:spacing w:before="360"/>
              <w:rPr>
                <w:b/>
                <w:bCs/>
                <w:szCs w:val="24"/>
              </w:rPr>
            </w:pPr>
            <w:bookmarkStart w:id="0" w:name="dc06"/>
            <w:bookmarkEnd w:id="0"/>
            <w:r w:rsidRPr="00A83750">
              <w:rPr>
                <w:b/>
                <w:bCs/>
                <w:sz w:val="30"/>
                <w:szCs w:val="30"/>
              </w:rPr>
              <w:t>Conseil 2017</w:t>
            </w:r>
            <w:r w:rsidRPr="00A83750">
              <w:rPr>
                <w:rFonts w:ascii="Verdana" w:hAnsi="Verdana"/>
                <w:b/>
                <w:bCs/>
                <w:sz w:val="26"/>
                <w:szCs w:val="26"/>
              </w:rPr>
              <w:br/>
            </w:r>
            <w:r w:rsidRPr="00A83750">
              <w:rPr>
                <w:b/>
                <w:bCs/>
                <w:szCs w:val="24"/>
              </w:rPr>
              <w:t>Genève, 15-25 mai 2017</w:t>
            </w:r>
          </w:p>
          <w:p w:rsidR="00F17C10" w:rsidRPr="00A83750" w:rsidRDefault="00F17C10" w:rsidP="009B46A9">
            <w:pPr>
              <w:spacing w:before="360"/>
            </w:pPr>
            <w:r w:rsidRPr="00413A9C">
              <w:rPr>
                <w:b/>
                <w:smallCaps/>
                <w:szCs w:val="24"/>
              </w:rPr>
              <w:t>UNION</w:t>
            </w:r>
            <w:r w:rsidR="00B175E7" w:rsidRPr="00413A9C">
              <w:rPr>
                <w:b/>
                <w:smallCaps/>
                <w:szCs w:val="24"/>
              </w:rPr>
              <w:t xml:space="preserve"> </w:t>
            </w:r>
            <w:r w:rsidR="00B175E7">
              <w:rPr>
                <w:b/>
                <w:smallCaps/>
                <w:szCs w:val="24"/>
              </w:rPr>
              <w:t xml:space="preserve">INTERNATIONALE DES </w:t>
            </w:r>
            <w:r w:rsidR="00B175E7" w:rsidRPr="00413A9C">
              <w:rPr>
                <w:b/>
                <w:smallCaps/>
                <w:szCs w:val="24"/>
              </w:rPr>
              <w:t>TELECOMMUNICATION</w:t>
            </w:r>
            <w:r w:rsidR="00B175E7">
              <w:rPr>
                <w:b/>
                <w:smallCaps/>
                <w:szCs w:val="24"/>
              </w:rPr>
              <w:t>S</w:t>
            </w:r>
          </w:p>
        </w:tc>
        <w:tc>
          <w:tcPr>
            <w:tcW w:w="3261" w:type="dxa"/>
          </w:tcPr>
          <w:p w:rsidR="009B46A9" w:rsidRPr="00A83750" w:rsidRDefault="009B46A9" w:rsidP="009B46A9">
            <w:pPr>
              <w:spacing w:before="0"/>
              <w:jc w:val="right"/>
            </w:pPr>
            <w:bookmarkStart w:id="1" w:name="ditulogo"/>
            <w:bookmarkEnd w:id="1"/>
            <w:r w:rsidRPr="00A83750">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9B46A9" w:rsidRPr="00A83750" w:rsidTr="00B4000F">
        <w:trPr>
          <w:cantSplit/>
          <w:trHeight w:val="20"/>
        </w:trPr>
        <w:tc>
          <w:tcPr>
            <w:tcW w:w="6912" w:type="dxa"/>
            <w:tcBorders>
              <w:bottom w:val="single" w:sz="12" w:space="0" w:color="auto"/>
            </w:tcBorders>
            <w:vAlign w:val="center"/>
          </w:tcPr>
          <w:p w:rsidR="009B46A9" w:rsidRPr="00A83750" w:rsidRDefault="009B46A9" w:rsidP="004C37A9">
            <w:pPr>
              <w:spacing w:before="0"/>
              <w:rPr>
                <w:b/>
                <w:bCs/>
                <w:sz w:val="26"/>
                <w:szCs w:val="26"/>
              </w:rPr>
            </w:pPr>
          </w:p>
        </w:tc>
        <w:tc>
          <w:tcPr>
            <w:tcW w:w="3261" w:type="dxa"/>
            <w:tcBorders>
              <w:bottom w:val="single" w:sz="12" w:space="0" w:color="auto"/>
            </w:tcBorders>
          </w:tcPr>
          <w:p w:rsidR="009B46A9" w:rsidRPr="00A83750" w:rsidRDefault="009B46A9" w:rsidP="00DF74DD">
            <w:pPr>
              <w:spacing w:before="0"/>
              <w:rPr>
                <w:b/>
                <w:bCs/>
              </w:rPr>
            </w:pPr>
          </w:p>
        </w:tc>
      </w:tr>
      <w:tr w:rsidR="009B46A9" w:rsidRPr="00A83750">
        <w:trPr>
          <w:cantSplit/>
          <w:trHeight w:val="20"/>
        </w:trPr>
        <w:tc>
          <w:tcPr>
            <w:tcW w:w="6912" w:type="dxa"/>
            <w:tcBorders>
              <w:top w:val="single" w:sz="12" w:space="0" w:color="auto"/>
            </w:tcBorders>
          </w:tcPr>
          <w:p w:rsidR="009B46A9" w:rsidRPr="00A83750" w:rsidRDefault="009B46A9" w:rsidP="00DF74DD">
            <w:pPr>
              <w:spacing w:before="0"/>
              <w:rPr>
                <w:smallCaps/>
                <w:sz w:val="22"/>
              </w:rPr>
            </w:pPr>
          </w:p>
        </w:tc>
        <w:tc>
          <w:tcPr>
            <w:tcW w:w="3261" w:type="dxa"/>
            <w:tcBorders>
              <w:top w:val="single" w:sz="12" w:space="0" w:color="auto"/>
            </w:tcBorders>
          </w:tcPr>
          <w:p w:rsidR="009B46A9" w:rsidRPr="00A83750" w:rsidRDefault="009B46A9" w:rsidP="00DF74DD">
            <w:pPr>
              <w:spacing w:before="0"/>
              <w:rPr>
                <w:b/>
                <w:bCs/>
              </w:rPr>
            </w:pPr>
          </w:p>
        </w:tc>
      </w:tr>
      <w:tr w:rsidR="009B46A9" w:rsidRPr="00A83750">
        <w:trPr>
          <w:cantSplit/>
          <w:trHeight w:val="20"/>
        </w:trPr>
        <w:tc>
          <w:tcPr>
            <w:tcW w:w="6912" w:type="dxa"/>
            <w:vMerge w:val="restart"/>
          </w:tcPr>
          <w:p w:rsidR="009B46A9" w:rsidRPr="00A83750" w:rsidRDefault="006E35CE" w:rsidP="009D274C">
            <w:pPr>
              <w:spacing w:before="0"/>
              <w:rPr>
                <w:rFonts w:cs="Times"/>
                <w:b/>
                <w:bCs/>
                <w:szCs w:val="24"/>
              </w:rPr>
            </w:pPr>
            <w:bookmarkStart w:id="2" w:name="dnum" w:colFirst="1" w:colLast="1"/>
            <w:bookmarkStart w:id="3" w:name="dmeeting" w:colFirst="0" w:colLast="0"/>
            <w:r>
              <w:rPr>
                <w:rFonts w:cs="Times"/>
                <w:b/>
                <w:bCs/>
                <w:szCs w:val="24"/>
              </w:rPr>
              <w:t xml:space="preserve">Point de l'ordre du </w:t>
            </w:r>
            <w:proofErr w:type="gramStart"/>
            <w:r>
              <w:rPr>
                <w:rFonts w:cs="Times"/>
                <w:b/>
                <w:bCs/>
                <w:szCs w:val="24"/>
              </w:rPr>
              <w:t>jour:</w:t>
            </w:r>
            <w:proofErr w:type="gramEnd"/>
            <w:r>
              <w:rPr>
                <w:rFonts w:cs="Times"/>
                <w:b/>
                <w:bCs/>
                <w:szCs w:val="24"/>
              </w:rPr>
              <w:t xml:space="preserve"> </w:t>
            </w:r>
            <w:r w:rsidR="00BF31CE">
              <w:rPr>
                <w:rFonts w:cs="Times"/>
                <w:b/>
                <w:bCs/>
                <w:szCs w:val="24"/>
              </w:rPr>
              <w:t>ADM 1</w:t>
            </w:r>
          </w:p>
        </w:tc>
        <w:tc>
          <w:tcPr>
            <w:tcW w:w="3261" w:type="dxa"/>
          </w:tcPr>
          <w:p w:rsidR="009B46A9" w:rsidRPr="00A83750" w:rsidRDefault="009B46A9" w:rsidP="00034C09">
            <w:pPr>
              <w:spacing w:before="0"/>
              <w:rPr>
                <w:b/>
                <w:bCs/>
              </w:rPr>
            </w:pPr>
            <w:r w:rsidRPr="00A83750">
              <w:rPr>
                <w:b/>
                <w:bCs/>
              </w:rPr>
              <w:t>Document C17/</w:t>
            </w:r>
            <w:r w:rsidR="00034C09">
              <w:rPr>
                <w:b/>
                <w:bCs/>
              </w:rPr>
              <w:t>9</w:t>
            </w:r>
            <w:r w:rsidRPr="00A83750">
              <w:rPr>
                <w:b/>
                <w:bCs/>
              </w:rPr>
              <w:t>-F</w:t>
            </w:r>
          </w:p>
        </w:tc>
      </w:tr>
      <w:tr w:rsidR="009B46A9" w:rsidRPr="00A83750">
        <w:trPr>
          <w:cantSplit/>
          <w:trHeight w:val="20"/>
        </w:trPr>
        <w:tc>
          <w:tcPr>
            <w:tcW w:w="6912" w:type="dxa"/>
            <w:vMerge/>
          </w:tcPr>
          <w:p w:rsidR="009B46A9" w:rsidRPr="00A83750" w:rsidRDefault="009B46A9" w:rsidP="00DF74DD">
            <w:pPr>
              <w:shd w:val="solid" w:color="FFFFFF" w:fill="FFFFFF"/>
              <w:spacing w:before="180"/>
              <w:rPr>
                <w:smallCaps/>
              </w:rPr>
            </w:pPr>
            <w:bookmarkStart w:id="4" w:name="ddate" w:colFirst="1" w:colLast="1"/>
            <w:bookmarkEnd w:id="2"/>
            <w:bookmarkEnd w:id="3"/>
          </w:p>
        </w:tc>
        <w:tc>
          <w:tcPr>
            <w:tcW w:w="3261" w:type="dxa"/>
          </w:tcPr>
          <w:p w:rsidR="009B46A9" w:rsidRPr="00A83750" w:rsidRDefault="00034C09" w:rsidP="009D274C">
            <w:pPr>
              <w:spacing w:before="0"/>
              <w:rPr>
                <w:b/>
                <w:bCs/>
              </w:rPr>
            </w:pPr>
            <w:r>
              <w:rPr>
                <w:b/>
                <w:bCs/>
              </w:rPr>
              <w:t>21</w:t>
            </w:r>
            <w:r w:rsidR="008A58DD">
              <w:rPr>
                <w:b/>
                <w:bCs/>
              </w:rPr>
              <w:t xml:space="preserve"> février</w:t>
            </w:r>
            <w:r w:rsidR="009B46A9" w:rsidRPr="00A83750">
              <w:rPr>
                <w:b/>
                <w:bCs/>
              </w:rPr>
              <w:t xml:space="preserve"> 2017</w:t>
            </w:r>
          </w:p>
        </w:tc>
      </w:tr>
      <w:tr w:rsidR="009B46A9" w:rsidRPr="00A83750">
        <w:trPr>
          <w:cantSplit/>
          <w:trHeight w:val="20"/>
        </w:trPr>
        <w:tc>
          <w:tcPr>
            <w:tcW w:w="6912" w:type="dxa"/>
            <w:vMerge/>
          </w:tcPr>
          <w:p w:rsidR="009B46A9" w:rsidRPr="00A83750" w:rsidRDefault="009B46A9" w:rsidP="00DF74DD">
            <w:pPr>
              <w:shd w:val="solid" w:color="FFFFFF" w:fill="FFFFFF"/>
              <w:spacing w:before="180"/>
              <w:rPr>
                <w:smallCaps/>
              </w:rPr>
            </w:pPr>
            <w:bookmarkStart w:id="5" w:name="dorlang" w:colFirst="1" w:colLast="1"/>
            <w:bookmarkEnd w:id="4"/>
          </w:p>
        </w:tc>
        <w:tc>
          <w:tcPr>
            <w:tcW w:w="3261" w:type="dxa"/>
          </w:tcPr>
          <w:p w:rsidR="009B46A9" w:rsidRPr="00A83750" w:rsidRDefault="009B46A9" w:rsidP="009B46A9">
            <w:pPr>
              <w:spacing w:before="0"/>
              <w:rPr>
                <w:b/>
                <w:bCs/>
              </w:rPr>
            </w:pPr>
            <w:proofErr w:type="gramStart"/>
            <w:r w:rsidRPr="00A83750">
              <w:rPr>
                <w:b/>
                <w:bCs/>
              </w:rPr>
              <w:t>Original:</w:t>
            </w:r>
            <w:proofErr w:type="gramEnd"/>
            <w:r w:rsidRPr="00A83750">
              <w:rPr>
                <w:b/>
                <w:bCs/>
              </w:rPr>
              <w:t xml:space="preserve"> anglais</w:t>
            </w:r>
          </w:p>
        </w:tc>
      </w:tr>
      <w:tr w:rsidR="009B46A9" w:rsidRPr="00A83750">
        <w:trPr>
          <w:cantSplit/>
        </w:trPr>
        <w:tc>
          <w:tcPr>
            <w:tcW w:w="10173" w:type="dxa"/>
            <w:gridSpan w:val="2"/>
          </w:tcPr>
          <w:p w:rsidR="009B46A9" w:rsidRPr="00A83750" w:rsidRDefault="009B46A9" w:rsidP="00DF74DD">
            <w:pPr>
              <w:pStyle w:val="Source"/>
            </w:pPr>
            <w:bookmarkStart w:id="6" w:name="dsource" w:colFirst="0" w:colLast="0"/>
            <w:bookmarkEnd w:id="5"/>
            <w:r w:rsidRPr="00A83750">
              <w:t>Rapport du Secrétaire général</w:t>
            </w:r>
          </w:p>
        </w:tc>
      </w:tr>
      <w:tr w:rsidR="009B46A9" w:rsidRPr="00A83750">
        <w:trPr>
          <w:cantSplit/>
        </w:trPr>
        <w:tc>
          <w:tcPr>
            <w:tcW w:w="10173" w:type="dxa"/>
            <w:gridSpan w:val="2"/>
          </w:tcPr>
          <w:p w:rsidR="009B46A9" w:rsidRPr="00A83750" w:rsidRDefault="00034C09" w:rsidP="009B46A9">
            <w:pPr>
              <w:pStyle w:val="Title1"/>
            </w:pPr>
            <w:bookmarkStart w:id="7" w:name="dtitle1" w:colFirst="0" w:colLast="0"/>
            <w:bookmarkEnd w:id="6"/>
            <w:r w:rsidRPr="004D1D35">
              <w:rPr>
                <w:color w:val="000000"/>
                <w:lang w:val="fr-CH"/>
              </w:rPr>
              <w:t>Examen annuel des produits et des charges</w:t>
            </w:r>
          </w:p>
        </w:tc>
      </w:tr>
      <w:bookmarkEnd w:id="7"/>
    </w:tbl>
    <w:p w:rsidR="009478B9" w:rsidRDefault="009478B9" w:rsidP="009478B9"/>
    <w:p w:rsidR="00034C09" w:rsidRPr="004D1D35" w:rsidRDefault="00034C09" w:rsidP="00034C09">
      <w:pPr>
        <w:rPr>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34C09" w:rsidRPr="004D1D35" w:rsidTr="00B4000F">
        <w:trPr>
          <w:trHeight w:val="3372"/>
        </w:trPr>
        <w:tc>
          <w:tcPr>
            <w:tcW w:w="8080" w:type="dxa"/>
            <w:tcBorders>
              <w:top w:val="single" w:sz="12" w:space="0" w:color="auto"/>
              <w:left w:val="single" w:sz="12" w:space="0" w:color="auto"/>
              <w:bottom w:val="single" w:sz="12" w:space="0" w:color="auto"/>
              <w:right w:val="single" w:sz="12" w:space="0" w:color="auto"/>
            </w:tcBorders>
          </w:tcPr>
          <w:p w:rsidR="00034C09" w:rsidRPr="004D1D35" w:rsidRDefault="00034C09" w:rsidP="00B4000F">
            <w:pPr>
              <w:pStyle w:val="Headingb"/>
              <w:rPr>
                <w:lang w:val="fr-CH"/>
              </w:rPr>
            </w:pPr>
            <w:r w:rsidRPr="004D1D35">
              <w:rPr>
                <w:lang w:val="fr-CH"/>
              </w:rPr>
              <w:t>Résumé</w:t>
            </w:r>
          </w:p>
          <w:p w:rsidR="00034C09" w:rsidRPr="004D1D35" w:rsidRDefault="00034C09" w:rsidP="00F17C10">
            <w:pPr>
              <w:rPr>
                <w:szCs w:val="24"/>
                <w:lang w:val="fr-CH"/>
              </w:rPr>
            </w:pPr>
            <w:r w:rsidRPr="004D1D35">
              <w:rPr>
                <w:lang w:val="fr-CH"/>
              </w:rPr>
              <w:t xml:space="preserve">Le présent document expose les principaux éléments de la mise en </w:t>
            </w:r>
            <w:r w:rsidR="00F17C10" w:rsidRPr="004D1D35">
              <w:rPr>
                <w:lang w:val="fr-CH"/>
              </w:rPr>
              <w:t>œuvre</w:t>
            </w:r>
            <w:r w:rsidRPr="004D1D35">
              <w:rPr>
                <w:lang w:val="fr-CH"/>
              </w:rPr>
              <w:t xml:space="preserve"> du budget pour la période </w:t>
            </w:r>
            <w:r w:rsidRPr="004D1D35">
              <w:rPr>
                <w:szCs w:val="24"/>
                <w:lang w:val="fr-CH"/>
              </w:rPr>
              <w:t>2016-2017</w:t>
            </w:r>
            <w:r w:rsidRPr="004D1D35">
              <w:rPr>
                <w:lang w:val="fr-CH"/>
              </w:rPr>
              <w:t xml:space="preserve">, conformément au numéro 73 de la Convention de l'UIT, qui </w:t>
            </w:r>
            <w:r w:rsidR="00F17C10">
              <w:rPr>
                <w:lang w:val="fr-CH"/>
              </w:rPr>
              <w:t>dispose</w:t>
            </w:r>
            <w:r w:rsidRPr="004D1D35">
              <w:rPr>
                <w:lang w:val="fr-CH"/>
              </w:rPr>
              <w:t xml:space="preserve"> que le Conseil procède à un examen annuel des recettes et des dépenses.</w:t>
            </w:r>
          </w:p>
          <w:p w:rsidR="00034C09" w:rsidRPr="004D1D35" w:rsidRDefault="00034C09" w:rsidP="00B4000F">
            <w:pPr>
              <w:pStyle w:val="Headingb"/>
              <w:rPr>
                <w:lang w:val="fr-CH"/>
              </w:rPr>
            </w:pPr>
            <w:r w:rsidRPr="004D1D35">
              <w:rPr>
                <w:lang w:val="fr-CH"/>
              </w:rPr>
              <w:t>Suite à donner</w:t>
            </w:r>
          </w:p>
          <w:p w:rsidR="00034C09" w:rsidRPr="004D1D35" w:rsidRDefault="00034C09" w:rsidP="00915921">
            <w:pPr>
              <w:rPr>
                <w:lang w:val="fr-CH"/>
              </w:rPr>
            </w:pPr>
            <w:r w:rsidRPr="004D1D35">
              <w:rPr>
                <w:lang w:val="fr-CH"/>
              </w:rPr>
              <w:t xml:space="preserve">Le Conseil est invité à </w:t>
            </w:r>
            <w:r w:rsidR="00915921">
              <w:rPr>
                <w:b/>
                <w:bCs/>
                <w:lang w:val="fr-CH"/>
              </w:rPr>
              <w:t xml:space="preserve">approuver </w:t>
            </w:r>
            <w:r w:rsidR="00915921" w:rsidRPr="00915921">
              <w:rPr>
                <w:lang w:val="fr-CH"/>
              </w:rPr>
              <w:t>le</w:t>
            </w:r>
            <w:r w:rsidRPr="004D1D35">
              <w:rPr>
                <w:lang w:val="fr-CH"/>
              </w:rPr>
              <w:t xml:space="preserve"> présent document.</w:t>
            </w:r>
          </w:p>
          <w:p w:rsidR="00034C09" w:rsidRPr="004D1D35" w:rsidRDefault="00034C09" w:rsidP="00B4000F">
            <w:pPr>
              <w:pStyle w:val="Table"/>
              <w:keepNext w:val="0"/>
              <w:spacing w:before="0" w:after="0"/>
              <w:rPr>
                <w:rFonts w:ascii="Calibri" w:hAnsi="Calibri"/>
                <w:caps w:val="0"/>
                <w:sz w:val="22"/>
                <w:lang w:val="fr-CH"/>
              </w:rPr>
            </w:pPr>
            <w:r w:rsidRPr="004D1D35">
              <w:rPr>
                <w:rFonts w:ascii="Calibri" w:hAnsi="Calibri"/>
                <w:caps w:val="0"/>
                <w:sz w:val="22"/>
                <w:lang w:val="fr-CH"/>
              </w:rPr>
              <w:t>____________</w:t>
            </w:r>
          </w:p>
          <w:p w:rsidR="00034C09" w:rsidRPr="004D1D35" w:rsidRDefault="00034C09" w:rsidP="00B4000F">
            <w:pPr>
              <w:pStyle w:val="Headingb"/>
              <w:rPr>
                <w:lang w:val="fr-CH"/>
              </w:rPr>
            </w:pPr>
            <w:r w:rsidRPr="004D1D35">
              <w:rPr>
                <w:lang w:val="fr-CH"/>
              </w:rPr>
              <w:t>Références</w:t>
            </w:r>
          </w:p>
          <w:p w:rsidR="00034C09" w:rsidRPr="004D1D35" w:rsidRDefault="00575923" w:rsidP="00B4000F">
            <w:pPr>
              <w:pStyle w:val="Index1"/>
              <w:snapToGrid w:val="0"/>
              <w:spacing w:after="120"/>
              <w:rPr>
                <w:i/>
                <w:iCs/>
                <w:szCs w:val="24"/>
                <w:lang w:val="fr-CH"/>
              </w:rPr>
            </w:pPr>
            <w:hyperlink r:id="rId9" w:anchor="cvart4" w:history="1">
              <w:r w:rsidR="00034C09">
                <w:rPr>
                  <w:rStyle w:val="Hyperlink"/>
                  <w:i/>
                  <w:iCs/>
                  <w:szCs w:val="24"/>
                  <w:lang w:val="fr-CH"/>
                </w:rPr>
                <w:t xml:space="preserve">Article </w:t>
              </w:r>
              <w:r w:rsidR="00034C09" w:rsidRPr="00295479">
                <w:rPr>
                  <w:rStyle w:val="Hyperlink"/>
                  <w:i/>
                  <w:iCs/>
                  <w:szCs w:val="24"/>
                  <w:lang w:val="fr-CH"/>
                </w:rPr>
                <w:t>4</w:t>
              </w:r>
            </w:hyperlink>
            <w:r w:rsidR="00034C09" w:rsidRPr="00295479">
              <w:rPr>
                <w:i/>
                <w:iCs/>
                <w:szCs w:val="24"/>
                <w:lang w:val="fr-CH"/>
              </w:rPr>
              <w:t xml:space="preserve"> de la Convention, numéro </w:t>
            </w:r>
            <w:hyperlink r:id="rId10" w:anchor="cv73" w:history="1">
              <w:proofErr w:type="gramStart"/>
              <w:r w:rsidR="00034C09" w:rsidRPr="00295479">
                <w:rPr>
                  <w:rStyle w:val="Hyperlink"/>
                  <w:i/>
                  <w:iCs/>
                  <w:szCs w:val="24"/>
                  <w:lang w:val="fr-CH"/>
                </w:rPr>
                <w:t>73</w:t>
              </w:r>
            </w:hyperlink>
            <w:r w:rsidR="00034C09">
              <w:rPr>
                <w:i/>
                <w:iCs/>
                <w:szCs w:val="24"/>
                <w:lang w:val="fr-CH"/>
              </w:rPr>
              <w:t>;</w:t>
            </w:r>
            <w:proofErr w:type="gramEnd"/>
            <w:r w:rsidR="00034C09">
              <w:rPr>
                <w:i/>
                <w:iCs/>
                <w:szCs w:val="24"/>
                <w:lang w:val="fr-CH"/>
              </w:rPr>
              <w:br/>
            </w:r>
            <w:r w:rsidR="00034C09" w:rsidRPr="004D1D35">
              <w:rPr>
                <w:i/>
                <w:iCs/>
                <w:szCs w:val="24"/>
                <w:lang w:val="fr-CH"/>
              </w:rPr>
              <w:t xml:space="preserve">Résolution </w:t>
            </w:r>
            <w:hyperlink r:id="rId11" w:history="1">
              <w:r w:rsidR="00034C09" w:rsidRPr="004D1D35">
                <w:rPr>
                  <w:rStyle w:val="Hyperlink"/>
                  <w:i/>
                  <w:iCs/>
                  <w:szCs w:val="24"/>
                </w:rPr>
                <w:t>1375</w:t>
              </w:r>
            </w:hyperlink>
            <w:r w:rsidR="00034C09" w:rsidRPr="004D1D35">
              <w:rPr>
                <w:i/>
                <w:iCs/>
                <w:szCs w:val="24"/>
                <w:lang w:val="fr-CH"/>
              </w:rPr>
              <w:t xml:space="preserve"> du Conseil (Budget biennal de l'Union internationale des télécommunications pour la période 2016-2017).</w:t>
            </w:r>
          </w:p>
        </w:tc>
      </w:tr>
    </w:tbl>
    <w:p w:rsidR="00034C09" w:rsidRPr="004D1D35" w:rsidRDefault="00034C09" w:rsidP="00034C09">
      <w:pPr>
        <w:pStyle w:val="Heading1"/>
        <w:rPr>
          <w:lang w:val="fr-CH"/>
        </w:rPr>
      </w:pPr>
      <w:r w:rsidRPr="004D1D35">
        <w:rPr>
          <w:lang w:val="fr-CH"/>
        </w:rPr>
        <w:t>1</w:t>
      </w:r>
      <w:r w:rsidRPr="004D1D35">
        <w:rPr>
          <w:lang w:val="fr-CH"/>
        </w:rPr>
        <w:tab/>
        <w:t>Introduction</w:t>
      </w:r>
    </w:p>
    <w:p w:rsidR="00034C09" w:rsidRPr="004D1D35" w:rsidRDefault="00034C09" w:rsidP="004F37E3">
      <w:pPr>
        <w:rPr>
          <w:szCs w:val="24"/>
          <w:lang w:val="fr-CH"/>
        </w:rPr>
      </w:pPr>
      <w:r w:rsidRPr="004D1D35">
        <w:rPr>
          <w:szCs w:val="24"/>
          <w:lang w:val="fr-CH"/>
        </w:rPr>
        <w:t>1.1</w:t>
      </w:r>
      <w:r w:rsidRPr="004D1D35">
        <w:rPr>
          <w:szCs w:val="24"/>
          <w:lang w:val="fr-CH"/>
        </w:rPr>
        <w:tab/>
      </w:r>
      <w:r w:rsidRPr="004D1D35">
        <w:rPr>
          <w:lang w:val="fr-CH"/>
        </w:rPr>
        <w:t xml:space="preserve">L'objet du présent document est de rendre compte de l'état d'avancement de la mise en </w:t>
      </w:r>
      <w:r w:rsidR="00915921" w:rsidRPr="004D1D35">
        <w:rPr>
          <w:lang w:val="fr-CH"/>
        </w:rPr>
        <w:t>œuvre</w:t>
      </w:r>
      <w:r w:rsidRPr="004D1D35">
        <w:rPr>
          <w:lang w:val="fr-CH"/>
        </w:rPr>
        <w:t xml:space="preserve"> du budget de l'Union pour la période </w:t>
      </w:r>
      <w:r w:rsidRPr="004D1D35">
        <w:rPr>
          <w:szCs w:val="24"/>
          <w:lang w:val="fr-CH"/>
        </w:rPr>
        <w:t xml:space="preserve">2016-2017 </w:t>
      </w:r>
      <w:r w:rsidRPr="004D1D35">
        <w:rPr>
          <w:lang w:val="fr-CH"/>
        </w:rPr>
        <w:t>en ce qui concerne les produits et les charges.</w:t>
      </w:r>
    </w:p>
    <w:p w:rsidR="00034C09" w:rsidRPr="004D1D35" w:rsidRDefault="00034C09" w:rsidP="00915921">
      <w:pPr>
        <w:pStyle w:val="Heading1"/>
        <w:rPr>
          <w:bCs/>
          <w:szCs w:val="24"/>
          <w:lang w:val="fr-CH"/>
        </w:rPr>
      </w:pPr>
      <w:r w:rsidRPr="004D1D35">
        <w:rPr>
          <w:lang w:val="fr-CH"/>
        </w:rPr>
        <w:t>2</w:t>
      </w:r>
      <w:r w:rsidRPr="004D1D35">
        <w:rPr>
          <w:lang w:val="fr-CH"/>
        </w:rPr>
        <w:tab/>
      </w:r>
      <w:r w:rsidR="00915921">
        <w:rPr>
          <w:lang w:val="fr-CH"/>
        </w:rPr>
        <w:t>Aperçu du budget</w:t>
      </w:r>
      <w:r w:rsidRPr="004D1D35">
        <w:rPr>
          <w:lang w:val="fr-CH"/>
        </w:rPr>
        <w:t xml:space="preserve"> pour </w:t>
      </w:r>
      <w:r w:rsidR="00915921">
        <w:rPr>
          <w:lang w:val="fr-CH"/>
        </w:rPr>
        <w:t>l’exercice</w:t>
      </w:r>
      <w:r w:rsidRPr="004D1D35">
        <w:rPr>
          <w:lang w:val="fr-CH"/>
        </w:rPr>
        <w:t xml:space="preserve"> </w:t>
      </w:r>
      <w:r w:rsidRPr="004D1D35">
        <w:rPr>
          <w:bCs/>
          <w:szCs w:val="24"/>
          <w:lang w:val="fr-CH"/>
        </w:rPr>
        <w:t>2016-2017 (Résolution 1375)</w:t>
      </w:r>
    </w:p>
    <w:p w:rsidR="00034C09" w:rsidRPr="004D1D35" w:rsidRDefault="00034C09" w:rsidP="004F37E3">
      <w:pPr>
        <w:rPr>
          <w:snapToGrid w:val="0"/>
          <w:szCs w:val="24"/>
          <w:lang w:val="fr-CH"/>
        </w:rPr>
      </w:pPr>
      <w:r w:rsidRPr="004D1D35">
        <w:rPr>
          <w:lang w:val="fr-CH"/>
        </w:rPr>
        <w:t>2.1</w:t>
      </w:r>
      <w:r w:rsidRPr="004D1D35">
        <w:rPr>
          <w:lang w:val="fr-CH"/>
        </w:rPr>
        <w:tab/>
      </w:r>
      <w:r w:rsidR="00915921">
        <w:t>A sa session de 2015, le Conseil a adopté le budget de l'Union pour la période 2016-2017 (Résolution 1375)</w:t>
      </w:r>
      <w:r w:rsidRPr="004D1D35">
        <w:rPr>
          <w:lang w:val="fr-CH"/>
        </w:rPr>
        <w:t xml:space="preserve">. </w:t>
      </w:r>
      <w:r w:rsidR="00915921">
        <w:t xml:space="preserve">Ce budget s'élève à </w:t>
      </w:r>
      <w:r w:rsidR="00915921">
        <w:rPr>
          <w:rFonts w:cs="Calibri"/>
          <w:szCs w:val="24"/>
        </w:rPr>
        <w:t>160 760 </w:t>
      </w:r>
      <w:r w:rsidR="00915921" w:rsidRPr="00AD00E6">
        <w:rPr>
          <w:rFonts w:cs="Calibri"/>
          <w:szCs w:val="24"/>
        </w:rPr>
        <w:t xml:space="preserve">000 </w:t>
      </w:r>
      <w:r w:rsidR="00915921">
        <w:t xml:space="preserve">CHF pour l'année 2016 et à </w:t>
      </w:r>
      <w:r w:rsidR="00915921" w:rsidRPr="00915921">
        <w:rPr>
          <w:rFonts w:cs="Calibri"/>
          <w:szCs w:val="24"/>
        </w:rPr>
        <w:t>160 543 000</w:t>
      </w:r>
      <w:r w:rsidR="00915921">
        <w:rPr>
          <w:rFonts w:cs="Calibri"/>
          <w:szCs w:val="24"/>
        </w:rPr>
        <w:t> </w:t>
      </w:r>
      <w:r w:rsidR="00915921">
        <w:t xml:space="preserve">CHF pour l'année 2017, soit un total de </w:t>
      </w:r>
      <w:r w:rsidR="00915921" w:rsidRPr="00915921">
        <w:rPr>
          <w:rFonts w:cs="Calibri"/>
          <w:szCs w:val="24"/>
        </w:rPr>
        <w:t>321 303 000</w:t>
      </w:r>
      <w:r w:rsidR="00915921">
        <w:rPr>
          <w:rFonts w:cs="Calibri"/>
          <w:szCs w:val="24"/>
        </w:rPr>
        <w:t> </w:t>
      </w:r>
      <w:r w:rsidR="00915921">
        <w:t>CHF pour l'exercice biennal.</w:t>
      </w:r>
      <w:r w:rsidRPr="004D1D35">
        <w:rPr>
          <w:snapToGrid w:val="0"/>
          <w:szCs w:val="24"/>
          <w:lang w:val="fr-CH"/>
        </w:rPr>
        <w:t xml:space="preserve"> </w:t>
      </w:r>
      <w:r w:rsidRPr="004D1D35">
        <w:rPr>
          <w:lang w:val="fr-CH"/>
        </w:rPr>
        <w:t>Il est fondé sur une unité contributive annuelle de 318 000 CHF pour les Etats Memb</w:t>
      </w:r>
      <w:bookmarkStart w:id="8" w:name="_GoBack"/>
      <w:bookmarkEnd w:id="8"/>
      <w:r w:rsidRPr="004D1D35">
        <w:rPr>
          <w:lang w:val="fr-CH"/>
        </w:rPr>
        <w:t xml:space="preserve">res, ce qui correspond à une </w:t>
      </w:r>
      <w:r w:rsidRPr="004D1D35">
        <w:rPr>
          <w:lang w:val="fr-CH"/>
        </w:rPr>
        <w:lastRenderedPageBreak/>
        <w:t xml:space="preserve">croissance nominale zéro par rapport </w:t>
      </w:r>
      <w:r w:rsidR="00915921">
        <w:rPr>
          <w:lang w:val="fr-CH"/>
        </w:rPr>
        <w:t>à l’exercice biennal 2014-2015</w:t>
      </w:r>
      <w:r w:rsidRPr="004D1D35">
        <w:rPr>
          <w:lang w:val="fr-CH"/>
        </w:rPr>
        <w:t xml:space="preserve">. Le budget de l'Union est mis en </w:t>
      </w:r>
      <w:r w:rsidR="00915921" w:rsidRPr="004D1D35">
        <w:rPr>
          <w:lang w:val="fr-CH"/>
        </w:rPr>
        <w:t>œuvre</w:t>
      </w:r>
      <w:r w:rsidRPr="004D1D35">
        <w:rPr>
          <w:lang w:val="fr-CH"/>
        </w:rPr>
        <w:t xml:space="preserve"> conformément à l'Article 10 du Règlement financier.</w:t>
      </w:r>
    </w:p>
    <w:p w:rsidR="007E7828" w:rsidRPr="002D37AF" w:rsidRDefault="00034C09" w:rsidP="004F37E3">
      <w:pPr>
        <w:rPr>
          <w:lang w:val="fr-CH"/>
        </w:rPr>
      </w:pPr>
      <w:r w:rsidRPr="004D1D35">
        <w:rPr>
          <w:lang w:val="fr-CH"/>
        </w:rPr>
        <w:t>2.2</w:t>
      </w:r>
      <w:r w:rsidRPr="004D1D35">
        <w:rPr>
          <w:lang w:val="fr-CH"/>
        </w:rPr>
        <w:tab/>
        <w:t xml:space="preserve">Le Tableau 1 ci-après présente la situation </w:t>
      </w:r>
      <w:r w:rsidRPr="004D1D35">
        <w:rPr>
          <w:szCs w:val="24"/>
          <w:lang w:val="fr-CH"/>
        </w:rPr>
        <w:t xml:space="preserve">du budget pour </w:t>
      </w:r>
      <w:r w:rsidR="002D37AF">
        <w:rPr>
          <w:szCs w:val="24"/>
          <w:lang w:val="fr-CH"/>
        </w:rPr>
        <w:t>l’exercice biennal </w:t>
      </w:r>
      <w:r w:rsidRPr="004D1D35">
        <w:rPr>
          <w:szCs w:val="24"/>
          <w:lang w:val="fr-CH"/>
        </w:rPr>
        <w:t>2016</w:t>
      </w:r>
      <w:r w:rsidR="002D37AF">
        <w:rPr>
          <w:szCs w:val="24"/>
          <w:lang w:val="fr-CH"/>
        </w:rPr>
        <w:t xml:space="preserve">-2017. </w:t>
      </w:r>
      <w:r w:rsidR="002D37AF">
        <w:t>Il indique les montants effectifs pour 2016, au 7 février 2017, lesquels pourront être légèrement modifiés dans l'attente de la clôture des comptes</w:t>
      </w:r>
      <w:r w:rsidR="004F37E3">
        <w:t>,</w:t>
      </w:r>
      <w:r w:rsidR="002D37AF">
        <w:t xml:space="preserve"> ainsi que les montants effectifs pour 2017, au 7 février 2017, avec les prévisions de fin d'exercice pour 2017.</w:t>
      </w:r>
    </w:p>
    <w:p w:rsidR="00585F42" w:rsidRPr="002D37AF" w:rsidRDefault="007E7828" w:rsidP="004F37E3">
      <w:pPr>
        <w:rPr>
          <w:lang w:val="fr-CH"/>
        </w:rPr>
      </w:pPr>
      <w:bookmarkStart w:id="9" w:name="OLE_LINK1"/>
      <w:bookmarkStart w:id="10" w:name="OLE_LINK2"/>
      <w:r w:rsidRPr="002D37AF">
        <w:rPr>
          <w:lang w:val="fr-CH"/>
        </w:rPr>
        <w:t>2.3</w:t>
      </w:r>
      <w:r w:rsidRPr="002D37AF">
        <w:rPr>
          <w:lang w:val="fr-CH"/>
        </w:rPr>
        <w:tab/>
      </w:r>
      <w:r w:rsidR="002D37AF" w:rsidRPr="002D37AF">
        <w:rPr>
          <w:lang w:val="fr-CH"/>
        </w:rPr>
        <w:t>Les prévisions relatives aux charges pour 2017 indiquent que des économie</w:t>
      </w:r>
      <w:r w:rsidR="002D37AF">
        <w:rPr>
          <w:lang w:val="fr-CH"/>
        </w:rPr>
        <w:t>s</w:t>
      </w:r>
      <w:r w:rsidR="002D37AF" w:rsidRPr="002D37AF">
        <w:rPr>
          <w:lang w:val="fr-CH"/>
        </w:rPr>
        <w:t xml:space="preserve"> </w:t>
      </w:r>
      <w:r w:rsidR="00E12577">
        <w:rPr>
          <w:lang w:val="fr-CH"/>
        </w:rPr>
        <w:t>seront</w:t>
      </w:r>
      <w:r w:rsidR="002D37AF">
        <w:rPr>
          <w:lang w:val="fr-CH"/>
        </w:rPr>
        <w:t xml:space="preserve"> réalisées </w:t>
      </w:r>
      <w:r w:rsidR="003A13ED">
        <w:rPr>
          <w:lang w:val="fr-CH"/>
        </w:rPr>
        <w:t xml:space="preserve">grâce au programme de départs anticipés et à l’application de mesures </w:t>
      </w:r>
      <w:r w:rsidR="00585F42">
        <w:rPr>
          <w:lang w:val="fr-CH"/>
        </w:rPr>
        <w:t>d’efficacité (voir le Document </w:t>
      </w:r>
      <w:hyperlink r:id="rId12" w:history="1">
        <w:r w:rsidR="004F37E3" w:rsidRPr="00564071">
          <w:rPr>
            <w:rStyle w:val="Hyperlink"/>
            <w:rFonts w:cs="Calibri"/>
            <w:szCs w:val="24"/>
          </w:rPr>
          <w:t>C17/45</w:t>
        </w:r>
      </w:hyperlink>
      <w:r w:rsidR="00585F42">
        <w:rPr>
          <w:lang w:val="fr-CH"/>
        </w:rPr>
        <w:t xml:space="preserve">), qui permettront à l’Union de reverser au Fonds de réserve un montant d’1,3 million CHF, tel qu’indiqué dans le projet de budget pour l’exercice biennal 2018-2019. Par conséquent, </w:t>
      </w:r>
      <w:r w:rsidR="00585F42">
        <w:rPr>
          <w:color w:val="000000"/>
        </w:rPr>
        <w:t>les résultats d'ensemble attendus pour l'exercice biennal 2016-2017 devraient être positifs.</w:t>
      </w:r>
    </w:p>
    <w:p w:rsidR="00585F42" w:rsidRPr="004F37E3" w:rsidRDefault="007E7828" w:rsidP="004F37E3">
      <w:pPr>
        <w:rPr>
          <w:rFonts w:cs="Calibri"/>
          <w:szCs w:val="24"/>
          <w:lang w:val="fr-CH"/>
        </w:rPr>
      </w:pPr>
      <w:r w:rsidRPr="00BC51A8">
        <w:rPr>
          <w:rFonts w:cs="Calibri"/>
          <w:szCs w:val="24"/>
          <w:lang w:val="fr-CH"/>
        </w:rPr>
        <w:t>2.4</w:t>
      </w:r>
      <w:r w:rsidRPr="00BC51A8">
        <w:rPr>
          <w:rFonts w:cs="Calibri"/>
          <w:szCs w:val="24"/>
          <w:lang w:val="fr-CH"/>
        </w:rPr>
        <w:tab/>
      </w:r>
      <w:r w:rsidR="006C7811">
        <w:rPr>
          <w:rFonts w:cs="Calibri"/>
          <w:szCs w:val="24"/>
          <w:lang w:val="fr-CH"/>
        </w:rPr>
        <w:t>Pendant le</w:t>
      </w:r>
      <w:r w:rsidR="00BC51A8" w:rsidRPr="00BC51A8">
        <w:rPr>
          <w:rFonts w:cs="Calibri"/>
          <w:szCs w:val="24"/>
          <w:lang w:val="fr-CH"/>
        </w:rPr>
        <w:t xml:space="preserve"> processus d’élaboration du budget pour l’exercice biennal 2016-2017, l’ensemble des six </w:t>
      </w:r>
      <w:r w:rsidR="00BC51A8">
        <w:t>Réunions</w:t>
      </w:r>
      <w:r w:rsidR="004F37E3" w:rsidRPr="004F37E3">
        <w:t xml:space="preserve"> </w:t>
      </w:r>
      <w:r w:rsidR="004F37E3">
        <w:t>préparatoires</w:t>
      </w:r>
      <w:r w:rsidR="00BC51A8">
        <w:t xml:space="preserve"> régionales (R</w:t>
      </w:r>
      <w:r w:rsidR="004F37E3">
        <w:t>PM</w:t>
      </w:r>
      <w:r w:rsidR="00BC51A8">
        <w:t>)</w:t>
      </w:r>
      <w:r w:rsidR="00F458CD">
        <w:t xml:space="preserve"> </w:t>
      </w:r>
      <w:r w:rsidR="00AF48E2">
        <w:t xml:space="preserve">de l’UIT-D </w:t>
      </w:r>
      <w:r w:rsidR="006C7811">
        <w:t>étaient prévues</w:t>
      </w:r>
      <w:r w:rsidR="00AF48E2">
        <w:t xml:space="preserve"> en 2016. Cependant, au cours des discussions avec des pays hôtes éventuels, il a été décidé de reporter </w:t>
      </w:r>
      <w:r w:rsidR="006C7811">
        <w:t xml:space="preserve">la tenue de quatre </w:t>
      </w:r>
      <w:r w:rsidR="004F37E3">
        <w:t>RPM</w:t>
      </w:r>
      <w:r w:rsidR="006C7811">
        <w:t xml:space="preserve"> à</w:t>
      </w:r>
      <w:r w:rsidR="00AF48E2">
        <w:t xml:space="preserve"> 2017. Par conséquent, il est nécessaire de différer ces activités p</w:t>
      </w:r>
      <w:r w:rsidR="004B635F">
        <w:t xml:space="preserve">révues en 2016 à 2017 conformément </w:t>
      </w:r>
      <w:r w:rsidR="005B662A">
        <w:t xml:space="preserve">aux dispositions 4.a) et 4.b) de </w:t>
      </w:r>
      <w:r w:rsidR="004B635F">
        <w:t>l’</w:t>
      </w:r>
      <w:r w:rsidR="005B662A">
        <w:t>Article 13</w:t>
      </w:r>
      <w:r w:rsidR="004B635F">
        <w:t xml:space="preserve"> du Règlement financier et des Règles financières</w:t>
      </w:r>
      <w:r w:rsidR="005B662A">
        <w:t xml:space="preserve">. </w:t>
      </w:r>
      <w:r w:rsidR="005B662A" w:rsidRPr="004F37E3">
        <w:rPr>
          <w:lang w:val="fr-CH"/>
        </w:rPr>
        <w:t xml:space="preserve">Les ajustements suivants sont donc </w:t>
      </w:r>
      <w:proofErr w:type="gramStart"/>
      <w:r w:rsidR="005B662A" w:rsidRPr="004F37E3">
        <w:rPr>
          <w:lang w:val="fr-CH"/>
        </w:rPr>
        <w:t>prévus:</w:t>
      </w:r>
      <w:proofErr w:type="gramEnd"/>
    </w:p>
    <w:p w:rsidR="005B662A" w:rsidRPr="005B662A" w:rsidRDefault="004F37E3" w:rsidP="004F37E3">
      <w:pPr>
        <w:pStyle w:val="enumlev1"/>
        <w:rPr>
          <w:lang w:val="fr-CH"/>
        </w:rPr>
      </w:pPr>
      <w:r>
        <w:rPr>
          <w:lang w:val="fr-CH"/>
        </w:rPr>
        <w:t>a)</w:t>
      </w:r>
      <w:r w:rsidR="007E7828" w:rsidRPr="005B662A">
        <w:rPr>
          <w:lang w:val="fr-CH"/>
        </w:rPr>
        <w:tab/>
      </w:r>
      <w:r w:rsidR="005B662A" w:rsidRPr="005B662A">
        <w:rPr>
          <w:lang w:val="fr-CH"/>
        </w:rPr>
        <w:t xml:space="preserve">Pour l’année 2016, </w:t>
      </w:r>
      <w:r w:rsidR="006C7811">
        <w:rPr>
          <w:lang w:val="fr-CH"/>
        </w:rPr>
        <w:t xml:space="preserve">versement de </w:t>
      </w:r>
      <w:r w:rsidR="005B662A" w:rsidRPr="005B662A">
        <w:rPr>
          <w:lang w:val="fr-CH"/>
        </w:rPr>
        <w:t xml:space="preserve">la somme de 0,317 million CHF correspondant à des activités reportées </w:t>
      </w:r>
      <w:r w:rsidR="005B662A">
        <w:rPr>
          <w:lang w:val="fr-CH"/>
        </w:rPr>
        <w:t xml:space="preserve">du budget de l’UIT-D au Fonds de réserve. Le </w:t>
      </w:r>
      <w:r w:rsidR="005B662A">
        <w:rPr>
          <w:color w:val="000000"/>
        </w:rPr>
        <w:t>Rapport de gestion financière pour l'exercice annuel 2016 donne plus de détails à ce sujet.</w:t>
      </w:r>
    </w:p>
    <w:p w:rsidR="00465E82" w:rsidRPr="00465E82" w:rsidRDefault="004F37E3" w:rsidP="004F37E3">
      <w:pPr>
        <w:pStyle w:val="enumlev1"/>
        <w:rPr>
          <w:lang w:val="fr-CH"/>
        </w:rPr>
      </w:pPr>
      <w:r>
        <w:rPr>
          <w:lang w:val="fr-CH"/>
        </w:rPr>
        <w:t>b)</w:t>
      </w:r>
      <w:r w:rsidR="007E7828" w:rsidRPr="00465E82">
        <w:rPr>
          <w:lang w:val="fr-CH"/>
        </w:rPr>
        <w:tab/>
      </w:r>
      <w:r w:rsidR="00465E82" w:rsidRPr="00465E82">
        <w:rPr>
          <w:lang w:val="fr-CH"/>
        </w:rPr>
        <w:t xml:space="preserve">Pour l’année 2017, </w:t>
      </w:r>
      <w:r w:rsidR="006C7811">
        <w:rPr>
          <w:lang w:val="fr-CH"/>
        </w:rPr>
        <w:t>augmentation du</w:t>
      </w:r>
      <w:r w:rsidR="00465E82" w:rsidRPr="00465E82">
        <w:rPr>
          <w:lang w:val="fr-CH"/>
        </w:rPr>
        <w:t xml:space="preserve"> Fonds de </w:t>
      </w:r>
      <w:r w:rsidR="003B3168" w:rsidRPr="00465E82">
        <w:rPr>
          <w:lang w:val="fr-CH"/>
        </w:rPr>
        <w:t>réserve</w:t>
      </w:r>
      <w:r w:rsidR="00465E82" w:rsidRPr="00465E82">
        <w:rPr>
          <w:lang w:val="fr-CH"/>
        </w:rPr>
        <w:t xml:space="preserve"> </w:t>
      </w:r>
      <w:r w:rsidR="006C7811">
        <w:rPr>
          <w:lang w:val="fr-CH"/>
        </w:rPr>
        <w:t>et du</w:t>
      </w:r>
      <w:r w:rsidR="00465E82" w:rsidRPr="00465E82">
        <w:rPr>
          <w:lang w:val="fr-CH"/>
        </w:rPr>
        <w:t xml:space="preserve"> budget de l’UIT-D du m</w:t>
      </w:r>
      <w:r w:rsidR="00465E82">
        <w:rPr>
          <w:lang w:val="fr-CH"/>
        </w:rPr>
        <w:t>ême montant de 0,317 million CHF.</w:t>
      </w:r>
    </w:p>
    <w:bookmarkEnd w:id="9"/>
    <w:bookmarkEnd w:id="10"/>
    <w:p w:rsidR="007E7828" w:rsidRPr="006C7811" w:rsidRDefault="007E7828" w:rsidP="004F37E3">
      <w:pPr>
        <w:rPr>
          <w:lang w:val="fr-CH"/>
        </w:rPr>
      </w:pPr>
    </w:p>
    <w:p w:rsidR="00034C09" w:rsidRPr="004D1D35" w:rsidRDefault="00034C09" w:rsidP="004F37E3">
      <w:pPr>
        <w:pStyle w:val="Tabletitle"/>
        <w:rPr>
          <w:lang w:val="fr-CH"/>
        </w:rPr>
      </w:pPr>
      <w:r w:rsidRPr="004D1D35">
        <w:rPr>
          <w:lang w:val="fr-CH"/>
        </w:rPr>
        <w:t xml:space="preserve">Tableau 1 ‒ Mise en </w:t>
      </w:r>
      <w:r w:rsidR="00465E82" w:rsidRPr="004D1D35">
        <w:rPr>
          <w:lang w:val="fr-CH"/>
        </w:rPr>
        <w:t>œuvre</w:t>
      </w:r>
      <w:r w:rsidRPr="004D1D35">
        <w:rPr>
          <w:lang w:val="fr-CH"/>
        </w:rPr>
        <w:t xml:space="preserve"> de la </w:t>
      </w:r>
      <w:r w:rsidRPr="004F37E3">
        <w:t>Résolution</w:t>
      </w:r>
      <w:r w:rsidRPr="004D1D35">
        <w:rPr>
          <w:lang w:val="fr-CH"/>
        </w:rPr>
        <w:t xml:space="preserve"> 1375 relative au budget</w:t>
      </w:r>
    </w:p>
    <w:p w:rsidR="007E7828" w:rsidRDefault="00176E43" w:rsidP="007E7828">
      <w:pPr>
        <w:tabs>
          <w:tab w:val="clear" w:pos="567"/>
          <w:tab w:val="clear" w:pos="1134"/>
          <w:tab w:val="clear" w:pos="1701"/>
          <w:tab w:val="clear" w:pos="2268"/>
          <w:tab w:val="clear" w:pos="2835"/>
        </w:tabs>
        <w:overflowPunct/>
        <w:snapToGrid w:val="0"/>
        <w:ind w:left="7200" w:firstLine="720"/>
        <w:jc w:val="center"/>
        <w:textAlignment w:val="auto"/>
        <w:rPr>
          <w:rFonts w:cs="Calibri"/>
          <w:b/>
          <w:bCs/>
          <w:sz w:val="22"/>
          <w:szCs w:val="22"/>
          <w:lang w:val="en-US"/>
        </w:rPr>
      </w:pPr>
      <w:proofErr w:type="spellStart"/>
      <w:r>
        <w:rPr>
          <w:rFonts w:asciiTheme="minorHAnsi" w:hAnsiTheme="minorHAnsi" w:cs="Arial"/>
          <w:i/>
          <w:iCs/>
          <w:sz w:val="14"/>
          <w:szCs w:val="14"/>
          <w:lang w:val="en-US" w:eastAsia="zh-CN"/>
        </w:rPr>
        <w:t>En</w:t>
      </w:r>
      <w:proofErr w:type="spellEnd"/>
      <w:r>
        <w:rPr>
          <w:rFonts w:asciiTheme="minorHAnsi" w:hAnsiTheme="minorHAnsi" w:cs="Arial"/>
          <w:i/>
          <w:iCs/>
          <w:sz w:val="14"/>
          <w:szCs w:val="14"/>
          <w:lang w:val="en-US" w:eastAsia="zh-CN"/>
        </w:rPr>
        <w:t xml:space="preserve"> </w:t>
      </w:r>
      <w:proofErr w:type="spellStart"/>
      <w:r>
        <w:rPr>
          <w:rFonts w:asciiTheme="minorHAnsi" w:hAnsiTheme="minorHAnsi" w:cs="Arial"/>
          <w:i/>
          <w:iCs/>
          <w:sz w:val="14"/>
          <w:szCs w:val="14"/>
          <w:lang w:val="en-US" w:eastAsia="zh-CN"/>
        </w:rPr>
        <w:t>milliers</w:t>
      </w:r>
      <w:proofErr w:type="spellEnd"/>
      <w:r>
        <w:rPr>
          <w:rFonts w:asciiTheme="minorHAnsi" w:hAnsiTheme="minorHAnsi" w:cs="Arial"/>
          <w:i/>
          <w:iCs/>
          <w:sz w:val="14"/>
          <w:szCs w:val="14"/>
          <w:lang w:val="en-US" w:eastAsia="zh-CN"/>
        </w:rPr>
        <w:t xml:space="preserve"> CHF</w:t>
      </w:r>
    </w:p>
    <w:tbl>
      <w:tblPr>
        <w:tblW w:w="5279" w:type="pct"/>
        <w:tblLayout w:type="fixed"/>
        <w:tblLook w:val="04A0" w:firstRow="1" w:lastRow="0" w:firstColumn="1" w:lastColumn="0" w:noHBand="0" w:noVBand="1"/>
      </w:tblPr>
      <w:tblGrid>
        <w:gridCol w:w="2604"/>
        <w:gridCol w:w="381"/>
        <w:gridCol w:w="824"/>
        <w:gridCol w:w="810"/>
        <w:gridCol w:w="682"/>
        <w:gridCol w:w="702"/>
        <w:gridCol w:w="311"/>
        <w:gridCol w:w="806"/>
        <w:gridCol w:w="881"/>
        <w:gridCol w:w="810"/>
        <w:gridCol w:w="690"/>
        <w:gridCol w:w="676"/>
      </w:tblGrid>
      <w:tr w:rsidR="004F37E3" w:rsidRPr="00EB4778" w:rsidTr="00965078">
        <w:trPr>
          <w:trHeight w:val="23"/>
        </w:trPr>
        <w:tc>
          <w:tcPr>
            <w:tcW w:w="1279" w:type="pct"/>
            <w:vMerge w:val="restart"/>
            <w:tcBorders>
              <w:top w:val="nil"/>
              <w:left w:val="nil"/>
              <w:bottom w:val="single" w:sz="12" w:space="0" w:color="FFFFFF"/>
              <w:right w:val="single" w:sz="12" w:space="0" w:color="FFFFFF"/>
            </w:tcBorders>
            <w:shd w:val="clear" w:color="000000" w:fill="DCE6F1"/>
            <w:vAlign w:val="center"/>
            <w:hideMark/>
          </w:tcPr>
          <w:p w:rsidR="007E7828" w:rsidRPr="00EB4778" w:rsidRDefault="00176E43" w:rsidP="00B4000F">
            <w:pPr>
              <w:tabs>
                <w:tab w:val="clear" w:pos="567"/>
                <w:tab w:val="clear" w:pos="1134"/>
                <w:tab w:val="clear" w:pos="1701"/>
                <w:tab w:val="clear" w:pos="2268"/>
                <w:tab w:val="clear" w:pos="2835"/>
              </w:tabs>
              <w:overflowPunct/>
              <w:autoSpaceDE/>
              <w:autoSpaceDN/>
              <w:adjustRightInd/>
              <w:spacing w:before="0"/>
              <w:ind w:firstLineChars="100" w:firstLine="141"/>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Produits</w:t>
            </w:r>
            <w:proofErr w:type="spellEnd"/>
          </w:p>
        </w:tc>
        <w:tc>
          <w:tcPr>
            <w:tcW w:w="187" w:type="pct"/>
            <w:tcBorders>
              <w:top w:val="nil"/>
              <w:left w:val="nil"/>
              <w:bottom w:val="nil"/>
              <w:right w:val="nil"/>
            </w:tcBorders>
            <w:shd w:val="clear" w:color="000000" w:fill="FFFFFF"/>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1483" w:type="pct"/>
            <w:gridSpan w:val="4"/>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2016</w:t>
            </w:r>
          </w:p>
        </w:tc>
        <w:tc>
          <w:tcPr>
            <w:tcW w:w="153" w:type="pct"/>
            <w:tcBorders>
              <w:top w:val="nil"/>
              <w:left w:val="nil"/>
              <w:bottom w:val="nil"/>
              <w:right w:val="nil"/>
            </w:tcBorders>
            <w:shd w:val="clear" w:color="000000" w:fill="FFFFFF"/>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1897" w:type="pct"/>
            <w:gridSpan w:val="5"/>
            <w:tcBorders>
              <w:top w:val="single" w:sz="8" w:space="0" w:color="FFFFFF"/>
              <w:left w:val="nil"/>
              <w:bottom w:val="single" w:sz="8" w:space="0" w:color="FFFFFF"/>
              <w:right w:val="nil"/>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2017</w:t>
            </w:r>
          </w:p>
        </w:tc>
      </w:tr>
      <w:tr w:rsidR="00965078" w:rsidRPr="00EB4778" w:rsidTr="00965078">
        <w:trPr>
          <w:trHeight w:val="23"/>
        </w:trPr>
        <w:tc>
          <w:tcPr>
            <w:tcW w:w="1279" w:type="pct"/>
            <w:vMerge/>
            <w:tcBorders>
              <w:top w:val="nil"/>
              <w:left w:val="nil"/>
              <w:bottom w:val="single" w:sz="12" w:space="0" w:color="FFFFFF"/>
              <w:right w:val="single" w:sz="12" w:space="0" w:color="FFFFFF"/>
            </w:tcBorders>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p>
        </w:tc>
        <w:tc>
          <w:tcPr>
            <w:tcW w:w="187" w:type="pct"/>
            <w:tcBorders>
              <w:top w:val="nil"/>
              <w:left w:val="nil"/>
              <w:bottom w:val="nil"/>
              <w:right w:val="nil"/>
            </w:tcBorders>
            <w:shd w:val="clear" w:color="000000" w:fill="FFFFFF"/>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405" w:type="pct"/>
            <w:tcBorders>
              <w:top w:val="nil"/>
              <w:left w:val="nil"/>
              <w:bottom w:val="nil"/>
              <w:right w:val="single" w:sz="8" w:space="0" w:color="FFFFFF"/>
            </w:tcBorders>
            <w:shd w:val="clear" w:color="000000" w:fill="DCE6F1"/>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Budget**</w:t>
            </w:r>
          </w:p>
        </w:tc>
        <w:tc>
          <w:tcPr>
            <w:tcW w:w="398" w:type="pct"/>
            <w:tcBorders>
              <w:top w:val="nil"/>
              <w:left w:val="nil"/>
              <w:bottom w:val="nil"/>
              <w:right w:val="single" w:sz="8" w:space="0" w:color="FFFFFF"/>
            </w:tcBorders>
            <w:shd w:val="clear" w:color="000000" w:fill="DCE6F1"/>
            <w:vAlign w:val="bottom"/>
            <w:hideMark/>
          </w:tcPr>
          <w:p w:rsidR="007E7828" w:rsidRPr="00EB4778" w:rsidRDefault="00465E82"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sidRPr="00465E82">
              <w:rPr>
                <w:b/>
                <w:bCs/>
                <w:sz w:val="14"/>
                <w:szCs w:val="14"/>
                <w:lang w:val="ru-RU"/>
              </w:rPr>
              <w:t>Montants</w:t>
            </w:r>
            <w:proofErr w:type="spellEnd"/>
            <w:r w:rsidRPr="00465E82">
              <w:rPr>
                <w:b/>
                <w:bCs/>
                <w:sz w:val="14"/>
                <w:szCs w:val="14"/>
                <w:lang w:val="ru-RU"/>
              </w:rPr>
              <w:t xml:space="preserve"> </w:t>
            </w:r>
            <w:proofErr w:type="spellStart"/>
            <w:r w:rsidRPr="00465E82">
              <w:rPr>
                <w:b/>
                <w:bCs/>
                <w:sz w:val="14"/>
                <w:szCs w:val="14"/>
                <w:lang w:val="ru-RU"/>
              </w:rPr>
              <w:t>effectifs</w:t>
            </w:r>
            <w:proofErr w:type="spellEnd"/>
            <w:r w:rsidRPr="00465E82">
              <w:rPr>
                <w:b/>
                <w:bCs/>
                <w:sz w:val="14"/>
                <w:szCs w:val="14"/>
                <w:lang w:val="ru-RU"/>
              </w:rPr>
              <w:t xml:space="preserve"> </w:t>
            </w:r>
            <w:r w:rsidR="007E7828" w:rsidRPr="00EB4778">
              <w:rPr>
                <w:rFonts w:asciiTheme="minorHAnsi" w:hAnsiTheme="minorHAnsi" w:cs="Arial"/>
                <w:b/>
                <w:bCs/>
                <w:sz w:val="14"/>
                <w:szCs w:val="14"/>
                <w:lang w:val="en-US" w:eastAsia="zh-CN"/>
              </w:rPr>
              <w:t>*</w:t>
            </w:r>
          </w:p>
        </w:tc>
        <w:tc>
          <w:tcPr>
            <w:tcW w:w="335" w:type="pct"/>
            <w:tcBorders>
              <w:top w:val="nil"/>
              <w:left w:val="nil"/>
              <w:bottom w:val="nil"/>
              <w:right w:val="single" w:sz="8" w:space="0" w:color="FFFFFF"/>
            </w:tcBorders>
            <w:shd w:val="clear" w:color="000000" w:fill="DCE6F1"/>
            <w:vAlign w:val="bottom"/>
            <w:hideMark/>
          </w:tcPr>
          <w:p w:rsidR="007E7828" w:rsidRPr="00EB4778" w:rsidRDefault="00465E82"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Ecart</w:t>
            </w:r>
            <w:proofErr w:type="spellEnd"/>
          </w:p>
        </w:tc>
        <w:tc>
          <w:tcPr>
            <w:tcW w:w="344" w:type="pct"/>
            <w:tcBorders>
              <w:top w:val="nil"/>
              <w:left w:val="nil"/>
              <w:bottom w:val="nil"/>
              <w:right w:val="nil"/>
            </w:tcBorders>
            <w:shd w:val="clear" w:color="000000" w:fill="DCE6F1"/>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w:t>
            </w:r>
          </w:p>
        </w:tc>
        <w:tc>
          <w:tcPr>
            <w:tcW w:w="153" w:type="pct"/>
            <w:tcBorders>
              <w:top w:val="nil"/>
              <w:left w:val="nil"/>
              <w:bottom w:val="nil"/>
              <w:right w:val="nil"/>
            </w:tcBorders>
            <w:shd w:val="clear" w:color="000000" w:fill="FFFFFF"/>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396" w:type="pct"/>
            <w:tcBorders>
              <w:top w:val="nil"/>
              <w:left w:val="nil"/>
              <w:bottom w:val="nil"/>
              <w:right w:val="single" w:sz="8" w:space="0" w:color="FFFFFF"/>
            </w:tcBorders>
            <w:shd w:val="clear" w:color="000000" w:fill="DCE6F1"/>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Budget**</w:t>
            </w:r>
          </w:p>
        </w:tc>
        <w:tc>
          <w:tcPr>
            <w:tcW w:w="433" w:type="pct"/>
            <w:tcBorders>
              <w:top w:val="nil"/>
              <w:left w:val="nil"/>
              <w:bottom w:val="nil"/>
              <w:right w:val="single" w:sz="8" w:space="0" w:color="FFFFFF"/>
            </w:tcBorders>
            <w:shd w:val="clear" w:color="000000" w:fill="DCE6F1"/>
            <w:vAlign w:val="bottom"/>
            <w:hideMark/>
          </w:tcPr>
          <w:p w:rsidR="007E7828" w:rsidRPr="00EB4778" w:rsidRDefault="00465E82"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sidRPr="00465E82">
              <w:rPr>
                <w:b/>
                <w:bCs/>
                <w:sz w:val="14"/>
                <w:szCs w:val="14"/>
                <w:lang w:val="ru-RU"/>
              </w:rPr>
              <w:t>Montants</w:t>
            </w:r>
            <w:proofErr w:type="spellEnd"/>
            <w:r w:rsidRPr="00465E82">
              <w:rPr>
                <w:b/>
                <w:bCs/>
                <w:sz w:val="14"/>
                <w:szCs w:val="14"/>
                <w:lang w:val="ru-RU"/>
              </w:rPr>
              <w:t xml:space="preserve"> </w:t>
            </w:r>
            <w:proofErr w:type="spellStart"/>
            <w:r w:rsidRPr="00465E82">
              <w:rPr>
                <w:b/>
                <w:bCs/>
                <w:sz w:val="14"/>
                <w:szCs w:val="14"/>
                <w:lang w:val="ru-RU"/>
              </w:rPr>
              <w:t>effectifs</w:t>
            </w:r>
            <w:proofErr w:type="spellEnd"/>
          </w:p>
        </w:tc>
        <w:tc>
          <w:tcPr>
            <w:tcW w:w="398" w:type="pct"/>
            <w:tcBorders>
              <w:top w:val="nil"/>
              <w:left w:val="nil"/>
              <w:bottom w:val="nil"/>
              <w:right w:val="single" w:sz="8" w:space="0" w:color="FFFFFF"/>
            </w:tcBorders>
            <w:shd w:val="clear" w:color="000000" w:fill="DCE6F1"/>
            <w:vAlign w:val="bottom"/>
            <w:hideMark/>
          </w:tcPr>
          <w:p w:rsidR="007E7828" w:rsidRPr="00EB4778" w:rsidRDefault="00465E82"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Prévisions</w:t>
            </w:r>
            <w:proofErr w:type="spellEnd"/>
          </w:p>
        </w:tc>
        <w:tc>
          <w:tcPr>
            <w:tcW w:w="339" w:type="pct"/>
            <w:tcBorders>
              <w:top w:val="nil"/>
              <w:left w:val="nil"/>
              <w:bottom w:val="nil"/>
              <w:right w:val="single" w:sz="8" w:space="0" w:color="FFFFFF"/>
            </w:tcBorders>
            <w:shd w:val="clear" w:color="000000" w:fill="DCE6F1"/>
            <w:vAlign w:val="bottom"/>
            <w:hideMark/>
          </w:tcPr>
          <w:p w:rsidR="007E7828" w:rsidRPr="00EB4778" w:rsidRDefault="00465E82"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Ecart</w:t>
            </w:r>
            <w:proofErr w:type="spellEnd"/>
          </w:p>
        </w:tc>
        <w:tc>
          <w:tcPr>
            <w:tcW w:w="330" w:type="pct"/>
            <w:tcBorders>
              <w:top w:val="nil"/>
              <w:left w:val="nil"/>
              <w:bottom w:val="nil"/>
              <w:right w:val="nil"/>
            </w:tcBorders>
            <w:shd w:val="clear" w:color="000000" w:fill="DCE6F1"/>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w:t>
            </w:r>
          </w:p>
        </w:tc>
      </w:tr>
      <w:tr w:rsidR="00965078" w:rsidRPr="00EB4778" w:rsidTr="00965078">
        <w:trPr>
          <w:trHeight w:val="23"/>
        </w:trPr>
        <w:tc>
          <w:tcPr>
            <w:tcW w:w="1279" w:type="pct"/>
            <w:vMerge/>
            <w:tcBorders>
              <w:top w:val="nil"/>
              <w:left w:val="nil"/>
              <w:bottom w:val="single" w:sz="12" w:space="0" w:color="FFFFFF"/>
              <w:right w:val="single" w:sz="12" w:space="0" w:color="FFFFFF"/>
            </w:tcBorders>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p>
        </w:tc>
        <w:tc>
          <w:tcPr>
            <w:tcW w:w="187" w:type="pct"/>
            <w:tcBorders>
              <w:top w:val="nil"/>
              <w:left w:val="nil"/>
              <w:bottom w:val="nil"/>
              <w:right w:val="nil"/>
            </w:tcBorders>
            <w:shd w:val="clear" w:color="000000" w:fill="FFFFFF"/>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405" w:type="pct"/>
            <w:tcBorders>
              <w:top w:val="nil"/>
              <w:left w:val="nil"/>
              <w:bottom w:val="nil"/>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2016</w:t>
            </w:r>
          </w:p>
        </w:tc>
        <w:tc>
          <w:tcPr>
            <w:tcW w:w="398" w:type="pct"/>
            <w:tcBorders>
              <w:top w:val="nil"/>
              <w:left w:val="nil"/>
              <w:bottom w:val="nil"/>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2016</w:t>
            </w:r>
          </w:p>
        </w:tc>
        <w:tc>
          <w:tcPr>
            <w:tcW w:w="335" w:type="pct"/>
            <w:tcBorders>
              <w:top w:val="nil"/>
              <w:left w:val="nil"/>
              <w:bottom w:val="single" w:sz="8" w:space="0" w:color="FFFFFF"/>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2016</w:t>
            </w:r>
          </w:p>
        </w:tc>
        <w:tc>
          <w:tcPr>
            <w:tcW w:w="344" w:type="pct"/>
            <w:tcBorders>
              <w:top w:val="nil"/>
              <w:left w:val="nil"/>
              <w:bottom w:val="single" w:sz="8" w:space="0" w:color="FFFFFF"/>
              <w:right w:val="nil"/>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2016</w:t>
            </w:r>
          </w:p>
        </w:tc>
        <w:tc>
          <w:tcPr>
            <w:tcW w:w="153" w:type="pct"/>
            <w:tcBorders>
              <w:top w:val="nil"/>
              <w:left w:val="nil"/>
              <w:bottom w:val="nil"/>
              <w:right w:val="nil"/>
            </w:tcBorders>
            <w:shd w:val="clear" w:color="000000" w:fill="FFFFFF"/>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396" w:type="pct"/>
            <w:tcBorders>
              <w:top w:val="nil"/>
              <w:left w:val="nil"/>
              <w:bottom w:val="nil"/>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2017</w:t>
            </w:r>
          </w:p>
        </w:tc>
        <w:tc>
          <w:tcPr>
            <w:tcW w:w="433" w:type="pct"/>
            <w:tcBorders>
              <w:top w:val="nil"/>
              <w:left w:val="nil"/>
              <w:bottom w:val="nil"/>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07.02.2017</w:t>
            </w:r>
          </w:p>
        </w:tc>
        <w:tc>
          <w:tcPr>
            <w:tcW w:w="398" w:type="pct"/>
            <w:tcBorders>
              <w:top w:val="nil"/>
              <w:left w:val="nil"/>
              <w:bottom w:val="nil"/>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2017</w:t>
            </w:r>
          </w:p>
        </w:tc>
        <w:tc>
          <w:tcPr>
            <w:tcW w:w="339" w:type="pct"/>
            <w:tcBorders>
              <w:top w:val="nil"/>
              <w:left w:val="nil"/>
              <w:bottom w:val="single" w:sz="8" w:space="0" w:color="FFFFFF"/>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2017</w:t>
            </w:r>
          </w:p>
        </w:tc>
        <w:tc>
          <w:tcPr>
            <w:tcW w:w="330" w:type="pct"/>
            <w:tcBorders>
              <w:top w:val="nil"/>
              <w:left w:val="nil"/>
              <w:bottom w:val="single" w:sz="8" w:space="0" w:color="FFFFFF"/>
              <w:right w:val="nil"/>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2017</w:t>
            </w:r>
          </w:p>
        </w:tc>
      </w:tr>
      <w:tr w:rsidR="00965078" w:rsidRPr="00EB4778" w:rsidTr="00965078">
        <w:trPr>
          <w:trHeight w:val="23"/>
        </w:trPr>
        <w:tc>
          <w:tcPr>
            <w:tcW w:w="1279" w:type="pct"/>
            <w:vMerge/>
            <w:tcBorders>
              <w:top w:val="nil"/>
              <w:left w:val="nil"/>
              <w:bottom w:val="single" w:sz="12" w:space="0" w:color="FFFFFF"/>
              <w:right w:val="single" w:sz="12" w:space="0" w:color="FFFFFF"/>
            </w:tcBorders>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p>
        </w:tc>
        <w:tc>
          <w:tcPr>
            <w:tcW w:w="187" w:type="pct"/>
            <w:tcBorders>
              <w:top w:val="nil"/>
              <w:left w:val="nil"/>
              <w:bottom w:val="nil"/>
              <w:right w:val="nil"/>
            </w:tcBorders>
            <w:shd w:val="clear" w:color="000000" w:fill="FFFFFF"/>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405" w:type="pct"/>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a</w:t>
            </w:r>
          </w:p>
        </w:tc>
        <w:tc>
          <w:tcPr>
            <w:tcW w:w="398" w:type="pct"/>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b</w:t>
            </w:r>
          </w:p>
        </w:tc>
        <w:tc>
          <w:tcPr>
            <w:tcW w:w="335" w:type="pct"/>
            <w:tcBorders>
              <w:top w:val="nil"/>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c = b - a</w:t>
            </w:r>
          </w:p>
        </w:tc>
        <w:tc>
          <w:tcPr>
            <w:tcW w:w="344" w:type="pct"/>
            <w:tcBorders>
              <w:top w:val="nil"/>
              <w:left w:val="nil"/>
              <w:bottom w:val="single" w:sz="8" w:space="0" w:color="FFFFFF"/>
              <w:right w:val="nil"/>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d = c / a</w:t>
            </w:r>
          </w:p>
        </w:tc>
        <w:tc>
          <w:tcPr>
            <w:tcW w:w="153" w:type="pct"/>
            <w:tcBorders>
              <w:top w:val="nil"/>
              <w:left w:val="nil"/>
              <w:bottom w:val="nil"/>
              <w:right w:val="nil"/>
            </w:tcBorders>
            <w:shd w:val="clear" w:color="000000" w:fill="FFFFFF"/>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e</w:t>
            </w:r>
          </w:p>
        </w:tc>
        <w:tc>
          <w:tcPr>
            <w:tcW w:w="433" w:type="pct"/>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f</w:t>
            </w:r>
          </w:p>
        </w:tc>
        <w:tc>
          <w:tcPr>
            <w:tcW w:w="398" w:type="pct"/>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g</w:t>
            </w:r>
          </w:p>
        </w:tc>
        <w:tc>
          <w:tcPr>
            <w:tcW w:w="339" w:type="pct"/>
            <w:tcBorders>
              <w:top w:val="nil"/>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h = g - e</w:t>
            </w:r>
          </w:p>
        </w:tc>
        <w:tc>
          <w:tcPr>
            <w:tcW w:w="330" w:type="pct"/>
            <w:tcBorders>
              <w:top w:val="nil"/>
              <w:left w:val="nil"/>
              <w:bottom w:val="single" w:sz="8" w:space="0" w:color="FFFFFF"/>
              <w:right w:val="nil"/>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i = h / e</w:t>
            </w:r>
          </w:p>
        </w:tc>
      </w:tr>
      <w:tr w:rsidR="00965078" w:rsidRPr="00EB4778" w:rsidTr="00965078">
        <w:trPr>
          <w:trHeight w:val="23"/>
        </w:trPr>
        <w:tc>
          <w:tcPr>
            <w:tcW w:w="1279" w:type="pct"/>
            <w:tcBorders>
              <w:top w:val="nil"/>
              <w:left w:val="nil"/>
              <w:bottom w:val="nil"/>
              <w:right w:val="single" w:sz="12" w:space="0" w:color="FFFFFF"/>
            </w:tcBorders>
            <w:shd w:val="clear" w:color="000000" w:fill="DCE6F1"/>
            <w:noWrap/>
            <w:vAlign w:val="bottom"/>
            <w:hideMark/>
          </w:tcPr>
          <w:p w:rsidR="007E7828" w:rsidRPr="00EB4778" w:rsidRDefault="007E7828" w:rsidP="00465E82">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xml:space="preserve">1. </w:t>
            </w:r>
            <w:r w:rsidR="00465E82">
              <w:rPr>
                <w:rFonts w:asciiTheme="minorHAnsi" w:hAnsiTheme="minorHAnsi" w:cs="Arial"/>
                <w:sz w:val="14"/>
                <w:szCs w:val="14"/>
                <w:lang w:val="en-US" w:eastAsia="zh-CN"/>
              </w:rPr>
              <w:t>C</w:t>
            </w:r>
            <w:r w:rsidRPr="00EB4778">
              <w:rPr>
                <w:rFonts w:asciiTheme="minorHAnsi" w:hAnsiTheme="minorHAnsi" w:cs="Arial"/>
                <w:sz w:val="14"/>
                <w:szCs w:val="14"/>
                <w:lang w:val="en-US" w:eastAsia="zh-CN"/>
              </w:rPr>
              <w:t>ontributions</w:t>
            </w:r>
            <w:r w:rsidR="00465E82">
              <w:rPr>
                <w:rFonts w:asciiTheme="minorHAnsi" w:hAnsiTheme="minorHAnsi" w:cs="Arial"/>
                <w:sz w:val="14"/>
                <w:szCs w:val="14"/>
                <w:lang w:val="en-US" w:eastAsia="zh-CN"/>
              </w:rPr>
              <w:t xml:space="preserve"> </w:t>
            </w:r>
            <w:proofErr w:type="spellStart"/>
            <w:r w:rsidR="00465E82">
              <w:rPr>
                <w:rFonts w:asciiTheme="minorHAnsi" w:hAnsiTheme="minorHAnsi" w:cs="Arial"/>
                <w:sz w:val="14"/>
                <w:szCs w:val="14"/>
                <w:lang w:val="en-US" w:eastAsia="zh-CN"/>
              </w:rPr>
              <w:t>mises</w:t>
            </w:r>
            <w:proofErr w:type="spellEnd"/>
            <w:r w:rsidR="00465E82">
              <w:rPr>
                <w:rFonts w:asciiTheme="minorHAnsi" w:hAnsiTheme="minorHAnsi" w:cs="Arial"/>
                <w:sz w:val="14"/>
                <w:szCs w:val="14"/>
                <w:lang w:val="en-US" w:eastAsia="zh-CN"/>
              </w:rPr>
              <w:t xml:space="preserve"> </w:t>
            </w:r>
            <w:proofErr w:type="spellStart"/>
            <w:r w:rsidR="00465E82">
              <w:rPr>
                <w:rFonts w:asciiTheme="minorHAnsi" w:hAnsiTheme="minorHAnsi" w:cs="Arial"/>
                <w:sz w:val="14"/>
                <w:szCs w:val="14"/>
                <w:lang w:val="en-US" w:eastAsia="zh-CN"/>
              </w:rPr>
              <w:t>en</w:t>
            </w:r>
            <w:proofErr w:type="spellEnd"/>
            <w:r w:rsidR="00465E82">
              <w:rPr>
                <w:rFonts w:asciiTheme="minorHAnsi" w:hAnsiTheme="minorHAnsi" w:cs="Arial"/>
                <w:sz w:val="14"/>
                <w:szCs w:val="14"/>
                <w:lang w:val="en-US" w:eastAsia="zh-CN"/>
              </w:rPr>
              <w:t xml:space="preserve"> </w:t>
            </w:r>
            <w:proofErr w:type="spellStart"/>
            <w:r w:rsidR="00465E82">
              <w:rPr>
                <w:rFonts w:asciiTheme="minorHAnsi" w:hAnsiTheme="minorHAnsi" w:cs="Arial"/>
                <w:sz w:val="14"/>
                <w:szCs w:val="14"/>
                <w:lang w:val="en-US" w:eastAsia="zh-CN"/>
              </w:rPr>
              <w:t>recouvrement</w:t>
            </w:r>
            <w:proofErr w:type="spellEnd"/>
          </w:p>
        </w:tc>
        <w:tc>
          <w:tcPr>
            <w:tcW w:w="187"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40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124</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401</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122</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891</w:t>
            </w:r>
          </w:p>
        </w:tc>
        <w:tc>
          <w:tcPr>
            <w:tcW w:w="33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510</w:t>
            </w:r>
          </w:p>
        </w:tc>
        <w:tc>
          <w:tcPr>
            <w:tcW w:w="344"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2%</w:t>
            </w:r>
          </w:p>
        </w:tc>
        <w:tc>
          <w:tcPr>
            <w:tcW w:w="153"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124</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401</w:t>
            </w:r>
          </w:p>
        </w:tc>
        <w:tc>
          <w:tcPr>
            <w:tcW w:w="433"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122</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303</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123</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192</w:t>
            </w:r>
          </w:p>
        </w:tc>
        <w:tc>
          <w:tcPr>
            <w:tcW w:w="339" w:type="pct"/>
            <w:tcBorders>
              <w:top w:val="nil"/>
              <w:left w:val="nil"/>
              <w:bottom w:val="nil"/>
              <w:right w:val="single" w:sz="8" w:space="0" w:color="FFFFFF"/>
            </w:tcBorders>
            <w:shd w:val="clear" w:color="000000" w:fill="FFFFFF"/>
            <w:noWrap/>
            <w:vAlign w:val="bottom"/>
            <w:hideMark/>
          </w:tcPr>
          <w:p w:rsidR="007E7828" w:rsidRPr="00EB4778" w:rsidRDefault="007E50DE" w:rsidP="007E50D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7E50DE">
              <w:rPr>
                <w:rFonts w:asciiTheme="minorHAnsi" w:hAnsiTheme="minorHAnsi" w:cs="Arial"/>
                <w:sz w:val="12"/>
                <w:szCs w:val="12"/>
                <w:lang w:val="en-US" w:eastAsia="zh-CN"/>
              </w:rPr>
              <w:t>-</w:t>
            </w:r>
            <w:r w:rsidR="007E7828" w:rsidRPr="007E50DE">
              <w:rPr>
                <w:rFonts w:asciiTheme="minorHAnsi" w:hAnsiTheme="minorHAnsi" w:cs="Arial"/>
                <w:sz w:val="12"/>
                <w:szCs w:val="12"/>
                <w:lang w:val="en-US" w:eastAsia="zh-CN"/>
              </w:rPr>
              <w:t>1</w:t>
            </w:r>
            <w:r w:rsidRPr="007E50DE">
              <w:rPr>
                <w:rFonts w:asciiTheme="minorHAnsi" w:hAnsiTheme="minorHAnsi" w:cs="Arial"/>
                <w:sz w:val="12"/>
                <w:szCs w:val="12"/>
                <w:lang w:val="en-US" w:eastAsia="zh-CN"/>
              </w:rPr>
              <w:t> </w:t>
            </w:r>
            <w:r w:rsidR="007E7828" w:rsidRPr="007E50DE">
              <w:rPr>
                <w:rFonts w:asciiTheme="minorHAnsi" w:hAnsiTheme="minorHAnsi" w:cs="Arial"/>
                <w:sz w:val="12"/>
                <w:szCs w:val="12"/>
                <w:lang w:val="en-US" w:eastAsia="zh-CN"/>
              </w:rPr>
              <w:t>209</w:t>
            </w:r>
          </w:p>
        </w:tc>
        <w:tc>
          <w:tcPr>
            <w:tcW w:w="330"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0%</w:t>
            </w:r>
          </w:p>
        </w:tc>
      </w:tr>
      <w:tr w:rsidR="00965078" w:rsidRPr="00EB4778" w:rsidTr="00965078">
        <w:trPr>
          <w:trHeight w:val="23"/>
        </w:trPr>
        <w:tc>
          <w:tcPr>
            <w:tcW w:w="1279" w:type="pct"/>
            <w:tcBorders>
              <w:top w:val="nil"/>
              <w:left w:val="nil"/>
              <w:bottom w:val="nil"/>
              <w:right w:val="single" w:sz="12" w:space="0" w:color="FFFFFF"/>
            </w:tcBorders>
            <w:shd w:val="clear" w:color="000000" w:fill="DCE6F1"/>
            <w:noWrap/>
            <w:vAlign w:val="bottom"/>
            <w:hideMark/>
          </w:tcPr>
          <w:p w:rsidR="007E7828" w:rsidRPr="00EB4778" w:rsidRDefault="007E7828" w:rsidP="00465E82">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xml:space="preserve">2. </w:t>
            </w:r>
            <w:proofErr w:type="spellStart"/>
            <w:r w:rsidR="00465E82">
              <w:rPr>
                <w:rFonts w:asciiTheme="minorHAnsi" w:hAnsiTheme="minorHAnsi" w:cs="Arial"/>
                <w:sz w:val="14"/>
                <w:szCs w:val="14"/>
                <w:lang w:val="en-US" w:eastAsia="zh-CN"/>
              </w:rPr>
              <w:t>Recouvrement</w:t>
            </w:r>
            <w:proofErr w:type="spellEnd"/>
            <w:r w:rsidR="00465E82">
              <w:rPr>
                <w:rFonts w:asciiTheme="minorHAnsi" w:hAnsiTheme="minorHAnsi" w:cs="Arial"/>
                <w:sz w:val="14"/>
                <w:szCs w:val="14"/>
                <w:lang w:val="en-US" w:eastAsia="zh-CN"/>
              </w:rPr>
              <w:t xml:space="preserve"> des </w:t>
            </w:r>
            <w:proofErr w:type="spellStart"/>
            <w:r w:rsidR="00465E82">
              <w:rPr>
                <w:rFonts w:asciiTheme="minorHAnsi" w:hAnsiTheme="minorHAnsi" w:cs="Arial"/>
                <w:sz w:val="14"/>
                <w:szCs w:val="14"/>
                <w:lang w:val="en-US" w:eastAsia="zh-CN"/>
              </w:rPr>
              <w:t>coûts</w:t>
            </w:r>
            <w:proofErr w:type="spellEnd"/>
          </w:p>
        </w:tc>
        <w:tc>
          <w:tcPr>
            <w:tcW w:w="187"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40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34</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625</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34</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382</w:t>
            </w:r>
          </w:p>
        </w:tc>
        <w:tc>
          <w:tcPr>
            <w:tcW w:w="33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-243</w:t>
            </w:r>
          </w:p>
        </w:tc>
        <w:tc>
          <w:tcPr>
            <w:tcW w:w="344"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-0</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7%</w:t>
            </w:r>
          </w:p>
        </w:tc>
        <w:tc>
          <w:tcPr>
            <w:tcW w:w="153"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34</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625</w:t>
            </w:r>
          </w:p>
        </w:tc>
        <w:tc>
          <w:tcPr>
            <w:tcW w:w="433"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710</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34</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350</w:t>
            </w:r>
          </w:p>
        </w:tc>
        <w:tc>
          <w:tcPr>
            <w:tcW w:w="339"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-275</w:t>
            </w:r>
          </w:p>
        </w:tc>
        <w:tc>
          <w:tcPr>
            <w:tcW w:w="330"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-0</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8%</w:t>
            </w:r>
          </w:p>
        </w:tc>
      </w:tr>
      <w:tr w:rsidR="00965078" w:rsidRPr="00EB4778" w:rsidTr="00965078">
        <w:trPr>
          <w:trHeight w:val="23"/>
        </w:trPr>
        <w:tc>
          <w:tcPr>
            <w:tcW w:w="1279" w:type="pct"/>
            <w:tcBorders>
              <w:top w:val="nil"/>
              <w:left w:val="nil"/>
              <w:bottom w:val="nil"/>
              <w:right w:val="single" w:sz="12" w:space="0" w:color="FFFFFF"/>
            </w:tcBorders>
            <w:shd w:val="clear" w:color="000000" w:fill="DCE6F1"/>
            <w:noWrap/>
            <w:vAlign w:val="bottom"/>
            <w:hideMark/>
          </w:tcPr>
          <w:p w:rsidR="007E7828" w:rsidRPr="00EB4778" w:rsidRDefault="007E7828" w:rsidP="00465E82">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xml:space="preserve">3. </w:t>
            </w:r>
            <w:proofErr w:type="spellStart"/>
            <w:r w:rsidR="00465E82">
              <w:rPr>
                <w:rFonts w:asciiTheme="minorHAnsi" w:hAnsiTheme="minorHAnsi" w:cs="Arial"/>
                <w:sz w:val="14"/>
                <w:szCs w:val="14"/>
                <w:lang w:val="en-US" w:eastAsia="zh-CN"/>
              </w:rPr>
              <w:t>Intérêts</w:t>
            </w:r>
            <w:proofErr w:type="spellEnd"/>
            <w:r w:rsidR="00465E82">
              <w:rPr>
                <w:rFonts w:asciiTheme="minorHAnsi" w:hAnsiTheme="minorHAnsi" w:cs="Arial"/>
                <w:sz w:val="14"/>
                <w:szCs w:val="14"/>
                <w:lang w:val="en-US" w:eastAsia="zh-CN"/>
              </w:rPr>
              <w:t xml:space="preserve"> et </w:t>
            </w:r>
            <w:proofErr w:type="spellStart"/>
            <w:r w:rsidR="00465E82">
              <w:rPr>
                <w:rFonts w:asciiTheme="minorHAnsi" w:hAnsiTheme="minorHAnsi" w:cs="Arial"/>
                <w:sz w:val="14"/>
                <w:szCs w:val="14"/>
                <w:lang w:val="en-US" w:eastAsia="zh-CN"/>
              </w:rPr>
              <w:t>autres</w:t>
            </w:r>
            <w:proofErr w:type="spellEnd"/>
            <w:r w:rsidR="00465E82">
              <w:rPr>
                <w:rFonts w:asciiTheme="minorHAnsi" w:hAnsiTheme="minorHAnsi" w:cs="Arial"/>
                <w:sz w:val="14"/>
                <w:szCs w:val="14"/>
                <w:lang w:val="en-US" w:eastAsia="zh-CN"/>
              </w:rPr>
              <w:t xml:space="preserve"> </w:t>
            </w:r>
            <w:proofErr w:type="spellStart"/>
            <w:r w:rsidR="00465E82">
              <w:rPr>
                <w:rFonts w:asciiTheme="minorHAnsi" w:hAnsiTheme="minorHAnsi" w:cs="Arial"/>
                <w:sz w:val="14"/>
                <w:szCs w:val="14"/>
                <w:lang w:val="en-US" w:eastAsia="zh-CN"/>
              </w:rPr>
              <w:t>produits</w:t>
            </w:r>
            <w:proofErr w:type="spellEnd"/>
          </w:p>
        </w:tc>
        <w:tc>
          <w:tcPr>
            <w:tcW w:w="187"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40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400</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251</w:t>
            </w:r>
          </w:p>
        </w:tc>
        <w:tc>
          <w:tcPr>
            <w:tcW w:w="33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-149</w:t>
            </w:r>
          </w:p>
        </w:tc>
        <w:tc>
          <w:tcPr>
            <w:tcW w:w="344"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-37</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3%</w:t>
            </w:r>
          </w:p>
        </w:tc>
        <w:tc>
          <w:tcPr>
            <w:tcW w:w="153"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400</w:t>
            </w:r>
          </w:p>
        </w:tc>
        <w:tc>
          <w:tcPr>
            <w:tcW w:w="433"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46</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300</w:t>
            </w:r>
          </w:p>
        </w:tc>
        <w:tc>
          <w:tcPr>
            <w:tcW w:w="339"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-100</w:t>
            </w:r>
          </w:p>
        </w:tc>
        <w:tc>
          <w:tcPr>
            <w:tcW w:w="330"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-25</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0%</w:t>
            </w:r>
          </w:p>
        </w:tc>
      </w:tr>
      <w:tr w:rsidR="00965078" w:rsidRPr="00EB4778" w:rsidTr="00965078">
        <w:trPr>
          <w:trHeight w:val="23"/>
        </w:trPr>
        <w:tc>
          <w:tcPr>
            <w:tcW w:w="1279" w:type="pct"/>
            <w:tcBorders>
              <w:top w:val="nil"/>
              <w:left w:val="nil"/>
              <w:bottom w:val="nil"/>
              <w:right w:val="single" w:sz="12" w:space="0" w:color="FFFFFF"/>
            </w:tcBorders>
            <w:shd w:val="clear" w:color="000000" w:fill="DCE6F1"/>
            <w:noWrap/>
            <w:vAlign w:val="bottom"/>
            <w:hideMark/>
          </w:tcPr>
          <w:p w:rsidR="007E7828" w:rsidRPr="00465E82"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fr-CH" w:eastAsia="zh-CN"/>
              </w:rPr>
            </w:pPr>
            <w:r w:rsidRPr="00465E82">
              <w:rPr>
                <w:rFonts w:asciiTheme="minorHAnsi" w:hAnsiTheme="minorHAnsi" w:cs="Arial"/>
                <w:sz w:val="14"/>
                <w:szCs w:val="14"/>
                <w:lang w:val="fr-CH" w:eastAsia="zh-CN"/>
              </w:rPr>
              <w:t>4.</w:t>
            </w:r>
            <w:r w:rsidRPr="00465E82">
              <w:rPr>
                <w:rFonts w:asciiTheme="minorHAnsi" w:hAnsiTheme="minorHAnsi" w:cs="Arial"/>
                <w:sz w:val="12"/>
                <w:szCs w:val="12"/>
                <w:lang w:val="fr-CH" w:eastAsia="zh-CN"/>
              </w:rPr>
              <w:t xml:space="preserve"> </w:t>
            </w:r>
            <w:r w:rsidR="00465E82" w:rsidRPr="00465E82">
              <w:rPr>
                <w:sz w:val="14"/>
                <w:szCs w:val="14"/>
                <w:lang w:val="fr-CH"/>
              </w:rPr>
              <w:t>Prélèvement sur le Fonds de réserve</w:t>
            </w:r>
          </w:p>
        </w:tc>
        <w:tc>
          <w:tcPr>
            <w:tcW w:w="187" w:type="pct"/>
            <w:tcBorders>
              <w:top w:val="nil"/>
              <w:left w:val="nil"/>
              <w:bottom w:val="nil"/>
              <w:right w:val="nil"/>
            </w:tcBorders>
            <w:shd w:val="clear" w:color="000000" w:fill="FFFFFF"/>
            <w:noWrap/>
            <w:vAlign w:val="bottom"/>
            <w:hideMark/>
          </w:tcPr>
          <w:p w:rsidR="007E7828" w:rsidRPr="00465E82"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fr-CH" w:eastAsia="zh-CN"/>
              </w:rPr>
            </w:pPr>
            <w:r w:rsidRPr="00465E82">
              <w:rPr>
                <w:rFonts w:asciiTheme="minorHAnsi" w:hAnsiTheme="minorHAnsi" w:cs="Arial"/>
                <w:sz w:val="14"/>
                <w:szCs w:val="14"/>
                <w:lang w:val="fr-CH" w:eastAsia="zh-CN"/>
              </w:rPr>
              <w:t> </w:t>
            </w:r>
          </w:p>
        </w:tc>
        <w:tc>
          <w:tcPr>
            <w:tcW w:w="40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017</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0</w:t>
            </w:r>
          </w:p>
        </w:tc>
        <w:tc>
          <w:tcPr>
            <w:tcW w:w="33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017</w:t>
            </w:r>
          </w:p>
        </w:tc>
        <w:tc>
          <w:tcPr>
            <w:tcW w:w="344"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-100</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0%</w:t>
            </w:r>
          </w:p>
        </w:tc>
        <w:tc>
          <w:tcPr>
            <w:tcW w:w="153"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434</w:t>
            </w:r>
          </w:p>
        </w:tc>
        <w:tc>
          <w:tcPr>
            <w:tcW w:w="433"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434</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434</w:t>
            </w:r>
          </w:p>
        </w:tc>
        <w:tc>
          <w:tcPr>
            <w:tcW w:w="339"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0</w:t>
            </w:r>
          </w:p>
        </w:tc>
        <w:tc>
          <w:tcPr>
            <w:tcW w:w="330"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0</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0%</w:t>
            </w:r>
          </w:p>
        </w:tc>
      </w:tr>
      <w:tr w:rsidR="00965078" w:rsidRPr="00EB4778" w:rsidTr="00965078">
        <w:trPr>
          <w:trHeight w:val="23"/>
        </w:trPr>
        <w:tc>
          <w:tcPr>
            <w:tcW w:w="1279" w:type="pct"/>
            <w:tcBorders>
              <w:top w:val="nil"/>
              <w:left w:val="nil"/>
              <w:bottom w:val="nil"/>
              <w:right w:val="single" w:sz="12" w:space="0" w:color="FFFFFF"/>
            </w:tcBorders>
            <w:shd w:val="clear" w:color="000000" w:fill="DCE6F1"/>
            <w:noWrap/>
            <w:vAlign w:val="bottom"/>
            <w:hideMark/>
          </w:tcPr>
          <w:p w:rsidR="007E7828" w:rsidRPr="00EB4778" w:rsidRDefault="007E7828" w:rsidP="00176E43">
            <w:pPr>
              <w:tabs>
                <w:tab w:val="clear" w:pos="567"/>
                <w:tab w:val="clear" w:pos="1134"/>
                <w:tab w:val="clear" w:pos="1701"/>
                <w:tab w:val="clear" w:pos="2268"/>
                <w:tab w:val="clear" w:pos="2835"/>
              </w:tabs>
              <w:overflowPunct/>
              <w:autoSpaceDE/>
              <w:autoSpaceDN/>
              <w:adjustRightInd/>
              <w:spacing w:before="0"/>
              <w:ind w:firstLineChars="100" w:firstLine="141"/>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xml:space="preserve">Total </w:t>
            </w:r>
            <w:r w:rsidR="00176E43">
              <w:rPr>
                <w:rFonts w:asciiTheme="minorHAnsi" w:hAnsiTheme="minorHAnsi" w:cs="Arial"/>
                <w:b/>
                <w:bCs/>
                <w:sz w:val="14"/>
                <w:szCs w:val="14"/>
                <w:lang w:val="en-US" w:eastAsia="zh-CN"/>
              </w:rPr>
              <w:t xml:space="preserve">des </w:t>
            </w:r>
            <w:proofErr w:type="spellStart"/>
            <w:r w:rsidR="00176E43">
              <w:rPr>
                <w:rFonts w:asciiTheme="minorHAnsi" w:hAnsiTheme="minorHAnsi" w:cs="Arial"/>
                <w:b/>
                <w:bCs/>
                <w:sz w:val="14"/>
                <w:szCs w:val="14"/>
                <w:lang w:val="en-US" w:eastAsia="zh-CN"/>
              </w:rPr>
              <w:t>produits</w:t>
            </w:r>
            <w:proofErr w:type="spellEnd"/>
          </w:p>
        </w:tc>
        <w:tc>
          <w:tcPr>
            <w:tcW w:w="187" w:type="pct"/>
            <w:tcBorders>
              <w:top w:val="nil"/>
              <w:left w:val="nil"/>
              <w:bottom w:val="nil"/>
              <w:right w:val="nil"/>
            </w:tcBorders>
            <w:shd w:val="clear" w:color="000000" w:fill="FFFFFF"/>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1"/>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405"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160</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443</w:t>
            </w:r>
          </w:p>
        </w:tc>
        <w:tc>
          <w:tcPr>
            <w:tcW w:w="398"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157</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524</w:t>
            </w:r>
          </w:p>
        </w:tc>
        <w:tc>
          <w:tcPr>
            <w:tcW w:w="335"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919</w:t>
            </w:r>
          </w:p>
        </w:tc>
        <w:tc>
          <w:tcPr>
            <w:tcW w:w="344" w:type="pct"/>
            <w:tcBorders>
              <w:top w:val="nil"/>
              <w:left w:val="nil"/>
              <w:bottom w:val="nil"/>
              <w:right w:val="nil"/>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w:t>
            </w:r>
            <w:r w:rsidR="00176E43">
              <w:rPr>
                <w:rFonts w:asciiTheme="minorHAnsi" w:hAnsiTheme="minorHAnsi" w:cs="Arial"/>
                <w:b/>
                <w:bCs/>
                <w:sz w:val="14"/>
                <w:szCs w:val="14"/>
                <w:lang w:val="en-US" w:eastAsia="zh-CN"/>
              </w:rPr>
              <w:t>,</w:t>
            </w:r>
            <w:r w:rsidRPr="00EB4778">
              <w:rPr>
                <w:rFonts w:asciiTheme="minorHAnsi" w:hAnsiTheme="minorHAnsi" w:cs="Arial"/>
                <w:b/>
                <w:bCs/>
                <w:sz w:val="14"/>
                <w:szCs w:val="14"/>
                <w:lang w:val="en-US" w:eastAsia="zh-CN"/>
              </w:rPr>
              <w:t>8%</w:t>
            </w:r>
          </w:p>
        </w:tc>
        <w:tc>
          <w:tcPr>
            <w:tcW w:w="153" w:type="pct"/>
            <w:tcBorders>
              <w:top w:val="nil"/>
              <w:left w:val="nil"/>
              <w:bottom w:val="nil"/>
              <w:right w:val="nil"/>
            </w:tcBorders>
            <w:shd w:val="clear" w:color="000000" w:fill="FFFFFF"/>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160</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860</w:t>
            </w:r>
          </w:p>
        </w:tc>
        <w:tc>
          <w:tcPr>
            <w:tcW w:w="433"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126</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493</w:t>
            </w:r>
          </w:p>
        </w:tc>
        <w:tc>
          <w:tcPr>
            <w:tcW w:w="398"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159</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276</w:t>
            </w:r>
          </w:p>
        </w:tc>
        <w:tc>
          <w:tcPr>
            <w:tcW w:w="339" w:type="pct"/>
            <w:tcBorders>
              <w:top w:val="nil"/>
              <w:left w:val="nil"/>
              <w:bottom w:val="nil"/>
              <w:right w:val="single" w:sz="8" w:space="0" w:color="FFFFFF"/>
            </w:tcBorders>
            <w:shd w:val="clear" w:color="000000" w:fill="DCE6F1"/>
            <w:noWrap/>
            <w:vAlign w:val="center"/>
            <w:hideMark/>
          </w:tcPr>
          <w:p w:rsidR="007E7828" w:rsidRPr="00EB4778" w:rsidRDefault="007E50DE" w:rsidP="007E50D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Pr>
                <w:rFonts w:asciiTheme="minorHAnsi" w:hAnsiTheme="minorHAnsi" w:cs="Arial"/>
                <w:b/>
                <w:bCs/>
                <w:sz w:val="14"/>
                <w:szCs w:val="14"/>
                <w:lang w:val="en-US" w:eastAsia="zh-CN"/>
              </w:rPr>
              <w:t>-</w:t>
            </w:r>
            <w:r w:rsidR="007E7828" w:rsidRPr="007E50DE">
              <w:rPr>
                <w:rFonts w:asciiTheme="minorHAnsi" w:hAnsiTheme="minorHAnsi" w:cs="Arial"/>
                <w:b/>
                <w:bCs/>
                <w:sz w:val="12"/>
                <w:szCs w:val="12"/>
                <w:lang w:val="en-US" w:eastAsia="zh-CN"/>
              </w:rPr>
              <w:t>1</w:t>
            </w:r>
            <w:r w:rsidRPr="007E50DE">
              <w:rPr>
                <w:rFonts w:asciiTheme="minorHAnsi" w:hAnsiTheme="minorHAnsi" w:cs="Arial"/>
                <w:b/>
                <w:bCs/>
                <w:sz w:val="12"/>
                <w:szCs w:val="12"/>
                <w:lang w:val="en-US" w:eastAsia="zh-CN"/>
              </w:rPr>
              <w:t> </w:t>
            </w:r>
            <w:r w:rsidR="007E7828" w:rsidRPr="007E50DE">
              <w:rPr>
                <w:rFonts w:asciiTheme="minorHAnsi" w:hAnsiTheme="minorHAnsi" w:cs="Arial"/>
                <w:b/>
                <w:bCs/>
                <w:sz w:val="12"/>
                <w:szCs w:val="12"/>
                <w:lang w:val="en-US" w:eastAsia="zh-CN"/>
              </w:rPr>
              <w:t>584</w:t>
            </w:r>
          </w:p>
        </w:tc>
        <w:tc>
          <w:tcPr>
            <w:tcW w:w="330" w:type="pct"/>
            <w:tcBorders>
              <w:top w:val="nil"/>
              <w:left w:val="nil"/>
              <w:bottom w:val="nil"/>
              <w:right w:val="nil"/>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w:t>
            </w:r>
            <w:r w:rsidR="00176E43">
              <w:rPr>
                <w:rFonts w:asciiTheme="minorHAnsi" w:hAnsiTheme="minorHAnsi" w:cs="Arial"/>
                <w:b/>
                <w:bCs/>
                <w:sz w:val="14"/>
                <w:szCs w:val="14"/>
                <w:lang w:val="en-US" w:eastAsia="zh-CN"/>
              </w:rPr>
              <w:t>,</w:t>
            </w:r>
            <w:r w:rsidRPr="00EB4778">
              <w:rPr>
                <w:rFonts w:asciiTheme="minorHAnsi" w:hAnsiTheme="minorHAnsi" w:cs="Arial"/>
                <w:b/>
                <w:bCs/>
                <w:sz w:val="14"/>
                <w:szCs w:val="14"/>
                <w:lang w:val="en-US" w:eastAsia="zh-CN"/>
              </w:rPr>
              <w:t>0%</w:t>
            </w:r>
          </w:p>
        </w:tc>
      </w:tr>
      <w:tr w:rsidR="00965078" w:rsidRPr="00EB4778" w:rsidTr="00965078">
        <w:trPr>
          <w:trHeight w:val="23"/>
        </w:trPr>
        <w:tc>
          <w:tcPr>
            <w:tcW w:w="1279"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187"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405"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8"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35"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44"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153"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433"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8"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39"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30"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r>
      <w:tr w:rsidR="004F37E3" w:rsidRPr="00EB4778" w:rsidTr="00965078">
        <w:trPr>
          <w:trHeight w:val="23"/>
        </w:trPr>
        <w:tc>
          <w:tcPr>
            <w:tcW w:w="1279"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187"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1483" w:type="pct"/>
            <w:gridSpan w:val="4"/>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2016</w:t>
            </w:r>
          </w:p>
        </w:tc>
        <w:tc>
          <w:tcPr>
            <w:tcW w:w="153" w:type="pct"/>
            <w:tcBorders>
              <w:top w:val="nil"/>
              <w:left w:val="nil"/>
              <w:bottom w:val="nil"/>
              <w:right w:val="nil"/>
            </w:tcBorders>
            <w:shd w:val="clear" w:color="000000" w:fill="FFFFFF"/>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1897" w:type="pct"/>
            <w:gridSpan w:val="5"/>
            <w:tcBorders>
              <w:top w:val="single" w:sz="8" w:space="0" w:color="FFFFFF"/>
              <w:left w:val="nil"/>
              <w:bottom w:val="single" w:sz="8" w:space="0" w:color="FFFFFF"/>
              <w:right w:val="nil"/>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2017</w:t>
            </w:r>
          </w:p>
        </w:tc>
      </w:tr>
      <w:tr w:rsidR="00965078" w:rsidRPr="00EB4778" w:rsidTr="00965078">
        <w:trPr>
          <w:trHeight w:val="23"/>
        </w:trPr>
        <w:tc>
          <w:tcPr>
            <w:tcW w:w="1279" w:type="pct"/>
            <w:vMerge w:val="restart"/>
            <w:tcBorders>
              <w:top w:val="nil"/>
              <w:left w:val="nil"/>
              <w:bottom w:val="single" w:sz="12" w:space="0" w:color="FFFFFF"/>
              <w:right w:val="single" w:sz="12" w:space="0" w:color="FFFFFF"/>
            </w:tcBorders>
            <w:shd w:val="clear" w:color="000000" w:fill="DCE6F1"/>
            <w:vAlign w:val="center"/>
            <w:hideMark/>
          </w:tcPr>
          <w:p w:rsidR="007E7828" w:rsidRPr="00EB4778" w:rsidRDefault="00176E43" w:rsidP="00B4000F">
            <w:pPr>
              <w:tabs>
                <w:tab w:val="clear" w:pos="567"/>
                <w:tab w:val="clear" w:pos="1134"/>
                <w:tab w:val="clear" w:pos="1701"/>
                <w:tab w:val="clear" w:pos="2268"/>
                <w:tab w:val="clear" w:pos="2835"/>
              </w:tabs>
              <w:overflowPunct/>
              <w:autoSpaceDE/>
              <w:autoSpaceDN/>
              <w:adjustRightInd/>
              <w:spacing w:before="0"/>
              <w:ind w:firstLineChars="100" w:firstLine="141"/>
              <w:textAlignment w:val="auto"/>
              <w:rPr>
                <w:rFonts w:asciiTheme="minorHAnsi" w:hAnsiTheme="minorHAnsi" w:cs="Arial"/>
                <w:b/>
                <w:bCs/>
                <w:sz w:val="14"/>
                <w:szCs w:val="14"/>
                <w:lang w:val="en-US" w:eastAsia="zh-CN"/>
              </w:rPr>
            </w:pPr>
            <w:r>
              <w:rPr>
                <w:rFonts w:asciiTheme="minorHAnsi" w:hAnsiTheme="minorHAnsi" w:cs="Arial"/>
                <w:b/>
                <w:bCs/>
                <w:sz w:val="14"/>
                <w:szCs w:val="14"/>
                <w:lang w:val="en-US" w:eastAsia="zh-CN"/>
              </w:rPr>
              <w:t>Charges</w:t>
            </w:r>
          </w:p>
        </w:tc>
        <w:tc>
          <w:tcPr>
            <w:tcW w:w="187" w:type="pct"/>
            <w:tcBorders>
              <w:top w:val="nil"/>
              <w:left w:val="nil"/>
              <w:bottom w:val="nil"/>
              <w:right w:val="nil"/>
            </w:tcBorders>
            <w:shd w:val="clear" w:color="000000" w:fill="FFFFFF"/>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405" w:type="pct"/>
            <w:tcBorders>
              <w:top w:val="nil"/>
              <w:left w:val="nil"/>
              <w:bottom w:val="nil"/>
              <w:right w:val="single" w:sz="8" w:space="0" w:color="FFFFFF"/>
            </w:tcBorders>
            <w:shd w:val="clear" w:color="000000" w:fill="DCE6F1"/>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Budget**</w:t>
            </w:r>
          </w:p>
        </w:tc>
        <w:tc>
          <w:tcPr>
            <w:tcW w:w="398" w:type="pct"/>
            <w:tcBorders>
              <w:top w:val="nil"/>
              <w:left w:val="nil"/>
              <w:bottom w:val="nil"/>
              <w:right w:val="single" w:sz="8" w:space="0" w:color="FFFFFF"/>
            </w:tcBorders>
            <w:shd w:val="clear" w:color="000000" w:fill="DCE6F1"/>
            <w:vAlign w:val="bottom"/>
            <w:hideMark/>
          </w:tcPr>
          <w:p w:rsidR="007E7828" w:rsidRPr="00EB4778" w:rsidRDefault="00465E82"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sidRPr="00465E82">
              <w:rPr>
                <w:b/>
                <w:bCs/>
                <w:sz w:val="14"/>
                <w:szCs w:val="14"/>
                <w:lang w:val="ru-RU"/>
              </w:rPr>
              <w:t>Montants</w:t>
            </w:r>
            <w:proofErr w:type="spellEnd"/>
            <w:r w:rsidRPr="00465E82">
              <w:rPr>
                <w:b/>
                <w:bCs/>
                <w:sz w:val="14"/>
                <w:szCs w:val="14"/>
                <w:lang w:val="ru-RU"/>
              </w:rPr>
              <w:t xml:space="preserve"> </w:t>
            </w:r>
            <w:proofErr w:type="spellStart"/>
            <w:r w:rsidRPr="00465E82">
              <w:rPr>
                <w:b/>
                <w:bCs/>
                <w:sz w:val="14"/>
                <w:szCs w:val="14"/>
                <w:lang w:val="ru-RU"/>
              </w:rPr>
              <w:t>effectifs</w:t>
            </w:r>
            <w:proofErr w:type="spellEnd"/>
            <w:r w:rsidRPr="00465E82">
              <w:rPr>
                <w:b/>
                <w:bCs/>
                <w:sz w:val="14"/>
                <w:szCs w:val="14"/>
                <w:lang w:val="ru-RU"/>
              </w:rPr>
              <w:t xml:space="preserve"> </w:t>
            </w:r>
            <w:r w:rsidR="007E7828" w:rsidRPr="00EB4778">
              <w:rPr>
                <w:rFonts w:asciiTheme="minorHAnsi" w:hAnsiTheme="minorHAnsi" w:cs="Arial"/>
                <w:b/>
                <w:bCs/>
                <w:sz w:val="14"/>
                <w:szCs w:val="14"/>
                <w:lang w:val="en-US" w:eastAsia="zh-CN"/>
              </w:rPr>
              <w:t>*</w:t>
            </w:r>
          </w:p>
        </w:tc>
        <w:tc>
          <w:tcPr>
            <w:tcW w:w="335" w:type="pct"/>
            <w:tcBorders>
              <w:top w:val="nil"/>
              <w:left w:val="nil"/>
              <w:bottom w:val="nil"/>
              <w:right w:val="single" w:sz="8" w:space="0" w:color="FFFFFF"/>
            </w:tcBorders>
            <w:shd w:val="clear" w:color="000000" w:fill="DCE6F1"/>
            <w:vAlign w:val="bottom"/>
            <w:hideMark/>
          </w:tcPr>
          <w:p w:rsidR="007E7828" w:rsidRPr="00EB4778" w:rsidRDefault="00465E82"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Ecart</w:t>
            </w:r>
            <w:proofErr w:type="spellEnd"/>
          </w:p>
        </w:tc>
        <w:tc>
          <w:tcPr>
            <w:tcW w:w="344" w:type="pct"/>
            <w:tcBorders>
              <w:top w:val="nil"/>
              <w:left w:val="nil"/>
              <w:bottom w:val="nil"/>
              <w:right w:val="nil"/>
            </w:tcBorders>
            <w:shd w:val="clear" w:color="000000" w:fill="DCE6F1"/>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w:t>
            </w:r>
          </w:p>
        </w:tc>
        <w:tc>
          <w:tcPr>
            <w:tcW w:w="153" w:type="pct"/>
            <w:tcBorders>
              <w:top w:val="nil"/>
              <w:left w:val="nil"/>
              <w:bottom w:val="nil"/>
              <w:right w:val="nil"/>
            </w:tcBorders>
            <w:shd w:val="clear" w:color="000000" w:fill="FFFFFF"/>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396" w:type="pct"/>
            <w:tcBorders>
              <w:top w:val="nil"/>
              <w:left w:val="nil"/>
              <w:bottom w:val="nil"/>
              <w:right w:val="single" w:sz="8" w:space="0" w:color="FFFFFF"/>
            </w:tcBorders>
            <w:shd w:val="clear" w:color="000000" w:fill="DCE6F1"/>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Budget**</w:t>
            </w:r>
          </w:p>
        </w:tc>
        <w:tc>
          <w:tcPr>
            <w:tcW w:w="433" w:type="pct"/>
            <w:tcBorders>
              <w:top w:val="nil"/>
              <w:left w:val="nil"/>
              <w:bottom w:val="nil"/>
              <w:right w:val="single" w:sz="8" w:space="0" w:color="FFFFFF"/>
            </w:tcBorders>
            <w:shd w:val="clear" w:color="000000" w:fill="DCE6F1"/>
            <w:vAlign w:val="bottom"/>
            <w:hideMark/>
          </w:tcPr>
          <w:p w:rsidR="007E7828" w:rsidRPr="00EB4778" w:rsidRDefault="00465E82"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sidRPr="00465E82">
              <w:rPr>
                <w:b/>
                <w:bCs/>
                <w:sz w:val="14"/>
                <w:szCs w:val="14"/>
                <w:lang w:val="ru-RU"/>
              </w:rPr>
              <w:t>Montants</w:t>
            </w:r>
            <w:proofErr w:type="spellEnd"/>
            <w:r w:rsidRPr="00465E82">
              <w:rPr>
                <w:b/>
                <w:bCs/>
                <w:sz w:val="14"/>
                <w:szCs w:val="14"/>
                <w:lang w:val="ru-RU"/>
              </w:rPr>
              <w:t xml:space="preserve"> </w:t>
            </w:r>
            <w:proofErr w:type="spellStart"/>
            <w:r w:rsidRPr="00465E82">
              <w:rPr>
                <w:b/>
                <w:bCs/>
                <w:sz w:val="14"/>
                <w:szCs w:val="14"/>
                <w:lang w:val="ru-RU"/>
              </w:rPr>
              <w:t>effectifs</w:t>
            </w:r>
            <w:proofErr w:type="spellEnd"/>
          </w:p>
        </w:tc>
        <w:tc>
          <w:tcPr>
            <w:tcW w:w="398" w:type="pct"/>
            <w:tcBorders>
              <w:top w:val="nil"/>
              <w:left w:val="nil"/>
              <w:bottom w:val="nil"/>
              <w:right w:val="single" w:sz="8" w:space="0" w:color="FFFFFF"/>
            </w:tcBorders>
            <w:shd w:val="clear" w:color="000000" w:fill="DCE6F1"/>
            <w:vAlign w:val="bottom"/>
            <w:hideMark/>
          </w:tcPr>
          <w:p w:rsidR="007E7828" w:rsidRPr="00EB4778" w:rsidRDefault="00465E82"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Prévisions</w:t>
            </w:r>
            <w:proofErr w:type="spellEnd"/>
          </w:p>
        </w:tc>
        <w:tc>
          <w:tcPr>
            <w:tcW w:w="339" w:type="pct"/>
            <w:tcBorders>
              <w:top w:val="nil"/>
              <w:left w:val="nil"/>
              <w:bottom w:val="nil"/>
              <w:right w:val="single" w:sz="8" w:space="0" w:color="FFFFFF"/>
            </w:tcBorders>
            <w:shd w:val="clear" w:color="000000" w:fill="DCE6F1"/>
            <w:vAlign w:val="bottom"/>
            <w:hideMark/>
          </w:tcPr>
          <w:p w:rsidR="007E7828" w:rsidRPr="00EB4778" w:rsidRDefault="00465E82"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Ecart</w:t>
            </w:r>
            <w:proofErr w:type="spellEnd"/>
          </w:p>
        </w:tc>
        <w:tc>
          <w:tcPr>
            <w:tcW w:w="330" w:type="pct"/>
            <w:tcBorders>
              <w:top w:val="nil"/>
              <w:left w:val="nil"/>
              <w:bottom w:val="single" w:sz="8" w:space="0" w:color="FFFFFF"/>
              <w:right w:val="nil"/>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w:t>
            </w:r>
          </w:p>
        </w:tc>
      </w:tr>
      <w:tr w:rsidR="00965078" w:rsidRPr="00EB4778" w:rsidTr="00965078">
        <w:trPr>
          <w:trHeight w:val="23"/>
        </w:trPr>
        <w:tc>
          <w:tcPr>
            <w:tcW w:w="1279" w:type="pct"/>
            <w:vMerge/>
            <w:tcBorders>
              <w:top w:val="nil"/>
              <w:left w:val="nil"/>
              <w:bottom w:val="single" w:sz="12" w:space="0" w:color="FFFFFF"/>
              <w:right w:val="single" w:sz="12" w:space="0" w:color="FFFFFF"/>
            </w:tcBorders>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p>
        </w:tc>
        <w:tc>
          <w:tcPr>
            <w:tcW w:w="187" w:type="pct"/>
            <w:tcBorders>
              <w:top w:val="nil"/>
              <w:left w:val="nil"/>
              <w:bottom w:val="nil"/>
              <w:right w:val="nil"/>
            </w:tcBorders>
            <w:shd w:val="clear" w:color="000000" w:fill="FFFFFF"/>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405" w:type="pct"/>
            <w:tcBorders>
              <w:top w:val="nil"/>
              <w:left w:val="nil"/>
              <w:bottom w:val="nil"/>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2016</w:t>
            </w:r>
          </w:p>
        </w:tc>
        <w:tc>
          <w:tcPr>
            <w:tcW w:w="398" w:type="pct"/>
            <w:tcBorders>
              <w:top w:val="nil"/>
              <w:left w:val="nil"/>
              <w:bottom w:val="nil"/>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2016</w:t>
            </w:r>
          </w:p>
        </w:tc>
        <w:tc>
          <w:tcPr>
            <w:tcW w:w="335" w:type="pct"/>
            <w:tcBorders>
              <w:top w:val="nil"/>
              <w:left w:val="nil"/>
              <w:bottom w:val="single" w:sz="8" w:space="0" w:color="FFFFFF"/>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2016</w:t>
            </w:r>
          </w:p>
        </w:tc>
        <w:tc>
          <w:tcPr>
            <w:tcW w:w="344" w:type="pct"/>
            <w:tcBorders>
              <w:top w:val="nil"/>
              <w:left w:val="nil"/>
              <w:bottom w:val="single" w:sz="8" w:space="0" w:color="FFFFFF"/>
              <w:right w:val="nil"/>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2016</w:t>
            </w:r>
          </w:p>
        </w:tc>
        <w:tc>
          <w:tcPr>
            <w:tcW w:w="153" w:type="pct"/>
            <w:tcBorders>
              <w:top w:val="nil"/>
              <w:left w:val="nil"/>
              <w:bottom w:val="nil"/>
              <w:right w:val="nil"/>
            </w:tcBorders>
            <w:shd w:val="clear" w:color="000000" w:fill="FFFFFF"/>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396" w:type="pct"/>
            <w:tcBorders>
              <w:top w:val="nil"/>
              <w:left w:val="nil"/>
              <w:bottom w:val="nil"/>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2017</w:t>
            </w:r>
          </w:p>
        </w:tc>
        <w:tc>
          <w:tcPr>
            <w:tcW w:w="433" w:type="pct"/>
            <w:tcBorders>
              <w:top w:val="nil"/>
              <w:left w:val="nil"/>
              <w:bottom w:val="nil"/>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07.02.2017</w:t>
            </w:r>
          </w:p>
        </w:tc>
        <w:tc>
          <w:tcPr>
            <w:tcW w:w="398" w:type="pct"/>
            <w:tcBorders>
              <w:top w:val="nil"/>
              <w:left w:val="nil"/>
              <w:bottom w:val="nil"/>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2017</w:t>
            </w:r>
          </w:p>
        </w:tc>
        <w:tc>
          <w:tcPr>
            <w:tcW w:w="339" w:type="pct"/>
            <w:tcBorders>
              <w:top w:val="nil"/>
              <w:left w:val="nil"/>
              <w:bottom w:val="single" w:sz="8" w:space="0" w:color="FFFFFF"/>
              <w:right w:val="single" w:sz="8" w:space="0" w:color="FFFFFF"/>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2017</w:t>
            </w:r>
          </w:p>
        </w:tc>
        <w:tc>
          <w:tcPr>
            <w:tcW w:w="330" w:type="pct"/>
            <w:tcBorders>
              <w:top w:val="nil"/>
              <w:left w:val="nil"/>
              <w:bottom w:val="single" w:sz="8" w:space="0" w:color="FFFFFF"/>
              <w:right w:val="nil"/>
            </w:tcBorders>
            <w:shd w:val="clear" w:color="000000" w:fill="DCE6F1"/>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2017</w:t>
            </w:r>
          </w:p>
        </w:tc>
      </w:tr>
      <w:tr w:rsidR="00965078" w:rsidRPr="00EB4778" w:rsidTr="00965078">
        <w:trPr>
          <w:trHeight w:val="23"/>
        </w:trPr>
        <w:tc>
          <w:tcPr>
            <w:tcW w:w="1279" w:type="pct"/>
            <w:vMerge/>
            <w:tcBorders>
              <w:top w:val="nil"/>
              <w:left w:val="nil"/>
              <w:bottom w:val="single" w:sz="12" w:space="0" w:color="FFFFFF"/>
              <w:right w:val="single" w:sz="12" w:space="0" w:color="FFFFFF"/>
            </w:tcBorders>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p>
        </w:tc>
        <w:tc>
          <w:tcPr>
            <w:tcW w:w="187" w:type="pct"/>
            <w:tcBorders>
              <w:top w:val="nil"/>
              <w:left w:val="nil"/>
              <w:bottom w:val="nil"/>
              <w:right w:val="nil"/>
            </w:tcBorders>
            <w:shd w:val="clear" w:color="000000" w:fill="FFFFFF"/>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405" w:type="pct"/>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a</w:t>
            </w:r>
          </w:p>
        </w:tc>
        <w:tc>
          <w:tcPr>
            <w:tcW w:w="398" w:type="pct"/>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b</w:t>
            </w:r>
          </w:p>
        </w:tc>
        <w:tc>
          <w:tcPr>
            <w:tcW w:w="335" w:type="pct"/>
            <w:tcBorders>
              <w:top w:val="nil"/>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c = b - a</w:t>
            </w:r>
          </w:p>
        </w:tc>
        <w:tc>
          <w:tcPr>
            <w:tcW w:w="344" w:type="pct"/>
            <w:tcBorders>
              <w:top w:val="nil"/>
              <w:left w:val="nil"/>
              <w:bottom w:val="single" w:sz="8" w:space="0" w:color="FFFFFF"/>
              <w:right w:val="nil"/>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d = c / a</w:t>
            </w:r>
          </w:p>
        </w:tc>
        <w:tc>
          <w:tcPr>
            <w:tcW w:w="153" w:type="pct"/>
            <w:tcBorders>
              <w:top w:val="nil"/>
              <w:left w:val="nil"/>
              <w:bottom w:val="nil"/>
              <w:right w:val="nil"/>
            </w:tcBorders>
            <w:shd w:val="clear" w:color="000000" w:fill="FFFFFF"/>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e</w:t>
            </w:r>
          </w:p>
        </w:tc>
        <w:tc>
          <w:tcPr>
            <w:tcW w:w="433" w:type="pct"/>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f</w:t>
            </w:r>
          </w:p>
        </w:tc>
        <w:tc>
          <w:tcPr>
            <w:tcW w:w="398" w:type="pct"/>
            <w:tcBorders>
              <w:top w:val="single" w:sz="8" w:space="0" w:color="FFFFFF"/>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g</w:t>
            </w:r>
          </w:p>
        </w:tc>
        <w:tc>
          <w:tcPr>
            <w:tcW w:w="339" w:type="pct"/>
            <w:tcBorders>
              <w:top w:val="nil"/>
              <w:left w:val="nil"/>
              <w:bottom w:val="single" w:sz="8" w:space="0" w:color="FFFFFF"/>
              <w:right w:val="single" w:sz="8" w:space="0" w:color="FFFFFF"/>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h = g - e</w:t>
            </w:r>
          </w:p>
        </w:tc>
        <w:tc>
          <w:tcPr>
            <w:tcW w:w="330" w:type="pct"/>
            <w:tcBorders>
              <w:top w:val="nil"/>
              <w:left w:val="nil"/>
              <w:bottom w:val="single" w:sz="8" w:space="0" w:color="FFFFFF"/>
              <w:right w:val="nil"/>
            </w:tcBorders>
            <w:shd w:val="clear" w:color="000000" w:fill="DCE6F1"/>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i = h / e</w:t>
            </w:r>
          </w:p>
        </w:tc>
      </w:tr>
      <w:tr w:rsidR="00965078" w:rsidRPr="00EB4778" w:rsidTr="00965078">
        <w:trPr>
          <w:trHeight w:val="23"/>
        </w:trPr>
        <w:tc>
          <w:tcPr>
            <w:tcW w:w="1279" w:type="pct"/>
            <w:tcBorders>
              <w:top w:val="nil"/>
              <w:left w:val="nil"/>
              <w:bottom w:val="nil"/>
              <w:right w:val="single" w:sz="12" w:space="0" w:color="FFFFFF"/>
            </w:tcBorders>
            <w:shd w:val="clear" w:color="000000" w:fill="DCE6F1"/>
            <w:noWrap/>
            <w:vAlign w:val="bottom"/>
            <w:hideMark/>
          </w:tcPr>
          <w:p w:rsidR="007E7828" w:rsidRPr="00EB4778" w:rsidRDefault="007E7828" w:rsidP="00176E43">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xml:space="preserve">1. </w:t>
            </w:r>
            <w:r w:rsidR="00176E43">
              <w:rPr>
                <w:rFonts w:asciiTheme="minorHAnsi" w:hAnsiTheme="minorHAnsi" w:cs="Arial"/>
                <w:sz w:val="14"/>
                <w:szCs w:val="14"/>
                <w:lang w:val="en-US" w:eastAsia="zh-CN"/>
              </w:rPr>
              <w:t xml:space="preserve">Secrétariat </w:t>
            </w:r>
            <w:proofErr w:type="spellStart"/>
            <w:r w:rsidR="00176E43">
              <w:rPr>
                <w:rFonts w:asciiTheme="minorHAnsi" w:hAnsiTheme="minorHAnsi" w:cs="Arial"/>
                <w:sz w:val="14"/>
                <w:szCs w:val="14"/>
                <w:lang w:val="en-US" w:eastAsia="zh-CN"/>
              </w:rPr>
              <w:t>général</w:t>
            </w:r>
            <w:proofErr w:type="spellEnd"/>
          </w:p>
        </w:tc>
        <w:tc>
          <w:tcPr>
            <w:tcW w:w="187"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40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90</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365</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82</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789</w:t>
            </w:r>
          </w:p>
        </w:tc>
        <w:tc>
          <w:tcPr>
            <w:tcW w:w="33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-7</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576</w:t>
            </w:r>
          </w:p>
        </w:tc>
        <w:tc>
          <w:tcPr>
            <w:tcW w:w="344"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-8</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4%</w:t>
            </w:r>
          </w:p>
        </w:tc>
        <w:tc>
          <w:tcPr>
            <w:tcW w:w="153"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90</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645</w:t>
            </w:r>
          </w:p>
        </w:tc>
        <w:tc>
          <w:tcPr>
            <w:tcW w:w="433"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17</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200</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88</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853</w:t>
            </w:r>
          </w:p>
        </w:tc>
        <w:tc>
          <w:tcPr>
            <w:tcW w:w="339" w:type="pct"/>
            <w:tcBorders>
              <w:top w:val="nil"/>
              <w:left w:val="nil"/>
              <w:bottom w:val="nil"/>
              <w:right w:val="single" w:sz="8" w:space="0" w:color="FFFFFF"/>
            </w:tcBorders>
            <w:shd w:val="clear" w:color="000000" w:fill="FFFFFF"/>
            <w:noWrap/>
            <w:vAlign w:val="bottom"/>
            <w:hideMark/>
          </w:tcPr>
          <w:p w:rsidR="007E7828" w:rsidRPr="00EB4778" w:rsidRDefault="007E7828" w:rsidP="007E50D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7E50DE">
              <w:rPr>
                <w:rFonts w:asciiTheme="minorHAnsi" w:hAnsiTheme="minorHAnsi" w:cs="Arial"/>
                <w:sz w:val="12"/>
                <w:szCs w:val="12"/>
                <w:lang w:val="en-US" w:eastAsia="zh-CN"/>
              </w:rPr>
              <w:t>-1</w:t>
            </w:r>
            <w:r w:rsidR="007E50DE" w:rsidRPr="007E50DE">
              <w:rPr>
                <w:rFonts w:asciiTheme="minorHAnsi" w:hAnsiTheme="minorHAnsi" w:cs="Arial"/>
                <w:sz w:val="12"/>
                <w:szCs w:val="12"/>
                <w:lang w:val="en-US" w:eastAsia="zh-CN"/>
              </w:rPr>
              <w:t> </w:t>
            </w:r>
            <w:r w:rsidRPr="007E50DE">
              <w:rPr>
                <w:rFonts w:asciiTheme="minorHAnsi" w:hAnsiTheme="minorHAnsi" w:cs="Arial"/>
                <w:sz w:val="12"/>
                <w:szCs w:val="12"/>
                <w:lang w:val="en-US" w:eastAsia="zh-CN"/>
              </w:rPr>
              <w:t>792</w:t>
            </w:r>
          </w:p>
        </w:tc>
        <w:tc>
          <w:tcPr>
            <w:tcW w:w="330"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0%</w:t>
            </w:r>
          </w:p>
        </w:tc>
      </w:tr>
      <w:tr w:rsidR="00965078" w:rsidRPr="00EB4778" w:rsidTr="00965078">
        <w:trPr>
          <w:trHeight w:val="23"/>
        </w:trPr>
        <w:tc>
          <w:tcPr>
            <w:tcW w:w="1279" w:type="pct"/>
            <w:tcBorders>
              <w:top w:val="nil"/>
              <w:left w:val="nil"/>
              <w:bottom w:val="nil"/>
              <w:right w:val="single" w:sz="12" w:space="0" w:color="FFFFFF"/>
            </w:tcBorders>
            <w:shd w:val="clear" w:color="000000" w:fill="DCE6F1"/>
            <w:noWrap/>
            <w:vAlign w:val="bottom"/>
            <w:hideMark/>
          </w:tcPr>
          <w:p w:rsidR="007E7828" w:rsidRPr="00EB4778" w:rsidRDefault="007E7828" w:rsidP="00176E43">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xml:space="preserve">2. </w:t>
            </w:r>
            <w:r w:rsidR="00176E43">
              <w:rPr>
                <w:rFonts w:asciiTheme="minorHAnsi" w:hAnsiTheme="minorHAnsi" w:cs="Arial"/>
                <w:sz w:val="14"/>
                <w:szCs w:val="14"/>
                <w:lang w:val="en-US" w:eastAsia="zh-CN"/>
              </w:rPr>
              <w:t>UIT</w:t>
            </w:r>
            <w:r w:rsidRPr="00EB4778">
              <w:rPr>
                <w:rFonts w:asciiTheme="minorHAnsi" w:hAnsiTheme="minorHAnsi" w:cs="Arial"/>
                <w:sz w:val="14"/>
                <w:szCs w:val="14"/>
                <w:lang w:val="en-US" w:eastAsia="zh-CN"/>
              </w:rPr>
              <w:t>-R</w:t>
            </w:r>
          </w:p>
        </w:tc>
        <w:tc>
          <w:tcPr>
            <w:tcW w:w="187"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40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28</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898</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26</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542</w:t>
            </w:r>
          </w:p>
        </w:tc>
        <w:tc>
          <w:tcPr>
            <w:tcW w:w="33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356</w:t>
            </w:r>
          </w:p>
        </w:tc>
        <w:tc>
          <w:tcPr>
            <w:tcW w:w="344"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-8</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2%</w:t>
            </w:r>
          </w:p>
        </w:tc>
        <w:tc>
          <w:tcPr>
            <w:tcW w:w="153"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28</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603</w:t>
            </w:r>
          </w:p>
        </w:tc>
        <w:tc>
          <w:tcPr>
            <w:tcW w:w="433"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6</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105</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28</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168</w:t>
            </w:r>
          </w:p>
        </w:tc>
        <w:tc>
          <w:tcPr>
            <w:tcW w:w="339"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-435</w:t>
            </w:r>
          </w:p>
        </w:tc>
        <w:tc>
          <w:tcPr>
            <w:tcW w:w="330"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5%</w:t>
            </w:r>
          </w:p>
        </w:tc>
      </w:tr>
      <w:tr w:rsidR="00965078" w:rsidRPr="00EB4778" w:rsidTr="00965078">
        <w:trPr>
          <w:trHeight w:val="23"/>
        </w:trPr>
        <w:tc>
          <w:tcPr>
            <w:tcW w:w="1279" w:type="pct"/>
            <w:tcBorders>
              <w:top w:val="nil"/>
              <w:left w:val="nil"/>
              <w:bottom w:val="nil"/>
              <w:right w:val="single" w:sz="12" w:space="0" w:color="FFFFFF"/>
            </w:tcBorders>
            <w:shd w:val="clear" w:color="000000" w:fill="DCE6F1"/>
            <w:noWrap/>
            <w:vAlign w:val="bottom"/>
            <w:hideMark/>
          </w:tcPr>
          <w:p w:rsidR="007E7828" w:rsidRPr="00EB4778" w:rsidRDefault="007E7828" w:rsidP="00176E43">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xml:space="preserve">3. </w:t>
            </w:r>
            <w:r w:rsidR="00176E43">
              <w:rPr>
                <w:rFonts w:asciiTheme="minorHAnsi" w:hAnsiTheme="minorHAnsi" w:cs="Arial"/>
                <w:sz w:val="14"/>
                <w:szCs w:val="14"/>
                <w:lang w:val="en-US" w:eastAsia="zh-CN"/>
              </w:rPr>
              <w:t>UIT</w:t>
            </w:r>
            <w:r w:rsidRPr="00EB4778">
              <w:rPr>
                <w:rFonts w:asciiTheme="minorHAnsi" w:hAnsiTheme="minorHAnsi" w:cs="Arial"/>
                <w:sz w:val="14"/>
                <w:szCs w:val="14"/>
                <w:lang w:val="en-US" w:eastAsia="zh-CN"/>
              </w:rPr>
              <w:t>-T</w:t>
            </w:r>
          </w:p>
        </w:tc>
        <w:tc>
          <w:tcPr>
            <w:tcW w:w="187"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40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13</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394</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13</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329</w:t>
            </w:r>
          </w:p>
        </w:tc>
        <w:tc>
          <w:tcPr>
            <w:tcW w:w="33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-65</w:t>
            </w:r>
          </w:p>
        </w:tc>
        <w:tc>
          <w:tcPr>
            <w:tcW w:w="344"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-0</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5%</w:t>
            </w:r>
          </w:p>
        </w:tc>
        <w:tc>
          <w:tcPr>
            <w:tcW w:w="153"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12</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438</w:t>
            </w:r>
          </w:p>
        </w:tc>
        <w:tc>
          <w:tcPr>
            <w:tcW w:w="433"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700</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12</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315</w:t>
            </w:r>
          </w:p>
        </w:tc>
        <w:tc>
          <w:tcPr>
            <w:tcW w:w="339"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-123</w:t>
            </w:r>
          </w:p>
        </w:tc>
        <w:tc>
          <w:tcPr>
            <w:tcW w:w="330"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0%</w:t>
            </w:r>
          </w:p>
        </w:tc>
      </w:tr>
      <w:tr w:rsidR="00965078" w:rsidRPr="00EB4778" w:rsidTr="00965078">
        <w:trPr>
          <w:trHeight w:val="23"/>
        </w:trPr>
        <w:tc>
          <w:tcPr>
            <w:tcW w:w="1279" w:type="pct"/>
            <w:tcBorders>
              <w:top w:val="nil"/>
              <w:left w:val="nil"/>
              <w:bottom w:val="single" w:sz="12" w:space="0" w:color="FFFFFF"/>
              <w:right w:val="single" w:sz="12" w:space="0" w:color="FFFFFF"/>
            </w:tcBorders>
            <w:shd w:val="clear" w:color="000000" w:fill="DCE6F1"/>
            <w:noWrap/>
            <w:vAlign w:val="bottom"/>
            <w:hideMark/>
          </w:tcPr>
          <w:p w:rsidR="007E7828" w:rsidRPr="00EB4778" w:rsidRDefault="007E7828" w:rsidP="00176E43">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xml:space="preserve">4. </w:t>
            </w:r>
            <w:r w:rsidR="00176E43">
              <w:rPr>
                <w:rFonts w:asciiTheme="minorHAnsi" w:hAnsiTheme="minorHAnsi" w:cs="Arial"/>
                <w:sz w:val="14"/>
                <w:szCs w:val="14"/>
                <w:lang w:val="en-US" w:eastAsia="zh-CN"/>
              </w:rPr>
              <w:t>UIT</w:t>
            </w:r>
            <w:r w:rsidRPr="00EB4778">
              <w:rPr>
                <w:rFonts w:asciiTheme="minorHAnsi" w:hAnsiTheme="minorHAnsi" w:cs="Arial"/>
                <w:sz w:val="14"/>
                <w:szCs w:val="14"/>
                <w:lang w:val="en-US" w:eastAsia="zh-CN"/>
              </w:rPr>
              <w:t>-D</w:t>
            </w:r>
          </w:p>
        </w:tc>
        <w:tc>
          <w:tcPr>
            <w:tcW w:w="187" w:type="pct"/>
            <w:tcBorders>
              <w:top w:val="nil"/>
              <w:left w:val="nil"/>
              <w:bottom w:val="single" w:sz="4" w:space="0" w:color="FFFFFF"/>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40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27</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786</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27</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219</w:t>
            </w:r>
          </w:p>
        </w:tc>
        <w:tc>
          <w:tcPr>
            <w:tcW w:w="335"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-567</w:t>
            </w:r>
          </w:p>
        </w:tc>
        <w:tc>
          <w:tcPr>
            <w:tcW w:w="344"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0%</w:t>
            </w:r>
          </w:p>
        </w:tc>
        <w:tc>
          <w:tcPr>
            <w:tcW w:w="153" w:type="pct"/>
            <w:tcBorders>
              <w:top w:val="nil"/>
              <w:left w:val="nil"/>
              <w:bottom w:val="single" w:sz="4" w:space="0" w:color="FFFFFF"/>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29</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174</w:t>
            </w:r>
          </w:p>
        </w:tc>
        <w:tc>
          <w:tcPr>
            <w:tcW w:w="433"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5</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975</w:t>
            </w:r>
          </w:p>
        </w:tc>
        <w:tc>
          <w:tcPr>
            <w:tcW w:w="398"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28</w:t>
            </w:r>
            <w:r w:rsidR="00176E43">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641</w:t>
            </w:r>
          </w:p>
        </w:tc>
        <w:tc>
          <w:tcPr>
            <w:tcW w:w="339" w:type="pct"/>
            <w:tcBorders>
              <w:top w:val="nil"/>
              <w:left w:val="nil"/>
              <w:bottom w:val="nil"/>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-534</w:t>
            </w:r>
          </w:p>
        </w:tc>
        <w:tc>
          <w:tcPr>
            <w:tcW w:w="330"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-1</w:t>
            </w:r>
            <w:r w:rsidR="00176E43">
              <w:rPr>
                <w:rFonts w:asciiTheme="minorHAnsi" w:hAnsiTheme="minorHAnsi" w:cs="Arial"/>
                <w:sz w:val="14"/>
                <w:szCs w:val="14"/>
                <w:lang w:val="en-US" w:eastAsia="zh-CN"/>
              </w:rPr>
              <w:t>,</w:t>
            </w:r>
            <w:r w:rsidRPr="00EB4778">
              <w:rPr>
                <w:rFonts w:asciiTheme="minorHAnsi" w:hAnsiTheme="minorHAnsi" w:cs="Arial"/>
                <w:sz w:val="14"/>
                <w:szCs w:val="14"/>
                <w:lang w:val="en-US" w:eastAsia="zh-CN"/>
              </w:rPr>
              <w:t>8%</w:t>
            </w:r>
          </w:p>
        </w:tc>
      </w:tr>
      <w:tr w:rsidR="00965078" w:rsidRPr="00EB4778" w:rsidTr="00965078">
        <w:trPr>
          <w:trHeight w:val="23"/>
        </w:trPr>
        <w:tc>
          <w:tcPr>
            <w:tcW w:w="1279" w:type="pct"/>
            <w:tcBorders>
              <w:top w:val="nil"/>
              <w:left w:val="nil"/>
              <w:bottom w:val="nil"/>
              <w:right w:val="single" w:sz="12" w:space="0" w:color="FFFFFF"/>
            </w:tcBorders>
            <w:shd w:val="clear" w:color="000000" w:fill="DCE6F1"/>
            <w:noWrap/>
            <w:vAlign w:val="bottom"/>
            <w:hideMark/>
          </w:tcPr>
          <w:p w:rsidR="007E7828" w:rsidRPr="00EB4778" w:rsidRDefault="007E7828" w:rsidP="00176E43">
            <w:pPr>
              <w:tabs>
                <w:tab w:val="clear" w:pos="567"/>
                <w:tab w:val="clear" w:pos="1134"/>
                <w:tab w:val="clear" w:pos="1701"/>
                <w:tab w:val="clear" w:pos="2268"/>
                <w:tab w:val="clear" w:pos="2835"/>
              </w:tabs>
              <w:overflowPunct/>
              <w:autoSpaceDE/>
              <w:autoSpaceDN/>
              <w:adjustRightInd/>
              <w:spacing w:before="0"/>
              <w:ind w:firstLineChars="100" w:firstLine="141"/>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xml:space="preserve">Total </w:t>
            </w:r>
            <w:r w:rsidR="00176E43">
              <w:rPr>
                <w:rFonts w:asciiTheme="minorHAnsi" w:hAnsiTheme="minorHAnsi" w:cs="Arial"/>
                <w:b/>
                <w:bCs/>
                <w:sz w:val="14"/>
                <w:szCs w:val="14"/>
                <w:lang w:val="en-US" w:eastAsia="zh-CN"/>
              </w:rPr>
              <w:t>des charges</w:t>
            </w:r>
          </w:p>
        </w:tc>
        <w:tc>
          <w:tcPr>
            <w:tcW w:w="187" w:type="pct"/>
            <w:tcBorders>
              <w:top w:val="nil"/>
              <w:left w:val="nil"/>
              <w:bottom w:val="nil"/>
              <w:right w:val="nil"/>
            </w:tcBorders>
            <w:shd w:val="clear" w:color="000000" w:fill="FFFFFF"/>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1"/>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405"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160</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443</w:t>
            </w:r>
          </w:p>
        </w:tc>
        <w:tc>
          <w:tcPr>
            <w:tcW w:w="398"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149</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879</w:t>
            </w:r>
          </w:p>
        </w:tc>
        <w:tc>
          <w:tcPr>
            <w:tcW w:w="335"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-10</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564</w:t>
            </w:r>
          </w:p>
        </w:tc>
        <w:tc>
          <w:tcPr>
            <w:tcW w:w="344" w:type="pct"/>
            <w:tcBorders>
              <w:top w:val="nil"/>
              <w:left w:val="nil"/>
              <w:bottom w:val="nil"/>
              <w:right w:val="nil"/>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-6</w:t>
            </w:r>
            <w:r w:rsidR="00176E43">
              <w:rPr>
                <w:rFonts w:asciiTheme="minorHAnsi" w:hAnsiTheme="minorHAnsi" w:cs="Arial"/>
                <w:b/>
                <w:bCs/>
                <w:sz w:val="14"/>
                <w:szCs w:val="14"/>
                <w:lang w:val="en-US" w:eastAsia="zh-CN"/>
              </w:rPr>
              <w:t>,</w:t>
            </w:r>
            <w:r w:rsidRPr="00EB4778">
              <w:rPr>
                <w:rFonts w:asciiTheme="minorHAnsi" w:hAnsiTheme="minorHAnsi" w:cs="Arial"/>
                <w:b/>
                <w:bCs/>
                <w:sz w:val="14"/>
                <w:szCs w:val="14"/>
                <w:lang w:val="en-US" w:eastAsia="zh-CN"/>
              </w:rPr>
              <w:t>6%</w:t>
            </w:r>
          </w:p>
        </w:tc>
        <w:tc>
          <w:tcPr>
            <w:tcW w:w="153" w:type="pct"/>
            <w:tcBorders>
              <w:top w:val="nil"/>
              <w:left w:val="nil"/>
              <w:bottom w:val="nil"/>
              <w:right w:val="nil"/>
            </w:tcBorders>
            <w:shd w:val="clear" w:color="000000" w:fill="FFFFFF"/>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160</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860</w:t>
            </w:r>
          </w:p>
        </w:tc>
        <w:tc>
          <w:tcPr>
            <w:tcW w:w="433"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31</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980</w:t>
            </w:r>
          </w:p>
        </w:tc>
        <w:tc>
          <w:tcPr>
            <w:tcW w:w="398"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157</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976</w:t>
            </w:r>
          </w:p>
        </w:tc>
        <w:tc>
          <w:tcPr>
            <w:tcW w:w="339" w:type="pct"/>
            <w:tcBorders>
              <w:top w:val="nil"/>
              <w:left w:val="nil"/>
              <w:bottom w:val="nil"/>
              <w:right w:val="single" w:sz="8" w:space="0" w:color="FFFFFF"/>
            </w:tcBorders>
            <w:shd w:val="clear" w:color="000000" w:fill="DCE6F1"/>
            <w:noWrap/>
            <w:vAlign w:val="center"/>
            <w:hideMark/>
          </w:tcPr>
          <w:p w:rsidR="007E7828" w:rsidRPr="00965078" w:rsidRDefault="007E50DE" w:rsidP="007E50D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965078">
              <w:rPr>
                <w:rFonts w:asciiTheme="minorHAnsi" w:hAnsiTheme="minorHAnsi" w:cs="Arial"/>
                <w:b/>
                <w:bCs/>
                <w:sz w:val="14"/>
                <w:szCs w:val="14"/>
                <w:lang w:val="en-US" w:eastAsia="zh-CN"/>
              </w:rPr>
              <w:t>-</w:t>
            </w:r>
            <w:r w:rsidR="007E7828" w:rsidRPr="00965078">
              <w:rPr>
                <w:rFonts w:asciiTheme="minorHAnsi" w:hAnsiTheme="minorHAnsi" w:cs="Arial"/>
                <w:b/>
                <w:bCs/>
                <w:sz w:val="14"/>
                <w:szCs w:val="14"/>
                <w:lang w:val="en-US" w:eastAsia="zh-CN"/>
              </w:rPr>
              <w:t>2</w:t>
            </w:r>
            <w:r w:rsidRPr="00965078">
              <w:rPr>
                <w:rFonts w:asciiTheme="minorHAnsi" w:hAnsiTheme="minorHAnsi" w:cs="Arial"/>
                <w:b/>
                <w:bCs/>
                <w:sz w:val="14"/>
                <w:szCs w:val="14"/>
                <w:lang w:val="en-US" w:eastAsia="zh-CN"/>
              </w:rPr>
              <w:t> </w:t>
            </w:r>
            <w:r w:rsidR="007E7828" w:rsidRPr="00965078">
              <w:rPr>
                <w:rFonts w:asciiTheme="minorHAnsi" w:hAnsiTheme="minorHAnsi" w:cs="Arial"/>
                <w:b/>
                <w:bCs/>
                <w:sz w:val="14"/>
                <w:szCs w:val="14"/>
                <w:lang w:val="en-US" w:eastAsia="zh-CN"/>
              </w:rPr>
              <w:t>884</w:t>
            </w:r>
          </w:p>
        </w:tc>
        <w:tc>
          <w:tcPr>
            <w:tcW w:w="330" w:type="pct"/>
            <w:tcBorders>
              <w:top w:val="nil"/>
              <w:left w:val="nil"/>
              <w:bottom w:val="nil"/>
              <w:right w:val="nil"/>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w:t>
            </w:r>
            <w:r w:rsidR="00176E43">
              <w:rPr>
                <w:rFonts w:asciiTheme="minorHAnsi" w:hAnsiTheme="minorHAnsi" w:cs="Arial"/>
                <w:b/>
                <w:bCs/>
                <w:sz w:val="14"/>
                <w:szCs w:val="14"/>
                <w:lang w:val="en-US" w:eastAsia="zh-CN"/>
              </w:rPr>
              <w:t>,</w:t>
            </w:r>
            <w:r w:rsidRPr="00EB4778">
              <w:rPr>
                <w:rFonts w:asciiTheme="minorHAnsi" w:hAnsiTheme="minorHAnsi" w:cs="Arial"/>
                <w:b/>
                <w:bCs/>
                <w:sz w:val="14"/>
                <w:szCs w:val="14"/>
                <w:lang w:val="en-US" w:eastAsia="zh-CN"/>
              </w:rPr>
              <w:t>8%</w:t>
            </w:r>
          </w:p>
        </w:tc>
      </w:tr>
      <w:tr w:rsidR="00965078" w:rsidRPr="00EB4778" w:rsidTr="00965078">
        <w:trPr>
          <w:trHeight w:val="23"/>
        </w:trPr>
        <w:tc>
          <w:tcPr>
            <w:tcW w:w="1279"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187" w:type="pct"/>
            <w:tcBorders>
              <w:top w:val="single" w:sz="4" w:space="0" w:color="FFFFFF"/>
              <w:left w:val="nil"/>
              <w:bottom w:val="single" w:sz="4" w:space="0" w:color="FFFFFF"/>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405" w:type="pct"/>
            <w:tcBorders>
              <w:top w:val="single" w:sz="4" w:space="0" w:color="FFFFFF"/>
              <w:left w:val="nil"/>
              <w:bottom w:val="single" w:sz="4" w:space="0" w:color="FFFFFF"/>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398" w:type="pct"/>
            <w:tcBorders>
              <w:top w:val="single" w:sz="4" w:space="0" w:color="FFFFFF"/>
              <w:left w:val="nil"/>
              <w:bottom w:val="single" w:sz="4" w:space="0" w:color="FFFFFF"/>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335" w:type="pct"/>
            <w:tcBorders>
              <w:top w:val="single" w:sz="4" w:space="0" w:color="FFFFFF"/>
              <w:left w:val="nil"/>
              <w:bottom w:val="single" w:sz="4" w:space="0" w:color="FFFFFF"/>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344" w:type="pct"/>
            <w:tcBorders>
              <w:top w:val="single" w:sz="4" w:space="0" w:color="FFFFFF"/>
              <w:left w:val="nil"/>
              <w:bottom w:val="single" w:sz="4" w:space="0" w:color="FFFFFF"/>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153" w:type="pct"/>
            <w:tcBorders>
              <w:top w:val="single" w:sz="4" w:space="0" w:color="FFFFFF"/>
              <w:left w:val="nil"/>
              <w:bottom w:val="single" w:sz="4" w:space="0" w:color="FFFFFF"/>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single" w:sz="4" w:space="0" w:color="FFFFFF"/>
              <w:left w:val="nil"/>
              <w:bottom w:val="single" w:sz="4" w:space="0" w:color="FFFFFF"/>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433" w:type="pct"/>
            <w:tcBorders>
              <w:top w:val="single" w:sz="4" w:space="0" w:color="FFFFFF"/>
              <w:left w:val="nil"/>
              <w:bottom w:val="single" w:sz="4" w:space="0" w:color="FFFFFF"/>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398" w:type="pct"/>
            <w:tcBorders>
              <w:top w:val="single" w:sz="4" w:space="0" w:color="FFFFFF"/>
              <w:left w:val="nil"/>
              <w:bottom w:val="single" w:sz="4" w:space="0" w:color="FFFFFF"/>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339" w:type="pct"/>
            <w:tcBorders>
              <w:top w:val="single" w:sz="4" w:space="0" w:color="FFFFFF"/>
              <w:left w:val="nil"/>
              <w:bottom w:val="single" w:sz="4" w:space="0" w:color="FFFFFF"/>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330" w:type="pct"/>
            <w:tcBorders>
              <w:top w:val="single" w:sz="4" w:space="0" w:color="FFFFFF"/>
              <w:left w:val="nil"/>
              <w:bottom w:val="single" w:sz="4" w:space="0" w:color="FFFFFF"/>
              <w:right w:val="single" w:sz="8" w:space="0" w:color="FFFFFF"/>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r>
      <w:tr w:rsidR="00965078" w:rsidRPr="00EB4778" w:rsidTr="00965078">
        <w:trPr>
          <w:trHeight w:val="23"/>
        </w:trPr>
        <w:tc>
          <w:tcPr>
            <w:tcW w:w="1279" w:type="pct"/>
            <w:tcBorders>
              <w:top w:val="nil"/>
              <w:left w:val="nil"/>
              <w:bottom w:val="nil"/>
              <w:right w:val="single" w:sz="12" w:space="0" w:color="FFFFFF"/>
            </w:tcBorders>
            <w:shd w:val="clear" w:color="000000" w:fill="DCE6F1"/>
            <w:noWrap/>
            <w:vAlign w:val="bottom"/>
            <w:hideMark/>
          </w:tcPr>
          <w:p w:rsidR="007E7828" w:rsidRPr="00EB4778" w:rsidRDefault="00465E82" w:rsidP="00465E82">
            <w:pPr>
              <w:tabs>
                <w:tab w:val="clear" w:pos="567"/>
                <w:tab w:val="clear" w:pos="1134"/>
                <w:tab w:val="clear" w:pos="1701"/>
                <w:tab w:val="clear" w:pos="2268"/>
                <w:tab w:val="clear" w:pos="2835"/>
              </w:tabs>
              <w:overflowPunct/>
              <w:autoSpaceDE/>
              <w:autoSpaceDN/>
              <w:adjustRightInd/>
              <w:spacing w:before="0"/>
              <w:ind w:firstLineChars="100" w:firstLine="141"/>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Excédent</w:t>
            </w:r>
            <w:proofErr w:type="spellEnd"/>
            <w:r>
              <w:rPr>
                <w:rFonts w:asciiTheme="minorHAnsi" w:hAnsiTheme="minorHAnsi" w:cs="Arial"/>
                <w:b/>
                <w:bCs/>
                <w:sz w:val="14"/>
                <w:szCs w:val="14"/>
                <w:lang w:val="en-US" w:eastAsia="zh-CN"/>
              </w:rPr>
              <w:t>/</w:t>
            </w:r>
            <w:proofErr w:type="spellStart"/>
            <w:r>
              <w:rPr>
                <w:rFonts w:asciiTheme="minorHAnsi" w:hAnsiTheme="minorHAnsi" w:cs="Arial"/>
                <w:b/>
                <w:bCs/>
                <w:sz w:val="14"/>
                <w:szCs w:val="14"/>
                <w:lang w:val="en-US" w:eastAsia="zh-CN"/>
              </w:rPr>
              <w:t>Déficit</w:t>
            </w:r>
            <w:proofErr w:type="spellEnd"/>
          </w:p>
        </w:tc>
        <w:tc>
          <w:tcPr>
            <w:tcW w:w="187" w:type="pct"/>
            <w:tcBorders>
              <w:top w:val="nil"/>
              <w:left w:val="nil"/>
              <w:bottom w:val="nil"/>
              <w:right w:val="nil"/>
            </w:tcBorders>
            <w:shd w:val="clear" w:color="000000" w:fill="FFFFFF"/>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ind w:firstLineChars="100" w:firstLine="141"/>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405"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0</w:t>
            </w:r>
          </w:p>
        </w:tc>
        <w:tc>
          <w:tcPr>
            <w:tcW w:w="398"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7</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645</w:t>
            </w:r>
          </w:p>
        </w:tc>
        <w:tc>
          <w:tcPr>
            <w:tcW w:w="335"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7</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645</w:t>
            </w:r>
          </w:p>
        </w:tc>
        <w:tc>
          <w:tcPr>
            <w:tcW w:w="344" w:type="pct"/>
            <w:tcBorders>
              <w:top w:val="nil"/>
              <w:left w:val="nil"/>
              <w:bottom w:val="nil"/>
              <w:right w:val="nil"/>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c>
          <w:tcPr>
            <w:tcW w:w="153" w:type="pct"/>
            <w:tcBorders>
              <w:top w:val="nil"/>
              <w:left w:val="nil"/>
              <w:bottom w:val="nil"/>
              <w:right w:val="nil"/>
            </w:tcBorders>
            <w:shd w:val="clear" w:color="000000" w:fill="FFFFFF"/>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0</w:t>
            </w:r>
          </w:p>
        </w:tc>
        <w:tc>
          <w:tcPr>
            <w:tcW w:w="433"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94</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513</w:t>
            </w:r>
          </w:p>
        </w:tc>
        <w:tc>
          <w:tcPr>
            <w:tcW w:w="398" w:type="pct"/>
            <w:tcBorders>
              <w:top w:val="nil"/>
              <w:left w:val="nil"/>
              <w:bottom w:val="nil"/>
              <w:right w:val="single" w:sz="8" w:space="0" w:color="FFFFFF"/>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1</w:t>
            </w:r>
            <w:r w:rsidR="00176E43">
              <w:rPr>
                <w:rFonts w:asciiTheme="minorHAnsi" w:hAnsiTheme="minorHAnsi" w:cs="Arial"/>
                <w:b/>
                <w:bCs/>
                <w:sz w:val="14"/>
                <w:szCs w:val="14"/>
                <w:lang w:val="en-US" w:eastAsia="zh-CN"/>
              </w:rPr>
              <w:t xml:space="preserve"> </w:t>
            </w:r>
            <w:r w:rsidRPr="00EB4778">
              <w:rPr>
                <w:rFonts w:asciiTheme="minorHAnsi" w:hAnsiTheme="minorHAnsi" w:cs="Arial"/>
                <w:b/>
                <w:bCs/>
                <w:sz w:val="14"/>
                <w:szCs w:val="14"/>
                <w:lang w:val="en-US" w:eastAsia="zh-CN"/>
              </w:rPr>
              <w:t>300</w:t>
            </w:r>
          </w:p>
        </w:tc>
        <w:tc>
          <w:tcPr>
            <w:tcW w:w="339" w:type="pct"/>
            <w:tcBorders>
              <w:top w:val="nil"/>
              <w:left w:val="nil"/>
              <w:bottom w:val="nil"/>
              <w:right w:val="single" w:sz="8" w:space="0" w:color="FFFFFF"/>
            </w:tcBorders>
            <w:shd w:val="clear" w:color="000000" w:fill="DCE6F1"/>
            <w:noWrap/>
            <w:vAlign w:val="center"/>
            <w:hideMark/>
          </w:tcPr>
          <w:p w:rsidR="007E7828" w:rsidRPr="00965078" w:rsidRDefault="007E7828" w:rsidP="007E50DE">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965078">
              <w:rPr>
                <w:rFonts w:asciiTheme="minorHAnsi" w:hAnsiTheme="minorHAnsi" w:cs="Arial"/>
                <w:b/>
                <w:bCs/>
                <w:sz w:val="14"/>
                <w:szCs w:val="14"/>
                <w:lang w:val="en-US" w:eastAsia="zh-CN"/>
              </w:rPr>
              <w:t>1</w:t>
            </w:r>
            <w:r w:rsidR="007E50DE" w:rsidRPr="00965078">
              <w:rPr>
                <w:rFonts w:asciiTheme="minorHAnsi" w:hAnsiTheme="minorHAnsi" w:cs="Arial"/>
                <w:b/>
                <w:bCs/>
                <w:sz w:val="14"/>
                <w:szCs w:val="14"/>
                <w:lang w:val="en-US" w:eastAsia="zh-CN"/>
              </w:rPr>
              <w:t> </w:t>
            </w:r>
            <w:r w:rsidRPr="00965078">
              <w:rPr>
                <w:rFonts w:asciiTheme="minorHAnsi" w:hAnsiTheme="minorHAnsi" w:cs="Arial"/>
                <w:b/>
                <w:bCs/>
                <w:sz w:val="14"/>
                <w:szCs w:val="14"/>
                <w:lang w:val="en-US" w:eastAsia="zh-CN"/>
              </w:rPr>
              <w:t>300</w:t>
            </w:r>
          </w:p>
        </w:tc>
        <w:tc>
          <w:tcPr>
            <w:tcW w:w="330" w:type="pct"/>
            <w:tcBorders>
              <w:top w:val="nil"/>
              <w:left w:val="nil"/>
              <w:bottom w:val="nil"/>
              <w:right w:val="nil"/>
            </w:tcBorders>
            <w:shd w:val="clear" w:color="000000" w:fill="DCE6F1"/>
            <w:noWrap/>
            <w:vAlign w:val="center"/>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EB4778">
              <w:rPr>
                <w:rFonts w:asciiTheme="minorHAnsi" w:hAnsiTheme="minorHAnsi" w:cs="Arial"/>
                <w:b/>
                <w:bCs/>
                <w:sz w:val="14"/>
                <w:szCs w:val="14"/>
                <w:lang w:val="en-US" w:eastAsia="zh-CN"/>
              </w:rPr>
              <w:t> </w:t>
            </w:r>
          </w:p>
        </w:tc>
      </w:tr>
      <w:tr w:rsidR="00965078" w:rsidRPr="00EB4778" w:rsidTr="00965078">
        <w:trPr>
          <w:trHeight w:val="23"/>
        </w:trPr>
        <w:tc>
          <w:tcPr>
            <w:tcW w:w="1279" w:type="pct"/>
            <w:tcBorders>
              <w:top w:val="nil"/>
              <w:left w:val="nil"/>
              <w:bottom w:val="nil"/>
              <w:right w:val="nil"/>
            </w:tcBorders>
            <w:shd w:val="clear" w:color="000000" w:fill="FFFFFF"/>
            <w:noWrap/>
            <w:vAlign w:val="bottom"/>
            <w:hideMark/>
          </w:tcPr>
          <w:p w:rsidR="007E7828" w:rsidRPr="00EB4778" w:rsidRDefault="007E7828" w:rsidP="0067025C">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A</w:t>
            </w:r>
            <w:r w:rsidR="0067025C">
              <w:rPr>
                <w:rFonts w:asciiTheme="minorHAnsi" w:hAnsiTheme="minorHAnsi" w:cs="Arial"/>
                <w:sz w:val="14"/>
                <w:szCs w:val="14"/>
                <w:lang w:val="en-US" w:eastAsia="zh-CN"/>
              </w:rPr>
              <w:t>u</w:t>
            </w:r>
            <w:r w:rsidRPr="00EB4778">
              <w:rPr>
                <w:rFonts w:asciiTheme="minorHAnsi" w:hAnsiTheme="minorHAnsi" w:cs="Arial"/>
                <w:sz w:val="14"/>
                <w:szCs w:val="14"/>
                <w:lang w:val="en-US" w:eastAsia="zh-CN"/>
              </w:rPr>
              <w:t xml:space="preserve"> 7 </w:t>
            </w:r>
            <w:proofErr w:type="spellStart"/>
            <w:r w:rsidR="0067025C">
              <w:rPr>
                <w:rFonts w:asciiTheme="minorHAnsi" w:hAnsiTheme="minorHAnsi" w:cs="Arial"/>
                <w:sz w:val="14"/>
                <w:szCs w:val="14"/>
                <w:lang w:val="en-US" w:eastAsia="zh-CN"/>
              </w:rPr>
              <w:t>février</w:t>
            </w:r>
            <w:proofErr w:type="spellEnd"/>
            <w:r w:rsidR="0067025C">
              <w:rPr>
                <w:rFonts w:asciiTheme="minorHAnsi" w:hAnsiTheme="minorHAnsi" w:cs="Arial"/>
                <w:sz w:val="14"/>
                <w:szCs w:val="14"/>
                <w:lang w:val="en-US" w:eastAsia="zh-CN"/>
              </w:rPr>
              <w:t xml:space="preserve"> </w:t>
            </w:r>
            <w:r w:rsidRPr="00EB4778">
              <w:rPr>
                <w:rFonts w:asciiTheme="minorHAnsi" w:hAnsiTheme="minorHAnsi" w:cs="Arial"/>
                <w:sz w:val="14"/>
                <w:szCs w:val="14"/>
                <w:lang w:val="en-US" w:eastAsia="zh-CN"/>
              </w:rPr>
              <w:t>2017</w:t>
            </w:r>
          </w:p>
        </w:tc>
        <w:tc>
          <w:tcPr>
            <w:tcW w:w="187"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405"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8"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35"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44"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153"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6"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433"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98"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39"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c>
          <w:tcPr>
            <w:tcW w:w="330" w:type="pct"/>
            <w:tcBorders>
              <w:top w:val="nil"/>
              <w:left w:val="nil"/>
              <w:bottom w:val="nil"/>
              <w:right w:val="nil"/>
            </w:tcBorders>
            <w:shd w:val="clear" w:color="000000" w:fill="FFFFFF"/>
            <w:noWrap/>
            <w:vAlign w:val="bottom"/>
            <w:hideMark/>
          </w:tcPr>
          <w:p w:rsidR="007E7828" w:rsidRPr="00EB4778" w:rsidRDefault="007E7828" w:rsidP="00B4000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EB4778">
              <w:rPr>
                <w:rFonts w:asciiTheme="minorHAnsi" w:hAnsiTheme="minorHAnsi" w:cs="Arial"/>
                <w:sz w:val="14"/>
                <w:szCs w:val="14"/>
                <w:lang w:val="en-US" w:eastAsia="zh-CN"/>
              </w:rPr>
              <w:t> </w:t>
            </w:r>
          </w:p>
        </w:tc>
      </w:tr>
      <w:tr w:rsidR="007E7828" w:rsidRPr="00465E82" w:rsidTr="00965078">
        <w:trPr>
          <w:trHeight w:val="23"/>
        </w:trPr>
        <w:tc>
          <w:tcPr>
            <w:tcW w:w="5000" w:type="pct"/>
            <w:gridSpan w:val="12"/>
            <w:tcBorders>
              <w:top w:val="nil"/>
              <w:left w:val="nil"/>
              <w:bottom w:val="nil"/>
              <w:right w:val="nil"/>
            </w:tcBorders>
            <w:shd w:val="clear" w:color="auto" w:fill="auto"/>
            <w:vAlign w:val="bottom"/>
            <w:hideMark/>
          </w:tcPr>
          <w:p w:rsidR="007E7828" w:rsidRPr="00465E82" w:rsidRDefault="007E7828" w:rsidP="00965078">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color w:val="000000"/>
                <w:sz w:val="14"/>
                <w:szCs w:val="14"/>
                <w:lang w:eastAsia="zh-CN"/>
              </w:rPr>
            </w:pPr>
            <w:r w:rsidRPr="00465E82">
              <w:rPr>
                <w:rFonts w:asciiTheme="minorHAnsi" w:hAnsiTheme="minorHAnsi" w:cs="Arial"/>
                <w:color w:val="000000"/>
                <w:sz w:val="14"/>
                <w:szCs w:val="14"/>
                <w:lang w:eastAsia="zh-CN"/>
              </w:rPr>
              <w:t xml:space="preserve">** </w:t>
            </w:r>
            <w:r w:rsidR="00465E82" w:rsidRPr="00465E82">
              <w:rPr>
                <w:rFonts w:asciiTheme="minorHAnsi" w:hAnsiTheme="minorHAnsi" w:cs="Arial"/>
                <w:color w:val="000000"/>
                <w:sz w:val="14"/>
                <w:szCs w:val="14"/>
                <w:lang w:eastAsia="zh-CN"/>
              </w:rPr>
              <w:t xml:space="preserve">Le budget présenté est </w:t>
            </w:r>
            <w:r w:rsidR="00894C79" w:rsidRPr="00465E82">
              <w:rPr>
                <w:rFonts w:asciiTheme="minorHAnsi" w:hAnsiTheme="minorHAnsi" w:cs="Arial"/>
                <w:color w:val="000000"/>
                <w:sz w:val="14"/>
                <w:szCs w:val="14"/>
                <w:lang w:eastAsia="zh-CN"/>
              </w:rPr>
              <w:t>différent</w:t>
            </w:r>
            <w:r w:rsidR="00465E82" w:rsidRPr="00465E82">
              <w:rPr>
                <w:rFonts w:asciiTheme="minorHAnsi" w:hAnsiTheme="minorHAnsi" w:cs="Arial"/>
                <w:color w:val="000000"/>
                <w:sz w:val="14"/>
                <w:szCs w:val="14"/>
                <w:lang w:eastAsia="zh-CN"/>
              </w:rPr>
              <w:t xml:space="preserve"> du budget original approuvé en raison de </w:t>
            </w:r>
            <w:r w:rsidR="00965078">
              <w:rPr>
                <w:rFonts w:asciiTheme="minorHAnsi" w:hAnsiTheme="minorHAnsi" w:cs="Arial"/>
                <w:color w:val="000000"/>
                <w:sz w:val="14"/>
                <w:szCs w:val="14"/>
                <w:lang w:eastAsia="zh-CN"/>
              </w:rPr>
              <w:t>transferts effectués</w:t>
            </w:r>
            <w:r w:rsidR="00465E82" w:rsidRPr="00465E82">
              <w:rPr>
                <w:rFonts w:asciiTheme="minorHAnsi" w:hAnsiTheme="minorHAnsi" w:cs="Arial"/>
                <w:color w:val="000000"/>
                <w:sz w:val="14"/>
                <w:szCs w:val="14"/>
                <w:lang w:eastAsia="zh-CN"/>
              </w:rPr>
              <w:t xml:space="preserve"> conformément </w:t>
            </w:r>
            <w:r w:rsidR="00894C79">
              <w:rPr>
                <w:rFonts w:asciiTheme="minorHAnsi" w:hAnsiTheme="minorHAnsi" w:cs="Arial"/>
                <w:color w:val="000000"/>
                <w:sz w:val="14"/>
                <w:szCs w:val="14"/>
                <w:lang w:eastAsia="zh-CN"/>
              </w:rPr>
              <w:t xml:space="preserve">à l’Article 11 et à l’Article 13 du </w:t>
            </w:r>
            <w:r w:rsidR="00465E82" w:rsidRPr="00465E82">
              <w:rPr>
                <w:rFonts w:asciiTheme="minorHAnsi" w:hAnsiTheme="minorHAnsi" w:cs="Arial"/>
                <w:color w:val="000000"/>
                <w:sz w:val="14"/>
                <w:szCs w:val="14"/>
                <w:lang w:eastAsia="zh-CN"/>
              </w:rPr>
              <w:t>Règlement fina</w:t>
            </w:r>
            <w:r w:rsidR="00894C79">
              <w:rPr>
                <w:rFonts w:asciiTheme="minorHAnsi" w:hAnsiTheme="minorHAnsi" w:cs="Arial"/>
                <w:color w:val="000000"/>
                <w:sz w:val="14"/>
                <w:szCs w:val="14"/>
                <w:lang w:eastAsia="zh-CN"/>
              </w:rPr>
              <w:t xml:space="preserve">ncier et des Règles financières. </w:t>
            </w:r>
          </w:p>
        </w:tc>
      </w:tr>
    </w:tbl>
    <w:p w:rsidR="00034C09" w:rsidRPr="004D1D35" w:rsidRDefault="00034C09" w:rsidP="00034C09">
      <w:pPr>
        <w:pStyle w:val="Heading1"/>
        <w:spacing w:before="400"/>
      </w:pPr>
      <w:r w:rsidRPr="004D1D35">
        <w:lastRenderedPageBreak/>
        <w:t>3</w:t>
      </w:r>
      <w:r w:rsidRPr="004D1D35">
        <w:tab/>
        <w:t>Produits</w:t>
      </w:r>
    </w:p>
    <w:p w:rsidR="0067025C" w:rsidRPr="004D1D35" w:rsidRDefault="00034C09" w:rsidP="00C879E9">
      <w:pPr>
        <w:rPr>
          <w:lang w:val="fr-CH"/>
        </w:rPr>
      </w:pPr>
      <w:r w:rsidRPr="004D1D35">
        <w:rPr>
          <w:lang w:val="fr-CH"/>
        </w:rPr>
        <w:t>3.1</w:t>
      </w:r>
      <w:r w:rsidRPr="004D1D35">
        <w:rPr>
          <w:lang w:val="fr-CH"/>
        </w:rPr>
        <w:tab/>
        <w:t xml:space="preserve">Les produits de l'Union se composent des contributions mises en recouvrement, du recouvrement des coûts, des intérêts/autres produits et des prélèvements sur le Fonds de réserve. </w:t>
      </w:r>
      <w:r w:rsidR="00C879E9">
        <w:rPr>
          <w:lang w:val="fr-CH"/>
        </w:rPr>
        <w:t xml:space="preserve">Les produits totaux effectifs pour l’exercice biennal devraient être légèrement inférieurs </w:t>
      </w:r>
      <w:r w:rsidR="003B3168">
        <w:rPr>
          <w:lang w:val="fr-CH"/>
        </w:rPr>
        <w:t>aux produits prévus</w:t>
      </w:r>
      <w:r w:rsidR="00C879E9">
        <w:rPr>
          <w:lang w:val="fr-CH"/>
        </w:rPr>
        <w:t xml:space="preserve"> dans le budget, comme indiqué dans le Tableau 1.</w:t>
      </w:r>
    </w:p>
    <w:p w:rsidR="0067025C" w:rsidRPr="00C879E9" w:rsidRDefault="00034C09" w:rsidP="00C879E9">
      <w:pPr>
        <w:rPr>
          <w:lang w:val="fr-CH"/>
        </w:rPr>
      </w:pPr>
      <w:r w:rsidRPr="004D1D35">
        <w:rPr>
          <w:lang w:val="fr-CH"/>
        </w:rPr>
        <w:t>3.2</w:t>
      </w:r>
      <w:r w:rsidRPr="004D1D35">
        <w:rPr>
          <w:lang w:val="fr-CH"/>
        </w:rPr>
        <w:tab/>
        <w:t xml:space="preserve">Les produits tirés des contributions mises en recouvrement représentent 77% du budget total pour </w:t>
      </w:r>
      <w:r w:rsidR="00C879E9">
        <w:rPr>
          <w:lang w:val="fr-CH"/>
        </w:rPr>
        <w:t xml:space="preserve">l’exercice biennal </w:t>
      </w:r>
      <w:r w:rsidRPr="004D1D35">
        <w:rPr>
          <w:lang w:val="fr-CH"/>
        </w:rPr>
        <w:t>2016</w:t>
      </w:r>
      <w:r w:rsidR="00C879E9">
        <w:rPr>
          <w:lang w:val="fr-CH"/>
        </w:rPr>
        <w:t>-2017</w:t>
      </w:r>
      <w:r w:rsidRPr="004D1D35">
        <w:rPr>
          <w:lang w:val="fr-CH"/>
        </w:rPr>
        <w:t>. Ils proviennent des contributions versées par les Etats Membres, les Membres de Secteur, les Associés et les établissements universitaires. Le Tableau 2 ci-après présente la ventilation des contributions mises en recouvrement.</w:t>
      </w:r>
    </w:p>
    <w:p w:rsidR="00034C09" w:rsidRDefault="00034C09" w:rsidP="00965078">
      <w:pPr>
        <w:pStyle w:val="Tabletitle"/>
        <w:spacing w:before="240"/>
        <w:rPr>
          <w:lang w:val="fr-CH"/>
        </w:rPr>
      </w:pPr>
      <w:r w:rsidRPr="004D1D35">
        <w:rPr>
          <w:lang w:val="fr-CH"/>
        </w:rPr>
        <w:t xml:space="preserve">Tableau 2 ‒ Produits provenant des </w:t>
      </w:r>
      <w:r w:rsidRPr="00965078">
        <w:t>contributions</w:t>
      </w:r>
      <w:r w:rsidRPr="004D1D35">
        <w:rPr>
          <w:lang w:val="fr-CH"/>
        </w:rPr>
        <w:t xml:space="preserve"> mises en recouvrement</w:t>
      </w:r>
    </w:p>
    <w:p w:rsidR="0067025C" w:rsidRDefault="0067025C" w:rsidP="0067025C">
      <w:pPr>
        <w:keepNext/>
        <w:keepLines/>
        <w:tabs>
          <w:tab w:val="clear" w:pos="567"/>
          <w:tab w:val="clear" w:pos="1134"/>
          <w:tab w:val="clear" w:pos="1701"/>
          <w:tab w:val="clear" w:pos="2268"/>
          <w:tab w:val="clear" w:pos="2835"/>
        </w:tabs>
        <w:overflowPunct/>
        <w:snapToGrid w:val="0"/>
        <w:jc w:val="right"/>
        <w:textAlignment w:val="auto"/>
        <w:rPr>
          <w:rFonts w:cs="Calibri"/>
          <w:b/>
          <w:bCs/>
          <w:sz w:val="22"/>
          <w:szCs w:val="22"/>
        </w:rPr>
      </w:pPr>
      <w:proofErr w:type="spellStart"/>
      <w:r>
        <w:rPr>
          <w:rFonts w:asciiTheme="minorHAnsi" w:hAnsiTheme="minorHAnsi" w:cs="Arial"/>
          <w:i/>
          <w:iCs/>
          <w:sz w:val="14"/>
          <w:szCs w:val="14"/>
          <w:lang w:val="en-US" w:eastAsia="zh-CN"/>
        </w:rPr>
        <w:t>En</w:t>
      </w:r>
      <w:proofErr w:type="spellEnd"/>
      <w:r>
        <w:rPr>
          <w:rFonts w:asciiTheme="minorHAnsi" w:hAnsiTheme="minorHAnsi" w:cs="Arial"/>
          <w:i/>
          <w:iCs/>
          <w:sz w:val="14"/>
          <w:szCs w:val="14"/>
          <w:lang w:val="en-US" w:eastAsia="zh-CN"/>
        </w:rPr>
        <w:t xml:space="preserve"> </w:t>
      </w:r>
      <w:proofErr w:type="spellStart"/>
      <w:r>
        <w:rPr>
          <w:rFonts w:asciiTheme="minorHAnsi" w:hAnsiTheme="minorHAnsi" w:cs="Arial"/>
          <w:i/>
          <w:iCs/>
          <w:sz w:val="14"/>
          <w:szCs w:val="14"/>
          <w:lang w:val="en-US" w:eastAsia="zh-CN"/>
        </w:rPr>
        <w:t>milliers</w:t>
      </w:r>
      <w:proofErr w:type="spellEnd"/>
      <w:r>
        <w:rPr>
          <w:rFonts w:asciiTheme="minorHAnsi" w:hAnsiTheme="minorHAnsi" w:cs="Arial"/>
          <w:i/>
          <w:iCs/>
          <w:sz w:val="14"/>
          <w:szCs w:val="14"/>
          <w:lang w:val="en-US" w:eastAsia="zh-CN"/>
        </w:rPr>
        <w:t xml:space="preserve"> CHF</w:t>
      </w:r>
    </w:p>
    <w:tbl>
      <w:tblPr>
        <w:tblW w:w="5025" w:type="pct"/>
        <w:tblLayout w:type="fixed"/>
        <w:tblLook w:val="04A0" w:firstRow="1" w:lastRow="0" w:firstColumn="1" w:lastColumn="0" w:noHBand="0" w:noVBand="1"/>
      </w:tblPr>
      <w:tblGrid>
        <w:gridCol w:w="2185"/>
        <w:gridCol w:w="825"/>
        <w:gridCol w:w="839"/>
        <w:gridCol w:w="723"/>
        <w:gridCol w:w="837"/>
        <w:gridCol w:w="236"/>
        <w:gridCol w:w="841"/>
        <w:gridCol w:w="891"/>
        <w:gridCol w:w="818"/>
        <w:gridCol w:w="703"/>
        <w:gridCol w:w="789"/>
      </w:tblGrid>
      <w:tr w:rsidR="0067025C" w:rsidRPr="00C40C9A" w:rsidTr="00965078">
        <w:trPr>
          <w:trHeight w:val="227"/>
        </w:trPr>
        <w:tc>
          <w:tcPr>
            <w:tcW w:w="1128" w:type="pct"/>
            <w:tcBorders>
              <w:top w:val="nil"/>
              <w:left w:val="nil"/>
              <w:bottom w:val="nil"/>
              <w:right w:val="nil"/>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1664" w:type="pct"/>
            <w:gridSpan w:val="4"/>
            <w:tcBorders>
              <w:top w:val="single" w:sz="8" w:space="0" w:color="FFFFFF"/>
              <w:left w:val="nil"/>
              <w:bottom w:val="single" w:sz="8" w:space="0" w:color="FFFFFF"/>
              <w:right w:val="single" w:sz="8" w:space="0" w:color="FFFFFF"/>
            </w:tcBorders>
            <w:shd w:val="clear" w:color="000000" w:fill="DCE6F1"/>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2016</w:t>
            </w:r>
          </w:p>
        </w:tc>
        <w:tc>
          <w:tcPr>
            <w:tcW w:w="122" w:type="pct"/>
            <w:tcBorders>
              <w:top w:val="nil"/>
              <w:left w:val="nil"/>
              <w:bottom w:val="nil"/>
              <w:right w:val="nil"/>
            </w:tcBorders>
            <w:shd w:val="clear" w:color="000000" w:fill="FFFFFF"/>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2086" w:type="pct"/>
            <w:gridSpan w:val="5"/>
            <w:tcBorders>
              <w:top w:val="single" w:sz="8" w:space="0" w:color="FFFFFF"/>
              <w:left w:val="nil"/>
              <w:bottom w:val="single" w:sz="8" w:space="0" w:color="FFFFFF"/>
              <w:right w:val="nil"/>
            </w:tcBorders>
            <w:shd w:val="clear" w:color="000000" w:fill="DCE6F1"/>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2017</w:t>
            </w:r>
          </w:p>
        </w:tc>
      </w:tr>
      <w:tr w:rsidR="0067025C" w:rsidRPr="00C40C9A" w:rsidTr="00965078">
        <w:trPr>
          <w:trHeight w:val="227"/>
        </w:trPr>
        <w:tc>
          <w:tcPr>
            <w:tcW w:w="1128" w:type="pct"/>
            <w:vMerge w:val="restart"/>
            <w:tcBorders>
              <w:top w:val="nil"/>
              <w:left w:val="nil"/>
              <w:bottom w:val="single" w:sz="12" w:space="0" w:color="FFFFFF"/>
              <w:right w:val="single" w:sz="12" w:space="0" w:color="FFFFFF"/>
            </w:tcBorders>
            <w:shd w:val="clear" w:color="000000" w:fill="DCE6F1"/>
            <w:vAlign w:val="center"/>
            <w:hideMark/>
          </w:tcPr>
          <w:p w:rsidR="0067025C" w:rsidRPr="00C40C9A" w:rsidRDefault="00C879E9" w:rsidP="00C879E9">
            <w:pPr>
              <w:keepNext/>
              <w:keepLines/>
              <w:tabs>
                <w:tab w:val="clear" w:pos="567"/>
                <w:tab w:val="clear" w:pos="1134"/>
                <w:tab w:val="clear" w:pos="1701"/>
                <w:tab w:val="clear" w:pos="2268"/>
                <w:tab w:val="clear" w:pos="2835"/>
              </w:tabs>
              <w:overflowPunct/>
              <w:autoSpaceDE/>
              <w:autoSpaceDN/>
              <w:adjustRightInd/>
              <w:spacing w:before="0"/>
              <w:ind w:firstLineChars="100" w:firstLine="141"/>
              <w:jc w:val="center"/>
              <w:textAlignment w:val="auto"/>
              <w:rPr>
                <w:rFonts w:asciiTheme="minorHAnsi" w:hAnsiTheme="minorHAnsi" w:cs="Arial"/>
                <w:b/>
                <w:bCs/>
                <w:sz w:val="14"/>
                <w:szCs w:val="14"/>
                <w:lang w:val="en-US" w:eastAsia="zh-CN"/>
              </w:rPr>
            </w:pPr>
            <w:r w:rsidRPr="00C879E9">
              <w:rPr>
                <w:b/>
                <w:bCs/>
                <w:sz w:val="14"/>
                <w:szCs w:val="14"/>
                <w:lang w:val="ru-RU"/>
              </w:rPr>
              <w:t xml:space="preserve">Contributions </w:t>
            </w:r>
            <w:proofErr w:type="spellStart"/>
            <w:r w:rsidRPr="00C879E9">
              <w:rPr>
                <w:b/>
                <w:bCs/>
                <w:sz w:val="14"/>
                <w:szCs w:val="14"/>
                <w:lang w:val="ru-RU"/>
              </w:rPr>
              <w:t>mises</w:t>
            </w:r>
            <w:proofErr w:type="spellEnd"/>
            <w:r w:rsidRPr="00C879E9">
              <w:rPr>
                <w:b/>
                <w:bCs/>
                <w:sz w:val="14"/>
                <w:szCs w:val="14"/>
                <w:lang w:val="ru-RU"/>
              </w:rPr>
              <w:t xml:space="preserve"> </w:t>
            </w:r>
            <w:proofErr w:type="spellStart"/>
            <w:r w:rsidRPr="00C879E9">
              <w:rPr>
                <w:b/>
                <w:bCs/>
                <w:sz w:val="14"/>
                <w:szCs w:val="14"/>
                <w:lang w:val="ru-RU"/>
              </w:rPr>
              <w:t>en</w:t>
            </w:r>
            <w:proofErr w:type="spellEnd"/>
            <w:r w:rsidRPr="00C879E9">
              <w:rPr>
                <w:b/>
                <w:bCs/>
                <w:sz w:val="14"/>
                <w:szCs w:val="14"/>
                <w:lang w:val="ru-RU"/>
              </w:rPr>
              <w:t xml:space="preserve"> </w:t>
            </w:r>
            <w:proofErr w:type="spellStart"/>
            <w:r w:rsidRPr="00C879E9">
              <w:rPr>
                <w:b/>
                <w:bCs/>
                <w:sz w:val="14"/>
                <w:szCs w:val="14"/>
                <w:lang w:val="ru-RU"/>
              </w:rPr>
              <w:t>recouvrement</w:t>
            </w:r>
            <w:proofErr w:type="spellEnd"/>
          </w:p>
        </w:tc>
        <w:tc>
          <w:tcPr>
            <w:tcW w:w="426" w:type="pct"/>
            <w:tcBorders>
              <w:top w:val="nil"/>
              <w:left w:val="nil"/>
              <w:bottom w:val="nil"/>
              <w:right w:val="single" w:sz="8" w:space="0" w:color="FFFFFF"/>
            </w:tcBorders>
            <w:shd w:val="clear" w:color="000000" w:fill="DCE6F1"/>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Budget</w:t>
            </w:r>
          </w:p>
        </w:tc>
        <w:tc>
          <w:tcPr>
            <w:tcW w:w="433" w:type="pct"/>
            <w:tcBorders>
              <w:top w:val="nil"/>
              <w:left w:val="nil"/>
              <w:bottom w:val="nil"/>
              <w:right w:val="single" w:sz="8" w:space="0" w:color="FFFFFF"/>
            </w:tcBorders>
            <w:shd w:val="clear" w:color="000000" w:fill="DCE6F1"/>
            <w:vAlign w:val="bottom"/>
            <w:hideMark/>
          </w:tcPr>
          <w:p w:rsidR="0067025C" w:rsidRPr="00C40C9A" w:rsidRDefault="00312367"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Montants</w:t>
            </w:r>
            <w:proofErr w:type="spellEnd"/>
            <w:r>
              <w:rPr>
                <w:rFonts w:asciiTheme="minorHAnsi" w:hAnsiTheme="minorHAnsi" w:cs="Arial"/>
                <w:b/>
                <w:bCs/>
                <w:sz w:val="14"/>
                <w:szCs w:val="14"/>
                <w:lang w:val="en-US" w:eastAsia="zh-CN"/>
              </w:rPr>
              <w:t xml:space="preserve"> </w:t>
            </w:r>
            <w:proofErr w:type="spellStart"/>
            <w:r>
              <w:rPr>
                <w:rFonts w:asciiTheme="minorHAnsi" w:hAnsiTheme="minorHAnsi" w:cs="Arial"/>
                <w:b/>
                <w:bCs/>
                <w:sz w:val="14"/>
                <w:szCs w:val="14"/>
                <w:lang w:val="en-US" w:eastAsia="zh-CN"/>
              </w:rPr>
              <w:t>effectifs</w:t>
            </w:r>
            <w:proofErr w:type="spellEnd"/>
            <w:r w:rsidR="0067025C" w:rsidRPr="00C40C9A">
              <w:rPr>
                <w:rFonts w:asciiTheme="minorHAnsi" w:hAnsiTheme="minorHAnsi" w:cs="Arial"/>
                <w:b/>
                <w:bCs/>
                <w:sz w:val="14"/>
                <w:szCs w:val="14"/>
                <w:lang w:val="en-US" w:eastAsia="zh-CN"/>
              </w:rPr>
              <w:t>*</w:t>
            </w:r>
          </w:p>
        </w:tc>
        <w:tc>
          <w:tcPr>
            <w:tcW w:w="373" w:type="pct"/>
            <w:tcBorders>
              <w:top w:val="nil"/>
              <w:left w:val="nil"/>
              <w:bottom w:val="nil"/>
              <w:right w:val="single" w:sz="8" w:space="0" w:color="FFFFFF"/>
            </w:tcBorders>
            <w:shd w:val="clear" w:color="000000" w:fill="DCE6F1"/>
            <w:vAlign w:val="bottom"/>
            <w:hideMark/>
          </w:tcPr>
          <w:p w:rsidR="0067025C" w:rsidRPr="00C40C9A" w:rsidRDefault="00312367"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Ecart</w:t>
            </w:r>
            <w:proofErr w:type="spellEnd"/>
          </w:p>
        </w:tc>
        <w:tc>
          <w:tcPr>
            <w:tcW w:w="432" w:type="pct"/>
            <w:tcBorders>
              <w:top w:val="nil"/>
              <w:left w:val="nil"/>
              <w:bottom w:val="nil"/>
              <w:right w:val="nil"/>
            </w:tcBorders>
            <w:shd w:val="clear" w:color="000000" w:fill="DCE6F1"/>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w:t>
            </w:r>
          </w:p>
        </w:tc>
        <w:tc>
          <w:tcPr>
            <w:tcW w:w="122" w:type="pct"/>
            <w:tcBorders>
              <w:top w:val="nil"/>
              <w:left w:val="nil"/>
              <w:bottom w:val="nil"/>
              <w:right w:val="nil"/>
            </w:tcBorders>
            <w:shd w:val="clear" w:color="000000" w:fill="FFFFFF"/>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 </w:t>
            </w:r>
          </w:p>
        </w:tc>
        <w:tc>
          <w:tcPr>
            <w:tcW w:w="434" w:type="pct"/>
            <w:tcBorders>
              <w:top w:val="nil"/>
              <w:left w:val="nil"/>
              <w:bottom w:val="nil"/>
              <w:right w:val="single" w:sz="8" w:space="0" w:color="FFFFFF"/>
            </w:tcBorders>
            <w:shd w:val="clear" w:color="000000" w:fill="DCE6F1"/>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Budget</w:t>
            </w:r>
          </w:p>
        </w:tc>
        <w:tc>
          <w:tcPr>
            <w:tcW w:w="460" w:type="pct"/>
            <w:tcBorders>
              <w:top w:val="nil"/>
              <w:left w:val="nil"/>
              <w:bottom w:val="nil"/>
              <w:right w:val="single" w:sz="8" w:space="0" w:color="FFFFFF"/>
            </w:tcBorders>
            <w:shd w:val="clear" w:color="000000" w:fill="DCE6F1"/>
            <w:vAlign w:val="bottom"/>
            <w:hideMark/>
          </w:tcPr>
          <w:p w:rsidR="0067025C" w:rsidRPr="00C40C9A" w:rsidRDefault="00312367"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Montants</w:t>
            </w:r>
            <w:proofErr w:type="spellEnd"/>
            <w:r>
              <w:rPr>
                <w:rFonts w:asciiTheme="minorHAnsi" w:hAnsiTheme="minorHAnsi" w:cs="Arial"/>
                <w:b/>
                <w:bCs/>
                <w:sz w:val="14"/>
                <w:szCs w:val="14"/>
                <w:lang w:val="en-US" w:eastAsia="zh-CN"/>
              </w:rPr>
              <w:t xml:space="preserve"> </w:t>
            </w:r>
            <w:proofErr w:type="spellStart"/>
            <w:r>
              <w:rPr>
                <w:rFonts w:asciiTheme="minorHAnsi" w:hAnsiTheme="minorHAnsi" w:cs="Arial"/>
                <w:b/>
                <w:bCs/>
                <w:sz w:val="14"/>
                <w:szCs w:val="14"/>
                <w:lang w:val="en-US" w:eastAsia="zh-CN"/>
              </w:rPr>
              <w:t>effectifs</w:t>
            </w:r>
            <w:proofErr w:type="spellEnd"/>
          </w:p>
        </w:tc>
        <w:tc>
          <w:tcPr>
            <w:tcW w:w="422" w:type="pct"/>
            <w:tcBorders>
              <w:top w:val="nil"/>
              <w:left w:val="nil"/>
              <w:bottom w:val="nil"/>
              <w:right w:val="single" w:sz="8" w:space="0" w:color="FFFFFF"/>
            </w:tcBorders>
            <w:shd w:val="clear" w:color="000000" w:fill="DCE6F1"/>
            <w:vAlign w:val="bottom"/>
            <w:hideMark/>
          </w:tcPr>
          <w:p w:rsidR="0067025C" w:rsidRPr="00C40C9A" w:rsidRDefault="00312367"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Prévisions</w:t>
            </w:r>
            <w:proofErr w:type="spellEnd"/>
          </w:p>
        </w:tc>
        <w:tc>
          <w:tcPr>
            <w:tcW w:w="363" w:type="pct"/>
            <w:tcBorders>
              <w:top w:val="nil"/>
              <w:left w:val="nil"/>
              <w:bottom w:val="nil"/>
              <w:right w:val="single" w:sz="8" w:space="0" w:color="FFFFFF"/>
            </w:tcBorders>
            <w:shd w:val="clear" w:color="000000" w:fill="DCE6F1"/>
            <w:vAlign w:val="bottom"/>
            <w:hideMark/>
          </w:tcPr>
          <w:p w:rsidR="0067025C" w:rsidRPr="00C40C9A" w:rsidRDefault="00312367"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Ecart</w:t>
            </w:r>
            <w:proofErr w:type="spellEnd"/>
          </w:p>
        </w:tc>
        <w:tc>
          <w:tcPr>
            <w:tcW w:w="407" w:type="pct"/>
            <w:tcBorders>
              <w:top w:val="nil"/>
              <w:left w:val="nil"/>
              <w:bottom w:val="nil"/>
              <w:right w:val="nil"/>
            </w:tcBorders>
            <w:shd w:val="clear" w:color="000000" w:fill="DCE6F1"/>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w:t>
            </w:r>
          </w:p>
        </w:tc>
      </w:tr>
      <w:tr w:rsidR="0067025C" w:rsidRPr="00C40C9A" w:rsidTr="00965078">
        <w:trPr>
          <w:trHeight w:val="227"/>
        </w:trPr>
        <w:tc>
          <w:tcPr>
            <w:tcW w:w="1128" w:type="pct"/>
            <w:vMerge/>
            <w:tcBorders>
              <w:top w:val="nil"/>
              <w:left w:val="nil"/>
              <w:bottom w:val="single" w:sz="12" w:space="0" w:color="FFFFFF"/>
              <w:right w:val="single" w:sz="12" w:space="0" w:color="FFFFFF"/>
            </w:tcBorders>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p>
        </w:tc>
        <w:tc>
          <w:tcPr>
            <w:tcW w:w="426" w:type="pct"/>
            <w:tcBorders>
              <w:top w:val="nil"/>
              <w:left w:val="nil"/>
              <w:bottom w:val="nil"/>
              <w:right w:val="single" w:sz="8" w:space="0" w:color="FFFFFF"/>
            </w:tcBorders>
            <w:shd w:val="clear" w:color="000000" w:fill="DCE6F1"/>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2016</w:t>
            </w:r>
          </w:p>
        </w:tc>
        <w:tc>
          <w:tcPr>
            <w:tcW w:w="433" w:type="pct"/>
            <w:tcBorders>
              <w:top w:val="nil"/>
              <w:left w:val="nil"/>
              <w:bottom w:val="nil"/>
              <w:right w:val="single" w:sz="8" w:space="0" w:color="FFFFFF"/>
            </w:tcBorders>
            <w:shd w:val="clear" w:color="000000" w:fill="DCE6F1"/>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2016</w:t>
            </w:r>
          </w:p>
        </w:tc>
        <w:tc>
          <w:tcPr>
            <w:tcW w:w="373" w:type="pct"/>
            <w:tcBorders>
              <w:top w:val="nil"/>
              <w:left w:val="nil"/>
              <w:bottom w:val="single" w:sz="8" w:space="0" w:color="FFFFFF"/>
              <w:right w:val="single" w:sz="8" w:space="0" w:color="FFFFFF"/>
            </w:tcBorders>
            <w:shd w:val="clear" w:color="000000" w:fill="DCE6F1"/>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2016</w:t>
            </w:r>
          </w:p>
        </w:tc>
        <w:tc>
          <w:tcPr>
            <w:tcW w:w="432" w:type="pct"/>
            <w:tcBorders>
              <w:top w:val="nil"/>
              <w:left w:val="nil"/>
              <w:bottom w:val="single" w:sz="8" w:space="0" w:color="FFFFFF"/>
              <w:right w:val="nil"/>
            </w:tcBorders>
            <w:shd w:val="clear" w:color="000000" w:fill="DCE6F1"/>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2016</w:t>
            </w:r>
          </w:p>
        </w:tc>
        <w:tc>
          <w:tcPr>
            <w:tcW w:w="122" w:type="pct"/>
            <w:tcBorders>
              <w:top w:val="nil"/>
              <w:left w:val="nil"/>
              <w:bottom w:val="nil"/>
              <w:right w:val="nil"/>
            </w:tcBorders>
            <w:shd w:val="clear" w:color="000000" w:fill="FFFFFF"/>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 </w:t>
            </w:r>
          </w:p>
        </w:tc>
        <w:tc>
          <w:tcPr>
            <w:tcW w:w="434" w:type="pct"/>
            <w:tcBorders>
              <w:top w:val="nil"/>
              <w:left w:val="nil"/>
              <w:bottom w:val="nil"/>
              <w:right w:val="single" w:sz="8" w:space="0" w:color="FFFFFF"/>
            </w:tcBorders>
            <w:shd w:val="clear" w:color="000000" w:fill="DCE6F1"/>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2017</w:t>
            </w:r>
          </w:p>
        </w:tc>
        <w:tc>
          <w:tcPr>
            <w:tcW w:w="460" w:type="pct"/>
            <w:tcBorders>
              <w:top w:val="nil"/>
              <w:left w:val="nil"/>
              <w:bottom w:val="nil"/>
              <w:right w:val="single" w:sz="8" w:space="0" w:color="FFFFFF"/>
            </w:tcBorders>
            <w:shd w:val="clear" w:color="000000" w:fill="DCE6F1"/>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07.02.2017</w:t>
            </w:r>
          </w:p>
        </w:tc>
        <w:tc>
          <w:tcPr>
            <w:tcW w:w="422" w:type="pct"/>
            <w:tcBorders>
              <w:top w:val="nil"/>
              <w:left w:val="nil"/>
              <w:bottom w:val="nil"/>
              <w:right w:val="single" w:sz="8" w:space="0" w:color="FFFFFF"/>
            </w:tcBorders>
            <w:shd w:val="clear" w:color="000000" w:fill="DCE6F1"/>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2017</w:t>
            </w:r>
          </w:p>
        </w:tc>
        <w:tc>
          <w:tcPr>
            <w:tcW w:w="363" w:type="pct"/>
            <w:tcBorders>
              <w:top w:val="nil"/>
              <w:left w:val="nil"/>
              <w:bottom w:val="single" w:sz="8" w:space="0" w:color="FFFFFF"/>
              <w:right w:val="single" w:sz="8" w:space="0" w:color="FFFFFF"/>
            </w:tcBorders>
            <w:shd w:val="clear" w:color="000000" w:fill="DCE6F1"/>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2017</w:t>
            </w:r>
          </w:p>
        </w:tc>
        <w:tc>
          <w:tcPr>
            <w:tcW w:w="407" w:type="pct"/>
            <w:tcBorders>
              <w:top w:val="nil"/>
              <w:left w:val="nil"/>
              <w:bottom w:val="single" w:sz="8" w:space="0" w:color="FFFFFF"/>
              <w:right w:val="nil"/>
            </w:tcBorders>
            <w:shd w:val="clear" w:color="000000" w:fill="DCE6F1"/>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2017</w:t>
            </w:r>
          </w:p>
        </w:tc>
      </w:tr>
      <w:tr w:rsidR="0067025C" w:rsidRPr="00C40C9A" w:rsidTr="00965078">
        <w:trPr>
          <w:trHeight w:val="227"/>
        </w:trPr>
        <w:tc>
          <w:tcPr>
            <w:tcW w:w="1128" w:type="pct"/>
            <w:vMerge/>
            <w:tcBorders>
              <w:top w:val="nil"/>
              <w:left w:val="nil"/>
              <w:bottom w:val="single" w:sz="12" w:space="0" w:color="FFFFFF"/>
              <w:right w:val="single" w:sz="12" w:space="0" w:color="FFFFFF"/>
            </w:tcBorders>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p>
        </w:tc>
        <w:tc>
          <w:tcPr>
            <w:tcW w:w="426" w:type="pct"/>
            <w:tcBorders>
              <w:top w:val="single" w:sz="8" w:space="0" w:color="FFFFFF"/>
              <w:left w:val="nil"/>
              <w:bottom w:val="single" w:sz="8" w:space="0" w:color="FFFFFF"/>
              <w:right w:val="single" w:sz="8" w:space="0" w:color="FFFFFF"/>
            </w:tcBorders>
            <w:shd w:val="clear" w:color="000000" w:fill="DCE6F1"/>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A</w:t>
            </w:r>
          </w:p>
        </w:tc>
        <w:tc>
          <w:tcPr>
            <w:tcW w:w="433" w:type="pct"/>
            <w:tcBorders>
              <w:top w:val="single" w:sz="8" w:space="0" w:color="FFFFFF"/>
              <w:left w:val="nil"/>
              <w:bottom w:val="single" w:sz="8" w:space="0" w:color="FFFFFF"/>
              <w:right w:val="single" w:sz="8" w:space="0" w:color="FFFFFF"/>
            </w:tcBorders>
            <w:shd w:val="clear" w:color="000000" w:fill="DCE6F1"/>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b</w:t>
            </w:r>
          </w:p>
        </w:tc>
        <w:tc>
          <w:tcPr>
            <w:tcW w:w="373" w:type="pct"/>
            <w:tcBorders>
              <w:top w:val="nil"/>
              <w:left w:val="nil"/>
              <w:bottom w:val="single" w:sz="8" w:space="0" w:color="FFFFFF"/>
              <w:right w:val="single" w:sz="8" w:space="0" w:color="FFFFFF"/>
            </w:tcBorders>
            <w:shd w:val="clear" w:color="000000" w:fill="DCE6F1"/>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c = b - a</w:t>
            </w:r>
          </w:p>
        </w:tc>
        <w:tc>
          <w:tcPr>
            <w:tcW w:w="432" w:type="pct"/>
            <w:tcBorders>
              <w:top w:val="nil"/>
              <w:left w:val="nil"/>
              <w:bottom w:val="single" w:sz="8" w:space="0" w:color="FFFFFF"/>
              <w:right w:val="nil"/>
            </w:tcBorders>
            <w:shd w:val="clear" w:color="000000" w:fill="DCE6F1"/>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d = c / a</w:t>
            </w:r>
          </w:p>
        </w:tc>
        <w:tc>
          <w:tcPr>
            <w:tcW w:w="122"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434" w:type="pct"/>
            <w:tcBorders>
              <w:top w:val="single" w:sz="8" w:space="0" w:color="FFFFFF"/>
              <w:left w:val="nil"/>
              <w:bottom w:val="single" w:sz="8" w:space="0" w:color="FFFFFF"/>
              <w:right w:val="single" w:sz="8" w:space="0" w:color="FFFFFF"/>
            </w:tcBorders>
            <w:shd w:val="clear" w:color="000000" w:fill="DCE6F1"/>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e</w:t>
            </w:r>
          </w:p>
        </w:tc>
        <w:tc>
          <w:tcPr>
            <w:tcW w:w="460" w:type="pct"/>
            <w:tcBorders>
              <w:top w:val="single" w:sz="8" w:space="0" w:color="FFFFFF"/>
              <w:left w:val="nil"/>
              <w:bottom w:val="single" w:sz="8" w:space="0" w:color="FFFFFF"/>
              <w:right w:val="single" w:sz="8" w:space="0" w:color="FFFFFF"/>
            </w:tcBorders>
            <w:shd w:val="clear" w:color="000000" w:fill="DCE6F1"/>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f</w:t>
            </w:r>
          </w:p>
        </w:tc>
        <w:tc>
          <w:tcPr>
            <w:tcW w:w="422" w:type="pct"/>
            <w:tcBorders>
              <w:top w:val="single" w:sz="8" w:space="0" w:color="FFFFFF"/>
              <w:left w:val="nil"/>
              <w:bottom w:val="single" w:sz="8" w:space="0" w:color="FFFFFF"/>
              <w:right w:val="single" w:sz="8" w:space="0" w:color="FFFFFF"/>
            </w:tcBorders>
            <w:shd w:val="clear" w:color="000000" w:fill="DCE6F1"/>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g</w:t>
            </w:r>
          </w:p>
        </w:tc>
        <w:tc>
          <w:tcPr>
            <w:tcW w:w="363" w:type="pct"/>
            <w:tcBorders>
              <w:top w:val="nil"/>
              <w:left w:val="nil"/>
              <w:bottom w:val="single" w:sz="8" w:space="0" w:color="FFFFFF"/>
              <w:right w:val="single" w:sz="8" w:space="0" w:color="FFFFFF"/>
            </w:tcBorders>
            <w:shd w:val="clear" w:color="000000" w:fill="DCE6F1"/>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h = g - e</w:t>
            </w:r>
          </w:p>
        </w:tc>
        <w:tc>
          <w:tcPr>
            <w:tcW w:w="407" w:type="pct"/>
            <w:tcBorders>
              <w:top w:val="nil"/>
              <w:left w:val="nil"/>
              <w:bottom w:val="single" w:sz="8" w:space="0" w:color="FFFFFF"/>
              <w:right w:val="nil"/>
            </w:tcBorders>
            <w:shd w:val="clear" w:color="000000" w:fill="DCE6F1"/>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i = h / e</w:t>
            </w:r>
          </w:p>
        </w:tc>
      </w:tr>
      <w:tr w:rsidR="0067025C" w:rsidRPr="00C40C9A" w:rsidTr="00965078">
        <w:trPr>
          <w:trHeight w:val="227"/>
        </w:trPr>
        <w:tc>
          <w:tcPr>
            <w:tcW w:w="1128" w:type="pct"/>
            <w:tcBorders>
              <w:top w:val="nil"/>
              <w:left w:val="nil"/>
              <w:bottom w:val="nil"/>
              <w:right w:val="single" w:sz="12" w:space="0" w:color="FFFFFF"/>
            </w:tcBorders>
            <w:shd w:val="clear" w:color="000000" w:fill="DCE6F1"/>
            <w:noWrap/>
            <w:vAlign w:val="bottom"/>
            <w:hideMark/>
          </w:tcPr>
          <w:p w:rsidR="0067025C" w:rsidRPr="00C40C9A" w:rsidRDefault="0067025C" w:rsidP="0067025C">
            <w:pPr>
              <w:keepNext/>
              <w:keepLines/>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xml:space="preserve">1. </w:t>
            </w:r>
            <w:proofErr w:type="spellStart"/>
            <w:r>
              <w:rPr>
                <w:rFonts w:asciiTheme="minorHAnsi" w:hAnsiTheme="minorHAnsi" w:cs="Arial"/>
                <w:sz w:val="14"/>
                <w:szCs w:val="14"/>
                <w:lang w:val="en-US" w:eastAsia="zh-CN"/>
              </w:rPr>
              <w:t>Etats</w:t>
            </w:r>
            <w:proofErr w:type="spellEnd"/>
            <w:r>
              <w:rPr>
                <w:rFonts w:asciiTheme="minorHAnsi" w:hAnsiTheme="minorHAnsi" w:cs="Arial"/>
                <w:sz w:val="14"/>
                <w:szCs w:val="14"/>
                <w:lang w:val="en-US" w:eastAsia="zh-CN"/>
              </w:rPr>
              <w:t xml:space="preserve"> </w:t>
            </w:r>
            <w:proofErr w:type="spellStart"/>
            <w:r>
              <w:rPr>
                <w:rFonts w:asciiTheme="minorHAnsi" w:hAnsiTheme="minorHAnsi" w:cs="Arial"/>
                <w:sz w:val="14"/>
                <w:szCs w:val="14"/>
                <w:lang w:val="en-US" w:eastAsia="zh-CN"/>
              </w:rPr>
              <w:t>Membres</w:t>
            </w:r>
            <w:proofErr w:type="spellEnd"/>
          </w:p>
        </w:tc>
        <w:tc>
          <w:tcPr>
            <w:tcW w:w="426"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106</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371</w:t>
            </w:r>
          </w:p>
        </w:tc>
        <w:tc>
          <w:tcPr>
            <w:tcW w:w="43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106</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292</w:t>
            </w:r>
          </w:p>
        </w:tc>
        <w:tc>
          <w:tcPr>
            <w:tcW w:w="37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-79</w:t>
            </w:r>
          </w:p>
        </w:tc>
        <w:tc>
          <w:tcPr>
            <w:tcW w:w="432"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-0</w:t>
            </w:r>
            <w:r>
              <w:rPr>
                <w:rFonts w:asciiTheme="minorHAnsi" w:hAnsiTheme="minorHAnsi" w:cs="Arial"/>
                <w:sz w:val="14"/>
                <w:szCs w:val="14"/>
                <w:lang w:val="en-US" w:eastAsia="zh-CN"/>
              </w:rPr>
              <w:t>,</w:t>
            </w:r>
            <w:r w:rsidRPr="00C40C9A">
              <w:rPr>
                <w:rFonts w:asciiTheme="minorHAnsi" w:hAnsiTheme="minorHAnsi" w:cs="Arial"/>
                <w:sz w:val="14"/>
                <w:szCs w:val="14"/>
                <w:lang w:val="en-US" w:eastAsia="zh-CN"/>
              </w:rPr>
              <w:t>1%</w:t>
            </w:r>
          </w:p>
        </w:tc>
        <w:tc>
          <w:tcPr>
            <w:tcW w:w="122" w:type="pct"/>
            <w:tcBorders>
              <w:top w:val="nil"/>
              <w:left w:val="nil"/>
              <w:bottom w:val="nil"/>
              <w:right w:val="nil"/>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434"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106</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371</w:t>
            </w:r>
          </w:p>
        </w:tc>
        <w:tc>
          <w:tcPr>
            <w:tcW w:w="460"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106</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292</w:t>
            </w:r>
          </w:p>
        </w:tc>
        <w:tc>
          <w:tcPr>
            <w:tcW w:w="422"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106</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292</w:t>
            </w:r>
          </w:p>
        </w:tc>
        <w:tc>
          <w:tcPr>
            <w:tcW w:w="36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-79</w:t>
            </w:r>
          </w:p>
        </w:tc>
        <w:tc>
          <w:tcPr>
            <w:tcW w:w="407" w:type="pct"/>
            <w:tcBorders>
              <w:top w:val="nil"/>
              <w:left w:val="nil"/>
              <w:bottom w:val="nil"/>
              <w:right w:val="nil"/>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-0</w:t>
            </w:r>
            <w:r>
              <w:rPr>
                <w:rFonts w:asciiTheme="minorHAnsi" w:hAnsiTheme="minorHAnsi" w:cs="Arial"/>
                <w:sz w:val="14"/>
                <w:szCs w:val="14"/>
                <w:lang w:val="en-US" w:eastAsia="zh-CN"/>
              </w:rPr>
              <w:t>,</w:t>
            </w:r>
            <w:r w:rsidRPr="00C40C9A">
              <w:rPr>
                <w:rFonts w:asciiTheme="minorHAnsi" w:hAnsiTheme="minorHAnsi" w:cs="Arial"/>
                <w:sz w:val="14"/>
                <w:szCs w:val="14"/>
                <w:lang w:val="en-US" w:eastAsia="zh-CN"/>
              </w:rPr>
              <w:t>1%</w:t>
            </w:r>
          </w:p>
        </w:tc>
      </w:tr>
      <w:tr w:rsidR="0067025C" w:rsidRPr="00C40C9A" w:rsidTr="00965078">
        <w:trPr>
          <w:trHeight w:val="227"/>
        </w:trPr>
        <w:tc>
          <w:tcPr>
            <w:tcW w:w="1128" w:type="pct"/>
            <w:tcBorders>
              <w:top w:val="nil"/>
              <w:left w:val="nil"/>
              <w:bottom w:val="nil"/>
              <w:right w:val="single" w:sz="12" w:space="0" w:color="FFFFFF"/>
            </w:tcBorders>
            <w:shd w:val="clear" w:color="000000" w:fill="DCE6F1"/>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xml:space="preserve">2. </w:t>
            </w:r>
            <w:proofErr w:type="spellStart"/>
            <w:r w:rsidRPr="00312367">
              <w:rPr>
                <w:rFonts w:asciiTheme="minorHAnsi" w:hAnsiTheme="minorHAnsi" w:cs="Arial"/>
                <w:sz w:val="14"/>
                <w:szCs w:val="14"/>
                <w:lang w:val="en-US" w:eastAsia="zh-CN"/>
              </w:rPr>
              <w:t>Membres</w:t>
            </w:r>
            <w:proofErr w:type="spellEnd"/>
            <w:r w:rsidRPr="00312367">
              <w:rPr>
                <w:rFonts w:asciiTheme="minorHAnsi" w:hAnsiTheme="minorHAnsi" w:cs="Arial"/>
                <w:sz w:val="14"/>
                <w:szCs w:val="14"/>
                <w:lang w:val="en-US" w:eastAsia="zh-CN"/>
              </w:rPr>
              <w:t xml:space="preserve"> de </w:t>
            </w:r>
            <w:proofErr w:type="spellStart"/>
            <w:r w:rsidRPr="00312367">
              <w:rPr>
                <w:rFonts w:asciiTheme="minorHAnsi" w:hAnsiTheme="minorHAnsi" w:cs="Arial"/>
                <w:sz w:val="14"/>
                <w:szCs w:val="14"/>
                <w:lang w:val="en-US" w:eastAsia="zh-CN"/>
              </w:rPr>
              <w:t>Secteur</w:t>
            </w:r>
            <w:proofErr w:type="spellEnd"/>
          </w:p>
        </w:tc>
        <w:tc>
          <w:tcPr>
            <w:tcW w:w="426"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15</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875</w:t>
            </w:r>
          </w:p>
        </w:tc>
        <w:tc>
          <w:tcPr>
            <w:tcW w:w="43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14</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710</w:t>
            </w:r>
          </w:p>
        </w:tc>
        <w:tc>
          <w:tcPr>
            <w:tcW w:w="37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165</w:t>
            </w:r>
          </w:p>
        </w:tc>
        <w:tc>
          <w:tcPr>
            <w:tcW w:w="432"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-7</w:t>
            </w:r>
            <w:r>
              <w:rPr>
                <w:rFonts w:asciiTheme="minorHAnsi" w:hAnsiTheme="minorHAnsi" w:cs="Arial"/>
                <w:sz w:val="14"/>
                <w:szCs w:val="14"/>
                <w:lang w:val="en-US" w:eastAsia="zh-CN"/>
              </w:rPr>
              <w:t>,</w:t>
            </w:r>
            <w:r w:rsidRPr="00C40C9A">
              <w:rPr>
                <w:rFonts w:asciiTheme="minorHAnsi" w:hAnsiTheme="minorHAnsi" w:cs="Arial"/>
                <w:sz w:val="14"/>
                <w:szCs w:val="14"/>
                <w:lang w:val="en-US" w:eastAsia="zh-CN"/>
              </w:rPr>
              <w:t>3%</w:t>
            </w:r>
          </w:p>
        </w:tc>
        <w:tc>
          <w:tcPr>
            <w:tcW w:w="122" w:type="pct"/>
            <w:tcBorders>
              <w:top w:val="nil"/>
              <w:left w:val="nil"/>
              <w:bottom w:val="nil"/>
              <w:right w:val="nil"/>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434"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15</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875</w:t>
            </w:r>
          </w:p>
        </w:tc>
        <w:tc>
          <w:tcPr>
            <w:tcW w:w="460"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14</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133</w:t>
            </w:r>
          </w:p>
        </w:tc>
        <w:tc>
          <w:tcPr>
            <w:tcW w:w="422"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15</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000</w:t>
            </w:r>
          </w:p>
        </w:tc>
        <w:tc>
          <w:tcPr>
            <w:tcW w:w="36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-875</w:t>
            </w:r>
          </w:p>
        </w:tc>
        <w:tc>
          <w:tcPr>
            <w:tcW w:w="407" w:type="pct"/>
            <w:tcBorders>
              <w:top w:val="nil"/>
              <w:left w:val="nil"/>
              <w:bottom w:val="nil"/>
              <w:right w:val="nil"/>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-5</w:t>
            </w:r>
            <w:r>
              <w:rPr>
                <w:rFonts w:asciiTheme="minorHAnsi" w:hAnsiTheme="minorHAnsi" w:cs="Arial"/>
                <w:sz w:val="14"/>
                <w:szCs w:val="14"/>
                <w:lang w:val="en-US" w:eastAsia="zh-CN"/>
              </w:rPr>
              <w:t>,</w:t>
            </w:r>
            <w:r w:rsidRPr="00C40C9A">
              <w:rPr>
                <w:rFonts w:asciiTheme="minorHAnsi" w:hAnsiTheme="minorHAnsi" w:cs="Arial"/>
                <w:sz w:val="14"/>
                <w:szCs w:val="14"/>
                <w:lang w:val="en-US" w:eastAsia="zh-CN"/>
              </w:rPr>
              <w:t>5%</w:t>
            </w:r>
          </w:p>
        </w:tc>
      </w:tr>
      <w:tr w:rsidR="0067025C" w:rsidRPr="00C40C9A" w:rsidTr="00965078">
        <w:trPr>
          <w:trHeight w:val="227"/>
        </w:trPr>
        <w:tc>
          <w:tcPr>
            <w:tcW w:w="1128" w:type="pct"/>
            <w:tcBorders>
              <w:top w:val="nil"/>
              <w:left w:val="nil"/>
              <w:bottom w:val="nil"/>
              <w:right w:val="single" w:sz="12" w:space="0" w:color="FFFFFF"/>
            </w:tcBorders>
            <w:shd w:val="clear" w:color="000000" w:fill="DCE6F1"/>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xml:space="preserve">3. </w:t>
            </w:r>
            <w:proofErr w:type="spellStart"/>
            <w:r w:rsidRPr="00312367">
              <w:rPr>
                <w:rFonts w:asciiTheme="minorHAnsi" w:hAnsiTheme="minorHAnsi" w:cs="Arial"/>
                <w:sz w:val="14"/>
                <w:szCs w:val="14"/>
                <w:lang w:val="en-US" w:eastAsia="zh-CN"/>
              </w:rPr>
              <w:t>Associés</w:t>
            </w:r>
            <w:proofErr w:type="spellEnd"/>
          </w:p>
        </w:tc>
        <w:tc>
          <w:tcPr>
            <w:tcW w:w="426"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955</w:t>
            </w:r>
          </w:p>
        </w:tc>
        <w:tc>
          <w:tcPr>
            <w:tcW w:w="43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587</w:t>
            </w:r>
          </w:p>
        </w:tc>
        <w:tc>
          <w:tcPr>
            <w:tcW w:w="37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-368</w:t>
            </w:r>
          </w:p>
        </w:tc>
        <w:tc>
          <w:tcPr>
            <w:tcW w:w="432"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-18</w:t>
            </w:r>
            <w:r>
              <w:rPr>
                <w:rFonts w:asciiTheme="minorHAnsi" w:hAnsiTheme="minorHAnsi" w:cs="Arial"/>
                <w:sz w:val="14"/>
                <w:szCs w:val="14"/>
                <w:lang w:val="en-US" w:eastAsia="zh-CN"/>
              </w:rPr>
              <w:t>,</w:t>
            </w:r>
            <w:r w:rsidRPr="00C40C9A">
              <w:rPr>
                <w:rFonts w:asciiTheme="minorHAnsi" w:hAnsiTheme="minorHAnsi" w:cs="Arial"/>
                <w:sz w:val="14"/>
                <w:szCs w:val="14"/>
                <w:lang w:val="en-US" w:eastAsia="zh-CN"/>
              </w:rPr>
              <w:t>8%</w:t>
            </w:r>
          </w:p>
        </w:tc>
        <w:tc>
          <w:tcPr>
            <w:tcW w:w="122" w:type="pct"/>
            <w:tcBorders>
              <w:top w:val="nil"/>
              <w:left w:val="nil"/>
              <w:bottom w:val="nil"/>
              <w:right w:val="nil"/>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434"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955</w:t>
            </w:r>
          </w:p>
        </w:tc>
        <w:tc>
          <w:tcPr>
            <w:tcW w:w="460"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585</w:t>
            </w:r>
          </w:p>
        </w:tc>
        <w:tc>
          <w:tcPr>
            <w:tcW w:w="422"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C40C9A">
              <w:rPr>
                <w:rFonts w:asciiTheme="minorHAnsi" w:hAnsiTheme="minorHAnsi" w:cs="Arial"/>
                <w:sz w:val="14"/>
                <w:szCs w:val="14"/>
                <w:lang w:val="en-US" w:eastAsia="zh-CN"/>
              </w:rPr>
              <w:t>600</w:t>
            </w:r>
          </w:p>
        </w:tc>
        <w:tc>
          <w:tcPr>
            <w:tcW w:w="36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-355</w:t>
            </w:r>
          </w:p>
        </w:tc>
        <w:tc>
          <w:tcPr>
            <w:tcW w:w="407" w:type="pct"/>
            <w:tcBorders>
              <w:top w:val="nil"/>
              <w:left w:val="nil"/>
              <w:bottom w:val="nil"/>
              <w:right w:val="nil"/>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-18</w:t>
            </w:r>
            <w:r>
              <w:rPr>
                <w:rFonts w:asciiTheme="minorHAnsi" w:hAnsiTheme="minorHAnsi" w:cs="Arial"/>
                <w:sz w:val="14"/>
                <w:szCs w:val="14"/>
                <w:lang w:val="en-US" w:eastAsia="zh-CN"/>
              </w:rPr>
              <w:t>,</w:t>
            </w:r>
            <w:r w:rsidRPr="00C40C9A">
              <w:rPr>
                <w:rFonts w:asciiTheme="minorHAnsi" w:hAnsiTheme="minorHAnsi" w:cs="Arial"/>
                <w:sz w:val="14"/>
                <w:szCs w:val="14"/>
                <w:lang w:val="en-US" w:eastAsia="zh-CN"/>
              </w:rPr>
              <w:t>2%</w:t>
            </w:r>
          </w:p>
        </w:tc>
      </w:tr>
      <w:tr w:rsidR="0067025C" w:rsidRPr="00C40C9A" w:rsidTr="00965078">
        <w:trPr>
          <w:trHeight w:val="227"/>
        </w:trPr>
        <w:tc>
          <w:tcPr>
            <w:tcW w:w="1128" w:type="pct"/>
            <w:tcBorders>
              <w:top w:val="nil"/>
              <w:left w:val="nil"/>
              <w:bottom w:val="nil"/>
              <w:right w:val="nil"/>
            </w:tcBorders>
            <w:shd w:val="clear" w:color="000000" w:fill="DCE6F1"/>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xml:space="preserve">4. </w:t>
            </w:r>
            <w:proofErr w:type="spellStart"/>
            <w:r w:rsidRPr="00312367">
              <w:rPr>
                <w:rFonts w:asciiTheme="minorHAnsi" w:hAnsiTheme="minorHAnsi" w:cs="Arial"/>
                <w:sz w:val="14"/>
                <w:szCs w:val="14"/>
                <w:lang w:val="en-US" w:eastAsia="zh-CN"/>
              </w:rPr>
              <w:t>Etablissements</w:t>
            </w:r>
            <w:proofErr w:type="spellEnd"/>
            <w:r w:rsidRPr="00312367">
              <w:rPr>
                <w:rFonts w:asciiTheme="minorHAnsi" w:hAnsiTheme="minorHAnsi" w:cs="Arial"/>
                <w:sz w:val="14"/>
                <w:szCs w:val="14"/>
                <w:lang w:val="en-US" w:eastAsia="zh-CN"/>
              </w:rPr>
              <w:t xml:space="preserve"> </w:t>
            </w:r>
            <w:proofErr w:type="spellStart"/>
            <w:r w:rsidRPr="00312367">
              <w:rPr>
                <w:rFonts w:asciiTheme="minorHAnsi" w:hAnsiTheme="minorHAnsi" w:cs="Arial"/>
                <w:sz w:val="14"/>
                <w:szCs w:val="14"/>
                <w:lang w:val="en-US" w:eastAsia="zh-CN"/>
              </w:rPr>
              <w:t>universitaires</w:t>
            </w:r>
            <w:proofErr w:type="spellEnd"/>
          </w:p>
        </w:tc>
        <w:tc>
          <w:tcPr>
            <w:tcW w:w="426" w:type="pct"/>
            <w:tcBorders>
              <w:top w:val="nil"/>
              <w:left w:val="nil"/>
              <w:bottom w:val="nil"/>
              <w:right w:val="single" w:sz="8" w:space="0" w:color="FFFFFF"/>
            </w:tcBorders>
            <w:shd w:val="clear" w:color="000000" w:fill="FFFFFF"/>
            <w:noWrap/>
            <w:vAlign w:val="center"/>
            <w:hideMark/>
          </w:tcPr>
          <w:p w:rsidR="0067025C" w:rsidRPr="00C40C9A" w:rsidRDefault="0067025C" w:rsidP="00965078">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200</w:t>
            </w:r>
          </w:p>
        </w:tc>
        <w:tc>
          <w:tcPr>
            <w:tcW w:w="433" w:type="pct"/>
            <w:tcBorders>
              <w:top w:val="nil"/>
              <w:left w:val="nil"/>
              <w:bottom w:val="nil"/>
              <w:right w:val="single" w:sz="8" w:space="0" w:color="FFFFFF"/>
            </w:tcBorders>
            <w:shd w:val="clear" w:color="000000" w:fill="FFFFFF"/>
            <w:noWrap/>
            <w:vAlign w:val="center"/>
            <w:hideMark/>
          </w:tcPr>
          <w:p w:rsidR="0067025C" w:rsidRPr="00C40C9A" w:rsidRDefault="0067025C" w:rsidP="00965078">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299</w:t>
            </w:r>
          </w:p>
        </w:tc>
        <w:tc>
          <w:tcPr>
            <w:tcW w:w="373" w:type="pct"/>
            <w:tcBorders>
              <w:top w:val="nil"/>
              <w:left w:val="nil"/>
              <w:bottom w:val="nil"/>
              <w:right w:val="single" w:sz="8" w:space="0" w:color="FFFFFF"/>
            </w:tcBorders>
            <w:shd w:val="clear" w:color="000000" w:fill="FFFFFF"/>
            <w:noWrap/>
            <w:vAlign w:val="center"/>
            <w:hideMark/>
          </w:tcPr>
          <w:p w:rsidR="0067025C" w:rsidRPr="00C40C9A" w:rsidRDefault="0067025C" w:rsidP="00965078">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99</w:t>
            </w:r>
          </w:p>
        </w:tc>
        <w:tc>
          <w:tcPr>
            <w:tcW w:w="432" w:type="pct"/>
            <w:tcBorders>
              <w:top w:val="nil"/>
              <w:left w:val="nil"/>
              <w:bottom w:val="nil"/>
              <w:right w:val="nil"/>
            </w:tcBorders>
            <w:shd w:val="clear" w:color="000000" w:fill="FFFFFF"/>
            <w:noWrap/>
            <w:vAlign w:val="center"/>
            <w:hideMark/>
          </w:tcPr>
          <w:p w:rsidR="0067025C" w:rsidRPr="00C40C9A" w:rsidRDefault="0067025C" w:rsidP="0096507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49</w:t>
            </w:r>
            <w:r>
              <w:rPr>
                <w:rFonts w:asciiTheme="minorHAnsi" w:hAnsiTheme="minorHAnsi" w:cs="Arial"/>
                <w:sz w:val="14"/>
                <w:szCs w:val="14"/>
                <w:lang w:val="en-US" w:eastAsia="zh-CN"/>
              </w:rPr>
              <w:t>,</w:t>
            </w:r>
            <w:r w:rsidRPr="00C40C9A">
              <w:rPr>
                <w:rFonts w:asciiTheme="minorHAnsi" w:hAnsiTheme="minorHAnsi" w:cs="Arial"/>
                <w:sz w:val="14"/>
                <w:szCs w:val="14"/>
                <w:lang w:val="en-US" w:eastAsia="zh-CN"/>
              </w:rPr>
              <w:t>5%</w:t>
            </w:r>
          </w:p>
        </w:tc>
        <w:tc>
          <w:tcPr>
            <w:tcW w:w="122" w:type="pct"/>
            <w:tcBorders>
              <w:top w:val="nil"/>
              <w:left w:val="nil"/>
              <w:bottom w:val="nil"/>
              <w:right w:val="nil"/>
            </w:tcBorders>
            <w:shd w:val="clear" w:color="000000" w:fill="FFFFFF"/>
            <w:noWrap/>
            <w:vAlign w:val="center"/>
            <w:hideMark/>
          </w:tcPr>
          <w:p w:rsidR="0067025C" w:rsidRPr="00C40C9A" w:rsidRDefault="0067025C" w:rsidP="00965078">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434" w:type="pct"/>
            <w:tcBorders>
              <w:top w:val="nil"/>
              <w:left w:val="nil"/>
              <w:bottom w:val="nil"/>
              <w:right w:val="single" w:sz="8" w:space="0" w:color="FFFFFF"/>
            </w:tcBorders>
            <w:shd w:val="clear" w:color="000000" w:fill="FFFFFF"/>
            <w:noWrap/>
            <w:vAlign w:val="center"/>
            <w:hideMark/>
          </w:tcPr>
          <w:p w:rsidR="0067025C" w:rsidRPr="00C40C9A" w:rsidRDefault="0067025C" w:rsidP="00965078">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200</w:t>
            </w:r>
          </w:p>
        </w:tc>
        <w:tc>
          <w:tcPr>
            <w:tcW w:w="460" w:type="pct"/>
            <w:tcBorders>
              <w:top w:val="nil"/>
              <w:left w:val="nil"/>
              <w:bottom w:val="nil"/>
              <w:right w:val="single" w:sz="8" w:space="0" w:color="FFFFFF"/>
            </w:tcBorders>
            <w:shd w:val="clear" w:color="000000" w:fill="FFFFFF"/>
            <w:noWrap/>
            <w:vAlign w:val="center"/>
            <w:hideMark/>
          </w:tcPr>
          <w:p w:rsidR="0067025C" w:rsidRPr="00C40C9A" w:rsidRDefault="0067025C" w:rsidP="00965078">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293</w:t>
            </w:r>
          </w:p>
        </w:tc>
        <w:tc>
          <w:tcPr>
            <w:tcW w:w="422" w:type="pct"/>
            <w:tcBorders>
              <w:top w:val="nil"/>
              <w:left w:val="nil"/>
              <w:bottom w:val="nil"/>
              <w:right w:val="single" w:sz="8" w:space="0" w:color="FFFFFF"/>
            </w:tcBorders>
            <w:shd w:val="clear" w:color="000000" w:fill="FFFFFF"/>
            <w:noWrap/>
            <w:vAlign w:val="center"/>
            <w:hideMark/>
          </w:tcPr>
          <w:p w:rsidR="0067025C" w:rsidRPr="00C40C9A" w:rsidRDefault="0067025C" w:rsidP="00965078">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300</w:t>
            </w:r>
          </w:p>
        </w:tc>
        <w:tc>
          <w:tcPr>
            <w:tcW w:w="363" w:type="pct"/>
            <w:tcBorders>
              <w:top w:val="nil"/>
              <w:left w:val="nil"/>
              <w:bottom w:val="nil"/>
              <w:right w:val="single" w:sz="8" w:space="0" w:color="FFFFFF"/>
            </w:tcBorders>
            <w:shd w:val="clear" w:color="000000" w:fill="FFFFFF"/>
            <w:noWrap/>
            <w:vAlign w:val="center"/>
            <w:hideMark/>
          </w:tcPr>
          <w:p w:rsidR="0067025C" w:rsidRPr="00C40C9A" w:rsidRDefault="0067025C" w:rsidP="00965078">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100</w:t>
            </w:r>
          </w:p>
        </w:tc>
        <w:tc>
          <w:tcPr>
            <w:tcW w:w="407" w:type="pct"/>
            <w:tcBorders>
              <w:top w:val="nil"/>
              <w:left w:val="nil"/>
              <w:bottom w:val="nil"/>
              <w:right w:val="nil"/>
            </w:tcBorders>
            <w:shd w:val="clear" w:color="000000" w:fill="FFFFFF"/>
            <w:noWrap/>
            <w:vAlign w:val="center"/>
            <w:hideMark/>
          </w:tcPr>
          <w:p w:rsidR="0067025C" w:rsidRPr="00C40C9A" w:rsidRDefault="0067025C" w:rsidP="00965078">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50</w:t>
            </w:r>
            <w:r>
              <w:rPr>
                <w:rFonts w:asciiTheme="minorHAnsi" w:hAnsiTheme="minorHAnsi" w:cs="Arial"/>
                <w:sz w:val="14"/>
                <w:szCs w:val="14"/>
                <w:lang w:val="en-US" w:eastAsia="zh-CN"/>
              </w:rPr>
              <w:t>,</w:t>
            </w:r>
            <w:r w:rsidRPr="00C40C9A">
              <w:rPr>
                <w:rFonts w:asciiTheme="minorHAnsi" w:hAnsiTheme="minorHAnsi" w:cs="Arial"/>
                <w:sz w:val="14"/>
                <w:szCs w:val="14"/>
                <w:lang w:val="en-US" w:eastAsia="zh-CN"/>
              </w:rPr>
              <w:t>0%</w:t>
            </w:r>
          </w:p>
        </w:tc>
      </w:tr>
      <w:tr w:rsidR="0067025C" w:rsidRPr="00C40C9A" w:rsidTr="00965078">
        <w:trPr>
          <w:trHeight w:val="227"/>
        </w:trPr>
        <w:tc>
          <w:tcPr>
            <w:tcW w:w="1128" w:type="pct"/>
            <w:tcBorders>
              <w:top w:val="nil"/>
              <w:left w:val="nil"/>
              <w:bottom w:val="nil"/>
              <w:right w:val="nil"/>
            </w:tcBorders>
            <w:shd w:val="clear" w:color="000000" w:fill="DCE6F1"/>
            <w:noWrap/>
            <w:vAlign w:val="bottom"/>
            <w:hideMark/>
          </w:tcPr>
          <w:p w:rsidR="0067025C" w:rsidRPr="00C40C9A" w:rsidRDefault="00312367"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Pr>
                <w:rFonts w:asciiTheme="minorHAnsi" w:hAnsiTheme="minorHAnsi" w:cs="Arial"/>
                <w:sz w:val="14"/>
                <w:szCs w:val="14"/>
                <w:lang w:val="en-US" w:eastAsia="zh-CN"/>
              </w:rPr>
              <w:t xml:space="preserve">5. </w:t>
            </w:r>
            <w:proofErr w:type="spellStart"/>
            <w:r>
              <w:rPr>
                <w:rFonts w:asciiTheme="minorHAnsi" w:hAnsiTheme="minorHAnsi" w:cs="Arial"/>
                <w:sz w:val="14"/>
                <w:szCs w:val="14"/>
                <w:lang w:val="en-US" w:eastAsia="zh-CN"/>
              </w:rPr>
              <w:t>Confé</w:t>
            </w:r>
            <w:r w:rsidR="0067025C" w:rsidRPr="00C40C9A">
              <w:rPr>
                <w:rFonts w:asciiTheme="minorHAnsi" w:hAnsiTheme="minorHAnsi" w:cs="Arial"/>
                <w:sz w:val="14"/>
                <w:szCs w:val="14"/>
                <w:lang w:val="en-US" w:eastAsia="zh-CN"/>
              </w:rPr>
              <w:t>rence</w:t>
            </w:r>
            <w:proofErr w:type="spellEnd"/>
          </w:p>
        </w:tc>
        <w:tc>
          <w:tcPr>
            <w:tcW w:w="426"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0</w:t>
            </w:r>
          </w:p>
        </w:tc>
        <w:tc>
          <w:tcPr>
            <w:tcW w:w="43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3</w:t>
            </w:r>
          </w:p>
        </w:tc>
        <w:tc>
          <w:tcPr>
            <w:tcW w:w="37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3</w:t>
            </w:r>
          </w:p>
        </w:tc>
        <w:tc>
          <w:tcPr>
            <w:tcW w:w="432"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w:t>
            </w:r>
          </w:p>
        </w:tc>
        <w:tc>
          <w:tcPr>
            <w:tcW w:w="122" w:type="pct"/>
            <w:tcBorders>
              <w:top w:val="nil"/>
              <w:left w:val="nil"/>
              <w:bottom w:val="nil"/>
              <w:right w:val="nil"/>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434"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460"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422"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363" w:type="pct"/>
            <w:tcBorders>
              <w:top w:val="nil"/>
              <w:left w:val="nil"/>
              <w:bottom w:val="nil"/>
              <w:right w:val="single" w:sz="8" w:space="0" w:color="FFFFFF"/>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407" w:type="pct"/>
            <w:tcBorders>
              <w:top w:val="nil"/>
              <w:left w:val="nil"/>
              <w:bottom w:val="nil"/>
              <w:right w:val="nil"/>
            </w:tcBorders>
            <w:shd w:val="clear" w:color="000000" w:fill="FFFFFF"/>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r>
      <w:tr w:rsidR="0067025C" w:rsidRPr="00C40C9A" w:rsidTr="00965078">
        <w:trPr>
          <w:trHeight w:val="227"/>
        </w:trPr>
        <w:tc>
          <w:tcPr>
            <w:tcW w:w="1128" w:type="pct"/>
            <w:tcBorders>
              <w:top w:val="nil"/>
              <w:left w:val="nil"/>
              <w:bottom w:val="nil"/>
              <w:right w:val="single" w:sz="12" w:space="0" w:color="FFFFFF"/>
            </w:tcBorders>
            <w:shd w:val="clear" w:color="000000" w:fill="DCE6F1"/>
            <w:noWrap/>
            <w:vAlign w:val="bottom"/>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Total</w:t>
            </w:r>
          </w:p>
        </w:tc>
        <w:tc>
          <w:tcPr>
            <w:tcW w:w="426" w:type="pct"/>
            <w:tcBorders>
              <w:top w:val="nil"/>
              <w:left w:val="nil"/>
              <w:bottom w:val="nil"/>
              <w:right w:val="single" w:sz="8" w:space="0" w:color="FFFFFF"/>
            </w:tcBorders>
            <w:shd w:val="clear" w:color="000000" w:fill="DCE6F1"/>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124</w:t>
            </w:r>
            <w:r>
              <w:rPr>
                <w:rFonts w:asciiTheme="minorHAnsi" w:hAnsiTheme="minorHAnsi" w:cs="Arial"/>
                <w:b/>
                <w:bCs/>
                <w:sz w:val="14"/>
                <w:szCs w:val="14"/>
                <w:lang w:val="en-US" w:eastAsia="zh-CN"/>
              </w:rPr>
              <w:t xml:space="preserve"> </w:t>
            </w:r>
            <w:r w:rsidRPr="00C40C9A">
              <w:rPr>
                <w:rFonts w:asciiTheme="minorHAnsi" w:hAnsiTheme="minorHAnsi" w:cs="Arial"/>
                <w:b/>
                <w:bCs/>
                <w:sz w:val="14"/>
                <w:szCs w:val="14"/>
                <w:lang w:val="en-US" w:eastAsia="zh-CN"/>
              </w:rPr>
              <w:t>401</w:t>
            </w:r>
          </w:p>
        </w:tc>
        <w:tc>
          <w:tcPr>
            <w:tcW w:w="433" w:type="pct"/>
            <w:tcBorders>
              <w:top w:val="nil"/>
              <w:left w:val="nil"/>
              <w:bottom w:val="nil"/>
              <w:right w:val="single" w:sz="8" w:space="0" w:color="FFFFFF"/>
            </w:tcBorders>
            <w:shd w:val="clear" w:color="000000" w:fill="DCE6F1"/>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122</w:t>
            </w:r>
            <w:r>
              <w:rPr>
                <w:rFonts w:asciiTheme="minorHAnsi" w:hAnsiTheme="minorHAnsi" w:cs="Arial"/>
                <w:b/>
                <w:bCs/>
                <w:sz w:val="14"/>
                <w:szCs w:val="14"/>
                <w:lang w:val="en-US" w:eastAsia="zh-CN"/>
              </w:rPr>
              <w:t xml:space="preserve"> </w:t>
            </w:r>
            <w:r w:rsidRPr="00C40C9A">
              <w:rPr>
                <w:rFonts w:asciiTheme="minorHAnsi" w:hAnsiTheme="minorHAnsi" w:cs="Arial"/>
                <w:b/>
                <w:bCs/>
                <w:sz w:val="14"/>
                <w:szCs w:val="14"/>
                <w:lang w:val="en-US" w:eastAsia="zh-CN"/>
              </w:rPr>
              <w:t>891</w:t>
            </w:r>
          </w:p>
        </w:tc>
        <w:tc>
          <w:tcPr>
            <w:tcW w:w="373" w:type="pct"/>
            <w:tcBorders>
              <w:top w:val="nil"/>
              <w:left w:val="nil"/>
              <w:bottom w:val="nil"/>
              <w:right w:val="single" w:sz="8" w:space="0" w:color="FFFFFF"/>
            </w:tcBorders>
            <w:shd w:val="clear" w:color="000000" w:fill="DCE6F1"/>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-1</w:t>
            </w:r>
            <w:r>
              <w:rPr>
                <w:rFonts w:asciiTheme="minorHAnsi" w:hAnsiTheme="minorHAnsi" w:cs="Arial"/>
                <w:b/>
                <w:bCs/>
                <w:sz w:val="14"/>
                <w:szCs w:val="14"/>
                <w:lang w:val="en-US" w:eastAsia="zh-CN"/>
              </w:rPr>
              <w:t xml:space="preserve"> </w:t>
            </w:r>
            <w:r w:rsidRPr="00C40C9A">
              <w:rPr>
                <w:rFonts w:asciiTheme="minorHAnsi" w:hAnsiTheme="minorHAnsi" w:cs="Arial"/>
                <w:b/>
                <w:bCs/>
                <w:sz w:val="14"/>
                <w:szCs w:val="14"/>
                <w:lang w:val="en-US" w:eastAsia="zh-CN"/>
              </w:rPr>
              <w:t>510</w:t>
            </w:r>
          </w:p>
        </w:tc>
        <w:tc>
          <w:tcPr>
            <w:tcW w:w="432" w:type="pct"/>
            <w:tcBorders>
              <w:top w:val="nil"/>
              <w:left w:val="nil"/>
              <w:bottom w:val="nil"/>
              <w:right w:val="nil"/>
            </w:tcBorders>
            <w:shd w:val="clear" w:color="000000" w:fill="DCE6F1"/>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-1</w:t>
            </w:r>
            <w:r>
              <w:rPr>
                <w:rFonts w:asciiTheme="minorHAnsi" w:hAnsiTheme="minorHAnsi" w:cs="Arial"/>
                <w:b/>
                <w:bCs/>
                <w:sz w:val="14"/>
                <w:szCs w:val="14"/>
                <w:lang w:val="en-US" w:eastAsia="zh-CN"/>
              </w:rPr>
              <w:t>,</w:t>
            </w:r>
            <w:r w:rsidRPr="00C40C9A">
              <w:rPr>
                <w:rFonts w:asciiTheme="minorHAnsi" w:hAnsiTheme="minorHAnsi" w:cs="Arial"/>
                <w:b/>
                <w:bCs/>
                <w:sz w:val="14"/>
                <w:szCs w:val="14"/>
                <w:lang w:val="en-US" w:eastAsia="zh-CN"/>
              </w:rPr>
              <w:t>2%</w:t>
            </w:r>
          </w:p>
        </w:tc>
        <w:tc>
          <w:tcPr>
            <w:tcW w:w="122"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434" w:type="pct"/>
            <w:tcBorders>
              <w:top w:val="nil"/>
              <w:left w:val="nil"/>
              <w:bottom w:val="nil"/>
              <w:right w:val="single" w:sz="8" w:space="0" w:color="FFFFFF"/>
            </w:tcBorders>
            <w:shd w:val="clear" w:color="000000" w:fill="DCE6F1"/>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124</w:t>
            </w:r>
            <w:r>
              <w:rPr>
                <w:rFonts w:asciiTheme="minorHAnsi" w:hAnsiTheme="minorHAnsi" w:cs="Arial"/>
                <w:b/>
                <w:bCs/>
                <w:sz w:val="14"/>
                <w:szCs w:val="14"/>
                <w:lang w:val="en-US" w:eastAsia="zh-CN"/>
              </w:rPr>
              <w:t xml:space="preserve"> </w:t>
            </w:r>
            <w:r w:rsidRPr="00C40C9A">
              <w:rPr>
                <w:rFonts w:asciiTheme="minorHAnsi" w:hAnsiTheme="minorHAnsi" w:cs="Arial"/>
                <w:b/>
                <w:bCs/>
                <w:sz w:val="14"/>
                <w:szCs w:val="14"/>
                <w:lang w:val="en-US" w:eastAsia="zh-CN"/>
              </w:rPr>
              <w:t>401</w:t>
            </w:r>
          </w:p>
        </w:tc>
        <w:tc>
          <w:tcPr>
            <w:tcW w:w="460" w:type="pct"/>
            <w:tcBorders>
              <w:top w:val="nil"/>
              <w:left w:val="nil"/>
              <w:bottom w:val="nil"/>
              <w:right w:val="single" w:sz="8" w:space="0" w:color="FFFFFF"/>
            </w:tcBorders>
            <w:shd w:val="clear" w:color="000000" w:fill="DCE6F1"/>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122</w:t>
            </w:r>
            <w:r>
              <w:rPr>
                <w:rFonts w:asciiTheme="minorHAnsi" w:hAnsiTheme="minorHAnsi" w:cs="Arial"/>
                <w:b/>
                <w:bCs/>
                <w:sz w:val="14"/>
                <w:szCs w:val="14"/>
                <w:lang w:val="en-US" w:eastAsia="zh-CN"/>
              </w:rPr>
              <w:t xml:space="preserve"> </w:t>
            </w:r>
            <w:r w:rsidRPr="00C40C9A">
              <w:rPr>
                <w:rFonts w:asciiTheme="minorHAnsi" w:hAnsiTheme="minorHAnsi" w:cs="Arial"/>
                <w:b/>
                <w:bCs/>
                <w:sz w:val="14"/>
                <w:szCs w:val="14"/>
                <w:lang w:val="en-US" w:eastAsia="zh-CN"/>
              </w:rPr>
              <w:t>303</w:t>
            </w:r>
          </w:p>
        </w:tc>
        <w:tc>
          <w:tcPr>
            <w:tcW w:w="422" w:type="pct"/>
            <w:tcBorders>
              <w:top w:val="nil"/>
              <w:left w:val="nil"/>
              <w:bottom w:val="nil"/>
              <w:right w:val="single" w:sz="8" w:space="0" w:color="FFFFFF"/>
            </w:tcBorders>
            <w:shd w:val="clear" w:color="000000" w:fill="DCE6F1"/>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123</w:t>
            </w:r>
            <w:r>
              <w:rPr>
                <w:rFonts w:asciiTheme="minorHAnsi" w:hAnsiTheme="minorHAnsi" w:cs="Arial"/>
                <w:b/>
                <w:bCs/>
                <w:sz w:val="14"/>
                <w:szCs w:val="14"/>
                <w:lang w:val="en-US" w:eastAsia="zh-CN"/>
              </w:rPr>
              <w:t xml:space="preserve"> </w:t>
            </w:r>
            <w:r w:rsidRPr="00C40C9A">
              <w:rPr>
                <w:rFonts w:asciiTheme="minorHAnsi" w:hAnsiTheme="minorHAnsi" w:cs="Arial"/>
                <w:b/>
                <w:bCs/>
                <w:sz w:val="14"/>
                <w:szCs w:val="14"/>
                <w:lang w:val="en-US" w:eastAsia="zh-CN"/>
              </w:rPr>
              <w:t>192</w:t>
            </w:r>
          </w:p>
        </w:tc>
        <w:tc>
          <w:tcPr>
            <w:tcW w:w="363" w:type="pct"/>
            <w:tcBorders>
              <w:top w:val="nil"/>
              <w:left w:val="nil"/>
              <w:bottom w:val="nil"/>
              <w:right w:val="single" w:sz="8" w:space="0" w:color="FFFFFF"/>
            </w:tcBorders>
            <w:shd w:val="clear" w:color="000000" w:fill="DCE6F1"/>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-1</w:t>
            </w:r>
            <w:r>
              <w:rPr>
                <w:rFonts w:asciiTheme="minorHAnsi" w:hAnsiTheme="minorHAnsi" w:cs="Arial"/>
                <w:b/>
                <w:bCs/>
                <w:sz w:val="14"/>
                <w:szCs w:val="14"/>
                <w:lang w:val="en-US" w:eastAsia="zh-CN"/>
              </w:rPr>
              <w:t xml:space="preserve"> </w:t>
            </w:r>
            <w:r w:rsidRPr="00C40C9A">
              <w:rPr>
                <w:rFonts w:asciiTheme="minorHAnsi" w:hAnsiTheme="minorHAnsi" w:cs="Arial"/>
                <w:b/>
                <w:bCs/>
                <w:sz w:val="14"/>
                <w:szCs w:val="14"/>
                <w:lang w:val="en-US" w:eastAsia="zh-CN"/>
              </w:rPr>
              <w:t>209</w:t>
            </w:r>
          </w:p>
        </w:tc>
        <w:tc>
          <w:tcPr>
            <w:tcW w:w="407" w:type="pct"/>
            <w:tcBorders>
              <w:top w:val="nil"/>
              <w:left w:val="nil"/>
              <w:bottom w:val="nil"/>
              <w:right w:val="nil"/>
            </w:tcBorders>
            <w:shd w:val="clear" w:color="000000" w:fill="DCE6F1"/>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-1</w:t>
            </w:r>
            <w:r>
              <w:rPr>
                <w:rFonts w:asciiTheme="minorHAnsi" w:hAnsiTheme="minorHAnsi" w:cs="Arial"/>
                <w:b/>
                <w:bCs/>
                <w:sz w:val="14"/>
                <w:szCs w:val="14"/>
                <w:lang w:val="en-US" w:eastAsia="zh-CN"/>
              </w:rPr>
              <w:t>,</w:t>
            </w:r>
            <w:r w:rsidRPr="00C40C9A">
              <w:rPr>
                <w:rFonts w:asciiTheme="minorHAnsi" w:hAnsiTheme="minorHAnsi" w:cs="Arial"/>
                <w:b/>
                <w:bCs/>
                <w:sz w:val="14"/>
                <w:szCs w:val="14"/>
                <w:lang w:val="en-US" w:eastAsia="zh-CN"/>
              </w:rPr>
              <w:t>0%</w:t>
            </w:r>
          </w:p>
        </w:tc>
      </w:tr>
      <w:tr w:rsidR="0067025C" w:rsidRPr="00C40C9A" w:rsidTr="00965078">
        <w:trPr>
          <w:trHeight w:val="227"/>
        </w:trPr>
        <w:tc>
          <w:tcPr>
            <w:tcW w:w="1128" w:type="pct"/>
            <w:tcBorders>
              <w:top w:val="nil"/>
              <w:left w:val="nil"/>
              <w:bottom w:val="nil"/>
              <w:right w:val="nil"/>
            </w:tcBorders>
            <w:shd w:val="clear" w:color="000000" w:fill="FFFFFF"/>
            <w:noWrap/>
            <w:vAlign w:val="bottom"/>
            <w:hideMark/>
          </w:tcPr>
          <w:p w:rsidR="0067025C" w:rsidRPr="00C40C9A" w:rsidRDefault="0067025C" w:rsidP="0067025C">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Pr>
                <w:rFonts w:asciiTheme="minorHAnsi" w:hAnsiTheme="minorHAnsi" w:cs="Arial"/>
                <w:sz w:val="14"/>
                <w:szCs w:val="14"/>
                <w:lang w:val="en-US" w:eastAsia="zh-CN"/>
              </w:rPr>
              <w:t xml:space="preserve">* Au </w:t>
            </w:r>
            <w:r w:rsidRPr="00C40C9A">
              <w:rPr>
                <w:rFonts w:asciiTheme="minorHAnsi" w:hAnsiTheme="minorHAnsi" w:cs="Arial"/>
                <w:sz w:val="14"/>
                <w:szCs w:val="14"/>
                <w:lang w:val="en-US" w:eastAsia="zh-CN"/>
              </w:rPr>
              <w:t xml:space="preserve">7 </w:t>
            </w:r>
            <w:proofErr w:type="spellStart"/>
            <w:r>
              <w:rPr>
                <w:rFonts w:asciiTheme="minorHAnsi" w:hAnsiTheme="minorHAnsi" w:cs="Arial"/>
                <w:sz w:val="14"/>
                <w:szCs w:val="14"/>
                <w:lang w:val="en-US" w:eastAsia="zh-CN"/>
              </w:rPr>
              <w:t>février</w:t>
            </w:r>
            <w:proofErr w:type="spellEnd"/>
            <w:r w:rsidRPr="00C40C9A">
              <w:rPr>
                <w:rFonts w:asciiTheme="minorHAnsi" w:hAnsiTheme="minorHAnsi" w:cs="Arial"/>
                <w:sz w:val="14"/>
                <w:szCs w:val="14"/>
                <w:lang w:val="en-US" w:eastAsia="zh-CN"/>
              </w:rPr>
              <w:t xml:space="preserve"> 2017</w:t>
            </w:r>
          </w:p>
        </w:tc>
        <w:tc>
          <w:tcPr>
            <w:tcW w:w="426"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 </w:t>
            </w:r>
          </w:p>
        </w:tc>
        <w:tc>
          <w:tcPr>
            <w:tcW w:w="433"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 </w:t>
            </w:r>
          </w:p>
        </w:tc>
        <w:tc>
          <w:tcPr>
            <w:tcW w:w="373"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 </w:t>
            </w:r>
          </w:p>
        </w:tc>
        <w:tc>
          <w:tcPr>
            <w:tcW w:w="432"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 </w:t>
            </w:r>
          </w:p>
        </w:tc>
        <w:tc>
          <w:tcPr>
            <w:tcW w:w="122"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C40C9A">
              <w:rPr>
                <w:rFonts w:asciiTheme="minorHAnsi" w:hAnsiTheme="minorHAnsi" w:cs="Arial"/>
                <w:sz w:val="14"/>
                <w:szCs w:val="14"/>
                <w:lang w:val="en-US" w:eastAsia="zh-CN"/>
              </w:rPr>
              <w:t> </w:t>
            </w:r>
          </w:p>
        </w:tc>
        <w:tc>
          <w:tcPr>
            <w:tcW w:w="434"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 </w:t>
            </w:r>
          </w:p>
        </w:tc>
        <w:tc>
          <w:tcPr>
            <w:tcW w:w="460"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 </w:t>
            </w:r>
          </w:p>
        </w:tc>
        <w:tc>
          <w:tcPr>
            <w:tcW w:w="422"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 </w:t>
            </w:r>
          </w:p>
        </w:tc>
        <w:tc>
          <w:tcPr>
            <w:tcW w:w="363"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 </w:t>
            </w:r>
          </w:p>
        </w:tc>
        <w:tc>
          <w:tcPr>
            <w:tcW w:w="407" w:type="pct"/>
            <w:tcBorders>
              <w:top w:val="nil"/>
              <w:left w:val="nil"/>
              <w:bottom w:val="nil"/>
              <w:right w:val="nil"/>
            </w:tcBorders>
            <w:shd w:val="clear" w:color="000000" w:fill="FFFFFF"/>
            <w:noWrap/>
            <w:vAlign w:val="center"/>
            <w:hideMark/>
          </w:tcPr>
          <w:p w:rsidR="0067025C" w:rsidRPr="00C40C9A" w:rsidRDefault="0067025C" w:rsidP="002D37AF">
            <w:pPr>
              <w:keepNext/>
              <w:keepLines/>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C40C9A">
              <w:rPr>
                <w:rFonts w:asciiTheme="minorHAnsi" w:hAnsiTheme="minorHAnsi" w:cs="Arial"/>
                <w:b/>
                <w:bCs/>
                <w:sz w:val="14"/>
                <w:szCs w:val="14"/>
                <w:lang w:val="en-US" w:eastAsia="zh-CN"/>
              </w:rPr>
              <w:t> </w:t>
            </w:r>
          </w:p>
        </w:tc>
      </w:tr>
    </w:tbl>
    <w:p w:rsidR="00034C09" w:rsidRPr="004D1D35" w:rsidRDefault="00034C09" w:rsidP="009C7754">
      <w:pPr>
        <w:pStyle w:val="Normalaftertitle"/>
        <w:rPr>
          <w:lang w:val="fr-CH"/>
        </w:rPr>
      </w:pPr>
      <w:r w:rsidRPr="004D1D35">
        <w:rPr>
          <w:lang w:val="fr-CH"/>
        </w:rPr>
        <w:t>3.3</w:t>
      </w:r>
      <w:r w:rsidRPr="004D1D35">
        <w:rPr>
          <w:lang w:val="fr-CH"/>
        </w:rPr>
        <w:tab/>
        <w:t>Le montant de l'unité contributive annuelle est fixé à 318 000 CHF pour la période 2016</w:t>
      </w:r>
      <w:r>
        <w:rPr>
          <w:lang w:val="fr-CH"/>
        </w:rPr>
        <w:noBreakHyphen/>
      </w:r>
      <w:r w:rsidRPr="004D1D35">
        <w:rPr>
          <w:lang w:val="fr-CH"/>
        </w:rPr>
        <w:t xml:space="preserve">2017. Le nombre d'unités versées par les Etats Membres au </w:t>
      </w:r>
      <w:r w:rsidR="009C7754">
        <w:rPr>
          <w:lang w:val="fr-CH"/>
        </w:rPr>
        <w:t>31</w:t>
      </w:r>
      <w:r w:rsidRPr="004D1D35">
        <w:rPr>
          <w:lang w:val="fr-CH"/>
        </w:rPr>
        <w:t xml:space="preserve"> </w:t>
      </w:r>
      <w:r w:rsidR="009C7754">
        <w:rPr>
          <w:lang w:val="fr-CH"/>
        </w:rPr>
        <w:t>décembre </w:t>
      </w:r>
      <w:r w:rsidRPr="004D1D35">
        <w:rPr>
          <w:lang w:val="fr-CH"/>
        </w:rPr>
        <w:t>2016 est de 334</w:t>
      </w:r>
      <w:r>
        <w:rPr>
          <w:lang w:val="fr-CH"/>
        </w:rPr>
        <w:t> </w:t>
      </w:r>
      <w:r w:rsidR="009C7754">
        <w:rPr>
          <w:lang w:val="fr-CH"/>
        </w:rPr>
        <w:t>1/4</w:t>
      </w:r>
      <w:r>
        <w:rPr>
          <w:lang w:val="fr-CH"/>
        </w:rPr>
        <w:t> </w:t>
      </w:r>
      <w:r w:rsidRPr="004D1D35">
        <w:rPr>
          <w:lang w:val="fr-CH"/>
        </w:rPr>
        <w:t>unités.</w:t>
      </w:r>
    </w:p>
    <w:p w:rsidR="00034C09" w:rsidRPr="004D1D35" w:rsidRDefault="00034C09" w:rsidP="00611BD1">
      <w:pPr>
        <w:rPr>
          <w:snapToGrid w:val="0"/>
          <w:lang w:val="fr-CH"/>
        </w:rPr>
      </w:pPr>
      <w:r w:rsidRPr="004D1D35">
        <w:rPr>
          <w:snapToGrid w:val="0"/>
          <w:lang w:val="fr-CH"/>
        </w:rPr>
        <w:t>3.4</w:t>
      </w:r>
      <w:r w:rsidRPr="004D1D35">
        <w:rPr>
          <w:snapToGrid w:val="0"/>
          <w:lang w:val="fr-CH"/>
        </w:rPr>
        <w:tab/>
        <w:t>Le montant de l'unité contributive annuelle pour</w:t>
      </w:r>
      <w:r w:rsidR="009C7754">
        <w:rPr>
          <w:snapToGrid w:val="0"/>
          <w:lang w:val="fr-CH"/>
        </w:rPr>
        <w:t xml:space="preserve"> l’exercice biennal</w:t>
      </w:r>
      <w:r w:rsidRPr="004D1D35">
        <w:rPr>
          <w:snapToGrid w:val="0"/>
          <w:lang w:val="fr-CH"/>
        </w:rPr>
        <w:t xml:space="preserve"> 2016</w:t>
      </w:r>
      <w:r w:rsidR="009C7754">
        <w:rPr>
          <w:snapToGrid w:val="0"/>
          <w:lang w:val="fr-CH"/>
        </w:rPr>
        <w:t>-2017</w:t>
      </w:r>
      <w:r w:rsidR="00611BD1">
        <w:rPr>
          <w:snapToGrid w:val="0"/>
          <w:lang w:val="fr-CH"/>
        </w:rPr>
        <w:t xml:space="preserve"> est fixé à 63 600 </w:t>
      </w:r>
      <w:r w:rsidRPr="004D1D35">
        <w:rPr>
          <w:snapToGrid w:val="0"/>
          <w:lang w:val="fr-CH"/>
        </w:rPr>
        <w:t>CHF pour</w:t>
      </w:r>
      <w:r w:rsidR="00611BD1">
        <w:rPr>
          <w:snapToGrid w:val="0"/>
          <w:lang w:val="fr-CH"/>
        </w:rPr>
        <w:t xml:space="preserve"> les Membres de Secteur et à 10 </w:t>
      </w:r>
      <w:r w:rsidRPr="004D1D35">
        <w:rPr>
          <w:snapToGrid w:val="0"/>
          <w:lang w:val="fr-CH"/>
        </w:rPr>
        <w:t xml:space="preserve">600 CHF pour les Associés. </w:t>
      </w:r>
    </w:p>
    <w:p w:rsidR="00034C09" w:rsidRPr="004D1D35" w:rsidRDefault="00034C09" w:rsidP="00965078">
      <w:pPr>
        <w:rPr>
          <w:lang w:val="fr-CH"/>
        </w:rPr>
      </w:pPr>
      <w:r w:rsidRPr="004D1D35">
        <w:rPr>
          <w:lang w:val="fr-CH"/>
        </w:rPr>
        <w:t>3.5</w:t>
      </w:r>
      <w:r w:rsidRPr="004D1D35">
        <w:rPr>
          <w:lang w:val="fr-CH"/>
        </w:rPr>
        <w:tab/>
        <w:t xml:space="preserve">Depuis 2011, la mise en </w:t>
      </w:r>
      <w:r w:rsidR="00611BD1" w:rsidRPr="004D1D35">
        <w:rPr>
          <w:lang w:val="fr-CH"/>
        </w:rPr>
        <w:t>œuvre</w:t>
      </w:r>
      <w:r w:rsidRPr="004D1D35">
        <w:rPr>
          <w:lang w:val="fr-CH"/>
        </w:rPr>
        <w:t xml:space="preserve"> de la Résolution 169 (Rév. Busan, 2014) a engendré de nouvelles sources de recettes </w:t>
      </w:r>
      <w:r w:rsidR="00965078">
        <w:rPr>
          <w:lang w:val="fr-CH"/>
        </w:rPr>
        <w:t>émanant d'</w:t>
      </w:r>
      <w:r w:rsidRPr="004D1D35">
        <w:rPr>
          <w:lang w:val="fr-CH"/>
        </w:rPr>
        <w:t>établissements universitaires, d</w:t>
      </w:r>
      <w:r w:rsidR="00965078">
        <w:rPr>
          <w:lang w:val="fr-CH"/>
        </w:rPr>
        <w:t>'</w:t>
      </w:r>
      <w:r w:rsidRPr="004D1D35">
        <w:rPr>
          <w:lang w:val="fr-CH"/>
        </w:rPr>
        <w:t>universités et d</w:t>
      </w:r>
      <w:r w:rsidR="00965078">
        <w:rPr>
          <w:lang w:val="fr-CH"/>
        </w:rPr>
        <w:t>'</w:t>
      </w:r>
      <w:r w:rsidRPr="004D1D35">
        <w:rPr>
          <w:lang w:val="fr-CH"/>
        </w:rPr>
        <w:t xml:space="preserve">instituts de recherche associés. Au </w:t>
      </w:r>
      <w:r w:rsidR="00611BD1">
        <w:rPr>
          <w:lang w:val="fr-CH"/>
        </w:rPr>
        <w:t>31 décembre 2016, on comptait 126</w:t>
      </w:r>
      <w:r w:rsidRPr="004D1D35">
        <w:rPr>
          <w:lang w:val="fr-CH"/>
        </w:rPr>
        <w:t xml:space="preserve"> établissements universitaires </w:t>
      </w:r>
      <w:r w:rsidR="00611BD1">
        <w:rPr>
          <w:lang w:val="fr-CH"/>
        </w:rPr>
        <w:t>actifs</w:t>
      </w:r>
      <w:r w:rsidRPr="004D1D35">
        <w:rPr>
          <w:lang w:val="fr-CH"/>
        </w:rPr>
        <w:t>.</w:t>
      </w:r>
    </w:p>
    <w:p w:rsidR="00B84828" w:rsidRPr="004D1D35" w:rsidRDefault="00034C09" w:rsidP="00965078">
      <w:pPr>
        <w:rPr>
          <w:lang w:val="fr-CH"/>
        </w:rPr>
      </w:pPr>
      <w:r w:rsidRPr="004D1D35">
        <w:rPr>
          <w:lang w:val="fr-CH"/>
        </w:rPr>
        <w:t>3.6</w:t>
      </w:r>
      <w:r w:rsidRPr="004D1D35">
        <w:rPr>
          <w:lang w:val="fr-CH"/>
        </w:rPr>
        <w:tab/>
        <w:t xml:space="preserve">Les produits tirés du recouvrement des coûts représentent 21,5% du </w:t>
      </w:r>
      <w:r w:rsidR="00965078">
        <w:rPr>
          <w:lang w:val="fr-CH"/>
        </w:rPr>
        <w:t xml:space="preserve">budget </w:t>
      </w:r>
      <w:r w:rsidRPr="004D1D35">
        <w:rPr>
          <w:lang w:val="fr-CH"/>
        </w:rPr>
        <w:t xml:space="preserve">total </w:t>
      </w:r>
      <w:r w:rsidR="00965078">
        <w:rPr>
          <w:lang w:val="fr-CH"/>
        </w:rPr>
        <w:t>pour</w:t>
      </w:r>
      <w:r w:rsidR="00611BD1">
        <w:rPr>
          <w:lang w:val="fr-CH"/>
        </w:rPr>
        <w:t xml:space="preserve"> l’exercice biennal 2016-2017</w:t>
      </w:r>
      <w:r w:rsidRPr="004D1D35">
        <w:rPr>
          <w:lang w:val="fr-CH"/>
        </w:rPr>
        <w:t xml:space="preserve">. La ventilation de ces produits est présentée dans le Tableau 3. </w:t>
      </w:r>
    </w:p>
    <w:p w:rsidR="00034C09" w:rsidRDefault="00034C09" w:rsidP="0035086E">
      <w:pPr>
        <w:pStyle w:val="Tabletitle"/>
        <w:spacing w:before="240"/>
        <w:rPr>
          <w:lang w:val="fr-CH"/>
        </w:rPr>
      </w:pPr>
      <w:r w:rsidRPr="004D1D35">
        <w:rPr>
          <w:lang w:val="fr-CH"/>
        </w:rPr>
        <w:t>Tableau 3 ‒ Produits provenant du recouvrement des coûts</w:t>
      </w:r>
    </w:p>
    <w:p w:rsidR="00800BC4" w:rsidRDefault="00800BC4" w:rsidP="00800BC4">
      <w:pPr>
        <w:keepNext/>
        <w:keepLines/>
        <w:tabs>
          <w:tab w:val="clear" w:pos="567"/>
          <w:tab w:val="clear" w:pos="1134"/>
          <w:tab w:val="clear" w:pos="1701"/>
          <w:tab w:val="clear" w:pos="2268"/>
          <w:tab w:val="clear" w:pos="2835"/>
        </w:tabs>
        <w:overflowPunct/>
        <w:snapToGrid w:val="0"/>
        <w:jc w:val="right"/>
        <w:textAlignment w:val="auto"/>
        <w:rPr>
          <w:rFonts w:cs="Calibri"/>
          <w:b/>
          <w:bCs/>
          <w:sz w:val="22"/>
          <w:szCs w:val="22"/>
        </w:rPr>
      </w:pPr>
      <w:proofErr w:type="spellStart"/>
      <w:r>
        <w:rPr>
          <w:rFonts w:asciiTheme="minorHAnsi" w:hAnsiTheme="minorHAnsi" w:cs="Arial"/>
          <w:i/>
          <w:iCs/>
          <w:sz w:val="14"/>
          <w:szCs w:val="14"/>
          <w:lang w:val="en-US" w:eastAsia="zh-CN"/>
        </w:rPr>
        <w:t>En</w:t>
      </w:r>
      <w:proofErr w:type="spellEnd"/>
      <w:r>
        <w:rPr>
          <w:rFonts w:asciiTheme="minorHAnsi" w:hAnsiTheme="minorHAnsi" w:cs="Arial"/>
          <w:i/>
          <w:iCs/>
          <w:sz w:val="14"/>
          <w:szCs w:val="14"/>
          <w:lang w:val="en-US" w:eastAsia="zh-CN"/>
        </w:rPr>
        <w:t xml:space="preserve"> </w:t>
      </w:r>
      <w:proofErr w:type="spellStart"/>
      <w:r>
        <w:rPr>
          <w:rFonts w:asciiTheme="minorHAnsi" w:hAnsiTheme="minorHAnsi" w:cs="Arial"/>
          <w:i/>
          <w:iCs/>
          <w:sz w:val="14"/>
          <w:szCs w:val="14"/>
          <w:lang w:val="en-US" w:eastAsia="zh-CN"/>
        </w:rPr>
        <w:t>milliers</w:t>
      </w:r>
      <w:proofErr w:type="spellEnd"/>
      <w:r>
        <w:rPr>
          <w:rFonts w:asciiTheme="minorHAnsi" w:hAnsiTheme="minorHAnsi" w:cs="Arial"/>
          <w:i/>
          <w:iCs/>
          <w:sz w:val="14"/>
          <w:szCs w:val="14"/>
          <w:lang w:val="en-US" w:eastAsia="zh-CN"/>
        </w:rPr>
        <w:t xml:space="preserve"> CHF</w:t>
      </w:r>
    </w:p>
    <w:tbl>
      <w:tblPr>
        <w:tblW w:w="5000" w:type="pct"/>
        <w:tblLayout w:type="fixed"/>
        <w:tblLook w:val="04A0" w:firstRow="1" w:lastRow="0" w:firstColumn="1" w:lastColumn="0" w:noHBand="0" w:noVBand="1"/>
      </w:tblPr>
      <w:tblGrid>
        <w:gridCol w:w="2081"/>
        <w:gridCol w:w="798"/>
        <w:gridCol w:w="798"/>
        <w:gridCol w:w="771"/>
        <w:gridCol w:w="798"/>
        <w:gridCol w:w="283"/>
        <w:gridCol w:w="827"/>
        <w:gridCol w:w="927"/>
        <w:gridCol w:w="850"/>
        <w:gridCol w:w="746"/>
        <w:gridCol w:w="760"/>
      </w:tblGrid>
      <w:tr w:rsidR="00791CD2" w:rsidRPr="00547A0B" w:rsidTr="002D37AF">
        <w:trPr>
          <w:trHeight w:val="227"/>
        </w:trPr>
        <w:tc>
          <w:tcPr>
            <w:tcW w:w="1079"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1642" w:type="pct"/>
            <w:gridSpan w:val="4"/>
            <w:tcBorders>
              <w:top w:val="single" w:sz="8" w:space="0" w:color="FFFFFF"/>
              <w:left w:val="nil"/>
              <w:bottom w:val="single" w:sz="8" w:space="0" w:color="FFFFFF"/>
              <w:right w:val="single" w:sz="8" w:space="0" w:color="FFFFFF"/>
            </w:tcBorders>
            <w:shd w:val="clear" w:color="000000" w:fill="DCE6F1"/>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2016</w:t>
            </w:r>
          </w:p>
        </w:tc>
        <w:tc>
          <w:tcPr>
            <w:tcW w:w="147" w:type="pct"/>
            <w:tcBorders>
              <w:top w:val="nil"/>
              <w:left w:val="nil"/>
              <w:bottom w:val="nil"/>
              <w:right w:val="nil"/>
            </w:tcBorders>
            <w:shd w:val="clear" w:color="000000" w:fill="FFFFFF"/>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2132" w:type="pct"/>
            <w:gridSpan w:val="5"/>
            <w:tcBorders>
              <w:top w:val="single" w:sz="8" w:space="0" w:color="FFFFFF"/>
              <w:left w:val="nil"/>
              <w:bottom w:val="single" w:sz="8" w:space="0" w:color="FFFFFF"/>
              <w:right w:val="nil"/>
            </w:tcBorders>
            <w:shd w:val="clear" w:color="000000" w:fill="DCE6F1"/>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2017</w:t>
            </w:r>
          </w:p>
        </w:tc>
      </w:tr>
      <w:tr w:rsidR="00791CD2" w:rsidRPr="00547A0B" w:rsidTr="0035086E">
        <w:trPr>
          <w:trHeight w:val="227"/>
        </w:trPr>
        <w:tc>
          <w:tcPr>
            <w:tcW w:w="1079" w:type="pct"/>
            <w:vMerge w:val="restart"/>
            <w:tcBorders>
              <w:top w:val="nil"/>
              <w:left w:val="nil"/>
              <w:bottom w:val="single" w:sz="12" w:space="0" w:color="FFFFFF"/>
              <w:right w:val="single" w:sz="12" w:space="0" w:color="FFFFFF"/>
            </w:tcBorders>
            <w:shd w:val="clear" w:color="000000" w:fill="DCE6F1"/>
            <w:vAlign w:val="center"/>
            <w:hideMark/>
          </w:tcPr>
          <w:p w:rsidR="00791CD2" w:rsidRPr="00547A0B" w:rsidRDefault="00C7256B" w:rsidP="002D37AF">
            <w:pPr>
              <w:tabs>
                <w:tab w:val="clear" w:pos="567"/>
                <w:tab w:val="clear" w:pos="1134"/>
                <w:tab w:val="clear" w:pos="1701"/>
                <w:tab w:val="clear" w:pos="2268"/>
                <w:tab w:val="clear" w:pos="2835"/>
              </w:tabs>
              <w:overflowPunct/>
              <w:autoSpaceDE/>
              <w:autoSpaceDN/>
              <w:adjustRightInd/>
              <w:spacing w:before="0"/>
              <w:ind w:firstLineChars="100" w:firstLine="161"/>
              <w:textAlignment w:val="auto"/>
              <w:rPr>
                <w:rFonts w:asciiTheme="minorHAnsi" w:hAnsiTheme="minorHAnsi" w:cs="Arial"/>
                <w:b/>
                <w:bCs/>
                <w:sz w:val="14"/>
                <w:szCs w:val="14"/>
                <w:lang w:val="en-US" w:eastAsia="zh-CN"/>
              </w:rPr>
            </w:pPr>
            <w:proofErr w:type="spellStart"/>
            <w:r w:rsidRPr="00932286">
              <w:rPr>
                <w:b/>
                <w:bCs/>
                <w:sz w:val="16"/>
                <w:szCs w:val="16"/>
                <w:lang w:val="ru-RU"/>
              </w:rPr>
              <w:t>Recouvrement</w:t>
            </w:r>
            <w:proofErr w:type="spellEnd"/>
            <w:r w:rsidRPr="00932286">
              <w:rPr>
                <w:b/>
                <w:bCs/>
                <w:sz w:val="16"/>
                <w:szCs w:val="16"/>
                <w:lang w:val="ru-RU"/>
              </w:rPr>
              <w:t xml:space="preserve"> des </w:t>
            </w:r>
            <w:proofErr w:type="spellStart"/>
            <w:r w:rsidRPr="00932286">
              <w:rPr>
                <w:b/>
                <w:bCs/>
                <w:sz w:val="16"/>
                <w:szCs w:val="16"/>
                <w:lang w:val="ru-RU"/>
              </w:rPr>
              <w:t>coûts</w:t>
            </w:r>
            <w:proofErr w:type="spellEnd"/>
          </w:p>
        </w:tc>
        <w:tc>
          <w:tcPr>
            <w:tcW w:w="414" w:type="pct"/>
            <w:tcBorders>
              <w:top w:val="nil"/>
              <w:left w:val="nil"/>
              <w:bottom w:val="nil"/>
              <w:right w:val="single" w:sz="8" w:space="0" w:color="FFFFFF"/>
            </w:tcBorders>
            <w:shd w:val="clear" w:color="000000" w:fill="DCE6F1"/>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Budget</w:t>
            </w:r>
          </w:p>
        </w:tc>
        <w:tc>
          <w:tcPr>
            <w:tcW w:w="414" w:type="pct"/>
            <w:tcBorders>
              <w:top w:val="nil"/>
              <w:left w:val="nil"/>
              <w:bottom w:val="nil"/>
              <w:right w:val="single" w:sz="8" w:space="0" w:color="FFFFFF"/>
            </w:tcBorders>
            <w:shd w:val="clear" w:color="000000" w:fill="DCE6F1"/>
            <w:vAlign w:val="bottom"/>
            <w:hideMark/>
          </w:tcPr>
          <w:p w:rsidR="00791CD2" w:rsidRPr="00547A0B" w:rsidRDefault="00EF1EF6"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Montants</w:t>
            </w:r>
            <w:proofErr w:type="spellEnd"/>
            <w:r>
              <w:rPr>
                <w:rFonts w:asciiTheme="minorHAnsi" w:hAnsiTheme="minorHAnsi" w:cs="Arial"/>
                <w:b/>
                <w:bCs/>
                <w:sz w:val="14"/>
                <w:szCs w:val="14"/>
                <w:lang w:val="en-US" w:eastAsia="zh-CN"/>
              </w:rPr>
              <w:t xml:space="preserve"> </w:t>
            </w:r>
            <w:proofErr w:type="spellStart"/>
            <w:r>
              <w:rPr>
                <w:rFonts w:asciiTheme="minorHAnsi" w:hAnsiTheme="minorHAnsi" w:cs="Arial"/>
                <w:b/>
                <w:bCs/>
                <w:sz w:val="14"/>
                <w:szCs w:val="14"/>
                <w:lang w:val="en-US" w:eastAsia="zh-CN"/>
              </w:rPr>
              <w:t>effectifs</w:t>
            </w:r>
            <w:proofErr w:type="spellEnd"/>
            <w:r w:rsidR="00791CD2" w:rsidRPr="00547A0B">
              <w:rPr>
                <w:rFonts w:asciiTheme="minorHAnsi" w:hAnsiTheme="minorHAnsi" w:cs="Arial"/>
                <w:b/>
                <w:bCs/>
                <w:sz w:val="14"/>
                <w:szCs w:val="14"/>
                <w:lang w:val="en-US" w:eastAsia="zh-CN"/>
              </w:rPr>
              <w:t>*</w:t>
            </w:r>
          </w:p>
        </w:tc>
        <w:tc>
          <w:tcPr>
            <w:tcW w:w="400" w:type="pct"/>
            <w:tcBorders>
              <w:top w:val="nil"/>
              <w:left w:val="nil"/>
              <w:bottom w:val="nil"/>
              <w:right w:val="single" w:sz="8" w:space="0" w:color="FFFFFF"/>
            </w:tcBorders>
            <w:shd w:val="clear" w:color="000000" w:fill="DCE6F1"/>
            <w:vAlign w:val="bottom"/>
            <w:hideMark/>
          </w:tcPr>
          <w:p w:rsidR="00791CD2" w:rsidRPr="00547A0B" w:rsidRDefault="00EF1EF6"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Ecart</w:t>
            </w:r>
            <w:proofErr w:type="spellEnd"/>
          </w:p>
        </w:tc>
        <w:tc>
          <w:tcPr>
            <w:tcW w:w="414" w:type="pct"/>
            <w:tcBorders>
              <w:top w:val="nil"/>
              <w:left w:val="nil"/>
              <w:bottom w:val="nil"/>
              <w:right w:val="nil"/>
            </w:tcBorders>
            <w:shd w:val="clear" w:color="000000" w:fill="DCE6F1"/>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w:t>
            </w:r>
          </w:p>
        </w:tc>
        <w:tc>
          <w:tcPr>
            <w:tcW w:w="147" w:type="pct"/>
            <w:tcBorders>
              <w:top w:val="nil"/>
              <w:left w:val="nil"/>
              <w:bottom w:val="nil"/>
              <w:right w:val="nil"/>
            </w:tcBorders>
            <w:shd w:val="clear" w:color="000000" w:fill="FFFFFF"/>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 </w:t>
            </w:r>
          </w:p>
        </w:tc>
        <w:tc>
          <w:tcPr>
            <w:tcW w:w="429" w:type="pct"/>
            <w:tcBorders>
              <w:top w:val="nil"/>
              <w:left w:val="nil"/>
              <w:bottom w:val="nil"/>
              <w:right w:val="single" w:sz="8" w:space="0" w:color="FFFFFF"/>
            </w:tcBorders>
            <w:shd w:val="clear" w:color="000000" w:fill="DCE6F1"/>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Budget</w:t>
            </w:r>
          </w:p>
        </w:tc>
        <w:tc>
          <w:tcPr>
            <w:tcW w:w="481" w:type="pct"/>
            <w:tcBorders>
              <w:top w:val="nil"/>
              <w:left w:val="nil"/>
              <w:bottom w:val="nil"/>
              <w:right w:val="single" w:sz="8" w:space="0" w:color="FFFFFF"/>
            </w:tcBorders>
            <w:shd w:val="clear" w:color="000000" w:fill="DCE6F1"/>
            <w:vAlign w:val="bottom"/>
            <w:hideMark/>
          </w:tcPr>
          <w:p w:rsidR="00791CD2" w:rsidRPr="00547A0B" w:rsidRDefault="00EF1EF6"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Montants</w:t>
            </w:r>
            <w:proofErr w:type="spellEnd"/>
            <w:r>
              <w:rPr>
                <w:rFonts w:asciiTheme="minorHAnsi" w:hAnsiTheme="minorHAnsi" w:cs="Arial"/>
                <w:b/>
                <w:bCs/>
                <w:sz w:val="14"/>
                <w:szCs w:val="14"/>
                <w:lang w:val="en-US" w:eastAsia="zh-CN"/>
              </w:rPr>
              <w:t xml:space="preserve"> </w:t>
            </w:r>
            <w:proofErr w:type="spellStart"/>
            <w:r>
              <w:rPr>
                <w:rFonts w:asciiTheme="minorHAnsi" w:hAnsiTheme="minorHAnsi" w:cs="Arial"/>
                <w:b/>
                <w:bCs/>
                <w:sz w:val="14"/>
                <w:szCs w:val="14"/>
                <w:lang w:val="en-US" w:eastAsia="zh-CN"/>
              </w:rPr>
              <w:t>effectifs</w:t>
            </w:r>
            <w:proofErr w:type="spellEnd"/>
          </w:p>
        </w:tc>
        <w:tc>
          <w:tcPr>
            <w:tcW w:w="441" w:type="pct"/>
            <w:tcBorders>
              <w:top w:val="nil"/>
              <w:left w:val="nil"/>
              <w:bottom w:val="nil"/>
              <w:right w:val="single" w:sz="8" w:space="0" w:color="FFFFFF"/>
            </w:tcBorders>
            <w:shd w:val="clear" w:color="000000" w:fill="DCE6F1"/>
            <w:vAlign w:val="bottom"/>
            <w:hideMark/>
          </w:tcPr>
          <w:p w:rsidR="00791CD2" w:rsidRPr="00547A0B" w:rsidRDefault="00EF1EF6"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Prévisions</w:t>
            </w:r>
            <w:proofErr w:type="spellEnd"/>
          </w:p>
        </w:tc>
        <w:tc>
          <w:tcPr>
            <w:tcW w:w="387" w:type="pct"/>
            <w:tcBorders>
              <w:top w:val="nil"/>
              <w:left w:val="nil"/>
              <w:bottom w:val="nil"/>
              <w:right w:val="single" w:sz="8" w:space="0" w:color="FFFFFF"/>
            </w:tcBorders>
            <w:shd w:val="clear" w:color="000000" w:fill="DCE6F1"/>
            <w:vAlign w:val="bottom"/>
            <w:hideMark/>
          </w:tcPr>
          <w:p w:rsidR="00791CD2" w:rsidRPr="00547A0B" w:rsidRDefault="00EF1EF6"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proofErr w:type="spellStart"/>
            <w:r>
              <w:rPr>
                <w:rFonts w:asciiTheme="minorHAnsi" w:hAnsiTheme="minorHAnsi" w:cs="Arial"/>
                <w:b/>
                <w:bCs/>
                <w:sz w:val="14"/>
                <w:szCs w:val="14"/>
                <w:lang w:val="en-US" w:eastAsia="zh-CN"/>
              </w:rPr>
              <w:t>Ecart</w:t>
            </w:r>
            <w:proofErr w:type="spellEnd"/>
          </w:p>
        </w:tc>
        <w:tc>
          <w:tcPr>
            <w:tcW w:w="394" w:type="pct"/>
            <w:tcBorders>
              <w:top w:val="nil"/>
              <w:left w:val="nil"/>
              <w:bottom w:val="nil"/>
              <w:right w:val="nil"/>
            </w:tcBorders>
            <w:shd w:val="clear" w:color="000000" w:fill="DCE6F1"/>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w:t>
            </w:r>
          </w:p>
        </w:tc>
      </w:tr>
      <w:tr w:rsidR="00791CD2" w:rsidRPr="00547A0B" w:rsidTr="0035086E">
        <w:trPr>
          <w:trHeight w:val="227"/>
        </w:trPr>
        <w:tc>
          <w:tcPr>
            <w:tcW w:w="1079" w:type="pct"/>
            <w:vMerge/>
            <w:tcBorders>
              <w:top w:val="nil"/>
              <w:left w:val="nil"/>
              <w:bottom w:val="single" w:sz="12" w:space="0" w:color="FFFFFF"/>
              <w:right w:val="single" w:sz="12" w:space="0" w:color="FFFFFF"/>
            </w:tcBorders>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p>
        </w:tc>
        <w:tc>
          <w:tcPr>
            <w:tcW w:w="414" w:type="pct"/>
            <w:tcBorders>
              <w:top w:val="nil"/>
              <w:left w:val="nil"/>
              <w:bottom w:val="nil"/>
              <w:right w:val="single" w:sz="8" w:space="0" w:color="FFFFFF"/>
            </w:tcBorders>
            <w:shd w:val="clear" w:color="000000" w:fill="DCE6F1"/>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2016</w:t>
            </w:r>
          </w:p>
        </w:tc>
        <w:tc>
          <w:tcPr>
            <w:tcW w:w="414" w:type="pct"/>
            <w:tcBorders>
              <w:top w:val="nil"/>
              <w:left w:val="nil"/>
              <w:bottom w:val="nil"/>
              <w:right w:val="single" w:sz="8" w:space="0" w:color="FFFFFF"/>
            </w:tcBorders>
            <w:shd w:val="clear" w:color="000000" w:fill="DCE6F1"/>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2016</w:t>
            </w:r>
          </w:p>
        </w:tc>
        <w:tc>
          <w:tcPr>
            <w:tcW w:w="400" w:type="pct"/>
            <w:tcBorders>
              <w:top w:val="nil"/>
              <w:left w:val="nil"/>
              <w:bottom w:val="single" w:sz="8" w:space="0" w:color="FFFFFF"/>
              <w:right w:val="single" w:sz="8" w:space="0" w:color="FFFFFF"/>
            </w:tcBorders>
            <w:shd w:val="clear" w:color="000000" w:fill="DCE6F1"/>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2016</w:t>
            </w:r>
          </w:p>
        </w:tc>
        <w:tc>
          <w:tcPr>
            <w:tcW w:w="414" w:type="pct"/>
            <w:tcBorders>
              <w:top w:val="nil"/>
              <w:left w:val="nil"/>
              <w:bottom w:val="single" w:sz="8" w:space="0" w:color="FFFFFF"/>
              <w:right w:val="nil"/>
            </w:tcBorders>
            <w:shd w:val="clear" w:color="000000" w:fill="DCE6F1"/>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2016</w:t>
            </w:r>
          </w:p>
        </w:tc>
        <w:tc>
          <w:tcPr>
            <w:tcW w:w="147" w:type="pct"/>
            <w:tcBorders>
              <w:top w:val="nil"/>
              <w:left w:val="nil"/>
              <w:bottom w:val="nil"/>
              <w:right w:val="nil"/>
            </w:tcBorders>
            <w:shd w:val="clear" w:color="000000" w:fill="FFFFFF"/>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 </w:t>
            </w:r>
          </w:p>
        </w:tc>
        <w:tc>
          <w:tcPr>
            <w:tcW w:w="429" w:type="pct"/>
            <w:tcBorders>
              <w:top w:val="nil"/>
              <w:left w:val="nil"/>
              <w:bottom w:val="nil"/>
              <w:right w:val="single" w:sz="8" w:space="0" w:color="FFFFFF"/>
            </w:tcBorders>
            <w:shd w:val="clear" w:color="000000" w:fill="DCE6F1"/>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2017</w:t>
            </w:r>
          </w:p>
        </w:tc>
        <w:tc>
          <w:tcPr>
            <w:tcW w:w="481" w:type="pct"/>
            <w:tcBorders>
              <w:top w:val="nil"/>
              <w:left w:val="nil"/>
              <w:bottom w:val="nil"/>
              <w:right w:val="single" w:sz="8" w:space="0" w:color="FFFFFF"/>
            </w:tcBorders>
            <w:shd w:val="clear" w:color="000000" w:fill="DCE6F1"/>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07.02.2017</w:t>
            </w:r>
          </w:p>
        </w:tc>
        <w:tc>
          <w:tcPr>
            <w:tcW w:w="441" w:type="pct"/>
            <w:tcBorders>
              <w:top w:val="nil"/>
              <w:left w:val="nil"/>
              <w:bottom w:val="nil"/>
              <w:right w:val="single" w:sz="8" w:space="0" w:color="FFFFFF"/>
            </w:tcBorders>
            <w:shd w:val="clear" w:color="000000" w:fill="DCE6F1"/>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2017</w:t>
            </w:r>
          </w:p>
        </w:tc>
        <w:tc>
          <w:tcPr>
            <w:tcW w:w="387" w:type="pct"/>
            <w:tcBorders>
              <w:top w:val="nil"/>
              <w:left w:val="nil"/>
              <w:bottom w:val="single" w:sz="8" w:space="0" w:color="FFFFFF"/>
              <w:right w:val="single" w:sz="8" w:space="0" w:color="FFFFFF"/>
            </w:tcBorders>
            <w:shd w:val="clear" w:color="000000" w:fill="DCE6F1"/>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2017</w:t>
            </w:r>
          </w:p>
        </w:tc>
        <w:tc>
          <w:tcPr>
            <w:tcW w:w="394" w:type="pct"/>
            <w:tcBorders>
              <w:top w:val="nil"/>
              <w:left w:val="nil"/>
              <w:bottom w:val="single" w:sz="8" w:space="0" w:color="FFFFFF"/>
              <w:right w:val="nil"/>
            </w:tcBorders>
            <w:shd w:val="clear" w:color="000000" w:fill="DCE6F1"/>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2017</w:t>
            </w:r>
          </w:p>
        </w:tc>
      </w:tr>
      <w:tr w:rsidR="00791CD2" w:rsidRPr="00547A0B" w:rsidTr="0035086E">
        <w:trPr>
          <w:trHeight w:val="227"/>
        </w:trPr>
        <w:tc>
          <w:tcPr>
            <w:tcW w:w="1079" w:type="pct"/>
            <w:vMerge/>
            <w:tcBorders>
              <w:top w:val="nil"/>
              <w:left w:val="nil"/>
              <w:bottom w:val="single" w:sz="12" w:space="0" w:color="FFFFFF"/>
              <w:right w:val="single" w:sz="12" w:space="0" w:color="FFFFFF"/>
            </w:tcBorders>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b/>
                <w:bCs/>
                <w:sz w:val="14"/>
                <w:szCs w:val="14"/>
                <w:lang w:val="en-US" w:eastAsia="zh-CN"/>
              </w:rPr>
            </w:pPr>
          </w:p>
        </w:tc>
        <w:tc>
          <w:tcPr>
            <w:tcW w:w="414" w:type="pct"/>
            <w:tcBorders>
              <w:top w:val="single" w:sz="8" w:space="0" w:color="FFFFFF"/>
              <w:left w:val="nil"/>
              <w:bottom w:val="single" w:sz="8" w:space="0" w:color="FFFFFF"/>
              <w:right w:val="single" w:sz="8" w:space="0" w:color="FFFFFF"/>
            </w:tcBorders>
            <w:shd w:val="clear" w:color="000000" w:fill="DCE6F1"/>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a</w:t>
            </w:r>
          </w:p>
        </w:tc>
        <w:tc>
          <w:tcPr>
            <w:tcW w:w="414" w:type="pct"/>
            <w:tcBorders>
              <w:top w:val="single" w:sz="8" w:space="0" w:color="FFFFFF"/>
              <w:left w:val="nil"/>
              <w:bottom w:val="single" w:sz="8" w:space="0" w:color="FFFFFF"/>
              <w:right w:val="single" w:sz="8" w:space="0" w:color="FFFFFF"/>
            </w:tcBorders>
            <w:shd w:val="clear" w:color="000000" w:fill="DCE6F1"/>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B</w:t>
            </w:r>
          </w:p>
        </w:tc>
        <w:tc>
          <w:tcPr>
            <w:tcW w:w="400" w:type="pct"/>
            <w:tcBorders>
              <w:top w:val="nil"/>
              <w:left w:val="nil"/>
              <w:bottom w:val="single" w:sz="8" w:space="0" w:color="FFFFFF"/>
              <w:right w:val="single" w:sz="8" w:space="0" w:color="FFFFFF"/>
            </w:tcBorders>
            <w:shd w:val="clear" w:color="000000" w:fill="DCE6F1"/>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c = b - a</w:t>
            </w:r>
          </w:p>
        </w:tc>
        <w:tc>
          <w:tcPr>
            <w:tcW w:w="414" w:type="pct"/>
            <w:tcBorders>
              <w:top w:val="nil"/>
              <w:left w:val="nil"/>
              <w:bottom w:val="single" w:sz="8" w:space="0" w:color="FFFFFF"/>
              <w:right w:val="nil"/>
            </w:tcBorders>
            <w:shd w:val="clear" w:color="000000" w:fill="DCE6F1"/>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d = c / a</w:t>
            </w:r>
          </w:p>
        </w:tc>
        <w:tc>
          <w:tcPr>
            <w:tcW w:w="147" w:type="pct"/>
            <w:tcBorders>
              <w:top w:val="nil"/>
              <w:left w:val="nil"/>
              <w:bottom w:val="nil"/>
              <w:right w:val="nil"/>
            </w:tcBorders>
            <w:shd w:val="clear" w:color="000000" w:fill="FFFFFF"/>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29" w:type="pct"/>
            <w:tcBorders>
              <w:top w:val="single" w:sz="8" w:space="0" w:color="FFFFFF"/>
              <w:left w:val="nil"/>
              <w:bottom w:val="single" w:sz="8" w:space="0" w:color="FFFFFF"/>
              <w:right w:val="single" w:sz="8" w:space="0" w:color="FFFFFF"/>
            </w:tcBorders>
            <w:shd w:val="clear" w:color="000000" w:fill="DCE6F1"/>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e</w:t>
            </w:r>
          </w:p>
        </w:tc>
        <w:tc>
          <w:tcPr>
            <w:tcW w:w="481" w:type="pct"/>
            <w:tcBorders>
              <w:top w:val="single" w:sz="8" w:space="0" w:color="FFFFFF"/>
              <w:left w:val="nil"/>
              <w:bottom w:val="single" w:sz="8" w:space="0" w:color="FFFFFF"/>
              <w:right w:val="single" w:sz="8" w:space="0" w:color="FFFFFF"/>
            </w:tcBorders>
            <w:shd w:val="clear" w:color="000000" w:fill="DCE6F1"/>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f</w:t>
            </w:r>
          </w:p>
        </w:tc>
        <w:tc>
          <w:tcPr>
            <w:tcW w:w="441" w:type="pct"/>
            <w:tcBorders>
              <w:top w:val="single" w:sz="8" w:space="0" w:color="FFFFFF"/>
              <w:left w:val="nil"/>
              <w:bottom w:val="single" w:sz="8" w:space="0" w:color="FFFFFF"/>
              <w:right w:val="single" w:sz="8" w:space="0" w:color="FFFFFF"/>
            </w:tcBorders>
            <w:shd w:val="clear" w:color="000000" w:fill="DCE6F1"/>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g</w:t>
            </w:r>
          </w:p>
        </w:tc>
        <w:tc>
          <w:tcPr>
            <w:tcW w:w="387" w:type="pct"/>
            <w:tcBorders>
              <w:top w:val="nil"/>
              <w:left w:val="nil"/>
              <w:bottom w:val="single" w:sz="8" w:space="0" w:color="FFFFFF"/>
              <w:right w:val="single" w:sz="8" w:space="0" w:color="FFFFFF"/>
            </w:tcBorders>
            <w:shd w:val="clear" w:color="000000" w:fill="DCE6F1"/>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h = g - e</w:t>
            </w:r>
          </w:p>
        </w:tc>
        <w:tc>
          <w:tcPr>
            <w:tcW w:w="394" w:type="pct"/>
            <w:tcBorders>
              <w:top w:val="nil"/>
              <w:left w:val="nil"/>
              <w:bottom w:val="single" w:sz="8" w:space="0" w:color="FFFFFF"/>
              <w:right w:val="nil"/>
            </w:tcBorders>
            <w:shd w:val="clear" w:color="000000" w:fill="DCE6F1"/>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center"/>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i = h / e</w:t>
            </w:r>
          </w:p>
        </w:tc>
      </w:tr>
      <w:tr w:rsidR="00791CD2" w:rsidRPr="00547A0B" w:rsidTr="0035086E">
        <w:trPr>
          <w:trHeight w:val="227"/>
        </w:trPr>
        <w:tc>
          <w:tcPr>
            <w:tcW w:w="1079" w:type="pct"/>
            <w:tcBorders>
              <w:top w:val="nil"/>
              <w:left w:val="nil"/>
              <w:bottom w:val="nil"/>
              <w:right w:val="single" w:sz="12" w:space="0" w:color="FFFFFF"/>
            </w:tcBorders>
            <w:shd w:val="clear" w:color="000000" w:fill="DCE6F1"/>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xml:space="preserve">1. </w:t>
            </w:r>
            <w:r w:rsidRPr="00932286">
              <w:rPr>
                <w:sz w:val="16"/>
                <w:szCs w:val="16"/>
                <w:lang w:val="fr-CH"/>
              </w:rPr>
              <w:t>Appui aux projets</w:t>
            </w:r>
          </w:p>
        </w:tc>
        <w:tc>
          <w:tcPr>
            <w:tcW w:w="414"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375</w:t>
            </w:r>
          </w:p>
        </w:tc>
        <w:tc>
          <w:tcPr>
            <w:tcW w:w="414"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400</w:t>
            </w:r>
          </w:p>
        </w:tc>
        <w:tc>
          <w:tcPr>
            <w:tcW w:w="400"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-975</w:t>
            </w:r>
          </w:p>
        </w:tc>
        <w:tc>
          <w:tcPr>
            <w:tcW w:w="414" w:type="pct"/>
            <w:tcBorders>
              <w:top w:val="nil"/>
              <w:left w:val="nil"/>
              <w:bottom w:val="nil"/>
              <w:right w:val="nil"/>
            </w:tcBorders>
            <w:shd w:val="clear" w:color="000000" w:fill="FFFFFF"/>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-70</w:t>
            </w:r>
            <w:r>
              <w:rPr>
                <w:rFonts w:asciiTheme="minorHAnsi" w:hAnsiTheme="minorHAnsi" w:cs="Arial"/>
                <w:sz w:val="14"/>
                <w:szCs w:val="14"/>
                <w:lang w:val="en-US" w:eastAsia="zh-CN"/>
              </w:rPr>
              <w:t>,</w:t>
            </w:r>
            <w:r w:rsidRPr="00547A0B">
              <w:rPr>
                <w:rFonts w:asciiTheme="minorHAnsi" w:hAnsiTheme="minorHAnsi" w:cs="Arial"/>
                <w:sz w:val="14"/>
                <w:szCs w:val="14"/>
                <w:lang w:val="en-US" w:eastAsia="zh-CN"/>
              </w:rPr>
              <w:t>9%</w:t>
            </w:r>
          </w:p>
        </w:tc>
        <w:tc>
          <w:tcPr>
            <w:tcW w:w="147"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29"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375</w:t>
            </w:r>
          </w:p>
        </w:tc>
        <w:tc>
          <w:tcPr>
            <w:tcW w:w="481"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p>
        </w:tc>
        <w:tc>
          <w:tcPr>
            <w:tcW w:w="441"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600</w:t>
            </w:r>
          </w:p>
        </w:tc>
        <w:tc>
          <w:tcPr>
            <w:tcW w:w="387"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-775</w:t>
            </w:r>
          </w:p>
        </w:tc>
        <w:tc>
          <w:tcPr>
            <w:tcW w:w="394"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-56</w:t>
            </w:r>
            <w:r>
              <w:rPr>
                <w:rFonts w:asciiTheme="minorHAnsi" w:hAnsiTheme="minorHAnsi" w:cs="Arial"/>
                <w:sz w:val="14"/>
                <w:szCs w:val="14"/>
                <w:lang w:val="en-US" w:eastAsia="zh-CN"/>
              </w:rPr>
              <w:t>,</w:t>
            </w:r>
            <w:r w:rsidRPr="00547A0B">
              <w:rPr>
                <w:rFonts w:asciiTheme="minorHAnsi" w:hAnsiTheme="minorHAnsi" w:cs="Arial"/>
                <w:sz w:val="14"/>
                <w:szCs w:val="14"/>
                <w:lang w:val="en-US" w:eastAsia="zh-CN"/>
              </w:rPr>
              <w:t>4%</w:t>
            </w:r>
          </w:p>
        </w:tc>
      </w:tr>
      <w:tr w:rsidR="00791CD2" w:rsidRPr="00547A0B" w:rsidTr="0035086E">
        <w:trPr>
          <w:trHeight w:val="227"/>
        </w:trPr>
        <w:tc>
          <w:tcPr>
            <w:tcW w:w="1079" w:type="pct"/>
            <w:tcBorders>
              <w:top w:val="nil"/>
              <w:left w:val="nil"/>
              <w:bottom w:val="nil"/>
              <w:right w:val="single" w:sz="12" w:space="0" w:color="FFFFFF"/>
            </w:tcBorders>
            <w:shd w:val="clear" w:color="000000" w:fill="DCE6F1"/>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xml:space="preserve">2. </w:t>
            </w:r>
            <w:r w:rsidRPr="00932286">
              <w:rPr>
                <w:sz w:val="16"/>
                <w:szCs w:val="16"/>
                <w:lang w:val="fr-CH"/>
              </w:rPr>
              <w:t>Ventes des publications</w:t>
            </w:r>
          </w:p>
        </w:tc>
        <w:tc>
          <w:tcPr>
            <w:tcW w:w="414"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18</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500</w:t>
            </w:r>
          </w:p>
        </w:tc>
        <w:tc>
          <w:tcPr>
            <w:tcW w:w="414"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18</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995</w:t>
            </w:r>
          </w:p>
        </w:tc>
        <w:tc>
          <w:tcPr>
            <w:tcW w:w="400"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495</w:t>
            </w:r>
          </w:p>
        </w:tc>
        <w:tc>
          <w:tcPr>
            <w:tcW w:w="414" w:type="pct"/>
            <w:tcBorders>
              <w:top w:val="nil"/>
              <w:left w:val="nil"/>
              <w:bottom w:val="nil"/>
              <w:right w:val="nil"/>
            </w:tcBorders>
            <w:shd w:val="clear" w:color="000000" w:fill="FFFFFF"/>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2</w:t>
            </w:r>
            <w:r>
              <w:rPr>
                <w:rFonts w:asciiTheme="minorHAnsi" w:hAnsiTheme="minorHAnsi" w:cs="Arial"/>
                <w:sz w:val="14"/>
                <w:szCs w:val="14"/>
                <w:lang w:val="en-US" w:eastAsia="zh-CN"/>
              </w:rPr>
              <w:t>,</w:t>
            </w:r>
            <w:r w:rsidRPr="00547A0B">
              <w:rPr>
                <w:rFonts w:asciiTheme="minorHAnsi" w:hAnsiTheme="minorHAnsi" w:cs="Arial"/>
                <w:sz w:val="14"/>
                <w:szCs w:val="14"/>
                <w:lang w:val="en-US" w:eastAsia="zh-CN"/>
              </w:rPr>
              <w:t>7%</w:t>
            </w:r>
          </w:p>
        </w:tc>
        <w:tc>
          <w:tcPr>
            <w:tcW w:w="147"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29"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18</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500</w:t>
            </w:r>
          </w:p>
        </w:tc>
        <w:tc>
          <w:tcPr>
            <w:tcW w:w="481"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2</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187</w:t>
            </w:r>
          </w:p>
        </w:tc>
        <w:tc>
          <w:tcPr>
            <w:tcW w:w="441"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18</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500</w:t>
            </w:r>
          </w:p>
        </w:tc>
        <w:tc>
          <w:tcPr>
            <w:tcW w:w="387"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p>
        </w:tc>
        <w:tc>
          <w:tcPr>
            <w:tcW w:w="394"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r>
              <w:rPr>
                <w:rFonts w:asciiTheme="minorHAnsi" w:hAnsiTheme="minorHAnsi" w:cs="Arial"/>
                <w:sz w:val="14"/>
                <w:szCs w:val="14"/>
                <w:lang w:val="en-US" w:eastAsia="zh-CN"/>
              </w:rPr>
              <w:t>,</w:t>
            </w:r>
            <w:r w:rsidRPr="00547A0B">
              <w:rPr>
                <w:rFonts w:asciiTheme="minorHAnsi" w:hAnsiTheme="minorHAnsi" w:cs="Arial"/>
                <w:sz w:val="14"/>
                <w:szCs w:val="14"/>
                <w:lang w:val="en-US" w:eastAsia="zh-CN"/>
              </w:rPr>
              <w:t>0%</w:t>
            </w:r>
          </w:p>
        </w:tc>
      </w:tr>
      <w:tr w:rsidR="00791CD2" w:rsidRPr="00547A0B" w:rsidTr="0035086E">
        <w:trPr>
          <w:trHeight w:val="227"/>
        </w:trPr>
        <w:tc>
          <w:tcPr>
            <w:tcW w:w="1079" w:type="pct"/>
            <w:tcBorders>
              <w:top w:val="nil"/>
              <w:left w:val="nil"/>
              <w:bottom w:val="nil"/>
              <w:right w:val="single" w:sz="12" w:space="0" w:color="FFFFFF"/>
            </w:tcBorders>
            <w:shd w:val="clear" w:color="000000" w:fill="DCE6F1"/>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xml:space="preserve">3. </w:t>
            </w:r>
            <w:proofErr w:type="spellStart"/>
            <w:r w:rsidRPr="00932286">
              <w:rPr>
                <w:sz w:val="16"/>
                <w:szCs w:val="16"/>
                <w:lang w:val="ru-RU"/>
              </w:rPr>
              <w:t>Numéro</w:t>
            </w:r>
            <w:proofErr w:type="spellEnd"/>
            <w:r w:rsidRPr="00932286">
              <w:rPr>
                <w:sz w:val="16"/>
                <w:szCs w:val="16"/>
                <w:lang w:val="ru-RU"/>
              </w:rPr>
              <w:t xml:space="preserve"> UIFN</w:t>
            </w:r>
          </w:p>
        </w:tc>
        <w:tc>
          <w:tcPr>
            <w:tcW w:w="414"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250</w:t>
            </w:r>
          </w:p>
        </w:tc>
        <w:tc>
          <w:tcPr>
            <w:tcW w:w="414"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118</w:t>
            </w:r>
          </w:p>
        </w:tc>
        <w:tc>
          <w:tcPr>
            <w:tcW w:w="400"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-132</w:t>
            </w:r>
          </w:p>
        </w:tc>
        <w:tc>
          <w:tcPr>
            <w:tcW w:w="414" w:type="pct"/>
            <w:tcBorders>
              <w:top w:val="nil"/>
              <w:left w:val="nil"/>
              <w:bottom w:val="nil"/>
              <w:right w:val="nil"/>
            </w:tcBorders>
            <w:shd w:val="clear" w:color="000000" w:fill="FFFFFF"/>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-52</w:t>
            </w:r>
            <w:r>
              <w:rPr>
                <w:rFonts w:asciiTheme="minorHAnsi" w:hAnsiTheme="minorHAnsi" w:cs="Arial"/>
                <w:sz w:val="14"/>
                <w:szCs w:val="14"/>
                <w:lang w:val="en-US" w:eastAsia="zh-CN"/>
              </w:rPr>
              <w:t>,</w:t>
            </w:r>
            <w:r w:rsidRPr="00547A0B">
              <w:rPr>
                <w:rFonts w:asciiTheme="minorHAnsi" w:hAnsiTheme="minorHAnsi" w:cs="Arial"/>
                <w:sz w:val="14"/>
                <w:szCs w:val="14"/>
                <w:lang w:val="en-US" w:eastAsia="zh-CN"/>
              </w:rPr>
              <w:t>8%</w:t>
            </w:r>
          </w:p>
        </w:tc>
        <w:tc>
          <w:tcPr>
            <w:tcW w:w="147"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29"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250</w:t>
            </w:r>
          </w:p>
        </w:tc>
        <w:tc>
          <w:tcPr>
            <w:tcW w:w="481"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p>
        </w:tc>
        <w:tc>
          <w:tcPr>
            <w:tcW w:w="441"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250</w:t>
            </w:r>
          </w:p>
        </w:tc>
        <w:tc>
          <w:tcPr>
            <w:tcW w:w="387"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p>
        </w:tc>
        <w:tc>
          <w:tcPr>
            <w:tcW w:w="394"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r>
              <w:rPr>
                <w:rFonts w:asciiTheme="minorHAnsi" w:hAnsiTheme="minorHAnsi" w:cs="Arial"/>
                <w:sz w:val="14"/>
                <w:szCs w:val="14"/>
                <w:lang w:val="en-US" w:eastAsia="zh-CN"/>
              </w:rPr>
              <w:t>,</w:t>
            </w:r>
            <w:r w:rsidRPr="00547A0B">
              <w:rPr>
                <w:rFonts w:asciiTheme="minorHAnsi" w:hAnsiTheme="minorHAnsi" w:cs="Arial"/>
                <w:sz w:val="14"/>
                <w:szCs w:val="14"/>
                <w:lang w:val="en-US" w:eastAsia="zh-CN"/>
              </w:rPr>
              <w:t>0%</w:t>
            </w:r>
          </w:p>
        </w:tc>
      </w:tr>
      <w:tr w:rsidR="00791CD2" w:rsidRPr="00547A0B" w:rsidTr="0035086E">
        <w:trPr>
          <w:trHeight w:val="227"/>
        </w:trPr>
        <w:tc>
          <w:tcPr>
            <w:tcW w:w="1079" w:type="pct"/>
            <w:tcBorders>
              <w:top w:val="nil"/>
              <w:left w:val="nil"/>
              <w:bottom w:val="nil"/>
              <w:right w:val="nil"/>
            </w:tcBorders>
            <w:shd w:val="clear" w:color="000000" w:fill="DCE6F1"/>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4. TELECOM</w:t>
            </w:r>
          </w:p>
        </w:tc>
        <w:tc>
          <w:tcPr>
            <w:tcW w:w="414"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500</w:t>
            </w:r>
          </w:p>
        </w:tc>
        <w:tc>
          <w:tcPr>
            <w:tcW w:w="414"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500</w:t>
            </w:r>
          </w:p>
        </w:tc>
        <w:tc>
          <w:tcPr>
            <w:tcW w:w="400"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p>
        </w:tc>
        <w:tc>
          <w:tcPr>
            <w:tcW w:w="414" w:type="pct"/>
            <w:tcBorders>
              <w:top w:val="nil"/>
              <w:left w:val="nil"/>
              <w:bottom w:val="nil"/>
              <w:right w:val="nil"/>
            </w:tcBorders>
            <w:shd w:val="clear" w:color="000000" w:fill="FFFFFF"/>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r>
              <w:rPr>
                <w:rFonts w:asciiTheme="minorHAnsi" w:hAnsiTheme="minorHAnsi" w:cs="Arial"/>
                <w:sz w:val="14"/>
                <w:szCs w:val="14"/>
                <w:lang w:val="en-US" w:eastAsia="zh-CN"/>
              </w:rPr>
              <w:t>,</w:t>
            </w:r>
            <w:r w:rsidRPr="00547A0B">
              <w:rPr>
                <w:rFonts w:asciiTheme="minorHAnsi" w:hAnsiTheme="minorHAnsi" w:cs="Arial"/>
                <w:sz w:val="14"/>
                <w:szCs w:val="14"/>
                <w:lang w:val="en-US" w:eastAsia="zh-CN"/>
              </w:rPr>
              <w:t>0%</w:t>
            </w:r>
          </w:p>
        </w:tc>
        <w:tc>
          <w:tcPr>
            <w:tcW w:w="147"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29"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500</w:t>
            </w:r>
          </w:p>
        </w:tc>
        <w:tc>
          <w:tcPr>
            <w:tcW w:w="481"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p>
        </w:tc>
        <w:tc>
          <w:tcPr>
            <w:tcW w:w="441"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500</w:t>
            </w:r>
          </w:p>
        </w:tc>
        <w:tc>
          <w:tcPr>
            <w:tcW w:w="387"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p>
        </w:tc>
        <w:tc>
          <w:tcPr>
            <w:tcW w:w="394"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r>
              <w:rPr>
                <w:rFonts w:asciiTheme="minorHAnsi" w:hAnsiTheme="minorHAnsi" w:cs="Arial"/>
                <w:sz w:val="14"/>
                <w:szCs w:val="14"/>
                <w:lang w:val="en-US" w:eastAsia="zh-CN"/>
              </w:rPr>
              <w:t>,</w:t>
            </w:r>
            <w:r w:rsidRPr="00547A0B">
              <w:rPr>
                <w:rFonts w:asciiTheme="minorHAnsi" w:hAnsiTheme="minorHAnsi" w:cs="Arial"/>
                <w:sz w:val="14"/>
                <w:szCs w:val="14"/>
                <w:lang w:val="en-US" w:eastAsia="zh-CN"/>
              </w:rPr>
              <w:t>0%</w:t>
            </w:r>
          </w:p>
        </w:tc>
      </w:tr>
      <w:tr w:rsidR="00791CD2" w:rsidRPr="00547A0B" w:rsidTr="0035086E">
        <w:trPr>
          <w:trHeight w:val="227"/>
        </w:trPr>
        <w:tc>
          <w:tcPr>
            <w:tcW w:w="1079" w:type="pct"/>
            <w:tcBorders>
              <w:top w:val="nil"/>
              <w:left w:val="nil"/>
              <w:bottom w:val="nil"/>
              <w:right w:val="nil"/>
            </w:tcBorders>
            <w:shd w:val="clear" w:color="000000" w:fill="DCE6F1"/>
            <w:noWrap/>
            <w:vAlign w:val="bottom"/>
            <w:hideMark/>
          </w:tcPr>
          <w:p w:rsidR="00791CD2" w:rsidRPr="00791CD2"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fr-CH" w:eastAsia="zh-CN"/>
              </w:rPr>
            </w:pPr>
            <w:r w:rsidRPr="00791CD2">
              <w:rPr>
                <w:rFonts w:asciiTheme="minorHAnsi" w:hAnsiTheme="minorHAnsi" w:cs="Arial"/>
                <w:sz w:val="14"/>
                <w:szCs w:val="14"/>
                <w:lang w:val="fr-CH" w:eastAsia="zh-CN"/>
              </w:rPr>
              <w:t xml:space="preserve">5. </w:t>
            </w:r>
            <w:r w:rsidRPr="00DD1D4C">
              <w:rPr>
                <w:sz w:val="16"/>
                <w:szCs w:val="16"/>
                <w:lang w:val="fr-CH"/>
              </w:rPr>
              <w:t>Fiches de notification des réseaux à satellite</w:t>
            </w:r>
          </w:p>
        </w:tc>
        <w:tc>
          <w:tcPr>
            <w:tcW w:w="414" w:type="pct"/>
            <w:tcBorders>
              <w:top w:val="nil"/>
              <w:left w:val="nil"/>
              <w:bottom w:val="nil"/>
              <w:right w:val="single" w:sz="8" w:space="0" w:color="FFFFFF"/>
            </w:tcBorders>
            <w:shd w:val="clear" w:color="000000" w:fill="FFFFFF"/>
            <w:noWrap/>
            <w:vAlign w:val="center"/>
            <w:hideMark/>
          </w:tcPr>
          <w:p w:rsidR="00791CD2" w:rsidRPr="00547A0B" w:rsidRDefault="00791CD2" w:rsidP="00965078">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13</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000</w:t>
            </w:r>
          </w:p>
        </w:tc>
        <w:tc>
          <w:tcPr>
            <w:tcW w:w="414" w:type="pct"/>
            <w:tcBorders>
              <w:top w:val="nil"/>
              <w:left w:val="nil"/>
              <w:bottom w:val="nil"/>
              <w:right w:val="single" w:sz="8" w:space="0" w:color="FFFFFF"/>
            </w:tcBorders>
            <w:shd w:val="clear" w:color="000000" w:fill="FFFFFF"/>
            <w:noWrap/>
            <w:vAlign w:val="center"/>
            <w:hideMark/>
          </w:tcPr>
          <w:p w:rsidR="00791CD2" w:rsidRPr="00547A0B" w:rsidRDefault="00791CD2" w:rsidP="00965078">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13</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231</w:t>
            </w:r>
          </w:p>
        </w:tc>
        <w:tc>
          <w:tcPr>
            <w:tcW w:w="400" w:type="pct"/>
            <w:tcBorders>
              <w:top w:val="nil"/>
              <w:left w:val="nil"/>
              <w:bottom w:val="nil"/>
              <w:right w:val="single" w:sz="8" w:space="0" w:color="FFFFFF"/>
            </w:tcBorders>
            <w:shd w:val="clear" w:color="000000" w:fill="FFFFFF"/>
            <w:noWrap/>
            <w:vAlign w:val="center"/>
            <w:hideMark/>
          </w:tcPr>
          <w:p w:rsidR="00791CD2" w:rsidRPr="00547A0B" w:rsidRDefault="00791CD2" w:rsidP="00965078">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231</w:t>
            </w:r>
          </w:p>
        </w:tc>
        <w:tc>
          <w:tcPr>
            <w:tcW w:w="414" w:type="pct"/>
            <w:tcBorders>
              <w:top w:val="nil"/>
              <w:left w:val="nil"/>
              <w:bottom w:val="nil"/>
              <w:right w:val="nil"/>
            </w:tcBorders>
            <w:shd w:val="clear" w:color="000000" w:fill="FFFFFF"/>
            <w:noWrap/>
            <w:vAlign w:val="center"/>
            <w:hideMark/>
          </w:tcPr>
          <w:p w:rsidR="00791CD2" w:rsidRPr="00547A0B" w:rsidRDefault="00791CD2" w:rsidP="00965078">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w:t>
            </w:r>
            <w:r>
              <w:rPr>
                <w:rFonts w:asciiTheme="minorHAnsi" w:hAnsiTheme="minorHAnsi" w:cs="Arial"/>
                <w:sz w:val="14"/>
                <w:szCs w:val="14"/>
                <w:lang w:val="en-US" w:eastAsia="zh-CN"/>
              </w:rPr>
              <w:t>,</w:t>
            </w:r>
            <w:r w:rsidRPr="00547A0B">
              <w:rPr>
                <w:rFonts w:asciiTheme="minorHAnsi" w:hAnsiTheme="minorHAnsi" w:cs="Arial"/>
                <w:sz w:val="14"/>
                <w:szCs w:val="14"/>
                <w:lang w:val="en-US" w:eastAsia="zh-CN"/>
              </w:rPr>
              <w:t>8%</w:t>
            </w:r>
          </w:p>
        </w:tc>
        <w:tc>
          <w:tcPr>
            <w:tcW w:w="147"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29" w:type="pct"/>
            <w:tcBorders>
              <w:top w:val="nil"/>
              <w:left w:val="nil"/>
              <w:bottom w:val="nil"/>
              <w:right w:val="single" w:sz="8" w:space="0" w:color="FFFFFF"/>
            </w:tcBorders>
            <w:shd w:val="clear" w:color="000000" w:fill="FFFFFF"/>
            <w:noWrap/>
            <w:vAlign w:val="center"/>
            <w:hideMark/>
          </w:tcPr>
          <w:p w:rsidR="00791CD2" w:rsidRPr="00547A0B" w:rsidRDefault="00791CD2" w:rsidP="00965078">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13</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000</w:t>
            </w:r>
          </w:p>
        </w:tc>
        <w:tc>
          <w:tcPr>
            <w:tcW w:w="481" w:type="pct"/>
            <w:tcBorders>
              <w:top w:val="nil"/>
              <w:left w:val="nil"/>
              <w:bottom w:val="nil"/>
              <w:right w:val="single" w:sz="8" w:space="0" w:color="FFFFFF"/>
            </w:tcBorders>
            <w:shd w:val="clear" w:color="000000" w:fill="FFFFFF"/>
            <w:noWrap/>
            <w:vAlign w:val="center"/>
            <w:hideMark/>
          </w:tcPr>
          <w:p w:rsidR="00791CD2" w:rsidRPr="00547A0B" w:rsidRDefault="00791CD2" w:rsidP="00965078">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523</w:t>
            </w:r>
          </w:p>
        </w:tc>
        <w:tc>
          <w:tcPr>
            <w:tcW w:w="441" w:type="pct"/>
            <w:tcBorders>
              <w:top w:val="nil"/>
              <w:left w:val="nil"/>
              <w:bottom w:val="nil"/>
              <w:right w:val="single" w:sz="8" w:space="0" w:color="FFFFFF"/>
            </w:tcBorders>
            <w:shd w:val="clear" w:color="000000" w:fill="FFFFFF"/>
            <w:noWrap/>
            <w:vAlign w:val="center"/>
            <w:hideMark/>
          </w:tcPr>
          <w:p w:rsidR="00791CD2" w:rsidRPr="00547A0B" w:rsidRDefault="00791CD2" w:rsidP="00965078">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13</w:t>
            </w:r>
            <w:r>
              <w:rPr>
                <w:rFonts w:asciiTheme="minorHAnsi" w:hAnsiTheme="minorHAnsi" w:cs="Arial"/>
                <w:sz w:val="14"/>
                <w:szCs w:val="14"/>
                <w:lang w:val="en-US" w:eastAsia="zh-CN"/>
              </w:rPr>
              <w:t xml:space="preserve"> </w:t>
            </w:r>
            <w:r w:rsidRPr="00547A0B">
              <w:rPr>
                <w:rFonts w:asciiTheme="minorHAnsi" w:hAnsiTheme="minorHAnsi" w:cs="Arial"/>
                <w:sz w:val="14"/>
                <w:szCs w:val="14"/>
                <w:lang w:val="en-US" w:eastAsia="zh-CN"/>
              </w:rPr>
              <w:t>500</w:t>
            </w:r>
          </w:p>
        </w:tc>
        <w:tc>
          <w:tcPr>
            <w:tcW w:w="387" w:type="pct"/>
            <w:tcBorders>
              <w:top w:val="nil"/>
              <w:left w:val="nil"/>
              <w:bottom w:val="nil"/>
              <w:right w:val="single" w:sz="8" w:space="0" w:color="FFFFFF"/>
            </w:tcBorders>
            <w:shd w:val="clear" w:color="000000" w:fill="FFFFFF"/>
            <w:noWrap/>
            <w:vAlign w:val="center"/>
            <w:hideMark/>
          </w:tcPr>
          <w:p w:rsidR="00791CD2" w:rsidRPr="00547A0B" w:rsidRDefault="00791CD2" w:rsidP="00965078">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500</w:t>
            </w:r>
          </w:p>
        </w:tc>
        <w:tc>
          <w:tcPr>
            <w:tcW w:w="394" w:type="pct"/>
            <w:tcBorders>
              <w:top w:val="nil"/>
              <w:left w:val="nil"/>
              <w:bottom w:val="nil"/>
              <w:right w:val="nil"/>
            </w:tcBorders>
            <w:shd w:val="clear" w:color="000000" w:fill="FFFFFF"/>
            <w:noWrap/>
            <w:vAlign w:val="center"/>
            <w:hideMark/>
          </w:tcPr>
          <w:p w:rsidR="00791CD2" w:rsidRPr="00547A0B" w:rsidRDefault="00791CD2" w:rsidP="00965078">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3</w:t>
            </w:r>
            <w:r>
              <w:rPr>
                <w:rFonts w:asciiTheme="minorHAnsi" w:hAnsiTheme="minorHAnsi" w:cs="Arial"/>
                <w:sz w:val="14"/>
                <w:szCs w:val="14"/>
                <w:lang w:val="en-US" w:eastAsia="zh-CN"/>
              </w:rPr>
              <w:t>,</w:t>
            </w:r>
            <w:r w:rsidRPr="00547A0B">
              <w:rPr>
                <w:rFonts w:asciiTheme="minorHAnsi" w:hAnsiTheme="minorHAnsi" w:cs="Arial"/>
                <w:sz w:val="14"/>
                <w:szCs w:val="14"/>
                <w:lang w:val="en-US" w:eastAsia="zh-CN"/>
              </w:rPr>
              <w:t>8%</w:t>
            </w:r>
          </w:p>
        </w:tc>
      </w:tr>
      <w:tr w:rsidR="00791CD2" w:rsidRPr="00547A0B" w:rsidTr="0035086E">
        <w:trPr>
          <w:trHeight w:val="227"/>
        </w:trPr>
        <w:tc>
          <w:tcPr>
            <w:tcW w:w="1079" w:type="pct"/>
            <w:tcBorders>
              <w:top w:val="nil"/>
              <w:left w:val="nil"/>
              <w:bottom w:val="nil"/>
              <w:right w:val="nil"/>
            </w:tcBorders>
            <w:shd w:val="clear" w:color="000000" w:fill="DCE6F1"/>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xml:space="preserve">6. </w:t>
            </w:r>
            <w:proofErr w:type="spellStart"/>
            <w:r w:rsidRPr="00932286">
              <w:rPr>
                <w:sz w:val="16"/>
                <w:szCs w:val="16"/>
                <w:lang w:val="ru-RU"/>
              </w:rPr>
              <w:t>Autres</w:t>
            </w:r>
            <w:proofErr w:type="spellEnd"/>
          </w:p>
        </w:tc>
        <w:tc>
          <w:tcPr>
            <w:tcW w:w="414"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p>
        </w:tc>
        <w:tc>
          <w:tcPr>
            <w:tcW w:w="414"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138</w:t>
            </w:r>
          </w:p>
        </w:tc>
        <w:tc>
          <w:tcPr>
            <w:tcW w:w="400"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138</w:t>
            </w:r>
          </w:p>
        </w:tc>
        <w:tc>
          <w:tcPr>
            <w:tcW w:w="414" w:type="pct"/>
            <w:tcBorders>
              <w:top w:val="nil"/>
              <w:left w:val="nil"/>
              <w:bottom w:val="nil"/>
              <w:right w:val="nil"/>
            </w:tcBorders>
            <w:shd w:val="clear" w:color="000000" w:fill="FFFFFF"/>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w:t>
            </w:r>
          </w:p>
        </w:tc>
        <w:tc>
          <w:tcPr>
            <w:tcW w:w="147"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29"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81"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p>
        </w:tc>
        <w:tc>
          <w:tcPr>
            <w:tcW w:w="441"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p>
        </w:tc>
        <w:tc>
          <w:tcPr>
            <w:tcW w:w="387" w:type="pct"/>
            <w:tcBorders>
              <w:top w:val="nil"/>
              <w:left w:val="nil"/>
              <w:bottom w:val="nil"/>
              <w:right w:val="single" w:sz="8" w:space="0" w:color="FFFFFF"/>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0</w:t>
            </w:r>
          </w:p>
        </w:tc>
        <w:tc>
          <w:tcPr>
            <w:tcW w:w="394"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jc w:val="right"/>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r>
      <w:tr w:rsidR="00791CD2" w:rsidRPr="00547A0B" w:rsidTr="0035086E">
        <w:trPr>
          <w:trHeight w:val="227"/>
        </w:trPr>
        <w:tc>
          <w:tcPr>
            <w:tcW w:w="1079" w:type="pct"/>
            <w:tcBorders>
              <w:top w:val="nil"/>
              <w:left w:val="nil"/>
              <w:bottom w:val="nil"/>
              <w:right w:val="single" w:sz="12" w:space="0" w:color="FFFFFF"/>
            </w:tcBorders>
            <w:shd w:val="clear" w:color="000000" w:fill="DCE6F1"/>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1"/>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Total</w:t>
            </w:r>
          </w:p>
        </w:tc>
        <w:tc>
          <w:tcPr>
            <w:tcW w:w="414" w:type="pct"/>
            <w:tcBorders>
              <w:top w:val="nil"/>
              <w:left w:val="nil"/>
              <w:bottom w:val="nil"/>
              <w:right w:val="single" w:sz="8" w:space="0" w:color="FFFFFF"/>
            </w:tcBorders>
            <w:shd w:val="clear" w:color="000000" w:fill="DCE6F1"/>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34</w:t>
            </w:r>
            <w:r>
              <w:rPr>
                <w:rFonts w:asciiTheme="minorHAnsi" w:hAnsiTheme="minorHAnsi" w:cs="Arial"/>
                <w:b/>
                <w:bCs/>
                <w:sz w:val="14"/>
                <w:szCs w:val="14"/>
                <w:lang w:val="en-US" w:eastAsia="zh-CN"/>
              </w:rPr>
              <w:t xml:space="preserve"> </w:t>
            </w:r>
            <w:r w:rsidRPr="00547A0B">
              <w:rPr>
                <w:rFonts w:asciiTheme="minorHAnsi" w:hAnsiTheme="minorHAnsi" w:cs="Arial"/>
                <w:b/>
                <w:bCs/>
                <w:sz w:val="14"/>
                <w:szCs w:val="14"/>
                <w:lang w:val="en-US" w:eastAsia="zh-CN"/>
              </w:rPr>
              <w:t>625</w:t>
            </w:r>
          </w:p>
        </w:tc>
        <w:tc>
          <w:tcPr>
            <w:tcW w:w="414" w:type="pct"/>
            <w:tcBorders>
              <w:top w:val="nil"/>
              <w:left w:val="nil"/>
              <w:bottom w:val="nil"/>
              <w:right w:val="single" w:sz="8" w:space="0" w:color="FFFFFF"/>
            </w:tcBorders>
            <w:shd w:val="clear" w:color="000000" w:fill="DCE6F1"/>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34</w:t>
            </w:r>
            <w:r>
              <w:rPr>
                <w:rFonts w:asciiTheme="minorHAnsi" w:hAnsiTheme="minorHAnsi" w:cs="Arial"/>
                <w:b/>
                <w:bCs/>
                <w:sz w:val="14"/>
                <w:szCs w:val="14"/>
                <w:lang w:val="en-US" w:eastAsia="zh-CN"/>
              </w:rPr>
              <w:t xml:space="preserve"> </w:t>
            </w:r>
            <w:r w:rsidRPr="00547A0B">
              <w:rPr>
                <w:rFonts w:asciiTheme="minorHAnsi" w:hAnsiTheme="minorHAnsi" w:cs="Arial"/>
                <w:b/>
                <w:bCs/>
                <w:sz w:val="14"/>
                <w:szCs w:val="14"/>
                <w:lang w:val="en-US" w:eastAsia="zh-CN"/>
              </w:rPr>
              <w:t>382</w:t>
            </w:r>
          </w:p>
        </w:tc>
        <w:tc>
          <w:tcPr>
            <w:tcW w:w="400" w:type="pct"/>
            <w:tcBorders>
              <w:top w:val="nil"/>
              <w:left w:val="nil"/>
              <w:bottom w:val="nil"/>
              <w:right w:val="single" w:sz="8" w:space="0" w:color="FFFFFF"/>
            </w:tcBorders>
            <w:shd w:val="clear" w:color="000000" w:fill="DCE6F1"/>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-243</w:t>
            </w:r>
          </w:p>
        </w:tc>
        <w:tc>
          <w:tcPr>
            <w:tcW w:w="414" w:type="pct"/>
            <w:tcBorders>
              <w:top w:val="nil"/>
              <w:left w:val="nil"/>
              <w:bottom w:val="nil"/>
              <w:right w:val="nil"/>
            </w:tcBorders>
            <w:shd w:val="clear" w:color="000000" w:fill="DCE6F1"/>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-0</w:t>
            </w:r>
            <w:r>
              <w:rPr>
                <w:rFonts w:asciiTheme="minorHAnsi" w:hAnsiTheme="minorHAnsi" w:cs="Arial"/>
                <w:b/>
                <w:bCs/>
                <w:sz w:val="14"/>
                <w:szCs w:val="14"/>
                <w:lang w:val="en-US" w:eastAsia="zh-CN"/>
              </w:rPr>
              <w:t>,</w:t>
            </w:r>
            <w:r w:rsidRPr="00547A0B">
              <w:rPr>
                <w:rFonts w:asciiTheme="minorHAnsi" w:hAnsiTheme="minorHAnsi" w:cs="Arial"/>
                <w:b/>
                <w:bCs/>
                <w:sz w:val="14"/>
                <w:szCs w:val="14"/>
                <w:lang w:val="en-US" w:eastAsia="zh-CN"/>
              </w:rPr>
              <w:t>7%</w:t>
            </w:r>
          </w:p>
        </w:tc>
        <w:tc>
          <w:tcPr>
            <w:tcW w:w="147" w:type="pct"/>
            <w:tcBorders>
              <w:top w:val="nil"/>
              <w:left w:val="nil"/>
              <w:bottom w:val="nil"/>
              <w:right w:val="nil"/>
            </w:tcBorders>
            <w:shd w:val="clear" w:color="000000" w:fill="FFFFFF"/>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29" w:type="pct"/>
            <w:tcBorders>
              <w:top w:val="nil"/>
              <w:left w:val="nil"/>
              <w:bottom w:val="nil"/>
              <w:right w:val="single" w:sz="8" w:space="0" w:color="FFFFFF"/>
            </w:tcBorders>
            <w:shd w:val="clear" w:color="000000" w:fill="DCE6F1"/>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34</w:t>
            </w:r>
            <w:r>
              <w:rPr>
                <w:rFonts w:asciiTheme="minorHAnsi" w:hAnsiTheme="minorHAnsi" w:cs="Arial"/>
                <w:b/>
                <w:bCs/>
                <w:sz w:val="14"/>
                <w:szCs w:val="14"/>
                <w:lang w:val="en-US" w:eastAsia="zh-CN"/>
              </w:rPr>
              <w:t xml:space="preserve"> </w:t>
            </w:r>
            <w:r w:rsidRPr="00547A0B">
              <w:rPr>
                <w:rFonts w:asciiTheme="minorHAnsi" w:hAnsiTheme="minorHAnsi" w:cs="Arial"/>
                <w:b/>
                <w:bCs/>
                <w:sz w:val="14"/>
                <w:szCs w:val="14"/>
                <w:lang w:val="en-US" w:eastAsia="zh-CN"/>
              </w:rPr>
              <w:t>625</w:t>
            </w:r>
          </w:p>
        </w:tc>
        <w:tc>
          <w:tcPr>
            <w:tcW w:w="481" w:type="pct"/>
            <w:tcBorders>
              <w:top w:val="nil"/>
              <w:left w:val="nil"/>
              <w:bottom w:val="nil"/>
              <w:right w:val="single" w:sz="8" w:space="0" w:color="FFFFFF"/>
            </w:tcBorders>
            <w:shd w:val="clear" w:color="000000" w:fill="DCE6F1"/>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w:t>
            </w:r>
            <w:r>
              <w:rPr>
                <w:rFonts w:asciiTheme="minorHAnsi" w:hAnsiTheme="minorHAnsi" w:cs="Arial"/>
                <w:b/>
                <w:bCs/>
                <w:sz w:val="14"/>
                <w:szCs w:val="14"/>
                <w:lang w:val="en-US" w:eastAsia="zh-CN"/>
              </w:rPr>
              <w:t xml:space="preserve"> </w:t>
            </w:r>
            <w:r w:rsidRPr="00547A0B">
              <w:rPr>
                <w:rFonts w:asciiTheme="minorHAnsi" w:hAnsiTheme="minorHAnsi" w:cs="Arial"/>
                <w:b/>
                <w:bCs/>
                <w:sz w:val="14"/>
                <w:szCs w:val="14"/>
                <w:lang w:val="en-US" w:eastAsia="zh-CN"/>
              </w:rPr>
              <w:t>710</w:t>
            </w:r>
          </w:p>
        </w:tc>
        <w:tc>
          <w:tcPr>
            <w:tcW w:w="441" w:type="pct"/>
            <w:tcBorders>
              <w:top w:val="nil"/>
              <w:left w:val="nil"/>
              <w:bottom w:val="nil"/>
              <w:right w:val="single" w:sz="8" w:space="0" w:color="FFFFFF"/>
            </w:tcBorders>
            <w:shd w:val="clear" w:color="000000" w:fill="DCE6F1"/>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34</w:t>
            </w:r>
            <w:r>
              <w:rPr>
                <w:rFonts w:asciiTheme="minorHAnsi" w:hAnsiTheme="minorHAnsi" w:cs="Arial"/>
                <w:b/>
                <w:bCs/>
                <w:sz w:val="14"/>
                <w:szCs w:val="14"/>
                <w:lang w:val="en-US" w:eastAsia="zh-CN"/>
              </w:rPr>
              <w:t xml:space="preserve"> </w:t>
            </w:r>
            <w:r w:rsidRPr="00547A0B">
              <w:rPr>
                <w:rFonts w:asciiTheme="minorHAnsi" w:hAnsiTheme="minorHAnsi" w:cs="Arial"/>
                <w:b/>
                <w:bCs/>
                <w:sz w:val="14"/>
                <w:szCs w:val="14"/>
                <w:lang w:val="en-US" w:eastAsia="zh-CN"/>
              </w:rPr>
              <w:t>350</w:t>
            </w:r>
          </w:p>
        </w:tc>
        <w:tc>
          <w:tcPr>
            <w:tcW w:w="387" w:type="pct"/>
            <w:tcBorders>
              <w:top w:val="nil"/>
              <w:left w:val="nil"/>
              <w:bottom w:val="nil"/>
              <w:right w:val="single" w:sz="8" w:space="0" w:color="FFFFFF"/>
            </w:tcBorders>
            <w:shd w:val="clear" w:color="000000" w:fill="DCE6F1"/>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jc w:val="right"/>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-275</w:t>
            </w:r>
          </w:p>
        </w:tc>
        <w:tc>
          <w:tcPr>
            <w:tcW w:w="394" w:type="pct"/>
            <w:tcBorders>
              <w:top w:val="nil"/>
              <w:left w:val="nil"/>
              <w:bottom w:val="nil"/>
              <w:right w:val="nil"/>
            </w:tcBorders>
            <w:shd w:val="clear" w:color="000000" w:fill="DCE6F1"/>
            <w:noWrap/>
            <w:vAlign w:val="center"/>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ind w:firstLineChars="100" w:firstLine="141"/>
              <w:jc w:val="right"/>
              <w:textAlignment w:val="auto"/>
              <w:rPr>
                <w:rFonts w:asciiTheme="minorHAnsi" w:hAnsiTheme="minorHAnsi" w:cs="Arial"/>
                <w:b/>
                <w:bCs/>
                <w:sz w:val="14"/>
                <w:szCs w:val="14"/>
                <w:lang w:val="en-US" w:eastAsia="zh-CN"/>
              </w:rPr>
            </w:pPr>
            <w:r w:rsidRPr="00547A0B">
              <w:rPr>
                <w:rFonts w:asciiTheme="minorHAnsi" w:hAnsiTheme="minorHAnsi" w:cs="Arial"/>
                <w:b/>
                <w:bCs/>
                <w:sz w:val="14"/>
                <w:szCs w:val="14"/>
                <w:lang w:val="en-US" w:eastAsia="zh-CN"/>
              </w:rPr>
              <w:t>-0</w:t>
            </w:r>
            <w:r>
              <w:rPr>
                <w:rFonts w:asciiTheme="minorHAnsi" w:hAnsiTheme="minorHAnsi" w:cs="Arial"/>
                <w:b/>
                <w:bCs/>
                <w:sz w:val="14"/>
                <w:szCs w:val="14"/>
                <w:lang w:val="en-US" w:eastAsia="zh-CN"/>
              </w:rPr>
              <w:t>,</w:t>
            </w:r>
            <w:r w:rsidRPr="00547A0B">
              <w:rPr>
                <w:rFonts w:asciiTheme="minorHAnsi" w:hAnsiTheme="minorHAnsi" w:cs="Arial"/>
                <w:b/>
                <w:bCs/>
                <w:sz w:val="14"/>
                <w:szCs w:val="14"/>
                <w:lang w:val="en-US" w:eastAsia="zh-CN"/>
              </w:rPr>
              <w:t>8%</w:t>
            </w:r>
          </w:p>
        </w:tc>
      </w:tr>
      <w:tr w:rsidR="00791CD2" w:rsidRPr="00547A0B" w:rsidTr="0035086E">
        <w:trPr>
          <w:trHeight w:val="227"/>
        </w:trPr>
        <w:tc>
          <w:tcPr>
            <w:tcW w:w="1079" w:type="pct"/>
            <w:tcBorders>
              <w:top w:val="nil"/>
              <w:left w:val="nil"/>
              <w:bottom w:val="nil"/>
              <w:right w:val="nil"/>
            </w:tcBorders>
            <w:shd w:val="clear" w:color="000000" w:fill="FFFFFF"/>
            <w:noWrap/>
            <w:vAlign w:val="bottom"/>
            <w:hideMark/>
          </w:tcPr>
          <w:p w:rsidR="00791CD2" w:rsidRPr="00547A0B" w:rsidRDefault="00791CD2" w:rsidP="00791CD2">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A</w:t>
            </w:r>
            <w:r>
              <w:rPr>
                <w:rFonts w:asciiTheme="minorHAnsi" w:hAnsiTheme="minorHAnsi" w:cs="Arial"/>
                <w:sz w:val="14"/>
                <w:szCs w:val="14"/>
                <w:lang w:val="en-US" w:eastAsia="zh-CN"/>
              </w:rPr>
              <w:t>u</w:t>
            </w:r>
            <w:r w:rsidRPr="00547A0B">
              <w:rPr>
                <w:rFonts w:asciiTheme="minorHAnsi" w:hAnsiTheme="minorHAnsi" w:cs="Arial"/>
                <w:sz w:val="14"/>
                <w:szCs w:val="14"/>
                <w:lang w:val="en-US" w:eastAsia="zh-CN"/>
              </w:rPr>
              <w:t xml:space="preserve"> 7 </w:t>
            </w:r>
            <w:proofErr w:type="spellStart"/>
            <w:r>
              <w:rPr>
                <w:rFonts w:asciiTheme="minorHAnsi" w:hAnsiTheme="minorHAnsi" w:cs="Arial"/>
                <w:sz w:val="14"/>
                <w:szCs w:val="14"/>
                <w:lang w:val="en-US" w:eastAsia="zh-CN"/>
              </w:rPr>
              <w:t>février</w:t>
            </w:r>
            <w:proofErr w:type="spellEnd"/>
            <w:r w:rsidRPr="00547A0B">
              <w:rPr>
                <w:rFonts w:asciiTheme="minorHAnsi" w:hAnsiTheme="minorHAnsi" w:cs="Arial"/>
                <w:sz w:val="14"/>
                <w:szCs w:val="14"/>
                <w:lang w:val="en-US" w:eastAsia="zh-CN"/>
              </w:rPr>
              <w:t xml:space="preserve"> 2017</w:t>
            </w:r>
          </w:p>
        </w:tc>
        <w:tc>
          <w:tcPr>
            <w:tcW w:w="414"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14"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00"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14"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147"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29"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81"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441"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387"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c>
          <w:tcPr>
            <w:tcW w:w="394" w:type="pct"/>
            <w:tcBorders>
              <w:top w:val="nil"/>
              <w:left w:val="nil"/>
              <w:bottom w:val="nil"/>
              <w:right w:val="nil"/>
            </w:tcBorders>
            <w:shd w:val="clear" w:color="000000" w:fill="FFFFFF"/>
            <w:noWrap/>
            <w:vAlign w:val="bottom"/>
            <w:hideMark/>
          </w:tcPr>
          <w:p w:rsidR="00791CD2" w:rsidRPr="00547A0B" w:rsidRDefault="00791CD2" w:rsidP="002D37AF">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Arial"/>
                <w:sz w:val="14"/>
                <w:szCs w:val="14"/>
                <w:lang w:val="en-US" w:eastAsia="zh-CN"/>
              </w:rPr>
            </w:pPr>
            <w:r w:rsidRPr="00547A0B">
              <w:rPr>
                <w:rFonts w:asciiTheme="minorHAnsi" w:hAnsiTheme="minorHAnsi" w:cs="Arial"/>
                <w:sz w:val="14"/>
                <w:szCs w:val="14"/>
                <w:lang w:val="en-US" w:eastAsia="zh-CN"/>
              </w:rPr>
              <w:t> </w:t>
            </w:r>
          </w:p>
        </w:tc>
      </w:tr>
    </w:tbl>
    <w:p w:rsidR="00034C09" w:rsidRPr="004D1D35" w:rsidRDefault="00034C09" w:rsidP="00034C09">
      <w:pPr>
        <w:pStyle w:val="Heading1"/>
        <w:rPr>
          <w:lang w:val="fr-CH"/>
        </w:rPr>
      </w:pPr>
      <w:r w:rsidRPr="004D1D35">
        <w:rPr>
          <w:lang w:val="fr-CH"/>
        </w:rPr>
        <w:lastRenderedPageBreak/>
        <w:t>4</w:t>
      </w:r>
      <w:r w:rsidRPr="004D1D35">
        <w:rPr>
          <w:lang w:val="fr-CH"/>
        </w:rPr>
        <w:tab/>
        <w:t>Charges</w:t>
      </w:r>
    </w:p>
    <w:p w:rsidR="00034C09" w:rsidRDefault="00034C09" w:rsidP="00EF1EF6">
      <w:pPr>
        <w:rPr>
          <w:lang w:val="fr-CH"/>
        </w:rPr>
      </w:pPr>
      <w:r w:rsidRPr="004D1D35">
        <w:rPr>
          <w:lang w:val="fr-CH"/>
        </w:rPr>
        <w:t>4.1</w:t>
      </w:r>
      <w:r w:rsidRPr="004D1D35">
        <w:rPr>
          <w:lang w:val="fr-CH"/>
        </w:rPr>
        <w:tab/>
        <w:t>S'agissant des charges, l'UIT prend en permanence des mesures d'efficacité et déploie constamment des efforts pour se conformer aux dispositions de la Résolution 1375. L'objectif est de maintenir les charges dans les limites du budget</w:t>
      </w:r>
      <w:r w:rsidRPr="004D1D35">
        <w:rPr>
          <w:color w:val="000000"/>
          <w:lang w:val="fr-CH"/>
        </w:rPr>
        <w:t>.</w:t>
      </w:r>
      <w:r w:rsidRPr="004D1D35">
        <w:rPr>
          <w:lang w:val="fr-CH"/>
        </w:rPr>
        <w:t xml:space="preserve"> </w:t>
      </w:r>
    </w:p>
    <w:p w:rsidR="00034C09" w:rsidRPr="004D1D35" w:rsidRDefault="00034C09" w:rsidP="00EF1EF6">
      <w:pPr>
        <w:pStyle w:val="Heading1"/>
        <w:rPr>
          <w:szCs w:val="24"/>
          <w:lang w:val="fr-CH"/>
        </w:rPr>
      </w:pPr>
      <w:r w:rsidRPr="004D1D35">
        <w:rPr>
          <w:bCs/>
          <w:szCs w:val="24"/>
          <w:lang w:val="fr-CH"/>
        </w:rPr>
        <w:t>5</w:t>
      </w:r>
      <w:r w:rsidRPr="004D1D35">
        <w:rPr>
          <w:bCs/>
          <w:szCs w:val="24"/>
          <w:lang w:val="fr-CH"/>
        </w:rPr>
        <w:tab/>
      </w:r>
      <w:r>
        <w:rPr>
          <w:lang w:val="fr-CH"/>
        </w:rPr>
        <w:t xml:space="preserve">Fonds de réserve </w:t>
      </w:r>
    </w:p>
    <w:p w:rsidR="00EF1EF6" w:rsidRDefault="00034C09" w:rsidP="00965078">
      <w:pPr>
        <w:rPr>
          <w:szCs w:val="24"/>
          <w:lang w:val="fr-CH"/>
        </w:rPr>
      </w:pPr>
      <w:r w:rsidRPr="004D1D35">
        <w:rPr>
          <w:szCs w:val="24"/>
          <w:lang w:val="fr-CH"/>
        </w:rPr>
        <w:t>5.1</w:t>
      </w:r>
      <w:r w:rsidRPr="004D1D35">
        <w:rPr>
          <w:szCs w:val="24"/>
          <w:lang w:val="fr-CH"/>
        </w:rPr>
        <w:tab/>
      </w:r>
      <w:r w:rsidR="00965078">
        <w:t xml:space="preserve">Par sa Résolution 1375, </w:t>
      </w:r>
      <w:r w:rsidR="00965078">
        <w:rPr>
          <w:szCs w:val="24"/>
          <w:lang w:val="fr-CH"/>
        </w:rPr>
        <w:t>l</w:t>
      </w:r>
      <w:r w:rsidR="00EF1EF6">
        <w:t>e Conseil a chargé le Secrétaire général de prélever un montant de 1,0 million CHF sur le Fonds de réserve au 1</w:t>
      </w:r>
      <w:r w:rsidR="00EF1EF6" w:rsidRPr="00EF1EF6">
        <w:rPr>
          <w:vertAlign w:val="superscript"/>
        </w:rPr>
        <w:t>er</w:t>
      </w:r>
      <w:r w:rsidR="00EF1EF6">
        <w:t> janvier 2016 et de le transférer au Fonds ASHI pour régler les engagements à long terme non financés.</w:t>
      </w:r>
    </w:p>
    <w:p w:rsidR="00EF1EF6" w:rsidRDefault="00034C09" w:rsidP="00965078">
      <w:pPr>
        <w:rPr>
          <w:lang w:val="fr-CH"/>
        </w:rPr>
      </w:pPr>
      <w:r w:rsidRPr="004D1D35">
        <w:rPr>
          <w:lang w:val="fr-CH"/>
        </w:rPr>
        <w:t>5.2</w:t>
      </w:r>
      <w:r w:rsidRPr="004D1D35">
        <w:rPr>
          <w:lang w:val="fr-CH"/>
        </w:rPr>
        <w:tab/>
      </w:r>
      <w:r w:rsidR="00EF1EF6">
        <w:rPr>
          <w:lang w:val="fr-CH"/>
        </w:rPr>
        <w:t xml:space="preserve">Au 31 décembre 2015, le </w:t>
      </w:r>
      <w:r w:rsidR="00965078">
        <w:rPr>
          <w:lang w:val="fr-CH"/>
        </w:rPr>
        <w:t>solde</w:t>
      </w:r>
      <w:r w:rsidR="00EF1EF6">
        <w:rPr>
          <w:lang w:val="fr-CH"/>
        </w:rPr>
        <w:t xml:space="preserve"> du Fonds de réserve s’élevait à 27,5 millions CHF. Les résultats de l’année 2016 seront communiqués après la clôture de l’exercice financier.</w:t>
      </w:r>
    </w:p>
    <w:p w:rsidR="007E7828" w:rsidRDefault="007E7828" w:rsidP="00034C09">
      <w:pPr>
        <w:rPr>
          <w:szCs w:val="24"/>
          <w:lang w:val="fr-CH"/>
        </w:rPr>
      </w:pPr>
    </w:p>
    <w:p w:rsidR="007E7828" w:rsidRPr="004D1D35" w:rsidRDefault="007E7828" w:rsidP="007E7828">
      <w:pPr>
        <w:jc w:val="center"/>
        <w:rPr>
          <w:szCs w:val="24"/>
          <w:lang w:val="fr-CH"/>
        </w:rPr>
      </w:pPr>
      <w:r>
        <w:rPr>
          <w:szCs w:val="24"/>
          <w:lang w:val="fr-CH"/>
        </w:rPr>
        <w:t>_____________</w:t>
      </w:r>
    </w:p>
    <w:sectPr w:rsidR="007E7828" w:rsidRPr="004D1D35" w:rsidSect="005C3890">
      <w:headerReference w:type="even" r:id="rId13"/>
      <w:headerReference w:type="default" r:id="rId14"/>
      <w:footerReference w:type="even" r:id="rId15"/>
      <w:footerReference w:type="default" r:id="rId16"/>
      <w:footerReference w:type="first" r:id="rId17"/>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7E3" w:rsidRDefault="004F37E3">
      <w:r>
        <w:separator/>
      </w:r>
    </w:p>
  </w:endnote>
  <w:endnote w:type="continuationSeparator" w:id="0">
    <w:p w:rsidR="004F37E3" w:rsidRDefault="004F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7E3" w:rsidRPr="00D87ED3" w:rsidRDefault="004F37E3">
    <w:pPr>
      <w:pStyle w:val="Footer"/>
      <w:rPr>
        <w:lang w:val="en-US"/>
      </w:rPr>
    </w:pPr>
    <w:r>
      <w:fldChar w:fldCharType="begin"/>
    </w:r>
    <w:r w:rsidRPr="00D87ED3">
      <w:rPr>
        <w:lang w:val="en-US"/>
      </w:rPr>
      <w:instrText xml:space="preserve"> FILENAME \p \* MERGEFORMAT </w:instrText>
    </w:r>
    <w:r>
      <w:fldChar w:fldCharType="separate"/>
    </w:r>
    <w:r>
      <w:rPr>
        <w:lang w:val="en-US"/>
      </w:rPr>
      <w:t>C:\Users\godreau\Desktop\407285F.docx</w:t>
    </w:r>
    <w:r>
      <w:fldChar w:fldCharType="end"/>
    </w:r>
    <w:r w:rsidRPr="00D87ED3">
      <w:rPr>
        <w:lang w:val="en-US"/>
      </w:rPr>
      <w:tab/>
    </w:r>
    <w:r>
      <w:fldChar w:fldCharType="begin"/>
    </w:r>
    <w:r>
      <w:instrText xml:space="preserve"> savedate \@ dd.MM.yy </w:instrText>
    </w:r>
    <w:r>
      <w:fldChar w:fldCharType="separate"/>
    </w:r>
    <w:r w:rsidR="00575923">
      <w:t>06.03.17</w:t>
    </w:r>
    <w:r>
      <w:fldChar w:fldCharType="end"/>
    </w:r>
    <w:r w:rsidRPr="00D87ED3">
      <w:rPr>
        <w:lang w:val="en-US"/>
      </w:rPr>
      <w:tab/>
    </w:r>
    <w:r>
      <w:fldChar w:fldCharType="begin"/>
    </w:r>
    <w:r>
      <w:instrText xml:space="preserve"> printdate \@ dd.MM.yy </w:instrText>
    </w:r>
    <w:r>
      <w:fldChar w:fldCharType="separate"/>
    </w:r>
    <w:r>
      <w:t>03.03.17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7E3" w:rsidRPr="00575923" w:rsidRDefault="004F37E3" w:rsidP="004F37E3">
    <w:pPr>
      <w:pStyle w:val="Footer"/>
      <w:rPr>
        <w:color w:val="D9D9D9" w:themeColor="background1" w:themeShade="D9"/>
        <w:lang w:val="fr-CH"/>
      </w:rPr>
    </w:pPr>
    <w:r w:rsidRPr="00575923">
      <w:rPr>
        <w:color w:val="D9D9D9" w:themeColor="background1" w:themeShade="D9"/>
      </w:rPr>
      <w:fldChar w:fldCharType="begin"/>
    </w:r>
    <w:r w:rsidRPr="00575923">
      <w:rPr>
        <w:color w:val="D9D9D9" w:themeColor="background1" w:themeShade="D9"/>
        <w:lang w:val="fr-CH"/>
      </w:rPr>
      <w:instrText xml:space="preserve"> FILENAME \p \* MERGEFORMAT </w:instrText>
    </w:r>
    <w:r w:rsidRPr="00575923">
      <w:rPr>
        <w:color w:val="D9D9D9" w:themeColor="background1" w:themeShade="D9"/>
      </w:rPr>
      <w:fldChar w:fldCharType="separate"/>
    </w:r>
    <w:r w:rsidRPr="00575923">
      <w:rPr>
        <w:color w:val="D9D9D9" w:themeColor="background1" w:themeShade="D9"/>
        <w:lang w:val="fr-CH"/>
      </w:rPr>
      <w:t>P:\FRA\SG\CONSEIL\C17\000\009F.docx</w:t>
    </w:r>
    <w:r w:rsidRPr="00575923">
      <w:rPr>
        <w:color w:val="D9D9D9" w:themeColor="background1" w:themeShade="D9"/>
      </w:rPr>
      <w:fldChar w:fldCharType="end"/>
    </w:r>
    <w:r w:rsidRPr="00575923">
      <w:rPr>
        <w:color w:val="D9D9D9" w:themeColor="background1" w:themeShade="D9"/>
        <w:lang w:val="fr-CH"/>
      </w:rPr>
      <w:t xml:space="preserve"> (407285)</w:t>
    </w:r>
    <w:r w:rsidRPr="00575923">
      <w:rPr>
        <w:color w:val="D9D9D9" w:themeColor="background1" w:themeShade="D9"/>
        <w:lang w:val="fr-CH"/>
      </w:rPr>
      <w:tab/>
    </w:r>
    <w:r w:rsidRPr="00575923">
      <w:rPr>
        <w:color w:val="D9D9D9" w:themeColor="background1" w:themeShade="D9"/>
      </w:rPr>
      <w:fldChar w:fldCharType="begin"/>
    </w:r>
    <w:r w:rsidRPr="00575923">
      <w:rPr>
        <w:color w:val="D9D9D9" w:themeColor="background1" w:themeShade="D9"/>
      </w:rPr>
      <w:instrText xml:space="preserve"> savedate \@ dd.MM.yy </w:instrText>
    </w:r>
    <w:r w:rsidRPr="00575923">
      <w:rPr>
        <w:color w:val="D9D9D9" w:themeColor="background1" w:themeShade="D9"/>
      </w:rPr>
      <w:fldChar w:fldCharType="separate"/>
    </w:r>
    <w:r w:rsidR="00575923" w:rsidRPr="00575923">
      <w:rPr>
        <w:color w:val="D9D9D9" w:themeColor="background1" w:themeShade="D9"/>
      </w:rPr>
      <w:t>06.03.17</w:t>
    </w:r>
    <w:r w:rsidRPr="00575923">
      <w:rPr>
        <w:color w:val="D9D9D9" w:themeColor="background1" w:themeShade="D9"/>
      </w:rPr>
      <w:fldChar w:fldCharType="end"/>
    </w:r>
    <w:r w:rsidRPr="00575923">
      <w:rPr>
        <w:color w:val="D9D9D9" w:themeColor="background1" w:themeShade="D9"/>
        <w:lang w:val="fr-CH"/>
      </w:rPr>
      <w:tab/>
    </w:r>
    <w:r w:rsidRPr="00575923">
      <w:rPr>
        <w:color w:val="D9D9D9" w:themeColor="background1" w:themeShade="D9"/>
      </w:rPr>
      <w:fldChar w:fldCharType="begin"/>
    </w:r>
    <w:r w:rsidRPr="00575923">
      <w:rPr>
        <w:color w:val="D9D9D9" w:themeColor="background1" w:themeShade="D9"/>
      </w:rPr>
      <w:instrText xml:space="preserve"> printdate \@ dd.MM.yy </w:instrText>
    </w:r>
    <w:r w:rsidRPr="00575923">
      <w:rPr>
        <w:color w:val="D9D9D9" w:themeColor="background1" w:themeShade="D9"/>
      </w:rPr>
      <w:fldChar w:fldCharType="separate"/>
    </w:r>
    <w:r w:rsidRPr="00575923">
      <w:rPr>
        <w:color w:val="D9D9D9" w:themeColor="background1" w:themeShade="D9"/>
      </w:rPr>
      <w:t>03.03.17</w:t>
    </w:r>
    <w:r w:rsidRPr="00575923">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7E3" w:rsidRDefault="004F37E3">
    <w:pPr>
      <w:spacing w:after="120"/>
      <w:jc w:val="center"/>
    </w:pPr>
    <w:r>
      <w:t xml:space="preserve">• </w:t>
    </w:r>
    <w:hyperlink r:id="rId1" w:history="1">
      <w:r>
        <w:rPr>
          <w:rStyle w:val="Hyperlink"/>
        </w:rPr>
        <w:t>http://www.itu.int/council</w:t>
      </w:r>
    </w:hyperlink>
    <w:r>
      <w:t xml:space="preserve"> •</w:t>
    </w:r>
  </w:p>
  <w:p w:rsidR="004F37E3" w:rsidRPr="00575923" w:rsidRDefault="004F37E3" w:rsidP="004F37E3">
    <w:pPr>
      <w:pStyle w:val="Footer"/>
      <w:rPr>
        <w:color w:val="D9D9D9" w:themeColor="background1" w:themeShade="D9"/>
        <w:lang w:val="fr-CH"/>
      </w:rPr>
    </w:pPr>
    <w:r w:rsidRPr="00575923">
      <w:rPr>
        <w:color w:val="D9D9D9" w:themeColor="background1" w:themeShade="D9"/>
      </w:rPr>
      <w:fldChar w:fldCharType="begin"/>
    </w:r>
    <w:r w:rsidRPr="00575923">
      <w:rPr>
        <w:color w:val="D9D9D9" w:themeColor="background1" w:themeShade="D9"/>
        <w:lang w:val="fr-CH"/>
      </w:rPr>
      <w:instrText xml:space="preserve"> FILENAME \p \* MERGEFORMAT </w:instrText>
    </w:r>
    <w:r w:rsidRPr="00575923">
      <w:rPr>
        <w:color w:val="D9D9D9" w:themeColor="background1" w:themeShade="D9"/>
      </w:rPr>
      <w:fldChar w:fldCharType="separate"/>
    </w:r>
    <w:r w:rsidRPr="00575923">
      <w:rPr>
        <w:color w:val="D9D9D9" w:themeColor="background1" w:themeShade="D9"/>
        <w:lang w:val="fr-CH"/>
      </w:rPr>
      <w:t>P:\FRA\SG\CONSEIL\C17\000\009F.docx</w:t>
    </w:r>
    <w:r w:rsidRPr="00575923">
      <w:rPr>
        <w:color w:val="D9D9D9" w:themeColor="background1" w:themeShade="D9"/>
      </w:rPr>
      <w:fldChar w:fldCharType="end"/>
    </w:r>
    <w:r w:rsidRPr="00575923">
      <w:rPr>
        <w:color w:val="D9D9D9" w:themeColor="background1" w:themeShade="D9"/>
        <w:lang w:val="fr-CH"/>
      </w:rPr>
      <w:t xml:space="preserve"> (407285)</w:t>
    </w:r>
    <w:r w:rsidRPr="00575923">
      <w:rPr>
        <w:color w:val="D9D9D9" w:themeColor="background1" w:themeShade="D9"/>
        <w:lang w:val="fr-CH"/>
      </w:rPr>
      <w:tab/>
    </w:r>
    <w:r w:rsidRPr="00575923">
      <w:rPr>
        <w:color w:val="D9D9D9" w:themeColor="background1" w:themeShade="D9"/>
      </w:rPr>
      <w:fldChar w:fldCharType="begin"/>
    </w:r>
    <w:r w:rsidRPr="00575923">
      <w:rPr>
        <w:color w:val="D9D9D9" w:themeColor="background1" w:themeShade="D9"/>
      </w:rPr>
      <w:instrText xml:space="preserve"> savedate \@ dd.MM.yy </w:instrText>
    </w:r>
    <w:r w:rsidRPr="00575923">
      <w:rPr>
        <w:color w:val="D9D9D9" w:themeColor="background1" w:themeShade="D9"/>
      </w:rPr>
      <w:fldChar w:fldCharType="separate"/>
    </w:r>
    <w:r w:rsidR="00575923" w:rsidRPr="00575923">
      <w:rPr>
        <w:color w:val="D9D9D9" w:themeColor="background1" w:themeShade="D9"/>
      </w:rPr>
      <w:t>06.03.17</w:t>
    </w:r>
    <w:r w:rsidRPr="00575923">
      <w:rPr>
        <w:color w:val="D9D9D9" w:themeColor="background1" w:themeShade="D9"/>
      </w:rPr>
      <w:fldChar w:fldCharType="end"/>
    </w:r>
    <w:r w:rsidRPr="00575923">
      <w:rPr>
        <w:color w:val="D9D9D9" w:themeColor="background1" w:themeShade="D9"/>
        <w:lang w:val="fr-CH"/>
      </w:rPr>
      <w:tab/>
    </w:r>
    <w:r w:rsidRPr="00575923">
      <w:rPr>
        <w:color w:val="D9D9D9" w:themeColor="background1" w:themeShade="D9"/>
      </w:rPr>
      <w:fldChar w:fldCharType="begin"/>
    </w:r>
    <w:r w:rsidRPr="00575923">
      <w:rPr>
        <w:color w:val="D9D9D9" w:themeColor="background1" w:themeShade="D9"/>
      </w:rPr>
      <w:instrText xml:space="preserve"> printdate \@ dd.MM.yy </w:instrText>
    </w:r>
    <w:r w:rsidRPr="00575923">
      <w:rPr>
        <w:color w:val="D9D9D9" w:themeColor="background1" w:themeShade="D9"/>
      </w:rPr>
      <w:fldChar w:fldCharType="separate"/>
    </w:r>
    <w:r w:rsidRPr="00575923">
      <w:rPr>
        <w:color w:val="D9D9D9" w:themeColor="background1" w:themeShade="D9"/>
      </w:rPr>
      <w:t>03.03.17</w:t>
    </w:r>
    <w:r w:rsidRPr="00575923">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7E3" w:rsidRDefault="004F37E3">
      <w:r>
        <w:t>____________________</w:t>
      </w:r>
    </w:p>
  </w:footnote>
  <w:footnote w:type="continuationSeparator" w:id="0">
    <w:p w:rsidR="004F37E3" w:rsidRDefault="004F3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7E3" w:rsidRDefault="004F37E3">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4F37E3" w:rsidRDefault="004F37E3">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7E3" w:rsidRDefault="004F37E3" w:rsidP="00475FB3">
    <w:pPr>
      <w:pStyle w:val="Header"/>
    </w:pPr>
    <w:r>
      <w:fldChar w:fldCharType="begin"/>
    </w:r>
    <w:r>
      <w:instrText>PAGE</w:instrText>
    </w:r>
    <w:r>
      <w:fldChar w:fldCharType="separate"/>
    </w:r>
    <w:r w:rsidR="00575923">
      <w:rPr>
        <w:noProof/>
      </w:rPr>
      <w:t>4</w:t>
    </w:r>
    <w:r>
      <w:rPr>
        <w:noProof/>
      </w:rPr>
      <w:fldChar w:fldCharType="end"/>
    </w:r>
  </w:p>
  <w:p w:rsidR="004F37E3" w:rsidRDefault="004F37E3" w:rsidP="004F37E3">
    <w:pPr>
      <w:pStyle w:val="Header"/>
    </w:pPr>
    <w:r>
      <w:t>C17/9-F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AB0A1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69613A"/>
    <w:multiLevelType w:val="hybridMultilevel"/>
    <w:tmpl w:val="E59C3EF8"/>
    <w:lvl w:ilvl="0" w:tplc="FABC8DC2">
      <w:start w:val="1"/>
      <w:numFmt w:val="decimal"/>
      <w:lvlText w:val="Table %1"/>
      <w:lvlJc w:val="left"/>
      <w:pPr>
        <w:ind w:left="319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A9"/>
    <w:rsid w:val="00034C09"/>
    <w:rsid w:val="00055158"/>
    <w:rsid w:val="00074916"/>
    <w:rsid w:val="000D0D0A"/>
    <w:rsid w:val="00103163"/>
    <w:rsid w:val="00115D93"/>
    <w:rsid w:val="001247A8"/>
    <w:rsid w:val="001378C0"/>
    <w:rsid w:val="00176E43"/>
    <w:rsid w:val="0018694A"/>
    <w:rsid w:val="001A3287"/>
    <w:rsid w:val="001D4C31"/>
    <w:rsid w:val="001D76D9"/>
    <w:rsid w:val="001E4D21"/>
    <w:rsid w:val="00207CD1"/>
    <w:rsid w:val="00220786"/>
    <w:rsid w:val="002477A2"/>
    <w:rsid w:val="00263A51"/>
    <w:rsid w:val="00267E02"/>
    <w:rsid w:val="002A5D44"/>
    <w:rsid w:val="002D37AF"/>
    <w:rsid w:val="002E0BC4"/>
    <w:rsid w:val="002E3F28"/>
    <w:rsid w:val="002F1B76"/>
    <w:rsid w:val="002F1F00"/>
    <w:rsid w:val="00305A18"/>
    <w:rsid w:val="00312367"/>
    <w:rsid w:val="0035086E"/>
    <w:rsid w:val="00355FF5"/>
    <w:rsid w:val="00361350"/>
    <w:rsid w:val="00387D49"/>
    <w:rsid w:val="00396A91"/>
    <w:rsid w:val="003A13ED"/>
    <w:rsid w:val="003B3168"/>
    <w:rsid w:val="003E6A68"/>
    <w:rsid w:val="004038CB"/>
    <w:rsid w:val="0040546F"/>
    <w:rsid w:val="0042404A"/>
    <w:rsid w:val="0044618F"/>
    <w:rsid w:val="00465E82"/>
    <w:rsid w:val="0046769A"/>
    <w:rsid w:val="00475FB3"/>
    <w:rsid w:val="00495A24"/>
    <w:rsid w:val="004B635F"/>
    <w:rsid w:val="004C37A9"/>
    <w:rsid w:val="004F259E"/>
    <w:rsid w:val="004F37E3"/>
    <w:rsid w:val="00500A58"/>
    <w:rsid w:val="00511F1D"/>
    <w:rsid w:val="00540615"/>
    <w:rsid w:val="00540A6D"/>
    <w:rsid w:val="00571EEA"/>
    <w:rsid w:val="00575417"/>
    <w:rsid w:val="00575923"/>
    <w:rsid w:val="005768E1"/>
    <w:rsid w:val="00585F42"/>
    <w:rsid w:val="00595BB8"/>
    <w:rsid w:val="005B52F3"/>
    <w:rsid w:val="005B662A"/>
    <w:rsid w:val="005C3890"/>
    <w:rsid w:val="005F7BFE"/>
    <w:rsid w:val="00600017"/>
    <w:rsid w:val="00611BD1"/>
    <w:rsid w:val="006235CA"/>
    <w:rsid w:val="0064230E"/>
    <w:rsid w:val="006550A1"/>
    <w:rsid w:val="006643AB"/>
    <w:rsid w:val="0067025C"/>
    <w:rsid w:val="00692862"/>
    <w:rsid w:val="006C7811"/>
    <w:rsid w:val="006E35CE"/>
    <w:rsid w:val="007210CD"/>
    <w:rsid w:val="00722DE7"/>
    <w:rsid w:val="00732045"/>
    <w:rsid w:val="007369DB"/>
    <w:rsid w:val="00736F38"/>
    <w:rsid w:val="00791CD2"/>
    <w:rsid w:val="007956C2"/>
    <w:rsid w:val="007A187E"/>
    <w:rsid w:val="007C72C2"/>
    <w:rsid w:val="007D4436"/>
    <w:rsid w:val="007E50DE"/>
    <w:rsid w:val="007E7828"/>
    <w:rsid w:val="007F257A"/>
    <w:rsid w:val="007F3665"/>
    <w:rsid w:val="00800037"/>
    <w:rsid w:val="00800BC4"/>
    <w:rsid w:val="00806707"/>
    <w:rsid w:val="00861D73"/>
    <w:rsid w:val="00894C79"/>
    <w:rsid w:val="008A4E87"/>
    <w:rsid w:val="008A58DD"/>
    <w:rsid w:val="008C44A4"/>
    <w:rsid w:val="008D76E6"/>
    <w:rsid w:val="00915921"/>
    <w:rsid w:val="0092392D"/>
    <w:rsid w:val="0093234A"/>
    <w:rsid w:val="009478B9"/>
    <w:rsid w:val="009635F6"/>
    <w:rsid w:val="00965078"/>
    <w:rsid w:val="00977283"/>
    <w:rsid w:val="009A36E5"/>
    <w:rsid w:val="009B46A9"/>
    <w:rsid w:val="009C307F"/>
    <w:rsid w:val="009C7754"/>
    <w:rsid w:val="009D274C"/>
    <w:rsid w:val="00A2113E"/>
    <w:rsid w:val="00A23A51"/>
    <w:rsid w:val="00A24607"/>
    <w:rsid w:val="00A25CD3"/>
    <w:rsid w:val="00A35B42"/>
    <w:rsid w:val="00A6394A"/>
    <w:rsid w:val="00A82767"/>
    <w:rsid w:val="00A83750"/>
    <w:rsid w:val="00AA332F"/>
    <w:rsid w:val="00AA7BBB"/>
    <w:rsid w:val="00AB64A8"/>
    <w:rsid w:val="00AC0266"/>
    <w:rsid w:val="00AD24EC"/>
    <w:rsid w:val="00AF48E2"/>
    <w:rsid w:val="00B175E7"/>
    <w:rsid w:val="00B309F9"/>
    <w:rsid w:val="00B32B60"/>
    <w:rsid w:val="00B4000F"/>
    <w:rsid w:val="00B51EFD"/>
    <w:rsid w:val="00B61619"/>
    <w:rsid w:val="00B6635B"/>
    <w:rsid w:val="00B7417D"/>
    <w:rsid w:val="00B84828"/>
    <w:rsid w:val="00BB4545"/>
    <w:rsid w:val="00BC51A8"/>
    <w:rsid w:val="00BD5873"/>
    <w:rsid w:val="00BD7130"/>
    <w:rsid w:val="00BF31CE"/>
    <w:rsid w:val="00C04BE3"/>
    <w:rsid w:val="00C25D29"/>
    <w:rsid w:val="00C27A7C"/>
    <w:rsid w:val="00C7256B"/>
    <w:rsid w:val="00C831E9"/>
    <w:rsid w:val="00C85783"/>
    <w:rsid w:val="00C879E9"/>
    <w:rsid w:val="00CA08ED"/>
    <w:rsid w:val="00CA2D83"/>
    <w:rsid w:val="00CB2774"/>
    <w:rsid w:val="00CF0749"/>
    <w:rsid w:val="00CF183B"/>
    <w:rsid w:val="00D22152"/>
    <w:rsid w:val="00D375CD"/>
    <w:rsid w:val="00D553A2"/>
    <w:rsid w:val="00D63FB6"/>
    <w:rsid w:val="00D774D3"/>
    <w:rsid w:val="00D87ED3"/>
    <w:rsid w:val="00D904E8"/>
    <w:rsid w:val="00DA08C3"/>
    <w:rsid w:val="00DB5A3E"/>
    <w:rsid w:val="00DC22AA"/>
    <w:rsid w:val="00DE5430"/>
    <w:rsid w:val="00DF74DD"/>
    <w:rsid w:val="00E12577"/>
    <w:rsid w:val="00E25AD0"/>
    <w:rsid w:val="00EB6350"/>
    <w:rsid w:val="00ED5D15"/>
    <w:rsid w:val="00EF1EF6"/>
    <w:rsid w:val="00F15B57"/>
    <w:rsid w:val="00F17C10"/>
    <w:rsid w:val="00F427DB"/>
    <w:rsid w:val="00F458CD"/>
    <w:rsid w:val="00FA5EB1"/>
    <w:rsid w:val="00FA7439"/>
    <w:rsid w:val="00FC4EC0"/>
    <w:rsid w:val="00FF0181"/>
    <w:rsid w:val="00FF6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F429365-5A1B-487A-8978-20AA4ADE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9B46A9"/>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Body">
    <w:name w:val="Body"/>
    <w:rsid w:val="00CF0749"/>
    <w:rPr>
      <w:rFonts w:ascii="Helvetica" w:eastAsia="ヒラギノ角ゴ Pro W3" w:hAnsi="Helvetica"/>
      <w:color w:val="000000"/>
      <w:sz w:val="24"/>
      <w:lang w:eastAsia="en-US"/>
    </w:rPr>
  </w:style>
  <w:style w:type="paragraph" w:styleId="BalloonText">
    <w:name w:val="Balloon Text"/>
    <w:basedOn w:val="Normal"/>
    <w:link w:val="BalloonTextChar"/>
    <w:semiHidden/>
    <w:unhideWhenUsed/>
    <w:rsid w:val="00D87ED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87ED3"/>
    <w:rPr>
      <w:rFonts w:ascii="Segoe UI" w:hAnsi="Segoe UI" w:cs="Segoe UI"/>
      <w:sz w:val="18"/>
      <w:szCs w:val="18"/>
      <w:lang w:val="fr-FR" w:eastAsia="en-US"/>
    </w:rPr>
  </w:style>
  <w:style w:type="character" w:customStyle="1" w:styleId="NormalaftertitleChar">
    <w:name w:val="Normal after title Char"/>
    <w:basedOn w:val="DefaultParagraphFont"/>
    <w:link w:val="Normalaftertitle"/>
    <w:rsid w:val="00FF6D66"/>
    <w:rPr>
      <w:rFonts w:ascii="Calibri" w:hAnsi="Calibri"/>
      <w:sz w:val="24"/>
      <w:lang w:val="fr-FR" w:eastAsia="en-US"/>
    </w:rPr>
  </w:style>
  <w:style w:type="character" w:customStyle="1" w:styleId="Heading1Char">
    <w:name w:val="Heading 1 Char"/>
    <w:basedOn w:val="DefaultParagraphFont"/>
    <w:link w:val="Heading1"/>
    <w:rsid w:val="00034C09"/>
    <w:rPr>
      <w:rFonts w:ascii="Calibri" w:hAnsi="Calibri"/>
      <w:b/>
      <w:sz w:val="28"/>
      <w:lang w:val="fr-FR" w:eastAsia="en-US"/>
    </w:rPr>
  </w:style>
  <w:style w:type="table" w:styleId="TableGrid">
    <w:name w:val="Table Grid"/>
    <w:basedOn w:val="TableNormal"/>
    <w:rsid w:val="00034C09"/>
    <w:pPr>
      <w:tabs>
        <w:tab w:val="left" w:pos="794"/>
        <w:tab w:val="left" w:pos="1191"/>
        <w:tab w:val="left" w:pos="1588"/>
        <w:tab w:val="left" w:pos="1985"/>
      </w:tabs>
      <w:overflowPunct w:val="0"/>
      <w:autoSpaceDE w:val="0"/>
      <w:autoSpaceDN w:val="0"/>
      <w:adjustRightInd w:val="0"/>
      <w:spacing w:before="120" w:after="160" w:line="259" w:lineRule="auto"/>
      <w:textAlignment w:val="baseline"/>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EF1EF6"/>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7-CL-C-0045/en"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5-CL-C-0117/e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council/Basic-Texts/convention-e.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Basic-Texts/convention-e.docx"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7202A-7D3B-4B6B-9959-DFFF8F4C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PF_C17.dotm</Template>
  <TotalTime>1</TotalTime>
  <Pages>4</Pages>
  <Words>1545</Words>
  <Characters>7607</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DATES ET DURÉE PROPOSÉES POUR LES SESSIONS DE 2018, 2019 ET 2020 DU CONSEIL</vt:lpstr>
    </vt:vector>
  </TitlesOfParts>
  <Manager>Secrétariat général - Pool</Manager>
  <Company>Union internationale des télécommunications (UIT)</Company>
  <LinksUpToDate>false</LinksUpToDate>
  <CharactersWithSpaces>9134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annuel des produits et des charges</dc:title>
  <dc:subject>Conseil 2017</dc:subject>
  <dc:creator>Rapport du Secrétaire général</dc:creator>
  <cp:keywords>C2017, C17</cp:keywords>
  <dc:description/>
  <cp:lastModifiedBy>Brouard, Ricarda</cp:lastModifiedBy>
  <cp:revision>2</cp:revision>
  <cp:lastPrinted>2017-03-03T15:29:00Z</cp:lastPrinted>
  <dcterms:created xsi:type="dcterms:W3CDTF">2017-03-20T16:34:00Z</dcterms:created>
  <dcterms:modified xsi:type="dcterms:W3CDTF">2017-03-20T16:34:00Z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C17/2-F</vt:lpwstr>
  </property>
  <property fmtid="{D5CDD505-2E9C-101B-9397-08002B2CF9AE}" pid="3" name="Docdate">
    <vt:lpwstr>24 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2.3</vt:lpwstr>
  </property>
  <property fmtid="{D5CDD505-2E9C-101B-9397-08002B2CF9AE}" pid="7" name="Docauthor">
    <vt:lpwstr>Rapport du Secrétaire général</vt:lpwstr>
  </property>
</Properties>
</file>