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13A9C" w:rsidRPr="00413A9C" w:rsidTr="00A1770E">
        <w:trPr>
          <w:cantSplit/>
        </w:trPr>
        <w:tc>
          <w:tcPr>
            <w:tcW w:w="6911" w:type="dxa"/>
          </w:tcPr>
          <w:p w:rsidR="00413A9C" w:rsidRPr="00413A9C" w:rsidRDefault="00413A9C" w:rsidP="007576F0">
            <w:pPr>
              <w:pStyle w:val="Heading3"/>
              <w:tabs>
                <w:tab w:val="clear" w:pos="567"/>
                <w:tab w:val="left" w:pos="0"/>
              </w:tabs>
              <w:ind w:left="34" w:firstLine="0"/>
            </w:pPr>
            <w:bookmarkStart w:id="0" w:name="dc06"/>
            <w:bookmarkEnd w:id="0"/>
            <w:r w:rsidRPr="00413A9C">
              <w:rPr>
                <w:sz w:val="30"/>
                <w:szCs w:val="30"/>
              </w:rPr>
              <w:t>Council 201</w:t>
            </w:r>
            <w:r w:rsidR="007576F0">
              <w:rPr>
                <w:sz w:val="30"/>
                <w:szCs w:val="30"/>
              </w:rPr>
              <w:t>7</w:t>
            </w:r>
            <w:r w:rsidRPr="00413A9C">
              <w:rPr>
                <w:rFonts w:cs="Times"/>
                <w:sz w:val="26"/>
                <w:szCs w:val="26"/>
                <w:lang w:val="en-US"/>
              </w:rPr>
              <w:br/>
            </w:r>
            <w:r w:rsidRPr="00413A9C">
              <w:t>Geneva, 1</w:t>
            </w:r>
            <w:r w:rsidR="007576F0">
              <w:t>5-25</w:t>
            </w:r>
            <w:r w:rsidRPr="00413A9C">
              <w:t xml:space="preserve"> May 201</w:t>
            </w:r>
            <w:r w:rsidR="007576F0">
              <w:t>7</w:t>
            </w:r>
          </w:p>
        </w:tc>
        <w:tc>
          <w:tcPr>
            <w:tcW w:w="3120" w:type="dxa"/>
          </w:tcPr>
          <w:p w:rsidR="00413A9C" w:rsidRPr="00413A9C" w:rsidRDefault="000308C9" w:rsidP="00413A9C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64AA0957" wp14:editId="6A354A3C">
                  <wp:extent cx="1762125" cy="74993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A9C" w:rsidRPr="00413A9C" w:rsidTr="00A1770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13A9C" w:rsidRPr="00413A9C" w:rsidRDefault="00413A9C" w:rsidP="00413A9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r w:rsidRPr="00413A9C">
              <w:rPr>
                <w:b/>
                <w:smallCaps/>
                <w:szCs w:val="24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13A9C" w:rsidRPr="00413A9C" w:rsidRDefault="00413A9C" w:rsidP="00413A9C">
            <w:pPr>
              <w:spacing w:before="0" w:line="240" w:lineRule="atLeast"/>
              <w:rPr>
                <w:szCs w:val="24"/>
              </w:rPr>
            </w:pPr>
          </w:p>
        </w:tc>
      </w:tr>
      <w:tr w:rsidR="00413A9C" w:rsidRPr="00413A9C" w:rsidTr="00A1770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13A9C" w:rsidRPr="00413A9C" w:rsidRDefault="00413A9C" w:rsidP="00CD0747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13A9C" w:rsidRPr="00413A9C" w:rsidRDefault="00413A9C" w:rsidP="00CD0747">
            <w:pPr>
              <w:spacing w:before="0" w:line="240" w:lineRule="atLeast"/>
              <w:rPr>
                <w:szCs w:val="24"/>
              </w:rPr>
            </w:pPr>
          </w:p>
        </w:tc>
      </w:tr>
      <w:tr w:rsidR="00413A9C" w:rsidRPr="00413A9C" w:rsidTr="00A1770E">
        <w:trPr>
          <w:cantSplit/>
          <w:trHeight w:val="23"/>
        </w:trPr>
        <w:tc>
          <w:tcPr>
            <w:tcW w:w="6911" w:type="dxa"/>
            <w:vMerge w:val="restart"/>
          </w:tcPr>
          <w:p w:rsidR="00413A9C" w:rsidRPr="00413A9C" w:rsidRDefault="00413A9C" w:rsidP="00917CE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917CE9">
              <w:rPr>
                <w:b/>
              </w:rPr>
              <w:t xml:space="preserve">Agenda item: ADM </w:t>
            </w:r>
            <w:r w:rsidR="00AE4AD8" w:rsidRPr="00917CE9">
              <w:rPr>
                <w:b/>
              </w:rPr>
              <w:t>1</w:t>
            </w:r>
          </w:p>
        </w:tc>
        <w:tc>
          <w:tcPr>
            <w:tcW w:w="3120" w:type="dxa"/>
          </w:tcPr>
          <w:p w:rsidR="00413A9C" w:rsidRPr="00413A9C" w:rsidRDefault="007576F0" w:rsidP="00413A9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</w:t>
            </w:r>
            <w:r w:rsidR="00413A9C" w:rsidRPr="00413A9C">
              <w:rPr>
                <w:b/>
              </w:rPr>
              <w:t>/</w:t>
            </w:r>
            <w:r w:rsidR="00413A9C">
              <w:rPr>
                <w:b/>
              </w:rPr>
              <w:t>9</w:t>
            </w:r>
            <w:r w:rsidR="00413A9C" w:rsidRPr="00413A9C">
              <w:rPr>
                <w:b/>
              </w:rPr>
              <w:t>-E</w:t>
            </w:r>
          </w:p>
        </w:tc>
      </w:tr>
      <w:tr w:rsidR="00413A9C" w:rsidRPr="00413A9C" w:rsidTr="00A1770E">
        <w:trPr>
          <w:cantSplit/>
          <w:trHeight w:val="23"/>
        </w:trPr>
        <w:tc>
          <w:tcPr>
            <w:tcW w:w="6911" w:type="dxa"/>
            <w:vMerge/>
          </w:tcPr>
          <w:p w:rsidR="00413A9C" w:rsidRPr="00413A9C" w:rsidRDefault="00413A9C" w:rsidP="00413A9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413A9C" w:rsidRPr="00413A9C" w:rsidRDefault="00564071" w:rsidP="007576F0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21</w:t>
            </w:r>
            <w:r w:rsidR="00F7114F">
              <w:rPr>
                <w:b/>
              </w:rPr>
              <w:t xml:space="preserve"> February</w:t>
            </w:r>
            <w:r w:rsidR="00413A9C">
              <w:rPr>
                <w:b/>
              </w:rPr>
              <w:t xml:space="preserve"> </w:t>
            </w:r>
            <w:r w:rsidR="00413A9C" w:rsidRPr="00413A9C">
              <w:rPr>
                <w:b/>
              </w:rPr>
              <w:t>201</w:t>
            </w:r>
            <w:r w:rsidR="007576F0">
              <w:rPr>
                <w:b/>
              </w:rPr>
              <w:t>7</w:t>
            </w:r>
          </w:p>
        </w:tc>
      </w:tr>
      <w:tr w:rsidR="00413A9C" w:rsidRPr="00413A9C" w:rsidTr="00A1770E">
        <w:trPr>
          <w:cantSplit/>
          <w:trHeight w:val="23"/>
        </w:trPr>
        <w:tc>
          <w:tcPr>
            <w:tcW w:w="6911" w:type="dxa"/>
            <w:vMerge/>
          </w:tcPr>
          <w:p w:rsidR="00413A9C" w:rsidRPr="00413A9C" w:rsidRDefault="00413A9C" w:rsidP="00413A9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413A9C" w:rsidRPr="00413A9C" w:rsidRDefault="00413A9C" w:rsidP="00413A9C">
            <w:pPr>
              <w:tabs>
                <w:tab w:val="left" w:pos="993"/>
              </w:tabs>
              <w:spacing w:before="0"/>
              <w:rPr>
                <w:b/>
              </w:rPr>
            </w:pPr>
            <w:r w:rsidRPr="00413A9C">
              <w:rPr>
                <w:b/>
              </w:rPr>
              <w:t>Original: English</w:t>
            </w:r>
          </w:p>
        </w:tc>
      </w:tr>
      <w:tr w:rsidR="00413A9C" w:rsidRPr="00413A9C" w:rsidTr="00A1770E">
        <w:trPr>
          <w:cantSplit/>
        </w:trPr>
        <w:tc>
          <w:tcPr>
            <w:tcW w:w="10031" w:type="dxa"/>
            <w:gridSpan w:val="2"/>
          </w:tcPr>
          <w:p w:rsidR="00413A9C" w:rsidRPr="00413A9C" w:rsidRDefault="00413A9C" w:rsidP="00413A9C">
            <w:pPr>
              <w:spacing w:before="840"/>
              <w:jc w:val="center"/>
              <w:rPr>
                <w:b/>
                <w:sz w:val="28"/>
              </w:rPr>
            </w:pPr>
            <w:bookmarkStart w:id="6" w:name="dsource" w:colFirst="0" w:colLast="0"/>
            <w:bookmarkEnd w:id="5"/>
            <w:r w:rsidRPr="00413A9C">
              <w:rPr>
                <w:b/>
                <w:sz w:val="28"/>
              </w:rPr>
              <w:t>Report by the Secretary-General</w:t>
            </w:r>
          </w:p>
        </w:tc>
      </w:tr>
      <w:tr w:rsidR="00413A9C" w:rsidRPr="00413A9C" w:rsidTr="00A1770E">
        <w:trPr>
          <w:cantSplit/>
        </w:trPr>
        <w:tc>
          <w:tcPr>
            <w:tcW w:w="10031" w:type="dxa"/>
            <w:gridSpan w:val="2"/>
          </w:tcPr>
          <w:p w:rsidR="00413A9C" w:rsidRPr="00413A9C" w:rsidRDefault="00413A9C" w:rsidP="00413A9C">
            <w:pPr>
              <w:spacing w:before="240"/>
              <w:jc w:val="center"/>
              <w:rPr>
                <w:caps/>
                <w:sz w:val="28"/>
              </w:rPr>
            </w:pPr>
            <w:bookmarkStart w:id="7" w:name="dtitle1" w:colFirst="0" w:colLast="0"/>
            <w:bookmarkEnd w:id="6"/>
            <w:r>
              <w:rPr>
                <w:rFonts w:asciiTheme="minorHAnsi" w:hAnsiTheme="minorHAnsi"/>
                <w:caps/>
                <w:sz w:val="28"/>
              </w:rPr>
              <w:t>annual review of revenue and expenses</w:t>
            </w:r>
          </w:p>
        </w:tc>
      </w:tr>
      <w:bookmarkEnd w:id="7"/>
    </w:tbl>
    <w:p w:rsidR="00413A9C" w:rsidRDefault="00413A9C" w:rsidP="00CD0747">
      <w:pPr>
        <w:snapToGrid w:val="0"/>
        <w:spacing w:before="240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0194A" w:rsidRPr="00813E5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94A" w:rsidRPr="00813E5E" w:rsidRDefault="0000194A">
            <w:pPr>
              <w:pStyle w:val="Headingb"/>
            </w:pPr>
            <w:r w:rsidRPr="00813E5E">
              <w:t>Summary</w:t>
            </w:r>
          </w:p>
          <w:p w:rsidR="00F03A1F" w:rsidRPr="00415A72" w:rsidRDefault="00F03A1F" w:rsidP="0074002E">
            <w:pPr>
              <w:spacing w:before="240"/>
              <w:jc w:val="both"/>
              <w:rPr>
                <w:szCs w:val="24"/>
              </w:rPr>
            </w:pPr>
            <w:r w:rsidRPr="00415A72">
              <w:rPr>
                <w:szCs w:val="24"/>
              </w:rPr>
              <w:t xml:space="preserve">This document presents the key elements of </w:t>
            </w:r>
            <w:r w:rsidR="00013C0E">
              <w:rPr>
                <w:szCs w:val="24"/>
              </w:rPr>
              <w:t xml:space="preserve">the </w:t>
            </w:r>
            <w:r w:rsidR="0074002E">
              <w:rPr>
                <w:szCs w:val="24"/>
              </w:rPr>
              <w:t>2016</w:t>
            </w:r>
            <w:r w:rsidR="00E93E7D">
              <w:rPr>
                <w:szCs w:val="24"/>
              </w:rPr>
              <w:t>-201</w:t>
            </w:r>
            <w:r w:rsidR="0074002E">
              <w:rPr>
                <w:szCs w:val="24"/>
              </w:rPr>
              <w:t>7</w:t>
            </w:r>
            <w:r w:rsidR="00E93E7D">
              <w:rPr>
                <w:szCs w:val="24"/>
              </w:rPr>
              <w:t xml:space="preserve"> </w:t>
            </w:r>
            <w:r w:rsidRPr="00415A72">
              <w:rPr>
                <w:szCs w:val="24"/>
              </w:rPr>
              <w:t>Budget implementation</w:t>
            </w:r>
            <w:r w:rsidR="00E21E1D">
              <w:rPr>
                <w:szCs w:val="24"/>
              </w:rPr>
              <w:t xml:space="preserve">, </w:t>
            </w:r>
            <w:r w:rsidRPr="00415A72">
              <w:rPr>
                <w:szCs w:val="24"/>
              </w:rPr>
              <w:t>pursuant to No.</w:t>
            </w:r>
            <w:r w:rsidR="00E21E1D">
              <w:rPr>
                <w:szCs w:val="24"/>
              </w:rPr>
              <w:t> </w:t>
            </w:r>
            <w:r w:rsidRPr="00415A72">
              <w:rPr>
                <w:szCs w:val="24"/>
              </w:rPr>
              <w:t xml:space="preserve">73 of the ITU Convention, which </w:t>
            </w:r>
            <w:r w:rsidR="00D51F86">
              <w:rPr>
                <w:szCs w:val="24"/>
              </w:rPr>
              <w:t>stipulates</w:t>
            </w:r>
            <w:r w:rsidRPr="00415A72">
              <w:rPr>
                <w:szCs w:val="24"/>
              </w:rPr>
              <w:t xml:space="preserve"> that an annual review of revenue and expenses shall be carried out by the Council.</w:t>
            </w:r>
          </w:p>
          <w:p w:rsidR="0000194A" w:rsidRPr="00813E5E" w:rsidRDefault="0000194A">
            <w:pPr>
              <w:pStyle w:val="Headingb"/>
            </w:pPr>
            <w:r w:rsidRPr="00813E5E">
              <w:t>Action required</w:t>
            </w:r>
          </w:p>
          <w:p w:rsidR="00F03A1F" w:rsidRPr="00415A72" w:rsidRDefault="003A0B76" w:rsidP="00AE49C5">
            <w:pPr>
              <w:spacing w:before="240"/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F03A1F" w:rsidRPr="00415A72">
              <w:rPr>
                <w:szCs w:val="24"/>
              </w:rPr>
              <w:t xml:space="preserve">Council is invited to </w:t>
            </w:r>
            <w:r w:rsidR="00243487" w:rsidRPr="00243487">
              <w:rPr>
                <w:b/>
                <w:bCs/>
                <w:szCs w:val="24"/>
              </w:rPr>
              <w:t>endorse</w:t>
            </w:r>
            <w:r w:rsidR="00F03A1F" w:rsidRPr="00415A72">
              <w:rPr>
                <w:szCs w:val="24"/>
              </w:rPr>
              <w:t xml:space="preserve"> this document</w:t>
            </w:r>
            <w:r w:rsidR="00243487">
              <w:rPr>
                <w:szCs w:val="24"/>
              </w:rPr>
              <w:t>.</w:t>
            </w:r>
          </w:p>
          <w:p w:rsidR="0000194A" w:rsidRPr="00813E5E" w:rsidRDefault="0000194A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00194A" w:rsidRPr="00813E5E" w:rsidRDefault="0000194A">
            <w:pPr>
              <w:pStyle w:val="Headingb"/>
            </w:pPr>
            <w:r w:rsidRPr="00813E5E">
              <w:t>References</w:t>
            </w:r>
          </w:p>
          <w:p w:rsidR="00F03A1F" w:rsidRPr="00415A72" w:rsidRDefault="00F03A1F" w:rsidP="00A17472">
            <w:pPr>
              <w:snapToGrid w:val="0"/>
              <w:spacing w:before="60" w:after="60"/>
              <w:rPr>
                <w:i/>
                <w:iCs/>
                <w:szCs w:val="24"/>
              </w:rPr>
            </w:pPr>
            <w:r w:rsidRPr="00415A72">
              <w:rPr>
                <w:i/>
                <w:iCs/>
                <w:szCs w:val="24"/>
              </w:rPr>
              <w:t>CV/</w:t>
            </w:r>
            <w:hyperlink r:id="rId12" w:anchor="cvart4" w:history="1">
              <w:r w:rsidRPr="002C172F">
                <w:rPr>
                  <w:rStyle w:val="Hyperlink"/>
                  <w:i/>
                  <w:iCs/>
                  <w:szCs w:val="24"/>
                </w:rPr>
                <w:t>Art. 4</w:t>
              </w:r>
            </w:hyperlink>
            <w:r w:rsidRPr="00415A72">
              <w:rPr>
                <w:i/>
                <w:iCs/>
                <w:szCs w:val="24"/>
              </w:rPr>
              <w:t xml:space="preserve"> </w:t>
            </w:r>
            <w:r w:rsidR="00A17472">
              <w:rPr>
                <w:i/>
                <w:iCs/>
                <w:szCs w:val="24"/>
              </w:rPr>
              <w:t>(</w:t>
            </w:r>
            <w:hyperlink r:id="rId13" w:anchor="cv73" w:history="1">
              <w:r w:rsidRPr="002C172F">
                <w:rPr>
                  <w:rStyle w:val="Hyperlink"/>
                  <w:i/>
                  <w:iCs/>
                  <w:szCs w:val="24"/>
                </w:rPr>
                <w:t>No. 73</w:t>
              </w:r>
            </w:hyperlink>
            <w:r w:rsidR="00A17472">
              <w:rPr>
                <w:rStyle w:val="Hyperlink"/>
                <w:i/>
                <w:iCs/>
                <w:szCs w:val="24"/>
              </w:rPr>
              <w:t>)</w:t>
            </w:r>
          </w:p>
          <w:p w:rsidR="00994484" w:rsidRPr="00F57931" w:rsidRDefault="0074002E" w:rsidP="0074002E">
            <w:pPr>
              <w:pStyle w:val="Index1"/>
              <w:snapToGrid w:val="0"/>
              <w:spacing w:before="60" w:after="60"/>
              <w:rPr>
                <w:i/>
                <w:iCs/>
              </w:rPr>
            </w:pPr>
            <w:r w:rsidRPr="0074002E">
              <w:rPr>
                <w:i/>
                <w:iCs/>
                <w:szCs w:val="24"/>
              </w:rPr>
              <w:t xml:space="preserve">Council Resolution </w:t>
            </w:r>
            <w:hyperlink r:id="rId14" w:history="1">
              <w:r w:rsidRPr="004A787E">
                <w:rPr>
                  <w:rStyle w:val="Hyperlink"/>
                  <w:i/>
                  <w:iCs/>
                  <w:szCs w:val="24"/>
                </w:rPr>
                <w:t>13</w:t>
              </w:r>
              <w:r w:rsidRPr="004A787E">
                <w:rPr>
                  <w:rStyle w:val="Hyperlink"/>
                </w:rPr>
                <w:t>75</w:t>
              </w:r>
            </w:hyperlink>
            <w:r w:rsidR="00F03A1F" w:rsidRPr="0074002E">
              <w:rPr>
                <w:i/>
                <w:iCs/>
                <w:color w:val="0070C0"/>
                <w:szCs w:val="24"/>
              </w:rPr>
              <w:t xml:space="preserve"> </w:t>
            </w:r>
            <w:r w:rsidR="00F03A1F" w:rsidRPr="00415A72">
              <w:rPr>
                <w:i/>
                <w:iCs/>
                <w:szCs w:val="24"/>
              </w:rPr>
              <w:t xml:space="preserve">(Biennial Budget of the Union for </w:t>
            </w:r>
            <w:r w:rsidR="00036B70">
              <w:rPr>
                <w:i/>
                <w:iCs/>
                <w:szCs w:val="24"/>
              </w:rPr>
              <w:t>201</w:t>
            </w:r>
            <w:r>
              <w:rPr>
                <w:i/>
                <w:iCs/>
                <w:szCs w:val="24"/>
              </w:rPr>
              <w:t>6</w:t>
            </w:r>
            <w:r w:rsidR="00E93E7D">
              <w:rPr>
                <w:i/>
                <w:iCs/>
                <w:szCs w:val="24"/>
              </w:rPr>
              <w:t>-201</w:t>
            </w:r>
            <w:r>
              <w:rPr>
                <w:i/>
                <w:iCs/>
                <w:szCs w:val="24"/>
              </w:rPr>
              <w:t>7</w:t>
            </w:r>
            <w:r w:rsidR="00F03A1F" w:rsidRPr="00415A72">
              <w:rPr>
                <w:i/>
                <w:iCs/>
                <w:szCs w:val="24"/>
              </w:rPr>
              <w:t>)</w:t>
            </w:r>
          </w:p>
        </w:tc>
      </w:tr>
    </w:tbl>
    <w:p w:rsidR="00F03A1F" w:rsidRPr="00AE1976" w:rsidRDefault="00F03A1F" w:rsidP="00CD0747">
      <w:pPr>
        <w:numPr>
          <w:ilvl w:val="0"/>
          <w:numId w:val="1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480" w:after="120"/>
        <w:ind w:left="709" w:hanging="709"/>
        <w:textAlignment w:val="auto"/>
        <w:rPr>
          <w:b/>
          <w:bCs/>
          <w:szCs w:val="24"/>
          <w:lang w:val="en-AU"/>
        </w:rPr>
      </w:pPr>
      <w:bookmarkStart w:id="8" w:name="dstart"/>
      <w:bookmarkStart w:id="9" w:name="dbreak"/>
      <w:bookmarkEnd w:id="8"/>
      <w:bookmarkEnd w:id="9"/>
      <w:r w:rsidRPr="00AE1976">
        <w:rPr>
          <w:b/>
          <w:bCs/>
          <w:szCs w:val="24"/>
          <w:lang w:val="en-AU"/>
        </w:rPr>
        <w:t>Introduction</w:t>
      </w:r>
    </w:p>
    <w:p w:rsidR="00F03A1F" w:rsidRDefault="00F03A1F" w:rsidP="00CD0747">
      <w:pPr>
        <w:numPr>
          <w:ilvl w:val="1"/>
          <w:numId w:val="1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jc w:val="both"/>
        <w:textAlignment w:val="auto"/>
        <w:rPr>
          <w:szCs w:val="24"/>
        </w:rPr>
      </w:pPr>
      <w:r w:rsidRPr="00AE1976">
        <w:rPr>
          <w:szCs w:val="24"/>
        </w:rPr>
        <w:t xml:space="preserve">The purpose of this document is to report on the </w:t>
      </w:r>
      <w:r w:rsidR="0053413E">
        <w:rPr>
          <w:szCs w:val="24"/>
        </w:rPr>
        <w:t>status</w:t>
      </w:r>
      <w:r w:rsidR="00E35CAD">
        <w:rPr>
          <w:szCs w:val="24"/>
        </w:rPr>
        <w:t xml:space="preserve"> of the</w:t>
      </w:r>
      <w:r w:rsidR="0053413E">
        <w:rPr>
          <w:szCs w:val="24"/>
        </w:rPr>
        <w:t xml:space="preserve"> </w:t>
      </w:r>
      <w:r w:rsidRPr="00AE1976">
        <w:rPr>
          <w:szCs w:val="24"/>
        </w:rPr>
        <w:t>implementation</w:t>
      </w:r>
      <w:r w:rsidR="00F37AA9">
        <w:rPr>
          <w:szCs w:val="24"/>
        </w:rPr>
        <w:t xml:space="preserve"> </w:t>
      </w:r>
      <w:r w:rsidR="0053413E">
        <w:rPr>
          <w:szCs w:val="24"/>
        </w:rPr>
        <w:t>of the</w:t>
      </w:r>
      <w:r w:rsidR="00C02064">
        <w:rPr>
          <w:szCs w:val="24"/>
        </w:rPr>
        <w:br/>
      </w:r>
      <w:r w:rsidR="00FF51BF">
        <w:rPr>
          <w:szCs w:val="24"/>
        </w:rPr>
        <w:t>201</w:t>
      </w:r>
      <w:r w:rsidR="0074002E">
        <w:rPr>
          <w:szCs w:val="24"/>
        </w:rPr>
        <w:t>6-2017</w:t>
      </w:r>
      <w:r w:rsidR="00FF51BF">
        <w:rPr>
          <w:szCs w:val="24"/>
        </w:rPr>
        <w:t xml:space="preserve"> </w:t>
      </w:r>
      <w:r w:rsidRPr="00AE1976">
        <w:rPr>
          <w:szCs w:val="24"/>
        </w:rPr>
        <w:t>Budget of the Union</w:t>
      </w:r>
      <w:r w:rsidR="0053413E">
        <w:rPr>
          <w:szCs w:val="24"/>
        </w:rPr>
        <w:t xml:space="preserve"> </w:t>
      </w:r>
      <w:r w:rsidRPr="00AE1976">
        <w:rPr>
          <w:szCs w:val="24"/>
        </w:rPr>
        <w:t xml:space="preserve">in relation to </w:t>
      </w:r>
      <w:r w:rsidR="008C4151">
        <w:rPr>
          <w:szCs w:val="24"/>
        </w:rPr>
        <w:t>revenue and expenses</w:t>
      </w:r>
      <w:r w:rsidRPr="00AE1976">
        <w:rPr>
          <w:szCs w:val="24"/>
        </w:rPr>
        <w:t>.</w:t>
      </w:r>
    </w:p>
    <w:p w:rsidR="00F03A1F" w:rsidRPr="00AE1976" w:rsidRDefault="00060670" w:rsidP="00CD0747">
      <w:pPr>
        <w:numPr>
          <w:ilvl w:val="0"/>
          <w:numId w:val="1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709" w:hanging="709"/>
        <w:jc w:val="both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 xml:space="preserve">2016-2017 </w:t>
      </w:r>
      <w:r w:rsidR="002773E9">
        <w:rPr>
          <w:b/>
          <w:bCs/>
          <w:szCs w:val="24"/>
        </w:rPr>
        <w:t xml:space="preserve">Budget </w:t>
      </w:r>
      <w:r w:rsidR="00E65D82">
        <w:rPr>
          <w:b/>
          <w:bCs/>
          <w:szCs w:val="24"/>
        </w:rPr>
        <w:t xml:space="preserve">overview </w:t>
      </w:r>
      <w:r w:rsidR="009A491C">
        <w:rPr>
          <w:b/>
          <w:bCs/>
          <w:szCs w:val="24"/>
        </w:rPr>
        <w:t xml:space="preserve">(Resolution </w:t>
      </w:r>
      <w:r w:rsidR="0074002E">
        <w:rPr>
          <w:b/>
          <w:bCs/>
          <w:szCs w:val="24"/>
        </w:rPr>
        <w:t>1375</w:t>
      </w:r>
      <w:r w:rsidR="00F03A1F" w:rsidRPr="00AE1976">
        <w:rPr>
          <w:b/>
          <w:bCs/>
          <w:szCs w:val="24"/>
        </w:rPr>
        <w:t>)</w:t>
      </w:r>
    </w:p>
    <w:p w:rsidR="00AD00E6" w:rsidRDefault="00AD00E6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both"/>
        <w:textAlignment w:val="auto"/>
        <w:rPr>
          <w:rFonts w:cs="Calibri"/>
          <w:szCs w:val="24"/>
          <w:lang w:val="en-US"/>
        </w:rPr>
      </w:pPr>
      <w:proofErr w:type="gramStart"/>
      <w:r>
        <w:rPr>
          <w:szCs w:val="24"/>
        </w:rPr>
        <w:t>2.1</w:t>
      </w:r>
      <w:r>
        <w:rPr>
          <w:szCs w:val="24"/>
        </w:rPr>
        <w:tab/>
      </w:r>
      <w:r w:rsidR="003A0B76" w:rsidRPr="00AD00E6">
        <w:rPr>
          <w:szCs w:val="24"/>
        </w:rPr>
        <w:t>The</w:t>
      </w:r>
      <w:r w:rsidRPr="00AD00E6">
        <w:rPr>
          <w:rFonts w:cs="Calibri"/>
          <w:szCs w:val="24"/>
        </w:rPr>
        <w:t xml:space="preserve"> </w:t>
      </w:r>
      <w:r w:rsidR="0074002E">
        <w:rPr>
          <w:rFonts w:cs="Calibri"/>
          <w:szCs w:val="24"/>
        </w:rPr>
        <w:t>2016</w:t>
      </w:r>
      <w:r w:rsidR="00C93E11">
        <w:rPr>
          <w:rFonts w:cs="Calibri"/>
          <w:szCs w:val="24"/>
        </w:rPr>
        <w:t>-201</w:t>
      </w:r>
      <w:r w:rsidR="0074002E">
        <w:rPr>
          <w:rFonts w:cs="Calibri"/>
          <w:szCs w:val="24"/>
        </w:rPr>
        <w:t>7</w:t>
      </w:r>
      <w:r w:rsidRPr="00AD00E6">
        <w:rPr>
          <w:rFonts w:cs="Calibri"/>
          <w:szCs w:val="24"/>
        </w:rPr>
        <w:t xml:space="preserve"> Budget of the Union was adopted by Council Resolution </w:t>
      </w:r>
      <w:r w:rsidR="00C93E11" w:rsidRPr="00AD00E6">
        <w:rPr>
          <w:rFonts w:cs="Calibri"/>
          <w:szCs w:val="24"/>
        </w:rPr>
        <w:t>13</w:t>
      </w:r>
      <w:r w:rsidR="0074002E">
        <w:rPr>
          <w:rFonts w:cs="Calibri"/>
          <w:szCs w:val="24"/>
        </w:rPr>
        <w:t>75</w:t>
      </w:r>
      <w:r w:rsidR="00C93E11" w:rsidRPr="00AD00E6">
        <w:rPr>
          <w:rFonts w:cs="Calibri"/>
          <w:szCs w:val="24"/>
        </w:rPr>
        <w:t xml:space="preserve"> </w:t>
      </w:r>
      <w:r w:rsidRPr="00AD00E6">
        <w:rPr>
          <w:rFonts w:cs="Calibri"/>
          <w:szCs w:val="24"/>
        </w:rPr>
        <w:t xml:space="preserve">at its </w:t>
      </w:r>
      <w:r w:rsidR="00C93E11" w:rsidRPr="00AD00E6">
        <w:rPr>
          <w:rFonts w:cs="Calibri"/>
          <w:szCs w:val="24"/>
        </w:rPr>
        <w:t>201</w:t>
      </w:r>
      <w:r w:rsidR="0074002E">
        <w:rPr>
          <w:rFonts w:cs="Calibri"/>
          <w:szCs w:val="24"/>
        </w:rPr>
        <w:t>5</w:t>
      </w:r>
      <w:r w:rsidR="00C93E11" w:rsidRPr="00AD00E6">
        <w:rPr>
          <w:rFonts w:cs="Calibri"/>
          <w:szCs w:val="24"/>
        </w:rPr>
        <w:t> </w:t>
      </w:r>
      <w:r w:rsidR="0074002E">
        <w:rPr>
          <w:rFonts w:cs="Calibri"/>
          <w:szCs w:val="24"/>
        </w:rPr>
        <w:t>session, amounting to CHF 160</w:t>
      </w:r>
      <w:r w:rsidRPr="00AD00E6">
        <w:rPr>
          <w:rFonts w:cs="Calibri"/>
          <w:szCs w:val="24"/>
        </w:rPr>
        <w:t>,</w:t>
      </w:r>
      <w:r w:rsidR="0074002E">
        <w:rPr>
          <w:rFonts w:cs="Calibri"/>
          <w:szCs w:val="24"/>
        </w:rPr>
        <w:t>760</w:t>
      </w:r>
      <w:r w:rsidRPr="00AD00E6">
        <w:rPr>
          <w:rFonts w:cs="Calibri"/>
          <w:szCs w:val="24"/>
        </w:rPr>
        <w:t xml:space="preserve">,000 for the year </w:t>
      </w:r>
      <w:r w:rsidR="00C93E11" w:rsidRPr="00AD00E6">
        <w:rPr>
          <w:rFonts w:cs="Calibri"/>
          <w:szCs w:val="24"/>
        </w:rPr>
        <w:t>201</w:t>
      </w:r>
      <w:r w:rsidR="0074002E">
        <w:rPr>
          <w:rFonts w:cs="Calibri"/>
          <w:szCs w:val="24"/>
        </w:rPr>
        <w:t>6</w:t>
      </w:r>
      <w:r w:rsidRPr="00AD00E6">
        <w:rPr>
          <w:rFonts w:cs="Calibri"/>
          <w:szCs w:val="24"/>
        </w:rPr>
        <w:t>, CHF </w:t>
      </w:r>
      <w:r w:rsidR="0074002E">
        <w:rPr>
          <w:rFonts w:cs="Calibri"/>
          <w:szCs w:val="24"/>
        </w:rPr>
        <w:t>160,543</w:t>
      </w:r>
      <w:r w:rsidRPr="00AD00E6">
        <w:rPr>
          <w:rFonts w:cs="Calibri"/>
          <w:szCs w:val="24"/>
        </w:rPr>
        <w:t xml:space="preserve">,000 for </w:t>
      </w:r>
      <w:r w:rsidR="00C93E11" w:rsidRPr="00AD00E6">
        <w:rPr>
          <w:rFonts w:cs="Calibri"/>
          <w:szCs w:val="24"/>
        </w:rPr>
        <w:t>201</w:t>
      </w:r>
      <w:r w:rsidR="0074002E">
        <w:rPr>
          <w:rFonts w:cs="Calibri"/>
          <w:szCs w:val="24"/>
        </w:rPr>
        <w:t>7</w:t>
      </w:r>
      <w:r w:rsidR="00DD1C58">
        <w:rPr>
          <w:rFonts w:cs="Calibri"/>
          <w:szCs w:val="24"/>
        </w:rPr>
        <w:t>,</w:t>
      </w:r>
      <w:r w:rsidR="00C93E11" w:rsidRPr="00AD00E6">
        <w:rPr>
          <w:rFonts w:cs="Calibri"/>
          <w:szCs w:val="24"/>
        </w:rPr>
        <w:t xml:space="preserve"> </w:t>
      </w:r>
      <w:r w:rsidRPr="00AD00E6">
        <w:rPr>
          <w:rFonts w:cs="Calibri"/>
          <w:szCs w:val="24"/>
        </w:rPr>
        <w:t>and CHF </w:t>
      </w:r>
      <w:r w:rsidR="0074002E">
        <w:rPr>
          <w:rFonts w:cs="Calibri"/>
          <w:szCs w:val="24"/>
        </w:rPr>
        <w:t>321,303</w:t>
      </w:r>
      <w:r w:rsidRPr="00AD00E6">
        <w:rPr>
          <w:rFonts w:cs="Calibri"/>
          <w:szCs w:val="24"/>
        </w:rPr>
        <w:t>,000 for the biennium</w:t>
      </w:r>
      <w:proofErr w:type="gramEnd"/>
      <w:r w:rsidRPr="00AD00E6">
        <w:rPr>
          <w:rFonts w:cs="Calibri"/>
          <w:szCs w:val="24"/>
        </w:rPr>
        <w:t xml:space="preserve">. It </w:t>
      </w:r>
      <w:proofErr w:type="gramStart"/>
      <w:r w:rsidRPr="00AD00E6">
        <w:rPr>
          <w:rFonts w:cs="Calibri"/>
          <w:szCs w:val="24"/>
        </w:rPr>
        <w:t>is based</w:t>
      </w:r>
      <w:proofErr w:type="gramEnd"/>
      <w:r w:rsidRPr="00AD00E6">
        <w:rPr>
          <w:rFonts w:cs="Calibri"/>
          <w:szCs w:val="24"/>
        </w:rPr>
        <w:t xml:space="preserve"> on an annual contributory unit of </w:t>
      </w:r>
      <w:r w:rsidR="001044BF">
        <w:rPr>
          <w:rFonts w:cs="Calibri"/>
          <w:szCs w:val="24"/>
        </w:rPr>
        <w:t>M</w:t>
      </w:r>
      <w:r w:rsidRPr="00AD00E6">
        <w:rPr>
          <w:rFonts w:cs="Calibri"/>
          <w:szCs w:val="24"/>
        </w:rPr>
        <w:t xml:space="preserve">ember States of CHF 318,000, which corresponds to zero nominal growth compared to the </w:t>
      </w:r>
      <w:r w:rsidR="00C93E11" w:rsidRPr="00AD00E6">
        <w:rPr>
          <w:rFonts w:cs="Calibri"/>
          <w:szCs w:val="24"/>
        </w:rPr>
        <w:t>201</w:t>
      </w:r>
      <w:r w:rsidR="0074002E">
        <w:rPr>
          <w:rFonts w:cs="Calibri"/>
          <w:szCs w:val="24"/>
        </w:rPr>
        <w:t>4</w:t>
      </w:r>
      <w:r w:rsidRPr="00AD00E6">
        <w:rPr>
          <w:rFonts w:cs="Calibri"/>
          <w:szCs w:val="24"/>
        </w:rPr>
        <w:t>-</w:t>
      </w:r>
      <w:r w:rsidR="00C93E11" w:rsidRPr="00AD00E6">
        <w:rPr>
          <w:rFonts w:cs="Calibri"/>
          <w:szCs w:val="24"/>
        </w:rPr>
        <w:t>201</w:t>
      </w:r>
      <w:r w:rsidR="0074002E">
        <w:rPr>
          <w:rFonts w:cs="Calibri"/>
          <w:szCs w:val="24"/>
        </w:rPr>
        <w:t>5</w:t>
      </w:r>
      <w:r w:rsidR="00C93E11" w:rsidRPr="00AD00E6">
        <w:rPr>
          <w:rFonts w:cs="Calibri"/>
          <w:szCs w:val="24"/>
        </w:rPr>
        <w:t xml:space="preserve"> </w:t>
      </w:r>
      <w:r w:rsidRPr="00AD00E6">
        <w:rPr>
          <w:rFonts w:cs="Calibri"/>
          <w:szCs w:val="24"/>
        </w:rPr>
        <w:t xml:space="preserve">biennium. </w:t>
      </w:r>
      <w:r w:rsidRPr="00AD00E6">
        <w:rPr>
          <w:rFonts w:cs="Calibri"/>
          <w:szCs w:val="24"/>
          <w:lang w:val="en-US"/>
        </w:rPr>
        <w:t xml:space="preserve">The Budget of the Union </w:t>
      </w:r>
      <w:proofErr w:type="gramStart"/>
      <w:r w:rsidRPr="00AD00E6">
        <w:rPr>
          <w:rFonts w:cs="Calibri"/>
          <w:szCs w:val="24"/>
          <w:lang w:val="en-US"/>
        </w:rPr>
        <w:t>is being implemented</w:t>
      </w:r>
      <w:proofErr w:type="gramEnd"/>
      <w:r w:rsidRPr="00AD00E6">
        <w:rPr>
          <w:rFonts w:cs="Calibri"/>
          <w:szCs w:val="24"/>
          <w:lang w:val="en-US"/>
        </w:rPr>
        <w:t xml:space="preserve"> in conformity with Article 10 of the Financial Regulations.</w:t>
      </w:r>
    </w:p>
    <w:p w:rsidR="00376BE0" w:rsidRDefault="001406E3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both"/>
        <w:textAlignment w:val="auto"/>
        <w:rPr>
          <w:rFonts w:cs="Calibri"/>
          <w:szCs w:val="24"/>
        </w:rPr>
      </w:pPr>
      <w:r>
        <w:rPr>
          <w:szCs w:val="24"/>
        </w:rPr>
        <w:t>2.</w:t>
      </w:r>
      <w:r w:rsidR="00496CDD">
        <w:rPr>
          <w:szCs w:val="24"/>
        </w:rPr>
        <w:t>2</w:t>
      </w:r>
      <w:r w:rsidR="00AD00E6">
        <w:rPr>
          <w:szCs w:val="24"/>
        </w:rPr>
        <w:tab/>
      </w:r>
      <w:r w:rsidR="00620643" w:rsidRPr="00BE0BD3">
        <w:rPr>
          <w:szCs w:val="24"/>
        </w:rPr>
        <w:t xml:space="preserve">Table 1 </w:t>
      </w:r>
      <w:r w:rsidR="00BE0BD3" w:rsidRPr="00BE0BD3">
        <w:rPr>
          <w:rFonts w:cs="Calibri"/>
          <w:szCs w:val="24"/>
        </w:rPr>
        <w:t xml:space="preserve">below </w:t>
      </w:r>
      <w:r w:rsidR="00376BE0">
        <w:rPr>
          <w:rFonts w:cs="Calibri"/>
          <w:szCs w:val="24"/>
        </w:rPr>
        <w:t>provides the status of the 201</w:t>
      </w:r>
      <w:r w:rsidR="005D6075">
        <w:rPr>
          <w:rFonts w:cs="Calibri"/>
          <w:szCs w:val="24"/>
        </w:rPr>
        <w:t>6</w:t>
      </w:r>
      <w:r w:rsidR="00376BE0">
        <w:rPr>
          <w:rFonts w:cs="Calibri"/>
          <w:szCs w:val="24"/>
        </w:rPr>
        <w:t>-201</w:t>
      </w:r>
      <w:r w:rsidR="005D6075">
        <w:rPr>
          <w:rFonts w:cs="Calibri"/>
          <w:szCs w:val="24"/>
        </w:rPr>
        <w:t>7</w:t>
      </w:r>
      <w:r w:rsidR="00376BE0">
        <w:rPr>
          <w:rFonts w:cs="Calibri"/>
          <w:szCs w:val="24"/>
        </w:rPr>
        <w:t xml:space="preserve"> biennium. </w:t>
      </w:r>
      <w:r w:rsidR="00B56FE9">
        <w:rPr>
          <w:rFonts w:cs="Calibri"/>
          <w:szCs w:val="24"/>
        </w:rPr>
        <w:t xml:space="preserve"> </w:t>
      </w:r>
      <w:r w:rsidR="00376BE0">
        <w:rPr>
          <w:rFonts w:cs="Calibri"/>
          <w:szCs w:val="24"/>
        </w:rPr>
        <w:t xml:space="preserve">It </w:t>
      </w:r>
      <w:r w:rsidR="00BE0BD3" w:rsidRPr="00BE0BD3">
        <w:rPr>
          <w:rFonts w:cs="Calibri"/>
          <w:szCs w:val="24"/>
        </w:rPr>
        <w:t xml:space="preserve">shows the actual </w:t>
      </w:r>
      <w:r w:rsidR="005D6075">
        <w:rPr>
          <w:rFonts w:cs="Calibri"/>
          <w:szCs w:val="24"/>
        </w:rPr>
        <w:t xml:space="preserve">results for </w:t>
      </w:r>
      <w:r w:rsidR="005D6075" w:rsidRPr="009B500B">
        <w:rPr>
          <w:rFonts w:cs="Calibri"/>
          <w:szCs w:val="24"/>
        </w:rPr>
        <w:t>2016</w:t>
      </w:r>
      <w:r w:rsidR="00376BE0" w:rsidRPr="009B500B">
        <w:rPr>
          <w:rFonts w:cs="Calibri"/>
          <w:szCs w:val="24"/>
        </w:rPr>
        <w:t xml:space="preserve"> at </w:t>
      </w:r>
      <w:r w:rsidR="005D6075" w:rsidRPr="009B500B">
        <w:rPr>
          <w:rFonts w:cs="Calibri"/>
          <w:szCs w:val="24"/>
        </w:rPr>
        <w:t>7 February 2017</w:t>
      </w:r>
      <w:r w:rsidR="00376BE0">
        <w:rPr>
          <w:rFonts w:cs="Calibri"/>
          <w:szCs w:val="24"/>
        </w:rPr>
        <w:t xml:space="preserve">, </w:t>
      </w:r>
      <w:r w:rsidR="00BC7B5D">
        <w:rPr>
          <w:rFonts w:cs="Calibri"/>
          <w:szCs w:val="24"/>
        </w:rPr>
        <w:t xml:space="preserve">subject to </w:t>
      </w:r>
      <w:r w:rsidR="000223F2">
        <w:rPr>
          <w:rFonts w:cs="Calibri"/>
          <w:szCs w:val="24"/>
        </w:rPr>
        <w:t>minor</w:t>
      </w:r>
      <w:r w:rsidR="00BC7B5D">
        <w:rPr>
          <w:rFonts w:cs="Calibri"/>
          <w:szCs w:val="24"/>
        </w:rPr>
        <w:t xml:space="preserve"> changes pending the closure of the Accounts</w:t>
      </w:r>
      <w:r w:rsidR="00376BE0">
        <w:rPr>
          <w:rFonts w:cs="Calibri"/>
          <w:szCs w:val="24"/>
        </w:rPr>
        <w:t xml:space="preserve">, </w:t>
      </w:r>
      <w:r w:rsidR="00980992">
        <w:rPr>
          <w:rFonts w:cs="Calibri"/>
          <w:szCs w:val="24"/>
        </w:rPr>
        <w:t xml:space="preserve">and </w:t>
      </w:r>
      <w:r w:rsidR="003F1103">
        <w:rPr>
          <w:rFonts w:cs="Calibri"/>
          <w:szCs w:val="24"/>
        </w:rPr>
        <w:t>the actual</w:t>
      </w:r>
      <w:r w:rsidR="005D6075">
        <w:rPr>
          <w:rFonts w:cs="Calibri"/>
          <w:szCs w:val="24"/>
        </w:rPr>
        <w:t xml:space="preserve"> for 2017</w:t>
      </w:r>
      <w:r w:rsidR="00376BE0">
        <w:rPr>
          <w:rFonts w:cs="Calibri"/>
          <w:szCs w:val="24"/>
        </w:rPr>
        <w:t xml:space="preserve"> </w:t>
      </w:r>
      <w:r w:rsidR="00BC7B5D" w:rsidRPr="009B500B">
        <w:rPr>
          <w:rFonts w:cs="Calibri"/>
          <w:szCs w:val="24"/>
        </w:rPr>
        <w:t xml:space="preserve">at </w:t>
      </w:r>
      <w:r w:rsidR="005D6075" w:rsidRPr="009B500B">
        <w:rPr>
          <w:rFonts w:cs="Calibri"/>
          <w:szCs w:val="24"/>
        </w:rPr>
        <w:t>7 February 2017</w:t>
      </w:r>
      <w:r w:rsidR="00980992">
        <w:rPr>
          <w:rFonts w:cs="Calibri"/>
          <w:szCs w:val="24"/>
        </w:rPr>
        <w:t xml:space="preserve"> with the</w:t>
      </w:r>
      <w:r w:rsidR="005D6075">
        <w:rPr>
          <w:rFonts w:cs="Calibri"/>
          <w:szCs w:val="24"/>
        </w:rPr>
        <w:t xml:space="preserve"> year-end forecast for 2017</w:t>
      </w:r>
      <w:r w:rsidR="00376BE0">
        <w:rPr>
          <w:rFonts w:cs="Calibri"/>
          <w:szCs w:val="24"/>
        </w:rPr>
        <w:t>.</w:t>
      </w:r>
    </w:p>
    <w:p w:rsidR="00E756E0" w:rsidRDefault="00C31A1F" w:rsidP="00CD074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both"/>
        <w:textAlignment w:val="auto"/>
        <w:rPr>
          <w:rFonts w:cs="Calibri"/>
          <w:szCs w:val="24"/>
        </w:rPr>
      </w:pPr>
      <w:bookmarkStart w:id="10" w:name="OLE_LINK1"/>
      <w:bookmarkStart w:id="11" w:name="OLE_LINK2"/>
      <w:r>
        <w:rPr>
          <w:rFonts w:cs="Calibri"/>
          <w:szCs w:val="24"/>
        </w:rPr>
        <w:t>2.</w:t>
      </w:r>
      <w:r w:rsidR="00496CDD">
        <w:rPr>
          <w:rFonts w:cs="Calibri"/>
          <w:szCs w:val="24"/>
        </w:rPr>
        <w:t>3</w:t>
      </w:r>
      <w:r>
        <w:rPr>
          <w:rFonts w:cs="Calibri"/>
          <w:szCs w:val="24"/>
        </w:rPr>
        <w:tab/>
      </w:r>
      <w:r w:rsidR="00936864">
        <w:rPr>
          <w:rFonts w:cs="Calibri"/>
          <w:szCs w:val="24"/>
        </w:rPr>
        <w:t xml:space="preserve">Expense </w:t>
      </w:r>
      <w:r w:rsidR="00E756E0">
        <w:rPr>
          <w:rFonts w:cs="Calibri"/>
          <w:szCs w:val="24"/>
        </w:rPr>
        <w:t>forecast for the year 201</w:t>
      </w:r>
      <w:r w:rsidR="005D6075">
        <w:rPr>
          <w:rFonts w:cs="Calibri"/>
          <w:szCs w:val="24"/>
        </w:rPr>
        <w:t>7</w:t>
      </w:r>
      <w:r w:rsidR="00E756E0">
        <w:rPr>
          <w:rFonts w:cs="Calibri"/>
          <w:szCs w:val="24"/>
        </w:rPr>
        <w:t xml:space="preserve"> </w:t>
      </w:r>
      <w:r w:rsidR="00EF4D53">
        <w:rPr>
          <w:rFonts w:cs="Calibri"/>
          <w:szCs w:val="24"/>
        </w:rPr>
        <w:t xml:space="preserve">indicates </w:t>
      </w:r>
      <w:r w:rsidR="00936864">
        <w:rPr>
          <w:rFonts w:cs="Calibri"/>
          <w:szCs w:val="24"/>
        </w:rPr>
        <w:t xml:space="preserve">that there will be savings </w:t>
      </w:r>
      <w:proofErr w:type="gramStart"/>
      <w:r w:rsidR="00710919">
        <w:rPr>
          <w:rFonts w:cs="Calibri"/>
          <w:szCs w:val="24"/>
        </w:rPr>
        <w:t>as a result</w:t>
      </w:r>
      <w:proofErr w:type="gramEnd"/>
      <w:r w:rsidR="00710919">
        <w:rPr>
          <w:rFonts w:cs="Calibri"/>
          <w:szCs w:val="24"/>
        </w:rPr>
        <w:t xml:space="preserve"> of </w:t>
      </w:r>
      <w:r w:rsidR="00936864">
        <w:rPr>
          <w:rFonts w:cs="Calibri"/>
          <w:szCs w:val="24"/>
        </w:rPr>
        <w:t>the ear</w:t>
      </w:r>
      <w:r w:rsidR="00710919">
        <w:rPr>
          <w:rFonts w:cs="Calibri"/>
          <w:szCs w:val="24"/>
        </w:rPr>
        <w:t>ly separation programme and</w:t>
      </w:r>
      <w:r w:rsidR="00936864">
        <w:rPr>
          <w:rFonts w:cs="Calibri"/>
          <w:szCs w:val="24"/>
        </w:rPr>
        <w:t xml:space="preserve"> the application of efficiency measures</w:t>
      </w:r>
      <w:r w:rsidR="00564071">
        <w:rPr>
          <w:rFonts w:cs="Calibri"/>
          <w:szCs w:val="24"/>
        </w:rPr>
        <w:t xml:space="preserve"> (cf. Document </w:t>
      </w:r>
      <w:hyperlink r:id="rId15" w:history="1">
        <w:r w:rsidR="00564071" w:rsidRPr="00564071">
          <w:rPr>
            <w:rStyle w:val="Hyperlink"/>
            <w:rFonts w:cs="Calibri"/>
            <w:szCs w:val="24"/>
          </w:rPr>
          <w:t>C17/45</w:t>
        </w:r>
      </w:hyperlink>
      <w:r w:rsidR="00564071">
        <w:rPr>
          <w:rFonts w:cs="Calibri"/>
          <w:szCs w:val="24"/>
        </w:rPr>
        <w:t>)</w:t>
      </w:r>
      <w:r w:rsidR="00936864">
        <w:rPr>
          <w:rFonts w:cs="Calibri"/>
          <w:szCs w:val="24"/>
        </w:rPr>
        <w:t xml:space="preserve">, which will enable the Union to </w:t>
      </w:r>
      <w:r w:rsidR="00B56FE9">
        <w:rPr>
          <w:rFonts w:cs="Calibri"/>
          <w:szCs w:val="24"/>
        </w:rPr>
        <w:t xml:space="preserve">transfer </w:t>
      </w:r>
      <w:r w:rsidR="00936864">
        <w:rPr>
          <w:rFonts w:cs="Calibri"/>
          <w:szCs w:val="24"/>
        </w:rPr>
        <w:t>to the Reserve Account an amount of CHF 1.3 million as indicated in the draft budget 2018-2019</w:t>
      </w:r>
      <w:r w:rsidR="00E756E0">
        <w:rPr>
          <w:rFonts w:cs="Calibri"/>
          <w:szCs w:val="24"/>
        </w:rPr>
        <w:t xml:space="preserve">. </w:t>
      </w:r>
      <w:r w:rsidR="00BC7B5D">
        <w:rPr>
          <w:rFonts w:cs="Calibri"/>
          <w:szCs w:val="24"/>
        </w:rPr>
        <w:t>Therefore, t</w:t>
      </w:r>
      <w:r w:rsidR="00E756E0">
        <w:rPr>
          <w:rFonts w:cs="Calibri"/>
          <w:szCs w:val="24"/>
        </w:rPr>
        <w:t xml:space="preserve">he </w:t>
      </w:r>
      <w:r w:rsidR="00BC7B5D">
        <w:rPr>
          <w:rFonts w:cs="Calibri"/>
          <w:szCs w:val="24"/>
        </w:rPr>
        <w:t xml:space="preserve">expected </w:t>
      </w:r>
      <w:r w:rsidR="00710919">
        <w:rPr>
          <w:rFonts w:cs="Calibri"/>
          <w:szCs w:val="24"/>
        </w:rPr>
        <w:t>overall result</w:t>
      </w:r>
      <w:r w:rsidR="005D6075">
        <w:rPr>
          <w:rFonts w:cs="Calibri"/>
          <w:szCs w:val="24"/>
        </w:rPr>
        <w:t xml:space="preserve"> for the 2016-2017</w:t>
      </w:r>
      <w:r w:rsidR="00E756E0">
        <w:rPr>
          <w:rFonts w:cs="Calibri"/>
          <w:szCs w:val="24"/>
        </w:rPr>
        <w:t xml:space="preserve"> biennium </w:t>
      </w:r>
      <w:r w:rsidR="00BC7B5D">
        <w:rPr>
          <w:rFonts w:cs="Calibri"/>
          <w:szCs w:val="24"/>
        </w:rPr>
        <w:t xml:space="preserve">is </w:t>
      </w:r>
      <w:r w:rsidR="005D6075">
        <w:rPr>
          <w:rFonts w:cs="Calibri"/>
          <w:szCs w:val="24"/>
        </w:rPr>
        <w:t xml:space="preserve">likely to </w:t>
      </w:r>
      <w:r w:rsidR="00710919">
        <w:rPr>
          <w:rFonts w:cs="Calibri"/>
          <w:szCs w:val="24"/>
        </w:rPr>
        <w:t xml:space="preserve">be </w:t>
      </w:r>
      <w:r w:rsidR="0029145A">
        <w:rPr>
          <w:rFonts w:cs="Calibri"/>
          <w:szCs w:val="24"/>
        </w:rPr>
        <w:t>positive</w:t>
      </w:r>
      <w:r w:rsidR="00EC003C">
        <w:rPr>
          <w:rFonts w:cs="Calibri"/>
          <w:szCs w:val="24"/>
        </w:rPr>
        <w:t>.</w:t>
      </w:r>
    </w:p>
    <w:p w:rsidR="00090B8D" w:rsidRDefault="003F1103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</w:rPr>
      </w:pPr>
      <w:r>
        <w:rPr>
          <w:rFonts w:cs="Calibri"/>
          <w:szCs w:val="24"/>
        </w:rPr>
        <w:t>2.4</w:t>
      </w:r>
      <w:r>
        <w:rPr>
          <w:rFonts w:cs="Calibri"/>
          <w:szCs w:val="24"/>
        </w:rPr>
        <w:tab/>
      </w:r>
      <w:r>
        <w:rPr>
          <w:szCs w:val="24"/>
        </w:rPr>
        <w:t>During the budget 2016</w:t>
      </w:r>
      <w:r w:rsidR="00710919">
        <w:rPr>
          <w:szCs w:val="24"/>
        </w:rPr>
        <w:t>-2017 preparation process, all six</w:t>
      </w:r>
      <w:r>
        <w:rPr>
          <w:szCs w:val="24"/>
        </w:rPr>
        <w:t xml:space="preserve"> Regional Preparatory Meeting</w:t>
      </w:r>
      <w:r w:rsidR="00710919">
        <w:rPr>
          <w:szCs w:val="24"/>
        </w:rPr>
        <w:t>s (</w:t>
      </w:r>
      <w:r>
        <w:rPr>
          <w:szCs w:val="24"/>
        </w:rPr>
        <w:t>RPMs</w:t>
      </w:r>
      <w:r w:rsidR="00710919">
        <w:rPr>
          <w:szCs w:val="24"/>
        </w:rPr>
        <w:t>)</w:t>
      </w:r>
      <w:r>
        <w:rPr>
          <w:szCs w:val="24"/>
        </w:rPr>
        <w:t xml:space="preserve"> under ITU-D </w:t>
      </w:r>
      <w:proofErr w:type="gramStart"/>
      <w:r>
        <w:rPr>
          <w:szCs w:val="24"/>
        </w:rPr>
        <w:t>were planned</w:t>
      </w:r>
      <w:proofErr w:type="gramEnd"/>
      <w:r>
        <w:rPr>
          <w:szCs w:val="24"/>
        </w:rPr>
        <w:t xml:space="preserve"> in 2016. </w:t>
      </w:r>
      <w:r w:rsidR="00710919">
        <w:rPr>
          <w:szCs w:val="24"/>
        </w:rPr>
        <w:t>However</w:t>
      </w:r>
      <w:r>
        <w:rPr>
          <w:szCs w:val="24"/>
        </w:rPr>
        <w:t>, during the discussions with potential host countries, decision</w:t>
      </w:r>
      <w:r w:rsidR="00710919">
        <w:rPr>
          <w:szCs w:val="24"/>
        </w:rPr>
        <w:t>s</w:t>
      </w:r>
      <w:r>
        <w:rPr>
          <w:szCs w:val="24"/>
        </w:rPr>
        <w:t xml:space="preserve"> were taken to postpone </w:t>
      </w:r>
      <w:r w:rsidR="00710919">
        <w:rPr>
          <w:szCs w:val="24"/>
        </w:rPr>
        <w:t>four</w:t>
      </w:r>
      <w:r>
        <w:rPr>
          <w:szCs w:val="24"/>
        </w:rPr>
        <w:t xml:space="preserve"> RPM</w:t>
      </w:r>
      <w:r w:rsidR="00710919">
        <w:rPr>
          <w:szCs w:val="24"/>
        </w:rPr>
        <w:t>s</w:t>
      </w:r>
      <w:r>
        <w:rPr>
          <w:szCs w:val="24"/>
        </w:rPr>
        <w:t xml:space="preserve"> to 2017. It is therefore necessary to defer these activities from 2016 to 2017 in accordance with Article 13</w:t>
      </w:r>
      <w:r w:rsidR="00710919">
        <w:rPr>
          <w:szCs w:val="24"/>
        </w:rPr>
        <w:t>,</w:t>
      </w:r>
      <w:r>
        <w:rPr>
          <w:szCs w:val="24"/>
        </w:rPr>
        <w:t xml:space="preserve"> provisions 4.a) and 4.b) of the Financial Regulations and Financial Rules.</w:t>
      </w:r>
      <w:r w:rsidR="001B5389">
        <w:rPr>
          <w:szCs w:val="24"/>
        </w:rPr>
        <w:t xml:space="preserve"> </w:t>
      </w:r>
      <w:r w:rsidR="007C2FC1">
        <w:rPr>
          <w:szCs w:val="24"/>
        </w:rPr>
        <w:t>Accordingly</w:t>
      </w:r>
      <w:r w:rsidR="00710919">
        <w:rPr>
          <w:szCs w:val="24"/>
        </w:rPr>
        <w:t>, the</w:t>
      </w:r>
      <w:r w:rsidR="007C2FC1">
        <w:rPr>
          <w:szCs w:val="24"/>
        </w:rPr>
        <w:t xml:space="preserve"> following adjustment</w:t>
      </w:r>
      <w:r w:rsidR="00710919">
        <w:rPr>
          <w:szCs w:val="24"/>
        </w:rPr>
        <w:t>s</w:t>
      </w:r>
      <w:r w:rsidR="007C2FC1">
        <w:rPr>
          <w:szCs w:val="24"/>
        </w:rPr>
        <w:t xml:space="preserve"> </w:t>
      </w:r>
      <w:r w:rsidR="00334F1C">
        <w:rPr>
          <w:szCs w:val="24"/>
        </w:rPr>
        <w:t>are planned</w:t>
      </w:r>
      <w:r w:rsidR="00B56FE9">
        <w:rPr>
          <w:szCs w:val="24"/>
        </w:rPr>
        <w:t>:</w:t>
      </w:r>
      <w:r w:rsidR="007C2FC1">
        <w:rPr>
          <w:szCs w:val="24"/>
        </w:rPr>
        <w:t xml:space="preserve"> </w:t>
      </w:r>
    </w:p>
    <w:p w:rsidR="003F1103" w:rsidRDefault="007C2FC1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709"/>
        <w:jc w:val="both"/>
        <w:textAlignment w:val="auto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  <w:t xml:space="preserve">For the year </w:t>
      </w:r>
      <w:r w:rsidR="001B5389">
        <w:rPr>
          <w:szCs w:val="24"/>
        </w:rPr>
        <w:t xml:space="preserve">2016, </w:t>
      </w:r>
      <w:r>
        <w:rPr>
          <w:szCs w:val="24"/>
        </w:rPr>
        <w:t xml:space="preserve">deferred activities </w:t>
      </w:r>
      <w:r w:rsidR="002F591C">
        <w:rPr>
          <w:szCs w:val="24"/>
        </w:rPr>
        <w:t>amounting to</w:t>
      </w:r>
      <w:r>
        <w:rPr>
          <w:szCs w:val="24"/>
        </w:rPr>
        <w:t xml:space="preserve"> </w:t>
      </w:r>
      <w:r>
        <w:rPr>
          <w:rFonts w:cs="Calibri"/>
          <w:szCs w:val="24"/>
        </w:rPr>
        <w:t>CHF 0.317</w:t>
      </w:r>
      <w:r w:rsidR="00E064BF">
        <w:rPr>
          <w:rFonts w:cs="Calibri"/>
          <w:szCs w:val="24"/>
        </w:rPr>
        <w:t xml:space="preserve"> million</w:t>
      </w:r>
      <w:r>
        <w:rPr>
          <w:rFonts w:cs="Calibri"/>
          <w:szCs w:val="24"/>
        </w:rPr>
        <w:t xml:space="preserve"> </w:t>
      </w:r>
      <w:proofErr w:type="gramStart"/>
      <w:r w:rsidR="001B5389">
        <w:rPr>
          <w:szCs w:val="24"/>
        </w:rPr>
        <w:t xml:space="preserve">has been </w:t>
      </w:r>
      <w:r w:rsidR="00E640C9">
        <w:rPr>
          <w:szCs w:val="24"/>
        </w:rPr>
        <w:t>paid</w:t>
      </w:r>
      <w:proofErr w:type="gramEnd"/>
      <w:r w:rsidR="00E640C9">
        <w:rPr>
          <w:szCs w:val="24"/>
        </w:rPr>
        <w:t xml:space="preserve"> into</w:t>
      </w:r>
      <w:r w:rsidR="000F7F3D">
        <w:rPr>
          <w:szCs w:val="24"/>
        </w:rPr>
        <w:t xml:space="preserve"> the Res</w:t>
      </w:r>
      <w:r w:rsidR="001B5389">
        <w:rPr>
          <w:szCs w:val="24"/>
        </w:rPr>
        <w:t xml:space="preserve">erve Account from </w:t>
      </w:r>
      <w:r w:rsidR="00A66D07">
        <w:rPr>
          <w:szCs w:val="24"/>
        </w:rPr>
        <w:t xml:space="preserve">the </w:t>
      </w:r>
      <w:r w:rsidR="001B5389">
        <w:rPr>
          <w:szCs w:val="24"/>
        </w:rPr>
        <w:t>ITU-D</w:t>
      </w:r>
      <w:r w:rsidR="00D65154">
        <w:rPr>
          <w:szCs w:val="24"/>
        </w:rPr>
        <w:t xml:space="preserve"> </w:t>
      </w:r>
      <w:r w:rsidR="002F591C">
        <w:rPr>
          <w:szCs w:val="24"/>
        </w:rPr>
        <w:t>b</w:t>
      </w:r>
      <w:r w:rsidR="00D65154">
        <w:rPr>
          <w:szCs w:val="24"/>
        </w:rPr>
        <w:t>udget</w:t>
      </w:r>
      <w:r w:rsidR="001B5389">
        <w:rPr>
          <w:szCs w:val="24"/>
        </w:rPr>
        <w:t>.</w:t>
      </w:r>
      <w:r w:rsidR="003F1103">
        <w:rPr>
          <w:szCs w:val="24"/>
        </w:rPr>
        <w:t xml:space="preserve"> Details are reflected in the 2016 Financial Operating Report.</w:t>
      </w:r>
    </w:p>
    <w:p w:rsidR="00EF4D53" w:rsidRPr="00BA2062" w:rsidRDefault="00E064BF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ind w:left="709"/>
        <w:jc w:val="both"/>
        <w:textAlignment w:val="auto"/>
        <w:rPr>
          <w:szCs w:val="24"/>
        </w:rPr>
      </w:pPr>
      <w:r w:rsidRPr="00BA2062">
        <w:rPr>
          <w:szCs w:val="24"/>
        </w:rPr>
        <w:t>b.</w:t>
      </w:r>
      <w:r w:rsidRPr="00BA2062">
        <w:rPr>
          <w:szCs w:val="24"/>
        </w:rPr>
        <w:tab/>
      </w:r>
      <w:r w:rsidR="000F7F3D" w:rsidRPr="00BA2062">
        <w:rPr>
          <w:szCs w:val="24"/>
        </w:rPr>
        <w:t xml:space="preserve">For the year 2017, </w:t>
      </w:r>
      <w:r w:rsidR="00282475" w:rsidRPr="00BA2062">
        <w:rPr>
          <w:szCs w:val="24"/>
        </w:rPr>
        <w:t xml:space="preserve">the Reserve Account </w:t>
      </w:r>
      <w:r w:rsidRPr="00BA2062">
        <w:rPr>
          <w:szCs w:val="24"/>
        </w:rPr>
        <w:t>and</w:t>
      </w:r>
      <w:r w:rsidR="00282475" w:rsidRPr="00BA2062">
        <w:rPr>
          <w:szCs w:val="24"/>
        </w:rPr>
        <w:t xml:space="preserve"> </w:t>
      </w:r>
      <w:r w:rsidR="000F4694">
        <w:rPr>
          <w:szCs w:val="24"/>
        </w:rPr>
        <w:t>B</w:t>
      </w:r>
      <w:r w:rsidR="00A66D07">
        <w:rPr>
          <w:szCs w:val="24"/>
        </w:rPr>
        <w:t>udget of</w:t>
      </w:r>
      <w:r w:rsidRPr="00BA2062">
        <w:rPr>
          <w:szCs w:val="24"/>
        </w:rPr>
        <w:t xml:space="preserve"> ITU-D</w:t>
      </w:r>
      <w:r w:rsidR="002F591C">
        <w:rPr>
          <w:szCs w:val="24"/>
        </w:rPr>
        <w:t xml:space="preserve"> have been increased by the same amount, </w:t>
      </w:r>
      <w:r w:rsidR="002F591C">
        <w:rPr>
          <w:rFonts w:cs="Calibri"/>
          <w:szCs w:val="24"/>
        </w:rPr>
        <w:t>CHF 0.317 million</w:t>
      </w:r>
      <w:r w:rsidRPr="00BA2062">
        <w:rPr>
          <w:szCs w:val="24"/>
        </w:rPr>
        <w:t>.</w:t>
      </w:r>
    </w:p>
    <w:bookmarkEnd w:id="10"/>
    <w:bookmarkEnd w:id="11"/>
    <w:p w:rsidR="00BE0BD3" w:rsidRDefault="00BE0BD3" w:rsidP="00CD0747">
      <w:pPr>
        <w:numPr>
          <w:ilvl w:val="0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before="600"/>
        <w:ind w:left="0" w:hanging="11"/>
        <w:jc w:val="center"/>
        <w:textAlignment w:val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–</w:t>
      </w:r>
      <w:r w:rsidRPr="00266166">
        <w:rPr>
          <w:rFonts w:cs="Calibri"/>
          <w:b/>
          <w:bCs/>
          <w:sz w:val="22"/>
          <w:szCs w:val="22"/>
        </w:rPr>
        <w:t xml:space="preserve"> </w:t>
      </w:r>
      <w:r w:rsidRPr="00B34D96">
        <w:rPr>
          <w:rFonts w:cs="Calibri"/>
          <w:b/>
          <w:bCs/>
          <w:sz w:val="22"/>
          <w:szCs w:val="22"/>
        </w:rPr>
        <w:t>Implementation of Budget Resolution 13</w:t>
      </w:r>
      <w:r w:rsidR="005D6075">
        <w:rPr>
          <w:rFonts w:cs="Calibri"/>
          <w:b/>
          <w:bCs/>
          <w:sz w:val="22"/>
          <w:szCs w:val="22"/>
        </w:rPr>
        <w:t>75</w:t>
      </w:r>
    </w:p>
    <w:p w:rsidR="00F2637C" w:rsidRDefault="00E56C95" w:rsidP="00E56C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ind w:left="7200" w:firstLine="720"/>
        <w:jc w:val="center"/>
        <w:textAlignment w:val="auto"/>
        <w:rPr>
          <w:rFonts w:cs="Calibri"/>
          <w:b/>
          <w:bCs/>
          <w:sz w:val="22"/>
          <w:szCs w:val="22"/>
          <w:lang w:val="en-US"/>
        </w:rPr>
      </w:pPr>
      <w:r w:rsidRPr="006E428B">
        <w:rPr>
          <w:rFonts w:asciiTheme="minorHAnsi" w:hAnsiTheme="minorHAnsi" w:cs="Arial"/>
          <w:i/>
          <w:iCs/>
          <w:sz w:val="14"/>
          <w:szCs w:val="14"/>
          <w:lang w:val="en-US" w:eastAsia="zh-CN"/>
        </w:rPr>
        <w:t>In thousands of Swiss franc</w:t>
      </w:r>
      <w:r>
        <w:rPr>
          <w:rFonts w:asciiTheme="minorHAnsi" w:hAnsiTheme="minorHAnsi" w:cs="Arial"/>
          <w:i/>
          <w:iCs/>
          <w:sz w:val="14"/>
          <w:szCs w:val="14"/>
          <w:lang w:val="en-US" w:eastAsia="zh-CN"/>
        </w:rPr>
        <w:t>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8"/>
        <w:gridCol w:w="389"/>
        <w:gridCol w:w="851"/>
        <w:gridCol w:w="957"/>
        <w:gridCol w:w="726"/>
        <w:gridCol w:w="679"/>
        <w:gridCol w:w="248"/>
        <w:gridCol w:w="770"/>
        <w:gridCol w:w="859"/>
        <w:gridCol w:w="708"/>
        <w:gridCol w:w="726"/>
        <w:gridCol w:w="608"/>
      </w:tblGrid>
      <w:tr w:rsidR="00ED0EF9" w:rsidRPr="00EB4778" w:rsidTr="00CD0747">
        <w:trPr>
          <w:trHeight w:val="23"/>
        </w:trPr>
        <w:tc>
          <w:tcPr>
            <w:tcW w:w="1100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Revenue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Budget**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Actual*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Variance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Budget**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Actual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Forecast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Variance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07.02.2017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</w:t>
            </w:r>
          </w:p>
        </w:tc>
        <w:tc>
          <w:tcPr>
            <w:tcW w:w="11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c = b - 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d = c / a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e</w:t>
            </w:r>
          </w:p>
        </w:tc>
        <w:tc>
          <w:tcPr>
            <w:tcW w:w="11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f</w:t>
            </w:r>
          </w:p>
        </w:tc>
        <w:tc>
          <w:tcPr>
            <w:tcW w:w="11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h = g - 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i = h / e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1. Assessed contributions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124,401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122,891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-1,510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-1.2%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124,401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122,303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123,192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-1,209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-1.0%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2. Cost Recovery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34,625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34,382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-243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-0.7%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34,625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2,710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34,350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-275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-0.8%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3. Interest &amp; Other Revenue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400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251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-149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-37.3%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400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46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-25.0%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4. Reserve Account withdrawal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1,017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-1,017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-100.0%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1,434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1,434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1,434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0.0%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Total Revenue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160,443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157,524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-2,919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-1.8%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160,860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126,493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159,276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-1,584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-1.0%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Expenses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Budget**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Actual*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Variance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Budget**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Actual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Forecast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Variance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07.02.2017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</w:t>
            </w:r>
          </w:p>
        </w:tc>
        <w:tc>
          <w:tcPr>
            <w:tcW w:w="11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c = b - 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d = c / a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e</w:t>
            </w:r>
          </w:p>
        </w:tc>
        <w:tc>
          <w:tcPr>
            <w:tcW w:w="11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f</w:t>
            </w:r>
          </w:p>
        </w:tc>
        <w:tc>
          <w:tcPr>
            <w:tcW w:w="11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h = g - 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i = h / e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1. General Secretariat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90,365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82,789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-7,576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-8.4%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90,645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17,200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88,853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-1,792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-2.0%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2. ITU-R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28,898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26,542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-2,356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-8.2%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28,603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6,105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28,168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-435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-1.5%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3. ITU-T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13,394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13,329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-65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-0.5%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12,438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2,700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12,315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-123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-1.0%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4. ITU-D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27,786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27,219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-567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-2.0%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29,174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5,975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28,641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-534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-1.8%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Total Expense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160,443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149,879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-10,564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-6.6%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160,860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31,980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157,976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-2,884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-1.8%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Surplus/Deficit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7,645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7,645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94,513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1,300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1,300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* At 7 February 2017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</w:tr>
      <w:tr w:rsidR="00ED0EF9" w:rsidRPr="00EB4778" w:rsidTr="00CD0747">
        <w:trPr>
          <w:trHeight w:val="23"/>
        </w:trPr>
        <w:tc>
          <w:tcPr>
            <w:tcW w:w="11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EF9" w:rsidRPr="00EB4778" w:rsidRDefault="00ED0EF9" w:rsidP="00CD07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4"/>
                <w:szCs w:val="14"/>
                <w:lang w:val="en-US" w:eastAsia="zh-CN"/>
              </w:rPr>
            </w:pPr>
            <w:r w:rsidRPr="00EB4778">
              <w:rPr>
                <w:rFonts w:asciiTheme="minorHAnsi" w:hAnsiTheme="minorHAnsi" w:cs="Arial"/>
                <w:color w:val="000000"/>
                <w:sz w:val="14"/>
                <w:szCs w:val="14"/>
                <w:lang w:val="en-US" w:eastAsia="zh-CN"/>
              </w:rPr>
              <w:t>** Presented Budget differs from original approved budget due to transfers made in line with Financial Regulations and Rules Article 11 and Article 13</w:t>
            </w:r>
          </w:p>
        </w:tc>
      </w:tr>
    </w:tbl>
    <w:p w:rsidR="00E65D82" w:rsidRPr="00E65D82" w:rsidRDefault="00E65D82" w:rsidP="00CD0747">
      <w:pPr>
        <w:pStyle w:val="Header"/>
        <w:tabs>
          <w:tab w:val="left" w:pos="709"/>
          <w:tab w:val="left" w:pos="1134"/>
        </w:tabs>
        <w:snapToGrid w:val="0"/>
        <w:spacing w:before="360" w:after="120"/>
        <w:jc w:val="left"/>
        <w:rPr>
          <w:b/>
          <w:bCs/>
          <w:sz w:val="24"/>
          <w:szCs w:val="24"/>
        </w:rPr>
      </w:pPr>
      <w:r w:rsidRPr="00E65D82">
        <w:rPr>
          <w:b/>
          <w:bCs/>
          <w:sz w:val="24"/>
          <w:szCs w:val="24"/>
        </w:rPr>
        <w:t>3</w:t>
      </w:r>
      <w:r w:rsidRPr="00E65D82">
        <w:rPr>
          <w:b/>
          <w:bCs/>
          <w:sz w:val="24"/>
          <w:szCs w:val="24"/>
        </w:rPr>
        <w:tab/>
        <w:t>Revenue</w:t>
      </w:r>
    </w:p>
    <w:p w:rsidR="00C02064" w:rsidRDefault="001044BF" w:rsidP="00CD0747">
      <w:pPr>
        <w:pStyle w:val="Header"/>
        <w:tabs>
          <w:tab w:val="left" w:pos="709"/>
          <w:tab w:val="left" w:pos="1134"/>
        </w:tabs>
        <w:snapToGri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B7ED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8C3B1B">
        <w:rPr>
          <w:sz w:val="24"/>
          <w:szCs w:val="24"/>
        </w:rPr>
        <w:tab/>
      </w:r>
      <w:r w:rsidR="001918DE">
        <w:rPr>
          <w:sz w:val="24"/>
          <w:szCs w:val="24"/>
        </w:rPr>
        <w:t xml:space="preserve">The revenue of the Union consists of </w:t>
      </w:r>
      <w:r w:rsidR="005C69D3">
        <w:rPr>
          <w:sz w:val="24"/>
          <w:szCs w:val="24"/>
        </w:rPr>
        <w:t>a</w:t>
      </w:r>
      <w:r w:rsidR="001918DE">
        <w:rPr>
          <w:sz w:val="24"/>
          <w:szCs w:val="24"/>
        </w:rPr>
        <w:t xml:space="preserve">ssessed contributions, </w:t>
      </w:r>
      <w:r w:rsidR="00BF2A39">
        <w:rPr>
          <w:sz w:val="24"/>
          <w:szCs w:val="24"/>
        </w:rPr>
        <w:t>c</w:t>
      </w:r>
      <w:r w:rsidR="001918DE">
        <w:rPr>
          <w:sz w:val="24"/>
          <w:szCs w:val="24"/>
        </w:rPr>
        <w:t xml:space="preserve">ost recovery, </w:t>
      </w:r>
      <w:r w:rsidR="00BF2A39">
        <w:rPr>
          <w:sz w:val="24"/>
          <w:szCs w:val="24"/>
        </w:rPr>
        <w:t>i</w:t>
      </w:r>
      <w:r w:rsidR="001918DE">
        <w:rPr>
          <w:sz w:val="24"/>
          <w:szCs w:val="24"/>
        </w:rPr>
        <w:t>nterest/</w:t>
      </w:r>
      <w:r w:rsidR="00BF2A39">
        <w:rPr>
          <w:sz w:val="24"/>
          <w:szCs w:val="24"/>
        </w:rPr>
        <w:t>o</w:t>
      </w:r>
      <w:r w:rsidR="001918DE">
        <w:rPr>
          <w:sz w:val="24"/>
          <w:szCs w:val="24"/>
        </w:rPr>
        <w:t>ther revenue and withdrawal from the Reserve Account.</w:t>
      </w:r>
      <w:r w:rsidR="00DA5802">
        <w:rPr>
          <w:sz w:val="24"/>
          <w:szCs w:val="24"/>
        </w:rPr>
        <w:t xml:space="preserve"> </w:t>
      </w:r>
      <w:proofErr w:type="gramStart"/>
      <w:r w:rsidR="00DA745A">
        <w:rPr>
          <w:sz w:val="24"/>
          <w:szCs w:val="24"/>
        </w:rPr>
        <w:t>Overall</w:t>
      </w:r>
      <w:proofErr w:type="gramEnd"/>
      <w:r w:rsidR="00DA745A">
        <w:rPr>
          <w:sz w:val="24"/>
          <w:szCs w:val="24"/>
        </w:rPr>
        <w:t xml:space="preserve"> actual revenue for the biennium is likely to be </w:t>
      </w:r>
      <w:r w:rsidR="001B488B">
        <w:rPr>
          <w:sz w:val="24"/>
          <w:szCs w:val="24"/>
        </w:rPr>
        <w:t xml:space="preserve">slightly </w:t>
      </w:r>
      <w:r w:rsidR="003B08F4">
        <w:rPr>
          <w:sz w:val="24"/>
          <w:szCs w:val="24"/>
        </w:rPr>
        <w:t>lower than the b</w:t>
      </w:r>
      <w:r w:rsidR="00DA745A">
        <w:rPr>
          <w:sz w:val="24"/>
          <w:szCs w:val="24"/>
        </w:rPr>
        <w:t>udgeted revenue</w:t>
      </w:r>
      <w:r w:rsidR="00D041B8">
        <w:rPr>
          <w:sz w:val="24"/>
          <w:szCs w:val="24"/>
        </w:rPr>
        <w:t xml:space="preserve"> as shown in Table 1</w:t>
      </w:r>
      <w:r w:rsidR="00DA745A">
        <w:rPr>
          <w:sz w:val="24"/>
          <w:szCs w:val="24"/>
        </w:rPr>
        <w:t>.</w:t>
      </w:r>
    </w:p>
    <w:p w:rsidR="006A0448" w:rsidRDefault="00FF16DF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240"/>
        <w:jc w:val="both"/>
        <w:textAlignment w:val="auto"/>
        <w:rPr>
          <w:rFonts w:cs="Calibri"/>
          <w:szCs w:val="24"/>
          <w:lang w:val="en-US"/>
        </w:rPr>
      </w:pPr>
      <w:r>
        <w:rPr>
          <w:rFonts w:cs="Calibri"/>
          <w:szCs w:val="24"/>
        </w:rPr>
        <w:t>3.2</w:t>
      </w:r>
      <w:r>
        <w:rPr>
          <w:rFonts w:cs="Calibri"/>
          <w:szCs w:val="24"/>
        </w:rPr>
        <w:tab/>
      </w:r>
      <w:r w:rsidR="005628C5">
        <w:rPr>
          <w:rFonts w:cs="Calibri"/>
          <w:szCs w:val="24"/>
        </w:rPr>
        <w:t>Re</w:t>
      </w:r>
      <w:r w:rsidR="006A0448" w:rsidRPr="00455F46">
        <w:rPr>
          <w:rFonts w:cs="Calibri"/>
          <w:szCs w:val="24"/>
        </w:rPr>
        <w:t xml:space="preserve">venue from assessed contributions </w:t>
      </w:r>
      <w:r w:rsidR="00FE0B3F" w:rsidRPr="009B500B">
        <w:rPr>
          <w:rFonts w:cs="Calibri"/>
          <w:szCs w:val="24"/>
        </w:rPr>
        <w:t>represents</w:t>
      </w:r>
      <w:r w:rsidR="006A0448" w:rsidRPr="009B500B">
        <w:rPr>
          <w:rFonts w:cs="Calibri"/>
          <w:szCs w:val="24"/>
        </w:rPr>
        <w:t xml:space="preserve"> </w:t>
      </w:r>
      <w:r w:rsidR="008A417D" w:rsidRPr="009B500B">
        <w:rPr>
          <w:rFonts w:cs="Calibri"/>
          <w:szCs w:val="24"/>
        </w:rPr>
        <w:t>77</w:t>
      </w:r>
      <w:r w:rsidR="005628C5" w:rsidRPr="009B500B">
        <w:rPr>
          <w:rFonts w:cs="Calibri"/>
          <w:szCs w:val="24"/>
        </w:rPr>
        <w:t>%</w:t>
      </w:r>
      <w:r w:rsidR="006A0448" w:rsidRPr="009B500B">
        <w:rPr>
          <w:rFonts w:cs="Calibri"/>
          <w:szCs w:val="24"/>
        </w:rPr>
        <w:t xml:space="preserve"> of</w:t>
      </w:r>
      <w:r w:rsidR="00FE0B3F" w:rsidRPr="009B500B">
        <w:rPr>
          <w:rFonts w:cs="Calibri"/>
          <w:szCs w:val="24"/>
          <w:lang w:val="en-US"/>
        </w:rPr>
        <w:t xml:space="preserve"> the</w:t>
      </w:r>
      <w:r w:rsidR="00FE0B3F">
        <w:rPr>
          <w:rFonts w:cs="Calibri"/>
          <w:szCs w:val="24"/>
          <w:lang w:val="en-US"/>
        </w:rPr>
        <w:t xml:space="preserve"> total </w:t>
      </w:r>
      <w:r w:rsidR="008A417D">
        <w:rPr>
          <w:rFonts w:cs="Calibri"/>
          <w:szCs w:val="24"/>
          <w:lang w:val="en-US"/>
        </w:rPr>
        <w:t xml:space="preserve">2016-2017 </w:t>
      </w:r>
      <w:r w:rsidR="00FE0B3F">
        <w:rPr>
          <w:rFonts w:cs="Calibri"/>
          <w:szCs w:val="24"/>
          <w:lang w:val="en-US"/>
        </w:rPr>
        <w:t>budget</w:t>
      </w:r>
      <w:r w:rsidR="00C24F12">
        <w:rPr>
          <w:rFonts w:cs="Calibri"/>
          <w:szCs w:val="24"/>
          <w:lang w:val="en-US"/>
        </w:rPr>
        <w:t xml:space="preserve">ed </w:t>
      </w:r>
      <w:proofErr w:type="gramStart"/>
      <w:r w:rsidR="00C24F12">
        <w:rPr>
          <w:rFonts w:cs="Calibri"/>
          <w:szCs w:val="24"/>
          <w:lang w:val="en-US"/>
        </w:rPr>
        <w:t xml:space="preserve">revenue </w:t>
      </w:r>
      <w:r w:rsidR="00FE0B3F">
        <w:rPr>
          <w:rFonts w:cs="Calibri"/>
          <w:szCs w:val="24"/>
          <w:lang w:val="en-US"/>
        </w:rPr>
        <w:t>which</w:t>
      </w:r>
      <w:proofErr w:type="gramEnd"/>
      <w:r w:rsidR="00FE0B3F">
        <w:rPr>
          <w:rFonts w:cs="Calibri"/>
          <w:szCs w:val="24"/>
          <w:lang w:val="en-US"/>
        </w:rPr>
        <w:t xml:space="preserve"> </w:t>
      </w:r>
      <w:r w:rsidR="006A0448" w:rsidRPr="00455F46">
        <w:rPr>
          <w:rFonts w:cs="Calibri"/>
          <w:szCs w:val="24"/>
          <w:lang w:val="en-US"/>
        </w:rPr>
        <w:t>includes contributions from Member States, Sector Members, Associates</w:t>
      </w:r>
      <w:r w:rsidR="003B08F4">
        <w:rPr>
          <w:rFonts w:cs="Calibri"/>
          <w:szCs w:val="24"/>
          <w:lang w:val="en-US"/>
        </w:rPr>
        <w:t>,</w:t>
      </w:r>
      <w:r w:rsidR="00D51F86">
        <w:rPr>
          <w:rFonts w:cs="Calibri"/>
          <w:szCs w:val="24"/>
          <w:lang w:val="en-US"/>
        </w:rPr>
        <w:t xml:space="preserve"> and </w:t>
      </w:r>
      <w:r w:rsidR="006A0448" w:rsidRPr="00455F46">
        <w:rPr>
          <w:rFonts w:cs="Calibri"/>
          <w:szCs w:val="24"/>
          <w:lang w:val="en-US"/>
        </w:rPr>
        <w:t>Academia</w:t>
      </w:r>
      <w:r w:rsidR="005628C5">
        <w:rPr>
          <w:rFonts w:cs="Calibri"/>
          <w:szCs w:val="24"/>
          <w:lang w:val="en-US"/>
        </w:rPr>
        <w:t>.</w:t>
      </w:r>
      <w:r w:rsidR="002773E9">
        <w:rPr>
          <w:rFonts w:cs="Calibri"/>
          <w:szCs w:val="24"/>
          <w:lang w:val="en-US"/>
        </w:rPr>
        <w:t xml:space="preserve"> </w:t>
      </w:r>
      <w:r w:rsidR="005628C5">
        <w:rPr>
          <w:rFonts w:cs="Calibri"/>
          <w:szCs w:val="24"/>
          <w:lang w:val="en-US"/>
        </w:rPr>
        <w:t>Table 2 below shows the breakdown of assessed contributions.</w:t>
      </w:r>
    </w:p>
    <w:p w:rsidR="00C40C9A" w:rsidRDefault="006A0448" w:rsidP="00CD0747">
      <w:pPr>
        <w:keepNext/>
        <w:keepLines/>
        <w:numPr>
          <w:ilvl w:val="0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ind w:left="0" w:hanging="11"/>
        <w:jc w:val="center"/>
        <w:textAlignment w:val="auto"/>
        <w:rPr>
          <w:rFonts w:cs="Calibri"/>
          <w:b/>
          <w:bCs/>
          <w:sz w:val="22"/>
          <w:szCs w:val="22"/>
        </w:rPr>
      </w:pPr>
      <w:r w:rsidRPr="00266166"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–</w:t>
      </w:r>
      <w:r w:rsidRPr="00266166"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Revenue from Assessed Contributions</w:t>
      </w:r>
    </w:p>
    <w:p w:rsidR="00C40C9A" w:rsidRDefault="00C40C9A" w:rsidP="00CD074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jc w:val="right"/>
        <w:textAlignment w:val="auto"/>
        <w:rPr>
          <w:rFonts w:cs="Calibri"/>
          <w:b/>
          <w:bCs/>
          <w:sz w:val="22"/>
          <w:szCs w:val="22"/>
        </w:rPr>
      </w:pPr>
      <w:r w:rsidRPr="006E428B">
        <w:rPr>
          <w:rFonts w:asciiTheme="minorHAnsi" w:hAnsiTheme="minorHAnsi" w:cs="Arial"/>
          <w:i/>
          <w:iCs/>
          <w:sz w:val="14"/>
          <w:szCs w:val="14"/>
          <w:lang w:val="en-US" w:eastAsia="zh-CN"/>
        </w:rPr>
        <w:t>In thousands of Swiss francs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69"/>
        <w:gridCol w:w="850"/>
        <w:gridCol w:w="850"/>
        <w:gridCol w:w="734"/>
        <w:gridCol w:w="848"/>
        <w:gridCol w:w="236"/>
        <w:gridCol w:w="852"/>
        <w:gridCol w:w="860"/>
        <w:gridCol w:w="844"/>
        <w:gridCol w:w="727"/>
        <w:gridCol w:w="769"/>
      </w:tblGrid>
      <w:tr w:rsidR="00B946F9" w:rsidRPr="00C40C9A" w:rsidTr="00B946F9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703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2101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</w:tr>
      <w:tr w:rsidR="00C40C9A" w:rsidRPr="00C40C9A" w:rsidTr="00B946F9">
        <w:trPr>
          <w:trHeight w:val="227"/>
        </w:trPr>
        <w:tc>
          <w:tcPr>
            <w:tcW w:w="1073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Assessed Contributions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Budget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Actual*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Variance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Budget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Actual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Forecast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Variance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</w:tr>
      <w:tr w:rsidR="00C40C9A" w:rsidRPr="00C40C9A" w:rsidTr="00B946F9">
        <w:trPr>
          <w:trHeight w:val="227"/>
        </w:trPr>
        <w:tc>
          <w:tcPr>
            <w:tcW w:w="1073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07.02.2017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</w:tr>
      <w:tr w:rsidR="00C40C9A" w:rsidRPr="00C40C9A" w:rsidTr="00B946F9">
        <w:trPr>
          <w:trHeight w:val="227"/>
        </w:trPr>
        <w:tc>
          <w:tcPr>
            <w:tcW w:w="1073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C40C9A" w:rsidRPr="00C40C9A" w:rsidRDefault="00B56FE9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</w:t>
            </w:r>
          </w:p>
        </w:tc>
        <w:tc>
          <w:tcPr>
            <w:tcW w:w="44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b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c = b - 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d = c / 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e</w:t>
            </w:r>
          </w:p>
        </w:tc>
        <w:tc>
          <w:tcPr>
            <w:tcW w:w="44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f</w:t>
            </w:r>
          </w:p>
        </w:tc>
        <w:tc>
          <w:tcPr>
            <w:tcW w:w="4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h = g - 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i = h / e</w:t>
            </w:r>
          </w:p>
        </w:tc>
      </w:tr>
      <w:tr w:rsidR="00C40C9A" w:rsidRPr="00C40C9A" w:rsidTr="00547A0B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1. Member States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106,371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106,292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-79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-0.1%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106,371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106,292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106,292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-0.1%</w:t>
            </w:r>
          </w:p>
        </w:tc>
      </w:tr>
      <w:tr w:rsidR="00C40C9A" w:rsidRPr="00C40C9A" w:rsidTr="00547A0B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2. Sector Members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15,875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14,710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-1,165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-7.3%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15,875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14,133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15,000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-875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-5.5%</w:t>
            </w:r>
          </w:p>
        </w:tc>
      </w:tr>
      <w:tr w:rsidR="00C40C9A" w:rsidRPr="00C40C9A" w:rsidTr="00547A0B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3. Associates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1,955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1,587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-368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-18.8%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1,955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1,585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1,600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-355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-18.2%</w:t>
            </w:r>
          </w:p>
        </w:tc>
      </w:tr>
      <w:tr w:rsidR="00C40C9A" w:rsidRPr="00C40C9A" w:rsidTr="00547A0B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4. Academia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299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49.5%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293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50.0%</w:t>
            </w:r>
          </w:p>
        </w:tc>
      </w:tr>
      <w:tr w:rsidR="00C40C9A" w:rsidRPr="00C40C9A" w:rsidTr="00547A0B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5. Conference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</w:tr>
      <w:tr w:rsidR="00C40C9A" w:rsidRPr="00C40C9A" w:rsidTr="00547A0B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Total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124,401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122,891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-1,510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-1.2%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124,401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122,303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123,192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-1,209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-1.0%</w:t>
            </w:r>
          </w:p>
        </w:tc>
      </w:tr>
      <w:tr w:rsidR="00C40C9A" w:rsidRPr="00C40C9A" w:rsidTr="00B946F9">
        <w:trPr>
          <w:trHeight w:val="227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* At 07 February 2017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C9A" w:rsidRPr="00C40C9A" w:rsidRDefault="00C40C9A" w:rsidP="00CD074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C40C9A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</w:tr>
    </w:tbl>
    <w:p w:rsidR="006A0448" w:rsidRPr="00455F46" w:rsidRDefault="00FF16DF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before="360" w:after="120"/>
        <w:jc w:val="both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>3.3</w:t>
      </w:r>
      <w:r>
        <w:rPr>
          <w:rFonts w:cs="Calibri"/>
          <w:szCs w:val="24"/>
        </w:rPr>
        <w:tab/>
      </w:r>
      <w:r w:rsidR="006A0448" w:rsidRPr="00455F46">
        <w:rPr>
          <w:rFonts w:cs="Calibri"/>
          <w:szCs w:val="24"/>
        </w:rPr>
        <w:t>The amount of the a</w:t>
      </w:r>
      <w:r w:rsidR="00BA6B89">
        <w:rPr>
          <w:rFonts w:cs="Calibri"/>
          <w:szCs w:val="24"/>
        </w:rPr>
        <w:t xml:space="preserve">nnual contributory unit </w:t>
      </w:r>
      <w:r w:rsidR="005628C5" w:rsidRPr="00455F46">
        <w:rPr>
          <w:rFonts w:cs="Calibri"/>
          <w:szCs w:val="24"/>
        </w:rPr>
        <w:t>is set at CHF 318,000</w:t>
      </w:r>
      <w:r w:rsidR="00C24F12">
        <w:rPr>
          <w:rFonts w:cs="Calibri"/>
          <w:szCs w:val="24"/>
        </w:rPr>
        <w:t xml:space="preserve"> </w:t>
      </w:r>
      <w:r w:rsidR="00BA6B89">
        <w:rPr>
          <w:rFonts w:cs="Calibri"/>
          <w:szCs w:val="24"/>
        </w:rPr>
        <w:t>for 201</w:t>
      </w:r>
      <w:r w:rsidR="00E11A68">
        <w:rPr>
          <w:rFonts w:cs="Calibri"/>
          <w:szCs w:val="24"/>
        </w:rPr>
        <w:t>6</w:t>
      </w:r>
      <w:r w:rsidR="00BA6B89">
        <w:rPr>
          <w:rFonts w:cs="Calibri"/>
          <w:szCs w:val="24"/>
        </w:rPr>
        <w:t xml:space="preserve"> and </w:t>
      </w:r>
      <w:r w:rsidR="00E11A68">
        <w:rPr>
          <w:rFonts w:cs="Calibri"/>
          <w:szCs w:val="24"/>
        </w:rPr>
        <w:t>2017</w:t>
      </w:r>
      <w:r w:rsidR="006A0448" w:rsidRPr="00455F46">
        <w:rPr>
          <w:rFonts w:cs="Calibri"/>
          <w:szCs w:val="24"/>
        </w:rPr>
        <w:t xml:space="preserve">. The number of units from Member States </w:t>
      </w:r>
      <w:r w:rsidR="00E11A68">
        <w:rPr>
          <w:rFonts w:cs="Calibri"/>
          <w:szCs w:val="24"/>
        </w:rPr>
        <w:t xml:space="preserve">at 31 December </w:t>
      </w:r>
      <w:r w:rsidR="00E11A68" w:rsidRPr="001C2FDF">
        <w:rPr>
          <w:rFonts w:cs="Calibri"/>
          <w:szCs w:val="24"/>
        </w:rPr>
        <w:t>2016</w:t>
      </w:r>
      <w:r w:rsidR="004B6F27" w:rsidRPr="001C2FDF">
        <w:rPr>
          <w:rFonts w:cs="Calibri"/>
          <w:szCs w:val="24"/>
        </w:rPr>
        <w:t xml:space="preserve"> is </w:t>
      </w:r>
      <w:r w:rsidR="001C2FDF" w:rsidRPr="001C2FDF">
        <w:rPr>
          <w:rFonts w:cs="Calibri"/>
          <w:szCs w:val="24"/>
        </w:rPr>
        <w:t>334 1/4</w:t>
      </w:r>
      <w:r w:rsidR="00036E9F" w:rsidRPr="001C2FDF">
        <w:rPr>
          <w:rFonts w:cs="Calibri"/>
          <w:szCs w:val="24"/>
        </w:rPr>
        <w:t xml:space="preserve"> units</w:t>
      </w:r>
      <w:r w:rsidR="00036E9F">
        <w:rPr>
          <w:rFonts w:cs="Calibri"/>
          <w:szCs w:val="24"/>
        </w:rPr>
        <w:t>.</w:t>
      </w:r>
    </w:p>
    <w:p w:rsidR="006A0448" w:rsidRPr="00455F46" w:rsidRDefault="00FF16DF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both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>3.4</w:t>
      </w:r>
      <w:r>
        <w:rPr>
          <w:rFonts w:cs="Calibri"/>
          <w:szCs w:val="24"/>
        </w:rPr>
        <w:tab/>
      </w:r>
      <w:r w:rsidR="006A0448" w:rsidRPr="00455F46">
        <w:rPr>
          <w:rFonts w:cs="Calibri"/>
          <w:szCs w:val="24"/>
        </w:rPr>
        <w:t>The amount of the annual contributory unit for Sector Members i</w:t>
      </w:r>
      <w:r w:rsidR="00BA6B89">
        <w:rPr>
          <w:rFonts w:cs="Calibri"/>
          <w:szCs w:val="24"/>
        </w:rPr>
        <w:t>s set at CHF 63,600 for the 201</w:t>
      </w:r>
      <w:r w:rsidR="008D46B0">
        <w:rPr>
          <w:rFonts w:cs="Calibri"/>
          <w:szCs w:val="24"/>
        </w:rPr>
        <w:t>6</w:t>
      </w:r>
      <w:r w:rsidR="006A0448" w:rsidRPr="00455F46">
        <w:rPr>
          <w:rFonts w:cs="Calibri"/>
          <w:szCs w:val="24"/>
        </w:rPr>
        <w:t>-201</w:t>
      </w:r>
      <w:r w:rsidR="008D46B0">
        <w:rPr>
          <w:rFonts w:cs="Calibri"/>
          <w:szCs w:val="24"/>
        </w:rPr>
        <w:t>7</w:t>
      </w:r>
      <w:r w:rsidR="006A0448" w:rsidRPr="00455F46">
        <w:rPr>
          <w:rFonts w:cs="Calibri"/>
          <w:szCs w:val="24"/>
        </w:rPr>
        <w:t xml:space="preserve"> biennium and</w:t>
      </w:r>
      <w:r w:rsidR="00036E9F">
        <w:rPr>
          <w:rFonts w:cs="Calibri"/>
          <w:szCs w:val="24"/>
        </w:rPr>
        <w:t xml:space="preserve"> at CHF 10,600 for Associates.</w:t>
      </w:r>
    </w:p>
    <w:p w:rsidR="006A0448" w:rsidRPr="00455F46" w:rsidRDefault="00FF16DF" w:rsidP="00002F5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both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>3.5</w:t>
      </w:r>
      <w:r>
        <w:rPr>
          <w:rFonts w:cs="Calibri"/>
          <w:szCs w:val="24"/>
        </w:rPr>
        <w:tab/>
      </w:r>
      <w:r w:rsidR="00713B2F">
        <w:rPr>
          <w:rFonts w:cs="Calibri"/>
          <w:szCs w:val="24"/>
        </w:rPr>
        <w:t>Since 2011, t</w:t>
      </w:r>
      <w:r w:rsidR="006A0448" w:rsidRPr="00455F46">
        <w:rPr>
          <w:rFonts w:cs="Calibri"/>
          <w:szCs w:val="24"/>
        </w:rPr>
        <w:t>he implementation of Resolution 169 (</w:t>
      </w:r>
      <w:r w:rsidR="00C24F12">
        <w:rPr>
          <w:rFonts w:cs="Calibri"/>
          <w:szCs w:val="24"/>
        </w:rPr>
        <w:t>Rev</w:t>
      </w:r>
      <w:r w:rsidR="0024367F">
        <w:rPr>
          <w:rFonts w:cs="Calibri"/>
          <w:szCs w:val="24"/>
        </w:rPr>
        <w:t>.</w:t>
      </w:r>
      <w:r w:rsidR="00C24F12">
        <w:rPr>
          <w:rFonts w:cs="Calibri"/>
          <w:szCs w:val="24"/>
        </w:rPr>
        <w:t xml:space="preserve"> Busan, 2014</w:t>
      </w:r>
      <w:r w:rsidR="006A0448" w:rsidRPr="00455F46">
        <w:rPr>
          <w:rFonts w:cs="Calibri"/>
          <w:szCs w:val="24"/>
        </w:rPr>
        <w:t>) has</w:t>
      </w:r>
      <w:r w:rsidR="00713B2F">
        <w:rPr>
          <w:rFonts w:cs="Calibri"/>
          <w:szCs w:val="24"/>
        </w:rPr>
        <w:t xml:space="preserve"> </w:t>
      </w:r>
      <w:r w:rsidR="006A0448" w:rsidRPr="00455F46">
        <w:rPr>
          <w:rFonts w:cs="Calibri"/>
          <w:bCs/>
          <w:color w:val="000000"/>
          <w:szCs w:val="24"/>
        </w:rPr>
        <w:t>generated new sources of revenue from Academia, universities and their associated research esta</w:t>
      </w:r>
      <w:r w:rsidR="005C429A">
        <w:rPr>
          <w:rFonts w:cs="Calibri"/>
          <w:bCs/>
          <w:color w:val="000000"/>
          <w:szCs w:val="24"/>
        </w:rPr>
        <w:t xml:space="preserve">blishments. At </w:t>
      </w:r>
      <w:r w:rsidR="006F72A4">
        <w:rPr>
          <w:rFonts w:cs="Calibri"/>
          <w:bCs/>
          <w:color w:val="000000"/>
          <w:szCs w:val="24"/>
        </w:rPr>
        <w:t>31</w:t>
      </w:r>
      <w:r w:rsidR="00002F56">
        <w:rPr>
          <w:rFonts w:cs="Calibri"/>
          <w:bCs/>
          <w:color w:val="000000"/>
          <w:szCs w:val="24"/>
        </w:rPr>
        <w:t> </w:t>
      </w:r>
      <w:r w:rsidR="006F72A4">
        <w:rPr>
          <w:rFonts w:cs="Calibri"/>
          <w:bCs/>
          <w:color w:val="000000"/>
          <w:szCs w:val="24"/>
        </w:rPr>
        <w:t>December 2016</w:t>
      </w:r>
      <w:r w:rsidR="00C24F12">
        <w:rPr>
          <w:rFonts w:cs="Calibri"/>
          <w:bCs/>
          <w:color w:val="000000"/>
          <w:szCs w:val="24"/>
        </w:rPr>
        <w:t xml:space="preserve">, </w:t>
      </w:r>
      <w:r w:rsidR="00036E9F">
        <w:rPr>
          <w:rFonts w:cs="Calibri"/>
          <w:bCs/>
          <w:color w:val="000000"/>
          <w:szCs w:val="24"/>
        </w:rPr>
        <w:t xml:space="preserve">there </w:t>
      </w:r>
      <w:r w:rsidR="006F72A4">
        <w:rPr>
          <w:rFonts w:cs="Calibri"/>
          <w:bCs/>
          <w:color w:val="000000"/>
          <w:szCs w:val="24"/>
        </w:rPr>
        <w:t>was</w:t>
      </w:r>
      <w:r w:rsidR="00D51F86">
        <w:rPr>
          <w:rFonts w:cs="Calibri"/>
          <w:bCs/>
          <w:color w:val="000000"/>
          <w:szCs w:val="24"/>
        </w:rPr>
        <w:t xml:space="preserve"> </w:t>
      </w:r>
      <w:proofErr w:type="gramStart"/>
      <w:r w:rsidR="00D51F86">
        <w:rPr>
          <w:rFonts w:cs="Calibri"/>
          <w:bCs/>
          <w:color w:val="000000"/>
          <w:szCs w:val="24"/>
        </w:rPr>
        <w:t>a</w:t>
      </w:r>
      <w:r w:rsidR="00036E9F">
        <w:rPr>
          <w:rFonts w:cs="Calibri"/>
          <w:bCs/>
          <w:color w:val="000000"/>
          <w:szCs w:val="24"/>
        </w:rPr>
        <w:t xml:space="preserve"> total </w:t>
      </w:r>
      <w:r w:rsidR="00D51F86">
        <w:rPr>
          <w:rFonts w:cs="Calibri"/>
          <w:bCs/>
          <w:color w:val="000000"/>
          <w:szCs w:val="24"/>
        </w:rPr>
        <w:t xml:space="preserve">of </w:t>
      </w:r>
      <w:r w:rsidR="00392238">
        <w:rPr>
          <w:rFonts w:cs="Calibri"/>
          <w:bCs/>
          <w:color w:val="000000"/>
          <w:szCs w:val="24"/>
        </w:rPr>
        <w:t>126</w:t>
      </w:r>
      <w:proofErr w:type="gramEnd"/>
      <w:r w:rsidR="00036E9F">
        <w:rPr>
          <w:rFonts w:cs="Calibri"/>
          <w:bCs/>
          <w:color w:val="000000"/>
          <w:szCs w:val="24"/>
        </w:rPr>
        <w:t xml:space="preserve"> </w:t>
      </w:r>
      <w:r w:rsidR="003B2FAB">
        <w:rPr>
          <w:rFonts w:cs="Calibri"/>
          <w:bCs/>
          <w:color w:val="000000"/>
          <w:szCs w:val="24"/>
        </w:rPr>
        <w:t xml:space="preserve">active </w:t>
      </w:r>
      <w:r w:rsidR="00036E9F">
        <w:rPr>
          <w:rFonts w:cs="Calibri"/>
          <w:bCs/>
          <w:color w:val="000000"/>
          <w:szCs w:val="24"/>
        </w:rPr>
        <w:t>a</w:t>
      </w:r>
      <w:r w:rsidR="006A0448" w:rsidRPr="00036E9F">
        <w:rPr>
          <w:rFonts w:cs="Calibri"/>
          <w:bCs/>
          <w:color w:val="000000"/>
          <w:szCs w:val="24"/>
        </w:rPr>
        <w:t>cademia</w:t>
      </w:r>
      <w:r w:rsidR="00036E9F">
        <w:rPr>
          <w:rFonts w:cs="Calibri"/>
          <w:bCs/>
          <w:color w:val="000000"/>
          <w:szCs w:val="24"/>
        </w:rPr>
        <w:t>.</w:t>
      </w:r>
    </w:p>
    <w:p w:rsidR="00323C13" w:rsidRDefault="00FF16DF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both"/>
        <w:textAlignment w:val="auto"/>
        <w:rPr>
          <w:rFonts w:cs="Calibri"/>
          <w:szCs w:val="24"/>
          <w:lang w:val="en-US"/>
        </w:rPr>
      </w:pPr>
      <w:r>
        <w:rPr>
          <w:rFonts w:cs="Calibri"/>
          <w:szCs w:val="24"/>
        </w:rPr>
        <w:t>3.6</w:t>
      </w:r>
      <w:r>
        <w:rPr>
          <w:rFonts w:cs="Calibri"/>
          <w:szCs w:val="24"/>
        </w:rPr>
        <w:tab/>
      </w:r>
      <w:r w:rsidR="006A0448" w:rsidRPr="00455F46">
        <w:rPr>
          <w:rFonts w:cs="Calibri"/>
          <w:szCs w:val="24"/>
          <w:lang w:val="en-US"/>
        </w:rPr>
        <w:t xml:space="preserve">Cost recovery revenue </w:t>
      </w:r>
      <w:r w:rsidR="006A0448" w:rsidRPr="00CE4BDB">
        <w:rPr>
          <w:rFonts w:cs="Calibri"/>
          <w:szCs w:val="24"/>
          <w:lang w:val="en-US"/>
        </w:rPr>
        <w:t>represent</w:t>
      </w:r>
      <w:r w:rsidR="00AD5B21" w:rsidRPr="00CE4BDB">
        <w:rPr>
          <w:rFonts w:cs="Calibri"/>
          <w:szCs w:val="24"/>
          <w:lang w:val="en-US"/>
        </w:rPr>
        <w:t>s</w:t>
      </w:r>
      <w:r w:rsidR="00FE7CFD" w:rsidRPr="00CE4BDB">
        <w:rPr>
          <w:rFonts w:cs="Calibri"/>
          <w:szCs w:val="24"/>
          <w:lang w:val="en-US"/>
        </w:rPr>
        <w:t xml:space="preserve"> </w:t>
      </w:r>
      <w:r w:rsidR="00CE4BDB" w:rsidRPr="00CE4BDB">
        <w:rPr>
          <w:rFonts w:cs="Calibri"/>
          <w:szCs w:val="24"/>
          <w:lang w:val="en-US"/>
        </w:rPr>
        <w:t>21.5</w:t>
      </w:r>
      <w:r w:rsidR="006A0448" w:rsidRPr="00CE4BDB">
        <w:rPr>
          <w:rFonts w:cs="Calibri"/>
          <w:szCs w:val="24"/>
          <w:lang w:val="en-US"/>
        </w:rPr>
        <w:t>% of</w:t>
      </w:r>
      <w:r w:rsidR="006A0448" w:rsidRPr="00455F46">
        <w:rPr>
          <w:rFonts w:cs="Calibri"/>
          <w:szCs w:val="24"/>
          <w:lang w:val="en-US"/>
        </w:rPr>
        <w:t xml:space="preserve"> the</w:t>
      </w:r>
      <w:r w:rsidR="00FE7CFD">
        <w:rPr>
          <w:rFonts w:cs="Calibri"/>
          <w:szCs w:val="24"/>
          <w:lang w:val="en-US"/>
        </w:rPr>
        <w:t xml:space="preserve"> total </w:t>
      </w:r>
      <w:r w:rsidR="00392238">
        <w:rPr>
          <w:rFonts w:cs="Calibri"/>
          <w:szCs w:val="24"/>
          <w:lang w:val="en-US"/>
        </w:rPr>
        <w:t xml:space="preserve">2016-2017 </w:t>
      </w:r>
      <w:r w:rsidR="00FE7CFD">
        <w:rPr>
          <w:rFonts w:cs="Calibri"/>
          <w:szCs w:val="24"/>
          <w:lang w:val="en-US"/>
        </w:rPr>
        <w:t>budgeted revenue</w:t>
      </w:r>
      <w:r w:rsidR="006A0448" w:rsidRPr="00455F46">
        <w:rPr>
          <w:rFonts w:cs="Calibri"/>
          <w:szCs w:val="24"/>
          <w:lang w:val="en-US"/>
        </w:rPr>
        <w:t xml:space="preserve">. </w:t>
      </w:r>
      <w:r w:rsidR="00323C13">
        <w:rPr>
          <w:rFonts w:cs="Calibri"/>
          <w:szCs w:val="24"/>
          <w:lang w:val="en-US"/>
        </w:rPr>
        <w:t xml:space="preserve">The breakdown is provided in </w:t>
      </w:r>
      <w:r w:rsidR="006A0448" w:rsidRPr="00455F46">
        <w:rPr>
          <w:rFonts w:cs="Calibri"/>
          <w:szCs w:val="24"/>
          <w:lang w:val="en-US"/>
        </w:rPr>
        <w:t>Table</w:t>
      </w:r>
      <w:r w:rsidR="008A6231">
        <w:rPr>
          <w:rFonts w:cs="Calibri"/>
          <w:szCs w:val="24"/>
          <w:lang w:val="en-US"/>
        </w:rPr>
        <w:t> </w:t>
      </w:r>
      <w:r w:rsidR="00547B63">
        <w:rPr>
          <w:rFonts w:cs="Calibri"/>
          <w:szCs w:val="24"/>
          <w:lang w:val="en-US"/>
        </w:rPr>
        <w:t>3</w:t>
      </w:r>
      <w:r w:rsidR="00323C13">
        <w:rPr>
          <w:rFonts w:cs="Calibri"/>
          <w:szCs w:val="24"/>
          <w:lang w:val="en-US"/>
        </w:rPr>
        <w:t xml:space="preserve">. </w:t>
      </w:r>
    </w:p>
    <w:p w:rsidR="006A0448" w:rsidRDefault="006A0448" w:rsidP="00CD0747">
      <w:pPr>
        <w:numPr>
          <w:ilvl w:val="0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before="360" w:after="120"/>
        <w:ind w:left="0" w:hanging="11"/>
        <w:jc w:val="center"/>
        <w:textAlignment w:val="auto"/>
        <w:rPr>
          <w:rFonts w:cs="Calibri"/>
          <w:b/>
          <w:bCs/>
          <w:sz w:val="22"/>
          <w:szCs w:val="22"/>
        </w:rPr>
      </w:pPr>
      <w:r w:rsidRPr="00266166"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–</w:t>
      </w:r>
      <w:r w:rsidRPr="00266166">
        <w:rPr>
          <w:rFonts w:cs="Calibri"/>
          <w:b/>
          <w:bCs/>
          <w:sz w:val="22"/>
          <w:szCs w:val="22"/>
        </w:rPr>
        <w:t xml:space="preserve"> </w:t>
      </w:r>
      <w:r w:rsidRPr="00B34D96">
        <w:rPr>
          <w:rFonts w:cs="Calibri"/>
          <w:b/>
          <w:bCs/>
          <w:sz w:val="22"/>
          <w:szCs w:val="22"/>
        </w:rPr>
        <w:t>Revenue from Cost Recovery</w:t>
      </w:r>
      <w:r w:rsidRPr="00266166">
        <w:rPr>
          <w:rFonts w:cs="Calibri"/>
          <w:b/>
          <w:bCs/>
          <w:sz w:val="22"/>
          <w:szCs w:val="22"/>
        </w:rPr>
        <w:t xml:space="preserve"> </w:t>
      </w:r>
    </w:p>
    <w:p w:rsidR="00547A0B" w:rsidRDefault="00547A0B" w:rsidP="00547A0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jc w:val="right"/>
        <w:textAlignment w:val="auto"/>
        <w:rPr>
          <w:rFonts w:cs="Calibri"/>
          <w:b/>
          <w:bCs/>
          <w:sz w:val="22"/>
          <w:szCs w:val="22"/>
        </w:rPr>
      </w:pPr>
      <w:r w:rsidRPr="006E428B">
        <w:rPr>
          <w:rFonts w:asciiTheme="minorHAnsi" w:hAnsiTheme="minorHAnsi" w:cs="Arial"/>
          <w:i/>
          <w:iCs/>
          <w:sz w:val="14"/>
          <w:szCs w:val="14"/>
          <w:lang w:val="en-US" w:eastAsia="zh-CN"/>
        </w:rPr>
        <w:t>In thousands of Swiss francs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798"/>
        <w:gridCol w:w="798"/>
        <w:gridCol w:w="771"/>
        <w:gridCol w:w="798"/>
        <w:gridCol w:w="283"/>
        <w:gridCol w:w="827"/>
        <w:gridCol w:w="927"/>
        <w:gridCol w:w="798"/>
        <w:gridCol w:w="773"/>
        <w:gridCol w:w="785"/>
      </w:tblGrid>
      <w:tr w:rsidR="00547A0B" w:rsidRPr="00547A0B" w:rsidTr="00547A0B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642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2132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</w:tr>
      <w:tr w:rsidR="00547A0B" w:rsidRPr="00547A0B" w:rsidTr="00547A0B">
        <w:trPr>
          <w:trHeight w:val="227"/>
        </w:trPr>
        <w:tc>
          <w:tcPr>
            <w:tcW w:w="1079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Cost Recovery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Budget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Actual*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Variance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Budget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Actual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Forecast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Variance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%</w:t>
            </w:r>
          </w:p>
        </w:tc>
      </w:tr>
      <w:tr w:rsidR="00547A0B" w:rsidRPr="00547A0B" w:rsidTr="00547A0B">
        <w:trPr>
          <w:trHeight w:val="227"/>
        </w:trPr>
        <w:tc>
          <w:tcPr>
            <w:tcW w:w="1079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07.02.2017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2017</w:t>
            </w:r>
          </w:p>
        </w:tc>
      </w:tr>
      <w:tr w:rsidR="00547A0B" w:rsidRPr="00547A0B" w:rsidTr="00547A0B">
        <w:trPr>
          <w:trHeight w:val="227"/>
        </w:trPr>
        <w:tc>
          <w:tcPr>
            <w:tcW w:w="1079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a</w:t>
            </w:r>
          </w:p>
        </w:tc>
        <w:tc>
          <w:tcPr>
            <w:tcW w:w="41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47A0B" w:rsidRPr="00547A0B" w:rsidRDefault="00BC66D4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c = b - 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d = c / a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e</w:t>
            </w:r>
          </w:p>
        </w:tc>
        <w:tc>
          <w:tcPr>
            <w:tcW w:w="48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f</w:t>
            </w:r>
          </w:p>
        </w:tc>
        <w:tc>
          <w:tcPr>
            <w:tcW w:w="41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g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h = g - 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i = h / e</w:t>
            </w:r>
          </w:p>
        </w:tc>
      </w:tr>
      <w:tr w:rsidR="00547A0B" w:rsidRPr="00547A0B" w:rsidTr="00547A0B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1. Project support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1,375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400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-975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-70.9%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1,375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600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-775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-56.4%</w:t>
            </w:r>
          </w:p>
        </w:tc>
      </w:tr>
      <w:tr w:rsidR="00547A0B" w:rsidRPr="00547A0B" w:rsidTr="00547A0B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2. Sales of publications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18,500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18,995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495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2.7%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18,500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2,187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18,500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0.0%</w:t>
            </w:r>
          </w:p>
        </w:tc>
      </w:tr>
      <w:tr w:rsidR="00547A0B" w:rsidRPr="00547A0B" w:rsidTr="00547A0B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3. UIFN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250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-132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-52.8%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0.0%</w:t>
            </w:r>
          </w:p>
        </w:tc>
      </w:tr>
      <w:tr w:rsidR="00547A0B" w:rsidRPr="00547A0B" w:rsidTr="00547A0B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4. TELECOM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1,500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0.0%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1,500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0.0%</w:t>
            </w:r>
          </w:p>
        </w:tc>
      </w:tr>
      <w:tr w:rsidR="00547A0B" w:rsidRPr="00547A0B" w:rsidTr="00547A0B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5. Satellite network filing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13,000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13,231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231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1.8%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13,000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523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13,500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3.8%</w:t>
            </w:r>
          </w:p>
        </w:tc>
      </w:tr>
      <w:tr w:rsidR="00547A0B" w:rsidRPr="00547A0B" w:rsidTr="00547A0B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6. Other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138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jc w:val="right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</w:tr>
      <w:tr w:rsidR="00547A0B" w:rsidRPr="00547A0B" w:rsidTr="00547A0B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Total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34,625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34,382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-243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-0.7%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34,625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2,710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34,350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-275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firstLineChars="100" w:firstLine="141"/>
              <w:jc w:val="right"/>
              <w:textAlignment w:val="auto"/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b/>
                <w:bCs/>
                <w:sz w:val="14"/>
                <w:szCs w:val="14"/>
                <w:lang w:val="en-US" w:eastAsia="zh-CN"/>
              </w:rPr>
              <w:t>-0.8%</w:t>
            </w:r>
          </w:p>
        </w:tc>
      </w:tr>
      <w:tr w:rsidR="00547A0B" w:rsidRPr="00547A0B" w:rsidTr="00547A0B">
        <w:trPr>
          <w:trHeight w:val="227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* At 07 February 2017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A0B" w:rsidRPr="00547A0B" w:rsidRDefault="00547A0B" w:rsidP="00547A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</w:pPr>
            <w:r w:rsidRPr="00547A0B">
              <w:rPr>
                <w:rFonts w:asciiTheme="minorHAnsi" w:hAnsiTheme="minorHAnsi" w:cs="Arial"/>
                <w:sz w:val="14"/>
                <w:szCs w:val="14"/>
                <w:lang w:val="en-US" w:eastAsia="zh-CN"/>
              </w:rPr>
              <w:t> </w:t>
            </w:r>
          </w:p>
        </w:tc>
      </w:tr>
    </w:tbl>
    <w:p w:rsidR="00455F46" w:rsidRPr="00455F46" w:rsidRDefault="00323C13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480" w:after="120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455F46" w:rsidRPr="00455F46">
        <w:rPr>
          <w:b/>
          <w:bCs/>
          <w:szCs w:val="24"/>
        </w:rPr>
        <w:tab/>
        <w:t>Expenses</w:t>
      </w:r>
    </w:p>
    <w:p w:rsidR="00323C13" w:rsidRDefault="00323C13" w:rsidP="00002F5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</w:rPr>
      </w:pPr>
      <w:r>
        <w:rPr>
          <w:szCs w:val="24"/>
        </w:rPr>
        <w:t>4</w:t>
      </w:r>
      <w:r w:rsidR="007724AF" w:rsidRPr="00FF48C6">
        <w:rPr>
          <w:szCs w:val="24"/>
        </w:rPr>
        <w:t>.1</w:t>
      </w:r>
      <w:r w:rsidR="008B5752" w:rsidRPr="00FF48C6">
        <w:rPr>
          <w:szCs w:val="24"/>
        </w:rPr>
        <w:tab/>
      </w:r>
      <w:r w:rsidR="00BE02EF">
        <w:rPr>
          <w:szCs w:val="24"/>
        </w:rPr>
        <w:t xml:space="preserve">With </w:t>
      </w:r>
      <w:r w:rsidR="00E11A68">
        <w:rPr>
          <w:szCs w:val="24"/>
        </w:rPr>
        <w:t xml:space="preserve">respect </w:t>
      </w:r>
      <w:r w:rsidR="00AD5B21">
        <w:rPr>
          <w:szCs w:val="24"/>
        </w:rPr>
        <w:t xml:space="preserve">to </w:t>
      </w:r>
      <w:r w:rsidRPr="00931696">
        <w:rPr>
          <w:szCs w:val="24"/>
        </w:rPr>
        <w:t>expenses</w:t>
      </w:r>
      <w:r w:rsidRPr="00673D7A">
        <w:rPr>
          <w:szCs w:val="24"/>
        </w:rPr>
        <w:t xml:space="preserve">, continuous application of efficiency measures and efforts </w:t>
      </w:r>
      <w:proofErr w:type="gramStart"/>
      <w:r w:rsidRPr="00673D7A">
        <w:rPr>
          <w:szCs w:val="24"/>
        </w:rPr>
        <w:t xml:space="preserve">are </w:t>
      </w:r>
      <w:r>
        <w:rPr>
          <w:szCs w:val="24"/>
        </w:rPr>
        <w:t xml:space="preserve">being </w:t>
      </w:r>
      <w:r w:rsidRPr="00673D7A">
        <w:rPr>
          <w:szCs w:val="24"/>
        </w:rPr>
        <w:t>mad</w:t>
      </w:r>
      <w:r w:rsidR="00E11A68">
        <w:rPr>
          <w:szCs w:val="24"/>
        </w:rPr>
        <w:t>e</w:t>
      </w:r>
      <w:proofErr w:type="gramEnd"/>
      <w:r w:rsidR="00E11A68">
        <w:rPr>
          <w:szCs w:val="24"/>
        </w:rPr>
        <w:t xml:space="preserve"> to comply with Resolution 1375</w:t>
      </w:r>
      <w:r w:rsidRPr="00673D7A">
        <w:rPr>
          <w:szCs w:val="24"/>
        </w:rPr>
        <w:t xml:space="preserve">. The objective </w:t>
      </w:r>
      <w:r>
        <w:rPr>
          <w:szCs w:val="24"/>
        </w:rPr>
        <w:t>is</w:t>
      </w:r>
      <w:r w:rsidR="002373F8">
        <w:rPr>
          <w:szCs w:val="24"/>
        </w:rPr>
        <w:t xml:space="preserve"> to keep expenditure within</w:t>
      </w:r>
      <w:r w:rsidR="00AD5B21">
        <w:rPr>
          <w:szCs w:val="24"/>
        </w:rPr>
        <w:t xml:space="preserve"> </w:t>
      </w:r>
      <w:r>
        <w:rPr>
          <w:szCs w:val="24"/>
        </w:rPr>
        <w:t>budget.</w:t>
      </w:r>
    </w:p>
    <w:p w:rsidR="00323C13" w:rsidRPr="00FF48C6" w:rsidRDefault="00323C13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480" w:after="120"/>
        <w:textAlignment w:val="auto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5</w:t>
      </w:r>
      <w:r w:rsidRPr="00FF48C6">
        <w:rPr>
          <w:rFonts w:cs="Calibri"/>
          <w:b/>
          <w:bCs/>
          <w:szCs w:val="24"/>
        </w:rPr>
        <w:tab/>
        <w:t>Reserve Account</w:t>
      </w:r>
    </w:p>
    <w:p w:rsidR="00323C13" w:rsidRPr="00825683" w:rsidRDefault="00496CDD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szCs w:val="24"/>
        </w:rPr>
      </w:pPr>
      <w:r>
        <w:rPr>
          <w:szCs w:val="24"/>
        </w:rPr>
        <w:t>5.1</w:t>
      </w:r>
      <w:r w:rsidR="00323C13">
        <w:rPr>
          <w:szCs w:val="24"/>
        </w:rPr>
        <w:tab/>
      </w:r>
      <w:r w:rsidR="003B08F4">
        <w:rPr>
          <w:szCs w:val="24"/>
        </w:rPr>
        <w:t xml:space="preserve">The </w:t>
      </w:r>
      <w:r w:rsidR="00323C13" w:rsidRPr="00825683">
        <w:rPr>
          <w:szCs w:val="24"/>
        </w:rPr>
        <w:t>Council instructed the Secretary</w:t>
      </w:r>
      <w:r w:rsidR="00164DE2">
        <w:rPr>
          <w:szCs w:val="24"/>
        </w:rPr>
        <w:t>-</w:t>
      </w:r>
      <w:r w:rsidR="00323C13" w:rsidRPr="00825683">
        <w:rPr>
          <w:szCs w:val="24"/>
        </w:rPr>
        <w:t xml:space="preserve">General </w:t>
      </w:r>
      <w:r w:rsidR="00E11A68">
        <w:rPr>
          <w:szCs w:val="24"/>
        </w:rPr>
        <w:t>in Resolution 1375 to withdraw CHF</w:t>
      </w:r>
      <w:r w:rsidR="00BE02EF">
        <w:rPr>
          <w:szCs w:val="24"/>
        </w:rPr>
        <w:t> </w:t>
      </w:r>
      <w:r w:rsidR="00E11A68">
        <w:rPr>
          <w:szCs w:val="24"/>
        </w:rPr>
        <w:t>1</w:t>
      </w:r>
      <w:r w:rsidR="00323C13">
        <w:rPr>
          <w:szCs w:val="24"/>
        </w:rPr>
        <w:t>.0</w:t>
      </w:r>
      <w:r w:rsidR="00164DE2">
        <w:rPr>
          <w:szCs w:val="24"/>
        </w:rPr>
        <w:t> </w:t>
      </w:r>
      <w:r w:rsidR="00323C13" w:rsidRPr="00825683">
        <w:rPr>
          <w:szCs w:val="24"/>
        </w:rPr>
        <w:t xml:space="preserve">million from the Reserve Account on </w:t>
      </w:r>
      <w:r w:rsidR="00323C13">
        <w:rPr>
          <w:szCs w:val="24"/>
        </w:rPr>
        <w:t xml:space="preserve">1 </w:t>
      </w:r>
      <w:r w:rsidR="00E11A68">
        <w:rPr>
          <w:szCs w:val="24"/>
        </w:rPr>
        <w:t>January 2016 to add to</w:t>
      </w:r>
      <w:r w:rsidR="00323C13" w:rsidRPr="00825683">
        <w:rPr>
          <w:szCs w:val="24"/>
        </w:rPr>
        <w:t xml:space="preserve"> the ASHI fund </w:t>
      </w:r>
      <w:r w:rsidR="00E11A68">
        <w:rPr>
          <w:szCs w:val="24"/>
        </w:rPr>
        <w:t>in order to</w:t>
      </w:r>
      <w:r w:rsidR="00323C13" w:rsidRPr="00825683">
        <w:rPr>
          <w:szCs w:val="24"/>
        </w:rPr>
        <w:t xml:space="preserve"> address the unfunded long-term liabilities.</w:t>
      </w:r>
    </w:p>
    <w:p w:rsidR="00496CDD" w:rsidRDefault="00496CDD" w:rsidP="00002F5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both"/>
        <w:textAlignment w:val="auto"/>
        <w:rPr>
          <w:rFonts w:cs="Calibri"/>
          <w:szCs w:val="24"/>
          <w:lang w:val="en-AU"/>
        </w:rPr>
      </w:pPr>
      <w:r>
        <w:rPr>
          <w:rFonts w:cs="Calibri"/>
          <w:szCs w:val="24"/>
          <w:lang w:val="en-AU"/>
        </w:rPr>
        <w:t>5</w:t>
      </w:r>
      <w:r w:rsidRPr="00FF48C6">
        <w:rPr>
          <w:rFonts w:cs="Calibri"/>
          <w:szCs w:val="24"/>
          <w:lang w:val="en-AU"/>
        </w:rPr>
        <w:t>.</w:t>
      </w:r>
      <w:r>
        <w:rPr>
          <w:rFonts w:cs="Calibri"/>
          <w:szCs w:val="24"/>
          <w:lang w:val="en-AU"/>
        </w:rPr>
        <w:t>2</w:t>
      </w:r>
      <w:r w:rsidRPr="00FF48C6">
        <w:rPr>
          <w:rFonts w:cs="Calibri"/>
          <w:szCs w:val="24"/>
          <w:lang w:val="en-AU"/>
        </w:rPr>
        <w:tab/>
      </w:r>
      <w:r w:rsidR="00B77358">
        <w:rPr>
          <w:rFonts w:cs="Calibri"/>
          <w:szCs w:val="24"/>
          <w:lang w:val="en-AU"/>
        </w:rPr>
        <w:t>As of 31 December 2015, t</w:t>
      </w:r>
      <w:r w:rsidR="00B02AA6">
        <w:rPr>
          <w:rFonts w:cs="Calibri"/>
          <w:szCs w:val="24"/>
          <w:lang w:val="en-AU"/>
        </w:rPr>
        <w:t xml:space="preserve">he </w:t>
      </w:r>
      <w:r w:rsidR="007C5196">
        <w:rPr>
          <w:rFonts w:cs="Calibri"/>
          <w:szCs w:val="24"/>
          <w:lang w:val="en-AU"/>
        </w:rPr>
        <w:t xml:space="preserve">balance </w:t>
      </w:r>
      <w:r w:rsidR="00B02AA6">
        <w:rPr>
          <w:rFonts w:cs="Calibri"/>
          <w:szCs w:val="24"/>
          <w:lang w:val="en-AU"/>
        </w:rPr>
        <w:t xml:space="preserve">of the Reserve Account </w:t>
      </w:r>
      <w:r w:rsidR="00384832">
        <w:rPr>
          <w:rFonts w:cs="Calibri"/>
          <w:szCs w:val="24"/>
          <w:lang w:val="en-AU"/>
        </w:rPr>
        <w:t>st</w:t>
      </w:r>
      <w:r w:rsidR="000A1721">
        <w:rPr>
          <w:rFonts w:cs="Calibri"/>
          <w:szCs w:val="24"/>
          <w:lang w:val="en-AU"/>
        </w:rPr>
        <w:t>ood</w:t>
      </w:r>
      <w:r w:rsidR="00384832">
        <w:rPr>
          <w:rFonts w:cs="Calibri"/>
          <w:szCs w:val="24"/>
          <w:lang w:val="en-AU"/>
        </w:rPr>
        <w:t xml:space="preserve"> at </w:t>
      </w:r>
      <w:r w:rsidR="00B02AA6" w:rsidRPr="00AD5354">
        <w:rPr>
          <w:rFonts w:cs="Calibri"/>
          <w:szCs w:val="24"/>
          <w:lang w:val="en-AU"/>
        </w:rPr>
        <w:t>CHF</w:t>
      </w:r>
      <w:r w:rsidR="001D0578" w:rsidRPr="00AD5354">
        <w:rPr>
          <w:rFonts w:cs="Calibri"/>
          <w:szCs w:val="24"/>
          <w:lang w:val="en-AU"/>
        </w:rPr>
        <w:t> </w:t>
      </w:r>
      <w:r w:rsidR="00B02AA6" w:rsidRPr="00AD5354">
        <w:rPr>
          <w:rFonts w:cs="Calibri"/>
          <w:szCs w:val="24"/>
          <w:lang w:val="en-AU"/>
        </w:rPr>
        <w:t>27.</w:t>
      </w:r>
      <w:r w:rsidR="005A58F4">
        <w:rPr>
          <w:rFonts w:cs="Calibri"/>
          <w:szCs w:val="24"/>
          <w:lang w:val="en-AU"/>
        </w:rPr>
        <w:t>5</w:t>
      </w:r>
      <w:r w:rsidR="00B02AA6" w:rsidRPr="00AD5354">
        <w:rPr>
          <w:rFonts w:cs="Calibri"/>
          <w:szCs w:val="24"/>
          <w:lang w:val="en-AU"/>
        </w:rPr>
        <w:t xml:space="preserve"> </w:t>
      </w:r>
      <w:proofErr w:type="gramStart"/>
      <w:r w:rsidR="00B02AA6" w:rsidRPr="00AD5354">
        <w:rPr>
          <w:rFonts w:cs="Calibri"/>
          <w:szCs w:val="24"/>
          <w:lang w:val="en-AU"/>
        </w:rPr>
        <w:t>million</w:t>
      </w:r>
      <w:proofErr w:type="gramEnd"/>
      <w:r w:rsidR="00B77358">
        <w:rPr>
          <w:rFonts w:cs="Calibri"/>
          <w:szCs w:val="24"/>
          <w:lang w:val="en-AU"/>
        </w:rPr>
        <w:t xml:space="preserve">. </w:t>
      </w:r>
      <w:bookmarkStart w:id="12" w:name="_GoBack"/>
      <w:bookmarkEnd w:id="12"/>
      <w:r w:rsidR="00BE02EF">
        <w:rPr>
          <w:rFonts w:cs="Calibri"/>
          <w:szCs w:val="24"/>
          <w:lang w:val="en-AU"/>
        </w:rPr>
        <w:t>The r</w:t>
      </w:r>
      <w:r w:rsidR="00510CDE">
        <w:rPr>
          <w:rFonts w:cs="Calibri"/>
          <w:szCs w:val="24"/>
          <w:lang w:val="en-AU"/>
        </w:rPr>
        <w:t>esult of the</w:t>
      </w:r>
      <w:r w:rsidR="00D91B6A">
        <w:rPr>
          <w:rFonts w:cs="Calibri"/>
          <w:szCs w:val="24"/>
          <w:lang w:val="en-AU"/>
        </w:rPr>
        <w:t xml:space="preserve"> year 2016 </w:t>
      </w:r>
      <w:proofErr w:type="gramStart"/>
      <w:r w:rsidR="00510CDE">
        <w:rPr>
          <w:rFonts w:cs="Calibri"/>
          <w:szCs w:val="24"/>
          <w:lang w:val="en-AU"/>
        </w:rPr>
        <w:t>will be reflected</w:t>
      </w:r>
      <w:proofErr w:type="gramEnd"/>
      <w:r w:rsidR="00510CDE">
        <w:rPr>
          <w:rFonts w:cs="Calibri"/>
          <w:szCs w:val="24"/>
          <w:lang w:val="en-AU"/>
        </w:rPr>
        <w:t xml:space="preserve"> after the closing of the year.</w:t>
      </w:r>
    </w:p>
    <w:p w:rsidR="00284CB4" w:rsidRDefault="00284CB4" w:rsidP="00CD07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jc w:val="center"/>
        <w:textAlignment w:val="auto"/>
        <w:rPr>
          <w:rFonts w:cs="Calibri"/>
          <w:szCs w:val="24"/>
          <w:lang w:val="en-AU"/>
        </w:rPr>
      </w:pPr>
      <w:r>
        <w:rPr>
          <w:rFonts w:cs="Calibri"/>
          <w:szCs w:val="24"/>
          <w:lang w:val="en-AU"/>
        </w:rPr>
        <w:t>______________</w:t>
      </w:r>
    </w:p>
    <w:sectPr w:rsidR="00284CB4" w:rsidSect="00002F56">
      <w:headerReference w:type="default" r:id="rId16"/>
      <w:footerReference w:type="first" r:id="rId17"/>
      <w:pgSz w:w="11907" w:h="16834" w:code="9"/>
      <w:pgMar w:top="1304" w:right="1134" w:bottom="56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47" w:rsidRDefault="00CD0747">
      <w:r>
        <w:separator/>
      </w:r>
    </w:p>
  </w:endnote>
  <w:endnote w:type="continuationSeparator" w:id="0">
    <w:p w:rsidR="00CD0747" w:rsidRDefault="00C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47" w:rsidRDefault="00CD0747" w:rsidP="00B75645">
    <w:pPr>
      <w:spacing w:after="120"/>
      <w:jc w:val="center"/>
    </w:pPr>
    <w:r>
      <w:t xml:space="preserve">• </w:t>
    </w:r>
    <w:hyperlink r:id="rId1" w:history="1">
      <w:r w:rsidRPr="00F41806"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47" w:rsidRDefault="00CD0747">
      <w:r>
        <w:t>____________________</w:t>
      </w:r>
    </w:p>
  </w:footnote>
  <w:footnote w:type="continuationSeparator" w:id="0">
    <w:p w:rsidR="00CD0747" w:rsidRDefault="00CD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47" w:rsidRPr="002563F3" w:rsidRDefault="00CD0747" w:rsidP="00CE433C">
    <w:pPr>
      <w:pStyle w:val="Header"/>
      <w:rPr>
        <w:sz w:val="20"/>
        <w:lang w:val="es-ES"/>
      </w:rPr>
    </w:pPr>
    <w:r w:rsidRPr="002563F3">
      <w:rPr>
        <w:sz w:val="20"/>
      </w:rPr>
      <w:t>- </w:t>
    </w:r>
    <w:r w:rsidRPr="002563F3">
      <w:rPr>
        <w:sz w:val="20"/>
      </w:rPr>
      <w:fldChar w:fldCharType="begin"/>
    </w:r>
    <w:r w:rsidRPr="002563F3">
      <w:rPr>
        <w:sz w:val="20"/>
      </w:rPr>
      <w:instrText>PAGE</w:instrText>
    </w:r>
    <w:r w:rsidRPr="002563F3">
      <w:rPr>
        <w:sz w:val="20"/>
      </w:rPr>
      <w:fldChar w:fldCharType="separate"/>
    </w:r>
    <w:r w:rsidR="00002F56">
      <w:rPr>
        <w:noProof/>
        <w:sz w:val="20"/>
      </w:rPr>
      <w:t>3</w:t>
    </w:r>
    <w:r w:rsidRPr="002563F3">
      <w:rPr>
        <w:noProof/>
        <w:sz w:val="20"/>
      </w:rPr>
      <w:fldChar w:fldCharType="end"/>
    </w:r>
    <w:r w:rsidRPr="002563F3">
      <w:rPr>
        <w:noProof/>
        <w:sz w:val="20"/>
      </w:rPr>
      <w:t>/</w:t>
    </w:r>
    <w:r w:rsidRPr="002563F3">
      <w:rPr>
        <w:sz w:val="20"/>
      </w:rPr>
      <w:fldChar w:fldCharType="begin"/>
    </w:r>
    <w:r w:rsidRPr="002563F3">
      <w:rPr>
        <w:sz w:val="20"/>
      </w:rPr>
      <w:instrText xml:space="preserve"> NUMPAGES   \* MERGEFORMAT </w:instrText>
    </w:r>
    <w:r w:rsidRPr="002563F3">
      <w:rPr>
        <w:sz w:val="20"/>
      </w:rPr>
      <w:fldChar w:fldCharType="separate"/>
    </w:r>
    <w:r w:rsidR="00002F56">
      <w:rPr>
        <w:noProof/>
        <w:sz w:val="20"/>
      </w:rPr>
      <w:t>3</w:t>
    </w:r>
    <w:r w:rsidRPr="002563F3">
      <w:rPr>
        <w:noProof/>
        <w:sz w:val="20"/>
      </w:rPr>
      <w:fldChar w:fldCharType="end"/>
    </w:r>
    <w:r w:rsidRPr="002563F3">
      <w:rPr>
        <w:noProof/>
        <w:sz w:val="20"/>
        <w:lang w:val="es-ES"/>
      </w:rPr>
      <w:t> -</w:t>
    </w:r>
  </w:p>
  <w:p w:rsidR="00CD0747" w:rsidRPr="002563F3" w:rsidRDefault="00CD0747" w:rsidP="00CD0747">
    <w:pPr>
      <w:pStyle w:val="Header"/>
      <w:spacing w:after="120"/>
      <w:rPr>
        <w:sz w:val="20"/>
        <w:lang w:val="es-ES"/>
      </w:rPr>
    </w:pPr>
    <w:r w:rsidRPr="002563F3">
      <w:rPr>
        <w:sz w:val="20"/>
        <w:lang w:val="es-ES"/>
      </w:rPr>
      <w:t>C17/9-E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40F18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57EF"/>
    <w:multiLevelType w:val="hybridMultilevel"/>
    <w:tmpl w:val="5908DAFE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74E79"/>
    <w:multiLevelType w:val="multilevel"/>
    <w:tmpl w:val="7332BF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4" w15:restartNumberingAfterBreak="0">
    <w:nsid w:val="13B130FA"/>
    <w:multiLevelType w:val="hybridMultilevel"/>
    <w:tmpl w:val="443063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DC2707"/>
    <w:multiLevelType w:val="hybridMultilevel"/>
    <w:tmpl w:val="1AD248B6"/>
    <w:lvl w:ilvl="0" w:tplc="617C423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DB0AB2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C4E6B"/>
    <w:multiLevelType w:val="hybridMultilevel"/>
    <w:tmpl w:val="5DAC0ED8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250E22"/>
    <w:multiLevelType w:val="hybridMultilevel"/>
    <w:tmpl w:val="E58A736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9613A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3794"/>
    <w:multiLevelType w:val="hybridMultilevel"/>
    <w:tmpl w:val="75B88DF0"/>
    <w:lvl w:ilvl="0" w:tplc="B13CFA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4040A"/>
    <w:multiLevelType w:val="multilevel"/>
    <w:tmpl w:val="6E10E65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684A1D"/>
    <w:multiLevelType w:val="hybridMultilevel"/>
    <w:tmpl w:val="DD2ED0D8"/>
    <w:lvl w:ilvl="0" w:tplc="E80EF306"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33D07B6C"/>
    <w:multiLevelType w:val="hybridMultilevel"/>
    <w:tmpl w:val="EE02457A"/>
    <w:lvl w:ilvl="0" w:tplc="DFFA313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C4D11"/>
    <w:multiLevelType w:val="hybridMultilevel"/>
    <w:tmpl w:val="570A7E40"/>
    <w:lvl w:ilvl="0" w:tplc="CBFE5848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91756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9044D"/>
    <w:multiLevelType w:val="hybridMultilevel"/>
    <w:tmpl w:val="FF26028E"/>
    <w:lvl w:ilvl="0" w:tplc="42E23420">
      <w:start w:val="14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42AA303E"/>
    <w:multiLevelType w:val="hybridMultilevel"/>
    <w:tmpl w:val="220A5244"/>
    <w:lvl w:ilvl="0" w:tplc="9D94E754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1400F"/>
    <w:multiLevelType w:val="hybridMultilevel"/>
    <w:tmpl w:val="5D340810"/>
    <w:lvl w:ilvl="0" w:tplc="0409000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19" w15:restartNumberingAfterBreak="0">
    <w:nsid w:val="4A4E58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525714"/>
    <w:multiLevelType w:val="hybridMultilevel"/>
    <w:tmpl w:val="C4EE5C5E"/>
    <w:lvl w:ilvl="0" w:tplc="5CF0E2FE">
      <w:start w:val="4"/>
      <w:numFmt w:val="decimal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99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22" w15:restartNumberingAfterBreak="0">
    <w:nsid w:val="63502EEC"/>
    <w:multiLevelType w:val="hybridMultilevel"/>
    <w:tmpl w:val="BFF8191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8"/>
        </w:tabs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8"/>
        </w:tabs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8"/>
        </w:tabs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8"/>
        </w:tabs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8"/>
        </w:tabs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8"/>
        </w:tabs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8"/>
        </w:tabs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8"/>
        </w:tabs>
        <w:ind w:left="7218" w:hanging="180"/>
      </w:pPr>
    </w:lvl>
  </w:abstractNum>
  <w:abstractNum w:abstractNumId="23" w15:restartNumberingAfterBreak="0">
    <w:nsid w:val="66330473"/>
    <w:multiLevelType w:val="hybridMultilevel"/>
    <w:tmpl w:val="27D22A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D97036"/>
    <w:multiLevelType w:val="hybridMultilevel"/>
    <w:tmpl w:val="27F8B51A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9F1EAB"/>
    <w:multiLevelType w:val="multilevel"/>
    <w:tmpl w:val="8E105D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7536FAA"/>
    <w:multiLevelType w:val="singleLevel"/>
    <w:tmpl w:val="48EAAC2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7C1052C1"/>
    <w:multiLevelType w:val="hybridMultilevel"/>
    <w:tmpl w:val="E578CBD2"/>
    <w:lvl w:ilvl="0" w:tplc="E95044E8">
      <w:start w:val="6"/>
      <w:numFmt w:val="decimal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712F76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3"/>
  </w:num>
  <w:num w:numId="5">
    <w:abstractNumId w:val="14"/>
  </w:num>
  <w:num w:numId="6">
    <w:abstractNumId w:val="27"/>
  </w:num>
  <w:num w:numId="7">
    <w:abstractNumId w:val="20"/>
  </w:num>
  <w:num w:numId="8">
    <w:abstractNumId w:val="24"/>
  </w:num>
  <w:num w:numId="9">
    <w:abstractNumId w:val="2"/>
  </w:num>
  <w:num w:numId="10">
    <w:abstractNumId w:val="26"/>
  </w:num>
  <w:num w:numId="11">
    <w:abstractNumId w:val="5"/>
  </w:num>
  <w:num w:numId="12">
    <w:abstractNumId w:val="3"/>
  </w:num>
  <w:num w:numId="13">
    <w:abstractNumId w:val="18"/>
  </w:num>
  <w:num w:numId="14">
    <w:abstractNumId w:val="22"/>
  </w:num>
  <w:num w:numId="15">
    <w:abstractNumId w:val="4"/>
  </w:num>
  <w:num w:numId="16">
    <w:abstractNumId w:val="16"/>
  </w:num>
  <w:num w:numId="17">
    <w:abstractNumId w:val="12"/>
  </w:num>
  <w:num w:numId="18">
    <w:abstractNumId w:val="10"/>
  </w:num>
  <w:num w:numId="19">
    <w:abstractNumId w:val="21"/>
  </w:num>
  <w:num w:numId="20">
    <w:abstractNumId w:val="9"/>
  </w:num>
  <w:num w:numId="21">
    <w:abstractNumId w:val="1"/>
  </w:num>
  <w:num w:numId="22">
    <w:abstractNumId w:val="15"/>
  </w:num>
  <w:num w:numId="23">
    <w:abstractNumId w:val="28"/>
  </w:num>
  <w:num w:numId="24">
    <w:abstractNumId w:val="6"/>
  </w:num>
  <w:num w:numId="25">
    <w:abstractNumId w:val="19"/>
  </w:num>
  <w:num w:numId="26">
    <w:abstractNumId w:val="11"/>
  </w:num>
  <w:num w:numId="27">
    <w:abstractNumId w:val="7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4A"/>
    <w:rsid w:val="00000B67"/>
    <w:rsid w:val="00000F6B"/>
    <w:rsid w:val="00001851"/>
    <w:rsid w:val="0000194A"/>
    <w:rsid w:val="00001EAF"/>
    <w:rsid w:val="00002F56"/>
    <w:rsid w:val="00007824"/>
    <w:rsid w:val="00012C20"/>
    <w:rsid w:val="00013C0E"/>
    <w:rsid w:val="00020A9C"/>
    <w:rsid w:val="000223F2"/>
    <w:rsid w:val="000232B3"/>
    <w:rsid w:val="00025F14"/>
    <w:rsid w:val="000308C9"/>
    <w:rsid w:val="00036B70"/>
    <w:rsid w:val="00036E9F"/>
    <w:rsid w:val="000424DB"/>
    <w:rsid w:val="00042695"/>
    <w:rsid w:val="00042CE9"/>
    <w:rsid w:val="00045ECA"/>
    <w:rsid w:val="00045F4E"/>
    <w:rsid w:val="000469C8"/>
    <w:rsid w:val="00046E05"/>
    <w:rsid w:val="0005055F"/>
    <w:rsid w:val="00050BA0"/>
    <w:rsid w:val="000531E6"/>
    <w:rsid w:val="00056E66"/>
    <w:rsid w:val="00057B7A"/>
    <w:rsid w:val="00060670"/>
    <w:rsid w:val="00061EFA"/>
    <w:rsid w:val="00063016"/>
    <w:rsid w:val="00064C57"/>
    <w:rsid w:val="00066B32"/>
    <w:rsid w:val="00073BAF"/>
    <w:rsid w:val="00074051"/>
    <w:rsid w:val="00076AF6"/>
    <w:rsid w:val="000802D8"/>
    <w:rsid w:val="00081900"/>
    <w:rsid w:val="00081B64"/>
    <w:rsid w:val="0008418A"/>
    <w:rsid w:val="00085CF2"/>
    <w:rsid w:val="00090B8D"/>
    <w:rsid w:val="00092173"/>
    <w:rsid w:val="00093041"/>
    <w:rsid w:val="00093FB8"/>
    <w:rsid w:val="00094EBD"/>
    <w:rsid w:val="00096F47"/>
    <w:rsid w:val="000A1721"/>
    <w:rsid w:val="000A21DA"/>
    <w:rsid w:val="000A21E7"/>
    <w:rsid w:val="000B040B"/>
    <w:rsid w:val="000B0731"/>
    <w:rsid w:val="000B1705"/>
    <w:rsid w:val="000B22A6"/>
    <w:rsid w:val="000B2FC9"/>
    <w:rsid w:val="000B7708"/>
    <w:rsid w:val="000B7BD9"/>
    <w:rsid w:val="000C171C"/>
    <w:rsid w:val="000C4F85"/>
    <w:rsid w:val="000D2000"/>
    <w:rsid w:val="000D27C9"/>
    <w:rsid w:val="000D726A"/>
    <w:rsid w:val="000D7D4F"/>
    <w:rsid w:val="000E4FFD"/>
    <w:rsid w:val="000E6000"/>
    <w:rsid w:val="000F16D2"/>
    <w:rsid w:val="000F32AE"/>
    <w:rsid w:val="000F4694"/>
    <w:rsid w:val="000F7F3D"/>
    <w:rsid w:val="0010035C"/>
    <w:rsid w:val="00102AAB"/>
    <w:rsid w:val="00103D6C"/>
    <w:rsid w:val="001044BF"/>
    <w:rsid w:val="001121F5"/>
    <w:rsid w:val="00123105"/>
    <w:rsid w:val="00125584"/>
    <w:rsid w:val="00127E12"/>
    <w:rsid w:val="001328A4"/>
    <w:rsid w:val="001406E3"/>
    <w:rsid w:val="00140CE1"/>
    <w:rsid w:val="001421CB"/>
    <w:rsid w:val="001439DA"/>
    <w:rsid w:val="001448D7"/>
    <w:rsid w:val="00147457"/>
    <w:rsid w:val="0015127E"/>
    <w:rsid w:val="0015568A"/>
    <w:rsid w:val="001604F4"/>
    <w:rsid w:val="0016105E"/>
    <w:rsid w:val="0016216A"/>
    <w:rsid w:val="00164DE2"/>
    <w:rsid w:val="00165FCA"/>
    <w:rsid w:val="00166350"/>
    <w:rsid w:val="00167627"/>
    <w:rsid w:val="001734D3"/>
    <w:rsid w:val="00173FD2"/>
    <w:rsid w:val="00175368"/>
    <w:rsid w:val="0017539C"/>
    <w:rsid w:val="00175AC2"/>
    <w:rsid w:val="0017609F"/>
    <w:rsid w:val="00180659"/>
    <w:rsid w:val="00182DF9"/>
    <w:rsid w:val="0018401A"/>
    <w:rsid w:val="001844B5"/>
    <w:rsid w:val="00184DEC"/>
    <w:rsid w:val="0018582C"/>
    <w:rsid w:val="00185E64"/>
    <w:rsid w:val="00186C9F"/>
    <w:rsid w:val="00187521"/>
    <w:rsid w:val="00187817"/>
    <w:rsid w:val="00190BAF"/>
    <w:rsid w:val="001918DE"/>
    <w:rsid w:val="001A3D41"/>
    <w:rsid w:val="001A5CD0"/>
    <w:rsid w:val="001A6C4D"/>
    <w:rsid w:val="001B33C0"/>
    <w:rsid w:val="001B415C"/>
    <w:rsid w:val="001B488B"/>
    <w:rsid w:val="001B5389"/>
    <w:rsid w:val="001B7CB2"/>
    <w:rsid w:val="001C0F3F"/>
    <w:rsid w:val="001C2FDF"/>
    <w:rsid w:val="001C4530"/>
    <w:rsid w:val="001C628E"/>
    <w:rsid w:val="001C688B"/>
    <w:rsid w:val="001D0578"/>
    <w:rsid w:val="001D0C78"/>
    <w:rsid w:val="001D3D5B"/>
    <w:rsid w:val="001D3FF2"/>
    <w:rsid w:val="001D44A7"/>
    <w:rsid w:val="001D5899"/>
    <w:rsid w:val="001E0F7B"/>
    <w:rsid w:val="001E3275"/>
    <w:rsid w:val="001E5CAF"/>
    <w:rsid w:val="001E77E2"/>
    <w:rsid w:val="001E7A3E"/>
    <w:rsid w:val="001F1175"/>
    <w:rsid w:val="001F46E9"/>
    <w:rsid w:val="001F6849"/>
    <w:rsid w:val="002038B5"/>
    <w:rsid w:val="00203D0A"/>
    <w:rsid w:val="00204E05"/>
    <w:rsid w:val="00204F3D"/>
    <w:rsid w:val="00205200"/>
    <w:rsid w:val="00205FD0"/>
    <w:rsid w:val="002119FD"/>
    <w:rsid w:val="00211F06"/>
    <w:rsid w:val="002130E0"/>
    <w:rsid w:val="0021784A"/>
    <w:rsid w:val="00223679"/>
    <w:rsid w:val="0022695F"/>
    <w:rsid w:val="00227241"/>
    <w:rsid w:val="0023396A"/>
    <w:rsid w:val="00236DED"/>
    <w:rsid w:val="002373F8"/>
    <w:rsid w:val="0024002B"/>
    <w:rsid w:val="0024039D"/>
    <w:rsid w:val="00240B4E"/>
    <w:rsid w:val="00243487"/>
    <w:rsid w:val="0024367F"/>
    <w:rsid w:val="0024374E"/>
    <w:rsid w:val="00245F54"/>
    <w:rsid w:val="002513A3"/>
    <w:rsid w:val="00251775"/>
    <w:rsid w:val="00251E26"/>
    <w:rsid w:val="00252843"/>
    <w:rsid w:val="0025328D"/>
    <w:rsid w:val="00253C6A"/>
    <w:rsid w:val="0025503F"/>
    <w:rsid w:val="0025555E"/>
    <w:rsid w:val="002563F3"/>
    <w:rsid w:val="00256740"/>
    <w:rsid w:val="00256EA2"/>
    <w:rsid w:val="00257C7A"/>
    <w:rsid w:val="002614FB"/>
    <w:rsid w:val="00261518"/>
    <w:rsid w:val="0026173B"/>
    <w:rsid w:val="00262666"/>
    <w:rsid w:val="002640BC"/>
    <w:rsid w:val="00265875"/>
    <w:rsid w:val="00270151"/>
    <w:rsid w:val="00270484"/>
    <w:rsid w:val="0027303B"/>
    <w:rsid w:val="002773E9"/>
    <w:rsid w:val="002807F7"/>
    <w:rsid w:val="0028109B"/>
    <w:rsid w:val="00281B5D"/>
    <w:rsid w:val="00282475"/>
    <w:rsid w:val="00284CB4"/>
    <w:rsid w:val="002855A8"/>
    <w:rsid w:val="0029145A"/>
    <w:rsid w:val="002A00E6"/>
    <w:rsid w:val="002A2B24"/>
    <w:rsid w:val="002B1F58"/>
    <w:rsid w:val="002B2B75"/>
    <w:rsid w:val="002B2F50"/>
    <w:rsid w:val="002B701A"/>
    <w:rsid w:val="002C1496"/>
    <w:rsid w:val="002C1C7A"/>
    <w:rsid w:val="002C438B"/>
    <w:rsid w:val="002C7904"/>
    <w:rsid w:val="002D2F7B"/>
    <w:rsid w:val="002D4D11"/>
    <w:rsid w:val="002E33A7"/>
    <w:rsid w:val="002E36F2"/>
    <w:rsid w:val="002E3C07"/>
    <w:rsid w:val="002F03FD"/>
    <w:rsid w:val="002F25EB"/>
    <w:rsid w:val="002F2819"/>
    <w:rsid w:val="002F3D9E"/>
    <w:rsid w:val="002F41FD"/>
    <w:rsid w:val="002F591C"/>
    <w:rsid w:val="00304316"/>
    <w:rsid w:val="00310EE4"/>
    <w:rsid w:val="00312ADE"/>
    <w:rsid w:val="003131A3"/>
    <w:rsid w:val="003144DF"/>
    <w:rsid w:val="00316DF1"/>
    <w:rsid w:val="00317855"/>
    <w:rsid w:val="00320104"/>
    <w:rsid w:val="003202A1"/>
    <w:rsid w:val="00321D61"/>
    <w:rsid w:val="00322D0D"/>
    <w:rsid w:val="00323C13"/>
    <w:rsid w:val="003267B9"/>
    <w:rsid w:val="00327900"/>
    <w:rsid w:val="00331E91"/>
    <w:rsid w:val="003320E0"/>
    <w:rsid w:val="0033250A"/>
    <w:rsid w:val="003341A9"/>
    <w:rsid w:val="00334462"/>
    <w:rsid w:val="00334F1C"/>
    <w:rsid w:val="00342F1F"/>
    <w:rsid w:val="00343429"/>
    <w:rsid w:val="003550E6"/>
    <w:rsid w:val="00357462"/>
    <w:rsid w:val="0035786D"/>
    <w:rsid w:val="0036355E"/>
    <w:rsid w:val="003635FB"/>
    <w:rsid w:val="0036473B"/>
    <w:rsid w:val="00364FF0"/>
    <w:rsid w:val="00365D9A"/>
    <w:rsid w:val="0037137E"/>
    <w:rsid w:val="00373996"/>
    <w:rsid w:val="00373C23"/>
    <w:rsid w:val="00376BE0"/>
    <w:rsid w:val="00382CBB"/>
    <w:rsid w:val="00383483"/>
    <w:rsid w:val="00383C65"/>
    <w:rsid w:val="00384832"/>
    <w:rsid w:val="00392238"/>
    <w:rsid w:val="00392D6B"/>
    <w:rsid w:val="003942D4"/>
    <w:rsid w:val="003958A8"/>
    <w:rsid w:val="00396F54"/>
    <w:rsid w:val="003A0B76"/>
    <w:rsid w:val="003A11DA"/>
    <w:rsid w:val="003A2E82"/>
    <w:rsid w:val="003A5812"/>
    <w:rsid w:val="003A5F60"/>
    <w:rsid w:val="003B08F4"/>
    <w:rsid w:val="003B11DB"/>
    <w:rsid w:val="003B2FAB"/>
    <w:rsid w:val="003B3601"/>
    <w:rsid w:val="003B4644"/>
    <w:rsid w:val="003B6CF5"/>
    <w:rsid w:val="003B6D48"/>
    <w:rsid w:val="003C3638"/>
    <w:rsid w:val="003C55FE"/>
    <w:rsid w:val="003C561B"/>
    <w:rsid w:val="003C5757"/>
    <w:rsid w:val="003D21CF"/>
    <w:rsid w:val="003D3628"/>
    <w:rsid w:val="003E390F"/>
    <w:rsid w:val="003E4F7E"/>
    <w:rsid w:val="003E5605"/>
    <w:rsid w:val="003F0392"/>
    <w:rsid w:val="003F1103"/>
    <w:rsid w:val="003F5F3A"/>
    <w:rsid w:val="003F7D80"/>
    <w:rsid w:val="00401271"/>
    <w:rsid w:val="0040435A"/>
    <w:rsid w:val="004044D9"/>
    <w:rsid w:val="0040742C"/>
    <w:rsid w:val="0041019B"/>
    <w:rsid w:val="004123F9"/>
    <w:rsid w:val="00413A9C"/>
    <w:rsid w:val="0041450A"/>
    <w:rsid w:val="00414B75"/>
    <w:rsid w:val="00415B41"/>
    <w:rsid w:val="0041685C"/>
    <w:rsid w:val="00424AE9"/>
    <w:rsid w:val="0042672F"/>
    <w:rsid w:val="00431D9E"/>
    <w:rsid w:val="0043250C"/>
    <w:rsid w:val="00433CE8"/>
    <w:rsid w:val="00434A5C"/>
    <w:rsid w:val="00446C81"/>
    <w:rsid w:val="00450D85"/>
    <w:rsid w:val="00452A43"/>
    <w:rsid w:val="00453E06"/>
    <w:rsid w:val="004544D9"/>
    <w:rsid w:val="00455F46"/>
    <w:rsid w:val="00456C7D"/>
    <w:rsid w:val="00460E04"/>
    <w:rsid w:val="00465EAC"/>
    <w:rsid w:val="00467D53"/>
    <w:rsid w:val="004775D5"/>
    <w:rsid w:val="00477612"/>
    <w:rsid w:val="004847E2"/>
    <w:rsid w:val="00484B43"/>
    <w:rsid w:val="00486253"/>
    <w:rsid w:val="00490E72"/>
    <w:rsid w:val="004921C8"/>
    <w:rsid w:val="0049417D"/>
    <w:rsid w:val="00496CDD"/>
    <w:rsid w:val="004A13D6"/>
    <w:rsid w:val="004A3277"/>
    <w:rsid w:val="004A5F30"/>
    <w:rsid w:val="004A787E"/>
    <w:rsid w:val="004B25E4"/>
    <w:rsid w:val="004B55B7"/>
    <w:rsid w:val="004B6EDE"/>
    <w:rsid w:val="004B6F27"/>
    <w:rsid w:val="004B7C20"/>
    <w:rsid w:val="004B7ED8"/>
    <w:rsid w:val="004C3184"/>
    <w:rsid w:val="004C3D4F"/>
    <w:rsid w:val="004C42B7"/>
    <w:rsid w:val="004D1042"/>
    <w:rsid w:val="004D11DF"/>
    <w:rsid w:val="004D1851"/>
    <w:rsid w:val="004D29DD"/>
    <w:rsid w:val="004D30C6"/>
    <w:rsid w:val="004D4FF5"/>
    <w:rsid w:val="004D599D"/>
    <w:rsid w:val="004D7A03"/>
    <w:rsid w:val="004E246A"/>
    <w:rsid w:val="004E2EA5"/>
    <w:rsid w:val="004E3AEB"/>
    <w:rsid w:val="004E4F2B"/>
    <w:rsid w:val="004F164D"/>
    <w:rsid w:val="004F5C65"/>
    <w:rsid w:val="004F7EEB"/>
    <w:rsid w:val="0050223C"/>
    <w:rsid w:val="00506F0E"/>
    <w:rsid w:val="00510CDE"/>
    <w:rsid w:val="00516EA4"/>
    <w:rsid w:val="00520164"/>
    <w:rsid w:val="005243FF"/>
    <w:rsid w:val="005248D9"/>
    <w:rsid w:val="00524C0A"/>
    <w:rsid w:val="00526592"/>
    <w:rsid w:val="00526762"/>
    <w:rsid w:val="0053413E"/>
    <w:rsid w:val="00534245"/>
    <w:rsid w:val="00537930"/>
    <w:rsid w:val="00537A8B"/>
    <w:rsid w:val="005423A3"/>
    <w:rsid w:val="00544B84"/>
    <w:rsid w:val="00547A0B"/>
    <w:rsid w:val="00547B63"/>
    <w:rsid w:val="00550E84"/>
    <w:rsid w:val="00555689"/>
    <w:rsid w:val="00560A13"/>
    <w:rsid w:val="005612B6"/>
    <w:rsid w:val="00561BCD"/>
    <w:rsid w:val="005628C5"/>
    <w:rsid w:val="00564071"/>
    <w:rsid w:val="00564FBC"/>
    <w:rsid w:val="00567ED4"/>
    <w:rsid w:val="00570A60"/>
    <w:rsid w:val="00571E02"/>
    <w:rsid w:val="00572939"/>
    <w:rsid w:val="00573B54"/>
    <w:rsid w:val="005806B6"/>
    <w:rsid w:val="00582442"/>
    <w:rsid w:val="0058397E"/>
    <w:rsid w:val="00593B56"/>
    <w:rsid w:val="0059675D"/>
    <w:rsid w:val="005A1D54"/>
    <w:rsid w:val="005A2F03"/>
    <w:rsid w:val="005A47CA"/>
    <w:rsid w:val="005A4C29"/>
    <w:rsid w:val="005A58F4"/>
    <w:rsid w:val="005B0393"/>
    <w:rsid w:val="005B293D"/>
    <w:rsid w:val="005B7B75"/>
    <w:rsid w:val="005C429A"/>
    <w:rsid w:val="005C5EB0"/>
    <w:rsid w:val="005C69D3"/>
    <w:rsid w:val="005D1E30"/>
    <w:rsid w:val="005D36F4"/>
    <w:rsid w:val="005D5F7E"/>
    <w:rsid w:val="005D6075"/>
    <w:rsid w:val="005E3044"/>
    <w:rsid w:val="005E6ED4"/>
    <w:rsid w:val="005E73E9"/>
    <w:rsid w:val="005F046E"/>
    <w:rsid w:val="005F5010"/>
    <w:rsid w:val="00601334"/>
    <w:rsid w:val="00602BF7"/>
    <w:rsid w:val="00603E8E"/>
    <w:rsid w:val="006072C3"/>
    <w:rsid w:val="00613A7C"/>
    <w:rsid w:val="00614981"/>
    <w:rsid w:val="00615F92"/>
    <w:rsid w:val="00617788"/>
    <w:rsid w:val="00620643"/>
    <w:rsid w:val="00621949"/>
    <w:rsid w:val="00622A48"/>
    <w:rsid w:val="0062731E"/>
    <w:rsid w:val="00630872"/>
    <w:rsid w:val="00631655"/>
    <w:rsid w:val="00631E64"/>
    <w:rsid w:val="006334F4"/>
    <w:rsid w:val="00637BE7"/>
    <w:rsid w:val="006459A0"/>
    <w:rsid w:val="006479D0"/>
    <w:rsid w:val="0065002D"/>
    <w:rsid w:val="00650BA9"/>
    <w:rsid w:val="006535F1"/>
    <w:rsid w:val="0065557D"/>
    <w:rsid w:val="006555BA"/>
    <w:rsid w:val="00656DB8"/>
    <w:rsid w:val="0066229E"/>
    <w:rsid w:val="00662984"/>
    <w:rsid w:val="006652ED"/>
    <w:rsid w:val="0067196B"/>
    <w:rsid w:val="00671D4C"/>
    <w:rsid w:val="00672CE9"/>
    <w:rsid w:val="00673168"/>
    <w:rsid w:val="00673904"/>
    <w:rsid w:val="00674EEB"/>
    <w:rsid w:val="006750AE"/>
    <w:rsid w:val="00680022"/>
    <w:rsid w:val="006805DA"/>
    <w:rsid w:val="00680B37"/>
    <w:rsid w:val="006879E9"/>
    <w:rsid w:val="0069057F"/>
    <w:rsid w:val="00690DC8"/>
    <w:rsid w:val="006921B5"/>
    <w:rsid w:val="00695637"/>
    <w:rsid w:val="006A0448"/>
    <w:rsid w:val="006A1A5C"/>
    <w:rsid w:val="006A4035"/>
    <w:rsid w:val="006A7487"/>
    <w:rsid w:val="006A7E9B"/>
    <w:rsid w:val="006B3E42"/>
    <w:rsid w:val="006B5A8C"/>
    <w:rsid w:val="006B6DCC"/>
    <w:rsid w:val="006C06E6"/>
    <w:rsid w:val="006C46DB"/>
    <w:rsid w:val="006C4BE9"/>
    <w:rsid w:val="006C4ED5"/>
    <w:rsid w:val="006C5E51"/>
    <w:rsid w:val="006C67B9"/>
    <w:rsid w:val="006D0CDF"/>
    <w:rsid w:val="006D5ABB"/>
    <w:rsid w:val="006E08AD"/>
    <w:rsid w:val="006E428B"/>
    <w:rsid w:val="006E4A52"/>
    <w:rsid w:val="006E6398"/>
    <w:rsid w:val="006F0E5A"/>
    <w:rsid w:val="006F23E0"/>
    <w:rsid w:val="006F2FCE"/>
    <w:rsid w:val="006F6020"/>
    <w:rsid w:val="006F72A4"/>
    <w:rsid w:val="006F7604"/>
    <w:rsid w:val="0070042B"/>
    <w:rsid w:val="0070114A"/>
    <w:rsid w:val="007013E8"/>
    <w:rsid w:val="007063A4"/>
    <w:rsid w:val="00710919"/>
    <w:rsid w:val="00712CB9"/>
    <w:rsid w:val="00713647"/>
    <w:rsid w:val="00713B2F"/>
    <w:rsid w:val="007207A1"/>
    <w:rsid w:val="00722421"/>
    <w:rsid w:val="00723361"/>
    <w:rsid w:val="0072581A"/>
    <w:rsid w:val="0072691E"/>
    <w:rsid w:val="00726B92"/>
    <w:rsid w:val="00727F8D"/>
    <w:rsid w:val="0074002E"/>
    <w:rsid w:val="007435FB"/>
    <w:rsid w:val="00744C1E"/>
    <w:rsid w:val="007502C9"/>
    <w:rsid w:val="0075051B"/>
    <w:rsid w:val="00750D06"/>
    <w:rsid w:val="007539E9"/>
    <w:rsid w:val="007576F0"/>
    <w:rsid w:val="00761401"/>
    <w:rsid w:val="007639C3"/>
    <w:rsid w:val="00764C22"/>
    <w:rsid w:val="007672CC"/>
    <w:rsid w:val="00770E47"/>
    <w:rsid w:val="00771981"/>
    <w:rsid w:val="007724AF"/>
    <w:rsid w:val="00773156"/>
    <w:rsid w:val="00775449"/>
    <w:rsid w:val="007819AF"/>
    <w:rsid w:val="007819E2"/>
    <w:rsid w:val="00784A23"/>
    <w:rsid w:val="007930F9"/>
    <w:rsid w:val="00794D34"/>
    <w:rsid w:val="00795E29"/>
    <w:rsid w:val="007A0031"/>
    <w:rsid w:val="007A126A"/>
    <w:rsid w:val="007A12EB"/>
    <w:rsid w:val="007A3902"/>
    <w:rsid w:val="007A7127"/>
    <w:rsid w:val="007B1A44"/>
    <w:rsid w:val="007B2D1D"/>
    <w:rsid w:val="007B2DD2"/>
    <w:rsid w:val="007B38EA"/>
    <w:rsid w:val="007B3A92"/>
    <w:rsid w:val="007B533A"/>
    <w:rsid w:val="007B7696"/>
    <w:rsid w:val="007C14BB"/>
    <w:rsid w:val="007C2FC1"/>
    <w:rsid w:val="007C4F94"/>
    <w:rsid w:val="007C5196"/>
    <w:rsid w:val="007D0758"/>
    <w:rsid w:val="007D1533"/>
    <w:rsid w:val="007D3404"/>
    <w:rsid w:val="007D36D1"/>
    <w:rsid w:val="007D430F"/>
    <w:rsid w:val="007D4909"/>
    <w:rsid w:val="007D4B30"/>
    <w:rsid w:val="007D4BFF"/>
    <w:rsid w:val="007D56A7"/>
    <w:rsid w:val="007D5C05"/>
    <w:rsid w:val="007D5F22"/>
    <w:rsid w:val="007D775D"/>
    <w:rsid w:val="007E2D17"/>
    <w:rsid w:val="007E31B8"/>
    <w:rsid w:val="007E460F"/>
    <w:rsid w:val="007E5ADA"/>
    <w:rsid w:val="007F18C0"/>
    <w:rsid w:val="007F1C1E"/>
    <w:rsid w:val="007F257E"/>
    <w:rsid w:val="007F3E67"/>
    <w:rsid w:val="007F5EEC"/>
    <w:rsid w:val="007F7463"/>
    <w:rsid w:val="0080259E"/>
    <w:rsid w:val="00805023"/>
    <w:rsid w:val="00805777"/>
    <w:rsid w:val="00807B20"/>
    <w:rsid w:val="00810FE3"/>
    <w:rsid w:val="00813E5E"/>
    <w:rsid w:val="00817A05"/>
    <w:rsid w:val="008271C2"/>
    <w:rsid w:val="0083065B"/>
    <w:rsid w:val="00832F38"/>
    <w:rsid w:val="00834E1D"/>
    <w:rsid w:val="008352BE"/>
    <w:rsid w:val="0083581B"/>
    <w:rsid w:val="008360BD"/>
    <w:rsid w:val="0083662E"/>
    <w:rsid w:val="00836661"/>
    <w:rsid w:val="00837116"/>
    <w:rsid w:val="00841C91"/>
    <w:rsid w:val="008424BE"/>
    <w:rsid w:val="008432B4"/>
    <w:rsid w:val="008441D3"/>
    <w:rsid w:val="00851F8B"/>
    <w:rsid w:val="00852C83"/>
    <w:rsid w:val="008532B2"/>
    <w:rsid w:val="00856BCA"/>
    <w:rsid w:val="00857B16"/>
    <w:rsid w:val="008600CA"/>
    <w:rsid w:val="008604AA"/>
    <w:rsid w:val="00862061"/>
    <w:rsid w:val="008649E7"/>
    <w:rsid w:val="00864AFF"/>
    <w:rsid w:val="008652EA"/>
    <w:rsid w:val="008669C3"/>
    <w:rsid w:val="00876370"/>
    <w:rsid w:val="00877985"/>
    <w:rsid w:val="00881867"/>
    <w:rsid w:val="0088239A"/>
    <w:rsid w:val="0088398B"/>
    <w:rsid w:val="0088750D"/>
    <w:rsid w:val="00891394"/>
    <w:rsid w:val="008951E9"/>
    <w:rsid w:val="008963C9"/>
    <w:rsid w:val="00896DDF"/>
    <w:rsid w:val="008A3443"/>
    <w:rsid w:val="008A417D"/>
    <w:rsid w:val="008A57D6"/>
    <w:rsid w:val="008A5B42"/>
    <w:rsid w:val="008A6231"/>
    <w:rsid w:val="008A6292"/>
    <w:rsid w:val="008B161D"/>
    <w:rsid w:val="008B2919"/>
    <w:rsid w:val="008B44F8"/>
    <w:rsid w:val="008B4A6A"/>
    <w:rsid w:val="008B5752"/>
    <w:rsid w:val="008B6192"/>
    <w:rsid w:val="008C14FA"/>
    <w:rsid w:val="008C2A6F"/>
    <w:rsid w:val="008C3B1B"/>
    <w:rsid w:val="008C4151"/>
    <w:rsid w:val="008C6561"/>
    <w:rsid w:val="008C7DF2"/>
    <w:rsid w:val="008C7E27"/>
    <w:rsid w:val="008D252F"/>
    <w:rsid w:val="008D46B0"/>
    <w:rsid w:val="008D5CD0"/>
    <w:rsid w:val="008E7A89"/>
    <w:rsid w:val="008F5954"/>
    <w:rsid w:val="008F5B3D"/>
    <w:rsid w:val="00901266"/>
    <w:rsid w:val="00902677"/>
    <w:rsid w:val="00903AC9"/>
    <w:rsid w:val="00907689"/>
    <w:rsid w:val="0091544B"/>
    <w:rsid w:val="009173EF"/>
    <w:rsid w:val="00917CE9"/>
    <w:rsid w:val="00917F7B"/>
    <w:rsid w:val="0092275C"/>
    <w:rsid w:val="00923953"/>
    <w:rsid w:val="00927F54"/>
    <w:rsid w:val="009307E3"/>
    <w:rsid w:val="00930D22"/>
    <w:rsid w:val="00931696"/>
    <w:rsid w:val="00932906"/>
    <w:rsid w:val="0093311B"/>
    <w:rsid w:val="00936864"/>
    <w:rsid w:val="00936A4B"/>
    <w:rsid w:val="009371C7"/>
    <w:rsid w:val="00937807"/>
    <w:rsid w:val="0094120D"/>
    <w:rsid w:val="00942A73"/>
    <w:rsid w:val="00943E21"/>
    <w:rsid w:val="009441BF"/>
    <w:rsid w:val="0095064A"/>
    <w:rsid w:val="00953E8D"/>
    <w:rsid w:val="009544CB"/>
    <w:rsid w:val="00954AD0"/>
    <w:rsid w:val="0095530B"/>
    <w:rsid w:val="00955F1F"/>
    <w:rsid w:val="0095626D"/>
    <w:rsid w:val="009613D7"/>
    <w:rsid w:val="00961B0B"/>
    <w:rsid w:val="009636EB"/>
    <w:rsid w:val="00964306"/>
    <w:rsid w:val="00965DD6"/>
    <w:rsid w:val="00967FAE"/>
    <w:rsid w:val="00970478"/>
    <w:rsid w:val="009707FA"/>
    <w:rsid w:val="0097099F"/>
    <w:rsid w:val="00971E44"/>
    <w:rsid w:val="00973C12"/>
    <w:rsid w:val="00975C2D"/>
    <w:rsid w:val="00977349"/>
    <w:rsid w:val="00980992"/>
    <w:rsid w:val="00980DEA"/>
    <w:rsid w:val="00981085"/>
    <w:rsid w:val="00985048"/>
    <w:rsid w:val="0098782D"/>
    <w:rsid w:val="00990921"/>
    <w:rsid w:val="00991493"/>
    <w:rsid w:val="00994484"/>
    <w:rsid w:val="009965E5"/>
    <w:rsid w:val="00997FA8"/>
    <w:rsid w:val="009A0C6C"/>
    <w:rsid w:val="009A1757"/>
    <w:rsid w:val="009A1F9C"/>
    <w:rsid w:val="009A491C"/>
    <w:rsid w:val="009B263A"/>
    <w:rsid w:val="009B34CA"/>
    <w:rsid w:val="009B370D"/>
    <w:rsid w:val="009B500B"/>
    <w:rsid w:val="009B5AF6"/>
    <w:rsid w:val="009C6333"/>
    <w:rsid w:val="009D01FD"/>
    <w:rsid w:val="009D6A4B"/>
    <w:rsid w:val="009E17BD"/>
    <w:rsid w:val="009E254B"/>
    <w:rsid w:val="009E25BE"/>
    <w:rsid w:val="009E3602"/>
    <w:rsid w:val="009E4E5F"/>
    <w:rsid w:val="009F08C8"/>
    <w:rsid w:val="00A008CB"/>
    <w:rsid w:val="00A018EE"/>
    <w:rsid w:val="00A04CEC"/>
    <w:rsid w:val="00A06E22"/>
    <w:rsid w:val="00A12366"/>
    <w:rsid w:val="00A1270D"/>
    <w:rsid w:val="00A14065"/>
    <w:rsid w:val="00A16E94"/>
    <w:rsid w:val="00A17472"/>
    <w:rsid w:val="00A1770E"/>
    <w:rsid w:val="00A17E4C"/>
    <w:rsid w:val="00A214AC"/>
    <w:rsid w:val="00A23894"/>
    <w:rsid w:val="00A27F92"/>
    <w:rsid w:val="00A32FA6"/>
    <w:rsid w:val="00A3600E"/>
    <w:rsid w:val="00A36C4C"/>
    <w:rsid w:val="00A4043C"/>
    <w:rsid w:val="00A439ED"/>
    <w:rsid w:val="00A442A4"/>
    <w:rsid w:val="00A4504A"/>
    <w:rsid w:val="00A5185E"/>
    <w:rsid w:val="00A53202"/>
    <w:rsid w:val="00A55622"/>
    <w:rsid w:val="00A5632A"/>
    <w:rsid w:val="00A62171"/>
    <w:rsid w:val="00A66423"/>
    <w:rsid w:val="00A66D07"/>
    <w:rsid w:val="00A71FC9"/>
    <w:rsid w:val="00A73652"/>
    <w:rsid w:val="00A7466B"/>
    <w:rsid w:val="00A80F9D"/>
    <w:rsid w:val="00A83299"/>
    <w:rsid w:val="00A83502"/>
    <w:rsid w:val="00A83F65"/>
    <w:rsid w:val="00A84AF3"/>
    <w:rsid w:val="00A8670E"/>
    <w:rsid w:val="00A87115"/>
    <w:rsid w:val="00A90115"/>
    <w:rsid w:val="00A90CED"/>
    <w:rsid w:val="00AA2801"/>
    <w:rsid w:val="00AB45A4"/>
    <w:rsid w:val="00AC2BE4"/>
    <w:rsid w:val="00AC4725"/>
    <w:rsid w:val="00AC591D"/>
    <w:rsid w:val="00AD00E6"/>
    <w:rsid w:val="00AD0448"/>
    <w:rsid w:val="00AD2B18"/>
    <w:rsid w:val="00AD4A24"/>
    <w:rsid w:val="00AD5354"/>
    <w:rsid w:val="00AD5B21"/>
    <w:rsid w:val="00AD68FC"/>
    <w:rsid w:val="00AE1585"/>
    <w:rsid w:val="00AE1976"/>
    <w:rsid w:val="00AE49C5"/>
    <w:rsid w:val="00AE4ABC"/>
    <w:rsid w:val="00AE4AD8"/>
    <w:rsid w:val="00AE53D6"/>
    <w:rsid w:val="00AE715D"/>
    <w:rsid w:val="00AE762D"/>
    <w:rsid w:val="00AF0B7E"/>
    <w:rsid w:val="00AF43FC"/>
    <w:rsid w:val="00AF44C9"/>
    <w:rsid w:val="00AF5C39"/>
    <w:rsid w:val="00AF6A97"/>
    <w:rsid w:val="00AF6E49"/>
    <w:rsid w:val="00B02AA6"/>
    <w:rsid w:val="00B03484"/>
    <w:rsid w:val="00B04A67"/>
    <w:rsid w:val="00B0583C"/>
    <w:rsid w:val="00B11086"/>
    <w:rsid w:val="00B13554"/>
    <w:rsid w:val="00B13663"/>
    <w:rsid w:val="00B164E9"/>
    <w:rsid w:val="00B20A8F"/>
    <w:rsid w:val="00B20B37"/>
    <w:rsid w:val="00B218D5"/>
    <w:rsid w:val="00B235A8"/>
    <w:rsid w:val="00B23C36"/>
    <w:rsid w:val="00B2628A"/>
    <w:rsid w:val="00B30841"/>
    <w:rsid w:val="00B34D96"/>
    <w:rsid w:val="00B35C5E"/>
    <w:rsid w:val="00B36ABA"/>
    <w:rsid w:val="00B40A81"/>
    <w:rsid w:val="00B4274B"/>
    <w:rsid w:val="00B43CA7"/>
    <w:rsid w:val="00B44910"/>
    <w:rsid w:val="00B44E56"/>
    <w:rsid w:val="00B45FEC"/>
    <w:rsid w:val="00B52E42"/>
    <w:rsid w:val="00B56CC3"/>
    <w:rsid w:val="00B56FE9"/>
    <w:rsid w:val="00B604E1"/>
    <w:rsid w:val="00B60B87"/>
    <w:rsid w:val="00B6304B"/>
    <w:rsid w:val="00B656FA"/>
    <w:rsid w:val="00B66AF2"/>
    <w:rsid w:val="00B72267"/>
    <w:rsid w:val="00B7484A"/>
    <w:rsid w:val="00B75645"/>
    <w:rsid w:val="00B76EB6"/>
    <w:rsid w:val="00B77358"/>
    <w:rsid w:val="00B77A2B"/>
    <w:rsid w:val="00B824C8"/>
    <w:rsid w:val="00B835EF"/>
    <w:rsid w:val="00B84253"/>
    <w:rsid w:val="00B84EC2"/>
    <w:rsid w:val="00B87A3C"/>
    <w:rsid w:val="00B87C10"/>
    <w:rsid w:val="00B91A3B"/>
    <w:rsid w:val="00B92BA7"/>
    <w:rsid w:val="00B93D3A"/>
    <w:rsid w:val="00B946F9"/>
    <w:rsid w:val="00B94FC2"/>
    <w:rsid w:val="00B958F7"/>
    <w:rsid w:val="00BA2062"/>
    <w:rsid w:val="00BA27AE"/>
    <w:rsid w:val="00BA2F93"/>
    <w:rsid w:val="00BA401C"/>
    <w:rsid w:val="00BA42F0"/>
    <w:rsid w:val="00BA4D90"/>
    <w:rsid w:val="00BA6B89"/>
    <w:rsid w:val="00BB1501"/>
    <w:rsid w:val="00BB3C04"/>
    <w:rsid w:val="00BB6534"/>
    <w:rsid w:val="00BC1068"/>
    <w:rsid w:val="00BC251A"/>
    <w:rsid w:val="00BC2CD6"/>
    <w:rsid w:val="00BC5AE0"/>
    <w:rsid w:val="00BC62BB"/>
    <w:rsid w:val="00BC66D4"/>
    <w:rsid w:val="00BC7B5D"/>
    <w:rsid w:val="00BD032B"/>
    <w:rsid w:val="00BD0BA6"/>
    <w:rsid w:val="00BD524A"/>
    <w:rsid w:val="00BD6F97"/>
    <w:rsid w:val="00BE02EF"/>
    <w:rsid w:val="00BE0BD3"/>
    <w:rsid w:val="00BE1661"/>
    <w:rsid w:val="00BE2640"/>
    <w:rsid w:val="00BE28A0"/>
    <w:rsid w:val="00BE37B1"/>
    <w:rsid w:val="00BE37E9"/>
    <w:rsid w:val="00BE4397"/>
    <w:rsid w:val="00BF2A39"/>
    <w:rsid w:val="00BF4979"/>
    <w:rsid w:val="00C01189"/>
    <w:rsid w:val="00C02064"/>
    <w:rsid w:val="00C0221A"/>
    <w:rsid w:val="00C03964"/>
    <w:rsid w:val="00C0603E"/>
    <w:rsid w:val="00C13E72"/>
    <w:rsid w:val="00C14942"/>
    <w:rsid w:val="00C1525E"/>
    <w:rsid w:val="00C17458"/>
    <w:rsid w:val="00C174BB"/>
    <w:rsid w:val="00C22D8E"/>
    <w:rsid w:val="00C24F12"/>
    <w:rsid w:val="00C251F9"/>
    <w:rsid w:val="00C30F5E"/>
    <w:rsid w:val="00C31A1F"/>
    <w:rsid w:val="00C34BDC"/>
    <w:rsid w:val="00C352A2"/>
    <w:rsid w:val="00C37497"/>
    <w:rsid w:val="00C374DE"/>
    <w:rsid w:val="00C40C9A"/>
    <w:rsid w:val="00C43729"/>
    <w:rsid w:val="00C47AD4"/>
    <w:rsid w:val="00C52D81"/>
    <w:rsid w:val="00C55198"/>
    <w:rsid w:val="00C569D6"/>
    <w:rsid w:val="00C56F23"/>
    <w:rsid w:val="00C57705"/>
    <w:rsid w:val="00C65D64"/>
    <w:rsid w:val="00C66054"/>
    <w:rsid w:val="00C76E61"/>
    <w:rsid w:val="00C77236"/>
    <w:rsid w:val="00C804E5"/>
    <w:rsid w:val="00C8605A"/>
    <w:rsid w:val="00C91669"/>
    <w:rsid w:val="00C93E11"/>
    <w:rsid w:val="00C951CB"/>
    <w:rsid w:val="00CA0C81"/>
    <w:rsid w:val="00CA5A52"/>
    <w:rsid w:val="00CA6393"/>
    <w:rsid w:val="00CA6ABF"/>
    <w:rsid w:val="00CB18FF"/>
    <w:rsid w:val="00CB591F"/>
    <w:rsid w:val="00CC1757"/>
    <w:rsid w:val="00CC2373"/>
    <w:rsid w:val="00CC4DB0"/>
    <w:rsid w:val="00CC7C58"/>
    <w:rsid w:val="00CD0668"/>
    <w:rsid w:val="00CD0747"/>
    <w:rsid w:val="00CD0C08"/>
    <w:rsid w:val="00CD316F"/>
    <w:rsid w:val="00CD5DF8"/>
    <w:rsid w:val="00CD662A"/>
    <w:rsid w:val="00CE433C"/>
    <w:rsid w:val="00CE4BDB"/>
    <w:rsid w:val="00CE535C"/>
    <w:rsid w:val="00CE56E0"/>
    <w:rsid w:val="00CF33F3"/>
    <w:rsid w:val="00CF47D9"/>
    <w:rsid w:val="00CF7EB6"/>
    <w:rsid w:val="00D02E5A"/>
    <w:rsid w:val="00D03128"/>
    <w:rsid w:val="00D036D4"/>
    <w:rsid w:val="00D041B8"/>
    <w:rsid w:val="00D04D27"/>
    <w:rsid w:val="00D06183"/>
    <w:rsid w:val="00D15695"/>
    <w:rsid w:val="00D206AC"/>
    <w:rsid w:val="00D22C42"/>
    <w:rsid w:val="00D26031"/>
    <w:rsid w:val="00D270F1"/>
    <w:rsid w:val="00D36896"/>
    <w:rsid w:val="00D41DD3"/>
    <w:rsid w:val="00D51F86"/>
    <w:rsid w:val="00D52B1D"/>
    <w:rsid w:val="00D5397D"/>
    <w:rsid w:val="00D56A95"/>
    <w:rsid w:val="00D6192F"/>
    <w:rsid w:val="00D62E74"/>
    <w:rsid w:val="00D64E98"/>
    <w:rsid w:val="00D65041"/>
    <w:rsid w:val="00D65154"/>
    <w:rsid w:val="00D674F7"/>
    <w:rsid w:val="00D7510F"/>
    <w:rsid w:val="00D76981"/>
    <w:rsid w:val="00D83581"/>
    <w:rsid w:val="00D839A2"/>
    <w:rsid w:val="00D87BBE"/>
    <w:rsid w:val="00D91B6A"/>
    <w:rsid w:val="00D92C6C"/>
    <w:rsid w:val="00D9309A"/>
    <w:rsid w:val="00D9313C"/>
    <w:rsid w:val="00D9554D"/>
    <w:rsid w:val="00D96F18"/>
    <w:rsid w:val="00D9764A"/>
    <w:rsid w:val="00DA571F"/>
    <w:rsid w:val="00DA5802"/>
    <w:rsid w:val="00DA745A"/>
    <w:rsid w:val="00DA7A36"/>
    <w:rsid w:val="00DB3251"/>
    <w:rsid w:val="00DC30EE"/>
    <w:rsid w:val="00DC3D2C"/>
    <w:rsid w:val="00DC3F49"/>
    <w:rsid w:val="00DC4A2D"/>
    <w:rsid w:val="00DC4FBE"/>
    <w:rsid w:val="00DD0493"/>
    <w:rsid w:val="00DD1B4F"/>
    <w:rsid w:val="00DD1C58"/>
    <w:rsid w:val="00DD1F84"/>
    <w:rsid w:val="00DD3A12"/>
    <w:rsid w:val="00DD4368"/>
    <w:rsid w:val="00DD440E"/>
    <w:rsid w:val="00DD706D"/>
    <w:rsid w:val="00DE5870"/>
    <w:rsid w:val="00DF0265"/>
    <w:rsid w:val="00DF3759"/>
    <w:rsid w:val="00DF5E40"/>
    <w:rsid w:val="00E03274"/>
    <w:rsid w:val="00E064BF"/>
    <w:rsid w:val="00E0743B"/>
    <w:rsid w:val="00E10E80"/>
    <w:rsid w:val="00E11A68"/>
    <w:rsid w:val="00E124F0"/>
    <w:rsid w:val="00E12627"/>
    <w:rsid w:val="00E138EF"/>
    <w:rsid w:val="00E14831"/>
    <w:rsid w:val="00E15562"/>
    <w:rsid w:val="00E16DE3"/>
    <w:rsid w:val="00E17411"/>
    <w:rsid w:val="00E21E1D"/>
    <w:rsid w:val="00E2227D"/>
    <w:rsid w:val="00E25D26"/>
    <w:rsid w:val="00E27A32"/>
    <w:rsid w:val="00E31060"/>
    <w:rsid w:val="00E35CAD"/>
    <w:rsid w:val="00E377B2"/>
    <w:rsid w:val="00E44663"/>
    <w:rsid w:val="00E448AD"/>
    <w:rsid w:val="00E45B4F"/>
    <w:rsid w:val="00E467C5"/>
    <w:rsid w:val="00E47078"/>
    <w:rsid w:val="00E4745F"/>
    <w:rsid w:val="00E50428"/>
    <w:rsid w:val="00E51BBA"/>
    <w:rsid w:val="00E523E2"/>
    <w:rsid w:val="00E56C95"/>
    <w:rsid w:val="00E57AB8"/>
    <w:rsid w:val="00E60CC3"/>
    <w:rsid w:val="00E61B48"/>
    <w:rsid w:val="00E62042"/>
    <w:rsid w:val="00E63D10"/>
    <w:rsid w:val="00E640C9"/>
    <w:rsid w:val="00E65D82"/>
    <w:rsid w:val="00E65E8F"/>
    <w:rsid w:val="00E7349F"/>
    <w:rsid w:val="00E756E0"/>
    <w:rsid w:val="00E8652F"/>
    <w:rsid w:val="00E9033C"/>
    <w:rsid w:val="00E93E7D"/>
    <w:rsid w:val="00E93F45"/>
    <w:rsid w:val="00E96CAE"/>
    <w:rsid w:val="00EA21FC"/>
    <w:rsid w:val="00EA2B54"/>
    <w:rsid w:val="00EA35C5"/>
    <w:rsid w:val="00EA62A5"/>
    <w:rsid w:val="00EB0D6F"/>
    <w:rsid w:val="00EB1063"/>
    <w:rsid w:val="00EB2232"/>
    <w:rsid w:val="00EB3D57"/>
    <w:rsid w:val="00EB7692"/>
    <w:rsid w:val="00EC003C"/>
    <w:rsid w:val="00EC5337"/>
    <w:rsid w:val="00EC7B44"/>
    <w:rsid w:val="00ED0EF9"/>
    <w:rsid w:val="00ED4528"/>
    <w:rsid w:val="00EE61DF"/>
    <w:rsid w:val="00EE6C26"/>
    <w:rsid w:val="00EF018D"/>
    <w:rsid w:val="00EF28EB"/>
    <w:rsid w:val="00EF40B1"/>
    <w:rsid w:val="00EF4D53"/>
    <w:rsid w:val="00EF666D"/>
    <w:rsid w:val="00F00F98"/>
    <w:rsid w:val="00F037F2"/>
    <w:rsid w:val="00F03A1F"/>
    <w:rsid w:val="00F03EA9"/>
    <w:rsid w:val="00F146D0"/>
    <w:rsid w:val="00F17CD3"/>
    <w:rsid w:val="00F20089"/>
    <w:rsid w:val="00F20647"/>
    <w:rsid w:val="00F2150A"/>
    <w:rsid w:val="00F231D8"/>
    <w:rsid w:val="00F2637B"/>
    <w:rsid w:val="00F2637C"/>
    <w:rsid w:val="00F31412"/>
    <w:rsid w:val="00F35F34"/>
    <w:rsid w:val="00F3733E"/>
    <w:rsid w:val="00F37AA9"/>
    <w:rsid w:val="00F405D5"/>
    <w:rsid w:val="00F429EB"/>
    <w:rsid w:val="00F430C3"/>
    <w:rsid w:val="00F44172"/>
    <w:rsid w:val="00F46A66"/>
    <w:rsid w:val="00F46C5F"/>
    <w:rsid w:val="00F50F25"/>
    <w:rsid w:val="00F51534"/>
    <w:rsid w:val="00F53809"/>
    <w:rsid w:val="00F571F0"/>
    <w:rsid w:val="00F57931"/>
    <w:rsid w:val="00F65D08"/>
    <w:rsid w:val="00F7114F"/>
    <w:rsid w:val="00F716E3"/>
    <w:rsid w:val="00F734B6"/>
    <w:rsid w:val="00F87FFB"/>
    <w:rsid w:val="00F90B06"/>
    <w:rsid w:val="00FA0C7E"/>
    <w:rsid w:val="00FA0FAC"/>
    <w:rsid w:val="00FA170A"/>
    <w:rsid w:val="00FA6D86"/>
    <w:rsid w:val="00FB0040"/>
    <w:rsid w:val="00FB074B"/>
    <w:rsid w:val="00FB0E03"/>
    <w:rsid w:val="00FC0A93"/>
    <w:rsid w:val="00FC7D79"/>
    <w:rsid w:val="00FD2F38"/>
    <w:rsid w:val="00FD714F"/>
    <w:rsid w:val="00FE0B3F"/>
    <w:rsid w:val="00FE2979"/>
    <w:rsid w:val="00FE2AA9"/>
    <w:rsid w:val="00FE4B6C"/>
    <w:rsid w:val="00FE77D2"/>
    <w:rsid w:val="00FE7CFD"/>
    <w:rsid w:val="00FF0794"/>
    <w:rsid w:val="00FF0EFF"/>
    <w:rsid w:val="00FF16DF"/>
    <w:rsid w:val="00FF2009"/>
    <w:rsid w:val="00FF48C6"/>
    <w:rsid w:val="00FF4F7D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BD1FC983-5C7E-41A2-A771-66CAED1F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uiPriority w:val="99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nnextitle">
    <w:name w:val="Annex_title"/>
    <w:basedOn w:val="Normal"/>
    <w:next w:val="Normal"/>
    <w:uiPriority w:val="99"/>
    <w:rsid w:val="00813E5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uiPriority w:val="99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Normal"/>
    <w:rsid w:val="0000194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fr-FR"/>
    </w:rPr>
  </w:style>
  <w:style w:type="paragraph" w:customStyle="1" w:styleId="call0">
    <w:name w:val="call"/>
    <w:basedOn w:val="Normal"/>
    <w:next w:val="Normal"/>
    <w:rsid w:val="0000194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lang w:val="fr-FR"/>
    </w:rPr>
  </w:style>
  <w:style w:type="paragraph" w:styleId="BodyText">
    <w:name w:val="Body Text"/>
    <w:basedOn w:val="Normal"/>
    <w:link w:val="BodyTextChar"/>
    <w:rsid w:val="000019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" w:hAnsi="Times New Roman"/>
      <w:lang w:val="fr-FR"/>
    </w:rPr>
  </w:style>
  <w:style w:type="character" w:customStyle="1" w:styleId="BodyTextChar">
    <w:name w:val="Body Text Char"/>
    <w:basedOn w:val="DefaultParagraphFont"/>
    <w:link w:val="BodyText"/>
    <w:rsid w:val="0000194A"/>
    <w:rPr>
      <w:rFonts w:ascii="Times New Roman" w:hAnsi="Times New Roman"/>
      <w:sz w:val="24"/>
      <w:lang w:val="fr-FR" w:eastAsia="en-US"/>
    </w:rPr>
  </w:style>
  <w:style w:type="paragraph" w:styleId="BlockText">
    <w:name w:val="Block Text"/>
    <w:basedOn w:val="Normal"/>
    <w:rsid w:val="000019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872"/>
        <w:tab w:val="left" w:pos="1985"/>
        <w:tab w:val="right" w:pos="9214"/>
      </w:tabs>
      <w:spacing w:after="120"/>
      <w:ind w:left="284" w:right="851"/>
    </w:pPr>
    <w:rPr>
      <w:rFonts w:ascii="Times New Roman" w:hAnsi="Times New Roman"/>
      <w:lang w:val="fr-FR"/>
    </w:rPr>
  </w:style>
  <w:style w:type="paragraph" w:styleId="BodyText3">
    <w:name w:val="Body Text 3"/>
    <w:basedOn w:val="Normal"/>
    <w:link w:val="BodyText3Char"/>
    <w:rsid w:val="000019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191"/>
        <w:tab w:val="left" w:pos="1588"/>
        <w:tab w:val="left" w:pos="1872"/>
        <w:tab w:val="left" w:pos="1985"/>
        <w:tab w:val="right" w:pos="9214"/>
      </w:tabs>
      <w:spacing w:after="120"/>
      <w:ind w:right="851"/>
    </w:pPr>
    <w:rPr>
      <w:rFonts w:ascii="Times New Roman" w:hAnsi="Times New Roman"/>
      <w:lang w:val="fr-FR"/>
    </w:rPr>
  </w:style>
  <w:style w:type="character" w:customStyle="1" w:styleId="BodyText3Char">
    <w:name w:val="Body Text 3 Char"/>
    <w:basedOn w:val="DefaultParagraphFont"/>
    <w:link w:val="BodyText3"/>
    <w:rsid w:val="0000194A"/>
    <w:rPr>
      <w:rFonts w:ascii="Times New Roman" w:hAnsi="Times New Roman"/>
      <w:sz w:val="24"/>
      <w:lang w:val="fr-FR" w:eastAsia="en-US"/>
    </w:rPr>
  </w:style>
  <w:style w:type="paragraph" w:styleId="BodyTextIndent2">
    <w:name w:val="Body Text Indent 2"/>
    <w:basedOn w:val="Normal"/>
    <w:link w:val="BodyTextIndent2Char"/>
    <w:rsid w:val="000019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588" w:hanging="1588"/>
    </w:pPr>
    <w:rPr>
      <w:rFonts w:ascii="Times New Roman" w:hAnsi="Times New Roman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00194A"/>
    <w:rPr>
      <w:rFonts w:ascii="Times New Roman" w:hAnsi="Times New Roman"/>
      <w:sz w:val="24"/>
      <w:lang w:val="fr-FR" w:eastAsia="en-US"/>
    </w:rPr>
  </w:style>
  <w:style w:type="paragraph" w:styleId="DocumentMap">
    <w:name w:val="Document Map"/>
    <w:basedOn w:val="Normal"/>
    <w:link w:val="DocumentMapChar"/>
    <w:rsid w:val="0000194A"/>
    <w:pPr>
      <w:shd w:val="clear" w:color="auto" w:fill="000080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sz w:val="20"/>
      <w:lang w:val="fr-FR"/>
    </w:rPr>
  </w:style>
  <w:style w:type="character" w:customStyle="1" w:styleId="DocumentMapChar">
    <w:name w:val="Document Map Char"/>
    <w:basedOn w:val="DefaultParagraphFont"/>
    <w:link w:val="DocumentMap"/>
    <w:rsid w:val="0000194A"/>
    <w:rPr>
      <w:rFonts w:ascii="Tahoma" w:hAnsi="Tahoma" w:cs="Tahoma"/>
      <w:shd w:val="clear" w:color="auto" w:fill="000080"/>
      <w:lang w:val="fr-FR" w:eastAsia="en-US"/>
    </w:rPr>
  </w:style>
  <w:style w:type="paragraph" w:customStyle="1" w:styleId="normal0pt">
    <w:name w:val="normal 0 pt"/>
    <w:basedOn w:val="Normal"/>
    <w:rsid w:val="002D4D1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center"/>
      <w:outlineLvl w:val="0"/>
    </w:pPr>
    <w:rPr>
      <w:b/>
      <w:bCs/>
      <w:sz w:val="20"/>
      <w:lang w:val="en-US"/>
    </w:rPr>
  </w:style>
  <w:style w:type="paragraph" w:styleId="BalloonText">
    <w:name w:val="Balloon Text"/>
    <w:basedOn w:val="Normal"/>
    <w:link w:val="BalloonTextChar"/>
    <w:rsid w:val="00955F1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F1F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E377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_Text"/>
    <w:basedOn w:val="Normal"/>
    <w:rsid w:val="00E377B2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Rec">
    <w:name w:val="Rec_#"/>
    <w:basedOn w:val="Normal"/>
    <w:next w:val="RecTitle0"/>
    <w:rsid w:val="00E377B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</w:rPr>
  </w:style>
  <w:style w:type="paragraph" w:customStyle="1" w:styleId="RecTitle0">
    <w:name w:val="Rec_Title"/>
    <w:basedOn w:val="Normal"/>
    <w:next w:val="Heading1"/>
    <w:rsid w:val="00E377B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</w:rPr>
  </w:style>
  <w:style w:type="paragraph" w:customStyle="1" w:styleId="TableHead0">
    <w:name w:val="Table_Head"/>
    <w:basedOn w:val="TableText0"/>
    <w:rsid w:val="00E377B2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Annex">
    <w:name w:val="Annex_#"/>
    <w:basedOn w:val="Normal"/>
    <w:next w:val="Normal"/>
    <w:rsid w:val="00E377B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03A1F"/>
    <w:rPr>
      <w:rFonts w:ascii="Calibri" w:hAnsi="Calibri"/>
      <w:sz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F03A1F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81900"/>
    <w:pPr>
      <w:ind w:left="720"/>
      <w:contextualSpacing/>
    </w:pPr>
  </w:style>
  <w:style w:type="character" w:styleId="CommentReference">
    <w:name w:val="annotation reference"/>
    <w:basedOn w:val="DefaultParagraphFont"/>
    <w:rsid w:val="004325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5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250C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2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250C"/>
    <w:rPr>
      <w:rFonts w:ascii="Calibri" w:hAnsi="Calibri"/>
      <w:b/>
      <w:bCs/>
      <w:lang w:val="en-GB" w:eastAsia="en-US"/>
    </w:rPr>
  </w:style>
  <w:style w:type="character" w:styleId="Emphasis">
    <w:name w:val="Emphasis"/>
    <w:basedOn w:val="DefaultParagraphFont"/>
    <w:qFormat/>
    <w:rsid w:val="005A2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council/Basic-Texts/convention-e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council/Basic-Texts/convention-e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S17-CL-C-0045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15-CL-C-0117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136F80544D140A92BB6172DA95AD3" ma:contentTypeVersion="0" ma:contentTypeDescription="Create a new document." ma:contentTypeScope="" ma:versionID="2a9ab9b8717079c0bc0c651994c891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A072-36D7-4E08-A9B7-2587727F72A4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AF6E4D-050A-4D16-B186-CC09F5420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6ED43-546F-4926-A01D-20FA5FFA9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95353-1136-4680-B5E6-F0DA24C1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PE_C17.dotm</Template>
  <TotalTime>25</TotalTime>
  <Pages>3</Pages>
  <Words>1263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review of revenue and expenses</vt:lpstr>
    </vt:vector>
  </TitlesOfParts>
  <Manager>General Secretariat - Pool</Manager>
  <Company>International Telecommunication Union (ITU)</Company>
  <LinksUpToDate>false</LinksUpToDate>
  <CharactersWithSpaces>7917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</dc:title>
  <dc:subject>Council 2017</dc:subject>
  <dc:creator/>
  <cp:keywords>C2017, C17</cp:keywords>
  <cp:lastModifiedBy>Brouard, Ricarda</cp:lastModifiedBy>
  <cp:revision>7</cp:revision>
  <cp:lastPrinted>2017-02-07T15:32:00Z</cp:lastPrinted>
  <dcterms:created xsi:type="dcterms:W3CDTF">2017-02-08T12:15:00Z</dcterms:created>
  <dcterms:modified xsi:type="dcterms:W3CDTF">2017-02-28T15:14:00Z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0x010100CF1136F80544D140A92BB6172DA95AD3</vt:lpwstr>
  </property>
</Properties>
</file>