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4B33" w:rsidRPr="005D021A" w14:paraId="72E5DFCF" w14:textId="77777777">
        <w:trPr>
          <w:cantSplit/>
        </w:trPr>
        <w:tc>
          <w:tcPr>
            <w:tcW w:w="6911" w:type="dxa"/>
          </w:tcPr>
          <w:p w14:paraId="563044E1" w14:textId="77777777" w:rsidR="00214B33" w:rsidRPr="005D021A" w:rsidRDefault="00214B33" w:rsidP="00214B33">
            <w:pPr>
              <w:spacing w:before="360" w:after="48" w:line="240" w:lineRule="atLeast"/>
              <w:rPr>
                <w:rFonts w:asciiTheme="minorHAnsi" w:hAnsiTheme="minorHAnsi"/>
                <w:position w:val="6"/>
              </w:rPr>
            </w:pPr>
            <w:bookmarkStart w:id="0" w:name="dc06"/>
            <w:bookmarkEnd w:id="0"/>
            <w:r w:rsidRPr="005D021A">
              <w:rPr>
                <w:rFonts w:asciiTheme="minorHAnsi" w:hAnsiTheme="minorHAnsi"/>
                <w:b/>
                <w:bCs/>
                <w:position w:val="6"/>
                <w:sz w:val="30"/>
                <w:szCs w:val="30"/>
                <w:lang w:val="fr-CH"/>
              </w:rPr>
              <w:t>Council 2017</w:t>
            </w:r>
            <w:r w:rsidRPr="005D021A">
              <w:rPr>
                <w:rFonts w:asciiTheme="minorHAnsi" w:hAnsiTheme="minorHAnsi" w:cs="Times"/>
                <w:b/>
                <w:position w:val="6"/>
                <w:sz w:val="26"/>
                <w:szCs w:val="26"/>
                <w:lang w:val="en-US"/>
              </w:rPr>
              <w:br/>
            </w:r>
            <w:r w:rsidRPr="005D021A">
              <w:rPr>
                <w:rFonts w:asciiTheme="minorHAnsi" w:hAnsiTheme="minorHAnsi"/>
                <w:b/>
                <w:bCs/>
                <w:position w:val="6"/>
                <w:lang w:val="fr-CH"/>
              </w:rPr>
              <w:t>Geneva, 15-25 May 2017</w:t>
            </w:r>
          </w:p>
        </w:tc>
        <w:tc>
          <w:tcPr>
            <w:tcW w:w="3120" w:type="dxa"/>
          </w:tcPr>
          <w:p w14:paraId="14CF61C1" w14:textId="77777777" w:rsidR="00214B33" w:rsidRPr="005D021A" w:rsidRDefault="00214B33" w:rsidP="00214B33">
            <w:pPr>
              <w:spacing w:line="240" w:lineRule="atLeast"/>
              <w:jc w:val="right"/>
              <w:rPr>
                <w:rFonts w:asciiTheme="minorHAnsi" w:hAnsiTheme="minorHAnsi"/>
              </w:rPr>
            </w:pPr>
            <w:bookmarkStart w:id="1" w:name="ditulogo"/>
            <w:bookmarkEnd w:id="1"/>
            <w:r w:rsidRPr="005D021A">
              <w:rPr>
                <w:rFonts w:asciiTheme="minorHAnsi" w:hAnsiTheme="minorHAnsi"/>
                <w:noProof/>
                <w:color w:val="FFFFFF"/>
                <w:sz w:val="26"/>
                <w:szCs w:val="26"/>
                <w:lang w:val="en-US" w:eastAsia="zh-CN"/>
              </w:rPr>
              <w:drawing>
                <wp:inline distT="0" distB="0" distL="0" distR="0" wp14:anchorId="5D999472" wp14:editId="67E0B24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14B33" w:rsidRPr="005D021A" w14:paraId="1B49DB37" w14:textId="77777777">
        <w:trPr>
          <w:cantSplit/>
        </w:trPr>
        <w:tc>
          <w:tcPr>
            <w:tcW w:w="6911" w:type="dxa"/>
            <w:tcBorders>
              <w:bottom w:val="single" w:sz="12" w:space="0" w:color="auto"/>
            </w:tcBorders>
          </w:tcPr>
          <w:p w14:paraId="77C7F8F7" w14:textId="77777777" w:rsidR="00214B33" w:rsidRPr="005D021A" w:rsidRDefault="00214B33">
            <w:pPr>
              <w:spacing w:after="48" w:line="240" w:lineRule="atLeast"/>
              <w:rPr>
                <w:rFonts w:asciiTheme="minorHAnsi" w:hAnsiTheme="minorHAnsi"/>
                <w:b/>
                <w:smallCaps/>
              </w:rPr>
            </w:pPr>
          </w:p>
        </w:tc>
        <w:tc>
          <w:tcPr>
            <w:tcW w:w="3120" w:type="dxa"/>
            <w:tcBorders>
              <w:bottom w:val="single" w:sz="12" w:space="0" w:color="auto"/>
            </w:tcBorders>
          </w:tcPr>
          <w:p w14:paraId="4DA703CE" w14:textId="77777777" w:rsidR="00214B33" w:rsidRPr="005D021A" w:rsidRDefault="00214B33">
            <w:pPr>
              <w:spacing w:line="240" w:lineRule="atLeast"/>
              <w:rPr>
                <w:rFonts w:asciiTheme="minorHAnsi" w:hAnsiTheme="minorHAnsi"/>
              </w:rPr>
            </w:pPr>
          </w:p>
        </w:tc>
      </w:tr>
      <w:tr w:rsidR="00214B33" w:rsidRPr="005D021A" w14:paraId="4C5CB148" w14:textId="77777777">
        <w:trPr>
          <w:cantSplit/>
        </w:trPr>
        <w:tc>
          <w:tcPr>
            <w:tcW w:w="6911" w:type="dxa"/>
            <w:tcBorders>
              <w:top w:val="single" w:sz="12" w:space="0" w:color="auto"/>
            </w:tcBorders>
          </w:tcPr>
          <w:p w14:paraId="7B6B9D9A" w14:textId="77777777" w:rsidR="00214B33" w:rsidRPr="005D021A" w:rsidRDefault="00214B33" w:rsidP="005D021A">
            <w:pPr>
              <w:spacing w:line="240" w:lineRule="atLeast"/>
              <w:rPr>
                <w:rFonts w:asciiTheme="minorHAnsi" w:hAnsiTheme="minorHAnsi"/>
                <w:b/>
                <w:smallCaps/>
              </w:rPr>
            </w:pPr>
          </w:p>
        </w:tc>
        <w:tc>
          <w:tcPr>
            <w:tcW w:w="3120" w:type="dxa"/>
            <w:tcBorders>
              <w:top w:val="single" w:sz="12" w:space="0" w:color="auto"/>
            </w:tcBorders>
          </w:tcPr>
          <w:p w14:paraId="6A8A07DE" w14:textId="77777777" w:rsidR="00214B33" w:rsidRPr="005D021A" w:rsidRDefault="00214B33" w:rsidP="005D021A">
            <w:pPr>
              <w:spacing w:line="240" w:lineRule="atLeast"/>
              <w:rPr>
                <w:rFonts w:asciiTheme="minorHAnsi" w:hAnsiTheme="minorHAnsi"/>
              </w:rPr>
            </w:pPr>
          </w:p>
        </w:tc>
      </w:tr>
      <w:tr w:rsidR="00214B33" w:rsidRPr="005D021A" w14:paraId="1D6DC822" w14:textId="77777777">
        <w:trPr>
          <w:cantSplit/>
          <w:trHeight w:val="23"/>
        </w:trPr>
        <w:tc>
          <w:tcPr>
            <w:tcW w:w="6911" w:type="dxa"/>
            <w:vMerge w:val="restart"/>
          </w:tcPr>
          <w:p w14:paraId="1B09E4A2" w14:textId="77777777" w:rsidR="00214B33" w:rsidRPr="005D021A" w:rsidRDefault="00214B33" w:rsidP="00214B33">
            <w:pPr>
              <w:tabs>
                <w:tab w:val="left" w:pos="851"/>
              </w:tabs>
              <w:spacing w:line="240" w:lineRule="atLeast"/>
              <w:rPr>
                <w:rFonts w:asciiTheme="minorHAnsi" w:hAnsiTheme="minorHAnsi"/>
                <w:b/>
              </w:rPr>
            </w:pPr>
            <w:bookmarkStart w:id="2" w:name="dmeeting" w:colFirst="0" w:colLast="0"/>
            <w:bookmarkStart w:id="3" w:name="dnum" w:colFirst="1" w:colLast="1"/>
            <w:r w:rsidRPr="005D021A">
              <w:rPr>
                <w:rFonts w:asciiTheme="minorHAnsi" w:hAnsiTheme="minorHAnsi"/>
                <w:b/>
              </w:rPr>
              <w:t>Agenda item: PL 1.8</w:t>
            </w:r>
          </w:p>
        </w:tc>
        <w:tc>
          <w:tcPr>
            <w:tcW w:w="3120" w:type="dxa"/>
          </w:tcPr>
          <w:p w14:paraId="6594EDA5" w14:textId="77777777" w:rsidR="00214B33" w:rsidRPr="005D021A" w:rsidRDefault="00214B33" w:rsidP="00172252">
            <w:pPr>
              <w:tabs>
                <w:tab w:val="left" w:pos="851"/>
              </w:tabs>
              <w:spacing w:line="240" w:lineRule="atLeast"/>
              <w:rPr>
                <w:rFonts w:asciiTheme="minorHAnsi" w:hAnsiTheme="minorHAnsi"/>
                <w:b/>
              </w:rPr>
            </w:pPr>
            <w:r w:rsidRPr="005D021A">
              <w:rPr>
                <w:rFonts w:asciiTheme="minorHAnsi" w:hAnsiTheme="minorHAnsi"/>
                <w:b/>
              </w:rPr>
              <w:t>Document C17/</w:t>
            </w:r>
            <w:r w:rsidR="00172252" w:rsidRPr="005D021A">
              <w:rPr>
                <w:rFonts w:asciiTheme="minorHAnsi" w:hAnsiTheme="minorHAnsi"/>
                <w:b/>
              </w:rPr>
              <w:t>7</w:t>
            </w:r>
            <w:r w:rsidRPr="005D021A">
              <w:rPr>
                <w:rFonts w:asciiTheme="minorHAnsi" w:hAnsiTheme="minorHAnsi"/>
                <w:b/>
              </w:rPr>
              <w:t>-E</w:t>
            </w:r>
          </w:p>
        </w:tc>
      </w:tr>
      <w:tr w:rsidR="00214B33" w:rsidRPr="005D021A" w14:paraId="14F43585" w14:textId="77777777">
        <w:trPr>
          <w:cantSplit/>
          <w:trHeight w:val="23"/>
        </w:trPr>
        <w:tc>
          <w:tcPr>
            <w:tcW w:w="6911" w:type="dxa"/>
            <w:vMerge/>
          </w:tcPr>
          <w:p w14:paraId="17A37720" w14:textId="77777777" w:rsidR="00214B33" w:rsidRPr="005D021A" w:rsidRDefault="00214B33">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14:paraId="751DD7FF" w14:textId="34488D7B" w:rsidR="00214B33" w:rsidRPr="005D021A" w:rsidRDefault="00562B37" w:rsidP="00214B33">
            <w:pPr>
              <w:tabs>
                <w:tab w:val="left" w:pos="993"/>
              </w:tabs>
              <w:rPr>
                <w:rFonts w:asciiTheme="minorHAnsi" w:hAnsiTheme="minorHAnsi"/>
                <w:b/>
              </w:rPr>
            </w:pPr>
            <w:r>
              <w:rPr>
                <w:rFonts w:asciiTheme="minorHAnsi" w:hAnsiTheme="minorHAnsi"/>
                <w:b/>
              </w:rPr>
              <w:t>31</w:t>
            </w:r>
            <w:r w:rsidR="00A24526" w:rsidRPr="005D021A">
              <w:rPr>
                <w:rFonts w:asciiTheme="minorHAnsi" w:hAnsiTheme="minorHAnsi"/>
                <w:b/>
              </w:rPr>
              <w:t xml:space="preserve"> </w:t>
            </w:r>
            <w:r w:rsidR="00214B33" w:rsidRPr="005D021A">
              <w:rPr>
                <w:rFonts w:asciiTheme="minorHAnsi" w:hAnsiTheme="minorHAnsi"/>
                <w:b/>
              </w:rPr>
              <w:t>March 2017</w:t>
            </w:r>
          </w:p>
        </w:tc>
      </w:tr>
      <w:tr w:rsidR="00214B33" w:rsidRPr="005D021A" w14:paraId="36AFCA0C" w14:textId="77777777">
        <w:trPr>
          <w:cantSplit/>
          <w:trHeight w:val="23"/>
        </w:trPr>
        <w:tc>
          <w:tcPr>
            <w:tcW w:w="6911" w:type="dxa"/>
            <w:vMerge/>
          </w:tcPr>
          <w:p w14:paraId="77B5E7BC" w14:textId="77777777" w:rsidR="00214B33" w:rsidRPr="005D021A" w:rsidRDefault="00214B33">
            <w:pPr>
              <w:tabs>
                <w:tab w:val="left" w:pos="851"/>
              </w:tabs>
              <w:spacing w:line="240" w:lineRule="atLeast"/>
              <w:rPr>
                <w:rFonts w:asciiTheme="minorHAnsi" w:hAnsiTheme="minorHAnsi"/>
                <w:b/>
              </w:rPr>
            </w:pPr>
            <w:bookmarkStart w:id="5" w:name="dorlang" w:colFirst="1" w:colLast="1"/>
            <w:bookmarkEnd w:id="4"/>
          </w:p>
        </w:tc>
        <w:tc>
          <w:tcPr>
            <w:tcW w:w="3120" w:type="dxa"/>
          </w:tcPr>
          <w:p w14:paraId="18880EE3" w14:textId="77777777" w:rsidR="00214B33" w:rsidRPr="005D021A" w:rsidRDefault="00214B33" w:rsidP="00214B33">
            <w:pPr>
              <w:tabs>
                <w:tab w:val="left" w:pos="993"/>
              </w:tabs>
              <w:rPr>
                <w:rFonts w:asciiTheme="minorHAnsi" w:hAnsiTheme="minorHAnsi"/>
                <w:b/>
              </w:rPr>
            </w:pPr>
            <w:r w:rsidRPr="005D021A">
              <w:rPr>
                <w:rFonts w:asciiTheme="minorHAnsi" w:hAnsiTheme="minorHAnsi"/>
                <w:b/>
              </w:rPr>
              <w:t>Original: English</w:t>
            </w:r>
          </w:p>
        </w:tc>
      </w:tr>
      <w:tr w:rsidR="00214B33" w:rsidRPr="005D021A" w14:paraId="0669A9C9" w14:textId="77777777">
        <w:trPr>
          <w:cantSplit/>
        </w:trPr>
        <w:tc>
          <w:tcPr>
            <w:tcW w:w="10031" w:type="dxa"/>
            <w:gridSpan w:val="2"/>
          </w:tcPr>
          <w:p w14:paraId="10E6EEF3" w14:textId="77777777" w:rsidR="00214B33" w:rsidRPr="005D021A" w:rsidRDefault="00214B33">
            <w:pPr>
              <w:pStyle w:val="Source"/>
              <w:rPr>
                <w:rFonts w:asciiTheme="minorHAnsi" w:hAnsiTheme="minorHAnsi"/>
              </w:rPr>
            </w:pPr>
            <w:bookmarkStart w:id="6" w:name="dsource" w:colFirst="0" w:colLast="0"/>
            <w:bookmarkEnd w:id="5"/>
            <w:r w:rsidRPr="005D021A">
              <w:rPr>
                <w:rFonts w:asciiTheme="minorHAnsi" w:hAnsiTheme="minorHAnsi"/>
              </w:rPr>
              <w:t>Report by the Secretary-General</w:t>
            </w:r>
          </w:p>
        </w:tc>
      </w:tr>
      <w:tr w:rsidR="00214B33" w:rsidRPr="005D021A" w14:paraId="77ABA843" w14:textId="77777777">
        <w:trPr>
          <w:cantSplit/>
        </w:trPr>
        <w:tc>
          <w:tcPr>
            <w:tcW w:w="10031" w:type="dxa"/>
            <w:gridSpan w:val="2"/>
          </w:tcPr>
          <w:p w14:paraId="1EA33EC4" w14:textId="77777777" w:rsidR="00214B33" w:rsidRPr="005D021A" w:rsidRDefault="00172252">
            <w:pPr>
              <w:pStyle w:val="Title1"/>
              <w:rPr>
                <w:rFonts w:asciiTheme="minorHAnsi" w:hAnsiTheme="minorHAnsi"/>
              </w:rPr>
            </w:pPr>
            <w:bookmarkStart w:id="7" w:name="dtitle1" w:colFirst="0" w:colLast="0"/>
            <w:bookmarkEnd w:id="6"/>
            <w:r w:rsidRPr="005D021A">
              <w:rPr>
                <w:rFonts w:asciiTheme="minorHAnsi" w:hAnsiTheme="minorHAnsi"/>
              </w:rPr>
              <w:t xml:space="preserve">Report on progress on </w:t>
            </w:r>
            <w:r w:rsidR="00C430C5" w:rsidRPr="005D021A">
              <w:rPr>
                <w:rFonts w:asciiTheme="minorHAnsi" w:hAnsiTheme="minorHAnsi"/>
              </w:rPr>
              <w:t xml:space="preserve">THE </w:t>
            </w:r>
            <w:r w:rsidRPr="005D021A">
              <w:rPr>
                <w:rFonts w:asciiTheme="minorHAnsi" w:hAnsiTheme="minorHAnsi"/>
              </w:rPr>
              <w:t>Union’s headquarters premises</w:t>
            </w:r>
            <w:r w:rsidRPr="005D021A">
              <w:rPr>
                <w:rFonts w:asciiTheme="minorHAnsi" w:hAnsiTheme="minorHAnsi"/>
              </w:rPr>
              <w:br/>
            </w:r>
            <w:r w:rsidR="00214B33" w:rsidRPr="005D021A">
              <w:rPr>
                <w:rFonts w:asciiTheme="minorHAnsi" w:hAnsiTheme="minorHAnsi"/>
              </w:rPr>
              <w:t>VAREMBÉ-2 PROJECT: STATUS, DETAILED SPECIFICATION</w:t>
            </w:r>
          </w:p>
        </w:tc>
      </w:tr>
      <w:bookmarkEnd w:id="7"/>
    </w:tbl>
    <w:p w14:paraId="0F6301FC" w14:textId="77777777" w:rsidR="00214B33" w:rsidRPr="005D021A" w:rsidRDefault="00214B33">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14B33" w:rsidRPr="005D021A" w14:paraId="7685184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44FECE6" w14:textId="77777777" w:rsidR="00214B33" w:rsidRPr="005D021A" w:rsidRDefault="00214B33">
            <w:pPr>
              <w:pStyle w:val="Headingb"/>
              <w:rPr>
                <w:rFonts w:asciiTheme="minorHAnsi" w:hAnsiTheme="minorHAnsi"/>
              </w:rPr>
            </w:pPr>
            <w:r w:rsidRPr="005D021A">
              <w:rPr>
                <w:rFonts w:asciiTheme="minorHAnsi" w:hAnsiTheme="minorHAnsi"/>
              </w:rPr>
              <w:t>Summary</w:t>
            </w:r>
          </w:p>
          <w:p w14:paraId="694010EA" w14:textId="730CD491" w:rsidR="00214B33" w:rsidRPr="005D021A" w:rsidRDefault="00214B33" w:rsidP="00DB630C">
            <w:pPr>
              <w:jc w:val="both"/>
              <w:rPr>
                <w:rFonts w:asciiTheme="minorHAnsi" w:hAnsiTheme="minorHAnsi"/>
              </w:rPr>
            </w:pPr>
            <w:r w:rsidRPr="005D021A">
              <w:rPr>
                <w:rFonts w:asciiTheme="minorHAnsi" w:hAnsiTheme="minorHAnsi"/>
              </w:rPr>
              <w:t xml:space="preserve">This document presents an update on the ITU HQ Premises Project, and a detailed specification of the Varembé-2 building. It elaborates progress since the Council’s 2016 ordinary session. The specification </w:t>
            </w:r>
            <w:proofErr w:type="gramStart"/>
            <w:r w:rsidRPr="005D021A">
              <w:rPr>
                <w:rFonts w:asciiTheme="minorHAnsi" w:hAnsiTheme="minorHAnsi"/>
              </w:rPr>
              <w:t>is made</w:t>
            </w:r>
            <w:proofErr w:type="gramEnd"/>
            <w:r w:rsidRPr="005D021A">
              <w:rPr>
                <w:rFonts w:asciiTheme="minorHAnsi" w:hAnsiTheme="minorHAnsi"/>
              </w:rPr>
              <w:t xml:space="preserve"> in terms of user requirements rather than technical requirements.</w:t>
            </w:r>
            <w:r w:rsidR="009C490B">
              <w:rPr>
                <w:rFonts w:asciiTheme="minorHAnsi" w:hAnsiTheme="minorHAnsi"/>
              </w:rPr>
              <w:t xml:space="preserve"> MSAG </w:t>
            </w:r>
            <w:proofErr w:type="gramStart"/>
            <w:r w:rsidR="009C490B">
              <w:rPr>
                <w:rFonts w:asciiTheme="minorHAnsi" w:hAnsiTheme="minorHAnsi"/>
              </w:rPr>
              <w:t>was consulted</w:t>
            </w:r>
            <w:proofErr w:type="gramEnd"/>
            <w:r w:rsidR="009C490B">
              <w:rPr>
                <w:rFonts w:asciiTheme="minorHAnsi" w:hAnsiTheme="minorHAnsi"/>
              </w:rPr>
              <w:t>.</w:t>
            </w:r>
          </w:p>
          <w:p w14:paraId="59D5C749" w14:textId="77777777" w:rsidR="00214B33" w:rsidRPr="005D021A" w:rsidRDefault="00214B33" w:rsidP="00960823">
            <w:pPr>
              <w:pStyle w:val="Headingb"/>
              <w:jc w:val="both"/>
              <w:rPr>
                <w:rFonts w:asciiTheme="minorHAnsi" w:hAnsiTheme="minorHAnsi"/>
              </w:rPr>
            </w:pPr>
            <w:r w:rsidRPr="005D021A">
              <w:rPr>
                <w:rFonts w:asciiTheme="minorHAnsi" w:hAnsiTheme="minorHAnsi"/>
              </w:rPr>
              <w:t>Action required</w:t>
            </w:r>
          </w:p>
          <w:p w14:paraId="794B1308" w14:textId="77777777" w:rsidR="00214B33" w:rsidRPr="005D021A" w:rsidRDefault="00214B33" w:rsidP="00960823">
            <w:pPr>
              <w:jc w:val="both"/>
              <w:rPr>
                <w:rFonts w:asciiTheme="minorHAnsi" w:hAnsiTheme="minorHAnsi"/>
              </w:rPr>
            </w:pPr>
            <w:r w:rsidRPr="005D021A">
              <w:rPr>
                <w:rFonts w:asciiTheme="minorHAnsi" w:hAnsiTheme="minorHAnsi"/>
              </w:rPr>
              <w:t xml:space="preserve">The Council </w:t>
            </w:r>
            <w:proofErr w:type="gramStart"/>
            <w:r w:rsidRPr="005D021A">
              <w:rPr>
                <w:rFonts w:asciiTheme="minorHAnsi" w:hAnsiTheme="minorHAnsi"/>
              </w:rPr>
              <w:t>is invited</w:t>
            </w:r>
            <w:proofErr w:type="gramEnd"/>
            <w:r w:rsidRPr="005D021A">
              <w:rPr>
                <w:rFonts w:asciiTheme="minorHAnsi" w:hAnsiTheme="minorHAnsi"/>
              </w:rPr>
              <w:t xml:space="preserve"> to </w:t>
            </w:r>
            <w:r w:rsidRPr="005D021A">
              <w:rPr>
                <w:rFonts w:asciiTheme="minorHAnsi" w:hAnsiTheme="minorHAnsi"/>
                <w:b/>
                <w:bCs/>
              </w:rPr>
              <w:t>take note</w:t>
            </w:r>
            <w:r w:rsidRPr="005D021A">
              <w:rPr>
                <w:rFonts w:asciiTheme="minorHAnsi" w:hAnsiTheme="minorHAnsi"/>
              </w:rPr>
              <w:t xml:space="preserve"> of the report.</w:t>
            </w:r>
          </w:p>
          <w:p w14:paraId="5026201A" w14:textId="77777777" w:rsidR="00214B33" w:rsidRPr="005D021A" w:rsidRDefault="00214B33">
            <w:pPr>
              <w:pStyle w:val="Table"/>
              <w:keepNext w:val="0"/>
              <w:spacing w:before="0" w:after="0"/>
              <w:rPr>
                <w:rFonts w:asciiTheme="minorHAnsi" w:hAnsiTheme="minorHAnsi"/>
                <w:caps w:val="0"/>
                <w:sz w:val="22"/>
              </w:rPr>
            </w:pPr>
            <w:r w:rsidRPr="005D021A">
              <w:rPr>
                <w:rFonts w:asciiTheme="minorHAnsi" w:hAnsiTheme="minorHAnsi"/>
                <w:caps w:val="0"/>
                <w:sz w:val="22"/>
              </w:rPr>
              <w:t>____________</w:t>
            </w:r>
          </w:p>
          <w:p w14:paraId="61AA6B92" w14:textId="77777777" w:rsidR="00214B33" w:rsidRPr="005D021A" w:rsidRDefault="00214B33">
            <w:pPr>
              <w:pStyle w:val="Headingb"/>
              <w:rPr>
                <w:rFonts w:asciiTheme="minorHAnsi" w:hAnsiTheme="minorHAnsi"/>
              </w:rPr>
            </w:pPr>
            <w:r w:rsidRPr="005D021A">
              <w:rPr>
                <w:rFonts w:asciiTheme="minorHAnsi" w:hAnsiTheme="minorHAnsi"/>
              </w:rPr>
              <w:t>References</w:t>
            </w:r>
          </w:p>
          <w:p w14:paraId="61EDAFFB" w14:textId="77777777" w:rsidR="00214B33" w:rsidRPr="005D021A" w:rsidRDefault="00267C4E" w:rsidP="00214B33">
            <w:pPr>
              <w:spacing w:after="120"/>
              <w:rPr>
                <w:rFonts w:asciiTheme="minorHAnsi" w:hAnsiTheme="minorHAnsi"/>
                <w:i/>
                <w:iCs/>
              </w:rPr>
            </w:pPr>
            <w:hyperlink r:id="rId12" w:history="1">
              <w:r w:rsidR="00214B33" w:rsidRPr="005D021A">
                <w:rPr>
                  <w:rStyle w:val="Hyperlink"/>
                  <w:rFonts w:asciiTheme="minorHAnsi" w:hAnsiTheme="minorHAnsi"/>
                  <w:i/>
                  <w:iCs/>
                </w:rPr>
                <w:t>Council Decision 588</w:t>
              </w:r>
            </w:hyperlink>
          </w:p>
        </w:tc>
      </w:tr>
    </w:tbl>
    <w:p w14:paraId="6B008147"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600" w:after="120"/>
        <w:jc w:val="both"/>
        <w:rPr>
          <w:rFonts w:asciiTheme="minorHAnsi" w:hAnsiTheme="minorHAnsi"/>
          <w:b/>
          <w:bCs/>
        </w:rPr>
      </w:pPr>
      <w:bookmarkStart w:id="8" w:name="dstart"/>
      <w:bookmarkStart w:id="9" w:name="dbreak"/>
      <w:bookmarkEnd w:id="8"/>
      <w:bookmarkEnd w:id="9"/>
      <w:r w:rsidRPr="005D021A">
        <w:rPr>
          <w:rFonts w:asciiTheme="minorHAnsi" w:hAnsiTheme="minorHAnsi"/>
          <w:b/>
          <w:bCs/>
        </w:rPr>
        <w:t>1.</w:t>
      </w:r>
      <w:r w:rsidRPr="005D021A">
        <w:rPr>
          <w:rFonts w:asciiTheme="minorHAnsi" w:hAnsiTheme="minorHAnsi"/>
          <w:b/>
          <w:bCs/>
        </w:rPr>
        <w:tab/>
        <w:t>Background</w:t>
      </w:r>
    </w:p>
    <w:p w14:paraId="0D6C70D0"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rPr>
        <w:t>1.1.</w:t>
      </w:r>
      <w:r w:rsidRPr="005D021A">
        <w:rPr>
          <w:rFonts w:asciiTheme="minorHAnsi" w:hAnsiTheme="minorHAnsi"/>
        </w:rPr>
        <w:tab/>
        <w:t xml:space="preserve">Council 2016, through </w:t>
      </w:r>
      <w:hyperlink r:id="rId13" w:history="1">
        <w:r w:rsidRPr="005D021A">
          <w:rPr>
            <w:rStyle w:val="Hyperlink"/>
            <w:rFonts w:asciiTheme="minorHAnsi" w:hAnsiTheme="minorHAnsi"/>
          </w:rPr>
          <w:t>Decision 588</w:t>
        </w:r>
      </w:hyperlink>
      <w:r w:rsidRPr="005D021A">
        <w:rPr>
          <w:rFonts w:asciiTheme="minorHAnsi" w:hAnsiTheme="minorHAnsi"/>
        </w:rPr>
        <w:t xml:space="preserve">, decided to replace the Varembé building by a new </w:t>
      </w:r>
      <w:r w:rsidRPr="005D021A">
        <w:rPr>
          <w:rFonts w:asciiTheme="minorHAnsi" w:hAnsiTheme="minorHAnsi"/>
          <w:szCs w:val="24"/>
        </w:rPr>
        <w:t xml:space="preserve">construction (herein called “Varembé-2”) that would also include the offices and facilities of the Tower building, and complement the </w:t>
      </w:r>
      <w:proofErr w:type="spellStart"/>
      <w:r w:rsidRPr="005D021A">
        <w:rPr>
          <w:rFonts w:asciiTheme="minorHAnsi" w:hAnsiTheme="minorHAnsi"/>
          <w:szCs w:val="24"/>
        </w:rPr>
        <w:t>Montbrillant</w:t>
      </w:r>
      <w:proofErr w:type="spellEnd"/>
      <w:r w:rsidRPr="005D021A">
        <w:rPr>
          <w:rFonts w:asciiTheme="minorHAnsi" w:hAnsiTheme="minorHAnsi"/>
          <w:szCs w:val="24"/>
        </w:rPr>
        <w:t xml:space="preserve"> </w:t>
      </w:r>
      <w:proofErr w:type="gramStart"/>
      <w:r w:rsidRPr="005D021A">
        <w:rPr>
          <w:rFonts w:asciiTheme="minorHAnsi" w:hAnsiTheme="minorHAnsi"/>
          <w:szCs w:val="24"/>
        </w:rPr>
        <w:t>building which</w:t>
      </w:r>
      <w:proofErr w:type="gramEnd"/>
      <w:r w:rsidRPr="005D021A">
        <w:rPr>
          <w:rFonts w:asciiTheme="minorHAnsi" w:hAnsiTheme="minorHAnsi"/>
          <w:szCs w:val="24"/>
        </w:rPr>
        <w:t xml:space="preserve"> would be retained and refurbished. Council established the Member States Advisory Group on the HQ promises project (MSAG) to provide independent and impartial advice on the project to the Council and to the Secretary-General. </w:t>
      </w:r>
    </w:p>
    <w:p w14:paraId="1430A452"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1.2.</w:t>
      </w:r>
      <w:r w:rsidRPr="005D021A">
        <w:rPr>
          <w:rFonts w:asciiTheme="minorHAnsi" w:hAnsiTheme="minorHAnsi"/>
          <w:szCs w:val="24"/>
        </w:rPr>
        <w:tab/>
        <w:t xml:space="preserve">The Secretary-General </w:t>
      </w:r>
      <w:proofErr w:type="gramStart"/>
      <w:r w:rsidRPr="005D021A">
        <w:rPr>
          <w:rFonts w:asciiTheme="minorHAnsi" w:hAnsiTheme="minorHAnsi"/>
          <w:szCs w:val="24"/>
        </w:rPr>
        <w:t>was instructed</w:t>
      </w:r>
      <w:proofErr w:type="gramEnd"/>
      <w:r w:rsidRPr="005D021A">
        <w:rPr>
          <w:rFonts w:asciiTheme="minorHAnsi" w:hAnsiTheme="minorHAnsi"/>
          <w:szCs w:val="24"/>
        </w:rPr>
        <w:t xml:space="preserve"> to approach Switzerland for an interest-free loan of up to CHF</w:t>
      </w:r>
      <w:r w:rsidR="002C4AAB" w:rsidRPr="005D021A">
        <w:rPr>
          <w:rFonts w:asciiTheme="minorHAnsi" w:hAnsiTheme="minorHAnsi"/>
          <w:szCs w:val="24"/>
        </w:rPr>
        <w:t> </w:t>
      </w:r>
      <w:r w:rsidRPr="005D021A">
        <w:rPr>
          <w:rFonts w:asciiTheme="minorHAnsi" w:hAnsiTheme="minorHAnsi"/>
          <w:szCs w:val="24"/>
        </w:rPr>
        <w:t>150</w:t>
      </w:r>
      <w:r w:rsidR="002C4AAB" w:rsidRPr="005D021A">
        <w:rPr>
          <w:rFonts w:asciiTheme="minorHAnsi" w:hAnsiTheme="minorHAnsi"/>
          <w:szCs w:val="24"/>
        </w:rPr>
        <w:t> </w:t>
      </w:r>
      <w:r w:rsidRPr="005D021A">
        <w:rPr>
          <w:rFonts w:asciiTheme="minorHAnsi" w:hAnsiTheme="minorHAnsi"/>
          <w:szCs w:val="24"/>
        </w:rPr>
        <w:t>million to finance this project, with a maximum budget for total project costs before sale of the Tower of CHF</w:t>
      </w:r>
      <w:r w:rsidR="002C4AAB" w:rsidRPr="005D021A">
        <w:rPr>
          <w:rFonts w:asciiTheme="minorHAnsi" w:hAnsiTheme="minorHAnsi"/>
          <w:szCs w:val="24"/>
        </w:rPr>
        <w:t> </w:t>
      </w:r>
      <w:r w:rsidRPr="005D021A">
        <w:rPr>
          <w:rFonts w:asciiTheme="minorHAnsi" w:hAnsiTheme="minorHAnsi"/>
          <w:szCs w:val="24"/>
        </w:rPr>
        <w:t>140</w:t>
      </w:r>
      <w:r w:rsidR="002C4AAB" w:rsidRPr="005D021A">
        <w:rPr>
          <w:rFonts w:asciiTheme="minorHAnsi" w:hAnsiTheme="minorHAnsi"/>
          <w:szCs w:val="24"/>
        </w:rPr>
        <w:t> </w:t>
      </w:r>
      <w:r w:rsidRPr="005D021A">
        <w:rPr>
          <w:rFonts w:asciiTheme="minorHAnsi" w:hAnsiTheme="minorHAnsi"/>
          <w:szCs w:val="24"/>
        </w:rPr>
        <w:t>million and an additional contingency fund of CHF</w:t>
      </w:r>
      <w:r w:rsidR="002C4AAB" w:rsidRPr="005D021A">
        <w:rPr>
          <w:rFonts w:asciiTheme="minorHAnsi" w:hAnsiTheme="minorHAnsi"/>
          <w:szCs w:val="24"/>
        </w:rPr>
        <w:t> </w:t>
      </w:r>
      <w:r w:rsidRPr="005D021A">
        <w:rPr>
          <w:rFonts w:asciiTheme="minorHAnsi" w:hAnsiTheme="minorHAnsi"/>
          <w:szCs w:val="24"/>
        </w:rPr>
        <w:t>7</w:t>
      </w:r>
      <w:r w:rsidR="002C4AAB" w:rsidRPr="005D021A">
        <w:rPr>
          <w:rFonts w:asciiTheme="minorHAnsi" w:hAnsiTheme="minorHAnsi"/>
          <w:szCs w:val="24"/>
        </w:rPr>
        <w:t> </w:t>
      </w:r>
      <w:r w:rsidRPr="005D021A">
        <w:rPr>
          <w:rFonts w:asciiTheme="minorHAnsi" w:hAnsiTheme="minorHAnsi"/>
          <w:szCs w:val="24"/>
        </w:rPr>
        <w:t>million to be used, if necessary, for unforeseen cost overruns.</w:t>
      </w:r>
    </w:p>
    <w:p w14:paraId="291C9F94"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1.3.</w:t>
      </w:r>
      <w:r w:rsidRPr="005D021A">
        <w:rPr>
          <w:rFonts w:asciiTheme="minorHAnsi" w:hAnsiTheme="minorHAnsi"/>
          <w:szCs w:val="24"/>
        </w:rPr>
        <w:tab/>
        <w:t xml:space="preserve">The financial model for new buildings is a 50-year term interest-free loan from the Host Country. The loan </w:t>
      </w:r>
      <w:proofErr w:type="gramStart"/>
      <w:r w:rsidRPr="005D021A">
        <w:rPr>
          <w:rFonts w:asciiTheme="minorHAnsi" w:hAnsiTheme="minorHAnsi"/>
          <w:szCs w:val="24"/>
        </w:rPr>
        <w:t>will in principle be</w:t>
      </w:r>
      <w:proofErr w:type="gramEnd"/>
      <w:r w:rsidRPr="005D021A">
        <w:rPr>
          <w:rFonts w:asciiTheme="minorHAnsi" w:hAnsiTheme="minorHAnsi"/>
          <w:szCs w:val="24"/>
        </w:rPr>
        <w:t xml:space="preserve"> applicable to all costs for the agreed project, including the costs of temporary relocation if appropriate. The first repayment of the loan </w:t>
      </w:r>
      <w:proofErr w:type="gramStart"/>
      <w:r w:rsidRPr="005D021A">
        <w:rPr>
          <w:rFonts w:asciiTheme="minorHAnsi" w:hAnsiTheme="minorHAnsi"/>
          <w:szCs w:val="24"/>
        </w:rPr>
        <w:t>is made</w:t>
      </w:r>
      <w:proofErr w:type="gramEnd"/>
      <w:r w:rsidRPr="005D021A">
        <w:rPr>
          <w:rFonts w:asciiTheme="minorHAnsi" w:hAnsiTheme="minorHAnsi"/>
          <w:szCs w:val="24"/>
        </w:rPr>
        <w:t xml:space="preserve"> at the end of the year of final successful receipt of the new building by ITU.</w:t>
      </w:r>
    </w:p>
    <w:p w14:paraId="3522E38F" w14:textId="6D7E7F41" w:rsidR="00A86BBD" w:rsidRPr="005D021A" w:rsidRDefault="00214B33" w:rsidP="005D021A">
      <w:pPr>
        <w:jc w:val="both"/>
        <w:rPr>
          <w:rFonts w:asciiTheme="minorHAnsi" w:hAnsiTheme="minorHAnsi"/>
        </w:rPr>
      </w:pPr>
      <w:proofErr w:type="gramStart"/>
      <w:r w:rsidRPr="005D021A">
        <w:rPr>
          <w:rFonts w:asciiTheme="minorHAnsi" w:hAnsiTheme="minorHAnsi"/>
        </w:rPr>
        <w:lastRenderedPageBreak/>
        <w:t>1.4.</w:t>
      </w:r>
      <w:r w:rsidRPr="005D021A">
        <w:rPr>
          <w:rFonts w:asciiTheme="minorHAnsi" w:hAnsiTheme="minorHAnsi"/>
        </w:rPr>
        <w:tab/>
        <w:t>After the occupation of the new building</w:t>
      </w:r>
      <w:proofErr w:type="gramEnd"/>
      <w:r w:rsidRPr="005D021A">
        <w:rPr>
          <w:rFonts w:asciiTheme="minorHAnsi" w:hAnsiTheme="minorHAnsi"/>
        </w:rPr>
        <w:t xml:space="preserve"> the Tower would be offered for sale, with net proceeds being used to pay down the new loan, after costs of sale and after paying off existing loans on the a</w:t>
      </w:r>
      <w:r w:rsidR="002C4AAB" w:rsidRPr="005D021A">
        <w:rPr>
          <w:rFonts w:asciiTheme="minorHAnsi" w:hAnsiTheme="minorHAnsi"/>
        </w:rPr>
        <w:t>ssets demolished or to be sold.</w:t>
      </w:r>
    </w:p>
    <w:p w14:paraId="30C6D062" w14:textId="689B9EAB" w:rsidR="00214B33" w:rsidRPr="005D021A" w:rsidRDefault="00214B33"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5D021A">
        <w:rPr>
          <w:rFonts w:asciiTheme="minorHAnsi" w:hAnsiTheme="minorHAnsi"/>
          <w:b/>
          <w:bCs/>
          <w:szCs w:val="24"/>
        </w:rPr>
        <w:t>2.</w:t>
      </w:r>
      <w:r w:rsidRPr="005D021A">
        <w:rPr>
          <w:rFonts w:asciiTheme="minorHAnsi" w:hAnsiTheme="minorHAnsi"/>
          <w:b/>
          <w:bCs/>
          <w:szCs w:val="24"/>
        </w:rPr>
        <w:tab/>
      </w:r>
      <w:r w:rsidR="00B3788B" w:rsidRPr="005D021A">
        <w:rPr>
          <w:rFonts w:asciiTheme="minorHAnsi" w:hAnsiTheme="minorHAnsi"/>
          <w:b/>
          <w:bCs/>
          <w:szCs w:val="24"/>
        </w:rPr>
        <w:t>Loan</w:t>
      </w:r>
    </w:p>
    <w:p w14:paraId="563508A8" w14:textId="51D1823F"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2.1.</w:t>
      </w:r>
      <w:r w:rsidRPr="005D021A">
        <w:rPr>
          <w:rFonts w:asciiTheme="minorHAnsi" w:hAnsiTheme="minorHAnsi"/>
          <w:szCs w:val="24"/>
        </w:rPr>
        <w:tab/>
        <w:t>The Secretary-General applied to Switzerland for the first tranche of the loan referenced above for the first phase of the project: being the architectural competition, architectural studies and related expenses for the period up to 31/12/2019. The loan request amounted to CHF</w:t>
      </w:r>
      <w:r w:rsidR="002C4AAB" w:rsidRPr="005D021A">
        <w:rPr>
          <w:rFonts w:asciiTheme="minorHAnsi" w:hAnsiTheme="minorHAnsi"/>
          <w:szCs w:val="24"/>
        </w:rPr>
        <w:t> </w:t>
      </w:r>
      <w:r w:rsidRPr="005D021A">
        <w:rPr>
          <w:rFonts w:asciiTheme="minorHAnsi" w:hAnsiTheme="minorHAnsi"/>
          <w:szCs w:val="24"/>
        </w:rPr>
        <w:t>12</w:t>
      </w:r>
      <w:r w:rsidR="002C4AAB" w:rsidRPr="005D021A">
        <w:rPr>
          <w:rFonts w:asciiTheme="minorHAnsi" w:hAnsiTheme="minorHAnsi"/>
          <w:szCs w:val="24"/>
        </w:rPr>
        <w:t> </w:t>
      </w:r>
      <w:r w:rsidRPr="005D021A">
        <w:rPr>
          <w:rFonts w:asciiTheme="minorHAnsi" w:hAnsiTheme="minorHAnsi"/>
          <w:szCs w:val="24"/>
        </w:rPr>
        <w:t xml:space="preserve">million, with first annual repayment </w:t>
      </w:r>
      <w:proofErr w:type="gramStart"/>
      <w:r w:rsidRPr="005D021A">
        <w:rPr>
          <w:rFonts w:asciiTheme="minorHAnsi" w:hAnsiTheme="minorHAnsi"/>
          <w:szCs w:val="24"/>
        </w:rPr>
        <w:t>being made</w:t>
      </w:r>
      <w:proofErr w:type="gramEnd"/>
      <w:r w:rsidRPr="005D021A">
        <w:rPr>
          <w:rFonts w:asciiTheme="minorHAnsi" w:hAnsiTheme="minorHAnsi"/>
          <w:szCs w:val="24"/>
        </w:rPr>
        <w:t xml:space="preserve"> only after the building is successfully received (at the earliest end-2023). The </w:t>
      </w:r>
      <w:proofErr w:type="gramStart"/>
      <w:r w:rsidRPr="005D021A">
        <w:rPr>
          <w:rFonts w:asciiTheme="minorHAnsi" w:hAnsiTheme="minorHAnsi"/>
          <w:szCs w:val="24"/>
        </w:rPr>
        <w:t>loan was granted by the Swiss Parliament</w:t>
      </w:r>
      <w:proofErr w:type="gramEnd"/>
      <w:r w:rsidRPr="005D021A">
        <w:rPr>
          <w:rFonts w:asciiTheme="minorHAnsi" w:hAnsiTheme="minorHAnsi"/>
          <w:szCs w:val="24"/>
        </w:rPr>
        <w:t xml:space="preserve"> in December 2016, and ITU has signed a contract with FIPOI for the administration of this loan. The funds have been availab</w:t>
      </w:r>
      <w:r w:rsidR="002C4AAB" w:rsidRPr="005D021A">
        <w:rPr>
          <w:rFonts w:asciiTheme="minorHAnsi" w:hAnsiTheme="minorHAnsi"/>
          <w:szCs w:val="24"/>
        </w:rPr>
        <w:t>le since the beginning of 2017.</w:t>
      </w:r>
    </w:p>
    <w:p w14:paraId="4B99F2B1" w14:textId="039E8F47" w:rsidR="00214B33" w:rsidRPr="005D021A" w:rsidRDefault="00B3788B"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szCs w:val="24"/>
        </w:rPr>
      </w:pPr>
      <w:r w:rsidRPr="005D021A">
        <w:rPr>
          <w:rFonts w:asciiTheme="minorHAnsi" w:hAnsiTheme="minorHAnsi"/>
          <w:iCs/>
          <w:szCs w:val="24"/>
        </w:rPr>
        <w:t>2.2</w:t>
      </w:r>
      <w:r w:rsidRPr="005D021A">
        <w:rPr>
          <w:rFonts w:asciiTheme="minorHAnsi" w:hAnsiTheme="minorHAnsi"/>
          <w:iCs/>
          <w:szCs w:val="24"/>
        </w:rPr>
        <w:tab/>
      </w:r>
      <w:r w:rsidR="00214B33" w:rsidRPr="005D021A">
        <w:rPr>
          <w:rFonts w:asciiTheme="minorHAnsi" w:hAnsiTheme="minorHAnsi"/>
          <w:iCs/>
          <w:szCs w:val="24"/>
        </w:rPr>
        <w:t xml:space="preserve">The second and final application for loan to Switzerland </w:t>
      </w:r>
      <w:proofErr w:type="gramStart"/>
      <w:r w:rsidR="00214B33" w:rsidRPr="005D021A">
        <w:rPr>
          <w:rFonts w:asciiTheme="minorHAnsi" w:hAnsiTheme="minorHAnsi"/>
          <w:iCs/>
          <w:szCs w:val="24"/>
        </w:rPr>
        <w:t>can be issued</w:t>
      </w:r>
      <w:proofErr w:type="gramEnd"/>
      <w:r w:rsidR="00214B33" w:rsidRPr="005D021A">
        <w:rPr>
          <w:rFonts w:asciiTheme="minorHAnsi" w:hAnsiTheme="minorHAnsi"/>
          <w:iCs/>
          <w:szCs w:val="24"/>
        </w:rPr>
        <w:t xml:space="preserve"> after certain architectural study works, estimated for late 2018. Availability of funds from this request would be in early 2020, to </w:t>
      </w:r>
      <w:proofErr w:type="gramStart"/>
      <w:r w:rsidR="00214B33" w:rsidRPr="005D021A">
        <w:rPr>
          <w:rFonts w:asciiTheme="minorHAnsi" w:hAnsiTheme="minorHAnsi"/>
          <w:iCs/>
          <w:szCs w:val="24"/>
        </w:rPr>
        <w:t>be used</w:t>
      </w:r>
      <w:proofErr w:type="gramEnd"/>
      <w:r w:rsidR="00214B33" w:rsidRPr="005D021A">
        <w:rPr>
          <w:rFonts w:asciiTheme="minorHAnsi" w:hAnsiTheme="minorHAnsi"/>
          <w:iCs/>
          <w:szCs w:val="24"/>
        </w:rPr>
        <w:t xml:space="preserve"> for demolishing Varembé and constructing the new building. The amount of this second loan </w:t>
      </w:r>
      <w:proofErr w:type="gramStart"/>
      <w:r w:rsidR="00214B33" w:rsidRPr="005D021A">
        <w:rPr>
          <w:rFonts w:asciiTheme="minorHAnsi" w:hAnsiTheme="minorHAnsi"/>
          <w:iCs/>
          <w:szCs w:val="24"/>
        </w:rPr>
        <w:t>will be determined</w:t>
      </w:r>
      <w:proofErr w:type="gramEnd"/>
      <w:r w:rsidR="00214B33" w:rsidRPr="005D021A">
        <w:rPr>
          <w:rFonts w:asciiTheme="minorHAnsi" w:hAnsiTheme="minorHAnsi"/>
          <w:iCs/>
          <w:szCs w:val="24"/>
        </w:rPr>
        <w:t xml:space="preserve"> by architect’s design and estimation work, within the overall ceiling set by </w:t>
      </w:r>
      <w:r w:rsidR="00960823" w:rsidRPr="005D021A">
        <w:rPr>
          <w:rFonts w:asciiTheme="minorHAnsi" w:hAnsiTheme="minorHAnsi"/>
          <w:iCs/>
          <w:szCs w:val="24"/>
        </w:rPr>
        <w:t xml:space="preserve">the </w:t>
      </w:r>
      <w:r w:rsidR="005D021A">
        <w:rPr>
          <w:rFonts w:asciiTheme="minorHAnsi" w:hAnsiTheme="minorHAnsi"/>
          <w:iCs/>
          <w:szCs w:val="24"/>
        </w:rPr>
        <w:t>Council.</w:t>
      </w:r>
    </w:p>
    <w:p w14:paraId="5A861516" w14:textId="31C91E5F" w:rsidR="00B3788B" w:rsidRPr="005D021A" w:rsidRDefault="00B3788B"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szCs w:val="24"/>
        </w:rPr>
      </w:pPr>
      <w:r w:rsidRPr="00EA5343">
        <w:rPr>
          <w:rFonts w:asciiTheme="minorHAnsi" w:hAnsiTheme="minorHAnsi"/>
          <w:b/>
          <w:bCs/>
          <w:szCs w:val="24"/>
        </w:rPr>
        <w:t>3</w:t>
      </w:r>
      <w:r w:rsidR="00214B33" w:rsidRPr="005D021A">
        <w:rPr>
          <w:rFonts w:asciiTheme="minorHAnsi" w:hAnsiTheme="minorHAnsi"/>
          <w:szCs w:val="24"/>
        </w:rPr>
        <w:tab/>
      </w:r>
      <w:r w:rsidR="00214B33" w:rsidRPr="005D021A">
        <w:rPr>
          <w:rFonts w:asciiTheme="minorHAnsi" w:hAnsiTheme="minorHAnsi"/>
          <w:b/>
          <w:iCs/>
          <w:szCs w:val="24"/>
        </w:rPr>
        <w:t>Architectural Competition</w:t>
      </w:r>
    </w:p>
    <w:p w14:paraId="4D86F393" w14:textId="628407FC" w:rsidR="00214B33" w:rsidRPr="005D021A" w:rsidRDefault="00B3788B" w:rsidP="003A62E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szCs w:val="24"/>
        </w:rPr>
      </w:pPr>
      <w:proofErr w:type="gramStart"/>
      <w:r w:rsidRPr="005D021A">
        <w:rPr>
          <w:rFonts w:asciiTheme="minorHAnsi" w:hAnsiTheme="minorHAnsi"/>
          <w:szCs w:val="24"/>
        </w:rPr>
        <w:t>3.1</w:t>
      </w:r>
      <w:proofErr w:type="gramEnd"/>
      <w:r w:rsidRPr="005D021A">
        <w:rPr>
          <w:rFonts w:asciiTheme="minorHAnsi" w:hAnsiTheme="minorHAnsi"/>
          <w:szCs w:val="24"/>
        </w:rPr>
        <w:tab/>
      </w:r>
      <w:r w:rsidR="00214B33" w:rsidRPr="005D021A">
        <w:rPr>
          <w:rFonts w:asciiTheme="minorHAnsi" w:hAnsiTheme="minorHAnsi"/>
          <w:szCs w:val="24"/>
        </w:rPr>
        <w:t xml:space="preserve">The ITU </w:t>
      </w:r>
      <w:r w:rsidR="00214B33" w:rsidRPr="003A62E4">
        <w:rPr>
          <w:rFonts w:asciiTheme="minorHAnsi" w:hAnsiTheme="minorHAnsi"/>
          <w:szCs w:val="24"/>
        </w:rPr>
        <w:t xml:space="preserve">HQ Architectural Competition </w:t>
      </w:r>
      <w:r w:rsidR="003A62E4" w:rsidRPr="003A62E4">
        <w:rPr>
          <w:rFonts w:asciiTheme="minorHAnsi" w:hAnsiTheme="minorHAnsi"/>
          <w:szCs w:val="24"/>
        </w:rPr>
        <w:t>will be</w:t>
      </w:r>
      <w:r w:rsidR="00780E9E" w:rsidRPr="003A62E4">
        <w:rPr>
          <w:rFonts w:asciiTheme="minorHAnsi" w:hAnsiTheme="minorHAnsi"/>
          <w:szCs w:val="24"/>
        </w:rPr>
        <w:t xml:space="preserve"> </w:t>
      </w:r>
      <w:r w:rsidR="00214B33" w:rsidRPr="003A62E4">
        <w:rPr>
          <w:rFonts w:asciiTheme="minorHAnsi" w:hAnsiTheme="minorHAnsi"/>
          <w:szCs w:val="24"/>
        </w:rPr>
        <w:t>launch</w:t>
      </w:r>
      <w:r w:rsidR="003E3EC4" w:rsidRPr="003A62E4">
        <w:rPr>
          <w:rFonts w:asciiTheme="minorHAnsi" w:hAnsiTheme="minorHAnsi"/>
          <w:szCs w:val="24"/>
        </w:rPr>
        <w:t>ed</w:t>
      </w:r>
      <w:r w:rsidR="00214B33" w:rsidRPr="003A62E4">
        <w:rPr>
          <w:rFonts w:asciiTheme="minorHAnsi" w:hAnsiTheme="minorHAnsi"/>
          <w:szCs w:val="24"/>
        </w:rPr>
        <w:t xml:space="preserve"> </w:t>
      </w:r>
      <w:r w:rsidR="00913FE9" w:rsidRPr="003A62E4">
        <w:rPr>
          <w:rFonts w:asciiTheme="minorHAnsi" w:hAnsiTheme="minorHAnsi"/>
          <w:szCs w:val="24"/>
        </w:rPr>
        <w:t xml:space="preserve">on </w:t>
      </w:r>
      <w:r w:rsidR="00780E9E" w:rsidRPr="003A62E4">
        <w:rPr>
          <w:rFonts w:asciiTheme="minorHAnsi" w:hAnsiTheme="minorHAnsi"/>
          <w:szCs w:val="24"/>
        </w:rPr>
        <w:t>5 April</w:t>
      </w:r>
      <w:r w:rsidR="00214B33" w:rsidRPr="003A62E4">
        <w:rPr>
          <w:rFonts w:asciiTheme="minorHAnsi" w:hAnsiTheme="minorHAnsi"/>
          <w:szCs w:val="24"/>
        </w:rPr>
        <w:t xml:space="preserve"> 2017, coordinated</w:t>
      </w:r>
      <w:r w:rsidR="00214B33" w:rsidRPr="005D021A">
        <w:rPr>
          <w:rFonts w:asciiTheme="minorHAnsi" w:hAnsiTheme="minorHAnsi"/>
          <w:szCs w:val="24"/>
        </w:rPr>
        <w:t xml:space="preserve"> by an architecture bureau already appointed. The competition will be according to Swiss practice, fully anonymous, open to candidate architect bureaux from all ITU Member States, and </w:t>
      </w:r>
      <w:proofErr w:type="gramStart"/>
      <w:r w:rsidR="00214B33" w:rsidRPr="005D021A">
        <w:rPr>
          <w:rFonts w:asciiTheme="minorHAnsi" w:hAnsiTheme="minorHAnsi"/>
          <w:szCs w:val="24"/>
        </w:rPr>
        <w:t>is expected</w:t>
      </w:r>
      <w:proofErr w:type="gramEnd"/>
      <w:r w:rsidR="00214B33" w:rsidRPr="005D021A">
        <w:rPr>
          <w:rFonts w:asciiTheme="minorHAnsi" w:hAnsiTheme="minorHAnsi"/>
          <w:szCs w:val="24"/>
        </w:rPr>
        <w:t xml:space="preserve"> to select a winner at the </w:t>
      </w:r>
      <w:r w:rsidR="00960823" w:rsidRPr="005D021A">
        <w:rPr>
          <w:rFonts w:asciiTheme="minorHAnsi" w:hAnsiTheme="minorHAnsi"/>
          <w:szCs w:val="24"/>
        </w:rPr>
        <w:t xml:space="preserve">end of 2017. It </w:t>
      </w:r>
      <w:proofErr w:type="gramStart"/>
      <w:r w:rsidR="00960823" w:rsidRPr="005D021A">
        <w:rPr>
          <w:rFonts w:asciiTheme="minorHAnsi" w:hAnsiTheme="minorHAnsi"/>
          <w:szCs w:val="24"/>
        </w:rPr>
        <w:t>will be publiciz</w:t>
      </w:r>
      <w:r w:rsidR="00214B33" w:rsidRPr="005D021A">
        <w:rPr>
          <w:rFonts w:asciiTheme="minorHAnsi" w:hAnsiTheme="minorHAnsi"/>
          <w:szCs w:val="24"/>
        </w:rPr>
        <w:t>ed</w:t>
      </w:r>
      <w:proofErr w:type="gramEnd"/>
      <w:r w:rsidR="00214B33" w:rsidRPr="005D021A">
        <w:rPr>
          <w:rFonts w:asciiTheme="minorHAnsi" w:hAnsiTheme="minorHAnsi"/>
          <w:szCs w:val="24"/>
        </w:rPr>
        <w:t xml:space="preserve"> in the professional architecture press worldwide, the UN Global M</w:t>
      </w:r>
      <w:r w:rsidR="00AF3D91" w:rsidRPr="005D021A">
        <w:rPr>
          <w:rFonts w:asciiTheme="minorHAnsi" w:hAnsiTheme="minorHAnsi"/>
          <w:szCs w:val="24"/>
        </w:rPr>
        <w:t xml:space="preserve">arketplace and the ITU website. </w:t>
      </w:r>
      <w:r w:rsidR="00214B33" w:rsidRPr="005D021A">
        <w:rPr>
          <w:rFonts w:asciiTheme="minorHAnsi" w:hAnsiTheme="minorHAnsi"/>
          <w:szCs w:val="24"/>
        </w:rPr>
        <w:t xml:space="preserve">The jury for the competition will include representation </w:t>
      </w:r>
      <w:proofErr w:type="gramStart"/>
      <w:r w:rsidR="00214B33" w:rsidRPr="005D021A">
        <w:rPr>
          <w:rFonts w:asciiTheme="minorHAnsi" w:hAnsiTheme="minorHAnsi"/>
          <w:szCs w:val="24"/>
        </w:rPr>
        <w:t>from:</w:t>
      </w:r>
      <w:proofErr w:type="gramEnd"/>
      <w:r w:rsidR="00214B33" w:rsidRPr="005D021A">
        <w:rPr>
          <w:rFonts w:asciiTheme="minorHAnsi" w:hAnsiTheme="minorHAnsi"/>
          <w:szCs w:val="24"/>
        </w:rPr>
        <w:t xml:space="preserve"> ITU SG/DSG; ITU General Secretariat; ITU Staff Council; </w:t>
      </w:r>
      <w:r w:rsidR="00D667B1">
        <w:rPr>
          <w:rFonts w:asciiTheme="minorHAnsi" w:hAnsiTheme="minorHAnsi"/>
          <w:szCs w:val="24"/>
        </w:rPr>
        <w:t xml:space="preserve">ITU MSAG; </w:t>
      </w:r>
      <w:r w:rsidR="00214B33" w:rsidRPr="005D021A">
        <w:rPr>
          <w:rFonts w:asciiTheme="minorHAnsi" w:hAnsiTheme="minorHAnsi"/>
          <w:szCs w:val="24"/>
        </w:rPr>
        <w:t>Swiss confederation; Geneva canton; FIPOI; architects from six ITU regions; a Swiss architect. The President will be a non-Swiss architect.</w:t>
      </w:r>
      <w:r w:rsidR="005D021A">
        <w:rPr>
          <w:rFonts w:asciiTheme="minorHAnsi" w:hAnsiTheme="minorHAnsi"/>
          <w:iCs/>
          <w:szCs w:val="24"/>
        </w:rPr>
        <w:t xml:space="preserve"> </w:t>
      </w:r>
      <w:r w:rsidR="00214B33" w:rsidRPr="005D021A">
        <w:rPr>
          <w:rFonts w:asciiTheme="minorHAnsi" w:hAnsiTheme="minorHAnsi"/>
          <w:iCs/>
          <w:szCs w:val="24"/>
        </w:rPr>
        <w:t xml:space="preserve">The winner </w:t>
      </w:r>
      <w:proofErr w:type="gramStart"/>
      <w:r w:rsidR="00214B33" w:rsidRPr="005D021A">
        <w:rPr>
          <w:rFonts w:asciiTheme="minorHAnsi" w:hAnsiTheme="minorHAnsi"/>
          <w:iCs/>
          <w:szCs w:val="24"/>
        </w:rPr>
        <w:t>would normally be awarded</w:t>
      </w:r>
      <w:proofErr w:type="gramEnd"/>
      <w:r w:rsidR="00214B33" w:rsidRPr="005D021A">
        <w:rPr>
          <w:rFonts w:asciiTheme="minorHAnsi" w:hAnsiTheme="minorHAnsi"/>
          <w:iCs/>
          <w:szCs w:val="24"/>
        </w:rPr>
        <w:t xml:space="preserve"> a contract to design the building, and to manage the construction works. </w:t>
      </w:r>
    </w:p>
    <w:p w14:paraId="7A8F4F0C" w14:textId="14FCB63E" w:rsidR="0052591F" w:rsidRPr="005D021A" w:rsidRDefault="00B3788B" w:rsidP="00267C4E">
      <w:pPr>
        <w:jc w:val="both"/>
        <w:rPr>
          <w:rFonts w:asciiTheme="minorHAnsi" w:hAnsiTheme="minorHAnsi"/>
        </w:rPr>
      </w:pPr>
      <w:r w:rsidRPr="005D021A">
        <w:rPr>
          <w:rFonts w:asciiTheme="minorHAnsi" w:hAnsiTheme="minorHAnsi"/>
        </w:rPr>
        <w:t>3.2</w:t>
      </w:r>
      <w:r w:rsidR="00F83685" w:rsidRPr="005D021A">
        <w:rPr>
          <w:rFonts w:asciiTheme="minorHAnsi" w:hAnsiTheme="minorHAnsi"/>
        </w:rPr>
        <w:tab/>
      </w:r>
      <w:r w:rsidR="0052591F" w:rsidRPr="005D021A">
        <w:rPr>
          <w:rFonts w:asciiTheme="minorHAnsi" w:hAnsiTheme="minorHAnsi"/>
          <w:color w:val="000000"/>
          <w:shd w:val="clear" w:color="auto" w:fill="FFFFFF"/>
        </w:rPr>
        <w:t xml:space="preserve">The division of the land parcel between Varembé-2 and the Tower </w:t>
      </w:r>
      <w:r w:rsidR="007E3AFD" w:rsidRPr="005D021A">
        <w:rPr>
          <w:rFonts w:asciiTheme="minorHAnsi" w:hAnsiTheme="minorHAnsi"/>
          <w:color w:val="000000"/>
          <w:shd w:val="clear" w:color="auto" w:fill="FFFFFF"/>
        </w:rPr>
        <w:t xml:space="preserve">to allow </w:t>
      </w:r>
      <w:r w:rsidRPr="005D021A">
        <w:rPr>
          <w:rFonts w:asciiTheme="minorHAnsi" w:hAnsiTheme="minorHAnsi"/>
          <w:color w:val="000000"/>
          <w:shd w:val="clear" w:color="auto" w:fill="FFFFFF"/>
        </w:rPr>
        <w:t xml:space="preserve">the </w:t>
      </w:r>
      <w:r w:rsidR="007E3AFD" w:rsidRPr="005D021A">
        <w:rPr>
          <w:rFonts w:asciiTheme="minorHAnsi" w:hAnsiTheme="minorHAnsi"/>
          <w:color w:val="000000"/>
          <w:shd w:val="clear" w:color="auto" w:fill="FFFFFF"/>
        </w:rPr>
        <w:t xml:space="preserve">disposal of the Tower </w:t>
      </w:r>
      <w:r w:rsidR="0052591F" w:rsidRPr="005D021A">
        <w:rPr>
          <w:rFonts w:asciiTheme="minorHAnsi" w:hAnsiTheme="minorHAnsi"/>
          <w:color w:val="000000"/>
          <w:shd w:val="clear" w:color="auto" w:fill="FFFFFF"/>
        </w:rPr>
        <w:t>will take place after the completion of Varembé-2. The architectural competition will therefore have greater flexibility of desig</w:t>
      </w:r>
      <w:r w:rsidR="00A414D5" w:rsidRPr="005D021A">
        <w:rPr>
          <w:rFonts w:asciiTheme="minorHAnsi" w:hAnsiTheme="minorHAnsi"/>
          <w:color w:val="000000"/>
          <w:shd w:val="clear" w:color="auto" w:fill="FFFFFF"/>
        </w:rPr>
        <w:t>n</w:t>
      </w:r>
      <w:r w:rsidR="0052591F" w:rsidRPr="005D021A">
        <w:rPr>
          <w:rFonts w:asciiTheme="minorHAnsi" w:hAnsiTheme="minorHAnsi"/>
          <w:color w:val="000000"/>
          <w:shd w:val="clear" w:color="auto" w:fill="FFFFFF"/>
        </w:rPr>
        <w:t xml:space="preserve"> </w:t>
      </w:r>
      <w:r w:rsidR="00A414D5" w:rsidRPr="005D021A">
        <w:rPr>
          <w:rFonts w:asciiTheme="minorHAnsi" w:hAnsiTheme="minorHAnsi"/>
          <w:color w:val="000000"/>
          <w:shd w:val="clear" w:color="auto" w:fill="FFFFFF"/>
        </w:rPr>
        <w:t xml:space="preserve">including </w:t>
      </w:r>
      <w:r w:rsidR="0052591F" w:rsidRPr="005D021A">
        <w:rPr>
          <w:rFonts w:asciiTheme="minorHAnsi" w:hAnsiTheme="minorHAnsi"/>
          <w:color w:val="000000"/>
          <w:shd w:val="clear" w:color="auto" w:fill="FFFFFF"/>
        </w:rPr>
        <w:t>exterior feature</w:t>
      </w:r>
      <w:r w:rsidR="00A414D5" w:rsidRPr="005D021A">
        <w:rPr>
          <w:rFonts w:asciiTheme="minorHAnsi" w:hAnsiTheme="minorHAnsi"/>
          <w:color w:val="000000"/>
          <w:shd w:val="clear" w:color="auto" w:fill="FFFFFF"/>
        </w:rPr>
        <w:t>s</w:t>
      </w:r>
      <w:r w:rsidR="0052591F" w:rsidRPr="005D021A">
        <w:rPr>
          <w:rFonts w:asciiTheme="minorHAnsi" w:hAnsiTheme="minorHAnsi"/>
          <w:color w:val="000000"/>
          <w:shd w:val="clear" w:color="auto" w:fill="FFFFFF"/>
        </w:rPr>
        <w:t xml:space="preserve"> such as bi</w:t>
      </w:r>
      <w:r w:rsidR="007E3AFD" w:rsidRPr="005D021A">
        <w:rPr>
          <w:rFonts w:asciiTheme="minorHAnsi" w:hAnsiTheme="minorHAnsi"/>
          <w:color w:val="000000"/>
          <w:shd w:val="clear" w:color="auto" w:fill="FFFFFF"/>
        </w:rPr>
        <w:t>cycle</w:t>
      </w:r>
      <w:r w:rsidR="0052591F" w:rsidRPr="005D021A">
        <w:rPr>
          <w:rFonts w:asciiTheme="minorHAnsi" w:hAnsiTheme="minorHAnsi"/>
          <w:color w:val="000000"/>
          <w:shd w:val="clear" w:color="auto" w:fill="FFFFFF"/>
        </w:rPr>
        <w:t xml:space="preserve"> sheds, security p</w:t>
      </w:r>
      <w:r w:rsidR="00267C4E">
        <w:rPr>
          <w:rFonts w:asciiTheme="minorHAnsi" w:hAnsiTheme="minorHAnsi"/>
          <w:color w:val="000000"/>
          <w:shd w:val="clear" w:color="auto" w:fill="FFFFFF"/>
        </w:rPr>
        <w:t>e</w:t>
      </w:r>
      <w:r w:rsidR="0052591F" w:rsidRPr="005D021A">
        <w:rPr>
          <w:rFonts w:asciiTheme="minorHAnsi" w:hAnsiTheme="minorHAnsi"/>
          <w:color w:val="000000"/>
          <w:shd w:val="clear" w:color="auto" w:fill="FFFFFF"/>
        </w:rPr>
        <w:t>r</w:t>
      </w:r>
      <w:r w:rsidR="00267C4E">
        <w:rPr>
          <w:rFonts w:asciiTheme="minorHAnsi" w:hAnsiTheme="minorHAnsi"/>
          <w:color w:val="000000"/>
          <w:shd w:val="clear" w:color="auto" w:fill="FFFFFF"/>
        </w:rPr>
        <w:t>i</w:t>
      </w:r>
      <w:bookmarkStart w:id="10" w:name="_GoBack"/>
      <w:bookmarkEnd w:id="10"/>
      <w:r w:rsidR="0052591F" w:rsidRPr="005D021A">
        <w:rPr>
          <w:rFonts w:asciiTheme="minorHAnsi" w:hAnsiTheme="minorHAnsi"/>
          <w:color w:val="000000"/>
          <w:shd w:val="clear" w:color="auto" w:fill="FFFFFF"/>
        </w:rPr>
        <w:t>meter, landscaping, emergency accesses etc. and provide options for future extension if desirable. This approach will maximi</w:t>
      </w:r>
      <w:r w:rsidR="006046C2">
        <w:rPr>
          <w:rFonts w:asciiTheme="minorHAnsi" w:hAnsiTheme="minorHAnsi"/>
          <w:color w:val="000000"/>
          <w:shd w:val="clear" w:color="auto" w:fill="FFFFFF"/>
        </w:rPr>
        <w:t>z</w:t>
      </w:r>
      <w:r w:rsidR="0052591F" w:rsidRPr="005D021A">
        <w:rPr>
          <w:rFonts w:asciiTheme="minorHAnsi" w:hAnsiTheme="minorHAnsi"/>
          <w:color w:val="000000"/>
          <w:shd w:val="clear" w:color="auto" w:fill="FFFFFF"/>
        </w:rPr>
        <w:t>e the size of the land parcel retained by ITU.</w:t>
      </w:r>
    </w:p>
    <w:p w14:paraId="05B32A22" w14:textId="1607C043" w:rsidR="00A414D5" w:rsidRPr="005D021A" w:rsidRDefault="00B3788B"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b/>
          <w:bCs/>
          <w:szCs w:val="24"/>
        </w:rPr>
      </w:pPr>
      <w:r w:rsidRPr="005D021A">
        <w:rPr>
          <w:rFonts w:asciiTheme="minorHAnsi" w:hAnsiTheme="minorHAnsi"/>
          <w:szCs w:val="24"/>
        </w:rPr>
        <w:t>3.3</w:t>
      </w:r>
      <w:r w:rsidR="00214B33" w:rsidRPr="005D021A">
        <w:rPr>
          <w:rFonts w:asciiTheme="minorHAnsi" w:hAnsiTheme="minorHAnsi"/>
          <w:szCs w:val="24"/>
        </w:rPr>
        <w:t>.</w:t>
      </w:r>
      <w:r w:rsidR="00214B33" w:rsidRPr="005D021A">
        <w:rPr>
          <w:rFonts w:asciiTheme="minorHAnsi" w:hAnsiTheme="minorHAnsi"/>
          <w:szCs w:val="24"/>
        </w:rPr>
        <w:tab/>
        <w:t xml:space="preserve">The secretariat </w:t>
      </w:r>
      <w:r w:rsidR="00F73A44" w:rsidRPr="005D021A">
        <w:rPr>
          <w:rFonts w:asciiTheme="minorHAnsi" w:hAnsiTheme="minorHAnsi"/>
          <w:szCs w:val="24"/>
        </w:rPr>
        <w:t>is in contact with other organiz</w:t>
      </w:r>
      <w:r w:rsidR="00214B33" w:rsidRPr="005D021A">
        <w:rPr>
          <w:rFonts w:asciiTheme="minorHAnsi" w:hAnsiTheme="minorHAnsi"/>
          <w:szCs w:val="24"/>
        </w:rPr>
        <w:t xml:space="preserve">ations in Geneva </w:t>
      </w:r>
      <w:r w:rsidR="00931B7E" w:rsidRPr="005D021A">
        <w:rPr>
          <w:rFonts w:asciiTheme="minorHAnsi" w:hAnsiTheme="minorHAnsi"/>
          <w:szCs w:val="24"/>
        </w:rPr>
        <w:t>to gain experience of</w:t>
      </w:r>
      <w:r w:rsidR="00214B33" w:rsidRPr="005D021A">
        <w:rPr>
          <w:rFonts w:asciiTheme="minorHAnsi" w:hAnsiTheme="minorHAnsi"/>
          <w:szCs w:val="24"/>
        </w:rPr>
        <w:t xml:space="preserve"> open-space planning, particularly FICR, ISO and UNOG. ISO staff, who have had experience of a working environment newly </w:t>
      </w:r>
      <w:proofErr w:type="gramStart"/>
      <w:r w:rsidR="00214B33" w:rsidRPr="005D021A">
        <w:rPr>
          <w:rFonts w:asciiTheme="minorHAnsi" w:hAnsiTheme="minorHAnsi"/>
          <w:szCs w:val="24"/>
        </w:rPr>
        <w:t>designed</w:t>
      </w:r>
      <w:proofErr w:type="gramEnd"/>
      <w:r w:rsidR="00214B33" w:rsidRPr="005D021A">
        <w:rPr>
          <w:rFonts w:asciiTheme="minorHAnsi" w:hAnsiTheme="minorHAnsi"/>
          <w:szCs w:val="24"/>
        </w:rPr>
        <w:t xml:space="preserve"> as open-space </w:t>
      </w:r>
      <w:r w:rsidR="00F73A44" w:rsidRPr="005D021A">
        <w:rPr>
          <w:rFonts w:asciiTheme="minorHAnsi" w:hAnsiTheme="minorHAnsi"/>
          <w:szCs w:val="24"/>
        </w:rPr>
        <w:t xml:space="preserve">will </w:t>
      </w:r>
      <w:r w:rsidR="00214B33" w:rsidRPr="005D021A">
        <w:rPr>
          <w:rFonts w:asciiTheme="minorHAnsi" w:hAnsiTheme="minorHAnsi"/>
          <w:szCs w:val="24"/>
        </w:rPr>
        <w:t xml:space="preserve">visit ITU in May 2017 to provide ITU staff with their experiences and answer questions. </w:t>
      </w:r>
    </w:p>
    <w:p w14:paraId="23F3EE17" w14:textId="42678A67" w:rsidR="00A414D5" w:rsidRPr="005D021A" w:rsidRDefault="00931B7E"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5D021A">
        <w:rPr>
          <w:rFonts w:asciiTheme="minorHAnsi" w:hAnsiTheme="minorHAnsi"/>
          <w:b/>
          <w:bCs/>
          <w:szCs w:val="24"/>
        </w:rPr>
        <w:t>4</w:t>
      </w:r>
      <w:r w:rsidR="00A414D5" w:rsidRPr="005D021A">
        <w:rPr>
          <w:rFonts w:asciiTheme="minorHAnsi" w:hAnsiTheme="minorHAnsi"/>
          <w:b/>
          <w:bCs/>
          <w:szCs w:val="24"/>
        </w:rPr>
        <w:t>.</w:t>
      </w:r>
      <w:r w:rsidR="00A414D5" w:rsidRPr="005D021A">
        <w:rPr>
          <w:rFonts w:asciiTheme="minorHAnsi" w:hAnsiTheme="minorHAnsi"/>
          <w:b/>
          <w:bCs/>
          <w:szCs w:val="24"/>
        </w:rPr>
        <w:tab/>
        <w:t>Management and Governance</w:t>
      </w:r>
    </w:p>
    <w:p w14:paraId="12ED41EE" w14:textId="7E03DAF6" w:rsidR="00A414D5" w:rsidRPr="005D021A" w:rsidRDefault="00931B7E" w:rsidP="003E3EC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4</w:t>
      </w:r>
      <w:r w:rsidR="00B71D6C" w:rsidRPr="005D021A">
        <w:rPr>
          <w:rFonts w:asciiTheme="minorHAnsi" w:hAnsiTheme="minorHAnsi"/>
          <w:szCs w:val="24"/>
        </w:rPr>
        <w:t>.1</w:t>
      </w:r>
      <w:r w:rsidR="00A414D5" w:rsidRPr="005D021A">
        <w:rPr>
          <w:rFonts w:asciiTheme="minorHAnsi" w:hAnsiTheme="minorHAnsi"/>
          <w:szCs w:val="24"/>
        </w:rPr>
        <w:t>.</w:t>
      </w:r>
      <w:r w:rsidR="00A414D5" w:rsidRPr="005D021A">
        <w:rPr>
          <w:rFonts w:asciiTheme="minorHAnsi" w:hAnsiTheme="minorHAnsi"/>
          <w:szCs w:val="24"/>
        </w:rPr>
        <w:tab/>
      </w:r>
      <w:r w:rsidR="00856641" w:rsidRPr="005D021A">
        <w:rPr>
          <w:rFonts w:asciiTheme="minorHAnsi" w:hAnsiTheme="minorHAnsi"/>
          <w:i/>
          <w:iCs/>
          <w:szCs w:val="24"/>
        </w:rPr>
        <w:t>Internal Coordina</w:t>
      </w:r>
      <w:r w:rsidR="00A414D5" w:rsidRPr="005D021A">
        <w:rPr>
          <w:rFonts w:asciiTheme="minorHAnsi" w:hAnsiTheme="minorHAnsi"/>
          <w:i/>
          <w:iCs/>
          <w:szCs w:val="24"/>
        </w:rPr>
        <w:t>tion</w:t>
      </w:r>
      <w:r w:rsidR="00B3788B" w:rsidRPr="005D021A">
        <w:rPr>
          <w:rFonts w:asciiTheme="minorHAnsi" w:hAnsiTheme="minorHAnsi"/>
          <w:szCs w:val="24"/>
        </w:rPr>
        <w:t>:</w:t>
      </w:r>
      <w:r w:rsidR="00A414D5" w:rsidRPr="005D021A">
        <w:rPr>
          <w:rFonts w:asciiTheme="minorHAnsi" w:hAnsiTheme="minorHAnsi"/>
          <w:szCs w:val="24"/>
        </w:rPr>
        <w:t xml:space="preserve"> </w:t>
      </w:r>
      <w:r w:rsidR="0053138C" w:rsidRPr="005D021A">
        <w:rPr>
          <w:rFonts w:asciiTheme="minorHAnsi" w:hAnsiTheme="minorHAnsi"/>
          <w:szCs w:val="24"/>
        </w:rPr>
        <w:t xml:space="preserve">A Management Board </w:t>
      </w:r>
      <w:r w:rsidR="007463E0" w:rsidRPr="005D021A">
        <w:rPr>
          <w:rFonts w:asciiTheme="minorHAnsi" w:hAnsiTheme="minorHAnsi"/>
          <w:szCs w:val="24"/>
        </w:rPr>
        <w:t xml:space="preserve">(MB) </w:t>
      </w:r>
      <w:proofErr w:type="gramStart"/>
      <w:r w:rsidR="006046C2">
        <w:rPr>
          <w:rFonts w:asciiTheme="minorHAnsi" w:hAnsiTheme="minorHAnsi"/>
          <w:szCs w:val="24"/>
        </w:rPr>
        <w:t>has been established</w:t>
      </w:r>
      <w:proofErr w:type="gramEnd"/>
      <w:r w:rsidR="006046C2">
        <w:rPr>
          <w:rFonts w:asciiTheme="minorHAnsi" w:hAnsiTheme="minorHAnsi"/>
          <w:szCs w:val="24"/>
        </w:rPr>
        <w:t>, and is</w:t>
      </w:r>
      <w:r w:rsidR="0053138C" w:rsidRPr="005D021A">
        <w:rPr>
          <w:rFonts w:asciiTheme="minorHAnsi" w:hAnsiTheme="minorHAnsi"/>
          <w:szCs w:val="24"/>
        </w:rPr>
        <w:t xml:space="preserve"> composed o</w:t>
      </w:r>
      <w:r w:rsidR="006046C2">
        <w:rPr>
          <w:rFonts w:asciiTheme="minorHAnsi" w:hAnsiTheme="minorHAnsi"/>
          <w:szCs w:val="24"/>
        </w:rPr>
        <w:t>f</w:t>
      </w:r>
      <w:r w:rsidR="0053138C" w:rsidRPr="005D021A">
        <w:rPr>
          <w:rFonts w:asciiTheme="minorHAnsi" w:hAnsiTheme="minorHAnsi"/>
          <w:szCs w:val="24"/>
        </w:rPr>
        <w:t xml:space="preserve"> the Deputy Secretary-General, Chie</w:t>
      </w:r>
      <w:r w:rsidR="0005597E">
        <w:rPr>
          <w:rFonts w:asciiTheme="minorHAnsi" w:hAnsiTheme="minorHAnsi"/>
          <w:szCs w:val="24"/>
        </w:rPr>
        <w:t>f of the legal unit, Chief of FR</w:t>
      </w:r>
      <w:r w:rsidR="007463E0" w:rsidRPr="005D021A">
        <w:rPr>
          <w:rFonts w:asciiTheme="minorHAnsi" w:hAnsiTheme="minorHAnsi"/>
          <w:szCs w:val="24"/>
        </w:rPr>
        <w:t>MD, Chief of HRMD, Head of FMD</w:t>
      </w:r>
      <w:r w:rsidR="006046C2">
        <w:rPr>
          <w:rFonts w:asciiTheme="minorHAnsi" w:hAnsiTheme="minorHAnsi"/>
          <w:szCs w:val="24"/>
        </w:rPr>
        <w:t>,</w:t>
      </w:r>
      <w:r w:rsidR="0053138C" w:rsidRPr="005D021A">
        <w:rPr>
          <w:rFonts w:asciiTheme="minorHAnsi" w:hAnsiTheme="minorHAnsi"/>
          <w:szCs w:val="24"/>
        </w:rPr>
        <w:t xml:space="preserve"> </w:t>
      </w:r>
      <w:r w:rsidR="007463E0" w:rsidRPr="005D021A">
        <w:rPr>
          <w:rFonts w:asciiTheme="minorHAnsi" w:hAnsiTheme="minorHAnsi"/>
          <w:szCs w:val="24"/>
        </w:rPr>
        <w:t xml:space="preserve">and Head of Procurement. </w:t>
      </w:r>
      <w:proofErr w:type="gramStart"/>
      <w:r w:rsidR="007463E0" w:rsidRPr="005D021A">
        <w:rPr>
          <w:rFonts w:asciiTheme="minorHAnsi" w:hAnsiTheme="minorHAnsi"/>
          <w:szCs w:val="24"/>
        </w:rPr>
        <w:t xml:space="preserve">The MB </w:t>
      </w:r>
      <w:r w:rsidR="0053138C" w:rsidRPr="005D021A">
        <w:rPr>
          <w:rFonts w:asciiTheme="minorHAnsi" w:hAnsiTheme="minorHAnsi"/>
          <w:szCs w:val="24"/>
        </w:rPr>
        <w:t>provide</w:t>
      </w:r>
      <w:r w:rsidR="007463E0" w:rsidRPr="005D021A">
        <w:rPr>
          <w:rFonts w:asciiTheme="minorHAnsi" w:hAnsiTheme="minorHAnsi"/>
          <w:szCs w:val="24"/>
        </w:rPr>
        <w:t>s</w:t>
      </w:r>
      <w:r w:rsidR="0053138C" w:rsidRPr="005D021A">
        <w:rPr>
          <w:rFonts w:asciiTheme="minorHAnsi" w:hAnsiTheme="minorHAnsi"/>
          <w:szCs w:val="24"/>
        </w:rPr>
        <w:t xml:space="preserve"> overall project direction and oversight, and </w:t>
      </w:r>
      <w:r w:rsidR="007463E0" w:rsidRPr="005D021A">
        <w:rPr>
          <w:rFonts w:asciiTheme="minorHAnsi" w:hAnsiTheme="minorHAnsi"/>
          <w:szCs w:val="24"/>
        </w:rPr>
        <w:t xml:space="preserve">has </w:t>
      </w:r>
      <w:r w:rsidR="0053138C" w:rsidRPr="005D021A">
        <w:rPr>
          <w:rFonts w:asciiTheme="minorHAnsi" w:hAnsiTheme="minorHAnsi"/>
          <w:szCs w:val="24"/>
        </w:rPr>
        <w:t>establish</w:t>
      </w:r>
      <w:r w:rsidR="007463E0" w:rsidRPr="005D021A">
        <w:rPr>
          <w:rFonts w:asciiTheme="minorHAnsi" w:hAnsiTheme="minorHAnsi"/>
          <w:szCs w:val="24"/>
        </w:rPr>
        <w:t xml:space="preserve">ed a subgroup </w:t>
      </w:r>
      <w:r w:rsidR="00A414D5" w:rsidRPr="005D021A">
        <w:rPr>
          <w:rFonts w:asciiTheme="minorHAnsi" w:hAnsiTheme="minorHAnsi"/>
          <w:szCs w:val="24"/>
        </w:rPr>
        <w:t>chaired by the Deputy Secretary-General to develop the operational requirements of the new building and provide for internal coordination and consultation.</w:t>
      </w:r>
      <w:proofErr w:type="gramEnd"/>
      <w:r w:rsidR="00A414D5" w:rsidRPr="005D021A">
        <w:rPr>
          <w:rFonts w:asciiTheme="minorHAnsi" w:hAnsiTheme="minorHAnsi"/>
          <w:szCs w:val="24"/>
        </w:rPr>
        <w:t xml:space="preserve"> This group includes representation from the General Secretariat, the three Bureaux and the Staff Council. The </w:t>
      </w:r>
      <w:r w:rsidR="0005597E">
        <w:rPr>
          <w:rFonts w:asciiTheme="minorHAnsi" w:hAnsiTheme="minorHAnsi"/>
          <w:szCs w:val="24"/>
        </w:rPr>
        <w:lastRenderedPageBreak/>
        <w:t>group helped develop the</w:t>
      </w:r>
      <w:r w:rsidR="00A414D5" w:rsidRPr="005D021A">
        <w:rPr>
          <w:rFonts w:asciiTheme="minorHAnsi" w:hAnsiTheme="minorHAnsi"/>
          <w:szCs w:val="24"/>
        </w:rPr>
        <w:t xml:space="preserve"> </w:t>
      </w:r>
      <w:r w:rsidR="00A414D5" w:rsidRPr="006046C2">
        <w:rPr>
          <w:rFonts w:asciiTheme="minorHAnsi" w:hAnsiTheme="minorHAnsi"/>
          <w:szCs w:val="24"/>
        </w:rPr>
        <w:t>detailed specification</w:t>
      </w:r>
      <w:r w:rsidR="0005597E">
        <w:rPr>
          <w:rFonts w:asciiTheme="minorHAnsi" w:hAnsiTheme="minorHAnsi"/>
          <w:szCs w:val="24"/>
        </w:rPr>
        <w:t xml:space="preserve"> </w:t>
      </w:r>
      <w:r w:rsidR="00A414D5" w:rsidRPr="005D021A">
        <w:rPr>
          <w:rFonts w:asciiTheme="minorHAnsi" w:hAnsiTheme="minorHAnsi"/>
          <w:szCs w:val="24"/>
        </w:rPr>
        <w:t xml:space="preserve">given in the sections below. The specification </w:t>
      </w:r>
      <w:proofErr w:type="gramStart"/>
      <w:r w:rsidR="00A414D5" w:rsidRPr="005D021A">
        <w:rPr>
          <w:rFonts w:asciiTheme="minorHAnsi" w:hAnsiTheme="minorHAnsi"/>
          <w:szCs w:val="24"/>
        </w:rPr>
        <w:t>is made</w:t>
      </w:r>
      <w:proofErr w:type="gramEnd"/>
      <w:r w:rsidR="00A414D5" w:rsidRPr="005D021A">
        <w:rPr>
          <w:rFonts w:asciiTheme="minorHAnsi" w:hAnsiTheme="minorHAnsi"/>
          <w:szCs w:val="24"/>
        </w:rPr>
        <w:t xml:space="preserve"> in terms of user requirements rather than technical requirements. </w:t>
      </w:r>
      <w:r w:rsidR="007463E0" w:rsidRPr="005D021A">
        <w:rPr>
          <w:rFonts w:asciiTheme="minorHAnsi" w:hAnsiTheme="minorHAnsi"/>
          <w:szCs w:val="24"/>
        </w:rPr>
        <w:t xml:space="preserve">The MB will engage </w:t>
      </w:r>
      <w:r w:rsidR="00081DDD" w:rsidRPr="005D021A">
        <w:rPr>
          <w:rFonts w:asciiTheme="minorHAnsi" w:hAnsiTheme="minorHAnsi"/>
          <w:szCs w:val="24"/>
        </w:rPr>
        <w:t xml:space="preserve">external </w:t>
      </w:r>
      <w:r w:rsidR="007463E0" w:rsidRPr="005D021A">
        <w:rPr>
          <w:rFonts w:asciiTheme="minorHAnsi" w:hAnsiTheme="minorHAnsi"/>
          <w:szCs w:val="24"/>
        </w:rPr>
        <w:t>independent consultant architect services to provide technical advice and financial oversight</w:t>
      </w:r>
      <w:r w:rsidR="00B3788B" w:rsidRPr="005D021A">
        <w:rPr>
          <w:rFonts w:asciiTheme="minorHAnsi" w:hAnsiTheme="minorHAnsi"/>
          <w:szCs w:val="24"/>
        </w:rPr>
        <w:t>, funded from the project loan</w:t>
      </w:r>
      <w:r w:rsidR="007463E0" w:rsidRPr="005D021A">
        <w:rPr>
          <w:rFonts w:asciiTheme="minorHAnsi" w:hAnsiTheme="minorHAnsi"/>
          <w:szCs w:val="24"/>
        </w:rPr>
        <w:t xml:space="preserve">. The MB reports to the Secretary-General. </w:t>
      </w:r>
    </w:p>
    <w:p w14:paraId="2525199B" w14:textId="31B6DF6D" w:rsidR="00856641" w:rsidRPr="005D021A" w:rsidRDefault="00931B7E" w:rsidP="005D021A">
      <w:pPr>
        <w:jc w:val="both"/>
        <w:rPr>
          <w:rFonts w:asciiTheme="minorHAnsi" w:hAnsiTheme="minorHAnsi"/>
          <w:lang w:eastAsia="en-US"/>
        </w:rPr>
      </w:pPr>
      <w:r w:rsidRPr="005D021A">
        <w:rPr>
          <w:rFonts w:asciiTheme="minorHAnsi" w:hAnsiTheme="minorHAnsi"/>
          <w:lang w:eastAsia="en-US"/>
        </w:rPr>
        <w:t>4</w:t>
      </w:r>
      <w:r w:rsidR="00856641" w:rsidRPr="005D021A">
        <w:rPr>
          <w:rFonts w:asciiTheme="minorHAnsi" w:hAnsiTheme="minorHAnsi"/>
          <w:lang w:eastAsia="en-US"/>
        </w:rPr>
        <w:t>.2.</w:t>
      </w:r>
      <w:r w:rsidR="00856641" w:rsidRPr="005D021A">
        <w:rPr>
          <w:rFonts w:asciiTheme="minorHAnsi" w:hAnsiTheme="minorHAnsi"/>
          <w:lang w:eastAsia="en-US"/>
        </w:rPr>
        <w:tab/>
      </w:r>
      <w:r w:rsidR="00856641" w:rsidRPr="005D021A">
        <w:rPr>
          <w:rFonts w:asciiTheme="minorHAnsi" w:hAnsiTheme="minorHAnsi"/>
          <w:i/>
          <w:lang w:eastAsia="en-US"/>
        </w:rPr>
        <w:t>ITU-Host Country Liaison</w:t>
      </w:r>
      <w:r w:rsidR="00B3788B" w:rsidRPr="005D021A">
        <w:rPr>
          <w:rFonts w:asciiTheme="minorHAnsi" w:hAnsiTheme="minorHAnsi"/>
          <w:i/>
          <w:lang w:eastAsia="en-US"/>
        </w:rPr>
        <w:t>:</w:t>
      </w:r>
      <w:r w:rsidR="00856641" w:rsidRPr="005D021A">
        <w:rPr>
          <w:rFonts w:asciiTheme="minorHAnsi" w:hAnsiTheme="minorHAnsi"/>
          <w:i/>
          <w:lang w:eastAsia="en-US"/>
        </w:rPr>
        <w:t xml:space="preserve"> </w:t>
      </w:r>
      <w:r w:rsidR="00B3788B" w:rsidRPr="005D021A">
        <w:rPr>
          <w:rFonts w:asciiTheme="minorHAnsi" w:hAnsiTheme="minorHAnsi"/>
          <w:lang w:eastAsia="en-US"/>
        </w:rPr>
        <w:t>A Coordination Committee</w:t>
      </w:r>
      <w:r w:rsidR="00856641" w:rsidRPr="005D021A">
        <w:rPr>
          <w:rFonts w:asciiTheme="minorHAnsi" w:hAnsiTheme="minorHAnsi"/>
          <w:lang w:eastAsia="en-US"/>
        </w:rPr>
        <w:t xml:space="preserve"> </w:t>
      </w:r>
      <w:proofErr w:type="gramStart"/>
      <w:r w:rsidR="0053138C" w:rsidRPr="005D021A">
        <w:rPr>
          <w:rFonts w:asciiTheme="minorHAnsi" w:hAnsiTheme="minorHAnsi"/>
          <w:lang w:eastAsia="en-US"/>
        </w:rPr>
        <w:t>has been established</w:t>
      </w:r>
      <w:proofErr w:type="gramEnd"/>
      <w:r w:rsidR="0053138C" w:rsidRPr="005D021A">
        <w:rPr>
          <w:rFonts w:asciiTheme="minorHAnsi" w:hAnsiTheme="minorHAnsi"/>
          <w:lang w:eastAsia="en-US"/>
        </w:rPr>
        <w:t xml:space="preserve"> </w:t>
      </w:r>
      <w:r w:rsidR="00856641" w:rsidRPr="005D021A">
        <w:rPr>
          <w:rFonts w:asciiTheme="minorHAnsi" w:hAnsiTheme="minorHAnsi"/>
          <w:lang w:eastAsia="en-US"/>
        </w:rPr>
        <w:t xml:space="preserve">to ensure </w:t>
      </w:r>
      <w:r w:rsidR="0053138C" w:rsidRPr="005D021A">
        <w:rPr>
          <w:rFonts w:asciiTheme="minorHAnsi" w:hAnsiTheme="minorHAnsi"/>
          <w:lang w:eastAsia="en-US"/>
        </w:rPr>
        <w:t xml:space="preserve">good collaboration between ITU </w:t>
      </w:r>
      <w:r w:rsidR="005D021A">
        <w:rPr>
          <w:rFonts w:asciiTheme="minorHAnsi" w:hAnsiTheme="minorHAnsi"/>
          <w:lang w:eastAsia="en-US"/>
        </w:rPr>
        <w:t>s</w:t>
      </w:r>
      <w:r w:rsidR="0053138C" w:rsidRPr="005D021A">
        <w:rPr>
          <w:rFonts w:asciiTheme="minorHAnsi" w:hAnsiTheme="minorHAnsi"/>
          <w:lang w:eastAsia="en-US"/>
        </w:rPr>
        <w:t xml:space="preserve">ecretariat and </w:t>
      </w:r>
      <w:r w:rsidR="00856641" w:rsidRPr="005D021A">
        <w:rPr>
          <w:rFonts w:asciiTheme="minorHAnsi" w:hAnsiTheme="minorHAnsi"/>
          <w:lang w:eastAsia="en-US"/>
        </w:rPr>
        <w:t>the Host Country organs at Federal and Cantonal level.</w:t>
      </w:r>
    </w:p>
    <w:p w14:paraId="5371BFFC" w14:textId="672F89C9" w:rsidR="00B71D6C"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b/>
          <w:bCs/>
          <w:szCs w:val="24"/>
        </w:rPr>
      </w:pPr>
      <w:r w:rsidRPr="005D021A">
        <w:rPr>
          <w:rFonts w:asciiTheme="minorHAnsi" w:hAnsiTheme="minorHAnsi"/>
          <w:szCs w:val="24"/>
        </w:rPr>
        <w:t>4</w:t>
      </w:r>
      <w:r w:rsidR="00A414D5" w:rsidRPr="005D021A">
        <w:rPr>
          <w:rFonts w:asciiTheme="minorHAnsi" w:hAnsiTheme="minorHAnsi"/>
          <w:szCs w:val="24"/>
        </w:rPr>
        <w:t>.</w:t>
      </w:r>
      <w:r w:rsidR="00856641" w:rsidRPr="005D021A">
        <w:rPr>
          <w:rFonts w:asciiTheme="minorHAnsi" w:hAnsiTheme="minorHAnsi"/>
          <w:szCs w:val="24"/>
        </w:rPr>
        <w:t>3</w:t>
      </w:r>
      <w:r w:rsidR="00A414D5" w:rsidRPr="005D021A">
        <w:rPr>
          <w:rFonts w:asciiTheme="minorHAnsi" w:hAnsiTheme="minorHAnsi"/>
          <w:szCs w:val="24"/>
        </w:rPr>
        <w:t>.</w:t>
      </w:r>
      <w:r w:rsidR="00A414D5" w:rsidRPr="005D021A">
        <w:rPr>
          <w:rFonts w:asciiTheme="minorHAnsi" w:hAnsiTheme="minorHAnsi"/>
          <w:szCs w:val="24"/>
        </w:rPr>
        <w:tab/>
      </w:r>
      <w:r w:rsidR="00A414D5" w:rsidRPr="005D021A">
        <w:rPr>
          <w:rFonts w:asciiTheme="minorHAnsi" w:hAnsiTheme="minorHAnsi"/>
          <w:i/>
          <w:iCs/>
          <w:szCs w:val="24"/>
        </w:rPr>
        <w:t>Member States</w:t>
      </w:r>
      <w:r w:rsidR="00B3788B" w:rsidRPr="005D021A">
        <w:rPr>
          <w:rFonts w:asciiTheme="minorHAnsi" w:hAnsiTheme="minorHAnsi"/>
          <w:i/>
          <w:iCs/>
          <w:szCs w:val="24"/>
        </w:rPr>
        <w:t xml:space="preserve">: </w:t>
      </w:r>
      <w:r w:rsidR="00A414D5" w:rsidRPr="005D021A">
        <w:rPr>
          <w:rFonts w:asciiTheme="minorHAnsi" w:hAnsiTheme="minorHAnsi"/>
          <w:i/>
          <w:iCs/>
          <w:szCs w:val="24"/>
        </w:rPr>
        <w:t xml:space="preserve"> </w:t>
      </w:r>
      <w:r w:rsidR="00B3788B" w:rsidRPr="005D021A">
        <w:rPr>
          <w:rFonts w:asciiTheme="minorHAnsi" w:hAnsiTheme="minorHAnsi"/>
          <w:iCs/>
          <w:szCs w:val="24"/>
        </w:rPr>
        <w:t xml:space="preserve">A Member States </w:t>
      </w:r>
      <w:r w:rsidR="00A414D5" w:rsidRPr="005D021A">
        <w:rPr>
          <w:rFonts w:asciiTheme="minorHAnsi" w:hAnsiTheme="minorHAnsi"/>
          <w:iCs/>
          <w:szCs w:val="24"/>
        </w:rPr>
        <w:t>Advisory Group (MSAG)</w:t>
      </w:r>
      <w:r w:rsidR="00B3788B" w:rsidRPr="005D021A">
        <w:rPr>
          <w:rFonts w:asciiTheme="minorHAnsi" w:hAnsiTheme="minorHAnsi"/>
          <w:iCs/>
          <w:szCs w:val="24"/>
        </w:rPr>
        <w:t xml:space="preserve"> </w:t>
      </w:r>
      <w:proofErr w:type="gramStart"/>
      <w:r w:rsidR="00B3788B" w:rsidRPr="005D021A">
        <w:rPr>
          <w:rFonts w:asciiTheme="minorHAnsi" w:hAnsiTheme="minorHAnsi"/>
          <w:iCs/>
          <w:szCs w:val="24"/>
        </w:rPr>
        <w:t>has been established</w:t>
      </w:r>
      <w:proofErr w:type="gramEnd"/>
      <w:r w:rsidR="00B3788B" w:rsidRPr="005D021A">
        <w:rPr>
          <w:rFonts w:asciiTheme="minorHAnsi" w:hAnsiTheme="minorHAnsi"/>
          <w:iCs/>
          <w:szCs w:val="24"/>
        </w:rPr>
        <w:t xml:space="preserve"> with regional representatio</w:t>
      </w:r>
      <w:r w:rsidR="00A86BBD" w:rsidRPr="005D021A">
        <w:rPr>
          <w:rFonts w:asciiTheme="minorHAnsi" w:hAnsiTheme="minorHAnsi"/>
          <w:iCs/>
          <w:szCs w:val="24"/>
        </w:rPr>
        <w:t>n</w:t>
      </w:r>
      <w:r w:rsidR="00A414D5" w:rsidRPr="005D021A">
        <w:rPr>
          <w:rFonts w:asciiTheme="minorHAnsi" w:hAnsiTheme="minorHAnsi"/>
          <w:iCs/>
          <w:szCs w:val="24"/>
        </w:rPr>
        <w:t>.</w:t>
      </w:r>
      <w:r w:rsidR="00A414D5" w:rsidRPr="005D021A">
        <w:rPr>
          <w:rFonts w:asciiTheme="minorHAnsi" w:hAnsiTheme="minorHAnsi"/>
          <w:szCs w:val="24"/>
        </w:rPr>
        <w:t xml:space="preserve"> Regionally coordinated MSAG membership proposals were solicited in July 2016, with four regions so far being represented: Arab States (UAE); Asia and Australasia (Japan); Eastern Europe and Northern Asia (Russian Federation); Western Europe (Germany). Proposals for MSAG membership </w:t>
      </w:r>
      <w:proofErr w:type="gramStart"/>
      <w:r w:rsidR="00A414D5" w:rsidRPr="005D021A">
        <w:rPr>
          <w:rFonts w:asciiTheme="minorHAnsi" w:hAnsiTheme="minorHAnsi"/>
          <w:szCs w:val="24"/>
        </w:rPr>
        <w:t>have not so far been received</w:t>
      </w:r>
      <w:proofErr w:type="gramEnd"/>
      <w:r w:rsidR="00A414D5" w:rsidRPr="005D021A">
        <w:rPr>
          <w:rFonts w:asciiTheme="minorHAnsi" w:hAnsiTheme="minorHAnsi"/>
          <w:szCs w:val="24"/>
        </w:rPr>
        <w:t xml:space="preserve"> from the Africa and Americas regions. MSAG has so far met once, in December 2016.</w:t>
      </w:r>
      <w:r w:rsidR="00B3788B" w:rsidRPr="005D021A">
        <w:rPr>
          <w:rFonts w:asciiTheme="minorHAnsi" w:hAnsiTheme="minorHAnsi"/>
          <w:szCs w:val="24"/>
        </w:rPr>
        <w:t xml:space="preserve"> </w:t>
      </w:r>
      <w:r w:rsidR="00A414D5" w:rsidRPr="005D021A">
        <w:rPr>
          <w:rFonts w:asciiTheme="minorHAnsi" w:hAnsiTheme="minorHAnsi"/>
          <w:iCs/>
          <w:szCs w:val="24"/>
        </w:rPr>
        <w:t xml:space="preserve">MSAG </w:t>
      </w:r>
      <w:proofErr w:type="gramStart"/>
      <w:r w:rsidR="00A414D5" w:rsidRPr="005D021A">
        <w:rPr>
          <w:rFonts w:asciiTheme="minorHAnsi" w:hAnsiTheme="minorHAnsi"/>
          <w:iCs/>
          <w:szCs w:val="24"/>
        </w:rPr>
        <w:t>is expected</w:t>
      </w:r>
      <w:proofErr w:type="gramEnd"/>
      <w:r w:rsidR="00A414D5" w:rsidRPr="005D021A">
        <w:rPr>
          <w:rFonts w:asciiTheme="minorHAnsi" w:hAnsiTheme="minorHAnsi"/>
          <w:iCs/>
          <w:szCs w:val="24"/>
        </w:rPr>
        <w:t xml:space="preserve"> to meet next in April 2017.</w:t>
      </w:r>
      <w:r w:rsidR="00B3788B" w:rsidRPr="005D021A">
        <w:rPr>
          <w:rFonts w:asciiTheme="minorHAnsi" w:hAnsiTheme="minorHAnsi"/>
          <w:iCs/>
          <w:szCs w:val="24"/>
        </w:rPr>
        <w:t xml:space="preserve"> </w:t>
      </w:r>
      <w:r w:rsidR="00D667B1">
        <w:rPr>
          <w:rFonts w:asciiTheme="minorHAnsi" w:hAnsiTheme="minorHAnsi"/>
          <w:iCs/>
          <w:szCs w:val="24"/>
        </w:rPr>
        <w:t xml:space="preserve">MSAG </w:t>
      </w:r>
      <w:proofErr w:type="gramStart"/>
      <w:r w:rsidR="00D667B1">
        <w:rPr>
          <w:rFonts w:asciiTheme="minorHAnsi" w:hAnsiTheme="minorHAnsi"/>
          <w:iCs/>
          <w:szCs w:val="24"/>
        </w:rPr>
        <w:t>will be represented</w:t>
      </w:r>
      <w:proofErr w:type="gramEnd"/>
      <w:r w:rsidR="00D667B1">
        <w:rPr>
          <w:rFonts w:asciiTheme="minorHAnsi" w:hAnsiTheme="minorHAnsi"/>
          <w:iCs/>
          <w:szCs w:val="24"/>
        </w:rPr>
        <w:t xml:space="preserve"> on the competition jury. </w:t>
      </w:r>
      <w:r w:rsidR="00B3788B" w:rsidRPr="005D021A">
        <w:rPr>
          <w:rFonts w:asciiTheme="minorHAnsi" w:hAnsiTheme="minorHAnsi"/>
          <w:iCs/>
          <w:szCs w:val="24"/>
        </w:rPr>
        <w:t xml:space="preserve">The Geneva Group of Member States has also established contact with the </w:t>
      </w:r>
      <w:r w:rsidR="005D021A">
        <w:rPr>
          <w:rFonts w:asciiTheme="minorHAnsi" w:hAnsiTheme="minorHAnsi"/>
          <w:iCs/>
          <w:szCs w:val="24"/>
        </w:rPr>
        <w:t>s</w:t>
      </w:r>
      <w:r w:rsidRPr="005D021A">
        <w:rPr>
          <w:rFonts w:asciiTheme="minorHAnsi" w:hAnsiTheme="minorHAnsi"/>
          <w:iCs/>
          <w:szCs w:val="24"/>
        </w:rPr>
        <w:t xml:space="preserve">ecretariat to discuss the </w:t>
      </w:r>
      <w:r w:rsidR="00B3788B" w:rsidRPr="005D021A">
        <w:rPr>
          <w:rFonts w:asciiTheme="minorHAnsi" w:hAnsiTheme="minorHAnsi"/>
          <w:iCs/>
          <w:szCs w:val="24"/>
        </w:rPr>
        <w:t>project.</w:t>
      </w:r>
    </w:p>
    <w:p w14:paraId="34BDFBAE" w14:textId="5CBE7A26" w:rsidR="00214B33" w:rsidRPr="005D021A" w:rsidRDefault="00931B7E"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5D021A">
        <w:rPr>
          <w:rFonts w:asciiTheme="minorHAnsi" w:hAnsiTheme="minorHAnsi"/>
          <w:b/>
          <w:bCs/>
          <w:szCs w:val="24"/>
        </w:rPr>
        <w:t>5</w:t>
      </w:r>
      <w:r w:rsidR="00214B33" w:rsidRPr="005D021A">
        <w:rPr>
          <w:rFonts w:asciiTheme="minorHAnsi" w:hAnsiTheme="minorHAnsi"/>
          <w:b/>
          <w:bCs/>
          <w:szCs w:val="24"/>
        </w:rPr>
        <w:t>.</w:t>
      </w:r>
      <w:r w:rsidR="00214B33" w:rsidRPr="005D021A">
        <w:rPr>
          <w:rFonts w:asciiTheme="minorHAnsi" w:hAnsiTheme="minorHAnsi"/>
          <w:b/>
          <w:bCs/>
          <w:szCs w:val="24"/>
        </w:rPr>
        <w:tab/>
        <w:t>Detailed Specification – Overall Vision</w:t>
      </w:r>
    </w:p>
    <w:p w14:paraId="776D1681" w14:textId="6438011E" w:rsidR="00214B33" w:rsidRPr="005D021A" w:rsidRDefault="00931B7E" w:rsidP="00500006">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w:t>
      </w:r>
      <w:r w:rsidR="00214B33" w:rsidRPr="005D021A">
        <w:rPr>
          <w:rFonts w:asciiTheme="minorHAnsi" w:hAnsiTheme="minorHAnsi"/>
          <w:szCs w:val="24"/>
        </w:rPr>
        <w:tab/>
        <w:t xml:space="preserve">ITU’s vision of the new building (“Varembé-2”) as expressed here is intended to </w:t>
      </w:r>
      <w:r w:rsidR="00500006">
        <w:rPr>
          <w:rFonts w:asciiTheme="minorHAnsi" w:hAnsiTheme="minorHAnsi"/>
          <w:szCs w:val="24"/>
        </w:rPr>
        <w:t xml:space="preserve">be a “smart </w:t>
      </w:r>
      <w:r w:rsidR="004C6CF6">
        <w:rPr>
          <w:rFonts w:asciiTheme="minorHAnsi" w:hAnsiTheme="minorHAnsi"/>
          <w:szCs w:val="24"/>
        </w:rPr>
        <w:t>building” utiliz</w:t>
      </w:r>
      <w:r w:rsidR="00500006">
        <w:rPr>
          <w:rFonts w:asciiTheme="minorHAnsi" w:hAnsiTheme="minorHAnsi"/>
          <w:szCs w:val="24"/>
        </w:rPr>
        <w:t>ing the latest technology, be future proofed and adaptable to the introduction of flexible working procedures.</w:t>
      </w:r>
    </w:p>
    <w:p w14:paraId="2F0539F7" w14:textId="5F2D06D6"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.2.</w:t>
      </w:r>
      <w:r w:rsidR="00214B33" w:rsidRPr="005D021A">
        <w:rPr>
          <w:rFonts w:asciiTheme="minorHAnsi" w:hAnsiTheme="minorHAnsi"/>
          <w:szCs w:val="24"/>
        </w:rPr>
        <w:tab/>
        <w:t xml:space="preserve">Varembé-2 will stand </w:t>
      </w:r>
      <w:r w:rsidR="008B3BE1">
        <w:rPr>
          <w:rFonts w:asciiTheme="minorHAnsi" w:hAnsiTheme="minorHAnsi"/>
          <w:szCs w:val="24"/>
        </w:rPr>
        <w:t xml:space="preserve">as a self-contained HQ building </w:t>
      </w:r>
      <w:r w:rsidR="00214B33" w:rsidRPr="005D021A">
        <w:rPr>
          <w:rFonts w:asciiTheme="minorHAnsi" w:hAnsiTheme="minorHAnsi"/>
          <w:szCs w:val="24"/>
        </w:rPr>
        <w:t xml:space="preserve">on ITU’s current Place des Nations site, on the land parcel currently occupied by ITU. It will aesthetically combine with the existing ITU </w:t>
      </w:r>
      <w:proofErr w:type="spellStart"/>
      <w:r w:rsidR="00214B33" w:rsidRPr="005D021A">
        <w:rPr>
          <w:rFonts w:asciiTheme="minorHAnsi" w:hAnsiTheme="minorHAnsi"/>
          <w:szCs w:val="24"/>
        </w:rPr>
        <w:t>Montbrillant</w:t>
      </w:r>
      <w:proofErr w:type="spellEnd"/>
      <w:r w:rsidR="00214B33" w:rsidRPr="005D021A">
        <w:rPr>
          <w:rFonts w:asciiTheme="minorHAnsi" w:hAnsiTheme="minorHAnsi"/>
          <w:szCs w:val="24"/>
        </w:rPr>
        <w:t xml:space="preserve"> building. </w:t>
      </w:r>
    </w:p>
    <w:p w14:paraId="768D902B"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
          <w:iCs/>
          <w:szCs w:val="24"/>
        </w:rPr>
      </w:pPr>
      <w:r w:rsidRPr="005D021A">
        <w:rPr>
          <w:rFonts w:asciiTheme="minorHAnsi" w:hAnsiTheme="minorHAnsi"/>
          <w:i/>
          <w:iCs/>
          <w:szCs w:val="24"/>
        </w:rPr>
        <w:t xml:space="preserve">The existing Varembé building </w:t>
      </w:r>
      <w:proofErr w:type="gramStart"/>
      <w:r w:rsidRPr="005D021A">
        <w:rPr>
          <w:rFonts w:asciiTheme="minorHAnsi" w:hAnsiTheme="minorHAnsi"/>
          <w:i/>
          <w:iCs/>
          <w:szCs w:val="24"/>
        </w:rPr>
        <w:t>will be demolished</w:t>
      </w:r>
      <w:proofErr w:type="gramEnd"/>
      <w:r w:rsidRPr="005D021A">
        <w:rPr>
          <w:rFonts w:asciiTheme="minorHAnsi" w:hAnsiTheme="minorHAnsi"/>
          <w:i/>
          <w:iCs/>
          <w:szCs w:val="24"/>
        </w:rPr>
        <w:t xml:space="preserve"> as a part of the project. The existing Tower building will be disposed of after the project</w:t>
      </w:r>
      <w:r w:rsidR="00F73A44" w:rsidRPr="005D021A">
        <w:rPr>
          <w:rFonts w:asciiTheme="minorHAnsi" w:hAnsiTheme="minorHAnsi"/>
          <w:i/>
          <w:iCs/>
          <w:szCs w:val="24"/>
        </w:rPr>
        <w:t>.</w:t>
      </w:r>
      <w:r w:rsidRPr="005D021A">
        <w:rPr>
          <w:rFonts w:asciiTheme="minorHAnsi" w:hAnsiTheme="minorHAnsi"/>
          <w:i/>
          <w:iCs/>
          <w:szCs w:val="24"/>
        </w:rPr>
        <w:t xml:space="preserve"> </w:t>
      </w:r>
    </w:p>
    <w:p w14:paraId="2FE0C0DA" w14:textId="5811EC7C"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.3.</w:t>
      </w:r>
      <w:r w:rsidR="00214B33" w:rsidRPr="005D021A">
        <w:rPr>
          <w:rFonts w:asciiTheme="minorHAnsi" w:hAnsiTheme="minorHAnsi"/>
          <w:szCs w:val="24"/>
        </w:rPr>
        <w:tab/>
        <w:t xml:space="preserve">Varembé-2 will contain the main and goods entrances to the Union, from rue de Varembé. It will integrate with the existing local infrastructure and services. Delegate registration facilities </w:t>
      </w:r>
      <w:proofErr w:type="gramStart"/>
      <w:r w:rsidR="00214B33" w:rsidRPr="005D021A">
        <w:rPr>
          <w:rFonts w:asciiTheme="minorHAnsi" w:hAnsiTheme="minorHAnsi"/>
          <w:szCs w:val="24"/>
        </w:rPr>
        <w:t>will also be provided</w:t>
      </w:r>
      <w:proofErr w:type="gramEnd"/>
      <w:r w:rsidR="00214B33" w:rsidRPr="005D021A">
        <w:rPr>
          <w:rFonts w:asciiTheme="minorHAnsi" w:hAnsiTheme="minorHAnsi"/>
          <w:szCs w:val="24"/>
        </w:rPr>
        <w:t xml:space="preserve"> at the main entrance.</w:t>
      </w:r>
    </w:p>
    <w:p w14:paraId="5C532F27" w14:textId="42AA2E2F"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.4.</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he building footprint and height will be determined based on local planning requirements, the technical possibilities of the site (in particular the stability, safety and spacing requirements of the nearby buildings) and the design of the final solution, which are likely to limit the building to seven floors above ground</w:t>
      </w:r>
      <w:r w:rsidR="00F73A44" w:rsidRPr="005D021A">
        <w:rPr>
          <w:rFonts w:asciiTheme="minorHAnsi" w:hAnsiTheme="minorHAnsi"/>
          <w:szCs w:val="24"/>
        </w:rPr>
        <w:t>.</w:t>
      </w:r>
    </w:p>
    <w:p w14:paraId="7E44E1B3" w14:textId="15BA9273"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.5.</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he use of Varembé-2 will be in line with ITU’s current use of the site: offices for administrative and technical work; support services for staff; high technology conference facilities including technical systems for remote participation in multiple languages; support services for delegates; exhibition spaces including extensive public access areas; secure computing facilities</w:t>
      </w:r>
      <w:r w:rsidR="00F73A44" w:rsidRPr="005D021A">
        <w:rPr>
          <w:rFonts w:asciiTheme="minorHAnsi" w:hAnsiTheme="minorHAnsi"/>
          <w:szCs w:val="24"/>
        </w:rPr>
        <w:t>.</w:t>
      </w:r>
    </w:p>
    <w:p w14:paraId="33939DDE" w14:textId="3191034B"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.6.</w:t>
      </w:r>
      <w:r w:rsidR="00214B33" w:rsidRPr="005D021A">
        <w:rPr>
          <w:rFonts w:asciiTheme="minorHAnsi" w:hAnsiTheme="minorHAnsi"/>
          <w:szCs w:val="24"/>
        </w:rPr>
        <w:tab/>
        <w:t xml:space="preserve">Varembé-2 will adhere to United Nations Minimum Operating Security Standards (UN-MOSS) with physical security attributes such as an anti-threat vehicle and anti-threat pedestrian perimeter. It will reflect an integrated approach to both physical and logical security systems, equipment, and global </w:t>
      </w:r>
      <w:proofErr w:type="gramStart"/>
      <w:r w:rsidR="00214B33" w:rsidRPr="005D021A">
        <w:rPr>
          <w:rFonts w:asciiTheme="minorHAnsi" w:hAnsiTheme="minorHAnsi"/>
          <w:szCs w:val="24"/>
        </w:rPr>
        <w:t>identity access control management</w:t>
      </w:r>
      <w:proofErr w:type="gramEnd"/>
      <w:r w:rsidR="00F73A44" w:rsidRPr="005D021A">
        <w:rPr>
          <w:rFonts w:asciiTheme="minorHAnsi" w:hAnsiTheme="minorHAnsi"/>
          <w:szCs w:val="24"/>
        </w:rPr>
        <w:t>.</w:t>
      </w:r>
      <w:r w:rsidR="00214B33" w:rsidRPr="005D021A">
        <w:rPr>
          <w:rFonts w:asciiTheme="minorHAnsi" w:hAnsiTheme="minorHAnsi"/>
          <w:szCs w:val="24"/>
        </w:rPr>
        <w:t xml:space="preserve"> </w:t>
      </w:r>
    </w:p>
    <w:p w14:paraId="411C21A5" w14:textId="233832F5"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.7.</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 xml:space="preserve">here will be no covered vehicle parking provided (except for a drop-off area). Visitor parking near the main entrance </w:t>
      </w:r>
      <w:proofErr w:type="gramStart"/>
      <w:r w:rsidR="00214B33" w:rsidRPr="005D021A">
        <w:rPr>
          <w:rFonts w:asciiTheme="minorHAnsi" w:hAnsiTheme="minorHAnsi"/>
          <w:szCs w:val="24"/>
        </w:rPr>
        <w:t>will be provided</w:t>
      </w:r>
      <w:proofErr w:type="gramEnd"/>
      <w:r w:rsidR="00214B33" w:rsidRPr="005D021A">
        <w:rPr>
          <w:rFonts w:asciiTheme="minorHAnsi" w:hAnsiTheme="minorHAnsi"/>
          <w:szCs w:val="24"/>
        </w:rPr>
        <w:t xml:space="preserve"> in 15 car spaces, including appropriate parking for the disabled. Bicycle parking for 60 plus replacement of the existing parking (for 60, currently located between </w:t>
      </w:r>
      <w:proofErr w:type="spellStart"/>
      <w:r w:rsidR="00214B33" w:rsidRPr="005D021A">
        <w:rPr>
          <w:rFonts w:asciiTheme="minorHAnsi" w:hAnsiTheme="minorHAnsi"/>
          <w:szCs w:val="24"/>
        </w:rPr>
        <w:t>Montbrillant</w:t>
      </w:r>
      <w:proofErr w:type="spellEnd"/>
      <w:r w:rsidR="00214B33" w:rsidRPr="005D021A">
        <w:rPr>
          <w:rFonts w:asciiTheme="minorHAnsi" w:hAnsiTheme="minorHAnsi"/>
          <w:szCs w:val="24"/>
        </w:rPr>
        <w:t xml:space="preserve"> and Varembé </w:t>
      </w:r>
      <w:proofErr w:type="spellStart"/>
      <w:r w:rsidR="00214B33" w:rsidRPr="005D021A">
        <w:rPr>
          <w:rFonts w:asciiTheme="minorHAnsi" w:hAnsiTheme="minorHAnsi"/>
          <w:szCs w:val="24"/>
        </w:rPr>
        <w:t>buldings</w:t>
      </w:r>
      <w:proofErr w:type="spellEnd"/>
      <w:r w:rsidR="00214B33" w:rsidRPr="005D021A">
        <w:rPr>
          <w:rFonts w:asciiTheme="minorHAnsi" w:hAnsiTheme="minorHAnsi"/>
          <w:szCs w:val="24"/>
        </w:rPr>
        <w:t xml:space="preserve">) if this is demolished; motorised two-wheeler parking </w:t>
      </w:r>
      <w:r w:rsidR="00214B33" w:rsidRPr="005D021A">
        <w:rPr>
          <w:rFonts w:asciiTheme="minorHAnsi" w:hAnsiTheme="minorHAnsi"/>
          <w:szCs w:val="24"/>
        </w:rPr>
        <w:lastRenderedPageBreak/>
        <w:t>for 40</w:t>
      </w:r>
      <w:r w:rsidR="00AF3D91" w:rsidRPr="005D021A">
        <w:rPr>
          <w:rFonts w:asciiTheme="minorHAnsi" w:hAnsiTheme="minorHAnsi"/>
          <w:szCs w:val="24"/>
        </w:rPr>
        <w:t xml:space="preserve"> will be provided. </w:t>
      </w:r>
      <w:r w:rsidR="00214B33" w:rsidRPr="005D021A">
        <w:rPr>
          <w:rFonts w:asciiTheme="minorHAnsi" w:hAnsiTheme="minorHAnsi"/>
          <w:szCs w:val="24"/>
        </w:rPr>
        <w:t xml:space="preserve">Not having to excavate to provide an underground area </w:t>
      </w:r>
      <w:proofErr w:type="gramStart"/>
      <w:r w:rsidR="00214B33" w:rsidRPr="005D021A">
        <w:rPr>
          <w:rFonts w:asciiTheme="minorHAnsi" w:hAnsiTheme="minorHAnsi"/>
          <w:szCs w:val="24"/>
        </w:rPr>
        <w:t>reduces</w:t>
      </w:r>
      <w:proofErr w:type="gramEnd"/>
      <w:r w:rsidR="00214B33" w:rsidRPr="005D021A">
        <w:rPr>
          <w:rFonts w:asciiTheme="minorHAnsi" w:hAnsiTheme="minorHAnsi"/>
          <w:szCs w:val="24"/>
        </w:rPr>
        <w:t xml:space="preserve"> building costs</w:t>
      </w:r>
      <w:r w:rsidR="00F73A44" w:rsidRPr="005D021A">
        <w:rPr>
          <w:rFonts w:asciiTheme="minorHAnsi" w:hAnsiTheme="minorHAnsi"/>
          <w:szCs w:val="24"/>
        </w:rPr>
        <w:t>.</w:t>
      </w:r>
    </w:p>
    <w:p w14:paraId="6F43822B" w14:textId="54D7C7DA" w:rsidR="00214B33" w:rsidRPr="005D021A" w:rsidRDefault="00931B7E" w:rsidP="00EA5343">
      <w:pPr>
        <w:pStyle w:val="Normalaftertitle"/>
        <w:keepNext/>
        <w:keepLines/>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.8.</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 xml:space="preserve">he building will make extensive use of glass and natural light, where possible providing views to Lac Leman, Mont Blanc and the city of Geneva. To minimize the use of heating and cooling energy and to provide a more comfortable internal environment the following actions </w:t>
      </w:r>
      <w:proofErr w:type="gramStart"/>
      <w:r w:rsidR="00214B33" w:rsidRPr="005D021A">
        <w:rPr>
          <w:rFonts w:asciiTheme="minorHAnsi" w:hAnsiTheme="minorHAnsi"/>
          <w:szCs w:val="24"/>
        </w:rPr>
        <w:t>will be taken</w:t>
      </w:r>
      <w:proofErr w:type="gramEnd"/>
      <w:r w:rsidR="00214B33" w:rsidRPr="005D021A">
        <w:rPr>
          <w:rFonts w:asciiTheme="minorHAnsi" w:hAnsiTheme="minorHAnsi"/>
          <w:szCs w:val="24"/>
        </w:rPr>
        <w:t>: varying management of natural light through the day and through the seasons; flexibility of air circulation through the structure; use of internal and external vegetation</w:t>
      </w:r>
      <w:r w:rsidR="00F73A44" w:rsidRPr="005D021A">
        <w:rPr>
          <w:rFonts w:asciiTheme="minorHAnsi" w:hAnsiTheme="minorHAnsi"/>
          <w:szCs w:val="24"/>
        </w:rPr>
        <w:t>.</w:t>
      </w:r>
    </w:p>
    <w:p w14:paraId="0BE5938D" w14:textId="4741DD0A"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.9.</w:t>
      </w:r>
      <w:r w:rsidR="00214B33" w:rsidRPr="005D021A">
        <w:rPr>
          <w:rFonts w:asciiTheme="minorHAnsi" w:hAnsiTheme="minorHAnsi"/>
          <w:szCs w:val="24"/>
        </w:rPr>
        <w:tab/>
      </w:r>
      <w:r w:rsidR="00F73A44" w:rsidRPr="005D021A">
        <w:rPr>
          <w:rFonts w:asciiTheme="minorHAnsi" w:hAnsiTheme="minorHAnsi"/>
          <w:szCs w:val="24"/>
        </w:rPr>
        <w:t>C</w:t>
      </w:r>
      <w:r w:rsidR="00214B33" w:rsidRPr="005D021A">
        <w:rPr>
          <w:rFonts w:asciiTheme="minorHAnsi" w:hAnsiTheme="minorHAnsi"/>
          <w:szCs w:val="24"/>
        </w:rPr>
        <w:t>onnection to the Lac Leman “</w:t>
      </w:r>
      <w:proofErr w:type="spellStart"/>
      <w:r w:rsidR="00214B33" w:rsidRPr="005D021A">
        <w:rPr>
          <w:rFonts w:asciiTheme="minorHAnsi" w:hAnsiTheme="minorHAnsi"/>
          <w:szCs w:val="24"/>
        </w:rPr>
        <w:t>Genilac</w:t>
      </w:r>
      <w:proofErr w:type="spellEnd"/>
      <w:r w:rsidR="00214B33" w:rsidRPr="005D021A">
        <w:rPr>
          <w:rFonts w:asciiTheme="minorHAnsi" w:hAnsiTheme="minorHAnsi"/>
          <w:szCs w:val="24"/>
        </w:rPr>
        <w:t xml:space="preserve">” lake water system </w:t>
      </w:r>
      <w:proofErr w:type="gramStart"/>
      <w:r w:rsidR="00214B33" w:rsidRPr="005D021A">
        <w:rPr>
          <w:rFonts w:asciiTheme="minorHAnsi" w:hAnsiTheme="minorHAnsi"/>
          <w:szCs w:val="24"/>
        </w:rPr>
        <w:t>will be made</w:t>
      </w:r>
      <w:proofErr w:type="gramEnd"/>
      <w:r w:rsidR="00214B33" w:rsidRPr="005D021A">
        <w:rPr>
          <w:rFonts w:asciiTheme="minorHAnsi" w:hAnsiTheme="minorHAnsi"/>
          <w:szCs w:val="24"/>
        </w:rPr>
        <w:t xml:space="preserve"> for heating and cooling of Varembé-2 in association with backup heating/cooling systems</w:t>
      </w:r>
      <w:r w:rsidR="00F73A44" w:rsidRPr="005D021A">
        <w:rPr>
          <w:rFonts w:asciiTheme="minorHAnsi" w:hAnsiTheme="minorHAnsi"/>
          <w:szCs w:val="24"/>
        </w:rPr>
        <w:t>.</w:t>
      </w:r>
    </w:p>
    <w:p w14:paraId="015A394E" w14:textId="44C9AF36"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.10.</w:t>
      </w:r>
      <w:r w:rsidR="00214B33" w:rsidRPr="005D021A">
        <w:rPr>
          <w:rFonts w:asciiTheme="minorHAnsi" w:hAnsiTheme="minorHAnsi"/>
          <w:szCs w:val="24"/>
        </w:rPr>
        <w:tab/>
      </w:r>
      <w:r w:rsidR="00F73A44" w:rsidRPr="005D021A">
        <w:rPr>
          <w:rFonts w:asciiTheme="minorHAnsi" w:hAnsiTheme="minorHAnsi"/>
          <w:szCs w:val="24"/>
        </w:rPr>
        <w:t>P</w:t>
      </w:r>
      <w:r w:rsidR="00214B33" w:rsidRPr="005D021A">
        <w:rPr>
          <w:rFonts w:asciiTheme="minorHAnsi" w:hAnsiTheme="minorHAnsi"/>
          <w:szCs w:val="24"/>
        </w:rPr>
        <w:t xml:space="preserve">ublic pedestrian passage </w:t>
      </w:r>
      <w:proofErr w:type="gramStart"/>
      <w:r w:rsidR="00214B33" w:rsidRPr="005D021A">
        <w:rPr>
          <w:rFonts w:asciiTheme="minorHAnsi" w:hAnsiTheme="minorHAnsi"/>
          <w:szCs w:val="24"/>
        </w:rPr>
        <w:t>is provided</w:t>
      </w:r>
      <w:proofErr w:type="gramEnd"/>
      <w:r w:rsidR="00214B33" w:rsidRPr="005D021A">
        <w:rPr>
          <w:rFonts w:asciiTheme="minorHAnsi" w:hAnsiTheme="minorHAnsi"/>
          <w:szCs w:val="24"/>
        </w:rPr>
        <w:t xml:space="preserve"> at ground level over the land parcel occupied by ITU, between rue de Varembé and rue Giuseppe Motta</w:t>
      </w:r>
      <w:r w:rsidR="00F73A44" w:rsidRPr="005D021A">
        <w:rPr>
          <w:rFonts w:asciiTheme="minorHAnsi" w:hAnsiTheme="minorHAnsi"/>
          <w:szCs w:val="24"/>
        </w:rPr>
        <w:t>.</w:t>
      </w:r>
    </w:p>
    <w:p w14:paraId="7D5517D6" w14:textId="520EC579" w:rsidR="00214B33" w:rsidRPr="005D021A" w:rsidRDefault="00931B7E" w:rsidP="00830D73">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.11.</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he Varembé-</w:t>
      </w:r>
      <w:proofErr w:type="gramStart"/>
      <w:r w:rsidR="00214B33" w:rsidRPr="005D021A">
        <w:rPr>
          <w:rFonts w:asciiTheme="minorHAnsi" w:hAnsiTheme="minorHAnsi"/>
          <w:szCs w:val="24"/>
        </w:rPr>
        <w:t>2</w:t>
      </w:r>
      <w:proofErr w:type="gramEnd"/>
      <w:r w:rsidR="00214B33" w:rsidRPr="005D021A">
        <w:rPr>
          <w:rFonts w:asciiTheme="minorHAnsi" w:hAnsiTheme="minorHAnsi"/>
          <w:szCs w:val="24"/>
        </w:rPr>
        <w:t xml:space="preserve"> ground floor will provide semi-publicly accessible outdoor and indoor facilities appropriate to ITU’s activities, including the restaurant and the main conference room, and if sponsored</w:t>
      </w:r>
      <w:r w:rsidR="00BD0516">
        <w:rPr>
          <w:rFonts w:asciiTheme="minorHAnsi" w:hAnsiTheme="minorHAnsi"/>
          <w:szCs w:val="24"/>
        </w:rPr>
        <w:t>,</w:t>
      </w:r>
      <w:r w:rsidR="00214B33" w:rsidRPr="005D021A">
        <w:rPr>
          <w:rFonts w:asciiTheme="minorHAnsi" w:hAnsiTheme="minorHAnsi"/>
          <w:szCs w:val="24"/>
        </w:rPr>
        <w:t xml:space="preserve"> the Information and Communication Technology Discovery (ICT-D) visitor centre</w:t>
      </w:r>
      <w:r w:rsidR="00830D73">
        <w:rPr>
          <w:rFonts w:asciiTheme="minorHAnsi" w:hAnsiTheme="minorHAnsi"/>
          <w:szCs w:val="24"/>
        </w:rPr>
        <w:t xml:space="preserve">, </w:t>
      </w:r>
      <w:proofErr w:type="spellStart"/>
      <w:r w:rsidR="00830D73">
        <w:rPr>
          <w:rFonts w:asciiTheme="minorHAnsi" w:hAnsiTheme="minorHAnsi"/>
          <w:szCs w:val="24"/>
        </w:rPr>
        <w:t>additonal</w:t>
      </w:r>
      <w:proofErr w:type="spellEnd"/>
      <w:r w:rsidR="008B3BE1">
        <w:rPr>
          <w:rFonts w:asciiTheme="minorHAnsi" w:hAnsiTheme="minorHAnsi"/>
          <w:szCs w:val="24"/>
        </w:rPr>
        <w:t xml:space="preserve"> meeting rooms</w:t>
      </w:r>
      <w:r w:rsidR="00830D73">
        <w:rPr>
          <w:rFonts w:asciiTheme="minorHAnsi" w:hAnsiTheme="minorHAnsi"/>
          <w:szCs w:val="24"/>
        </w:rPr>
        <w:t xml:space="preserve"> or other </w:t>
      </w:r>
      <w:r w:rsidR="00500006">
        <w:rPr>
          <w:rFonts w:asciiTheme="minorHAnsi" w:hAnsiTheme="minorHAnsi"/>
          <w:szCs w:val="24"/>
        </w:rPr>
        <w:t xml:space="preserve">sponsored </w:t>
      </w:r>
      <w:r w:rsidR="00830D73">
        <w:rPr>
          <w:rFonts w:asciiTheme="minorHAnsi" w:hAnsiTheme="minorHAnsi"/>
          <w:szCs w:val="24"/>
        </w:rPr>
        <w:t>proposals</w:t>
      </w:r>
      <w:r w:rsidR="00214B33" w:rsidRPr="005D021A">
        <w:rPr>
          <w:rFonts w:asciiTheme="minorHAnsi" w:hAnsiTheme="minorHAnsi"/>
          <w:szCs w:val="24"/>
        </w:rPr>
        <w:t>.</w:t>
      </w:r>
    </w:p>
    <w:p w14:paraId="448056EB" w14:textId="0521C44B"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.12.</w:t>
      </w:r>
      <w:r w:rsidR="00214B33" w:rsidRPr="005D021A">
        <w:rPr>
          <w:rFonts w:asciiTheme="minorHAnsi" w:hAnsiTheme="minorHAnsi"/>
          <w:szCs w:val="24"/>
        </w:rPr>
        <w:tab/>
        <w:t xml:space="preserve">Staff office areas </w:t>
      </w:r>
      <w:proofErr w:type="gramStart"/>
      <w:r w:rsidR="00214B33" w:rsidRPr="005D021A">
        <w:rPr>
          <w:rFonts w:asciiTheme="minorHAnsi" w:hAnsiTheme="minorHAnsi"/>
          <w:szCs w:val="24"/>
        </w:rPr>
        <w:t>will be separated</w:t>
      </w:r>
      <w:proofErr w:type="gramEnd"/>
      <w:r w:rsidR="00214B33" w:rsidRPr="005D021A">
        <w:rPr>
          <w:rFonts w:asciiTheme="minorHAnsi" w:hAnsiTheme="minorHAnsi"/>
          <w:szCs w:val="24"/>
        </w:rPr>
        <w:t xml:space="preserve"> from confer</w:t>
      </w:r>
      <w:r w:rsidR="00AF3D91" w:rsidRPr="005D021A">
        <w:rPr>
          <w:rFonts w:asciiTheme="minorHAnsi" w:hAnsiTheme="minorHAnsi"/>
          <w:szCs w:val="24"/>
        </w:rPr>
        <w:t xml:space="preserve">ence areas by access barriers. </w:t>
      </w:r>
      <w:r w:rsidR="00214B33" w:rsidRPr="005D021A">
        <w:rPr>
          <w:rFonts w:asciiTheme="minorHAnsi" w:hAnsiTheme="minorHAnsi"/>
          <w:szCs w:val="24"/>
        </w:rPr>
        <w:t>Personal access rights of staff, delegates and visitors will be loaded onto a smartcard.</w:t>
      </w:r>
    </w:p>
    <w:p w14:paraId="0A93433A" w14:textId="7B74326E"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.13.</w:t>
      </w:r>
      <w:r w:rsidR="00214B33" w:rsidRPr="005D021A">
        <w:rPr>
          <w:rFonts w:asciiTheme="minorHAnsi" w:hAnsiTheme="minorHAnsi"/>
          <w:szCs w:val="24"/>
        </w:rPr>
        <w:tab/>
        <w:t>Semi-public areas will be separately zoned and accessible: this could be from the street or from part of the main access point area</w:t>
      </w:r>
      <w:r w:rsidR="00F73A44" w:rsidRPr="005D021A">
        <w:rPr>
          <w:rFonts w:asciiTheme="minorHAnsi" w:hAnsiTheme="minorHAnsi"/>
          <w:szCs w:val="24"/>
        </w:rPr>
        <w:t>.</w:t>
      </w:r>
    </w:p>
    <w:p w14:paraId="4E86B0FB" w14:textId="33BFA737"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.14.</w:t>
      </w:r>
      <w:r w:rsidR="00214B33" w:rsidRPr="005D021A">
        <w:rPr>
          <w:rFonts w:asciiTheme="minorHAnsi" w:hAnsiTheme="minorHAnsi"/>
          <w:szCs w:val="24"/>
        </w:rPr>
        <w:tab/>
      </w:r>
      <w:r w:rsidR="00F73A44" w:rsidRPr="005D021A">
        <w:rPr>
          <w:rFonts w:asciiTheme="minorHAnsi" w:hAnsiTheme="minorHAnsi"/>
          <w:szCs w:val="24"/>
        </w:rPr>
        <w:t>C</w:t>
      </w:r>
      <w:r w:rsidR="00214B33" w:rsidRPr="005D021A">
        <w:rPr>
          <w:rFonts w:asciiTheme="minorHAnsi" w:hAnsiTheme="minorHAnsi"/>
          <w:szCs w:val="24"/>
        </w:rPr>
        <w:t xml:space="preserve">onstruction will be to high standards of envelope performance: a minimum of </w:t>
      </w:r>
      <w:proofErr w:type="spellStart"/>
      <w:r w:rsidR="00214B33" w:rsidRPr="005D021A">
        <w:rPr>
          <w:rFonts w:asciiTheme="minorHAnsi" w:hAnsiTheme="minorHAnsi"/>
          <w:szCs w:val="24"/>
        </w:rPr>
        <w:t>Minergie</w:t>
      </w:r>
      <w:proofErr w:type="spellEnd"/>
      <w:r w:rsidR="00214B33" w:rsidRPr="005D021A">
        <w:rPr>
          <w:rFonts w:asciiTheme="minorHAnsi" w:hAnsiTheme="minorHAnsi"/>
          <w:szCs w:val="24"/>
        </w:rPr>
        <w:t xml:space="preserve">-P for energy performance, and </w:t>
      </w:r>
      <w:proofErr w:type="spellStart"/>
      <w:r w:rsidR="00214B33" w:rsidRPr="005D021A">
        <w:rPr>
          <w:rFonts w:asciiTheme="minorHAnsi" w:hAnsiTheme="minorHAnsi"/>
          <w:szCs w:val="24"/>
        </w:rPr>
        <w:t>Minergie</w:t>
      </w:r>
      <w:proofErr w:type="spellEnd"/>
      <w:r w:rsidR="00214B33" w:rsidRPr="005D021A">
        <w:rPr>
          <w:rFonts w:asciiTheme="minorHAnsi" w:hAnsiTheme="minorHAnsi"/>
          <w:szCs w:val="24"/>
        </w:rPr>
        <w:t xml:space="preserve">-ECO for ecological requirements. Solar energy production </w:t>
      </w:r>
      <w:proofErr w:type="gramStart"/>
      <w:r w:rsidR="00214B33" w:rsidRPr="005D021A">
        <w:rPr>
          <w:rFonts w:asciiTheme="minorHAnsi" w:hAnsiTheme="minorHAnsi"/>
          <w:szCs w:val="24"/>
        </w:rPr>
        <w:t>may be incorporated</w:t>
      </w:r>
      <w:proofErr w:type="gramEnd"/>
      <w:r w:rsidR="00214B33" w:rsidRPr="005D021A">
        <w:rPr>
          <w:rFonts w:asciiTheme="minorHAnsi" w:hAnsiTheme="minorHAnsi"/>
          <w:szCs w:val="24"/>
        </w:rPr>
        <w:t xml:space="preserve"> if justified. Varembé-2 will contain intelligent building management systems, be long-life, low-maintenance, people-friendly and natural environment-friendly. It will be constructed using </w:t>
      </w:r>
      <w:proofErr w:type="gramStart"/>
      <w:r w:rsidR="00214B33" w:rsidRPr="005D021A">
        <w:rPr>
          <w:rFonts w:asciiTheme="minorHAnsi" w:hAnsiTheme="minorHAnsi"/>
          <w:szCs w:val="24"/>
        </w:rPr>
        <w:t>environmentally-friendly</w:t>
      </w:r>
      <w:proofErr w:type="gramEnd"/>
      <w:r w:rsidR="00214B33" w:rsidRPr="005D021A">
        <w:rPr>
          <w:rFonts w:asciiTheme="minorHAnsi" w:hAnsiTheme="minorHAnsi"/>
          <w:szCs w:val="24"/>
        </w:rPr>
        <w:t xml:space="preserve"> materials and techniques, aiming to minimize both its life-cycle impact and its generation of pollutants during use. These standards also represent a saving of 50% in energy costs, which at 2017 rates would be approximately CHF</w:t>
      </w:r>
      <w:r w:rsidR="00AF3D91" w:rsidRPr="005D021A">
        <w:rPr>
          <w:rFonts w:asciiTheme="minorHAnsi" w:hAnsiTheme="minorHAnsi"/>
          <w:szCs w:val="24"/>
        </w:rPr>
        <w:t> </w:t>
      </w:r>
      <w:r w:rsidR="00214B33" w:rsidRPr="005D021A">
        <w:rPr>
          <w:rFonts w:asciiTheme="minorHAnsi" w:hAnsiTheme="minorHAnsi"/>
          <w:szCs w:val="24"/>
        </w:rPr>
        <w:t>500’000 per annum.</w:t>
      </w:r>
    </w:p>
    <w:p w14:paraId="20406DC5" w14:textId="5A7EA931"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.15.</w:t>
      </w:r>
      <w:r w:rsidR="00214B33" w:rsidRPr="005D021A">
        <w:rPr>
          <w:rFonts w:asciiTheme="minorHAnsi" w:hAnsiTheme="minorHAnsi"/>
          <w:szCs w:val="24"/>
        </w:rPr>
        <w:tab/>
        <w:t>Varembé-2 will be compliant with all Swiss norms for new constructions and will include accessibility features, in accordance with Swiss SIA 500 (latest edition) as a minimum: including provisions for the partially sighted, the hard of hearing</w:t>
      </w:r>
      <w:r w:rsidR="00F73A44" w:rsidRPr="005D021A">
        <w:rPr>
          <w:rFonts w:asciiTheme="minorHAnsi" w:hAnsiTheme="minorHAnsi"/>
          <w:szCs w:val="24"/>
        </w:rPr>
        <w:t>,</w:t>
      </w:r>
      <w:r w:rsidR="00214B33" w:rsidRPr="005D021A">
        <w:rPr>
          <w:rFonts w:asciiTheme="minorHAnsi" w:hAnsiTheme="minorHAnsi"/>
          <w:szCs w:val="24"/>
        </w:rPr>
        <w:t xml:space="preserve"> and those with restricted physical mobility</w:t>
      </w:r>
      <w:r w:rsidR="00F73A44" w:rsidRPr="005D021A">
        <w:rPr>
          <w:rFonts w:asciiTheme="minorHAnsi" w:hAnsiTheme="minorHAnsi"/>
          <w:szCs w:val="24"/>
        </w:rPr>
        <w:t>.</w:t>
      </w:r>
    </w:p>
    <w:p w14:paraId="62BFD736" w14:textId="482DB031"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5</w:t>
      </w:r>
      <w:r w:rsidR="00214B33" w:rsidRPr="005D021A">
        <w:rPr>
          <w:rFonts w:asciiTheme="minorHAnsi" w:hAnsiTheme="minorHAnsi"/>
          <w:szCs w:val="24"/>
        </w:rPr>
        <w:t>.16.</w:t>
      </w:r>
      <w:r w:rsidR="00214B33" w:rsidRPr="005D021A">
        <w:rPr>
          <w:rFonts w:asciiTheme="minorHAnsi" w:hAnsiTheme="minorHAnsi"/>
          <w:szCs w:val="24"/>
        </w:rPr>
        <w:tab/>
      </w:r>
      <w:r w:rsidR="00F73A44" w:rsidRPr="005D021A">
        <w:rPr>
          <w:rFonts w:asciiTheme="minorHAnsi" w:hAnsiTheme="minorHAnsi"/>
          <w:szCs w:val="24"/>
        </w:rPr>
        <w:t>T</w:t>
      </w:r>
      <w:r w:rsidR="00214B33" w:rsidRPr="005D021A">
        <w:rPr>
          <w:rFonts w:asciiTheme="minorHAnsi" w:hAnsiTheme="minorHAnsi"/>
          <w:szCs w:val="24"/>
        </w:rPr>
        <w:t xml:space="preserve">he technical, </w:t>
      </w:r>
      <w:proofErr w:type="spellStart"/>
      <w:r w:rsidR="00214B33" w:rsidRPr="005D021A">
        <w:rPr>
          <w:rFonts w:asciiTheme="minorHAnsi" w:hAnsiTheme="minorHAnsi"/>
          <w:szCs w:val="24"/>
        </w:rPr>
        <w:t>informatic</w:t>
      </w:r>
      <w:proofErr w:type="spellEnd"/>
      <w:r w:rsidR="00F73A44" w:rsidRPr="005D021A">
        <w:rPr>
          <w:rFonts w:asciiTheme="minorHAnsi" w:hAnsiTheme="minorHAnsi"/>
          <w:szCs w:val="24"/>
        </w:rPr>
        <w:t>,</w:t>
      </w:r>
      <w:r w:rsidR="00214B33" w:rsidRPr="005D021A">
        <w:rPr>
          <w:rFonts w:asciiTheme="minorHAnsi" w:hAnsiTheme="minorHAnsi"/>
          <w:szCs w:val="24"/>
        </w:rPr>
        <w:t xml:space="preserve"> and communication facilities in the building will be excellent in keeping with ITU’s technological image: including publicly accessible connectivity and several state-of-the-art conference rooms.</w:t>
      </w:r>
    </w:p>
    <w:p w14:paraId="74B018BE" w14:textId="53BD2FFF" w:rsidR="00214B33" w:rsidRPr="005D021A" w:rsidRDefault="00931B7E"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szCs w:val="24"/>
        </w:rPr>
      </w:pPr>
      <w:r w:rsidRPr="005D021A">
        <w:rPr>
          <w:rFonts w:asciiTheme="minorHAnsi" w:hAnsiTheme="minorHAnsi"/>
          <w:b/>
          <w:bCs/>
          <w:szCs w:val="24"/>
        </w:rPr>
        <w:t>6</w:t>
      </w:r>
      <w:r w:rsidR="00214B33" w:rsidRPr="005D021A">
        <w:rPr>
          <w:rFonts w:asciiTheme="minorHAnsi" w:hAnsiTheme="minorHAnsi"/>
          <w:b/>
          <w:bCs/>
          <w:szCs w:val="24"/>
        </w:rPr>
        <w:t>.</w:t>
      </w:r>
      <w:r w:rsidR="00214B33" w:rsidRPr="005D021A">
        <w:rPr>
          <w:rFonts w:asciiTheme="minorHAnsi" w:hAnsiTheme="minorHAnsi"/>
          <w:b/>
          <w:bCs/>
          <w:szCs w:val="24"/>
        </w:rPr>
        <w:tab/>
        <w:t>Detailed Specification – Description of spaces</w:t>
      </w:r>
    </w:p>
    <w:p w14:paraId="22B220F8" w14:textId="08A70C77"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w:t>
      </w:r>
      <w:r w:rsidR="00214B33" w:rsidRPr="005D021A">
        <w:rPr>
          <w:rFonts w:asciiTheme="minorHAnsi" w:hAnsiTheme="minorHAnsi"/>
          <w:szCs w:val="24"/>
        </w:rPr>
        <w:tab/>
      </w:r>
      <w:r w:rsidR="00214B33" w:rsidRPr="005D021A">
        <w:rPr>
          <w:rFonts w:asciiTheme="minorHAnsi" w:hAnsiTheme="minorHAnsi"/>
          <w:i/>
          <w:iCs/>
          <w:szCs w:val="24"/>
        </w:rPr>
        <w:t>Main entrance</w:t>
      </w:r>
      <w:r w:rsidR="00214B33" w:rsidRPr="005D021A">
        <w:rPr>
          <w:rFonts w:asciiTheme="minorHAnsi" w:hAnsiTheme="minorHAnsi"/>
          <w:szCs w:val="24"/>
        </w:rPr>
        <w:t>. The principal entry of ITU will be located in the Varembé-2, with access from rue de Varembé. Delegate registration facilities</w:t>
      </w:r>
      <w:r w:rsidR="008B3BE1">
        <w:rPr>
          <w:rFonts w:asciiTheme="minorHAnsi" w:hAnsiTheme="minorHAnsi"/>
          <w:szCs w:val="24"/>
        </w:rPr>
        <w:t>, a security control centre</w:t>
      </w:r>
      <w:r w:rsidR="00214B33" w:rsidRPr="005D021A">
        <w:rPr>
          <w:rFonts w:asciiTheme="minorHAnsi" w:hAnsiTheme="minorHAnsi"/>
          <w:szCs w:val="24"/>
        </w:rPr>
        <w:t xml:space="preserve"> and a reception area </w:t>
      </w:r>
      <w:proofErr w:type="gramStart"/>
      <w:r w:rsidR="00214B33" w:rsidRPr="005D021A">
        <w:rPr>
          <w:rFonts w:asciiTheme="minorHAnsi" w:hAnsiTheme="minorHAnsi"/>
          <w:szCs w:val="24"/>
        </w:rPr>
        <w:t>will be provided</w:t>
      </w:r>
      <w:proofErr w:type="gramEnd"/>
      <w:r w:rsidR="00214B33" w:rsidRPr="005D021A">
        <w:rPr>
          <w:rFonts w:asciiTheme="minorHAnsi" w:hAnsiTheme="minorHAnsi"/>
          <w:szCs w:val="24"/>
        </w:rPr>
        <w:t xml:space="preserve"> at the main entrance. </w:t>
      </w:r>
    </w:p>
    <w:p w14:paraId="26A78BF5" w14:textId="0E03A897"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w:t>
      </w:r>
      <w:r w:rsidR="00214B33" w:rsidRPr="005D021A">
        <w:rPr>
          <w:rFonts w:asciiTheme="minorHAnsi" w:hAnsiTheme="minorHAnsi"/>
          <w:szCs w:val="24"/>
        </w:rPr>
        <w:tab/>
      </w:r>
      <w:r w:rsidR="00214B33" w:rsidRPr="005D021A">
        <w:rPr>
          <w:rFonts w:asciiTheme="minorHAnsi" w:hAnsiTheme="minorHAnsi"/>
          <w:i/>
          <w:iCs/>
          <w:szCs w:val="24"/>
        </w:rPr>
        <w:t>Executive areas</w:t>
      </w:r>
      <w:r w:rsidR="00214B33" w:rsidRPr="005D021A">
        <w:rPr>
          <w:rFonts w:asciiTheme="minorHAnsi" w:hAnsiTheme="minorHAnsi"/>
          <w:szCs w:val="24"/>
        </w:rPr>
        <w:t xml:space="preserve">. An executive office zone for the Secretary-General and the Deputy Secretary-General </w:t>
      </w:r>
      <w:proofErr w:type="gramStart"/>
      <w:r w:rsidR="00214B33" w:rsidRPr="005D021A">
        <w:rPr>
          <w:rFonts w:asciiTheme="minorHAnsi" w:hAnsiTheme="minorHAnsi"/>
          <w:szCs w:val="24"/>
        </w:rPr>
        <w:t>will be provided</w:t>
      </w:r>
      <w:proofErr w:type="gramEnd"/>
      <w:r w:rsidR="00214B33" w:rsidRPr="005D021A">
        <w:rPr>
          <w:rFonts w:asciiTheme="minorHAnsi" w:hAnsiTheme="minorHAnsi"/>
          <w:szCs w:val="24"/>
        </w:rPr>
        <w:t xml:space="preserve">, with adjoining space for executive assistants, two waiting rooms and one executive meeting room for 16. Executive office areas will be provided for the Director of the Radiocommunication Bureau, the Director of the Telecommunication Development Bureau, and the Director of Telecommunication Standardization Bureau; each with adjoining executive assistants and waiting space. </w:t>
      </w:r>
      <w:proofErr w:type="gramStart"/>
      <w:r w:rsidR="00214B33" w:rsidRPr="005D021A">
        <w:rPr>
          <w:rFonts w:asciiTheme="minorHAnsi" w:hAnsiTheme="minorHAnsi"/>
          <w:szCs w:val="24"/>
        </w:rPr>
        <w:t xml:space="preserve">In the final design, it will be possible either to distribute these three </w:t>
      </w:r>
      <w:r w:rsidR="00214B33" w:rsidRPr="005D021A">
        <w:rPr>
          <w:rFonts w:asciiTheme="minorHAnsi" w:hAnsiTheme="minorHAnsi"/>
          <w:szCs w:val="24"/>
        </w:rPr>
        <w:lastRenderedPageBreak/>
        <w:t>office areas within the building, each with an executive meeting room for 10, or to group them together with the Secretary-General and Deputy Secretary-General’s executive office zone where the three Directors will have a commonly accessible executive meeting room for 10, instead of the aforementioned three separate meeting rooms.</w:t>
      </w:r>
      <w:proofErr w:type="gramEnd"/>
      <w:r w:rsidR="00214B33" w:rsidRPr="005D021A">
        <w:rPr>
          <w:rFonts w:asciiTheme="minorHAnsi" w:hAnsiTheme="minorHAnsi"/>
          <w:szCs w:val="24"/>
        </w:rPr>
        <w:t xml:space="preserve"> </w:t>
      </w:r>
    </w:p>
    <w:p w14:paraId="04B102E2" w14:textId="3D675C8E"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.3.</w:t>
      </w:r>
      <w:r w:rsidR="00214B33" w:rsidRPr="005D021A">
        <w:rPr>
          <w:rFonts w:asciiTheme="minorHAnsi" w:hAnsiTheme="minorHAnsi"/>
          <w:szCs w:val="24"/>
        </w:rPr>
        <w:tab/>
      </w:r>
      <w:r w:rsidR="00214B33" w:rsidRPr="005D021A">
        <w:rPr>
          <w:rFonts w:asciiTheme="minorHAnsi" w:hAnsiTheme="minorHAnsi"/>
          <w:i/>
          <w:iCs/>
          <w:szCs w:val="24"/>
        </w:rPr>
        <w:t xml:space="preserve">Connection </w:t>
      </w:r>
      <w:proofErr w:type="gramStart"/>
      <w:r w:rsidR="00214B33" w:rsidRPr="005D021A">
        <w:rPr>
          <w:rFonts w:asciiTheme="minorHAnsi" w:hAnsiTheme="minorHAnsi"/>
          <w:i/>
          <w:iCs/>
          <w:szCs w:val="24"/>
        </w:rPr>
        <w:t>Between</w:t>
      </w:r>
      <w:proofErr w:type="gramEnd"/>
      <w:r w:rsidR="00214B33" w:rsidRPr="005D021A">
        <w:rPr>
          <w:rFonts w:asciiTheme="minorHAnsi" w:hAnsiTheme="minorHAnsi"/>
          <w:i/>
          <w:iCs/>
          <w:szCs w:val="24"/>
        </w:rPr>
        <w:t xml:space="preserve"> Buildings and Site Circulation</w:t>
      </w:r>
      <w:r w:rsidR="00214B33" w:rsidRPr="005D021A">
        <w:rPr>
          <w:rFonts w:asciiTheme="minorHAnsi" w:hAnsiTheme="minorHAnsi"/>
          <w:szCs w:val="24"/>
        </w:rPr>
        <w:t xml:space="preserve">. Varembé-2 will link to the existing </w:t>
      </w:r>
      <w:proofErr w:type="spellStart"/>
      <w:r w:rsidR="00214B33" w:rsidRPr="005D021A">
        <w:rPr>
          <w:rFonts w:asciiTheme="minorHAnsi" w:hAnsiTheme="minorHAnsi"/>
          <w:szCs w:val="24"/>
        </w:rPr>
        <w:t>Montbrillant</w:t>
      </w:r>
      <w:proofErr w:type="spellEnd"/>
      <w:r w:rsidR="00214B33" w:rsidRPr="005D021A">
        <w:rPr>
          <w:rFonts w:asciiTheme="minorHAnsi" w:hAnsiTheme="minorHAnsi"/>
          <w:szCs w:val="24"/>
        </w:rPr>
        <w:t xml:space="preserve"> building via an internal walkway, inside the security envelope. Circulation through the site will be in line with accessibility principles, pleasant, light</w:t>
      </w:r>
      <w:r w:rsidR="00ED752A" w:rsidRPr="005D021A">
        <w:rPr>
          <w:rFonts w:asciiTheme="minorHAnsi" w:hAnsiTheme="minorHAnsi"/>
          <w:szCs w:val="24"/>
        </w:rPr>
        <w:t>,</w:t>
      </w:r>
      <w:r w:rsidR="00214B33" w:rsidRPr="005D021A">
        <w:rPr>
          <w:rFonts w:asciiTheme="minorHAnsi" w:hAnsiTheme="minorHAnsi"/>
          <w:szCs w:val="24"/>
        </w:rPr>
        <w:t xml:space="preserve"> and airy. Physical security access rights to zones for conference delegates and staff visitors will be separate from visitors and other invited business guests. In addition, separate security access rights to zones including logical access rights will be definable for the main conference room, for the restaurant and for the optional visitor centre, to allow efficient global identity management.</w:t>
      </w:r>
    </w:p>
    <w:p w14:paraId="15C85984" w14:textId="41569A2A"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.4.</w:t>
      </w:r>
      <w:r w:rsidR="00214B33" w:rsidRPr="005D021A">
        <w:rPr>
          <w:rFonts w:asciiTheme="minorHAnsi" w:hAnsiTheme="minorHAnsi"/>
          <w:szCs w:val="24"/>
        </w:rPr>
        <w:tab/>
      </w:r>
      <w:r w:rsidR="00214B33" w:rsidRPr="005D021A">
        <w:rPr>
          <w:rFonts w:asciiTheme="minorHAnsi" w:hAnsiTheme="minorHAnsi"/>
          <w:i/>
          <w:iCs/>
          <w:szCs w:val="24"/>
        </w:rPr>
        <w:t>Workplaces</w:t>
      </w:r>
      <w:r w:rsidR="00214B33" w:rsidRPr="005D021A">
        <w:rPr>
          <w:rFonts w:asciiTheme="minorHAnsi" w:hAnsiTheme="minorHAnsi"/>
          <w:szCs w:val="24"/>
        </w:rPr>
        <w:t xml:space="preserve">. Varembé-2 will accommodate in accordance with UN guidelines a minimum of 723 persons in office areas of which a minimum of 705 would work in modular personal open space, 14 would work in individual offices of 18m2, 4 Executive Officials (Deputy Secretary-General, 3 Directors) would work in individual offices of 36m2, and the Secretary-General in an individual office of 48m2. </w:t>
      </w:r>
    </w:p>
    <w:p w14:paraId="421EE662" w14:textId="32650A49"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.5.</w:t>
      </w:r>
      <w:r w:rsidR="00214B33" w:rsidRPr="005D021A">
        <w:rPr>
          <w:rFonts w:asciiTheme="minorHAnsi" w:hAnsiTheme="minorHAnsi"/>
          <w:szCs w:val="24"/>
        </w:rPr>
        <w:tab/>
        <w:t xml:space="preserve">These open space allocations will be flexible to allow reconfigurations, </w:t>
      </w:r>
      <w:r w:rsidR="00B71D6C" w:rsidRPr="005D021A">
        <w:rPr>
          <w:rFonts w:asciiTheme="minorHAnsi" w:hAnsiTheme="minorHAnsi"/>
          <w:szCs w:val="24"/>
        </w:rPr>
        <w:t xml:space="preserve">especially if flexible working </w:t>
      </w:r>
      <w:proofErr w:type="gramStart"/>
      <w:r w:rsidR="00B71D6C" w:rsidRPr="005D021A">
        <w:rPr>
          <w:rFonts w:asciiTheme="minorHAnsi" w:hAnsiTheme="minorHAnsi"/>
          <w:szCs w:val="24"/>
        </w:rPr>
        <w:t>is adopted</w:t>
      </w:r>
      <w:proofErr w:type="gramEnd"/>
      <w:r w:rsidR="00B71D6C" w:rsidRPr="005D021A">
        <w:rPr>
          <w:rFonts w:asciiTheme="minorHAnsi" w:hAnsiTheme="minorHAnsi"/>
          <w:szCs w:val="24"/>
        </w:rPr>
        <w:t xml:space="preserve">, </w:t>
      </w:r>
      <w:r w:rsidR="00214B33" w:rsidRPr="005D021A">
        <w:rPr>
          <w:rFonts w:asciiTheme="minorHAnsi" w:hAnsiTheme="minorHAnsi"/>
          <w:szCs w:val="24"/>
        </w:rPr>
        <w:t xml:space="preserve">and will be planned in close cooperation with staff and respecting equitably the requirements of each Department. </w:t>
      </w:r>
    </w:p>
    <w:p w14:paraId="367917BE" w14:textId="694861DE"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.6.</w:t>
      </w:r>
      <w:r w:rsidR="00214B33" w:rsidRPr="005D021A">
        <w:rPr>
          <w:rFonts w:asciiTheme="minorHAnsi" w:hAnsiTheme="minorHAnsi"/>
          <w:szCs w:val="24"/>
        </w:rPr>
        <w:tab/>
        <w:t>Associated with the open spaces will be (inter alia) quiet booths, breakout rooms, small (</w:t>
      </w:r>
      <w:proofErr w:type="gramStart"/>
      <w:r w:rsidR="00214B33" w:rsidRPr="005D021A">
        <w:rPr>
          <w:rFonts w:asciiTheme="minorHAnsi" w:hAnsiTheme="minorHAnsi"/>
          <w:szCs w:val="24"/>
        </w:rPr>
        <w:t>4</w:t>
      </w:r>
      <w:proofErr w:type="gramEnd"/>
      <w:r w:rsidR="00AF3D91" w:rsidRPr="005D021A">
        <w:rPr>
          <w:rFonts w:asciiTheme="minorHAnsi" w:hAnsiTheme="minorHAnsi"/>
          <w:szCs w:val="24"/>
        </w:rPr>
        <w:t> </w:t>
      </w:r>
      <w:r w:rsidR="00214B33" w:rsidRPr="005D021A">
        <w:rPr>
          <w:rFonts w:asciiTheme="minorHAnsi" w:hAnsiTheme="minorHAnsi"/>
          <w:szCs w:val="24"/>
        </w:rPr>
        <w:t xml:space="preserve">person) and medium (12 person) meeting rooms, office support spaces, and coffee spaces, dedicated printer and photocopier rooms, and lockers. </w:t>
      </w:r>
    </w:p>
    <w:p w14:paraId="5E909B34" w14:textId="18DF6934"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.7.</w:t>
      </w:r>
      <w:r w:rsidR="00214B33" w:rsidRPr="005D021A">
        <w:rPr>
          <w:rFonts w:asciiTheme="minorHAnsi" w:hAnsiTheme="minorHAnsi"/>
          <w:szCs w:val="24"/>
        </w:rPr>
        <w:tab/>
      </w:r>
      <w:r w:rsidR="00214B33" w:rsidRPr="005D021A">
        <w:rPr>
          <w:rFonts w:asciiTheme="minorHAnsi" w:hAnsiTheme="minorHAnsi"/>
          <w:i/>
          <w:iCs/>
          <w:szCs w:val="24"/>
        </w:rPr>
        <w:t>Reception space</w:t>
      </w:r>
      <w:r w:rsidR="00214B33" w:rsidRPr="005D021A">
        <w:rPr>
          <w:rFonts w:asciiTheme="minorHAnsi" w:hAnsiTheme="minorHAnsi"/>
          <w:szCs w:val="24"/>
        </w:rPr>
        <w:t>. Main entrance atrium: with connection to all other floors</w:t>
      </w:r>
      <w:proofErr w:type="gramStart"/>
      <w:r w:rsidR="00214B33" w:rsidRPr="005D021A">
        <w:rPr>
          <w:rFonts w:asciiTheme="minorHAnsi" w:hAnsiTheme="minorHAnsi"/>
          <w:szCs w:val="24"/>
        </w:rPr>
        <w:t>;</w:t>
      </w:r>
      <w:proofErr w:type="gramEnd"/>
      <w:r w:rsidR="00214B33" w:rsidRPr="005D021A">
        <w:rPr>
          <w:rFonts w:asciiTheme="minorHAnsi" w:hAnsiTheme="minorHAnsi"/>
          <w:szCs w:val="24"/>
        </w:rPr>
        <w:t xml:space="preserve"> with secura</w:t>
      </w:r>
      <w:r w:rsidR="00AF3D91" w:rsidRPr="005D021A">
        <w:rPr>
          <w:rFonts w:asciiTheme="minorHAnsi" w:hAnsiTheme="minorHAnsi"/>
          <w:szCs w:val="24"/>
        </w:rPr>
        <w:t>ble access to semi-public areas</w:t>
      </w:r>
      <w:r w:rsidR="00ED752A" w:rsidRPr="005D021A">
        <w:rPr>
          <w:rFonts w:asciiTheme="minorHAnsi" w:hAnsiTheme="minorHAnsi"/>
          <w:szCs w:val="24"/>
        </w:rPr>
        <w:t>.</w:t>
      </w:r>
    </w:p>
    <w:p w14:paraId="6C9F0928" w14:textId="4DD3A46A"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.8.</w:t>
      </w:r>
      <w:r w:rsidR="00214B33" w:rsidRPr="005D021A">
        <w:rPr>
          <w:rFonts w:asciiTheme="minorHAnsi" w:hAnsiTheme="minorHAnsi"/>
          <w:szCs w:val="24"/>
        </w:rPr>
        <w:tab/>
        <w:t xml:space="preserve">Conference rooms, with minimum capacities at tables: </w:t>
      </w:r>
    </w:p>
    <w:p w14:paraId="2C2F399F"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New Popov Room: 500 seats “classroom style” with 8 interpretation booths, divisible into 2</w:t>
      </w:r>
      <w:r w:rsidR="00AF3D91" w:rsidRPr="005D021A">
        <w:rPr>
          <w:rFonts w:asciiTheme="minorHAnsi" w:hAnsiTheme="minorHAnsi"/>
          <w:szCs w:val="24"/>
        </w:rPr>
        <w:t> </w:t>
      </w:r>
      <w:r w:rsidRPr="005D021A">
        <w:rPr>
          <w:rFonts w:asciiTheme="minorHAnsi" w:hAnsiTheme="minorHAnsi"/>
          <w:szCs w:val="24"/>
        </w:rPr>
        <w:t>rooms each with 4 booths, or 4 rooms each with 2 booths. Adjoining entertaining and delegate space</w:t>
      </w:r>
      <w:proofErr w:type="gramStart"/>
      <w:r w:rsidRPr="005D021A">
        <w:rPr>
          <w:rFonts w:asciiTheme="minorHAnsi" w:hAnsiTheme="minorHAnsi"/>
          <w:szCs w:val="24"/>
        </w:rPr>
        <w:t>;</w:t>
      </w:r>
      <w:proofErr w:type="gramEnd"/>
    </w:p>
    <w:p w14:paraId="2AC2466E"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 xml:space="preserve">230 seats “classroom style” with </w:t>
      </w:r>
      <w:proofErr w:type="gramStart"/>
      <w:r w:rsidRPr="005D021A">
        <w:rPr>
          <w:rFonts w:asciiTheme="minorHAnsi" w:hAnsiTheme="minorHAnsi"/>
          <w:szCs w:val="24"/>
        </w:rPr>
        <w:t>8</w:t>
      </w:r>
      <w:proofErr w:type="gramEnd"/>
      <w:r w:rsidRPr="005D021A">
        <w:rPr>
          <w:rFonts w:asciiTheme="minorHAnsi" w:hAnsiTheme="minorHAnsi"/>
          <w:szCs w:val="24"/>
        </w:rPr>
        <w:t xml:space="preserve"> interpretation booths, divisible into 2 rooms each with 4</w:t>
      </w:r>
      <w:r w:rsidR="00AF3D91" w:rsidRPr="005D021A">
        <w:rPr>
          <w:rFonts w:asciiTheme="minorHAnsi" w:hAnsiTheme="minorHAnsi"/>
          <w:szCs w:val="24"/>
        </w:rPr>
        <w:t> </w:t>
      </w:r>
      <w:r w:rsidRPr="005D021A">
        <w:rPr>
          <w:rFonts w:asciiTheme="minorHAnsi" w:hAnsiTheme="minorHAnsi"/>
          <w:szCs w:val="24"/>
        </w:rPr>
        <w:t>booths. Adjoining delegate space;</w:t>
      </w:r>
    </w:p>
    <w:p w14:paraId="7A14B03E"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 xml:space="preserve">100 seats “boardroom style” with </w:t>
      </w:r>
      <w:proofErr w:type="gramStart"/>
      <w:r w:rsidRPr="005D021A">
        <w:rPr>
          <w:rFonts w:asciiTheme="minorHAnsi" w:hAnsiTheme="minorHAnsi"/>
          <w:szCs w:val="24"/>
        </w:rPr>
        <w:t>6</w:t>
      </w:r>
      <w:proofErr w:type="gramEnd"/>
      <w:r w:rsidRPr="005D021A">
        <w:rPr>
          <w:rFonts w:asciiTheme="minorHAnsi" w:hAnsiTheme="minorHAnsi"/>
          <w:szCs w:val="24"/>
        </w:rPr>
        <w:t xml:space="preserve"> interpretation booths. Adjoining delegate space;</w:t>
      </w:r>
    </w:p>
    <w:p w14:paraId="06BA22E7" w14:textId="5EE63DB6"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4x 40 seats “boardroom style”;</w:t>
      </w:r>
    </w:p>
    <w:p w14:paraId="2DD9AC72"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1x 20 seats “boardroom style”</w:t>
      </w:r>
      <w:proofErr w:type="gramStart"/>
      <w:r w:rsidRPr="005D021A">
        <w:rPr>
          <w:rFonts w:asciiTheme="minorHAnsi" w:hAnsiTheme="minorHAnsi"/>
          <w:szCs w:val="24"/>
        </w:rPr>
        <w:t>;</w:t>
      </w:r>
      <w:proofErr w:type="gramEnd"/>
      <w:r w:rsidRPr="005D021A">
        <w:rPr>
          <w:rFonts w:asciiTheme="minorHAnsi" w:hAnsiTheme="minorHAnsi"/>
          <w:szCs w:val="24"/>
        </w:rPr>
        <w:t xml:space="preserve"> </w:t>
      </w:r>
    </w:p>
    <w:p w14:paraId="12B9518E"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ind w:left="709" w:hanging="283"/>
        <w:jc w:val="both"/>
        <w:rPr>
          <w:rFonts w:asciiTheme="minorHAnsi" w:hAnsiTheme="minorHAnsi"/>
          <w:szCs w:val="24"/>
        </w:rPr>
      </w:pPr>
      <w:r w:rsidRPr="005D021A">
        <w:rPr>
          <w:rFonts w:asciiTheme="minorHAnsi" w:hAnsiTheme="minorHAnsi"/>
          <w:szCs w:val="24"/>
        </w:rPr>
        <w:t xml:space="preserve">- </w:t>
      </w:r>
      <w:r w:rsidR="00AF3D91" w:rsidRPr="005D021A">
        <w:rPr>
          <w:rFonts w:asciiTheme="minorHAnsi" w:hAnsiTheme="minorHAnsi"/>
          <w:szCs w:val="24"/>
        </w:rPr>
        <w:tab/>
      </w:r>
      <w:r w:rsidRPr="005D021A">
        <w:rPr>
          <w:rFonts w:asciiTheme="minorHAnsi" w:hAnsiTheme="minorHAnsi"/>
          <w:szCs w:val="24"/>
        </w:rPr>
        <w:t>6x 16 seats “boardroom style”</w:t>
      </w:r>
      <w:r w:rsidR="00ED752A" w:rsidRPr="005D021A">
        <w:rPr>
          <w:rFonts w:asciiTheme="minorHAnsi" w:hAnsiTheme="minorHAnsi"/>
          <w:szCs w:val="24"/>
        </w:rPr>
        <w:t>.</w:t>
      </w:r>
      <w:r w:rsidRPr="005D021A">
        <w:rPr>
          <w:rFonts w:asciiTheme="minorHAnsi" w:hAnsiTheme="minorHAnsi"/>
          <w:szCs w:val="24"/>
        </w:rPr>
        <w:t xml:space="preserve"> </w:t>
      </w:r>
    </w:p>
    <w:p w14:paraId="6A7A7AA4" w14:textId="77777777" w:rsidR="00214B33" w:rsidRPr="005D021A"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 xml:space="preserve">All conference rooms to have cloakroom space nearby. </w:t>
      </w:r>
    </w:p>
    <w:p w14:paraId="77BFDF69" w14:textId="4B575D02"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.9.</w:t>
      </w:r>
      <w:r w:rsidR="00214B33" w:rsidRPr="005D021A">
        <w:rPr>
          <w:rFonts w:asciiTheme="minorHAnsi" w:hAnsiTheme="minorHAnsi"/>
          <w:szCs w:val="24"/>
        </w:rPr>
        <w:tab/>
        <w:t>Self-service Restaurant with 400 seats, kitchens, kitchen storage, kitchen goods handling and caterer’s offices. VIP restaurant for 24. Zoned kitchenette areas for staff</w:t>
      </w:r>
      <w:r w:rsidR="00ED752A" w:rsidRPr="005D021A">
        <w:rPr>
          <w:rFonts w:asciiTheme="minorHAnsi" w:hAnsiTheme="minorHAnsi"/>
          <w:szCs w:val="24"/>
        </w:rPr>
        <w:t>.</w:t>
      </w:r>
    </w:p>
    <w:p w14:paraId="16EAA653" w14:textId="71980225"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.10.</w:t>
      </w:r>
      <w:r w:rsidR="00214B33" w:rsidRPr="005D021A">
        <w:rPr>
          <w:rFonts w:asciiTheme="minorHAnsi" w:hAnsiTheme="minorHAnsi"/>
          <w:szCs w:val="24"/>
        </w:rPr>
        <w:tab/>
        <w:t>Fitness centre: 100 m2 main workout/dance room, 50m2 secondary room, 50m2 weights and machines room; showers, toilets, changing and locker space</w:t>
      </w:r>
      <w:r w:rsidR="00ED752A" w:rsidRPr="005D021A">
        <w:rPr>
          <w:rFonts w:asciiTheme="minorHAnsi" w:hAnsiTheme="minorHAnsi"/>
          <w:szCs w:val="24"/>
        </w:rPr>
        <w:t>.</w:t>
      </w:r>
    </w:p>
    <w:p w14:paraId="42FB7646" w14:textId="6F973F46"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.11.</w:t>
      </w:r>
      <w:r w:rsidR="00214B33" w:rsidRPr="005D021A">
        <w:rPr>
          <w:rFonts w:asciiTheme="minorHAnsi" w:hAnsiTheme="minorHAnsi"/>
          <w:szCs w:val="24"/>
        </w:rPr>
        <w:tab/>
        <w:t xml:space="preserve">Medical centre (doctor’s room, nurse’s room, examination room, </w:t>
      </w:r>
      <w:proofErr w:type="gramStart"/>
      <w:r w:rsidR="00214B33" w:rsidRPr="005D021A">
        <w:rPr>
          <w:rFonts w:asciiTheme="minorHAnsi" w:hAnsiTheme="minorHAnsi"/>
          <w:szCs w:val="24"/>
        </w:rPr>
        <w:t>ante-room</w:t>
      </w:r>
      <w:proofErr w:type="gramEnd"/>
      <w:r w:rsidR="00214B33" w:rsidRPr="005D021A">
        <w:rPr>
          <w:rFonts w:asciiTheme="minorHAnsi" w:hAnsiTheme="minorHAnsi"/>
          <w:szCs w:val="24"/>
        </w:rPr>
        <w:t>) and breastfeeding room</w:t>
      </w:r>
      <w:r w:rsidR="00ED752A" w:rsidRPr="005D021A">
        <w:rPr>
          <w:rFonts w:asciiTheme="minorHAnsi" w:hAnsiTheme="minorHAnsi"/>
          <w:szCs w:val="24"/>
        </w:rPr>
        <w:t>.</w:t>
      </w:r>
    </w:p>
    <w:p w14:paraId="43F53724" w14:textId="186347C2"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lastRenderedPageBreak/>
        <w:t>6</w:t>
      </w:r>
      <w:r w:rsidR="00214B33" w:rsidRPr="005D021A">
        <w:rPr>
          <w:rFonts w:asciiTheme="minorHAnsi" w:hAnsiTheme="minorHAnsi"/>
          <w:szCs w:val="24"/>
        </w:rPr>
        <w:t>.12.</w:t>
      </w:r>
      <w:r w:rsidR="00214B33" w:rsidRPr="005D021A">
        <w:rPr>
          <w:rFonts w:asciiTheme="minorHAnsi" w:hAnsiTheme="minorHAnsi"/>
          <w:szCs w:val="24"/>
        </w:rPr>
        <w:tab/>
        <w:t>IT training room: 24 seats “classroom style”</w:t>
      </w:r>
      <w:r w:rsidR="00ED752A" w:rsidRPr="005D021A">
        <w:rPr>
          <w:rFonts w:asciiTheme="minorHAnsi" w:hAnsiTheme="minorHAnsi"/>
          <w:szCs w:val="24"/>
        </w:rPr>
        <w:t>.</w:t>
      </w:r>
    </w:p>
    <w:p w14:paraId="31514682" w14:textId="33C4A389"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.13.</w:t>
      </w:r>
      <w:r w:rsidR="00214B33" w:rsidRPr="005D021A">
        <w:rPr>
          <w:rFonts w:asciiTheme="minorHAnsi" w:hAnsiTheme="minorHAnsi"/>
          <w:szCs w:val="24"/>
        </w:rPr>
        <w:tab/>
        <w:t>Training rooms: 2x 16 seats “boardroom style” with flexible furniture layout</w:t>
      </w:r>
      <w:r w:rsidR="00ED752A" w:rsidRPr="005D021A">
        <w:rPr>
          <w:rFonts w:asciiTheme="minorHAnsi" w:hAnsiTheme="minorHAnsi"/>
          <w:szCs w:val="24"/>
        </w:rPr>
        <w:t>.</w:t>
      </w:r>
    </w:p>
    <w:p w14:paraId="160AA852" w14:textId="19C2923E"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.14.</w:t>
      </w:r>
      <w:r w:rsidR="00214B33" w:rsidRPr="005D021A">
        <w:rPr>
          <w:rFonts w:asciiTheme="minorHAnsi" w:hAnsiTheme="minorHAnsi"/>
          <w:szCs w:val="24"/>
        </w:rPr>
        <w:tab/>
        <w:t>Retiree’s office, Staff Council Office</w:t>
      </w:r>
      <w:r w:rsidR="00ED752A" w:rsidRPr="005D021A">
        <w:rPr>
          <w:rFonts w:asciiTheme="minorHAnsi" w:hAnsiTheme="minorHAnsi"/>
          <w:szCs w:val="24"/>
        </w:rPr>
        <w:t>.</w:t>
      </w:r>
    </w:p>
    <w:p w14:paraId="31E80305" w14:textId="58711556"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.15.</w:t>
      </w:r>
      <w:r w:rsidR="00214B33" w:rsidRPr="005D021A">
        <w:rPr>
          <w:rFonts w:asciiTheme="minorHAnsi" w:hAnsiTheme="minorHAnsi"/>
          <w:szCs w:val="24"/>
        </w:rPr>
        <w:tab/>
        <w:t xml:space="preserve">Staff association rooms: art room for 20, </w:t>
      </w:r>
      <w:proofErr w:type="gramStart"/>
      <w:r w:rsidR="00214B33" w:rsidRPr="005D021A">
        <w:rPr>
          <w:rFonts w:asciiTheme="minorHAnsi" w:hAnsiTheme="minorHAnsi"/>
          <w:szCs w:val="24"/>
        </w:rPr>
        <w:t>2x</w:t>
      </w:r>
      <w:proofErr w:type="gramEnd"/>
      <w:r w:rsidR="00214B33" w:rsidRPr="005D021A">
        <w:rPr>
          <w:rFonts w:asciiTheme="minorHAnsi" w:hAnsiTheme="minorHAnsi"/>
          <w:szCs w:val="24"/>
        </w:rPr>
        <w:t xml:space="preserve"> piano room, quiet room</w:t>
      </w:r>
      <w:r w:rsidR="00ED752A" w:rsidRPr="005D021A">
        <w:rPr>
          <w:rFonts w:asciiTheme="minorHAnsi" w:hAnsiTheme="minorHAnsi"/>
          <w:szCs w:val="24"/>
        </w:rPr>
        <w:t>.</w:t>
      </w:r>
    </w:p>
    <w:p w14:paraId="2CC89742" w14:textId="054C62A8"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.16.</w:t>
      </w:r>
      <w:r w:rsidR="00214B33" w:rsidRPr="005D021A">
        <w:rPr>
          <w:rFonts w:asciiTheme="minorHAnsi" w:hAnsiTheme="minorHAnsi"/>
          <w:szCs w:val="24"/>
        </w:rPr>
        <w:tab/>
        <w:t>IT service desk and associated offices and equipment storage</w:t>
      </w:r>
      <w:r w:rsidR="00ED752A" w:rsidRPr="005D021A">
        <w:rPr>
          <w:rFonts w:asciiTheme="minorHAnsi" w:hAnsiTheme="minorHAnsi"/>
          <w:szCs w:val="24"/>
        </w:rPr>
        <w:t>.</w:t>
      </w:r>
    </w:p>
    <w:p w14:paraId="265F7A8C" w14:textId="5E717569"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.17.</w:t>
      </w:r>
      <w:r w:rsidR="00214B33" w:rsidRPr="005D021A">
        <w:rPr>
          <w:rFonts w:asciiTheme="minorHAnsi" w:hAnsiTheme="minorHAnsi"/>
          <w:szCs w:val="24"/>
        </w:rPr>
        <w:tab/>
        <w:t>Computer server room (100 m2 usable)</w:t>
      </w:r>
      <w:r w:rsidR="00ED752A" w:rsidRPr="005D021A">
        <w:rPr>
          <w:rFonts w:asciiTheme="minorHAnsi" w:hAnsiTheme="minorHAnsi"/>
          <w:szCs w:val="24"/>
        </w:rPr>
        <w:t>.</w:t>
      </w:r>
    </w:p>
    <w:p w14:paraId="37ED0FD9" w14:textId="0F161569"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.18.</w:t>
      </w:r>
      <w:r w:rsidR="00214B33" w:rsidRPr="005D021A">
        <w:rPr>
          <w:rFonts w:asciiTheme="minorHAnsi" w:hAnsiTheme="minorHAnsi"/>
          <w:szCs w:val="24"/>
        </w:rPr>
        <w:tab/>
        <w:t xml:space="preserve">Reprography workshop </w:t>
      </w:r>
      <w:r w:rsidR="00500006">
        <w:rPr>
          <w:rFonts w:asciiTheme="minorHAnsi" w:hAnsiTheme="minorHAnsi"/>
          <w:szCs w:val="24"/>
        </w:rPr>
        <w:t xml:space="preserve">(optional) </w:t>
      </w:r>
      <w:r w:rsidR="00214B33" w:rsidRPr="005D021A">
        <w:rPr>
          <w:rFonts w:asciiTheme="minorHAnsi" w:hAnsiTheme="minorHAnsi"/>
          <w:szCs w:val="24"/>
        </w:rPr>
        <w:t>and storage</w:t>
      </w:r>
      <w:r w:rsidR="00ED752A" w:rsidRPr="005D021A">
        <w:rPr>
          <w:rFonts w:asciiTheme="minorHAnsi" w:hAnsiTheme="minorHAnsi"/>
          <w:szCs w:val="24"/>
        </w:rPr>
        <w:t>.</w:t>
      </w:r>
    </w:p>
    <w:p w14:paraId="1C85BA25" w14:textId="6AA99660"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.19.</w:t>
      </w:r>
      <w:r w:rsidR="00214B33" w:rsidRPr="005D021A">
        <w:rPr>
          <w:rFonts w:asciiTheme="minorHAnsi" w:hAnsiTheme="minorHAnsi"/>
          <w:szCs w:val="24"/>
        </w:rPr>
        <w:tab/>
        <w:t>Office supplies counter, office and storage</w:t>
      </w:r>
      <w:r w:rsidR="00ED752A" w:rsidRPr="005D021A">
        <w:rPr>
          <w:rFonts w:asciiTheme="minorHAnsi" w:hAnsiTheme="minorHAnsi"/>
          <w:szCs w:val="24"/>
        </w:rPr>
        <w:t>.</w:t>
      </w:r>
    </w:p>
    <w:p w14:paraId="5142EDC4" w14:textId="06FAE25B"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.20.</w:t>
      </w:r>
      <w:r w:rsidR="00214B33" w:rsidRPr="005D021A">
        <w:rPr>
          <w:rFonts w:asciiTheme="minorHAnsi" w:hAnsiTheme="minorHAnsi"/>
          <w:szCs w:val="24"/>
        </w:rPr>
        <w:tab/>
        <w:t>Post handling shop, goods-in secure entrance with storage</w:t>
      </w:r>
      <w:r w:rsidR="00ED752A" w:rsidRPr="005D021A">
        <w:rPr>
          <w:rFonts w:asciiTheme="minorHAnsi" w:hAnsiTheme="minorHAnsi"/>
          <w:szCs w:val="24"/>
        </w:rPr>
        <w:t>.</w:t>
      </w:r>
    </w:p>
    <w:p w14:paraId="0FA84741" w14:textId="61CA6BBD"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.21.</w:t>
      </w:r>
      <w:r w:rsidR="00214B33" w:rsidRPr="005D021A">
        <w:rPr>
          <w:rFonts w:asciiTheme="minorHAnsi" w:hAnsiTheme="minorHAnsi"/>
          <w:szCs w:val="24"/>
        </w:rPr>
        <w:tab/>
        <w:t>General storage rooms</w:t>
      </w:r>
      <w:r w:rsidR="00ED752A" w:rsidRPr="005D021A">
        <w:rPr>
          <w:rFonts w:asciiTheme="minorHAnsi" w:hAnsiTheme="minorHAnsi"/>
          <w:szCs w:val="24"/>
        </w:rPr>
        <w:t>.</w:t>
      </w:r>
    </w:p>
    <w:p w14:paraId="45C2544A" w14:textId="41DA534C"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.22.</w:t>
      </w:r>
      <w:r w:rsidR="00214B33" w:rsidRPr="005D021A">
        <w:rPr>
          <w:rFonts w:asciiTheme="minorHAnsi" w:hAnsiTheme="minorHAnsi"/>
          <w:szCs w:val="24"/>
        </w:rPr>
        <w:tab/>
        <w:t>Heating/cooling, electrical, audio-visual, computer workshops</w:t>
      </w:r>
      <w:r w:rsidR="00ED752A" w:rsidRPr="005D021A">
        <w:rPr>
          <w:rFonts w:asciiTheme="minorHAnsi" w:hAnsiTheme="minorHAnsi"/>
          <w:szCs w:val="24"/>
        </w:rPr>
        <w:t>.</w:t>
      </w:r>
    </w:p>
    <w:p w14:paraId="4B288641" w14:textId="24789471"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.23.</w:t>
      </w:r>
      <w:r w:rsidR="00214B33" w:rsidRPr="005D021A">
        <w:rPr>
          <w:rFonts w:asciiTheme="minorHAnsi" w:hAnsiTheme="minorHAnsi"/>
          <w:szCs w:val="24"/>
        </w:rPr>
        <w:tab/>
        <w:t xml:space="preserve">Furniture storage, </w:t>
      </w:r>
      <w:proofErr w:type="gramStart"/>
      <w:r w:rsidR="00214B33" w:rsidRPr="005D021A">
        <w:rPr>
          <w:rFonts w:asciiTheme="minorHAnsi" w:hAnsiTheme="minorHAnsi"/>
          <w:szCs w:val="24"/>
        </w:rPr>
        <w:t>paper publication storage zones</w:t>
      </w:r>
      <w:proofErr w:type="gramEnd"/>
      <w:r w:rsidR="00ED752A" w:rsidRPr="005D021A">
        <w:rPr>
          <w:rFonts w:asciiTheme="minorHAnsi" w:hAnsiTheme="minorHAnsi"/>
          <w:szCs w:val="24"/>
        </w:rPr>
        <w:t>.</w:t>
      </w:r>
    </w:p>
    <w:p w14:paraId="6CB3509D" w14:textId="40E3694D"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.24.</w:t>
      </w:r>
      <w:r w:rsidR="00214B33" w:rsidRPr="005D021A">
        <w:rPr>
          <w:rFonts w:asciiTheme="minorHAnsi" w:hAnsiTheme="minorHAnsi"/>
          <w:szCs w:val="24"/>
        </w:rPr>
        <w:tab/>
        <w:t>Cleaner storage and office, waste triage and storage zone</w:t>
      </w:r>
      <w:r w:rsidR="00ED752A" w:rsidRPr="005D021A">
        <w:rPr>
          <w:rFonts w:asciiTheme="minorHAnsi" w:hAnsiTheme="minorHAnsi"/>
          <w:szCs w:val="24"/>
        </w:rPr>
        <w:t>.</w:t>
      </w:r>
    </w:p>
    <w:p w14:paraId="3628918B" w14:textId="6F4B75ED"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.25.</w:t>
      </w:r>
      <w:r w:rsidR="00214B33" w:rsidRPr="005D021A">
        <w:rPr>
          <w:rFonts w:asciiTheme="minorHAnsi" w:hAnsiTheme="minorHAnsi"/>
          <w:szCs w:val="24"/>
        </w:rPr>
        <w:tab/>
        <w:t>Security Division locker space area, storage area, and training space for 20 persons</w:t>
      </w:r>
      <w:r w:rsidR="00ED752A" w:rsidRPr="005D021A">
        <w:rPr>
          <w:rFonts w:asciiTheme="minorHAnsi" w:hAnsiTheme="minorHAnsi"/>
          <w:szCs w:val="24"/>
        </w:rPr>
        <w:t>.</w:t>
      </w:r>
    </w:p>
    <w:p w14:paraId="4D645ABC" w14:textId="3CF805D3"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.26.</w:t>
      </w:r>
      <w:r w:rsidR="00214B33" w:rsidRPr="005D021A">
        <w:rPr>
          <w:rFonts w:asciiTheme="minorHAnsi" w:hAnsiTheme="minorHAnsi"/>
          <w:szCs w:val="24"/>
        </w:rPr>
        <w:tab/>
        <w:t>TV Studio area with control room</w:t>
      </w:r>
      <w:r w:rsidR="00ED752A" w:rsidRPr="005D021A">
        <w:rPr>
          <w:rFonts w:asciiTheme="minorHAnsi" w:hAnsiTheme="minorHAnsi"/>
          <w:szCs w:val="24"/>
        </w:rPr>
        <w:t>.</w:t>
      </w:r>
    </w:p>
    <w:p w14:paraId="1DF9C4F3" w14:textId="12044BE4"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.27.</w:t>
      </w:r>
      <w:r w:rsidR="00214B33" w:rsidRPr="005D021A">
        <w:rPr>
          <w:rFonts w:asciiTheme="minorHAnsi" w:hAnsiTheme="minorHAnsi"/>
          <w:szCs w:val="24"/>
        </w:rPr>
        <w:tab/>
        <w:t>Amateur Radio room and adjoining office: with access to building roof</w:t>
      </w:r>
      <w:r w:rsidR="00ED752A" w:rsidRPr="005D021A">
        <w:rPr>
          <w:rFonts w:asciiTheme="minorHAnsi" w:hAnsiTheme="minorHAnsi"/>
          <w:szCs w:val="24"/>
        </w:rPr>
        <w:t>.</w:t>
      </w:r>
    </w:p>
    <w:p w14:paraId="12057246" w14:textId="49E0344E" w:rsidR="00214B33"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.28.</w:t>
      </w:r>
      <w:r w:rsidR="00214B33" w:rsidRPr="005D021A">
        <w:rPr>
          <w:rFonts w:asciiTheme="minorHAnsi" w:hAnsiTheme="minorHAnsi"/>
          <w:szCs w:val="24"/>
        </w:rPr>
        <w:tab/>
        <w:t>Multi-Faith Prayer Room</w:t>
      </w:r>
      <w:r w:rsidR="00ED752A" w:rsidRPr="005D021A">
        <w:rPr>
          <w:rFonts w:asciiTheme="minorHAnsi" w:hAnsiTheme="minorHAnsi"/>
          <w:szCs w:val="24"/>
        </w:rPr>
        <w:t>.</w:t>
      </w:r>
    </w:p>
    <w:p w14:paraId="1B136632" w14:textId="28916D4A" w:rsidR="008B3BE1" w:rsidRPr="008B3BE1" w:rsidRDefault="008B3BE1" w:rsidP="008B3BE1">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8B3BE1">
        <w:rPr>
          <w:rFonts w:asciiTheme="minorHAnsi" w:hAnsiTheme="minorHAnsi"/>
          <w:szCs w:val="24"/>
        </w:rPr>
        <w:t>6.29.</w:t>
      </w:r>
      <w:r w:rsidRPr="008B3BE1">
        <w:rPr>
          <w:rFonts w:asciiTheme="minorHAnsi" w:hAnsiTheme="minorHAnsi"/>
          <w:szCs w:val="24"/>
        </w:rPr>
        <w:tab/>
      </w:r>
      <w:r>
        <w:rPr>
          <w:rFonts w:asciiTheme="minorHAnsi" w:hAnsiTheme="minorHAnsi"/>
          <w:szCs w:val="24"/>
        </w:rPr>
        <w:t>Library/information centre</w:t>
      </w:r>
    </w:p>
    <w:p w14:paraId="75FDB2A8" w14:textId="6FBA5ED4" w:rsidR="00214B33" w:rsidRPr="005D021A" w:rsidRDefault="00931B7E"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sidRPr="005D021A">
        <w:rPr>
          <w:rFonts w:asciiTheme="minorHAnsi" w:hAnsiTheme="minorHAnsi"/>
          <w:szCs w:val="24"/>
        </w:rPr>
        <w:t>6</w:t>
      </w:r>
      <w:r w:rsidR="00214B33" w:rsidRPr="005D021A">
        <w:rPr>
          <w:rFonts w:asciiTheme="minorHAnsi" w:hAnsiTheme="minorHAnsi"/>
          <w:szCs w:val="24"/>
        </w:rPr>
        <w:t>.</w:t>
      </w:r>
      <w:r w:rsidR="008B3BE1">
        <w:rPr>
          <w:rFonts w:asciiTheme="minorHAnsi" w:hAnsiTheme="minorHAnsi"/>
          <w:szCs w:val="24"/>
        </w:rPr>
        <w:t>30</w:t>
      </w:r>
      <w:r w:rsidR="00214B33" w:rsidRPr="005D021A">
        <w:rPr>
          <w:rFonts w:asciiTheme="minorHAnsi" w:hAnsiTheme="minorHAnsi"/>
          <w:szCs w:val="24"/>
        </w:rPr>
        <w:t>.</w:t>
      </w:r>
      <w:r w:rsidR="00214B33" w:rsidRPr="005D021A">
        <w:rPr>
          <w:rFonts w:asciiTheme="minorHAnsi" w:hAnsiTheme="minorHAnsi"/>
          <w:szCs w:val="24"/>
        </w:rPr>
        <w:tab/>
        <w:t xml:space="preserve">At least two computer/communications network rooms on each floor, with fibre and copper connection points in strategic locations on each floor, with the assumption that 90% of the staff and visitors will be using </w:t>
      </w:r>
      <w:proofErr w:type="spellStart"/>
      <w:r w:rsidR="00214B33" w:rsidRPr="005D021A">
        <w:rPr>
          <w:rFonts w:asciiTheme="minorHAnsi" w:hAnsiTheme="minorHAnsi"/>
          <w:szCs w:val="24"/>
        </w:rPr>
        <w:t>WiFi</w:t>
      </w:r>
      <w:proofErr w:type="spellEnd"/>
      <w:r w:rsidR="00214B33" w:rsidRPr="005D021A">
        <w:rPr>
          <w:rFonts w:asciiTheme="minorHAnsi" w:hAnsiTheme="minorHAnsi"/>
          <w:szCs w:val="24"/>
        </w:rPr>
        <w:t xml:space="preserve"> to connect to the network. Interconnections of appropriate high bandwidth between the network rooms and central server room.</w:t>
      </w:r>
    </w:p>
    <w:p w14:paraId="4BA788D4" w14:textId="751AD20E" w:rsidR="005D021A" w:rsidRPr="00214B33" w:rsidRDefault="00214B33" w:rsidP="00EA5343">
      <w:pPr>
        <w:spacing w:before="840"/>
        <w:jc w:val="center"/>
      </w:pPr>
      <w:r>
        <w:t>______________________</w:t>
      </w:r>
    </w:p>
    <w:sectPr w:rsidR="005D021A" w:rsidRPr="00214B33"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E5584" w14:textId="77777777" w:rsidR="00AD54B5" w:rsidRDefault="00AD54B5">
      <w:r>
        <w:separator/>
      </w:r>
    </w:p>
  </w:endnote>
  <w:endnote w:type="continuationSeparator" w:id="0">
    <w:p w14:paraId="1EF9BFE6" w14:textId="77777777" w:rsidR="00AD54B5" w:rsidRDefault="00AD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31D1" w14:textId="61B39F2A" w:rsidR="00CB18FF" w:rsidRPr="00A857F8" w:rsidRDefault="00643D10">
    <w:pPr>
      <w:pStyle w:val="Footer"/>
      <w:rPr>
        <w:color w:val="D9D9D9" w:themeColor="background1" w:themeShade="D9"/>
      </w:rPr>
    </w:pPr>
    <w:r w:rsidRPr="00A857F8">
      <w:rPr>
        <w:color w:val="D9D9D9" w:themeColor="background1" w:themeShade="D9"/>
      </w:rPr>
      <w:fldChar w:fldCharType="begin"/>
    </w:r>
    <w:r w:rsidRPr="00A857F8">
      <w:rPr>
        <w:color w:val="D9D9D9" w:themeColor="background1" w:themeShade="D9"/>
      </w:rPr>
      <w:instrText xml:space="preserve"> FILENAME \p  \* MERGEFORMAT </w:instrText>
    </w:r>
    <w:r w:rsidRPr="00A857F8">
      <w:rPr>
        <w:color w:val="D9D9D9" w:themeColor="background1" w:themeShade="D9"/>
      </w:rPr>
      <w:fldChar w:fldCharType="separate"/>
    </w:r>
    <w:r w:rsidR="00214B33" w:rsidRPr="00A857F8">
      <w:rPr>
        <w:color w:val="D9D9D9" w:themeColor="background1" w:themeShade="D9"/>
      </w:rPr>
      <w:t>Document1</w:t>
    </w:r>
    <w:r w:rsidRPr="00A857F8">
      <w:rPr>
        <w:color w:val="D9D9D9" w:themeColor="background1" w:themeShade="D9"/>
      </w:rPr>
      <w:fldChar w:fldCharType="end"/>
    </w:r>
    <w:r w:rsidR="00CB18FF" w:rsidRPr="00A857F8">
      <w:rPr>
        <w:color w:val="D9D9D9" w:themeColor="background1" w:themeShade="D9"/>
      </w:rPr>
      <w:tab/>
    </w:r>
    <w:r w:rsidR="00864AFF" w:rsidRPr="00A857F8">
      <w:rPr>
        <w:color w:val="D9D9D9" w:themeColor="background1" w:themeShade="D9"/>
      </w:rPr>
      <w:fldChar w:fldCharType="begin"/>
    </w:r>
    <w:r w:rsidR="00CB18FF" w:rsidRPr="00A857F8">
      <w:rPr>
        <w:color w:val="D9D9D9" w:themeColor="background1" w:themeShade="D9"/>
      </w:rPr>
      <w:instrText xml:space="preserve"> SAVEDATE \@ DD.MM.YY </w:instrText>
    </w:r>
    <w:r w:rsidR="00864AFF" w:rsidRPr="00A857F8">
      <w:rPr>
        <w:color w:val="D9D9D9" w:themeColor="background1" w:themeShade="D9"/>
      </w:rPr>
      <w:fldChar w:fldCharType="separate"/>
    </w:r>
    <w:r w:rsidR="00267C4E">
      <w:rPr>
        <w:color w:val="D9D9D9" w:themeColor="background1" w:themeShade="D9"/>
      </w:rPr>
      <w:t>04.04.17</w:t>
    </w:r>
    <w:r w:rsidR="00864AFF" w:rsidRPr="00A857F8">
      <w:rPr>
        <w:color w:val="D9D9D9" w:themeColor="background1" w:themeShade="D9"/>
      </w:rPr>
      <w:fldChar w:fldCharType="end"/>
    </w:r>
    <w:r w:rsidR="00CB18FF" w:rsidRPr="00A857F8">
      <w:rPr>
        <w:color w:val="D9D9D9" w:themeColor="background1" w:themeShade="D9"/>
      </w:rPr>
      <w:tab/>
    </w:r>
    <w:r w:rsidR="00864AFF" w:rsidRPr="00A857F8">
      <w:rPr>
        <w:color w:val="D9D9D9" w:themeColor="background1" w:themeShade="D9"/>
      </w:rPr>
      <w:fldChar w:fldCharType="begin"/>
    </w:r>
    <w:r w:rsidR="00CB18FF" w:rsidRPr="00A857F8">
      <w:rPr>
        <w:color w:val="D9D9D9" w:themeColor="background1" w:themeShade="D9"/>
      </w:rPr>
      <w:instrText xml:space="preserve"> PRINTDATE \@ DD.MM.YY </w:instrText>
    </w:r>
    <w:r w:rsidR="00864AFF" w:rsidRPr="00A857F8">
      <w:rPr>
        <w:color w:val="D9D9D9" w:themeColor="background1" w:themeShade="D9"/>
      </w:rPr>
      <w:fldChar w:fldCharType="separate"/>
    </w:r>
    <w:r w:rsidR="00214B33" w:rsidRPr="00A857F8">
      <w:rPr>
        <w:color w:val="D9D9D9" w:themeColor="background1" w:themeShade="D9"/>
      </w:rPr>
      <w:t>18.07.00</w:t>
    </w:r>
    <w:r w:rsidR="00864AFF" w:rsidRPr="00A857F8">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42AB" w14:textId="77777777" w:rsidR="00322D0D" w:rsidRPr="005D021A" w:rsidRDefault="00322D0D">
    <w:pPr>
      <w:spacing w:after="120"/>
      <w:jc w:val="center"/>
      <w:rPr>
        <w:rFonts w:asciiTheme="minorHAnsi" w:hAnsiTheme="minorHAnsi"/>
      </w:rPr>
    </w:pPr>
    <w:r w:rsidRPr="005D021A">
      <w:rPr>
        <w:rFonts w:asciiTheme="minorHAnsi" w:hAnsiTheme="minorHAnsi"/>
      </w:rPr>
      <w:t xml:space="preserve">• </w:t>
    </w:r>
    <w:hyperlink r:id="rId1" w:history="1">
      <w:r w:rsidRPr="005D021A">
        <w:rPr>
          <w:rStyle w:val="Hyperlink"/>
          <w:rFonts w:asciiTheme="minorHAnsi" w:hAnsiTheme="minorHAnsi"/>
        </w:rPr>
        <w:t>http://www.itu.int/council</w:t>
      </w:r>
    </w:hyperlink>
    <w:r w:rsidRPr="005D021A">
      <w:rPr>
        <w:rFonts w:asciiTheme="minorHAnsi" w:hAnsiTheme="minorHAnsi"/>
      </w:rPr>
      <w:t xml:space="preserve"> •</w:t>
    </w:r>
  </w:p>
  <w:p w14:paraId="69486D84" w14:textId="42EDFD9A" w:rsidR="00322D0D" w:rsidRPr="005D021A" w:rsidRDefault="00643D10">
    <w:pPr>
      <w:pStyle w:val="Footer"/>
      <w:rPr>
        <w:rFonts w:asciiTheme="minorHAnsi" w:hAnsiTheme="minorHAnsi"/>
        <w:color w:val="D9D9D9" w:themeColor="background1" w:themeShade="D9"/>
      </w:rPr>
    </w:pPr>
    <w:r w:rsidRPr="005D021A">
      <w:rPr>
        <w:rFonts w:asciiTheme="minorHAnsi" w:hAnsiTheme="minorHAnsi"/>
        <w:color w:val="D9D9D9" w:themeColor="background1" w:themeShade="D9"/>
      </w:rPr>
      <w:fldChar w:fldCharType="begin"/>
    </w:r>
    <w:r w:rsidRPr="005D021A">
      <w:rPr>
        <w:rFonts w:asciiTheme="minorHAnsi" w:hAnsiTheme="minorHAnsi"/>
        <w:color w:val="D9D9D9" w:themeColor="background1" w:themeShade="D9"/>
      </w:rPr>
      <w:instrText xml:space="preserve"> FILENAME \p  \* MERGEFORMAT </w:instrText>
    </w:r>
    <w:r w:rsidRPr="005D021A">
      <w:rPr>
        <w:rFonts w:asciiTheme="minorHAnsi" w:hAnsiTheme="minorHAnsi"/>
        <w:color w:val="D9D9D9" w:themeColor="background1" w:themeShade="D9"/>
      </w:rPr>
      <w:fldChar w:fldCharType="separate"/>
    </w:r>
    <w:r w:rsidR="00214B33" w:rsidRPr="005D021A">
      <w:rPr>
        <w:rFonts w:asciiTheme="minorHAnsi" w:hAnsiTheme="minorHAnsi"/>
        <w:color w:val="D9D9D9" w:themeColor="background1" w:themeShade="D9"/>
      </w:rPr>
      <w:t>Document1</w:t>
    </w:r>
    <w:r w:rsidRPr="005D021A">
      <w:rPr>
        <w:rFonts w:asciiTheme="minorHAnsi" w:hAnsiTheme="minorHAnsi"/>
        <w:color w:val="D9D9D9" w:themeColor="background1" w:themeShade="D9"/>
      </w:rPr>
      <w:fldChar w:fldCharType="end"/>
    </w:r>
    <w:r w:rsidR="00322D0D" w:rsidRPr="005D021A">
      <w:rPr>
        <w:rFonts w:asciiTheme="minorHAnsi" w:hAnsiTheme="minorHAnsi"/>
        <w:color w:val="D9D9D9" w:themeColor="background1" w:themeShade="D9"/>
      </w:rPr>
      <w:tab/>
    </w:r>
    <w:r w:rsidR="00864AFF" w:rsidRPr="005D021A">
      <w:rPr>
        <w:rFonts w:asciiTheme="minorHAnsi" w:hAnsiTheme="minorHAnsi"/>
        <w:color w:val="D9D9D9" w:themeColor="background1" w:themeShade="D9"/>
      </w:rPr>
      <w:fldChar w:fldCharType="begin"/>
    </w:r>
    <w:r w:rsidR="00322D0D" w:rsidRPr="005D021A">
      <w:rPr>
        <w:rFonts w:asciiTheme="minorHAnsi" w:hAnsiTheme="minorHAnsi"/>
        <w:color w:val="D9D9D9" w:themeColor="background1" w:themeShade="D9"/>
      </w:rPr>
      <w:instrText xml:space="preserve"> SAVEDATE \@ DD.MM.YY </w:instrText>
    </w:r>
    <w:r w:rsidR="00864AFF" w:rsidRPr="005D021A">
      <w:rPr>
        <w:rFonts w:asciiTheme="minorHAnsi" w:hAnsiTheme="minorHAnsi"/>
        <w:color w:val="D9D9D9" w:themeColor="background1" w:themeShade="D9"/>
      </w:rPr>
      <w:fldChar w:fldCharType="separate"/>
    </w:r>
    <w:r w:rsidR="00267C4E">
      <w:rPr>
        <w:rFonts w:asciiTheme="minorHAnsi" w:hAnsiTheme="minorHAnsi"/>
        <w:color w:val="D9D9D9" w:themeColor="background1" w:themeShade="D9"/>
      </w:rPr>
      <w:t>04.04.17</w:t>
    </w:r>
    <w:r w:rsidR="00864AFF" w:rsidRPr="005D021A">
      <w:rPr>
        <w:rFonts w:asciiTheme="minorHAnsi" w:hAnsiTheme="minorHAnsi"/>
        <w:color w:val="D9D9D9" w:themeColor="background1" w:themeShade="D9"/>
      </w:rPr>
      <w:fldChar w:fldCharType="end"/>
    </w:r>
    <w:r w:rsidR="00322D0D" w:rsidRPr="005D021A">
      <w:rPr>
        <w:rFonts w:asciiTheme="minorHAnsi" w:hAnsiTheme="minorHAnsi"/>
        <w:color w:val="D9D9D9" w:themeColor="background1" w:themeShade="D9"/>
      </w:rPr>
      <w:tab/>
    </w:r>
    <w:r w:rsidR="00864AFF" w:rsidRPr="005D021A">
      <w:rPr>
        <w:rFonts w:asciiTheme="minorHAnsi" w:hAnsiTheme="minorHAnsi"/>
        <w:color w:val="D9D9D9" w:themeColor="background1" w:themeShade="D9"/>
      </w:rPr>
      <w:fldChar w:fldCharType="begin"/>
    </w:r>
    <w:r w:rsidR="00322D0D" w:rsidRPr="005D021A">
      <w:rPr>
        <w:rFonts w:asciiTheme="minorHAnsi" w:hAnsiTheme="minorHAnsi"/>
        <w:color w:val="D9D9D9" w:themeColor="background1" w:themeShade="D9"/>
      </w:rPr>
      <w:instrText xml:space="preserve"> PRINTDATE \@ DD.MM.YY </w:instrText>
    </w:r>
    <w:r w:rsidR="00864AFF" w:rsidRPr="005D021A">
      <w:rPr>
        <w:rFonts w:asciiTheme="minorHAnsi" w:hAnsiTheme="minorHAnsi"/>
        <w:color w:val="D9D9D9" w:themeColor="background1" w:themeShade="D9"/>
      </w:rPr>
      <w:fldChar w:fldCharType="separate"/>
    </w:r>
    <w:r w:rsidR="00214B33" w:rsidRPr="005D021A">
      <w:rPr>
        <w:rFonts w:asciiTheme="minorHAnsi" w:hAnsiTheme="minorHAnsi"/>
        <w:color w:val="D9D9D9" w:themeColor="background1" w:themeShade="D9"/>
      </w:rPr>
      <w:t>18.07.00</w:t>
    </w:r>
    <w:r w:rsidR="00864AFF" w:rsidRPr="005D021A">
      <w:rPr>
        <w:rFonts w:asciiTheme="minorHAnsi" w:hAnsiTheme="minorHAnsi"/>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9AB4" w14:textId="77777777" w:rsidR="00AD54B5" w:rsidRDefault="00AD54B5">
      <w:r>
        <w:t>____________________</w:t>
      </w:r>
    </w:p>
  </w:footnote>
  <w:footnote w:type="continuationSeparator" w:id="0">
    <w:p w14:paraId="2E0DB68B" w14:textId="77777777" w:rsidR="00AD54B5" w:rsidRDefault="00AD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96C2" w14:textId="77777777" w:rsidR="00322D0D" w:rsidRDefault="006535F1" w:rsidP="00CE433C">
    <w:pPr>
      <w:pStyle w:val="Header"/>
    </w:pPr>
    <w:r>
      <w:fldChar w:fldCharType="begin"/>
    </w:r>
    <w:r>
      <w:instrText>PAGE</w:instrText>
    </w:r>
    <w:r>
      <w:fldChar w:fldCharType="separate"/>
    </w:r>
    <w:r w:rsidR="00267C4E">
      <w:rPr>
        <w:noProof/>
      </w:rPr>
      <w:t>3</w:t>
    </w:r>
    <w:r>
      <w:rPr>
        <w:noProof/>
      </w:rPr>
      <w:fldChar w:fldCharType="end"/>
    </w:r>
  </w:p>
  <w:p w14:paraId="0D2B4EAC" w14:textId="77777777" w:rsidR="00322D0D" w:rsidRPr="00172252" w:rsidRDefault="00214B33" w:rsidP="00172252">
    <w:pPr>
      <w:pStyle w:val="Header"/>
    </w:pPr>
    <w:r w:rsidRPr="00172252">
      <w:t>C17/</w:t>
    </w:r>
    <w:r w:rsidR="00172252">
      <w:t>7</w:t>
    </w:r>
    <w:r w:rsidRPr="0017225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33"/>
    <w:rsid w:val="000210D4"/>
    <w:rsid w:val="0005597E"/>
    <w:rsid w:val="00063016"/>
    <w:rsid w:val="00066795"/>
    <w:rsid w:val="00076AF6"/>
    <w:rsid w:val="00081DDD"/>
    <w:rsid w:val="00085CF2"/>
    <w:rsid w:val="000B1705"/>
    <w:rsid w:val="000D75B2"/>
    <w:rsid w:val="001121F5"/>
    <w:rsid w:val="001400DC"/>
    <w:rsid w:val="001405DB"/>
    <w:rsid w:val="00140CE1"/>
    <w:rsid w:val="00172252"/>
    <w:rsid w:val="0017539C"/>
    <w:rsid w:val="00175AC2"/>
    <w:rsid w:val="0017609F"/>
    <w:rsid w:val="001815A3"/>
    <w:rsid w:val="001C628E"/>
    <w:rsid w:val="001E0F7B"/>
    <w:rsid w:val="002113C1"/>
    <w:rsid w:val="002119FD"/>
    <w:rsid w:val="002130E0"/>
    <w:rsid w:val="00214B33"/>
    <w:rsid w:val="00240BFB"/>
    <w:rsid w:val="00264425"/>
    <w:rsid w:val="00265875"/>
    <w:rsid w:val="00267C4E"/>
    <w:rsid w:val="0027303B"/>
    <w:rsid w:val="0028109B"/>
    <w:rsid w:val="002B1632"/>
    <w:rsid w:val="002B1F58"/>
    <w:rsid w:val="002C1C7A"/>
    <w:rsid w:val="002C4AAB"/>
    <w:rsid w:val="002F51EF"/>
    <w:rsid w:val="0030160F"/>
    <w:rsid w:val="00317629"/>
    <w:rsid w:val="00322D0D"/>
    <w:rsid w:val="003422A9"/>
    <w:rsid w:val="00373FEE"/>
    <w:rsid w:val="00390EB3"/>
    <w:rsid w:val="003942D4"/>
    <w:rsid w:val="003958A8"/>
    <w:rsid w:val="003A62E4"/>
    <w:rsid w:val="003C2533"/>
    <w:rsid w:val="003E3EC4"/>
    <w:rsid w:val="0040435A"/>
    <w:rsid w:val="00416A24"/>
    <w:rsid w:val="00431D9E"/>
    <w:rsid w:val="00433CE8"/>
    <w:rsid w:val="00434A5C"/>
    <w:rsid w:val="004544D9"/>
    <w:rsid w:val="00490E72"/>
    <w:rsid w:val="00491157"/>
    <w:rsid w:val="004921C8"/>
    <w:rsid w:val="004931F0"/>
    <w:rsid w:val="004C6CF6"/>
    <w:rsid w:val="004D1851"/>
    <w:rsid w:val="004D599D"/>
    <w:rsid w:val="004E2EA5"/>
    <w:rsid w:val="004E3AEB"/>
    <w:rsid w:val="00500006"/>
    <w:rsid w:val="0050223C"/>
    <w:rsid w:val="005243FF"/>
    <w:rsid w:val="0052591F"/>
    <w:rsid w:val="0053138C"/>
    <w:rsid w:val="00562B37"/>
    <w:rsid w:val="00564FBC"/>
    <w:rsid w:val="00582442"/>
    <w:rsid w:val="005D021A"/>
    <w:rsid w:val="006046C2"/>
    <w:rsid w:val="00643D10"/>
    <w:rsid w:val="0064737F"/>
    <w:rsid w:val="006535F1"/>
    <w:rsid w:val="0065557D"/>
    <w:rsid w:val="00662984"/>
    <w:rsid w:val="006716BB"/>
    <w:rsid w:val="006B6680"/>
    <w:rsid w:val="006B6DCC"/>
    <w:rsid w:val="006F5DA5"/>
    <w:rsid w:val="00702DEF"/>
    <w:rsid w:val="00706861"/>
    <w:rsid w:val="00710901"/>
    <w:rsid w:val="00731F72"/>
    <w:rsid w:val="007463E0"/>
    <w:rsid w:val="0075051B"/>
    <w:rsid w:val="00780E9E"/>
    <w:rsid w:val="00794D34"/>
    <w:rsid w:val="007E3AFD"/>
    <w:rsid w:val="00813E5E"/>
    <w:rsid w:val="00830D73"/>
    <w:rsid w:val="0083581B"/>
    <w:rsid w:val="00850CC7"/>
    <w:rsid w:val="00856641"/>
    <w:rsid w:val="00864AFF"/>
    <w:rsid w:val="0088585C"/>
    <w:rsid w:val="008B3BE1"/>
    <w:rsid w:val="008B4A6A"/>
    <w:rsid w:val="008C7E27"/>
    <w:rsid w:val="008F48DF"/>
    <w:rsid w:val="00913FE9"/>
    <w:rsid w:val="009173EF"/>
    <w:rsid w:val="00931B7E"/>
    <w:rsid w:val="00932906"/>
    <w:rsid w:val="0095403E"/>
    <w:rsid w:val="00960823"/>
    <w:rsid w:val="00961B0B"/>
    <w:rsid w:val="009B38C3"/>
    <w:rsid w:val="009C490B"/>
    <w:rsid w:val="009E17BD"/>
    <w:rsid w:val="00A04CEC"/>
    <w:rsid w:val="00A24526"/>
    <w:rsid w:val="00A27F92"/>
    <w:rsid w:val="00A32257"/>
    <w:rsid w:val="00A32741"/>
    <w:rsid w:val="00A36D20"/>
    <w:rsid w:val="00A414D5"/>
    <w:rsid w:val="00A55622"/>
    <w:rsid w:val="00A7056D"/>
    <w:rsid w:val="00A83502"/>
    <w:rsid w:val="00A857F8"/>
    <w:rsid w:val="00A86BBD"/>
    <w:rsid w:val="00AD15B3"/>
    <w:rsid w:val="00AD54B5"/>
    <w:rsid w:val="00AE51C2"/>
    <w:rsid w:val="00AF3D91"/>
    <w:rsid w:val="00AF6E49"/>
    <w:rsid w:val="00B04A67"/>
    <w:rsid w:val="00B0583C"/>
    <w:rsid w:val="00B3788B"/>
    <w:rsid w:val="00B40A81"/>
    <w:rsid w:val="00B44910"/>
    <w:rsid w:val="00B71D6C"/>
    <w:rsid w:val="00B72267"/>
    <w:rsid w:val="00B76EB6"/>
    <w:rsid w:val="00B7737B"/>
    <w:rsid w:val="00B824C8"/>
    <w:rsid w:val="00BC251A"/>
    <w:rsid w:val="00BD032B"/>
    <w:rsid w:val="00BD0516"/>
    <w:rsid w:val="00BE2640"/>
    <w:rsid w:val="00C01189"/>
    <w:rsid w:val="00C374DE"/>
    <w:rsid w:val="00C430C5"/>
    <w:rsid w:val="00C47AD4"/>
    <w:rsid w:val="00C52D81"/>
    <w:rsid w:val="00C55198"/>
    <w:rsid w:val="00C952B7"/>
    <w:rsid w:val="00CA6393"/>
    <w:rsid w:val="00CB18FF"/>
    <w:rsid w:val="00CD0C08"/>
    <w:rsid w:val="00CE03FB"/>
    <w:rsid w:val="00CE433C"/>
    <w:rsid w:val="00CF33F3"/>
    <w:rsid w:val="00D06183"/>
    <w:rsid w:val="00D22C42"/>
    <w:rsid w:val="00D65041"/>
    <w:rsid w:val="00D667B1"/>
    <w:rsid w:val="00DB384B"/>
    <w:rsid w:val="00DB630C"/>
    <w:rsid w:val="00DF498F"/>
    <w:rsid w:val="00E10E80"/>
    <w:rsid w:val="00E124F0"/>
    <w:rsid w:val="00E60F04"/>
    <w:rsid w:val="00E744EA"/>
    <w:rsid w:val="00E854E4"/>
    <w:rsid w:val="00EA5343"/>
    <w:rsid w:val="00EB0D6F"/>
    <w:rsid w:val="00EB2232"/>
    <w:rsid w:val="00EC5337"/>
    <w:rsid w:val="00ED752A"/>
    <w:rsid w:val="00F2150A"/>
    <w:rsid w:val="00F231D8"/>
    <w:rsid w:val="00F46C5F"/>
    <w:rsid w:val="00F723A7"/>
    <w:rsid w:val="00F73A44"/>
    <w:rsid w:val="00F83685"/>
    <w:rsid w:val="00F94A63"/>
    <w:rsid w:val="00FA0644"/>
    <w:rsid w:val="00FA1C28"/>
    <w:rsid w:val="00FB7596"/>
    <w:rsid w:val="00FC071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DA9ACE"/>
  <w15:docId w15:val="{93F45508-BCEA-4AAC-B70C-E77D704D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D5"/>
    <w:rPr>
      <w:rFonts w:ascii="Times New Roman" w:hAnsi="Times New Roman"/>
      <w:sz w:val="24"/>
      <w:szCs w:val="24"/>
      <w:lang w:val="en-GB" w:eastAsia="ja-JP"/>
    </w:rPr>
  </w:style>
  <w:style w:type="paragraph" w:styleId="Heading1">
    <w:name w:val="heading 1"/>
    <w:basedOn w:val="Normal"/>
    <w:next w:val="Normal"/>
    <w:qFormat/>
    <w:rsid w:val="00813E5E"/>
    <w:pPr>
      <w:keepNext/>
      <w:keepLines/>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outlineLvl w:val="0"/>
    </w:pPr>
    <w:rPr>
      <w:rFonts w:ascii="Calibri" w:hAnsi="Calibri"/>
      <w:b/>
      <w:sz w:val="28"/>
      <w:szCs w:val="20"/>
      <w:lang w:eastAsia="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4">
    <w:name w:val="toc 4"/>
    <w:basedOn w:val="Normal"/>
    <w:next w:val="Normal"/>
    <w:rsid w:val="00813E5E"/>
    <w:pPr>
      <w:tabs>
        <w:tab w:val="left" w:pos="964"/>
        <w:tab w:val="lef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3">
    <w:name w:val="toc 3"/>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2">
    <w:name w:val="toc 2"/>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1">
    <w:name w:val="toc 1"/>
    <w:basedOn w:val="Normal"/>
    <w:rsid w:val="00813E5E"/>
    <w:pPr>
      <w:tabs>
        <w:tab w:val="left" w:pos="964"/>
        <w:tab w:val="left" w:leader="dot" w:pos="8789"/>
        <w:tab w:val="right" w:pos="9639"/>
      </w:tabs>
      <w:overflowPunct w:val="0"/>
      <w:autoSpaceDE w:val="0"/>
      <w:autoSpaceDN w:val="0"/>
      <w:adjustRightInd w:val="0"/>
      <w:spacing w:before="240"/>
      <w:ind w:left="964" w:hanging="964"/>
      <w:textAlignment w:val="baseline"/>
    </w:pPr>
    <w:rPr>
      <w:rFonts w:ascii="Calibri" w:hAnsi="Calibri"/>
      <w:szCs w:val="20"/>
      <w:lang w:eastAsia="en-US"/>
    </w:rPr>
  </w:style>
  <w:style w:type="paragraph" w:styleId="TOC7">
    <w:name w:val="toc 7"/>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6">
    <w:name w:val="toc 6"/>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5">
    <w:name w:val="toc 5"/>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Index7">
    <w:name w:val="index 7"/>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hAnsi="Calibri"/>
      <w:szCs w:val="20"/>
      <w:lang w:eastAsia="en-US"/>
    </w:rPr>
  </w:style>
  <w:style w:type="paragraph" w:styleId="Index6">
    <w:name w:val="index 6"/>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415"/>
      <w:textAlignment w:val="baseline"/>
    </w:pPr>
    <w:rPr>
      <w:rFonts w:ascii="Calibri" w:hAnsi="Calibri"/>
      <w:szCs w:val="20"/>
      <w:lang w:eastAsia="en-US"/>
    </w:rPr>
  </w:style>
  <w:style w:type="paragraph" w:styleId="Index5">
    <w:name w:val="index 5"/>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132"/>
      <w:textAlignment w:val="baseline"/>
    </w:pPr>
    <w:rPr>
      <w:rFonts w:ascii="Calibri" w:hAnsi="Calibri"/>
      <w:szCs w:val="20"/>
      <w:lang w:eastAsia="en-US"/>
    </w:rPr>
  </w:style>
  <w:style w:type="paragraph" w:styleId="Index4">
    <w:name w:val="index 4"/>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849"/>
      <w:textAlignment w:val="baseline"/>
    </w:pPr>
    <w:rPr>
      <w:rFonts w:ascii="Calibri" w:hAnsi="Calibri"/>
      <w:szCs w:val="20"/>
      <w:lang w:eastAsia="en-US"/>
    </w:rPr>
  </w:style>
  <w:style w:type="paragraph" w:styleId="Index3">
    <w:name w:val="index 3"/>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566"/>
      <w:textAlignment w:val="baseline"/>
    </w:pPr>
    <w:rPr>
      <w:rFonts w:ascii="Calibri" w:hAnsi="Calibri"/>
      <w:szCs w:val="20"/>
      <w:lang w:eastAsia="en-US"/>
    </w:rPr>
  </w:style>
  <w:style w:type="paragraph" w:styleId="Index2">
    <w:name w:val="index 2"/>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283"/>
      <w:textAlignment w:val="baseline"/>
    </w:pPr>
    <w:rPr>
      <w:rFonts w:ascii="Calibri" w:hAnsi="Calibri"/>
      <w:szCs w:val="20"/>
      <w:lang w:eastAsia="en-US"/>
    </w:rPr>
  </w:style>
  <w:style w:type="paragraph" w:styleId="Index1">
    <w:name w:val="index 1"/>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LineNumber">
    <w:name w:val="line number"/>
    <w:basedOn w:val="DefaultParagraphFont"/>
    <w:rsid w:val="004D1851"/>
  </w:style>
  <w:style w:type="paragraph" w:styleId="IndexHeading">
    <w:name w:val="index heading"/>
    <w:basedOn w:val="Normal"/>
    <w:next w:val="Index1"/>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Footer">
    <w:name w:val="footer"/>
    <w:basedOn w:val="Normal"/>
    <w:rsid w:val="00813E5E"/>
    <w:pPr>
      <w:tabs>
        <w:tab w:val="left" w:pos="5954"/>
        <w:tab w:val="right" w:pos="9639"/>
      </w:tabs>
      <w:overflowPunct w:val="0"/>
      <w:autoSpaceDE w:val="0"/>
      <w:autoSpaceDN w:val="0"/>
      <w:adjustRightInd w:val="0"/>
      <w:textAlignment w:val="baseline"/>
    </w:pPr>
    <w:rPr>
      <w:rFonts w:ascii="Calibri" w:hAnsi="Calibri"/>
      <w:caps/>
      <w:noProof/>
      <w:sz w:val="16"/>
      <w:szCs w:val="20"/>
      <w:lang w:eastAsia="en-US"/>
    </w:rPr>
  </w:style>
  <w:style w:type="paragraph" w:styleId="Header">
    <w:name w:val="header"/>
    <w:basedOn w:val="Normal"/>
    <w:rsid w:val="00813E5E"/>
    <w:pPr>
      <w:overflowPunct w:val="0"/>
      <w:autoSpaceDE w:val="0"/>
      <w:autoSpaceDN w:val="0"/>
      <w:adjustRightInd w:val="0"/>
      <w:jc w:val="center"/>
      <w:textAlignment w:val="baseline"/>
    </w:pPr>
    <w:rPr>
      <w:rFonts w:ascii="Calibri" w:hAnsi="Calibri"/>
      <w:sz w:val="18"/>
      <w:szCs w:val="20"/>
      <w:lang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hAnsi="Calibri"/>
      <w:szCs w:val="20"/>
      <w:lang w:eastAsia="en-US"/>
    </w:rPr>
  </w:style>
  <w:style w:type="paragraph" w:styleId="NormalIndent">
    <w:name w:val="Normal Inden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textAlignment w:val="baseline"/>
    </w:pPr>
    <w:rPr>
      <w:rFonts w:ascii="Calibri" w:hAnsi="Calibri"/>
      <w:szCs w:val="20"/>
      <w:lang w:eastAsia="en-US"/>
    </w:rPr>
  </w:style>
  <w:style w:type="paragraph" w:customStyle="1" w:styleId="enumlev1">
    <w:name w:val="enumlev1"/>
    <w:basedOn w:val="Normal"/>
    <w:rsid w:val="00813E5E"/>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Cs w:val="20"/>
      <w:lang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Calibri" w:hAnsi="Calibri"/>
      <w:szCs w:val="20"/>
      <w:lang w:eastAsia="en-US"/>
    </w:rPr>
  </w:style>
  <w:style w:type="paragraph" w:customStyle="1" w:styleId="Equation">
    <w:name w:val="Equation"/>
    <w:basedOn w:val="Normal"/>
    <w:rsid w:val="004D1851"/>
    <w:pPr>
      <w:tabs>
        <w:tab w:val="left" w:pos="567"/>
        <w:tab w:val="left" w:pos="1134"/>
        <w:tab w:val="left" w:pos="1701"/>
        <w:tab w:val="left" w:pos="2268"/>
        <w:tab w:val="left" w:pos="2835"/>
        <w:tab w:val="center" w:pos="4820"/>
        <w:tab w:val="right" w:pos="9639"/>
      </w:tabs>
      <w:overflowPunct w:val="0"/>
      <w:autoSpaceDE w:val="0"/>
      <w:autoSpaceDN w:val="0"/>
      <w:adjustRightInd w:val="0"/>
      <w:spacing w:before="120"/>
      <w:textAlignment w:val="baseline"/>
    </w:pPr>
    <w:rPr>
      <w:rFonts w:ascii="Calibri" w:hAnsi="Calibri"/>
      <w:szCs w:val="20"/>
      <w:lang w:eastAsia="en-US"/>
    </w:rPr>
  </w:style>
  <w:style w:type="paragraph" w:customStyle="1" w:styleId="Head">
    <w:name w:val="Head"/>
    <w:basedOn w:val="Normal"/>
    <w:rsid w:val="004D1851"/>
    <w:pPr>
      <w:tabs>
        <w:tab w:val="left" w:pos="567"/>
        <w:tab w:val="left" w:pos="1134"/>
        <w:tab w:val="left" w:pos="1701"/>
        <w:tab w:val="left" w:pos="2268"/>
        <w:tab w:val="left" w:pos="2835"/>
        <w:tab w:val="left" w:pos="6663"/>
      </w:tabs>
    </w:pPr>
    <w:rPr>
      <w:rFonts w:ascii="Calibri" w:hAnsi="Calibri"/>
      <w:szCs w:val="20"/>
      <w:lang w:eastAsia="en-US"/>
    </w:rPr>
  </w:style>
  <w:style w:type="paragraph" w:customStyle="1" w:styleId="toc0">
    <w:name w:val="toc 0"/>
    <w:basedOn w:val="Normal"/>
    <w:next w:val="TOC1"/>
    <w:rsid w:val="00813E5E"/>
    <w:pPr>
      <w:tabs>
        <w:tab w:val="right" w:pos="9781"/>
      </w:tabs>
      <w:overflowPunct w:val="0"/>
      <w:autoSpaceDE w:val="0"/>
      <w:autoSpaceDN w:val="0"/>
      <w:adjustRightInd w:val="0"/>
      <w:spacing w:before="120"/>
      <w:textAlignment w:val="baseline"/>
    </w:pPr>
    <w:rPr>
      <w:rFonts w:ascii="Calibri" w:hAnsi="Calibri"/>
      <w:b/>
      <w:szCs w:val="20"/>
      <w:lang w:eastAsia="en-US"/>
    </w:rPr>
  </w:style>
  <w:style w:type="paragraph" w:styleId="List">
    <w:name w:val="List"/>
    <w:basedOn w:val="Normal"/>
    <w:rsid w:val="004D1851"/>
    <w:pPr>
      <w:tabs>
        <w:tab w:val="left" w:pos="567"/>
        <w:tab w:val="left" w:pos="1134"/>
        <w:tab w:val="left" w:pos="1701"/>
        <w:tab w:val="left" w:pos="2127"/>
        <w:tab w:val="left" w:pos="2268"/>
        <w:tab w:val="left" w:pos="2835"/>
      </w:tabs>
      <w:overflowPunct w:val="0"/>
      <w:autoSpaceDE w:val="0"/>
      <w:autoSpaceDN w:val="0"/>
      <w:adjustRightInd w:val="0"/>
      <w:spacing w:before="120"/>
      <w:ind w:left="2127" w:hanging="2127"/>
      <w:textAlignment w:val="baseline"/>
    </w:pPr>
    <w:rPr>
      <w:rFonts w:ascii="Calibri" w:hAnsi="Calibri"/>
      <w:szCs w:val="20"/>
      <w:lang w:eastAsia="en-US"/>
    </w:rPr>
  </w:style>
  <w:style w:type="paragraph" w:customStyle="1" w:styleId="Part">
    <w:name w:val="Part"/>
    <w:basedOn w:val="Normal"/>
    <w:next w:val="Normal"/>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Source">
    <w:name w:val="Source"/>
    <w:basedOn w:val="Normal"/>
    <w:next w:val="Title1"/>
    <w:autoRedefine/>
    <w:rsid w:val="00813E5E"/>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hAnsi="Calibri"/>
      <w:b/>
      <w:sz w:val="28"/>
      <w:szCs w:val="20"/>
      <w:lang w:eastAsia="en-US"/>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tabs>
        <w:tab w:val="left" w:pos="567"/>
        <w:tab w:val="left" w:pos="1134"/>
        <w:tab w:val="left" w:pos="1701"/>
        <w:tab w:val="left" w:pos="2268"/>
        <w:tab w:val="left" w:pos="2835"/>
      </w:tabs>
      <w:overflowPunct w:val="0"/>
      <w:autoSpaceDE w:val="0"/>
      <w:autoSpaceDN w:val="0"/>
      <w:adjustRightInd w:val="0"/>
      <w:ind w:left="1134" w:hanging="1134"/>
      <w:textAlignment w:val="baseline"/>
    </w:pPr>
    <w:rPr>
      <w:rFonts w:ascii="Calibri" w:hAnsi="Calibri"/>
      <w:szCs w:val="20"/>
      <w:lang w:eastAsia="en-US"/>
    </w:r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textAlignment w:val="baseline"/>
    </w:pPr>
    <w:rPr>
      <w:rFonts w:ascii="Calibri" w:hAnsi="Calibri"/>
      <w:b/>
      <w:bCs/>
      <w:szCs w:val="20"/>
      <w:lang w:eastAsia="en-US"/>
    </w:rPr>
  </w:style>
  <w:style w:type="paragraph" w:customStyle="1" w:styleId="ddate">
    <w:name w:val="ddate"/>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dorlang">
    <w:name w:val="dorlang"/>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AnnexNo">
    <w:name w:val="Annex_No"/>
    <w:basedOn w:val="Normal"/>
    <w:next w:val="Annexref"/>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Annextitle">
    <w:name w:val="Annex_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Annexref">
    <w:name w:val="Annex_ref"/>
    <w:basedOn w:val="Normal"/>
    <w:next w:val="Annextitle"/>
    <w:rsid w:val="00813E5E"/>
    <w:pPr>
      <w:tabs>
        <w:tab w:val="left" w:pos="567"/>
        <w:tab w:val="left" w:pos="1134"/>
        <w:tab w:val="left" w:pos="1701"/>
        <w:tab w:val="left" w:pos="2268"/>
        <w:tab w:val="left" w:pos="2835"/>
      </w:tabs>
      <w:overflowPunct w:val="0"/>
      <w:autoSpaceDE w:val="0"/>
      <w:autoSpaceDN w:val="0"/>
      <w:adjustRightInd w:val="0"/>
      <w:spacing w:before="120"/>
      <w:jc w:val="center"/>
      <w:textAlignment w:val="baseline"/>
    </w:pPr>
    <w:rPr>
      <w:rFonts w:ascii="Calibri" w:hAnsi="Calibri"/>
      <w:szCs w:val="20"/>
      <w:lang w:eastAsia="en-US"/>
    </w:r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left" w:pos="567"/>
      </w:tabs>
      <w:overflowPunct w:val="0"/>
      <w:autoSpaceDE w:val="0"/>
      <w:autoSpaceDN w:val="0"/>
      <w:adjustRightInd w:val="0"/>
      <w:spacing w:before="160"/>
      <w:ind w:left="567"/>
      <w:textAlignment w:val="baseline"/>
    </w:pPr>
    <w:rPr>
      <w:rFonts w:ascii="Calibri" w:hAnsi="Calibri"/>
      <w:i/>
      <w:szCs w:val="20"/>
      <w:lang w:eastAsia="en-US"/>
    </w:rPr>
  </w:style>
  <w:style w:type="paragraph" w:customStyle="1" w:styleId="Equationlegend">
    <w:name w:val="Equation_legend"/>
    <w:basedOn w:val="Normal"/>
    <w:rsid w:val="004D1851"/>
    <w:pPr>
      <w:tabs>
        <w:tab w:val="left" w:pos="567"/>
        <w:tab w:val="left" w:pos="1134"/>
        <w:tab w:val="right" w:pos="1531"/>
        <w:tab w:val="left" w:pos="1701"/>
        <w:tab w:val="left" w:pos="2268"/>
        <w:tab w:val="left" w:pos="2835"/>
      </w:tabs>
      <w:spacing w:before="80"/>
      <w:ind w:left="1701" w:hanging="1701"/>
    </w:pPr>
    <w:rPr>
      <w:rFonts w:ascii="Calibri" w:hAnsi="Calibri"/>
      <w:szCs w:val="20"/>
      <w:lang w:eastAsia="en-US"/>
    </w:rPr>
  </w:style>
  <w:style w:type="paragraph" w:customStyle="1" w:styleId="Figure">
    <w:name w:val="Figure"/>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120" w:after="120"/>
      <w:jc w:val="center"/>
      <w:textAlignment w:val="baseline"/>
    </w:pPr>
    <w:rPr>
      <w:rFonts w:ascii="Calibri" w:hAnsi="Calibri"/>
      <w:szCs w:val="20"/>
      <w:lang w:eastAsia="en-US"/>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tabs>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ascii="Calibri" w:hAnsi="Calibri"/>
      <w:caps/>
      <w:szCs w:val="20"/>
      <w:lang w:eastAsia="en-US"/>
    </w:rPr>
  </w:style>
  <w:style w:type="paragraph" w:customStyle="1" w:styleId="Tabletext">
    <w:name w:val="Table_text"/>
    <w:basedOn w:val="Normal"/>
    <w:rsid w:val="00813E5E"/>
    <w:pPr>
      <w:overflowPunct w:val="0"/>
      <w:autoSpaceDE w:val="0"/>
      <w:autoSpaceDN w:val="0"/>
      <w:adjustRightInd w:val="0"/>
      <w:spacing w:before="60" w:after="60"/>
      <w:textAlignment w:val="baseline"/>
    </w:pPr>
    <w:rPr>
      <w:rFonts w:ascii="Calibri" w:hAnsi="Calibri"/>
      <w:sz w:val="22"/>
      <w:szCs w:val="20"/>
      <w:lang w:eastAsia="en-US"/>
    </w:rPr>
  </w:style>
  <w:style w:type="paragraph" w:customStyle="1" w:styleId="Figurelegend">
    <w:name w:val="Figure_legend"/>
    <w:basedOn w:val="Normal"/>
    <w:rsid w:val="004D1851"/>
    <w:pPr>
      <w:keepNext/>
      <w:keepLines/>
      <w:tabs>
        <w:tab w:val="left" w:pos="567"/>
        <w:tab w:val="left" w:pos="1134"/>
        <w:tab w:val="left" w:pos="1701"/>
        <w:tab w:val="left" w:pos="2268"/>
        <w:tab w:val="left" w:pos="2835"/>
      </w:tabs>
      <w:overflowPunct w:val="0"/>
      <w:autoSpaceDE w:val="0"/>
      <w:autoSpaceDN w:val="0"/>
      <w:adjustRightInd w:val="0"/>
      <w:spacing w:before="20" w:after="20"/>
      <w:textAlignment w:val="baseline"/>
    </w:pPr>
    <w:rPr>
      <w:rFonts w:ascii="Calibri" w:hAnsi="Calibri"/>
      <w:sz w:val="18"/>
      <w:szCs w:val="20"/>
      <w:lang w:eastAsia="en-US"/>
    </w:rPr>
  </w:style>
  <w:style w:type="paragraph" w:customStyle="1" w:styleId="FigureNo">
    <w:name w:val="Figure_No"/>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ascii="Calibri" w:hAnsi="Calibri"/>
      <w:caps/>
      <w:szCs w:val="20"/>
      <w:lang w:eastAsia="en-U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Rectitle">
    <w:name w:val="Rec_title"/>
    <w:basedOn w:val="Normal"/>
    <w:next w:val="Heading1"/>
    <w:rsid w:val="00813E5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sz w:val="28"/>
      <w:szCs w:val="20"/>
      <w:lang w:eastAsia="en-US"/>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pPr>
    <w:rPr>
      <w:rFonts w:ascii="Calibri" w:hAnsi="Calibri"/>
      <w:szCs w:val="20"/>
      <w:lang w:eastAsia="en-US"/>
    </w:rPr>
  </w:style>
  <w:style w:type="paragraph" w:customStyle="1" w:styleId="Reftitle">
    <w:name w:val="Ref_title"/>
    <w:basedOn w:val="Normal"/>
    <w:next w:val="Reftext"/>
    <w:rsid w:val="00813E5E"/>
    <w:pPr>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hAnsi="Calibri"/>
      <w:caps/>
      <w:sz w:val="28"/>
      <w:szCs w:val="20"/>
      <w:lang w:eastAsia="en-US"/>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8"/>
      <w:szCs w:val="20"/>
      <w:lang w:eastAsia="en-US"/>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tabs>
        <w:tab w:val="left" w:pos="567"/>
        <w:tab w:val="left" w:pos="1134"/>
        <w:tab w:val="left" w:pos="1701"/>
        <w:tab w:val="left" w:pos="2268"/>
        <w:tab w:val="left" w:pos="2835"/>
      </w:tabs>
      <w:overflowPunct w:val="0"/>
      <w:autoSpaceDE w:val="0"/>
      <w:autoSpaceDN w:val="0"/>
      <w:adjustRightInd w:val="0"/>
      <w:spacing w:before="567"/>
      <w:jc w:val="center"/>
      <w:textAlignment w:val="baseline"/>
    </w:pPr>
    <w:rPr>
      <w:rFonts w:ascii="Calibri" w:hAnsi="Calibri"/>
      <w:szCs w:val="20"/>
      <w:lang w:eastAsia="en-US"/>
    </w:rPr>
  </w:style>
  <w:style w:type="paragraph" w:customStyle="1" w:styleId="Artheading">
    <w:name w:val="Art_heading"/>
    <w:basedOn w:val="Normal"/>
    <w:next w:val="Normalaftertitle"/>
    <w:rsid w:val="00813E5E"/>
    <w:pPr>
      <w:overflowPunct w:val="0"/>
      <w:autoSpaceDE w:val="0"/>
      <w:autoSpaceDN w:val="0"/>
      <w:adjustRightInd w:val="0"/>
      <w:spacing w:before="480"/>
      <w:jc w:val="center"/>
      <w:textAlignment w:val="baseline"/>
    </w:pPr>
    <w:rPr>
      <w:rFonts w:ascii="Calibri" w:hAnsi="Calibri"/>
      <w:b/>
      <w:szCs w:val="20"/>
      <w:lang w:eastAsia="en-US"/>
    </w:rPr>
  </w:style>
  <w:style w:type="paragraph" w:customStyle="1" w:styleId="ArtNo">
    <w:name w:val="Art_No"/>
    <w:basedOn w:val="Normal"/>
    <w:next w:val="Arttitle"/>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Arttitle">
    <w:name w:val="Art_title"/>
    <w:basedOn w:val="Normal"/>
    <w:next w:val="Normal"/>
    <w:rsid w:val="00813E5E"/>
    <w:pPr>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14B33"/>
    <w:pPr>
      <w:keepNext/>
      <w:tabs>
        <w:tab w:val="left" w:pos="794"/>
        <w:tab w:val="left" w:pos="1191"/>
        <w:tab w:val="left" w:pos="1588"/>
        <w:tab w:val="left" w:pos="1985"/>
      </w:tabs>
      <w:spacing w:before="560" w:after="120"/>
      <w:jc w:val="center"/>
    </w:pPr>
    <w:rPr>
      <w:caps/>
      <w:szCs w:val="20"/>
      <w:lang w:eastAsia="en-US"/>
    </w:rPr>
  </w:style>
  <w:style w:type="paragraph" w:styleId="BalloonText">
    <w:name w:val="Balloon Text"/>
    <w:basedOn w:val="Normal"/>
    <w:link w:val="BalloonTextChar"/>
    <w:semiHidden/>
    <w:unhideWhenUsed/>
    <w:rsid w:val="00F73A44"/>
    <w:pPr>
      <w:tabs>
        <w:tab w:val="left" w:pos="567"/>
        <w:tab w:val="left" w:pos="1134"/>
        <w:tab w:val="left" w:pos="1701"/>
        <w:tab w:val="left" w:pos="2268"/>
        <w:tab w:val="left" w:pos="2835"/>
      </w:tabs>
      <w:overflowPunct w:val="0"/>
      <w:autoSpaceDE w:val="0"/>
      <w:autoSpaceDN w:val="0"/>
      <w:adjustRightInd w:val="0"/>
      <w:textAlignment w:val="baseline"/>
    </w:pPr>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F73A44"/>
    <w:rPr>
      <w:rFonts w:ascii="Segoe UI" w:hAnsi="Segoe UI" w:cs="Segoe UI"/>
      <w:sz w:val="18"/>
      <w:szCs w:val="18"/>
      <w:lang w:val="en-GB" w:eastAsia="en-US"/>
    </w:rPr>
  </w:style>
  <w:style w:type="paragraph" w:styleId="DocumentMap">
    <w:name w:val="Document Map"/>
    <w:basedOn w:val="Normal"/>
    <w:link w:val="DocumentMapChar"/>
    <w:semiHidden/>
    <w:unhideWhenUsed/>
    <w:rsid w:val="00D667B1"/>
  </w:style>
  <w:style w:type="character" w:customStyle="1" w:styleId="DocumentMapChar">
    <w:name w:val="Document Map Char"/>
    <w:basedOn w:val="DefaultParagraphFont"/>
    <w:link w:val="DocumentMap"/>
    <w:semiHidden/>
    <w:rsid w:val="00D667B1"/>
    <w:rPr>
      <w:rFonts w:ascii="Times New Roman" w:hAnsi="Times New Roman"/>
      <w:sz w:val="24"/>
      <w:szCs w:val="24"/>
      <w:lang w:val="en-GB" w:eastAsia="ja-JP"/>
    </w:rPr>
  </w:style>
  <w:style w:type="paragraph" w:styleId="Revision">
    <w:name w:val="Revision"/>
    <w:hidden/>
    <w:uiPriority w:val="99"/>
    <w:semiHidden/>
    <w:rsid w:val="00D667B1"/>
    <w:rPr>
      <w:rFonts w:ascii="Times New Roman"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659474">
      <w:bodyDiv w:val="1"/>
      <w:marLeft w:val="0"/>
      <w:marRight w:val="0"/>
      <w:marTop w:val="0"/>
      <w:marBottom w:val="0"/>
      <w:divBdr>
        <w:top w:val="none" w:sz="0" w:space="0" w:color="auto"/>
        <w:left w:val="none" w:sz="0" w:space="0" w:color="auto"/>
        <w:bottom w:val="none" w:sz="0" w:space="0" w:color="auto"/>
        <w:right w:val="none" w:sz="0" w:space="0" w:color="auto"/>
      </w:divBdr>
    </w:div>
    <w:div w:id="20126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6-CL-C-0124/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DE33-9D84-481D-BA40-7711C86777C9}">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F2317B-35CA-4722-824A-175AF3BD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E3CC05-D733-40A2-A0DE-64098849F290}">
  <ds:schemaRefs>
    <ds:schemaRef ds:uri="http://schemas.microsoft.com/sharepoint/v3/contenttype/forms"/>
  </ds:schemaRefs>
</ds:datastoreItem>
</file>

<file path=customXml/itemProps4.xml><?xml version="1.0" encoding="utf-8"?>
<ds:datastoreItem xmlns:ds="http://schemas.openxmlformats.org/officeDocument/2006/customXml" ds:itemID="{3CA88840-B45D-49AF-9E9D-8E3A175D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2541</Words>
  <Characters>14572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Varembé-2 project: status, detailed specifications</vt:lpstr>
    </vt:vector>
  </TitlesOfParts>
  <Manager>General Secretariat - Pool</Manager>
  <Company>International Telecommunication Union (ITU)</Company>
  <LinksUpToDate>false</LinksUpToDate>
  <CharactersWithSpaces>17079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Varembé-2 project: status, detailed specifications</dc:title>
  <dc:subject>Council 2017</dc:subject>
  <dc:creator>Microsoft Office User</dc:creator>
  <cp:keywords>C2017, C17</cp:keywords>
  <dc:description/>
  <cp:lastModifiedBy>Brouard, Ricarda</cp:lastModifiedBy>
  <cp:revision>2</cp:revision>
  <cp:lastPrinted>2000-07-18T13:30:00Z</cp:lastPrinted>
  <dcterms:created xsi:type="dcterms:W3CDTF">2017-04-19T13:08:00Z</dcterms:created>
  <dcterms:modified xsi:type="dcterms:W3CDTF">2017-04-19T13:08:00Z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