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4135C">
        <w:trPr>
          <w:cantSplit/>
        </w:trPr>
        <w:tc>
          <w:tcPr>
            <w:tcW w:w="6912" w:type="dxa"/>
          </w:tcPr>
          <w:p w:rsidR="00093EEB" w:rsidRPr="0094135C" w:rsidRDefault="00093EEB" w:rsidP="008D0653">
            <w:pPr>
              <w:spacing w:before="360"/>
              <w:rPr>
                <w:szCs w:val="24"/>
              </w:rPr>
            </w:pPr>
            <w:bookmarkStart w:id="0" w:name="dc06"/>
            <w:bookmarkStart w:id="1" w:name="dbluepink" w:colFirst="0" w:colLast="0"/>
            <w:bookmarkEnd w:id="0"/>
            <w:r w:rsidRPr="0094135C">
              <w:rPr>
                <w:b/>
                <w:bCs/>
                <w:sz w:val="30"/>
                <w:szCs w:val="30"/>
              </w:rPr>
              <w:t>Consejo 2017</w:t>
            </w:r>
            <w:r w:rsidRPr="0094135C">
              <w:rPr>
                <w:b/>
                <w:bCs/>
                <w:sz w:val="26"/>
                <w:szCs w:val="26"/>
              </w:rPr>
              <w:br/>
            </w:r>
            <w:r w:rsidRPr="0094135C">
              <w:rPr>
                <w:b/>
                <w:bCs/>
                <w:szCs w:val="24"/>
              </w:rPr>
              <w:t>Ginebra, 15-25 de mayo de 2017</w:t>
            </w:r>
          </w:p>
        </w:tc>
        <w:tc>
          <w:tcPr>
            <w:tcW w:w="3261" w:type="dxa"/>
          </w:tcPr>
          <w:p w:rsidR="00093EEB" w:rsidRPr="0094135C" w:rsidRDefault="00093EEB" w:rsidP="008D0653">
            <w:pPr>
              <w:spacing w:before="0"/>
              <w:jc w:val="right"/>
              <w:rPr>
                <w:szCs w:val="24"/>
              </w:rPr>
            </w:pPr>
            <w:bookmarkStart w:id="2" w:name="ditulogo"/>
            <w:bookmarkEnd w:id="2"/>
            <w:r w:rsidRPr="0094135C">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94135C">
        <w:trPr>
          <w:cantSplit/>
          <w:trHeight w:val="20"/>
        </w:trPr>
        <w:tc>
          <w:tcPr>
            <w:tcW w:w="10173" w:type="dxa"/>
            <w:gridSpan w:val="2"/>
            <w:tcBorders>
              <w:bottom w:val="single" w:sz="12" w:space="0" w:color="auto"/>
            </w:tcBorders>
          </w:tcPr>
          <w:p w:rsidR="00093EEB" w:rsidRPr="0094135C" w:rsidRDefault="00093EEB" w:rsidP="008D0653">
            <w:pPr>
              <w:spacing w:before="0"/>
              <w:rPr>
                <w:b/>
                <w:bCs/>
                <w:szCs w:val="24"/>
              </w:rPr>
            </w:pPr>
          </w:p>
        </w:tc>
      </w:tr>
      <w:tr w:rsidR="00093EEB" w:rsidRPr="0094135C">
        <w:trPr>
          <w:cantSplit/>
          <w:trHeight w:val="20"/>
        </w:trPr>
        <w:tc>
          <w:tcPr>
            <w:tcW w:w="6912" w:type="dxa"/>
            <w:tcBorders>
              <w:top w:val="single" w:sz="12" w:space="0" w:color="auto"/>
            </w:tcBorders>
          </w:tcPr>
          <w:p w:rsidR="00093EEB" w:rsidRPr="0094135C" w:rsidRDefault="00093EEB" w:rsidP="008D0653">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94135C" w:rsidRDefault="00093EEB" w:rsidP="008D0653">
            <w:pPr>
              <w:spacing w:before="0"/>
              <w:rPr>
                <w:b/>
                <w:bCs/>
                <w:szCs w:val="24"/>
              </w:rPr>
            </w:pPr>
          </w:p>
        </w:tc>
      </w:tr>
      <w:tr w:rsidR="00093EEB" w:rsidRPr="0094135C">
        <w:trPr>
          <w:cantSplit/>
          <w:trHeight w:val="20"/>
        </w:trPr>
        <w:tc>
          <w:tcPr>
            <w:tcW w:w="6912" w:type="dxa"/>
            <w:shd w:val="clear" w:color="auto" w:fill="auto"/>
          </w:tcPr>
          <w:p w:rsidR="00093EEB" w:rsidRPr="0094135C" w:rsidRDefault="00C5254E" w:rsidP="008D0653">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94135C">
              <w:rPr>
                <w:b/>
              </w:rPr>
              <w:t>Punto del orden del día: PL 1.11</w:t>
            </w:r>
          </w:p>
        </w:tc>
        <w:tc>
          <w:tcPr>
            <w:tcW w:w="3261" w:type="dxa"/>
          </w:tcPr>
          <w:p w:rsidR="00093EEB" w:rsidRPr="0094135C" w:rsidRDefault="00093EEB" w:rsidP="008D0653">
            <w:pPr>
              <w:spacing w:before="0"/>
              <w:rPr>
                <w:b/>
                <w:bCs/>
                <w:szCs w:val="24"/>
              </w:rPr>
            </w:pPr>
            <w:r w:rsidRPr="0094135C">
              <w:rPr>
                <w:b/>
                <w:bCs/>
                <w:szCs w:val="24"/>
              </w:rPr>
              <w:t>Documento C17/</w:t>
            </w:r>
            <w:r w:rsidR="00C5254E" w:rsidRPr="0094135C">
              <w:rPr>
                <w:b/>
                <w:bCs/>
                <w:szCs w:val="24"/>
              </w:rPr>
              <w:t>6</w:t>
            </w:r>
            <w:r w:rsidRPr="0094135C">
              <w:rPr>
                <w:b/>
                <w:bCs/>
                <w:szCs w:val="24"/>
              </w:rPr>
              <w:t>-S</w:t>
            </w:r>
          </w:p>
        </w:tc>
      </w:tr>
      <w:tr w:rsidR="00093EEB" w:rsidRPr="0094135C">
        <w:trPr>
          <w:cantSplit/>
          <w:trHeight w:val="20"/>
        </w:trPr>
        <w:tc>
          <w:tcPr>
            <w:tcW w:w="6912" w:type="dxa"/>
            <w:shd w:val="clear" w:color="auto" w:fill="auto"/>
          </w:tcPr>
          <w:p w:rsidR="00093EEB" w:rsidRPr="0094135C" w:rsidRDefault="00093EEB" w:rsidP="008D0653">
            <w:pPr>
              <w:shd w:val="solid" w:color="FFFFFF" w:fill="FFFFFF"/>
              <w:spacing w:before="0"/>
              <w:rPr>
                <w:smallCaps/>
                <w:szCs w:val="24"/>
              </w:rPr>
            </w:pPr>
            <w:bookmarkStart w:id="5" w:name="ddate" w:colFirst="1" w:colLast="1"/>
            <w:bookmarkEnd w:id="3"/>
            <w:bookmarkEnd w:id="4"/>
          </w:p>
        </w:tc>
        <w:tc>
          <w:tcPr>
            <w:tcW w:w="3261" w:type="dxa"/>
          </w:tcPr>
          <w:p w:rsidR="00093EEB" w:rsidRPr="0094135C" w:rsidRDefault="00C5254E" w:rsidP="008D0653">
            <w:pPr>
              <w:spacing w:before="0"/>
              <w:rPr>
                <w:b/>
                <w:bCs/>
                <w:szCs w:val="24"/>
              </w:rPr>
            </w:pPr>
            <w:r w:rsidRPr="0094135C">
              <w:rPr>
                <w:b/>
                <w:bCs/>
                <w:szCs w:val="24"/>
              </w:rPr>
              <w:t>14 de marzo</w:t>
            </w:r>
            <w:r w:rsidR="00093EEB" w:rsidRPr="0094135C">
              <w:rPr>
                <w:b/>
                <w:bCs/>
                <w:szCs w:val="24"/>
              </w:rPr>
              <w:t xml:space="preserve"> de 2017</w:t>
            </w:r>
          </w:p>
        </w:tc>
      </w:tr>
      <w:tr w:rsidR="00093EEB" w:rsidRPr="0094135C">
        <w:trPr>
          <w:cantSplit/>
          <w:trHeight w:val="20"/>
        </w:trPr>
        <w:tc>
          <w:tcPr>
            <w:tcW w:w="6912" w:type="dxa"/>
            <w:shd w:val="clear" w:color="auto" w:fill="auto"/>
          </w:tcPr>
          <w:p w:rsidR="00093EEB" w:rsidRPr="0094135C" w:rsidRDefault="00093EEB" w:rsidP="008D0653">
            <w:pPr>
              <w:shd w:val="solid" w:color="FFFFFF" w:fill="FFFFFF"/>
              <w:spacing w:before="0"/>
              <w:rPr>
                <w:smallCaps/>
                <w:szCs w:val="24"/>
              </w:rPr>
            </w:pPr>
            <w:bookmarkStart w:id="6" w:name="dorlang" w:colFirst="1" w:colLast="1"/>
            <w:bookmarkEnd w:id="5"/>
          </w:p>
        </w:tc>
        <w:tc>
          <w:tcPr>
            <w:tcW w:w="3261" w:type="dxa"/>
          </w:tcPr>
          <w:p w:rsidR="00093EEB" w:rsidRPr="0094135C" w:rsidRDefault="00093EEB" w:rsidP="008D0653">
            <w:pPr>
              <w:spacing w:before="0"/>
              <w:rPr>
                <w:b/>
                <w:bCs/>
                <w:szCs w:val="24"/>
              </w:rPr>
            </w:pPr>
            <w:r w:rsidRPr="0094135C">
              <w:rPr>
                <w:b/>
                <w:bCs/>
                <w:szCs w:val="24"/>
              </w:rPr>
              <w:t>Original: inglés</w:t>
            </w:r>
          </w:p>
        </w:tc>
      </w:tr>
      <w:tr w:rsidR="00093EEB" w:rsidRPr="0094135C">
        <w:trPr>
          <w:cantSplit/>
        </w:trPr>
        <w:tc>
          <w:tcPr>
            <w:tcW w:w="10173" w:type="dxa"/>
            <w:gridSpan w:val="2"/>
          </w:tcPr>
          <w:p w:rsidR="00093EEB" w:rsidRPr="0094135C" w:rsidRDefault="00C5254E" w:rsidP="008D0653">
            <w:pPr>
              <w:pStyle w:val="Source"/>
            </w:pPr>
            <w:bookmarkStart w:id="7" w:name="dsource" w:colFirst="0" w:colLast="0"/>
            <w:bookmarkEnd w:id="1"/>
            <w:bookmarkEnd w:id="6"/>
            <w:r w:rsidRPr="0094135C">
              <w:t>Informe del Secretario General</w:t>
            </w:r>
          </w:p>
        </w:tc>
      </w:tr>
      <w:tr w:rsidR="00093EEB" w:rsidRPr="0094135C">
        <w:trPr>
          <w:cantSplit/>
        </w:trPr>
        <w:tc>
          <w:tcPr>
            <w:tcW w:w="10173" w:type="dxa"/>
            <w:gridSpan w:val="2"/>
          </w:tcPr>
          <w:p w:rsidR="00093EEB" w:rsidRPr="0094135C" w:rsidRDefault="00C5254E" w:rsidP="008D0653">
            <w:pPr>
              <w:pStyle w:val="Title1"/>
            </w:pPr>
            <w:bookmarkStart w:id="8" w:name="dtitle1" w:colFirst="0" w:colLast="0"/>
            <w:bookmarkEnd w:id="7"/>
            <w:r w:rsidRPr="0094135C">
              <w:t>ACTIVIDADES DE LA UIT RELACIONADAS CON LA RESOLUCIÓN 70 (REV. BUSÁN, 2014)</w:t>
            </w:r>
          </w:p>
        </w:tc>
      </w:tr>
      <w:bookmarkEnd w:id="8"/>
    </w:tbl>
    <w:p w:rsidR="00093EEB" w:rsidRPr="0094135C" w:rsidRDefault="00093EEB" w:rsidP="008D065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94135C">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94135C" w:rsidRDefault="00093EEB" w:rsidP="008D0653">
            <w:pPr>
              <w:pStyle w:val="Headingb"/>
            </w:pPr>
            <w:r w:rsidRPr="0094135C">
              <w:t>Resumen</w:t>
            </w:r>
          </w:p>
          <w:p w:rsidR="00093EEB" w:rsidRPr="0094135C" w:rsidRDefault="00CE2CFD" w:rsidP="008D0653">
            <w:r w:rsidRPr="0094135C">
              <w:t xml:space="preserve">En el presente documento se resumen las actividades de la UIT en la aplicación de la Resolución 70 (Rev. </w:t>
            </w:r>
            <w:proofErr w:type="spellStart"/>
            <w:r w:rsidRPr="0094135C">
              <w:t>Busán</w:t>
            </w:r>
            <w:proofErr w:type="spellEnd"/>
            <w:r w:rsidRPr="0094135C">
              <w:t>, 2014) durante el periodo 2016-2017.</w:t>
            </w:r>
          </w:p>
          <w:p w:rsidR="00093EEB" w:rsidRPr="0094135C" w:rsidRDefault="00093EEB" w:rsidP="008D0653">
            <w:pPr>
              <w:pStyle w:val="Headingb"/>
            </w:pPr>
            <w:r w:rsidRPr="0094135C">
              <w:t>Acción solicitada</w:t>
            </w:r>
          </w:p>
          <w:p w:rsidR="00093EEB" w:rsidRPr="0094135C" w:rsidRDefault="00836AC0" w:rsidP="008D0653">
            <w:r w:rsidRPr="0094135C">
              <w:t xml:space="preserve">Se invita al Consejo a </w:t>
            </w:r>
            <w:r w:rsidRPr="0094135C">
              <w:rPr>
                <w:b/>
              </w:rPr>
              <w:t>tomar nota</w:t>
            </w:r>
            <w:r w:rsidRPr="0094135C">
              <w:t xml:space="preserve"> del informe.</w:t>
            </w:r>
          </w:p>
          <w:p w:rsidR="00093EEB" w:rsidRPr="0094135C" w:rsidRDefault="00093EEB" w:rsidP="008D0653">
            <w:pPr>
              <w:pStyle w:val="Table"/>
              <w:keepNext w:val="0"/>
              <w:spacing w:before="0" w:after="0"/>
              <w:rPr>
                <w:caps w:val="0"/>
                <w:sz w:val="22"/>
                <w:lang w:val="es-ES_tradnl"/>
              </w:rPr>
            </w:pPr>
            <w:r w:rsidRPr="0094135C">
              <w:rPr>
                <w:caps w:val="0"/>
                <w:sz w:val="22"/>
                <w:lang w:val="es-ES_tradnl"/>
              </w:rPr>
              <w:t>____________</w:t>
            </w:r>
          </w:p>
          <w:p w:rsidR="00093EEB" w:rsidRPr="0094135C" w:rsidRDefault="00093EEB" w:rsidP="008D0653">
            <w:pPr>
              <w:pStyle w:val="Headingb"/>
            </w:pPr>
            <w:r w:rsidRPr="0094135C">
              <w:t>Referencia</w:t>
            </w:r>
          </w:p>
          <w:p w:rsidR="00093EEB" w:rsidRPr="0094135C" w:rsidRDefault="003A2585" w:rsidP="008D0653">
            <w:pPr>
              <w:spacing w:after="120"/>
              <w:rPr>
                <w:i/>
                <w:iCs/>
              </w:rPr>
            </w:pPr>
            <w:hyperlink r:id="rId9" w:history="1">
              <w:r w:rsidR="00121E13" w:rsidRPr="0094135C">
                <w:rPr>
                  <w:rStyle w:val="Hyperlink"/>
                  <w:i/>
                  <w:iCs/>
                </w:rPr>
                <w:t>Resolución 70 (Rev. </w:t>
              </w:r>
              <w:proofErr w:type="spellStart"/>
              <w:r w:rsidR="00121E13" w:rsidRPr="0094135C">
                <w:rPr>
                  <w:rStyle w:val="Hyperlink"/>
                  <w:i/>
                  <w:iCs/>
                </w:rPr>
                <w:t>Busán</w:t>
              </w:r>
              <w:proofErr w:type="spellEnd"/>
              <w:r w:rsidR="00121E13" w:rsidRPr="0094135C">
                <w:rPr>
                  <w:rStyle w:val="Hyperlink"/>
                  <w:i/>
                  <w:iCs/>
                </w:rPr>
                <w:t>, 2014)</w:t>
              </w:r>
            </w:hyperlink>
            <w:r w:rsidR="00121E13" w:rsidRPr="0094135C">
              <w:t xml:space="preserve"> de la PP</w:t>
            </w:r>
            <w:r w:rsidR="00121E13" w:rsidRPr="0094135C">
              <w:rPr>
                <w:i/>
                <w:iCs/>
              </w:rPr>
              <w:t xml:space="preserve">; Documentos </w:t>
            </w:r>
            <w:hyperlink r:id="rId10" w:history="1">
              <w:r w:rsidR="00121E13" w:rsidRPr="0094135C">
                <w:rPr>
                  <w:rStyle w:val="Hyperlink"/>
                  <w:i/>
                  <w:iCs/>
                </w:rPr>
                <w:t>C13/INF/11</w:t>
              </w:r>
            </w:hyperlink>
            <w:r w:rsidR="00121E13" w:rsidRPr="0094135C">
              <w:rPr>
                <w:i/>
                <w:iCs/>
              </w:rPr>
              <w:t xml:space="preserve">, </w:t>
            </w:r>
            <w:hyperlink r:id="rId11" w:history="1">
              <w:r w:rsidR="00121E13" w:rsidRPr="0094135C">
                <w:rPr>
                  <w:rStyle w:val="Hyperlink"/>
                  <w:i/>
                  <w:iCs/>
                </w:rPr>
                <w:t>C13/39</w:t>
              </w:r>
            </w:hyperlink>
            <w:r w:rsidR="00121E13" w:rsidRPr="0094135C">
              <w:rPr>
                <w:i/>
                <w:iCs/>
              </w:rPr>
              <w:t xml:space="preserve">, </w:t>
            </w:r>
            <w:hyperlink r:id="rId12" w:history="1">
              <w:r w:rsidR="00121E13" w:rsidRPr="0094135C">
                <w:rPr>
                  <w:rStyle w:val="Hyperlink"/>
                  <w:i/>
                  <w:iCs/>
                </w:rPr>
                <w:t>C14/6</w:t>
              </w:r>
            </w:hyperlink>
            <w:r w:rsidR="003044FC" w:rsidRPr="0094135C">
              <w:t xml:space="preserve">, </w:t>
            </w:r>
            <w:hyperlink r:id="rId13" w:history="1">
              <w:r w:rsidR="00121E13" w:rsidRPr="0094135C">
                <w:rPr>
                  <w:rStyle w:val="Hyperlink"/>
                  <w:i/>
                  <w:iCs/>
                </w:rPr>
                <w:t>C15/6</w:t>
              </w:r>
            </w:hyperlink>
            <w:r w:rsidR="00121E13" w:rsidRPr="0094135C">
              <w:t xml:space="preserve">, </w:t>
            </w:r>
            <w:hyperlink r:id="rId14" w:history="1">
              <w:r w:rsidR="00121E13" w:rsidRPr="0094135C">
                <w:rPr>
                  <w:rStyle w:val="Hyperlink"/>
                  <w:i/>
                  <w:iCs/>
                </w:rPr>
                <w:t>C16/6</w:t>
              </w:r>
            </w:hyperlink>
            <w:r w:rsidR="00121E13" w:rsidRPr="0094135C">
              <w:t xml:space="preserve"> y </w:t>
            </w:r>
            <w:hyperlink r:id="rId15" w:history="1">
              <w:r w:rsidR="00121E13" w:rsidRPr="0094135C">
                <w:rPr>
                  <w:rStyle w:val="Hyperlink"/>
                  <w:i/>
                  <w:iCs/>
                </w:rPr>
                <w:t>C16/INF/1</w:t>
              </w:r>
            </w:hyperlink>
            <w:r>
              <w:rPr>
                <w:rStyle w:val="Hyperlink"/>
                <w:i/>
                <w:iCs/>
              </w:rPr>
              <w:t>,</w:t>
            </w:r>
            <w:r w:rsidR="00121E13" w:rsidRPr="0094135C">
              <w:t xml:space="preserve"> </w:t>
            </w:r>
            <w:hyperlink r:id="rId16" w:history="1">
              <w:r w:rsidRPr="003206FF">
                <w:rPr>
                  <w:rStyle w:val="Hyperlink"/>
                  <w:i/>
                  <w:iCs/>
                </w:rPr>
                <w:t>C17/INF/7</w:t>
              </w:r>
            </w:hyperlink>
            <w:r w:rsidRPr="003A2585">
              <w:rPr>
                <w:rStyle w:val="Hyperlink"/>
                <w:i/>
                <w:iCs/>
                <w:u w:val="none"/>
              </w:rPr>
              <w:t xml:space="preserve">; </w:t>
            </w:r>
            <w:hyperlink r:id="rId17" w:history="1">
              <w:r w:rsidRPr="003206FF">
                <w:rPr>
                  <w:rStyle w:val="Hyperlink"/>
                  <w:i/>
                  <w:iCs/>
                </w:rPr>
                <w:t>C17/INF/8</w:t>
              </w:r>
            </w:hyperlink>
            <w:r>
              <w:rPr>
                <w:rStyle w:val="Hyperlink"/>
                <w:i/>
                <w:iCs/>
              </w:rPr>
              <w:t xml:space="preserve"> </w:t>
            </w:r>
            <w:r w:rsidR="00121E13" w:rsidRPr="003044FC">
              <w:rPr>
                <w:i/>
                <w:iCs/>
              </w:rPr>
              <w:t>del Consejo</w:t>
            </w:r>
            <w:r w:rsidR="00121E13" w:rsidRPr="0094135C">
              <w:t>.</w:t>
            </w:r>
          </w:p>
        </w:tc>
      </w:tr>
    </w:tbl>
    <w:p w:rsidR="008D0653" w:rsidRPr="0094135C" w:rsidRDefault="008D0653" w:rsidP="008576F6">
      <w:pPr>
        <w:pStyle w:val="Heading1"/>
      </w:pPr>
      <w:r w:rsidRPr="0094135C">
        <w:t>1</w:t>
      </w:r>
      <w:r w:rsidRPr="0094135C">
        <w:tab/>
        <w:t>Introducción</w:t>
      </w:r>
    </w:p>
    <w:p w:rsidR="008D0653" w:rsidRPr="0094135C" w:rsidRDefault="008D0653" w:rsidP="00BF31CC">
      <w:pPr>
        <w:rPr>
          <w:rFonts w:cstheme="minorHAnsi"/>
          <w:szCs w:val="24"/>
        </w:rPr>
      </w:pPr>
      <w:r w:rsidRPr="0094135C">
        <w:t xml:space="preserve">En la Resolución 70 (Rev. </w:t>
      </w:r>
      <w:proofErr w:type="spellStart"/>
      <w:r w:rsidRPr="0094135C">
        <w:t>Busán</w:t>
      </w:r>
      <w:proofErr w:type="spellEnd"/>
      <w:r w:rsidRPr="0094135C">
        <w:t xml:space="preserve">, 2014) se destaca el papel de las TIC en el avance por diversos medios de la igualdad de género y </w:t>
      </w:r>
      <w:r w:rsidR="00BF31CC" w:rsidRPr="0094135C">
        <w:t>el empoderamiento</w:t>
      </w:r>
      <w:r w:rsidRPr="0094135C">
        <w:t xml:space="preserve"> de la mujer, incitando a las niñas a elegir una carrera en el campo de las tecnologías de la información y la comunicación (TIC), y fomentando la utilización de esas tecnologías para el empoderamiento económico y social de mujeres y niñas. En la Resolución se alienta </w:t>
      </w:r>
      <w:r w:rsidR="00265E1F" w:rsidRPr="0094135C">
        <w:t xml:space="preserve">asimismo </w:t>
      </w:r>
      <w:r w:rsidRPr="0094135C">
        <w:t xml:space="preserve">al Consejo a seguir con sus iniciativas para acelerar el proceso de incorporación de una política de género en la UIT. En el presente documento figura un resumen de los acontecimientos y actividades pertinentes del último año. Puede obtenerse más información sobre las cuestiones de género y las TIC en la </w:t>
      </w:r>
      <w:hyperlink r:id="rId18" w:history="1">
        <w:r w:rsidRPr="0094135C">
          <w:rPr>
            <w:rStyle w:val="Hyperlink"/>
          </w:rPr>
          <w:t>página web de la UIT sobre la cuestión de género</w:t>
        </w:r>
      </w:hyperlink>
      <w:r w:rsidRPr="0094135C">
        <w:t>.</w:t>
      </w:r>
    </w:p>
    <w:p w:rsidR="008D0653" w:rsidRPr="0094135C" w:rsidRDefault="008D0653" w:rsidP="00963215">
      <w:pPr>
        <w:pStyle w:val="Heading1"/>
      </w:pPr>
      <w:r w:rsidRPr="0094135C">
        <w:t>2</w:t>
      </w:r>
      <w:r w:rsidRPr="0094135C">
        <w:tab/>
        <w:t>Recopilación y seguimiento de datos</w:t>
      </w:r>
    </w:p>
    <w:p w:rsidR="008D0653" w:rsidRPr="0094135C" w:rsidRDefault="008D0653" w:rsidP="004B3F19">
      <w:pPr>
        <w:rPr>
          <w:rFonts w:eastAsia="SimSun"/>
          <w:szCs w:val="24"/>
        </w:rPr>
      </w:pPr>
      <w:r w:rsidRPr="0094135C">
        <w:t xml:space="preserve">Actualmente la UIT recopila y divulga </w:t>
      </w:r>
      <w:r w:rsidR="003C615C" w:rsidRPr="0094135C">
        <w:t>periódicamente</w:t>
      </w:r>
      <w:r w:rsidRPr="0094135C">
        <w:t xml:space="preserve"> datos para indicadores de las TIC sobre cuestiones de género. Estos datos pueden desglosarse por sexo para todos los indicadores relativos a las personas que acceden y utilizan las TIC, a la vez que por edad, educación, situación laboral y trabajo. Esta información sirve para analizar y conocer fehacientemente la participación de la mujer en</w:t>
      </w:r>
      <w:r w:rsidR="00963215" w:rsidRPr="0094135C">
        <w:t xml:space="preserve"> la sociedad de la información.</w:t>
      </w:r>
    </w:p>
    <w:p w:rsidR="008D0653" w:rsidRPr="0094135C" w:rsidRDefault="008D0653" w:rsidP="004A45E9">
      <w:pPr>
        <w:rPr>
          <w:bCs/>
          <w:szCs w:val="24"/>
        </w:rPr>
      </w:pPr>
      <w:r w:rsidRPr="0094135C">
        <w:lastRenderedPageBreak/>
        <w:t>La UIT controla y hace un seguimiento de uno de los indicadores relativos a la cuestión de género que figura en el marco de indicadores para la supervisión de los ODS: la "</w:t>
      </w:r>
      <w:r w:rsidRPr="0094135C">
        <w:rPr>
          <w:i/>
        </w:rPr>
        <w:t>proporción de personas que son propietarias de un teléfono móvil, por sexo</w:t>
      </w:r>
      <w:r w:rsidRPr="0094135C">
        <w:t>". Ese marco recibió el apoyo de la reunión de 2016 de la Comisión de Esta</w:t>
      </w:r>
      <w:r w:rsidR="004A45E9" w:rsidRPr="0094135C">
        <w:t>dística de las Naciones Unidas.</w:t>
      </w:r>
    </w:p>
    <w:p w:rsidR="008D0653" w:rsidRPr="0094135C" w:rsidRDefault="008D0653" w:rsidP="00B36B47">
      <w:pPr>
        <w:rPr>
          <w:rFonts w:eastAsia="SimSun"/>
          <w:szCs w:val="24"/>
        </w:rPr>
      </w:pPr>
      <w:r w:rsidRPr="0094135C">
        <w:t xml:space="preserve">Además de informar sobre la cuestión del género en el sector de las TIC y la conectividad, la Secretaría ha elaborado un </w:t>
      </w:r>
      <w:hyperlink r:id="rId19" w:history="1">
        <w:r w:rsidRPr="0094135C">
          <w:rPr>
            <w:rStyle w:val="Hyperlink"/>
          </w:rPr>
          <w:t>Panel de Control sobre Cuestiones de Género</w:t>
        </w:r>
      </w:hyperlink>
      <w:r w:rsidRPr="0094135C">
        <w:t xml:space="preserve"> con gráficos sobre la participación en los eventos y reuniones de la UIT en función del género, y con un mapa de esta distribución para los eventos más importantes del año. Se está estudiando la opción de recopilar </w:t>
      </w:r>
      <w:r w:rsidR="00B36B47" w:rsidRPr="0094135C">
        <w:t xml:space="preserve">sistemáticamente </w:t>
      </w:r>
      <w:r w:rsidRPr="0094135C">
        <w:t>datos sobre panelistas y</w:t>
      </w:r>
      <w:r w:rsidR="00B36B47" w:rsidRPr="0094135C">
        <w:t xml:space="preserve"> oradores</w:t>
      </w:r>
      <w:r w:rsidR="001E1971" w:rsidRPr="0094135C">
        <w:t>.</w:t>
      </w:r>
    </w:p>
    <w:p w:rsidR="008D0653" w:rsidRPr="0094135C" w:rsidRDefault="008D0653" w:rsidP="00F50DE9">
      <w:pPr>
        <w:rPr>
          <w:rFonts w:eastAsia="SimSun"/>
          <w:szCs w:val="24"/>
        </w:rPr>
      </w:pPr>
      <w:r w:rsidRPr="0094135C">
        <w:t xml:space="preserve">En lo que respecta a la Secretaría, el Departamento de GRH de la UIT ha seguido supervisando el equilibrio de género en el proceso de selección y contratación, la composición global de la plantilla y los ascensos. Los gráficos se encuentran en la última pestaña del Panel de Control. Reflexiones a partir de la observación de los datos: 1) la representación de las mujeres en las categorías profesional y </w:t>
      </w:r>
      <w:r w:rsidR="008B77D4" w:rsidRPr="0094135C">
        <w:t xml:space="preserve">superiores se mantuvo estable; </w:t>
      </w:r>
      <w:r w:rsidRPr="0094135C">
        <w:t>2) el porcentaje de mujeres en los grados P-5 a D-2 aum</w:t>
      </w:r>
      <w:r w:rsidR="008B77D4" w:rsidRPr="0094135C">
        <w:t xml:space="preserve">entó ligeramente en un 3,5%; y </w:t>
      </w:r>
      <w:r w:rsidRPr="0094135C">
        <w:t>3) en las categorías profesional y superiores, el 57% de los ascensos correspondieron</w:t>
      </w:r>
      <w:r w:rsidR="006F79A8" w:rsidRPr="0094135C">
        <w:t xml:space="preserve"> a mujeres, y el 43% a hombres.</w:t>
      </w:r>
    </w:p>
    <w:p w:rsidR="008D0653" w:rsidRPr="0094135C" w:rsidRDefault="008D0653" w:rsidP="00206BDE">
      <w:pPr>
        <w:pStyle w:val="Heading1"/>
      </w:pPr>
      <w:r w:rsidRPr="0094135C">
        <w:t>3</w:t>
      </w:r>
      <w:r w:rsidRPr="0094135C">
        <w:tab/>
        <w:t xml:space="preserve">Reducir la brecha </w:t>
      </w:r>
      <w:r w:rsidR="00206BDE" w:rsidRPr="0094135C">
        <w:t>digital entre hombres y mujeres</w:t>
      </w:r>
    </w:p>
    <w:p w:rsidR="008D0653" w:rsidRPr="0094135C" w:rsidRDefault="008D0653" w:rsidP="00645167">
      <w:pPr>
        <w:pStyle w:val="Heading2"/>
        <w:rPr>
          <w:szCs w:val="24"/>
        </w:rPr>
      </w:pPr>
      <w:r w:rsidRPr="0094135C">
        <w:t>3.1</w:t>
      </w:r>
      <w:r w:rsidRPr="0094135C">
        <w:tab/>
        <w:t>Día Internacional de las Niñas en las TIC</w:t>
      </w:r>
    </w:p>
    <w:p w:rsidR="008D0653" w:rsidRPr="0094135C" w:rsidRDefault="008D0653" w:rsidP="00AC6E82">
      <w:pPr>
        <w:rPr>
          <w:szCs w:val="24"/>
        </w:rPr>
      </w:pPr>
      <w:r w:rsidRPr="0094135C">
        <w:t>El Día Internacional de las Niñas en las TIC se celebra el cuarto jueves de cada mes de abril para animar a más niñas y mujeres jóvenes a elegir estudios y carreras relacionados con las TIC. Desde su lanzamiento en 2011, y hasta 20</w:t>
      </w:r>
      <w:r w:rsidR="00AC6E82">
        <w:t>16, la campaña ha llegado a 240 </w:t>
      </w:r>
      <w:r w:rsidRPr="0094135C">
        <w:t>000 niñas en 160 países. En 2016 se celebraron más de 1</w:t>
      </w:r>
      <w:r w:rsidR="00AC6E82">
        <w:t> </w:t>
      </w:r>
      <w:r w:rsidRPr="0094135C">
        <w:t>900 eventos en 138 países en los que participaron más de 67</w:t>
      </w:r>
      <w:r w:rsidR="00AC6E82">
        <w:t> </w:t>
      </w:r>
      <w:r w:rsidRPr="0094135C">
        <w:t xml:space="preserve">000 niñas y mujeres jóvenes. Entre </w:t>
      </w:r>
      <w:r w:rsidR="00D4474B" w:rsidRPr="0094135C">
        <w:t>otras</w:t>
      </w:r>
      <w:r w:rsidRPr="0094135C">
        <w:t xml:space="preserve"> actividades </w:t>
      </w:r>
      <w:r w:rsidR="00D4474B" w:rsidRPr="0094135C">
        <w:t>se organizaron</w:t>
      </w:r>
      <w:r w:rsidRPr="0094135C">
        <w:t xml:space="preserve"> talleres prácticos de programación, de desarrollo de aplicaciones móviles y de otras </w:t>
      </w:r>
      <w:r w:rsidR="00B61008" w:rsidRPr="0094135C">
        <w:t>competencias</w:t>
      </w:r>
      <w:r w:rsidRPr="0094135C">
        <w:t xml:space="preserve"> digitales, </w:t>
      </w:r>
      <w:r w:rsidR="00E737FB" w:rsidRPr="0094135C">
        <w:t xml:space="preserve">tales </w:t>
      </w:r>
      <w:r w:rsidRPr="0094135C">
        <w:t xml:space="preserve">como el evento Universal </w:t>
      </w:r>
      <w:proofErr w:type="spellStart"/>
      <w:r w:rsidRPr="0094135C">
        <w:t>Communication</w:t>
      </w:r>
      <w:proofErr w:type="spellEnd"/>
      <w:r w:rsidRPr="0094135C">
        <w:t xml:space="preserve"> Service Access </w:t>
      </w:r>
      <w:proofErr w:type="spellStart"/>
      <w:r w:rsidRPr="0094135C">
        <w:t>Fund</w:t>
      </w:r>
      <w:proofErr w:type="spellEnd"/>
      <w:r w:rsidRPr="0094135C">
        <w:t xml:space="preserve"> (Fondo universal de acceso a los servicios de comunicaciones) de </w:t>
      </w:r>
      <w:proofErr w:type="spellStart"/>
      <w:r w:rsidRPr="0094135C">
        <w:t>Tanzanía</w:t>
      </w:r>
      <w:proofErr w:type="spellEnd"/>
      <w:r w:rsidRPr="0094135C">
        <w:t>, en el que niñas aprendieron a desarrollar aplicaciones móvil</w:t>
      </w:r>
      <w:r w:rsidR="000B0939" w:rsidRPr="0094135C">
        <w:t>es</w:t>
      </w:r>
      <w:r w:rsidRPr="0094135C">
        <w:t xml:space="preserve"> y a promocionarlas con miras a adquirir aptitudes empresariales. La Sede de la UIT estableció contactos con escuelas locales para que organizasen sus propios talleres, incluida la formación de estudiantes del lugar, de los últimos años de secundaria, para programar robots donados por Lego. La UIT invitó a las escuelas participantes a que sus alumnos mostrasen sus </w:t>
      </w:r>
      <w:r w:rsidR="00421D95" w:rsidRPr="0094135C">
        <w:t>competencias</w:t>
      </w:r>
      <w:r w:rsidRPr="0094135C">
        <w:t xml:space="preserve"> y recibiesen asesoramiento.</w:t>
      </w:r>
    </w:p>
    <w:p w:rsidR="008D0653" w:rsidRPr="0094135C" w:rsidRDefault="008D0653" w:rsidP="001D39B6">
      <w:pPr>
        <w:rPr>
          <w:szCs w:val="24"/>
        </w:rPr>
      </w:pPr>
      <w:r w:rsidRPr="0094135C">
        <w:t xml:space="preserve">El </w:t>
      </w:r>
      <w:hyperlink r:id="rId20" w:history="1">
        <w:r w:rsidRPr="0094135C">
          <w:rPr>
            <w:rStyle w:val="Hyperlink"/>
          </w:rPr>
          <w:t>Portal de las Niñas en las TIC</w:t>
        </w:r>
      </w:hyperlink>
      <w:r w:rsidRPr="0094135C">
        <w:t xml:space="preserve"> ofrece una guía práctica para los organizadores y acceso a los contenidos </w:t>
      </w:r>
      <w:r w:rsidR="001D39B6" w:rsidRPr="0094135C">
        <w:t>muy</w:t>
      </w:r>
      <w:r w:rsidRPr="0094135C">
        <w:t xml:space="preserve"> estructur</w:t>
      </w:r>
      <w:r w:rsidR="00E45F6E" w:rsidRPr="0094135C">
        <w:t>ados de #</w:t>
      </w:r>
      <w:proofErr w:type="spellStart"/>
      <w:r w:rsidR="00E45F6E" w:rsidRPr="0094135C">
        <w:t>GirlsinICT</w:t>
      </w:r>
      <w:proofErr w:type="spellEnd"/>
      <w:r w:rsidR="00E45F6E" w:rsidRPr="0094135C">
        <w:t xml:space="preserve"> en Twitter.</w:t>
      </w:r>
    </w:p>
    <w:p w:rsidR="008D0653" w:rsidRPr="0094135C" w:rsidRDefault="008D0653" w:rsidP="00007AC5">
      <w:pPr>
        <w:rPr>
          <w:szCs w:val="24"/>
        </w:rPr>
      </w:pPr>
      <w:r w:rsidRPr="0094135C">
        <w:t xml:space="preserve">El Secretario General de la UIT invita a los Estados Miembros, Miembros de Sector, Asociados e Instituciones Académicas de la UIT a organizar eventos en los que participen el mayor número posible de niñas y mujeres jóvenes. Se alienta a todos los Ministerios de TIC, Educación, Trabajo, Juventud, a los organismos nacionales de reglamentación de las TIC, a las empresas de TIC, a las instituciones académicas, a los Organismos </w:t>
      </w:r>
      <w:r w:rsidR="00007AC5" w:rsidRPr="0094135C">
        <w:t>competentes</w:t>
      </w:r>
      <w:r w:rsidRPr="0094135C">
        <w:t xml:space="preserve"> de las Naciones Unidas, a las ONG y a otras partes interesadas a unirse a esta labor mundial y a celebrar el Día Internacional de las </w:t>
      </w:r>
      <w:r w:rsidR="00E45F6E" w:rsidRPr="0094135C">
        <w:t>Niñas en las TIC.</w:t>
      </w:r>
    </w:p>
    <w:p w:rsidR="008D0653" w:rsidRPr="0094135C" w:rsidRDefault="008D0653" w:rsidP="00050DE8">
      <w:pPr>
        <w:pStyle w:val="Heading2"/>
      </w:pPr>
      <w:r w:rsidRPr="0094135C">
        <w:lastRenderedPageBreak/>
        <w:t>3.2</w:t>
      </w:r>
      <w:r w:rsidRPr="0094135C">
        <w:tab/>
        <w:t>EQUALS: La asociación mundial para reducir la brecha digital entre hombres y mujeres</w:t>
      </w:r>
    </w:p>
    <w:p w:rsidR="008D0653" w:rsidRPr="0094135C" w:rsidRDefault="008D0653" w:rsidP="00BD0D5C">
      <w:pPr>
        <w:rPr>
          <w:rFonts w:eastAsia="SimSun"/>
          <w:szCs w:val="24"/>
        </w:rPr>
      </w:pPr>
      <w:r w:rsidRPr="0094135C">
        <w:t xml:space="preserve">En septiembre de 2016, la UIT y ONU-Mujeres lanzaron la </w:t>
      </w:r>
      <w:hyperlink r:id="rId21" w:history="1">
        <w:r w:rsidRPr="0094135C">
          <w:rPr>
            <w:rStyle w:val="Hyperlink"/>
          </w:rPr>
          <w:t>iniciativa EQUALS</w:t>
        </w:r>
      </w:hyperlink>
      <w:r w:rsidRPr="0094135C">
        <w:t xml:space="preserve"> para reducir la brecha digital entre hombres y mujeres de acuerdo con los Objetivos de Desarrollo Sostenible (ODS 5). El marco mundial de acciones se centra en tres </w:t>
      </w:r>
      <w:r w:rsidR="00BD0D5C" w:rsidRPr="0094135C">
        <w:t>ámbitos</w:t>
      </w:r>
      <w:r w:rsidR="00B0085A" w:rsidRPr="0094135C">
        <w:t xml:space="preserve"> transversales y complementario</w:t>
      </w:r>
      <w:r w:rsidRPr="0094135C">
        <w:t>s:</w:t>
      </w:r>
    </w:p>
    <w:p w:rsidR="008D0653" w:rsidRPr="0094135C" w:rsidRDefault="005F3237" w:rsidP="00DC52A9">
      <w:pPr>
        <w:pStyle w:val="enumlev1"/>
        <w:rPr>
          <w:rFonts w:eastAsia="SimSun"/>
        </w:rPr>
      </w:pPr>
      <w:r w:rsidRPr="0094135C">
        <w:t>1)</w:t>
      </w:r>
      <w:r w:rsidRPr="0094135C">
        <w:tab/>
      </w:r>
      <w:r w:rsidR="008D0653" w:rsidRPr="0094135C">
        <w:rPr>
          <w:u w:val="single"/>
        </w:rPr>
        <w:t>Acceso</w:t>
      </w:r>
      <w:r w:rsidR="008D0653" w:rsidRPr="0094135C">
        <w:t xml:space="preserve"> – Velar por que las mujeres y las niñas tengan acceso a disposit</w:t>
      </w:r>
      <w:r w:rsidRPr="0094135C">
        <w:t>ivos y servicios digitales.</w:t>
      </w:r>
    </w:p>
    <w:p w:rsidR="008D0653" w:rsidRPr="0094135C" w:rsidRDefault="00066CD5" w:rsidP="00DD48F7">
      <w:pPr>
        <w:pStyle w:val="enumlev1"/>
        <w:rPr>
          <w:rFonts w:asciiTheme="minorHAnsi" w:eastAsia="SimSun" w:hAnsiTheme="minorHAnsi"/>
          <w:szCs w:val="24"/>
        </w:rPr>
      </w:pPr>
      <w:r w:rsidRPr="0094135C">
        <w:t>2)</w:t>
      </w:r>
      <w:r w:rsidRPr="0094135C">
        <w:tab/>
      </w:r>
      <w:r w:rsidR="008D0653" w:rsidRPr="0094135C">
        <w:rPr>
          <w:rFonts w:asciiTheme="minorHAnsi" w:hAnsiTheme="minorHAnsi"/>
          <w:szCs w:val="24"/>
          <w:u w:val="single"/>
        </w:rPr>
        <w:t>Competencias</w:t>
      </w:r>
      <w:r w:rsidR="008D0653" w:rsidRPr="0094135C">
        <w:rPr>
          <w:rFonts w:asciiTheme="minorHAnsi" w:hAnsiTheme="minorHAnsi"/>
          <w:szCs w:val="24"/>
        </w:rPr>
        <w:t xml:space="preserve"> – Animar a las niñas a elegir estudios de ciencias, tecnología, ingeniería y </w:t>
      </w:r>
      <w:r w:rsidR="008D0653" w:rsidRPr="0094135C">
        <w:t>matemáticas</w:t>
      </w:r>
      <w:r w:rsidR="008D0653" w:rsidRPr="0094135C">
        <w:rPr>
          <w:rFonts w:asciiTheme="minorHAnsi" w:hAnsiTheme="minorHAnsi"/>
          <w:szCs w:val="24"/>
        </w:rPr>
        <w:t xml:space="preserve">. Dotar a mujeres y niñas de los conocimientos digitales necesarios </w:t>
      </w:r>
      <w:r w:rsidR="00DC52A9" w:rsidRPr="0094135C">
        <w:rPr>
          <w:rFonts w:asciiTheme="minorHAnsi" w:hAnsiTheme="minorHAnsi"/>
          <w:szCs w:val="24"/>
        </w:rPr>
        <w:t>a fin de</w:t>
      </w:r>
      <w:r w:rsidR="008D0653" w:rsidRPr="0094135C">
        <w:rPr>
          <w:rFonts w:asciiTheme="minorHAnsi" w:hAnsiTheme="minorHAnsi"/>
          <w:szCs w:val="24"/>
        </w:rPr>
        <w:t xml:space="preserve"> prepararlas para el mercado </w:t>
      </w:r>
      <w:r w:rsidR="00DD48F7" w:rsidRPr="0094135C">
        <w:rPr>
          <w:rFonts w:asciiTheme="minorHAnsi" w:hAnsiTheme="minorHAnsi"/>
          <w:szCs w:val="24"/>
        </w:rPr>
        <w:t>laboral</w:t>
      </w:r>
      <w:r w:rsidR="008D0653" w:rsidRPr="0094135C">
        <w:rPr>
          <w:rFonts w:asciiTheme="minorHAnsi" w:hAnsiTheme="minorHAnsi"/>
          <w:szCs w:val="24"/>
        </w:rPr>
        <w:t xml:space="preserve"> de la creciente economía digital actual.</w:t>
      </w:r>
    </w:p>
    <w:p w:rsidR="008D0653" w:rsidRPr="0094135C" w:rsidRDefault="00811AB4" w:rsidP="006F2474">
      <w:pPr>
        <w:pStyle w:val="enumlev1"/>
        <w:rPr>
          <w:rFonts w:asciiTheme="minorHAnsi" w:eastAsia="SimSun" w:hAnsiTheme="minorHAnsi"/>
          <w:szCs w:val="24"/>
        </w:rPr>
      </w:pPr>
      <w:r w:rsidRPr="0094135C">
        <w:t>3)</w:t>
      </w:r>
      <w:r w:rsidRPr="0094135C">
        <w:tab/>
      </w:r>
      <w:r w:rsidR="008D0653" w:rsidRPr="0094135C">
        <w:rPr>
          <w:rFonts w:asciiTheme="minorHAnsi" w:hAnsiTheme="minorHAnsi"/>
          <w:szCs w:val="24"/>
          <w:u w:val="single"/>
        </w:rPr>
        <w:t>Liderazgo</w:t>
      </w:r>
      <w:r w:rsidR="008D0653" w:rsidRPr="0094135C">
        <w:rPr>
          <w:rFonts w:asciiTheme="minorHAnsi" w:hAnsiTheme="minorHAnsi"/>
          <w:szCs w:val="24"/>
        </w:rPr>
        <w:t xml:space="preserve"> – </w:t>
      </w:r>
      <w:r w:rsidR="008D0653" w:rsidRPr="0094135C">
        <w:t>Promover</w:t>
      </w:r>
      <w:r w:rsidR="008D0653" w:rsidRPr="0094135C">
        <w:rPr>
          <w:rFonts w:asciiTheme="minorHAnsi" w:hAnsiTheme="minorHAnsi"/>
          <w:szCs w:val="24"/>
        </w:rPr>
        <w:t xml:space="preserve"> oportunidades de liderazgo para las mujeres, alentando a las empresas a adoptar un papel activo en la contratación de mujeres y la promoción de iniciativas empresariales de mujeres.</w:t>
      </w:r>
    </w:p>
    <w:p w:rsidR="008D0653" w:rsidRPr="0094135C" w:rsidRDefault="008D0653" w:rsidP="00CD0BB0">
      <w:pPr>
        <w:rPr>
          <w:szCs w:val="24"/>
        </w:rPr>
      </w:pPr>
      <w:r w:rsidRPr="0094135C">
        <w:t xml:space="preserve">EQUALS adopta un enfoque basado en pruebas. La Universidad de las Naciones Unidas dirigirá al Grupo de Investigación mediante la coordinación de un grupo de universidades e instituciones de investigación, como los miembros del Centro </w:t>
      </w:r>
      <w:proofErr w:type="spellStart"/>
      <w:r w:rsidRPr="0094135C">
        <w:t>Berkman</w:t>
      </w:r>
      <w:proofErr w:type="spellEnd"/>
      <w:r w:rsidRPr="0094135C">
        <w:t xml:space="preserve"> Klein de la Universidad de Harvard. Hasta la fecha más de 50 organizaciones/países han participado en los debates de </w:t>
      </w:r>
      <w:hyperlink r:id="rId22" w:history="1">
        <w:r w:rsidRPr="0094135C">
          <w:rPr>
            <w:rStyle w:val="Hyperlink"/>
          </w:rPr>
          <w:t>EQUALS</w:t>
        </w:r>
      </w:hyperlink>
      <w:r w:rsidR="00CD0BB0" w:rsidRPr="0094135C">
        <w:t>.</w:t>
      </w:r>
    </w:p>
    <w:p w:rsidR="008D0653" w:rsidRPr="0094135C" w:rsidRDefault="008D0653" w:rsidP="0063717C">
      <w:pPr>
        <w:pStyle w:val="Heading2"/>
      </w:pPr>
      <w:r w:rsidRPr="0094135C">
        <w:t>3.3</w:t>
      </w:r>
      <w:r w:rsidRPr="0094135C">
        <w:tab/>
        <w:t>Avances en la nueva Agenda de las Naciones Unidas</w:t>
      </w:r>
    </w:p>
    <w:p w:rsidR="008D0653" w:rsidRPr="0094135C" w:rsidRDefault="008D0653" w:rsidP="00D042FC">
      <w:pPr>
        <w:rPr>
          <w:bCs/>
          <w:szCs w:val="24"/>
        </w:rPr>
      </w:pPr>
      <w:r w:rsidRPr="0094135C">
        <w:t>La nueva Agenda para el Desarrollo Sostenible 2030, adoptada por la AGNU en septiembre de 2015, trata de la utilización mejorada de tecnologías habilitadoras y, en particular las TIC, para promover el empoderamiento de las mujeres (ODS 5).</w:t>
      </w:r>
    </w:p>
    <w:p w:rsidR="008D0653" w:rsidRPr="0094135C" w:rsidRDefault="008D0653" w:rsidP="006F2474">
      <w:pPr>
        <w:rPr>
          <w:rFonts w:eastAsia="SimSun"/>
          <w:szCs w:val="24"/>
        </w:rPr>
      </w:pPr>
      <w:r w:rsidRPr="0094135C">
        <w:t xml:space="preserve">En 2016, la UIT participó en mecanismos y reuniones de coordinación interinstitucional, y actualmente es miembro de la Red Interinstitucional sobre la Mujer y la Igualdad entre los Géneros (IANWGE), donde defiende la utilización de las TIC como catalizador para la igualdad de género y el empoderamiento de las mujeres, y el acceso de mujeres y niñas a estas tecnologías para reducir la brecha entre los géneros. La UIT también participó en reuniones de grupos de expertos de las Naciones Unidas sobre la mujer </w:t>
      </w:r>
      <w:r w:rsidR="006F2474" w:rsidRPr="0094135C">
        <w:t>con miras a</w:t>
      </w:r>
      <w:r w:rsidRPr="0094135C">
        <w:t xml:space="preserve"> incorporar la igualdad de género y el empoderamiento de las mujeres en los marcos internacionales de desarrollo, en particular los </w:t>
      </w:r>
      <w:hyperlink r:id="rId23" w:history="1">
        <w:r w:rsidRPr="0094135C">
          <w:rPr>
            <w:rStyle w:val="Hyperlink"/>
          </w:rPr>
          <w:t>Objetivos de Desarrollo Sostenible (ODS)</w:t>
        </w:r>
      </w:hyperlink>
      <w:r w:rsidR="00B66587" w:rsidRPr="0094135C">
        <w:t>.</w:t>
      </w:r>
    </w:p>
    <w:p w:rsidR="008D0653" w:rsidRPr="0094135C" w:rsidRDefault="008D0653" w:rsidP="00224A34">
      <w:pPr>
        <w:pStyle w:val="Heading2"/>
      </w:pPr>
      <w:r w:rsidRPr="0094135C">
        <w:t>3.4</w:t>
      </w:r>
      <w:r w:rsidRPr="0094135C">
        <w:tab/>
        <w:t>Recomendaciones para reducir la brecha digital entre hombres y mujeres</w:t>
      </w:r>
    </w:p>
    <w:p w:rsidR="008D0653" w:rsidRPr="0094135C" w:rsidRDefault="008D0653" w:rsidP="00594CC6">
      <w:pPr>
        <w:rPr>
          <w:szCs w:val="24"/>
        </w:rPr>
      </w:pPr>
      <w:r w:rsidRPr="0094135C">
        <w:t xml:space="preserve">El Grupo de Trabajo de la Comisión de la Banda Ancha sobre la brecha digital entre hombres y mujeres, dirigido por la GSMA y la UNESCO, elaboró varias </w:t>
      </w:r>
      <w:hyperlink r:id="rId24" w:history="1">
        <w:r w:rsidRPr="0094135C">
          <w:rPr>
            <w:rStyle w:val="Hyperlink"/>
          </w:rPr>
          <w:t>recomendaciones</w:t>
        </w:r>
      </w:hyperlink>
      <w:r w:rsidRPr="0094135C">
        <w:t xml:space="preserve"> en marzo de 2017 destinadas a reducir la brecha digital entre hombres y mujeres en el acceso y uso de Internet y banda ancha, y en las que se explican las funciones complementarias de los diferentes actores, entre ellos Gobiernos y legisladores, sector privado, organizaciones intergubernamentales, ONG e instituciones</w:t>
      </w:r>
      <w:r w:rsidR="00594CC6" w:rsidRPr="0094135C">
        <w:t xml:space="preserve"> académicas y de investigación.</w:t>
      </w:r>
    </w:p>
    <w:p w:rsidR="008D0653" w:rsidRPr="0094135C" w:rsidRDefault="008D0653" w:rsidP="00496EDB">
      <w:pPr>
        <w:pStyle w:val="Heading2"/>
      </w:pPr>
      <w:r w:rsidRPr="0094135C">
        <w:t>3.5</w:t>
      </w:r>
      <w:r w:rsidRPr="0094135C">
        <w:tab/>
        <w:t>Premios GEM-TECH</w:t>
      </w:r>
    </w:p>
    <w:p w:rsidR="008D0653" w:rsidRPr="0094135C" w:rsidRDefault="008D0653" w:rsidP="004C284D">
      <w:pPr>
        <w:rPr>
          <w:rFonts w:eastAsia="SimSun"/>
          <w:szCs w:val="24"/>
        </w:rPr>
      </w:pPr>
      <w:r w:rsidRPr="0094135C">
        <w:t xml:space="preserve">La ceremonia anual de entrega de los </w:t>
      </w:r>
      <w:hyperlink r:id="rId25" w:history="1">
        <w:r w:rsidRPr="0094135C">
          <w:rPr>
            <w:rStyle w:val="Hyperlink"/>
          </w:rPr>
          <w:t>premios GEM-TECH</w:t>
        </w:r>
      </w:hyperlink>
      <w:r w:rsidRPr="0094135C">
        <w:t xml:space="preserve"> que organiza la UIT y ONU-Mujeres se celebr</w:t>
      </w:r>
      <w:r w:rsidR="00CF6241" w:rsidRPr="0094135C">
        <w:t>ó el 15 de noviembre en Bangkok</w:t>
      </w:r>
      <w:r w:rsidRPr="0094135C">
        <w:t xml:space="preserve"> </w:t>
      </w:r>
      <w:r w:rsidR="00CF6241" w:rsidRPr="0094135C">
        <w:t>(</w:t>
      </w:r>
      <w:r w:rsidRPr="0094135C">
        <w:t>Tailandia</w:t>
      </w:r>
      <w:r w:rsidR="00CF6241" w:rsidRPr="0094135C">
        <w:t>)</w:t>
      </w:r>
      <w:r w:rsidRPr="0094135C">
        <w:t xml:space="preserve"> con motivo de ITU Telecom World 2017. En el evento se rindió homenaje a los tres ganadores y estuvieron presentes asociados de los sectores público y privado, incluidos Internet </w:t>
      </w:r>
      <w:proofErr w:type="spellStart"/>
      <w:r w:rsidRPr="0094135C">
        <w:t>Society</w:t>
      </w:r>
      <w:proofErr w:type="spellEnd"/>
      <w:r w:rsidRPr="0094135C">
        <w:t xml:space="preserve">, </w:t>
      </w:r>
      <w:proofErr w:type="spellStart"/>
      <w:r w:rsidRPr="0094135C">
        <w:t>Mastercard</w:t>
      </w:r>
      <w:proofErr w:type="spellEnd"/>
      <w:r w:rsidRPr="0094135C">
        <w:t xml:space="preserve">, Microsoft, OFCOM (Suiza), Facebook, </w:t>
      </w:r>
      <w:proofErr w:type="spellStart"/>
      <w:r w:rsidRPr="0094135C">
        <w:t>Rura</w:t>
      </w:r>
      <w:proofErr w:type="spellEnd"/>
      <w:r w:rsidRPr="0094135C">
        <w:t xml:space="preserve"> </w:t>
      </w:r>
      <w:proofErr w:type="spellStart"/>
      <w:r w:rsidRPr="0094135C">
        <w:t>Rwanda</w:t>
      </w:r>
      <w:proofErr w:type="spellEnd"/>
      <w:r w:rsidRPr="0094135C">
        <w:t xml:space="preserve"> y </w:t>
      </w:r>
      <w:proofErr w:type="spellStart"/>
      <w:r w:rsidRPr="0094135C">
        <w:t>Verizon</w:t>
      </w:r>
      <w:proofErr w:type="spellEnd"/>
      <w:r w:rsidRPr="0094135C">
        <w:t xml:space="preserve">, con el apoyo de </w:t>
      </w:r>
      <w:proofErr w:type="spellStart"/>
      <w:r w:rsidRPr="0094135C">
        <w:t>VimpelCom</w:t>
      </w:r>
      <w:proofErr w:type="spellEnd"/>
      <w:r w:rsidRPr="0094135C">
        <w:t>.</w:t>
      </w:r>
    </w:p>
    <w:p w:rsidR="008D0653" w:rsidRPr="0094135C" w:rsidRDefault="008D0653" w:rsidP="002A0696">
      <w:pPr>
        <w:pStyle w:val="Heading1"/>
      </w:pPr>
      <w:r w:rsidRPr="0094135C">
        <w:lastRenderedPageBreak/>
        <w:t>4</w:t>
      </w:r>
      <w:r w:rsidRPr="0094135C">
        <w:tab/>
        <w:t>Reforzar la participación de la mujer en las conferencias principales de la UIT</w:t>
      </w:r>
    </w:p>
    <w:p w:rsidR="008D0653" w:rsidRPr="0094135C" w:rsidRDefault="008D0653" w:rsidP="007C45AE">
      <w:pPr>
        <w:pStyle w:val="Heading2"/>
      </w:pPr>
      <w:r w:rsidRPr="0094135C">
        <w:t>4.1</w:t>
      </w:r>
      <w:r w:rsidRPr="0094135C">
        <w:tab/>
        <w:t>Red de Mujeres de la UIT para la CMR (NOW)</w:t>
      </w:r>
    </w:p>
    <w:p w:rsidR="008D0653" w:rsidRPr="0094135C" w:rsidRDefault="008D0653" w:rsidP="005679AF">
      <w:pPr>
        <w:rPr>
          <w:szCs w:val="24"/>
        </w:rPr>
      </w:pPr>
      <w:r w:rsidRPr="0094135C">
        <w:t>Durante el Seminario Mundial de Radiocomunicaciones de 2016 (</w:t>
      </w:r>
      <w:hyperlink r:id="rId26" w:history="1">
        <w:r w:rsidRPr="0094135C">
          <w:rPr>
            <w:rStyle w:val="Hyperlink"/>
          </w:rPr>
          <w:t>SMR-16</w:t>
        </w:r>
      </w:hyperlink>
      <w:r w:rsidRPr="0094135C">
        <w:t xml:space="preserve">), la UIT presentó la iniciativa "Network of </w:t>
      </w:r>
      <w:proofErr w:type="spellStart"/>
      <w:r w:rsidRPr="0094135C">
        <w:t>Women</w:t>
      </w:r>
      <w:proofErr w:type="spellEnd"/>
      <w:r w:rsidRPr="0094135C">
        <w:t xml:space="preserve"> for WRC (</w:t>
      </w:r>
      <w:hyperlink r:id="rId27" w:history="1">
        <w:r w:rsidRPr="0094135C">
          <w:rPr>
            <w:rStyle w:val="Hyperlink"/>
          </w:rPr>
          <w:t>#NOW</w:t>
        </w:r>
      </w:hyperlink>
      <w:r w:rsidRPr="0094135C">
        <w:t xml:space="preserve">)" (Red de mujeres para la CMR, #NOW), cuyo objetivo es fomentar un equilibrio de género en los órganos decisorios, paneles, comités estatutarios y Comisiones de Estudio de los eventos del UIT-R. El objetivo de la Red de Mujeres para la CMR-19 (NOW4WRC19) es crear capacidad en las primeras etapas de la </w:t>
      </w:r>
      <w:hyperlink r:id="rId28" w:history="1">
        <w:r w:rsidRPr="0094135C">
          <w:rPr>
            <w:rStyle w:val="Hyperlink"/>
          </w:rPr>
          <w:t>CMR-19</w:t>
        </w:r>
      </w:hyperlink>
      <w:r w:rsidRPr="0094135C">
        <w:t xml:space="preserve"> y hacer que participen más delegadas, incluso en funciones como la de presidente y vicepresidente. La NOW4WRC19 lleva 15 años beneficiándose de las crecientes sinergias en las comunidades de delegadas de radiocomunicaciones, como el </w:t>
      </w:r>
      <w:proofErr w:type="spellStart"/>
      <w:r w:rsidRPr="0094135C">
        <w:t>Annual</w:t>
      </w:r>
      <w:proofErr w:type="spellEnd"/>
      <w:r w:rsidRPr="0094135C">
        <w:t xml:space="preserve"> </w:t>
      </w:r>
      <w:proofErr w:type="spellStart"/>
      <w:r w:rsidRPr="0094135C">
        <w:t>Women’s</w:t>
      </w:r>
      <w:proofErr w:type="spellEnd"/>
      <w:r w:rsidRPr="0094135C">
        <w:t xml:space="preserve"> </w:t>
      </w:r>
      <w:proofErr w:type="spellStart"/>
      <w:r w:rsidRPr="0094135C">
        <w:t>Breakfast</w:t>
      </w:r>
      <w:proofErr w:type="spellEnd"/>
      <w:r w:rsidRPr="0094135C">
        <w:t xml:space="preserve"> (Desayuno Anual de Mujeres), el </w:t>
      </w:r>
      <w:proofErr w:type="spellStart"/>
      <w:r w:rsidRPr="0094135C">
        <w:t>Women’s</w:t>
      </w:r>
      <w:proofErr w:type="spellEnd"/>
      <w:r w:rsidRPr="0094135C">
        <w:t xml:space="preserve"> </w:t>
      </w:r>
      <w:proofErr w:type="spellStart"/>
      <w:r w:rsidRPr="0094135C">
        <w:t>Leadership</w:t>
      </w:r>
      <w:proofErr w:type="spellEnd"/>
      <w:r w:rsidRPr="0094135C">
        <w:t xml:space="preserve"> Workshop (Taller sobre Liderazgo de las Mujeres) y el programa de orientación </w:t>
      </w:r>
      <w:proofErr w:type="spellStart"/>
      <w:r w:rsidRPr="0094135C">
        <w:t>WeLead</w:t>
      </w:r>
      <w:proofErr w:type="spellEnd"/>
      <w:r w:rsidRPr="0094135C">
        <w:t xml:space="preserve"> </w:t>
      </w:r>
      <w:r w:rsidR="005679AF" w:rsidRPr="0094135C">
        <w:t>creado por la FCC en la CMR-15.</w:t>
      </w:r>
    </w:p>
    <w:p w:rsidR="008D0653" w:rsidRPr="0094135C" w:rsidRDefault="008D0653" w:rsidP="0005797E">
      <w:pPr>
        <w:pStyle w:val="Heading2"/>
      </w:pPr>
      <w:r w:rsidRPr="0094135C">
        <w:t>4.</w:t>
      </w:r>
      <w:r w:rsidR="0005797E" w:rsidRPr="0094135C">
        <w:t>2</w:t>
      </w:r>
      <w:r w:rsidRPr="0094135C">
        <w:tab/>
        <w:t>Evento paralelo a la AMNT sobre la cuestión del género</w:t>
      </w:r>
    </w:p>
    <w:p w:rsidR="008D0653" w:rsidRPr="0094135C" w:rsidRDefault="008D0653" w:rsidP="002F76D3">
      <w:pPr>
        <w:rPr>
          <w:rFonts w:eastAsia="SimSun"/>
          <w:szCs w:val="24"/>
        </w:rPr>
      </w:pPr>
      <w:r w:rsidRPr="0094135C">
        <w:t xml:space="preserve">Con miras a que las mujeres estén más representadas en el sector de las TIC, la Unión creó el </w:t>
      </w:r>
      <w:hyperlink r:id="rId29" w:history="1">
        <w:r w:rsidRPr="0094135C">
          <w:rPr>
            <w:rStyle w:val="Hyperlink"/>
          </w:rPr>
          <w:t>Grupo de Expertos sobre las Mujeres en la Normalización (WISE)</w:t>
        </w:r>
      </w:hyperlink>
      <w:r w:rsidRPr="0094135C">
        <w:t xml:space="preserve"> en la conferencia de febrero de 2017 del Grupo Asesor de Normalización de las Telecomunicaciones (GANT). El objetivo del WISE es promover el papel de las mujeres en la normalización, </w:t>
      </w:r>
      <w:r w:rsidR="00EE26BF" w:rsidRPr="0094135C">
        <w:t xml:space="preserve">las </w:t>
      </w:r>
      <w:r w:rsidRPr="0094135C">
        <w:t xml:space="preserve">telecomunicaciones/TIC y campos </w:t>
      </w:r>
      <w:r w:rsidR="00D90BD1" w:rsidRPr="0094135C">
        <w:t>conexos</w:t>
      </w:r>
      <w:r w:rsidRPr="0094135C">
        <w:t>, y mostrar un reconocimiento por aquellos hombres y mujeres que contribuyen de manera notable a esa labor. El primer evento del WISE se celebró el 30 de octubre de 2016 con motivo de la Asamblea Mundial de Normalización de las Telecomunicaci</w:t>
      </w:r>
      <w:r w:rsidR="008115F9" w:rsidRPr="0094135C">
        <w:t xml:space="preserve">ones (AMNT) en </w:t>
      </w:r>
      <w:proofErr w:type="spellStart"/>
      <w:r w:rsidR="008115F9" w:rsidRPr="0094135C">
        <w:t>Yasmine</w:t>
      </w:r>
      <w:proofErr w:type="spellEnd"/>
      <w:r w:rsidR="008115F9" w:rsidRPr="0094135C">
        <w:t xml:space="preserve"> </w:t>
      </w:r>
      <w:proofErr w:type="spellStart"/>
      <w:r w:rsidR="008115F9" w:rsidRPr="0094135C">
        <w:t>Hammamet</w:t>
      </w:r>
      <w:proofErr w:type="spellEnd"/>
      <w:r w:rsidR="008115F9" w:rsidRPr="0094135C">
        <w:t xml:space="preserve"> (</w:t>
      </w:r>
      <w:r w:rsidRPr="0094135C">
        <w:t>Túnez</w:t>
      </w:r>
      <w:r w:rsidR="008115F9" w:rsidRPr="0094135C">
        <w:t>)</w:t>
      </w:r>
      <w:r w:rsidRPr="0094135C">
        <w:t xml:space="preserve"> con un taller de </w:t>
      </w:r>
      <w:r w:rsidR="002F76D3" w:rsidRPr="0094135C">
        <w:t>competencias</w:t>
      </w:r>
      <w:r w:rsidRPr="0094135C">
        <w:t xml:space="preserve"> prácticas para la negociación y, seguidamente, una mesa redonda donde se presentaron casos concretos de mujeres líderes en los campos de las TIC y la normalización. En la AMNT-16 también se reafirmó </w:t>
      </w:r>
      <w:r w:rsidR="007C7ADF" w:rsidRPr="0094135C">
        <w:t xml:space="preserve">asimismo </w:t>
      </w:r>
      <w:r w:rsidRPr="0094135C">
        <w:t>la Resolución 55 del UIT-T sobre la promoción de la igualdad de género en las actividades del Sector de Normalización de las Telecomunicaciones de la UIT.</w:t>
      </w:r>
    </w:p>
    <w:p w:rsidR="008D0653" w:rsidRPr="0094135C" w:rsidRDefault="0032085C" w:rsidP="0005797E">
      <w:pPr>
        <w:pStyle w:val="Heading2"/>
      </w:pPr>
      <w:r w:rsidRPr="0094135C">
        <w:t>4.</w:t>
      </w:r>
      <w:r w:rsidR="0005797E" w:rsidRPr="0094135C">
        <w:t>3</w:t>
      </w:r>
      <w:r w:rsidR="008D0653" w:rsidRPr="0094135C">
        <w:tab/>
        <w:t>Igualdad de género en las delegaciones</w:t>
      </w:r>
    </w:p>
    <w:p w:rsidR="008D0653" w:rsidRPr="0094135C" w:rsidRDefault="008D0653" w:rsidP="00387978">
      <w:pPr>
        <w:rPr>
          <w:szCs w:val="24"/>
        </w:rPr>
      </w:pPr>
      <w:r w:rsidRPr="0094135C">
        <w:t xml:space="preserve">La UIT ha colaborado con la Misión Permanente de Australia, ONU-Mujeres y la iniciativa Geneva </w:t>
      </w:r>
      <w:proofErr w:type="spellStart"/>
      <w:r w:rsidRPr="0094135C">
        <w:t>Gender</w:t>
      </w:r>
      <w:proofErr w:type="spellEnd"/>
      <w:r w:rsidRPr="0094135C">
        <w:t xml:space="preserve"> Champions en la publicación de "</w:t>
      </w:r>
      <w:proofErr w:type="spellStart"/>
      <w:r w:rsidRPr="0094135C">
        <w:rPr>
          <w:i/>
        </w:rPr>
        <w:t>Shaping</w:t>
      </w:r>
      <w:proofErr w:type="spellEnd"/>
      <w:r w:rsidRPr="0094135C">
        <w:rPr>
          <w:i/>
        </w:rPr>
        <w:t xml:space="preserve"> the international agenda: </w:t>
      </w:r>
      <w:proofErr w:type="spellStart"/>
      <w:r w:rsidRPr="0094135C">
        <w:rPr>
          <w:i/>
        </w:rPr>
        <w:t>Raising</w:t>
      </w:r>
      <w:proofErr w:type="spellEnd"/>
      <w:r w:rsidRPr="0094135C">
        <w:rPr>
          <w:i/>
        </w:rPr>
        <w:t xml:space="preserve"> </w:t>
      </w:r>
      <w:proofErr w:type="spellStart"/>
      <w:r w:rsidRPr="0094135C">
        <w:rPr>
          <w:i/>
        </w:rPr>
        <w:t>women’s</w:t>
      </w:r>
      <w:proofErr w:type="spellEnd"/>
      <w:r w:rsidRPr="0094135C">
        <w:rPr>
          <w:i/>
        </w:rPr>
        <w:t xml:space="preserve"> </w:t>
      </w:r>
      <w:proofErr w:type="spellStart"/>
      <w:r w:rsidRPr="0094135C">
        <w:rPr>
          <w:i/>
        </w:rPr>
        <w:t>voices</w:t>
      </w:r>
      <w:proofErr w:type="spellEnd"/>
      <w:r w:rsidRPr="0094135C">
        <w:rPr>
          <w:i/>
        </w:rPr>
        <w:t xml:space="preserve"> in </w:t>
      </w:r>
      <w:proofErr w:type="spellStart"/>
      <w:r w:rsidRPr="0094135C">
        <w:rPr>
          <w:i/>
        </w:rPr>
        <w:t>intergovernmental</w:t>
      </w:r>
      <w:proofErr w:type="spellEnd"/>
      <w:r w:rsidRPr="0094135C">
        <w:rPr>
          <w:i/>
        </w:rPr>
        <w:t xml:space="preserve"> </w:t>
      </w:r>
      <w:proofErr w:type="spellStart"/>
      <w:r w:rsidRPr="0094135C">
        <w:rPr>
          <w:i/>
        </w:rPr>
        <w:t>forums</w:t>
      </w:r>
      <w:proofErr w:type="spellEnd"/>
      <w:r w:rsidRPr="0094135C">
        <w:t xml:space="preserve">" (Formular la agenda internacional: aumentar la participación de las mujeres en los foros intergubernamentales). El documento fue preparado por el </w:t>
      </w:r>
      <w:proofErr w:type="spellStart"/>
      <w:r w:rsidR="00387978" w:rsidRPr="0094135C">
        <w:rPr>
          <w:i/>
          <w:iCs/>
          <w:szCs w:val="24"/>
        </w:rPr>
        <w:t>Impact</w:t>
      </w:r>
      <w:proofErr w:type="spellEnd"/>
      <w:r w:rsidR="00387978" w:rsidRPr="0094135C">
        <w:rPr>
          <w:i/>
          <w:iCs/>
          <w:szCs w:val="24"/>
        </w:rPr>
        <w:t xml:space="preserve"> Group on the </w:t>
      </w:r>
      <w:proofErr w:type="spellStart"/>
      <w:r w:rsidR="00387978" w:rsidRPr="0094135C">
        <w:rPr>
          <w:i/>
          <w:iCs/>
          <w:szCs w:val="24"/>
        </w:rPr>
        <w:t>Composition</w:t>
      </w:r>
      <w:proofErr w:type="spellEnd"/>
      <w:r w:rsidR="00387978" w:rsidRPr="0094135C">
        <w:rPr>
          <w:i/>
          <w:iCs/>
          <w:szCs w:val="24"/>
        </w:rPr>
        <w:t xml:space="preserve"> of </w:t>
      </w:r>
      <w:proofErr w:type="spellStart"/>
      <w:r w:rsidR="00387978" w:rsidRPr="0094135C">
        <w:rPr>
          <w:i/>
          <w:iCs/>
          <w:szCs w:val="24"/>
        </w:rPr>
        <w:t>Delegations</w:t>
      </w:r>
      <w:proofErr w:type="spellEnd"/>
      <w:r w:rsidR="00387978" w:rsidRPr="0094135C">
        <w:rPr>
          <w:i/>
          <w:iCs/>
          <w:szCs w:val="24"/>
        </w:rPr>
        <w:t xml:space="preserve"> and </w:t>
      </w:r>
      <w:proofErr w:type="spellStart"/>
      <w:r w:rsidR="00387978" w:rsidRPr="0094135C">
        <w:rPr>
          <w:i/>
          <w:iCs/>
          <w:szCs w:val="24"/>
        </w:rPr>
        <w:t>Panels</w:t>
      </w:r>
      <w:proofErr w:type="spellEnd"/>
      <w:r w:rsidRPr="0094135C">
        <w:t xml:space="preserve">, copresidido por la UIT y la Misión Permanente de Australia, y publicado el 20 de marzo de 2017 en una charla (Library </w:t>
      </w:r>
      <w:proofErr w:type="spellStart"/>
      <w:r w:rsidRPr="0094135C">
        <w:t>Talk</w:t>
      </w:r>
      <w:proofErr w:type="spellEnd"/>
      <w:r w:rsidRPr="0094135C">
        <w:t>) en la Oficina de las Naciones Unidas en Ginebra (ONUG).</w:t>
      </w:r>
    </w:p>
    <w:p w:rsidR="008D0653" w:rsidRPr="0094135C" w:rsidRDefault="008D0653" w:rsidP="00A97D0D">
      <w:pPr>
        <w:pStyle w:val="Heading1"/>
      </w:pPr>
      <w:r w:rsidRPr="0094135C">
        <w:t>5</w:t>
      </w:r>
      <w:r w:rsidRPr="0094135C">
        <w:tab/>
        <w:t>Mejorar la sensibilización institucional sobre la igualdad e integración de género</w:t>
      </w:r>
    </w:p>
    <w:p w:rsidR="008D0653" w:rsidRPr="0094135C" w:rsidRDefault="008D0653" w:rsidP="00E47338">
      <w:pPr>
        <w:pStyle w:val="Heading2"/>
      </w:pPr>
      <w:r w:rsidRPr="0094135C">
        <w:t>5.1</w:t>
      </w:r>
      <w:r w:rsidRPr="0094135C">
        <w:tab/>
        <w:t>Examen de la Política de Igualdad e Integración de Género en la UIT</w:t>
      </w:r>
    </w:p>
    <w:p w:rsidR="008D0653" w:rsidRPr="0094135C" w:rsidRDefault="008D0653" w:rsidP="003A2585">
      <w:pPr>
        <w:rPr>
          <w:szCs w:val="24"/>
        </w:rPr>
      </w:pPr>
      <w:r w:rsidRPr="0094135C">
        <w:t xml:space="preserve">La Política de Igualdad e Integración de Género de la UIT, adoptada por la reunión de 2013 del Consejo de la UIT, ha ayudado a cultivar una sensibilización institucional sobre la importancia de incorporar una perspectiva de género en los trabajos de la UIT para que los beneficios de las TIC </w:t>
      </w:r>
      <w:r w:rsidRPr="0094135C">
        <w:lastRenderedPageBreak/>
        <w:t xml:space="preserve">estén al alcance de todos los hombres y mujeres de manera justa y equitativa. </w:t>
      </w:r>
      <w:r w:rsidR="00B016F5" w:rsidRPr="0094135C">
        <w:t>A</w:t>
      </w:r>
      <w:r w:rsidRPr="0094135C">
        <w:t xml:space="preserve"> petición del Consejo </w:t>
      </w:r>
      <w:r w:rsidR="000932ED" w:rsidRPr="0094135C">
        <w:t xml:space="preserve">y </w:t>
      </w:r>
      <w:r w:rsidR="00B016F5" w:rsidRPr="0094135C">
        <w:t>como se estipula en</w:t>
      </w:r>
      <w:r w:rsidRPr="0094135C">
        <w:t xml:space="preserve"> la propia política, se está efectuando actualmente el examen cuatrienal de la misma. El examen lo coordina el Grupo Especial sobre Cuestiones de Género, que está bajo la autoridad directa del Grupo Especial Intersectorial dirigido por el Vicesecretario General de la UIT. Se han recibido observaciones y contribuciones a través de una plataforma de consultas en línea, por correo electrónico y en grupos temáticos y diversas reuniones. El resultado del examen de la política está disponible en el </w:t>
      </w:r>
      <w:r w:rsidR="00A62C1A" w:rsidRPr="0094135C">
        <w:t xml:space="preserve">Documento </w:t>
      </w:r>
      <w:hyperlink r:id="rId30" w:history="1">
        <w:r w:rsidRPr="0094135C">
          <w:rPr>
            <w:rStyle w:val="Hyperlink"/>
          </w:rPr>
          <w:t>C17/</w:t>
        </w:r>
        <w:r w:rsidR="003A2585">
          <w:rPr>
            <w:rStyle w:val="Hyperlink"/>
          </w:rPr>
          <w:t>71</w:t>
        </w:r>
      </w:hyperlink>
      <w:bookmarkStart w:id="9" w:name="_GoBack"/>
      <w:bookmarkEnd w:id="9"/>
      <w:r w:rsidRPr="0094135C">
        <w:t>.</w:t>
      </w:r>
    </w:p>
    <w:p w:rsidR="008D0653" w:rsidRPr="0094135C" w:rsidRDefault="008D0653" w:rsidP="004A48ED">
      <w:pPr>
        <w:pStyle w:val="Heading2"/>
      </w:pPr>
      <w:r w:rsidRPr="0094135C">
        <w:t>5.2</w:t>
      </w:r>
      <w:r w:rsidRPr="0094135C">
        <w:tab/>
        <w:t>Presentación de informes al ONU-SWAP</w:t>
      </w:r>
    </w:p>
    <w:p w:rsidR="008D0653" w:rsidRPr="0094135C" w:rsidRDefault="008D0653" w:rsidP="00210ED2">
      <w:pPr>
        <w:rPr>
          <w:szCs w:val="24"/>
        </w:rPr>
      </w:pPr>
      <w:r w:rsidRPr="0094135C">
        <w:t xml:space="preserve">La UIT remite anualmente informes al </w:t>
      </w:r>
      <w:hyperlink r:id="rId31" w:history="1">
        <w:r w:rsidRPr="0094135C">
          <w:rPr>
            <w:rStyle w:val="Hyperlink"/>
          </w:rPr>
          <w:t xml:space="preserve">Plan de Acción para </w:t>
        </w:r>
        <w:r w:rsidR="00653D55" w:rsidRPr="0094135C">
          <w:rPr>
            <w:rStyle w:val="Hyperlink"/>
          </w:rPr>
          <w:t xml:space="preserve">todo </w:t>
        </w:r>
        <w:r w:rsidRPr="0094135C">
          <w:rPr>
            <w:rStyle w:val="Hyperlink"/>
          </w:rPr>
          <w:t>el Sistema de las Naciones Unidas sobre la Igualdad de Género y el Empoderamiento de las Mujeres (ONU-SWAP)</w:t>
        </w:r>
      </w:hyperlink>
      <w:r w:rsidRPr="0094135C">
        <w:t xml:space="preserve">. En su informe de 2016, la UIT "cumple los requisitos" de cinco indicadores de </w:t>
      </w:r>
      <w:r w:rsidR="00210ED2" w:rsidRPr="0094135C">
        <w:t>rendimiento</w:t>
      </w:r>
      <w:r w:rsidRPr="0094135C">
        <w:t>, "casi cumple los requisitos" de seis indicadores y no cumple los requisitos de tres, a saber: 1) audi</w:t>
      </w:r>
      <w:r w:rsidR="00745188" w:rsidRPr="0094135C">
        <w:t>toría con perspectiva de género;</w:t>
      </w:r>
      <w:r w:rsidRPr="0094135C">
        <w:t xml:space="preserve"> 2) atribución de recursos financieros</w:t>
      </w:r>
      <w:r w:rsidR="00745188" w:rsidRPr="0094135C">
        <w:t>;</w:t>
      </w:r>
      <w:r w:rsidRPr="0094135C">
        <w:t xml:space="preserve"> y</w:t>
      </w:r>
      <w:r w:rsidR="003D2917" w:rsidRPr="0094135C">
        <w:t xml:space="preserve"> 3) evaluación de la capacidad.</w:t>
      </w:r>
    </w:p>
    <w:p w:rsidR="008D0653" w:rsidRPr="0094135C" w:rsidRDefault="008D0653" w:rsidP="004821AD">
      <w:pPr>
        <w:rPr>
          <w:szCs w:val="24"/>
        </w:rPr>
      </w:pPr>
      <w:r w:rsidRPr="0094135C">
        <w:t>Con miras a cumplir uno de esos indicadores de rendimiento pendientes y de apoyar la labor del examen cuatrienal de la Política de Igualdad e Integración de Género, la división de auditorías internas de la UIT realizó una auditoría sobre la igualdad e integración de gén</w:t>
      </w:r>
      <w:r w:rsidR="004821AD" w:rsidRPr="0094135C">
        <w:t>ero en enero y febrero de 2017.</w:t>
      </w:r>
    </w:p>
    <w:p w:rsidR="008D0653" w:rsidRPr="0094135C" w:rsidRDefault="008D0653" w:rsidP="00C91C8F">
      <w:pPr>
        <w:pStyle w:val="Heading2"/>
      </w:pPr>
      <w:r w:rsidRPr="0094135C">
        <w:t>5.3</w:t>
      </w:r>
      <w:r w:rsidRPr="0094135C">
        <w:tab/>
        <w:t xml:space="preserve">Iniciativa internacional Geneva </w:t>
      </w:r>
      <w:proofErr w:type="spellStart"/>
      <w:r w:rsidRPr="0094135C">
        <w:t>Gender</w:t>
      </w:r>
      <w:proofErr w:type="spellEnd"/>
      <w:r w:rsidRPr="0094135C">
        <w:t xml:space="preserve"> Champions</w:t>
      </w:r>
    </w:p>
    <w:p w:rsidR="008D0653" w:rsidRPr="0094135C" w:rsidRDefault="008D0653" w:rsidP="00FB606C">
      <w:pPr>
        <w:rPr>
          <w:rFonts w:cs="Calibri"/>
          <w:bCs/>
          <w:szCs w:val="24"/>
        </w:rPr>
      </w:pPr>
      <w:r w:rsidRPr="0094135C">
        <w:t xml:space="preserve">El Secretario General de la UIT es un miembro fundador de la iniciativa </w:t>
      </w:r>
      <w:hyperlink r:id="rId32" w:history="1">
        <w:proofErr w:type="spellStart"/>
        <w:r w:rsidRPr="0094135C">
          <w:rPr>
            <w:rStyle w:val="Hyperlink"/>
          </w:rPr>
          <w:t>Gender</w:t>
        </w:r>
        <w:proofErr w:type="spellEnd"/>
        <w:r w:rsidRPr="0094135C">
          <w:rPr>
            <w:rStyle w:val="Hyperlink"/>
          </w:rPr>
          <w:t xml:space="preserve"> Champions of Geneva</w:t>
        </w:r>
      </w:hyperlink>
      <w:r w:rsidRPr="0094135C">
        <w:t>. Como tal se ha comprometido a respetar el voto de paridad del panel y a: a) adoptar medidas positivas para mejorar el equilibrio de género entre el personal de la UIT</w:t>
      </w:r>
      <w:r w:rsidR="00A755A9" w:rsidRPr="0094135C">
        <w:t>;</w:t>
      </w:r>
      <w:r w:rsidRPr="0094135C">
        <w:t xml:space="preserve"> y b) fomentar el equilibrio de género entre los delegados que asisten a las conferencias y reuniones de la UIT</w:t>
      </w:r>
      <w:r w:rsidRPr="0094135C">
        <w:rPr>
          <w:b/>
          <w:szCs w:val="24"/>
        </w:rPr>
        <w:t xml:space="preserve">. </w:t>
      </w:r>
      <w:r w:rsidRPr="0094135C">
        <w:t>Para 2017 se compromete además a: c) avanzar hacia el equilibrio de género en los comités estatutarios de la UIT</w:t>
      </w:r>
      <w:r w:rsidR="00FB606C" w:rsidRPr="0094135C">
        <w:t>;</w:t>
      </w:r>
      <w:r w:rsidRPr="0094135C">
        <w:t xml:space="preserve"> y d) alentar a los Estados Miembros a presentar mujeres para los puestos de presidente y vicepresidente en Comisiones de Conferencias, Grupos de Trabajo del Consejo y Comisiones de Estudio, y a controlar, publicar y mencionar las cifras al respecto, en particular en conferencias.</w:t>
      </w:r>
    </w:p>
    <w:p w:rsidR="008D0653" w:rsidRPr="0094135C" w:rsidRDefault="008D0653" w:rsidP="00CC54A0">
      <w:pPr>
        <w:pStyle w:val="Heading2"/>
      </w:pPr>
      <w:r w:rsidRPr="0094135C">
        <w:t>5.4</w:t>
      </w:r>
      <w:r w:rsidRPr="0094135C">
        <w:tab/>
        <w:t>Red de ingenieras</w:t>
      </w:r>
      <w:r w:rsidR="00035C51" w:rsidRPr="0094135C">
        <w:t xml:space="preserve"> de la BR en el sector espacial</w:t>
      </w:r>
    </w:p>
    <w:p w:rsidR="008D0653" w:rsidRPr="0094135C" w:rsidRDefault="008D0653" w:rsidP="00CC3683">
      <w:pPr>
        <w:rPr>
          <w:rFonts w:eastAsia="SimSun" w:cs="Arial"/>
          <w:szCs w:val="24"/>
        </w:rPr>
      </w:pPr>
      <w:r w:rsidRPr="0094135C">
        <w:t xml:space="preserve">Con miras a aumentar la visibilidad de las mujeres en el sector aeroespacial, las ingenieras de la BR, miembros de </w:t>
      </w:r>
      <w:hyperlink r:id="rId33" w:history="1">
        <w:proofErr w:type="spellStart"/>
        <w:r w:rsidRPr="0094135C">
          <w:rPr>
            <w:rStyle w:val="Hyperlink"/>
          </w:rPr>
          <w:t>Women</w:t>
        </w:r>
        <w:proofErr w:type="spellEnd"/>
        <w:r w:rsidRPr="0094135C">
          <w:rPr>
            <w:rStyle w:val="Hyperlink"/>
          </w:rPr>
          <w:t xml:space="preserve"> in </w:t>
        </w:r>
        <w:proofErr w:type="spellStart"/>
        <w:r w:rsidRPr="0094135C">
          <w:rPr>
            <w:rStyle w:val="Hyperlink"/>
          </w:rPr>
          <w:t>Aerospace</w:t>
        </w:r>
        <w:proofErr w:type="spellEnd"/>
        <w:r w:rsidRPr="0094135C">
          <w:rPr>
            <w:rStyle w:val="Hyperlink"/>
          </w:rPr>
          <w:t xml:space="preserve"> </w:t>
        </w:r>
        <w:proofErr w:type="spellStart"/>
        <w:r w:rsidRPr="0094135C">
          <w:rPr>
            <w:rStyle w:val="Hyperlink"/>
          </w:rPr>
          <w:t>Europe</w:t>
        </w:r>
        <w:proofErr w:type="spellEnd"/>
        <w:r w:rsidRPr="0094135C">
          <w:rPr>
            <w:rStyle w:val="Hyperlink"/>
          </w:rPr>
          <w:t xml:space="preserve"> (WIA-E)</w:t>
        </w:r>
      </w:hyperlink>
      <w:r w:rsidRPr="0094135C">
        <w:t>, siguen trabajando para hacer partícipes en la tarea a los principales delegados y partes interesadas. En 2016 se ampliaron las siguientes actividades: 1) encuentros con modelos inspiradores (SES Astra); 2) formaciones y procesos de negociación (</w:t>
      </w:r>
      <w:proofErr w:type="spellStart"/>
      <w:r w:rsidRPr="0094135C">
        <w:t>EUTElleSAT</w:t>
      </w:r>
      <w:proofErr w:type="spellEnd"/>
      <w:r w:rsidRPr="0094135C">
        <w:t xml:space="preserve"> Paris); y 3) representación de papeles en CMR en cuestiones relativas al espacio con actores con diferentes niveles de experiencia, todo ello para fomentar y preparar una participación equitativa y activa en todos los niveles del Sector.</w:t>
      </w:r>
    </w:p>
    <w:p w:rsidR="008D0653" w:rsidRPr="0094135C" w:rsidRDefault="008D0653" w:rsidP="00DA37BB">
      <w:pPr>
        <w:pStyle w:val="Heading2"/>
      </w:pPr>
      <w:r w:rsidRPr="0094135C">
        <w:lastRenderedPageBreak/>
        <w:t>5.5</w:t>
      </w:r>
      <w:r w:rsidRPr="0094135C">
        <w:tab/>
        <w:t>Explorar la tecnología y las o</w:t>
      </w:r>
      <w:r w:rsidR="00422328">
        <w:t>pciones profesionales en la UIT</w:t>
      </w:r>
    </w:p>
    <w:p w:rsidR="008D0653" w:rsidRPr="0094135C" w:rsidRDefault="008D0653" w:rsidP="00DA37BB">
      <w:pPr>
        <w:keepNext/>
        <w:keepLines/>
        <w:rPr>
          <w:szCs w:val="24"/>
        </w:rPr>
      </w:pPr>
      <w:r w:rsidRPr="0094135C">
        <w:t xml:space="preserve">Con miras a fortalecer los vínculos y la interacción entre la UIT y la comunidad local, el personal de la Sede de la UIT (SPM, RH, Consejo del Personal, ingenieros de la BR) participó en una campaña escolar suiza en la que niños pudieron descubrir diversas profesiones y ampliar así las opciones para su futuro laboral. En la campaña, celebrada el 10 de noviembre de 2016, se invitó a niños y niñas de edades comprendidas entre 9 y 13 años a descubrir en la UIT </w:t>
      </w:r>
      <w:r w:rsidR="009B0015" w:rsidRPr="0094135C">
        <w:t>empleos</w:t>
      </w:r>
      <w:r w:rsidRPr="0094135C">
        <w:t xml:space="preserve"> relacionados con las TIC mediante animaciones, en el museo Descubrir las TIC y participando en talleres sobre </w:t>
      </w:r>
      <w:r w:rsidR="00B2151B" w:rsidRPr="0094135C">
        <w:t>robótica y radiocomunicaciones.</w:t>
      </w:r>
    </w:p>
    <w:p w:rsidR="00F7080B" w:rsidRPr="0094135C" w:rsidRDefault="00F7080B" w:rsidP="0032202E">
      <w:pPr>
        <w:pStyle w:val="Reasons"/>
      </w:pPr>
    </w:p>
    <w:p w:rsidR="00F7080B" w:rsidRPr="0094135C" w:rsidRDefault="00F7080B">
      <w:pPr>
        <w:jc w:val="center"/>
      </w:pPr>
      <w:r w:rsidRPr="0094135C">
        <w:t>______________</w:t>
      </w:r>
    </w:p>
    <w:sectPr w:rsidR="00F7080B" w:rsidRPr="0094135C" w:rsidSect="006710F6">
      <w:headerReference w:type="default" r:id="rId34"/>
      <w:footerReference w:type="defaul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54E" w:rsidRDefault="00C5254E">
      <w:r>
        <w:separator/>
      </w:r>
    </w:p>
  </w:endnote>
  <w:endnote w:type="continuationSeparator" w:id="0">
    <w:p w:rsidR="00C5254E" w:rsidRDefault="00C5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06C" w:rsidRPr="00D9606C" w:rsidRDefault="00D9606C" w:rsidP="00D9606C">
    <w:pPr>
      <w:pStyle w:val="Footer"/>
      <w:rPr>
        <w:lang w:val="fr-CH"/>
      </w:rPr>
    </w:pPr>
    <w:r>
      <w:fldChar w:fldCharType="begin"/>
    </w:r>
    <w:r w:rsidRPr="00D9606C">
      <w:rPr>
        <w:lang w:val="fr-CH"/>
      </w:rPr>
      <w:instrText xml:space="preserve"> FILENAME \p \* MERGEFORMAT </w:instrText>
    </w:r>
    <w:r>
      <w:fldChar w:fldCharType="separate"/>
    </w:r>
    <w:r w:rsidR="003044FC">
      <w:rPr>
        <w:lang w:val="fr-CH"/>
      </w:rPr>
      <w:t>P:\ESP\SG\CONSEIL\C17\000\006S.docx</w:t>
    </w:r>
    <w:r>
      <w:rPr>
        <w:lang w:val="en-US"/>
      </w:rPr>
      <w:fldChar w:fldCharType="end"/>
    </w:r>
    <w:r w:rsidRPr="00D9606C">
      <w:rPr>
        <w:lang w:val="fr-CH"/>
      </w:rPr>
      <w:t xml:space="preserve"> (407280)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54E" w:rsidRDefault="00C5254E">
      <w:r>
        <w:t>____________________</w:t>
      </w:r>
    </w:p>
  </w:footnote>
  <w:footnote w:type="continuationSeparator" w:id="0">
    <w:p w:rsidR="00C5254E" w:rsidRDefault="00C52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A2585">
      <w:rPr>
        <w:noProof/>
      </w:rPr>
      <w:t>5</w:t>
    </w:r>
    <w:r>
      <w:rPr>
        <w:noProof/>
      </w:rPr>
      <w:fldChar w:fldCharType="end"/>
    </w:r>
  </w:p>
  <w:p w:rsidR="00760F1C" w:rsidRDefault="00760F1C" w:rsidP="00BA5D1A">
    <w:pPr>
      <w:pStyle w:val="Header"/>
    </w:pPr>
    <w:r>
      <w:t>C</w:t>
    </w:r>
    <w:r w:rsidR="007F350B">
      <w:t>1</w:t>
    </w:r>
    <w:r w:rsidR="00B8298E">
      <w:t>7</w:t>
    </w:r>
    <w:r>
      <w:t>/</w:t>
    </w:r>
    <w:r w:rsidR="00BA5D1A">
      <w:t>6</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84804"/>
    <w:multiLevelType w:val="hybridMultilevel"/>
    <w:tmpl w:val="FFB67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4E"/>
    <w:rsid w:val="00007AC5"/>
    <w:rsid w:val="00035C51"/>
    <w:rsid w:val="000452C5"/>
    <w:rsid w:val="0005087D"/>
    <w:rsid w:val="00050DE8"/>
    <w:rsid w:val="0005797E"/>
    <w:rsid w:val="00066CD5"/>
    <w:rsid w:val="000932ED"/>
    <w:rsid w:val="00093EEB"/>
    <w:rsid w:val="000976D5"/>
    <w:rsid w:val="000B0939"/>
    <w:rsid w:val="000B0D00"/>
    <w:rsid w:val="000B5E2E"/>
    <w:rsid w:val="000B7C15"/>
    <w:rsid w:val="000C458E"/>
    <w:rsid w:val="000D1D0F"/>
    <w:rsid w:val="000F1965"/>
    <w:rsid w:val="000F5290"/>
    <w:rsid w:val="0010165C"/>
    <w:rsid w:val="00121E13"/>
    <w:rsid w:val="00123FD6"/>
    <w:rsid w:val="00146BFB"/>
    <w:rsid w:val="001B5547"/>
    <w:rsid w:val="001D39B6"/>
    <w:rsid w:val="001E1971"/>
    <w:rsid w:val="001E4988"/>
    <w:rsid w:val="001F14A2"/>
    <w:rsid w:val="0020505C"/>
    <w:rsid w:val="00206BDE"/>
    <w:rsid w:val="00210ED2"/>
    <w:rsid w:val="00224A34"/>
    <w:rsid w:val="00243491"/>
    <w:rsid w:val="00257589"/>
    <w:rsid w:val="00265E1F"/>
    <w:rsid w:val="002801AA"/>
    <w:rsid w:val="002A0696"/>
    <w:rsid w:val="002B7AB8"/>
    <w:rsid w:val="002C4676"/>
    <w:rsid w:val="002C6D25"/>
    <w:rsid w:val="002C70B0"/>
    <w:rsid w:val="002D58BB"/>
    <w:rsid w:val="002E3E40"/>
    <w:rsid w:val="002F0402"/>
    <w:rsid w:val="002F3CC4"/>
    <w:rsid w:val="002F76D3"/>
    <w:rsid w:val="003044FC"/>
    <w:rsid w:val="0032085C"/>
    <w:rsid w:val="00387978"/>
    <w:rsid w:val="003A2585"/>
    <w:rsid w:val="003C615C"/>
    <w:rsid w:val="003D2917"/>
    <w:rsid w:val="00421D95"/>
    <w:rsid w:val="00422328"/>
    <w:rsid w:val="004821AD"/>
    <w:rsid w:val="00496EDB"/>
    <w:rsid w:val="004A45E9"/>
    <w:rsid w:val="004A48ED"/>
    <w:rsid w:val="004B3F19"/>
    <w:rsid w:val="004C284D"/>
    <w:rsid w:val="00513630"/>
    <w:rsid w:val="00517DA3"/>
    <w:rsid w:val="00523B18"/>
    <w:rsid w:val="00542E2A"/>
    <w:rsid w:val="00560125"/>
    <w:rsid w:val="005679AF"/>
    <w:rsid w:val="005729C3"/>
    <w:rsid w:val="00585553"/>
    <w:rsid w:val="00594CC6"/>
    <w:rsid w:val="005B34D9"/>
    <w:rsid w:val="005C3CA3"/>
    <w:rsid w:val="005D0CCF"/>
    <w:rsid w:val="005F3237"/>
    <w:rsid w:val="005F410F"/>
    <w:rsid w:val="0060149A"/>
    <w:rsid w:val="00601924"/>
    <w:rsid w:val="0063717C"/>
    <w:rsid w:val="006447EA"/>
    <w:rsid w:val="00645167"/>
    <w:rsid w:val="0064731F"/>
    <w:rsid w:val="00653D55"/>
    <w:rsid w:val="006710F6"/>
    <w:rsid w:val="006C1B56"/>
    <w:rsid w:val="006D4761"/>
    <w:rsid w:val="006F2474"/>
    <w:rsid w:val="006F79A8"/>
    <w:rsid w:val="00726872"/>
    <w:rsid w:val="00745188"/>
    <w:rsid w:val="00760F1C"/>
    <w:rsid w:val="007657F0"/>
    <w:rsid w:val="0077252D"/>
    <w:rsid w:val="007775F3"/>
    <w:rsid w:val="007907BA"/>
    <w:rsid w:val="007B05E9"/>
    <w:rsid w:val="007C45AE"/>
    <w:rsid w:val="007C7ADF"/>
    <w:rsid w:val="007E11B6"/>
    <w:rsid w:val="007E5DD3"/>
    <w:rsid w:val="007F350B"/>
    <w:rsid w:val="0080257B"/>
    <w:rsid w:val="008115F9"/>
    <w:rsid w:val="00811AB4"/>
    <w:rsid w:val="00820BE4"/>
    <w:rsid w:val="00833B1A"/>
    <w:rsid w:val="00836AC0"/>
    <w:rsid w:val="008451E8"/>
    <w:rsid w:val="008576F6"/>
    <w:rsid w:val="008A38D3"/>
    <w:rsid w:val="008A7A6E"/>
    <w:rsid w:val="008B77D4"/>
    <w:rsid w:val="008D0653"/>
    <w:rsid w:val="00913B9C"/>
    <w:rsid w:val="00932F4B"/>
    <w:rsid w:val="0094135C"/>
    <w:rsid w:val="009461F7"/>
    <w:rsid w:val="00956E77"/>
    <w:rsid w:val="00963215"/>
    <w:rsid w:val="0098639A"/>
    <w:rsid w:val="009A3368"/>
    <w:rsid w:val="009B0015"/>
    <w:rsid w:val="009F074C"/>
    <w:rsid w:val="00A279A0"/>
    <w:rsid w:val="00A62C1A"/>
    <w:rsid w:val="00A755A9"/>
    <w:rsid w:val="00A97D0D"/>
    <w:rsid w:val="00AA390C"/>
    <w:rsid w:val="00AB1E6A"/>
    <w:rsid w:val="00AC6E82"/>
    <w:rsid w:val="00B0085A"/>
    <w:rsid w:val="00B016F5"/>
    <w:rsid w:val="00B0200A"/>
    <w:rsid w:val="00B2151B"/>
    <w:rsid w:val="00B36B47"/>
    <w:rsid w:val="00B574DB"/>
    <w:rsid w:val="00B61008"/>
    <w:rsid w:val="00B66587"/>
    <w:rsid w:val="00B77589"/>
    <w:rsid w:val="00B826C2"/>
    <w:rsid w:val="00B8298E"/>
    <w:rsid w:val="00BA5D1A"/>
    <w:rsid w:val="00BD0723"/>
    <w:rsid w:val="00BD0D5C"/>
    <w:rsid w:val="00BD2518"/>
    <w:rsid w:val="00BF1D1C"/>
    <w:rsid w:val="00BF31CC"/>
    <w:rsid w:val="00BF49C1"/>
    <w:rsid w:val="00C101BB"/>
    <w:rsid w:val="00C20C59"/>
    <w:rsid w:val="00C5254E"/>
    <w:rsid w:val="00C55B1F"/>
    <w:rsid w:val="00C60BD1"/>
    <w:rsid w:val="00C8357D"/>
    <w:rsid w:val="00C91C8F"/>
    <w:rsid w:val="00CC3683"/>
    <w:rsid w:val="00CC54A0"/>
    <w:rsid w:val="00CD0BB0"/>
    <w:rsid w:val="00CE2CFD"/>
    <w:rsid w:val="00CF1A67"/>
    <w:rsid w:val="00CF6241"/>
    <w:rsid w:val="00D042FC"/>
    <w:rsid w:val="00D2750E"/>
    <w:rsid w:val="00D34606"/>
    <w:rsid w:val="00D4474B"/>
    <w:rsid w:val="00D62446"/>
    <w:rsid w:val="00D8436D"/>
    <w:rsid w:val="00D87D82"/>
    <w:rsid w:val="00D90BD1"/>
    <w:rsid w:val="00D9606C"/>
    <w:rsid w:val="00D967CF"/>
    <w:rsid w:val="00DA37BB"/>
    <w:rsid w:val="00DA4EA2"/>
    <w:rsid w:val="00DC3D3E"/>
    <w:rsid w:val="00DC52A9"/>
    <w:rsid w:val="00DD48F7"/>
    <w:rsid w:val="00DE2C90"/>
    <w:rsid w:val="00DE3B24"/>
    <w:rsid w:val="00E06947"/>
    <w:rsid w:val="00E3592D"/>
    <w:rsid w:val="00E45F6E"/>
    <w:rsid w:val="00E47338"/>
    <w:rsid w:val="00E605E1"/>
    <w:rsid w:val="00E60A0E"/>
    <w:rsid w:val="00E737FB"/>
    <w:rsid w:val="00E92DE8"/>
    <w:rsid w:val="00EB0233"/>
    <w:rsid w:val="00EB1212"/>
    <w:rsid w:val="00ED65AB"/>
    <w:rsid w:val="00EE26BF"/>
    <w:rsid w:val="00F0430D"/>
    <w:rsid w:val="00F12850"/>
    <w:rsid w:val="00F12C1A"/>
    <w:rsid w:val="00F31969"/>
    <w:rsid w:val="00F33BF4"/>
    <w:rsid w:val="00F404B7"/>
    <w:rsid w:val="00F50DE9"/>
    <w:rsid w:val="00F7080B"/>
    <w:rsid w:val="00F7105E"/>
    <w:rsid w:val="00F75F57"/>
    <w:rsid w:val="00F82FEE"/>
    <w:rsid w:val="00FB606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350D5E0-E551-49D6-8002-C7AB68E1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8D0653"/>
    <w:rPr>
      <w:rFonts w:ascii="Calibri" w:hAnsi="Calibri"/>
      <w:b/>
      <w:sz w:val="28"/>
      <w:lang w:val="es-ES_tradnl" w:eastAsia="en-US"/>
    </w:rPr>
  </w:style>
  <w:style w:type="character" w:customStyle="1" w:styleId="Heading3Char">
    <w:name w:val="Heading 3 Char"/>
    <w:basedOn w:val="DefaultParagraphFont"/>
    <w:link w:val="Heading3"/>
    <w:rsid w:val="008D0653"/>
    <w:rPr>
      <w:rFonts w:ascii="Calibri" w:hAnsi="Calibri"/>
      <w:b/>
      <w:sz w:val="24"/>
      <w:lang w:val="es-ES_tradnl" w:eastAsia="en-US"/>
    </w:rPr>
  </w:style>
  <w:style w:type="paragraph" w:styleId="ListParagraph">
    <w:name w:val="List Paragraph"/>
    <w:basedOn w:val="Normal"/>
    <w:link w:val="ListParagraphChar"/>
    <w:uiPriority w:val="34"/>
    <w:qFormat/>
    <w:rsid w:val="008D0653"/>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es-ES" w:eastAsia="zh-CN"/>
    </w:rPr>
  </w:style>
  <w:style w:type="character" w:customStyle="1" w:styleId="ListParagraphChar">
    <w:name w:val="List Paragraph Char"/>
    <w:link w:val="ListParagraph"/>
    <w:uiPriority w:val="34"/>
    <w:locked/>
    <w:rsid w:val="008D0653"/>
    <w:rPr>
      <w:rFonts w:ascii="Times New Roman" w:eastAsiaTheme="minorEastAsia" w:hAnsi="Times New Roman"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5-CL-C-0006/es" TargetMode="External"/><Relationship Id="rId18" Type="http://schemas.openxmlformats.org/officeDocument/2006/relationships/hyperlink" Target="http://www.itu.int/en/action/gender-equality/Pages/default.aspx" TargetMode="External"/><Relationship Id="rId26" Type="http://schemas.openxmlformats.org/officeDocument/2006/relationships/hyperlink" Target="https://www.itu.int/es/ITU-R/seminars/wrs/2016/Pages/default.aspx" TargetMode="External"/><Relationship Id="rId3" Type="http://schemas.openxmlformats.org/officeDocument/2006/relationships/styles" Target="styles.xml"/><Relationship Id="rId21" Type="http://schemas.openxmlformats.org/officeDocument/2006/relationships/hyperlink" Target="http://equals.or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S14-CL-C-0006/es" TargetMode="External"/><Relationship Id="rId17" Type="http://schemas.openxmlformats.org/officeDocument/2006/relationships/hyperlink" Target="http://www.itu.int/md/S17-CL-INF-0008/en" TargetMode="External"/><Relationship Id="rId25" Type="http://schemas.openxmlformats.org/officeDocument/2006/relationships/hyperlink" Target="http://www.itu.int/en/action/women/gem/Pages/award-2016.aspx" TargetMode="External"/><Relationship Id="rId33" Type="http://schemas.openxmlformats.org/officeDocument/2006/relationships/hyperlink" Target="http://wia-europe.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S17-CL-INF-0007/en" TargetMode="External"/><Relationship Id="rId20" Type="http://schemas.openxmlformats.org/officeDocument/2006/relationships/hyperlink" Target="https://www.itu.int/es/ITU-D/Digital-Inclusion/Women-and-Girls/Girls-in-ICT-Portal/Pages/Portal.aspx" TargetMode="External"/><Relationship Id="rId29" Type="http://schemas.openxmlformats.org/officeDocument/2006/relationships/hyperlink" Target="http://www.itu.int/en/ITU-T/wise/Pages/WTSA-16-WISE-Even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039/es" TargetMode="External"/><Relationship Id="rId24" Type="http://schemas.openxmlformats.org/officeDocument/2006/relationships/hyperlink" Target="http://broadbandcommission.org/workinggroups/Pages/digital-gender-divide.aspx" TargetMode="External"/><Relationship Id="rId32" Type="http://schemas.openxmlformats.org/officeDocument/2006/relationships/hyperlink" Target="http://genderchampions.com/geneva-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S16-CL-INF-0001/es" TargetMode="External"/><Relationship Id="rId23" Type="http://schemas.openxmlformats.org/officeDocument/2006/relationships/hyperlink" Target="http://www.un.org/sustainabledevelopment/sustainable-development-goals/" TargetMode="External"/><Relationship Id="rId28" Type="http://schemas.openxmlformats.org/officeDocument/2006/relationships/hyperlink" Target="http://www.itu.int/en/ITU-R/conferences/wrc/2019/Pages/default.aspx" TargetMode="External"/><Relationship Id="rId36" Type="http://schemas.openxmlformats.org/officeDocument/2006/relationships/footer" Target="footer2.xml"/><Relationship Id="rId10" Type="http://schemas.openxmlformats.org/officeDocument/2006/relationships/hyperlink" Target="https://www.itu.int/md/S13-CL-INF-0011/es" TargetMode="External"/><Relationship Id="rId19" Type="http://schemas.openxmlformats.org/officeDocument/2006/relationships/hyperlink" Target="https://www.itu.int/genderdashboard" TargetMode="External"/><Relationship Id="rId31" Type="http://schemas.openxmlformats.org/officeDocument/2006/relationships/hyperlink" Target="https://unswap.unwomen.org/" TargetMode="External"/><Relationship Id="rId4" Type="http://schemas.openxmlformats.org/officeDocument/2006/relationships/settings" Target="settings.xml"/><Relationship Id="rId9" Type="http://schemas.openxmlformats.org/officeDocument/2006/relationships/hyperlink" Target="http://www.itu.int/pub/S-CONF-ACTF-2014/es" TargetMode="External"/><Relationship Id="rId14" Type="http://schemas.openxmlformats.org/officeDocument/2006/relationships/hyperlink" Target="http://www.itu.int/md/S16-CL-C-0006/es" TargetMode="External"/><Relationship Id="rId22" Type="http://schemas.openxmlformats.org/officeDocument/2006/relationships/hyperlink" Target="http://equals.org/" TargetMode="External"/><Relationship Id="rId27" Type="http://schemas.openxmlformats.org/officeDocument/2006/relationships/hyperlink" Target="http://www.itu.int/en/ITU-R/seminars/wrs/2016/Pages/NOWforWRC19.aspx" TargetMode="External"/><Relationship Id="rId30" Type="http://schemas.openxmlformats.org/officeDocument/2006/relationships/hyperlink" Target="https://www.itu.int/md/S17-CL-C-0071/es"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0EE93-B6DF-48DC-A47C-5451A356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0</TotalTime>
  <Pages>6</Pages>
  <Words>2539</Words>
  <Characters>14612</Characters>
  <Application>Microsoft Office Word</Application>
  <DocSecurity>4</DocSecurity>
  <Lines>121</Lines>
  <Paragraphs>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17117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Janin</cp:lastModifiedBy>
  <cp:revision>2</cp:revision>
  <cp:lastPrinted>2017-05-08T19:05:00Z</cp:lastPrinted>
  <dcterms:created xsi:type="dcterms:W3CDTF">2017-05-09T07:56:00Z</dcterms:created>
  <dcterms:modified xsi:type="dcterms:W3CDTF">2017-05-09T07:56:00Z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