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E1126" w:rsidRPr="00813E5E" w14:paraId="192AD9C2" w14:textId="77777777">
        <w:trPr>
          <w:cantSplit/>
        </w:trPr>
        <w:tc>
          <w:tcPr>
            <w:tcW w:w="6911" w:type="dxa"/>
          </w:tcPr>
          <w:p w14:paraId="6383106C" w14:textId="77777777" w:rsidR="00EE1126" w:rsidRPr="00813E5E" w:rsidRDefault="00EE1126" w:rsidP="00EE1126">
            <w:pPr>
              <w:spacing w:before="360" w:after="48" w:line="240" w:lineRule="atLeast"/>
              <w:rPr>
                <w:position w:val="6"/>
              </w:rPr>
            </w:pPr>
            <w:bookmarkStart w:id="0" w:name="dc06"/>
            <w:bookmarkEnd w:id="0"/>
            <w:r w:rsidRPr="00EE1126">
              <w:rPr>
                <w:b/>
                <w:bCs/>
                <w:position w:val="6"/>
                <w:sz w:val="30"/>
                <w:szCs w:val="30"/>
                <w:lang w:val="fr-CH"/>
              </w:rPr>
              <w:t>Council 2017</w:t>
            </w:r>
            <w:r w:rsidRPr="00EE1126">
              <w:rPr>
                <w:rFonts w:cs="Times"/>
                <w:b/>
                <w:position w:val="6"/>
                <w:sz w:val="26"/>
                <w:szCs w:val="26"/>
                <w:lang w:val="en-US"/>
              </w:rPr>
              <w:br/>
            </w:r>
            <w:r w:rsidRPr="00EE1126">
              <w:rPr>
                <w:b/>
                <w:bCs/>
                <w:position w:val="6"/>
                <w:szCs w:val="24"/>
                <w:lang w:val="fr-CH"/>
              </w:rPr>
              <w:t>Geneva, 15-25 May 2017</w:t>
            </w:r>
          </w:p>
        </w:tc>
        <w:tc>
          <w:tcPr>
            <w:tcW w:w="3120" w:type="dxa"/>
          </w:tcPr>
          <w:p w14:paraId="3619DC72" w14:textId="77777777" w:rsidR="00EE1126" w:rsidRPr="00813E5E" w:rsidRDefault="00EE1126" w:rsidP="00EE1126">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7FD1CE34" wp14:editId="2EE09E2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EE1126" w:rsidRPr="00813E5E" w14:paraId="4FEB07D0" w14:textId="77777777">
        <w:trPr>
          <w:cantSplit/>
        </w:trPr>
        <w:tc>
          <w:tcPr>
            <w:tcW w:w="6911" w:type="dxa"/>
            <w:tcBorders>
              <w:bottom w:val="single" w:sz="12" w:space="0" w:color="auto"/>
            </w:tcBorders>
          </w:tcPr>
          <w:p w14:paraId="1BF0A0E0" w14:textId="77777777" w:rsidR="00EE1126" w:rsidRPr="00813E5E" w:rsidRDefault="00EE1126">
            <w:pPr>
              <w:spacing w:before="0" w:after="48" w:line="240" w:lineRule="atLeast"/>
              <w:rPr>
                <w:b/>
                <w:smallCaps/>
                <w:szCs w:val="24"/>
              </w:rPr>
            </w:pPr>
          </w:p>
        </w:tc>
        <w:tc>
          <w:tcPr>
            <w:tcW w:w="3120" w:type="dxa"/>
            <w:tcBorders>
              <w:bottom w:val="single" w:sz="12" w:space="0" w:color="auto"/>
            </w:tcBorders>
          </w:tcPr>
          <w:p w14:paraId="79586A18" w14:textId="77777777" w:rsidR="00EE1126" w:rsidRPr="00813E5E" w:rsidRDefault="00EE1126">
            <w:pPr>
              <w:spacing w:before="0" w:line="240" w:lineRule="atLeast"/>
              <w:rPr>
                <w:szCs w:val="24"/>
              </w:rPr>
            </w:pPr>
          </w:p>
        </w:tc>
      </w:tr>
      <w:tr w:rsidR="00EE1126" w:rsidRPr="00813E5E" w14:paraId="0A4D3E82" w14:textId="77777777">
        <w:trPr>
          <w:cantSplit/>
        </w:trPr>
        <w:tc>
          <w:tcPr>
            <w:tcW w:w="6911" w:type="dxa"/>
            <w:tcBorders>
              <w:top w:val="single" w:sz="12" w:space="0" w:color="auto"/>
            </w:tcBorders>
          </w:tcPr>
          <w:p w14:paraId="0697A263" w14:textId="77777777" w:rsidR="00EE1126" w:rsidRPr="00813E5E" w:rsidRDefault="00EE1126" w:rsidP="00802121">
            <w:pPr>
              <w:spacing w:before="0" w:line="240" w:lineRule="atLeast"/>
              <w:rPr>
                <w:b/>
                <w:smallCaps/>
                <w:szCs w:val="24"/>
              </w:rPr>
            </w:pPr>
          </w:p>
        </w:tc>
        <w:tc>
          <w:tcPr>
            <w:tcW w:w="3120" w:type="dxa"/>
            <w:tcBorders>
              <w:top w:val="single" w:sz="12" w:space="0" w:color="auto"/>
            </w:tcBorders>
          </w:tcPr>
          <w:p w14:paraId="023D720E" w14:textId="77777777" w:rsidR="00EE1126" w:rsidRPr="00813E5E" w:rsidRDefault="00EE1126" w:rsidP="00802121">
            <w:pPr>
              <w:spacing w:before="0" w:line="240" w:lineRule="atLeast"/>
              <w:rPr>
                <w:szCs w:val="24"/>
              </w:rPr>
            </w:pPr>
          </w:p>
        </w:tc>
      </w:tr>
      <w:tr w:rsidR="00EE1126" w:rsidRPr="00813E5E" w14:paraId="760B1E30" w14:textId="77777777">
        <w:trPr>
          <w:cantSplit/>
          <w:trHeight w:val="23"/>
        </w:trPr>
        <w:tc>
          <w:tcPr>
            <w:tcW w:w="6911" w:type="dxa"/>
            <w:vMerge w:val="restart"/>
          </w:tcPr>
          <w:p w14:paraId="5063B647" w14:textId="77777777" w:rsidR="00EE1126" w:rsidRPr="00EE1126" w:rsidRDefault="00EE1126" w:rsidP="00EE1126">
            <w:pPr>
              <w:tabs>
                <w:tab w:val="left" w:pos="851"/>
              </w:tabs>
              <w:spacing w:before="0" w:line="240" w:lineRule="atLeast"/>
              <w:rPr>
                <w:b/>
              </w:rPr>
            </w:pPr>
            <w:bookmarkStart w:id="2" w:name="dmeeting" w:colFirst="0" w:colLast="0"/>
            <w:bookmarkStart w:id="3" w:name="dnum" w:colFirst="1" w:colLast="1"/>
            <w:r>
              <w:rPr>
                <w:b/>
              </w:rPr>
              <w:t>Agenda item: PL 1.11</w:t>
            </w:r>
          </w:p>
        </w:tc>
        <w:tc>
          <w:tcPr>
            <w:tcW w:w="3120" w:type="dxa"/>
          </w:tcPr>
          <w:p w14:paraId="1C54A358" w14:textId="77777777" w:rsidR="00EE1126" w:rsidRPr="00EE1126" w:rsidRDefault="00EE1126" w:rsidP="00EE1126">
            <w:pPr>
              <w:tabs>
                <w:tab w:val="left" w:pos="851"/>
              </w:tabs>
              <w:spacing w:before="0" w:line="240" w:lineRule="atLeast"/>
              <w:rPr>
                <w:b/>
              </w:rPr>
            </w:pPr>
            <w:r>
              <w:rPr>
                <w:b/>
              </w:rPr>
              <w:t>Document C17/6-E</w:t>
            </w:r>
          </w:p>
        </w:tc>
      </w:tr>
      <w:tr w:rsidR="00EE1126" w:rsidRPr="00813E5E" w14:paraId="19EB79F8" w14:textId="77777777">
        <w:trPr>
          <w:cantSplit/>
          <w:trHeight w:val="23"/>
        </w:trPr>
        <w:tc>
          <w:tcPr>
            <w:tcW w:w="6911" w:type="dxa"/>
            <w:vMerge/>
          </w:tcPr>
          <w:p w14:paraId="2392129F" w14:textId="77777777" w:rsidR="00EE1126" w:rsidRPr="00813E5E" w:rsidRDefault="00EE1126">
            <w:pPr>
              <w:tabs>
                <w:tab w:val="left" w:pos="851"/>
              </w:tabs>
              <w:spacing w:line="240" w:lineRule="atLeast"/>
              <w:rPr>
                <w:b/>
              </w:rPr>
            </w:pPr>
            <w:bookmarkStart w:id="4" w:name="ddate" w:colFirst="1" w:colLast="1"/>
            <w:bookmarkEnd w:id="2"/>
            <w:bookmarkEnd w:id="3"/>
          </w:p>
        </w:tc>
        <w:tc>
          <w:tcPr>
            <w:tcW w:w="3120" w:type="dxa"/>
          </w:tcPr>
          <w:p w14:paraId="35E128EA" w14:textId="77777777" w:rsidR="00EE1126" w:rsidRPr="00EE1126" w:rsidRDefault="00EE1126" w:rsidP="00EE1126">
            <w:pPr>
              <w:tabs>
                <w:tab w:val="left" w:pos="993"/>
              </w:tabs>
              <w:spacing w:before="0"/>
              <w:rPr>
                <w:b/>
              </w:rPr>
            </w:pPr>
            <w:r>
              <w:rPr>
                <w:b/>
              </w:rPr>
              <w:t>14 March 2017</w:t>
            </w:r>
          </w:p>
        </w:tc>
      </w:tr>
      <w:tr w:rsidR="00EE1126" w:rsidRPr="00813E5E" w14:paraId="57ACC51A" w14:textId="77777777">
        <w:trPr>
          <w:cantSplit/>
          <w:trHeight w:val="23"/>
        </w:trPr>
        <w:tc>
          <w:tcPr>
            <w:tcW w:w="6911" w:type="dxa"/>
            <w:vMerge/>
          </w:tcPr>
          <w:p w14:paraId="79B2D437" w14:textId="77777777" w:rsidR="00EE1126" w:rsidRPr="00813E5E" w:rsidRDefault="00EE1126">
            <w:pPr>
              <w:tabs>
                <w:tab w:val="left" w:pos="851"/>
              </w:tabs>
              <w:spacing w:line="240" w:lineRule="atLeast"/>
              <w:rPr>
                <w:b/>
              </w:rPr>
            </w:pPr>
            <w:bookmarkStart w:id="5" w:name="dorlang" w:colFirst="1" w:colLast="1"/>
            <w:bookmarkEnd w:id="4"/>
          </w:p>
        </w:tc>
        <w:tc>
          <w:tcPr>
            <w:tcW w:w="3120" w:type="dxa"/>
          </w:tcPr>
          <w:p w14:paraId="5C8439DD" w14:textId="77777777" w:rsidR="00EE1126" w:rsidRPr="00EE1126" w:rsidRDefault="00EE1126" w:rsidP="00EE1126">
            <w:pPr>
              <w:tabs>
                <w:tab w:val="left" w:pos="993"/>
              </w:tabs>
              <w:spacing w:before="0"/>
              <w:rPr>
                <w:b/>
              </w:rPr>
            </w:pPr>
            <w:r>
              <w:rPr>
                <w:b/>
              </w:rPr>
              <w:t>Original: English</w:t>
            </w:r>
          </w:p>
        </w:tc>
      </w:tr>
      <w:tr w:rsidR="00EE1126" w:rsidRPr="00813E5E" w14:paraId="4B1D7803" w14:textId="77777777">
        <w:trPr>
          <w:cantSplit/>
        </w:trPr>
        <w:tc>
          <w:tcPr>
            <w:tcW w:w="10031" w:type="dxa"/>
            <w:gridSpan w:val="2"/>
          </w:tcPr>
          <w:p w14:paraId="1A124CEA" w14:textId="77777777" w:rsidR="00EE1126" w:rsidRPr="00813E5E" w:rsidRDefault="00EE1126">
            <w:pPr>
              <w:pStyle w:val="Source"/>
            </w:pPr>
            <w:bookmarkStart w:id="6" w:name="dsource" w:colFirst="0" w:colLast="0"/>
            <w:bookmarkEnd w:id="5"/>
            <w:r>
              <w:t>Report by the Secretary-General</w:t>
            </w:r>
          </w:p>
        </w:tc>
      </w:tr>
      <w:tr w:rsidR="00EE1126" w:rsidRPr="00813E5E" w14:paraId="2B02BBE7" w14:textId="77777777">
        <w:trPr>
          <w:cantSplit/>
        </w:trPr>
        <w:tc>
          <w:tcPr>
            <w:tcW w:w="10031" w:type="dxa"/>
            <w:gridSpan w:val="2"/>
          </w:tcPr>
          <w:p w14:paraId="4491DE1C" w14:textId="77777777" w:rsidR="00EE1126" w:rsidRPr="00813E5E" w:rsidRDefault="00EE1126">
            <w:pPr>
              <w:pStyle w:val="Title1"/>
            </w:pPr>
            <w:bookmarkStart w:id="7" w:name="dtitle1" w:colFirst="0" w:colLast="0"/>
            <w:bookmarkEnd w:id="6"/>
            <w:r>
              <w:t>ITU</w:t>
            </w:r>
            <w:r w:rsidR="00394363">
              <w:t>’</w:t>
            </w:r>
            <w:r>
              <w:t>S ACTIVITIES RELATED TO RESOLUTION 70 (REV. BUSAN, 2014)</w:t>
            </w:r>
          </w:p>
        </w:tc>
      </w:tr>
      <w:bookmarkEnd w:id="7"/>
    </w:tbl>
    <w:p w14:paraId="22EF5DB1" w14:textId="77777777" w:rsidR="00EE1126" w:rsidRPr="00813E5E" w:rsidRDefault="00EE112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E1126" w:rsidRPr="00813E5E" w14:paraId="18D776E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3EA21CC" w14:textId="77777777" w:rsidR="00EE1126" w:rsidRPr="00813E5E" w:rsidRDefault="00EE1126">
            <w:pPr>
              <w:pStyle w:val="Headingb"/>
            </w:pPr>
            <w:r w:rsidRPr="00813E5E">
              <w:t>Summary</w:t>
            </w:r>
          </w:p>
          <w:p w14:paraId="581F686C" w14:textId="77777777" w:rsidR="00EE1126" w:rsidRPr="00813E5E" w:rsidRDefault="00EE1126">
            <w:r w:rsidRPr="00EE1126">
              <w:t>This document summarizes ITU</w:t>
            </w:r>
            <w:r w:rsidR="00394363">
              <w:t>’</w:t>
            </w:r>
            <w:r w:rsidRPr="00EE1126">
              <w:t>s activities in the implementation of Resolution 70 (Rev. Busan, 2014) during the period 2016-2017.</w:t>
            </w:r>
          </w:p>
          <w:p w14:paraId="47F5E4DB" w14:textId="77777777" w:rsidR="00EE1126" w:rsidRPr="00813E5E" w:rsidRDefault="00EE1126">
            <w:pPr>
              <w:pStyle w:val="Headingb"/>
            </w:pPr>
            <w:r w:rsidRPr="00813E5E">
              <w:t>Action required</w:t>
            </w:r>
          </w:p>
          <w:p w14:paraId="3F59756F" w14:textId="77777777" w:rsidR="00EE1126" w:rsidRPr="00813E5E" w:rsidRDefault="00EE1126" w:rsidP="00EE1126">
            <w:pPr>
              <w:snapToGrid w:val="0"/>
              <w:spacing w:after="120"/>
              <w:jc w:val="both"/>
            </w:pPr>
            <w:r w:rsidRPr="004317A9">
              <w:t xml:space="preserve">The Council is invited </w:t>
            </w:r>
            <w:r w:rsidRPr="00697953">
              <w:rPr>
                <w:b/>
                <w:bCs/>
              </w:rPr>
              <w:t>to note</w:t>
            </w:r>
            <w:r>
              <w:t xml:space="preserve"> </w:t>
            </w:r>
            <w:r w:rsidRPr="004317A9">
              <w:t>the report</w:t>
            </w:r>
            <w:r>
              <w:t>.</w:t>
            </w:r>
            <w:r w:rsidRPr="004317A9">
              <w:t xml:space="preserve"> </w:t>
            </w:r>
          </w:p>
          <w:p w14:paraId="65FAEEED" w14:textId="77777777" w:rsidR="00EE1126" w:rsidRPr="00813E5E" w:rsidRDefault="00EE1126">
            <w:pPr>
              <w:pStyle w:val="Table"/>
              <w:keepNext w:val="0"/>
              <w:spacing w:before="0" w:after="0"/>
              <w:rPr>
                <w:rFonts w:ascii="Calibri" w:hAnsi="Calibri"/>
                <w:caps w:val="0"/>
                <w:sz w:val="22"/>
              </w:rPr>
            </w:pPr>
            <w:r w:rsidRPr="00813E5E">
              <w:rPr>
                <w:rFonts w:ascii="Calibri" w:hAnsi="Calibri"/>
                <w:caps w:val="0"/>
                <w:sz w:val="22"/>
              </w:rPr>
              <w:t>____________</w:t>
            </w:r>
          </w:p>
          <w:p w14:paraId="66ACDE80" w14:textId="77777777" w:rsidR="00EE1126" w:rsidRPr="00813E5E" w:rsidRDefault="00EE1126">
            <w:pPr>
              <w:pStyle w:val="Headingb"/>
            </w:pPr>
            <w:r w:rsidRPr="00813E5E">
              <w:t>References</w:t>
            </w:r>
          </w:p>
          <w:p w14:paraId="10E0BDA1" w14:textId="64BB2B88" w:rsidR="00EE1126" w:rsidRPr="00813E5E" w:rsidRDefault="00EE1126" w:rsidP="00EE1126">
            <w:pPr>
              <w:spacing w:after="120"/>
              <w:rPr>
                <w:i/>
                <w:iCs/>
              </w:rPr>
            </w:pPr>
            <w:r w:rsidRPr="004317A9">
              <w:rPr>
                <w:i/>
                <w:iCs/>
              </w:rPr>
              <w:t xml:space="preserve">PP </w:t>
            </w:r>
            <w:hyperlink r:id="rId9" w:history="1">
              <w:r w:rsidRPr="004317A9">
                <w:rPr>
                  <w:rStyle w:val="Hyperlink"/>
                  <w:i/>
                  <w:iCs/>
                </w:rPr>
                <w:t>Resolution 70 (Rev.</w:t>
              </w:r>
              <w:r>
                <w:rPr>
                  <w:rStyle w:val="Hyperlink"/>
                  <w:i/>
                  <w:iCs/>
                </w:rPr>
                <w:t> </w:t>
              </w:r>
              <w:r w:rsidRPr="004317A9">
                <w:rPr>
                  <w:rStyle w:val="Hyperlink"/>
                  <w:i/>
                  <w:iCs/>
                </w:rPr>
                <w:t>Busan, 2014)</w:t>
              </w:r>
            </w:hyperlink>
            <w:r w:rsidRPr="004317A9">
              <w:rPr>
                <w:i/>
                <w:iCs/>
              </w:rPr>
              <w:t xml:space="preserve">; Council documents </w:t>
            </w:r>
            <w:hyperlink r:id="rId10" w:history="1">
              <w:r w:rsidRPr="004317A9">
                <w:rPr>
                  <w:rStyle w:val="Hyperlink"/>
                  <w:i/>
                  <w:iCs/>
                </w:rPr>
                <w:t>C13/INF/11</w:t>
              </w:r>
            </w:hyperlink>
            <w:r w:rsidRPr="004317A9">
              <w:rPr>
                <w:i/>
                <w:iCs/>
              </w:rPr>
              <w:t xml:space="preserve">, </w:t>
            </w:r>
            <w:hyperlink r:id="rId11" w:history="1">
              <w:r w:rsidRPr="004317A9">
                <w:rPr>
                  <w:rStyle w:val="Hyperlink"/>
                  <w:i/>
                  <w:iCs/>
                </w:rPr>
                <w:t>C13/39</w:t>
              </w:r>
            </w:hyperlink>
            <w:r w:rsidRPr="004317A9">
              <w:rPr>
                <w:i/>
                <w:iCs/>
              </w:rPr>
              <w:t xml:space="preserve">, </w:t>
            </w:r>
            <w:hyperlink r:id="rId12" w:history="1">
              <w:r w:rsidRPr="004317A9">
                <w:rPr>
                  <w:rStyle w:val="Hyperlink"/>
                  <w:i/>
                  <w:iCs/>
                </w:rPr>
                <w:t>C14/6</w:t>
              </w:r>
            </w:hyperlink>
            <w:r w:rsidRPr="00EE1126">
              <w:rPr>
                <w:rStyle w:val="Hyperlink"/>
                <w:i/>
                <w:iCs/>
                <w:color w:val="auto"/>
                <w:u w:val="none"/>
              </w:rPr>
              <w:t xml:space="preserve">, </w:t>
            </w:r>
            <w:hyperlink r:id="rId13" w:history="1">
              <w:r w:rsidRPr="004317A9">
                <w:rPr>
                  <w:rStyle w:val="Hyperlink"/>
                  <w:i/>
                  <w:iCs/>
                </w:rPr>
                <w:t>C15/6</w:t>
              </w:r>
            </w:hyperlink>
            <w:r>
              <w:t xml:space="preserve">, </w:t>
            </w:r>
            <w:hyperlink r:id="rId14" w:history="1">
              <w:r w:rsidRPr="00EE1126">
                <w:rPr>
                  <w:rStyle w:val="Hyperlink"/>
                  <w:i/>
                  <w:iCs/>
                </w:rPr>
                <w:t>C16/6</w:t>
              </w:r>
            </w:hyperlink>
            <w:r w:rsidRPr="00EE1126">
              <w:t>,</w:t>
            </w:r>
            <w:r>
              <w:t xml:space="preserve"> </w:t>
            </w:r>
            <w:hyperlink r:id="rId15" w:history="1">
              <w:r w:rsidRPr="00803D3B">
                <w:rPr>
                  <w:rStyle w:val="Hyperlink"/>
                  <w:i/>
                  <w:iCs/>
                </w:rPr>
                <w:t>C16/INF/1</w:t>
              </w:r>
            </w:hyperlink>
            <w:r w:rsidR="003206FF" w:rsidRPr="003206FF">
              <w:rPr>
                <w:rStyle w:val="Hyperlink"/>
                <w:i/>
                <w:iCs/>
                <w:u w:val="none"/>
              </w:rPr>
              <w:t xml:space="preserve">, </w:t>
            </w:r>
            <w:hyperlink r:id="rId16" w:history="1">
              <w:r w:rsidR="003206FF" w:rsidRPr="003206FF">
                <w:rPr>
                  <w:rStyle w:val="Hyperlink"/>
                  <w:i/>
                  <w:iCs/>
                </w:rPr>
                <w:t>C17/INF/7</w:t>
              </w:r>
            </w:hyperlink>
            <w:r w:rsidR="003206FF" w:rsidRPr="003206FF">
              <w:rPr>
                <w:rStyle w:val="Hyperlink"/>
                <w:i/>
                <w:iCs/>
                <w:color w:val="auto"/>
                <w:u w:val="none"/>
              </w:rPr>
              <w:t xml:space="preserve">; </w:t>
            </w:r>
            <w:hyperlink r:id="rId17" w:history="1">
              <w:r w:rsidR="003206FF" w:rsidRPr="003206FF">
                <w:rPr>
                  <w:rStyle w:val="Hyperlink"/>
                  <w:i/>
                  <w:iCs/>
                </w:rPr>
                <w:t>C17/INF/8</w:t>
              </w:r>
            </w:hyperlink>
          </w:p>
        </w:tc>
      </w:tr>
    </w:tbl>
    <w:p w14:paraId="1CF90BE1" w14:textId="77777777" w:rsidR="00EE1126" w:rsidRPr="00EE1126" w:rsidRDefault="00EE1126" w:rsidP="000D7EF4">
      <w:pPr>
        <w:pStyle w:val="Heading1"/>
        <w:keepNext w:val="0"/>
        <w:keepLines w:val="0"/>
        <w:tabs>
          <w:tab w:val="clear" w:pos="567"/>
          <w:tab w:val="clear" w:pos="1134"/>
          <w:tab w:val="clear" w:pos="1701"/>
          <w:tab w:val="clear" w:pos="2268"/>
          <w:tab w:val="clear" w:pos="2835"/>
        </w:tabs>
        <w:snapToGrid w:val="0"/>
        <w:spacing w:after="120"/>
        <w:rPr>
          <w:caps/>
          <w:sz w:val="24"/>
          <w:szCs w:val="24"/>
        </w:rPr>
      </w:pPr>
      <w:bookmarkStart w:id="8" w:name="dstart"/>
      <w:bookmarkStart w:id="9" w:name="dbreak"/>
      <w:bookmarkEnd w:id="8"/>
      <w:bookmarkEnd w:id="9"/>
      <w:r w:rsidRPr="00EE1126">
        <w:rPr>
          <w:sz w:val="24"/>
          <w:szCs w:val="24"/>
        </w:rPr>
        <w:t>1</w:t>
      </w:r>
      <w:r w:rsidRPr="00EE1126">
        <w:rPr>
          <w:sz w:val="24"/>
          <w:szCs w:val="24"/>
        </w:rPr>
        <w:tab/>
        <w:t>Introduction</w:t>
      </w:r>
    </w:p>
    <w:p w14:paraId="194984AB"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cstheme="minorHAnsi"/>
          <w:szCs w:val="24"/>
        </w:rPr>
      </w:pPr>
      <w:r w:rsidRPr="00EE1126">
        <w:rPr>
          <w:rFonts w:cstheme="minorHAnsi"/>
          <w:szCs w:val="24"/>
        </w:rPr>
        <w:t>Resolution 70 (Rev. Busan, 2014) highlights the role of ICTs to advance gender equality and women</w:t>
      </w:r>
      <w:r w:rsidR="00394363">
        <w:rPr>
          <w:rFonts w:cstheme="minorHAnsi"/>
          <w:szCs w:val="24"/>
        </w:rPr>
        <w:t>’</w:t>
      </w:r>
      <w:r w:rsidRPr="00EE1126">
        <w:rPr>
          <w:rFonts w:cstheme="minorHAnsi"/>
          <w:szCs w:val="24"/>
        </w:rPr>
        <w:t xml:space="preserve">s empowerment in many ways, notably by encouraging girls to choose a career in the field of information and communication technologies (ICTs), and by fostering the use of ICTs for the social and economic empowerment of women and girls. The resolution also instructs the Council to continue initiatives to accelerate the gender mainstreaming process in ITU. This document provides a review of relevant activities and developments over that past year. </w:t>
      </w:r>
      <w:r w:rsidRPr="00EE1126">
        <w:rPr>
          <w:rFonts w:eastAsia="SimSun"/>
          <w:szCs w:val="24"/>
        </w:rPr>
        <w:t xml:space="preserve">Further information related to gender and ICTs can be found on </w:t>
      </w:r>
      <w:hyperlink r:id="rId18" w:history="1">
        <w:r w:rsidRPr="00EE1126">
          <w:rPr>
            <w:rStyle w:val="Hyperlink"/>
            <w:rFonts w:eastAsia="SimSun"/>
            <w:szCs w:val="24"/>
          </w:rPr>
          <w:t>ITU</w:t>
        </w:r>
        <w:r w:rsidR="00394363">
          <w:rPr>
            <w:rStyle w:val="Hyperlink"/>
            <w:rFonts w:eastAsia="SimSun"/>
            <w:szCs w:val="24"/>
          </w:rPr>
          <w:t>’</w:t>
        </w:r>
        <w:r w:rsidRPr="00EE1126">
          <w:rPr>
            <w:rStyle w:val="Hyperlink"/>
            <w:rFonts w:eastAsia="SimSun"/>
            <w:szCs w:val="24"/>
          </w:rPr>
          <w:t>s dedicated Gender website</w:t>
        </w:r>
      </w:hyperlink>
      <w:r w:rsidRPr="00EE1126">
        <w:rPr>
          <w:rFonts w:eastAsia="SimSun"/>
          <w:szCs w:val="24"/>
        </w:rPr>
        <w:t>.</w:t>
      </w:r>
    </w:p>
    <w:p w14:paraId="34734400" w14:textId="77777777" w:rsidR="00EE1126" w:rsidRPr="00EE1126" w:rsidRDefault="00EE1126" w:rsidP="000D7EF4">
      <w:pPr>
        <w:pStyle w:val="Heading1"/>
        <w:keepNext w:val="0"/>
        <w:keepLines w:val="0"/>
        <w:tabs>
          <w:tab w:val="clear" w:pos="567"/>
          <w:tab w:val="clear" w:pos="1134"/>
          <w:tab w:val="clear" w:pos="1701"/>
          <w:tab w:val="clear" w:pos="2268"/>
          <w:tab w:val="clear" w:pos="2835"/>
        </w:tabs>
        <w:snapToGrid w:val="0"/>
        <w:spacing w:after="120"/>
        <w:rPr>
          <w:rFonts w:eastAsia="SimSun"/>
          <w:sz w:val="24"/>
          <w:szCs w:val="24"/>
        </w:rPr>
      </w:pPr>
      <w:r w:rsidRPr="00EE1126">
        <w:rPr>
          <w:sz w:val="24"/>
          <w:szCs w:val="24"/>
        </w:rPr>
        <w:t>2</w:t>
      </w:r>
      <w:r w:rsidRPr="00EE1126">
        <w:rPr>
          <w:sz w:val="24"/>
          <w:szCs w:val="24"/>
        </w:rPr>
        <w:tab/>
        <w:t>Data Gathering and Tracking</w:t>
      </w:r>
    </w:p>
    <w:p w14:paraId="45049076"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EE1126">
        <w:rPr>
          <w:bCs/>
          <w:szCs w:val="24"/>
        </w:rPr>
        <w:t xml:space="preserve">ITU now regularly collects and disseminates ICT indicators related to gender. </w:t>
      </w:r>
      <w:r w:rsidRPr="00EE1126">
        <w:rPr>
          <w:rFonts w:eastAsia="SimSun"/>
          <w:szCs w:val="24"/>
        </w:rPr>
        <w:t>Data collection includes gender disaggregation for all indicators related to individuals accessing and using ICTs. These indicators can also be gender-disaggregated by age, education, labour force status</w:t>
      </w:r>
      <w:r w:rsidR="00394363">
        <w:rPr>
          <w:rFonts w:eastAsia="SimSun"/>
          <w:szCs w:val="24"/>
        </w:rPr>
        <w:t>,</w:t>
      </w:r>
      <w:r w:rsidRPr="00EE1126">
        <w:rPr>
          <w:rFonts w:eastAsia="SimSun"/>
          <w:szCs w:val="24"/>
        </w:rPr>
        <w:t xml:space="preserve"> and occupation. This information feeds analysis and provides solid evidence of women</w:t>
      </w:r>
      <w:r w:rsidR="00394363">
        <w:rPr>
          <w:rFonts w:eastAsia="SimSun"/>
          <w:szCs w:val="24"/>
        </w:rPr>
        <w:t>’</w:t>
      </w:r>
      <w:r w:rsidRPr="00EE1126">
        <w:rPr>
          <w:rFonts w:eastAsia="SimSun"/>
          <w:szCs w:val="24"/>
        </w:rPr>
        <w:t xml:space="preserve">s participation in the information society. </w:t>
      </w:r>
    </w:p>
    <w:p w14:paraId="5B26DE40"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bCs/>
          <w:szCs w:val="24"/>
        </w:rPr>
      </w:pPr>
      <w:r w:rsidRPr="00EE1126">
        <w:rPr>
          <w:bCs/>
          <w:szCs w:val="24"/>
        </w:rPr>
        <w:lastRenderedPageBreak/>
        <w:t xml:space="preserve">ITU monitors and tracks one of the gender-related indicators </w:t>
      </w:r>
      <w:r w:rsidR="00394363">
        <w:rPr>
          <w:bCs/>
          <w:szCs w:val="24"/>
        </w:rPr>
        <w:t>“</w:t>
      </w:r>
      <w:r w:rsidRPr="00EE1126">
        <w:rPr>
          <w:bCs/>
          <w:i/>
          <w:iCs/>
          <w:szCs w:val="24"/>
        </w:rPr>
        <w:t>proportion of individuals who own a mobile telephone, by sex</w:t>
      </w:r>
      <w:r w:rsidR="00394363">
        <w:rPr>
          <w:bCs/>
          <w:szCs w:val="24"/>
        </w:rPr>
        <w:t>”</w:t>
      </w:r>
      <w:r w:rsidRPr="00EE1126">
        <w:rPr>
          <w:bCs/>
          <w:szCs w:val="24"/>
        </w:rPr>
        <w:t xml:space="preserve"> that is included in the SDG Indicators Monitoring Framework. The framework was endorsed during the 2016 UN Statistical Commission meeting. </w:t>
      </w:r>
    </w:p>
    <w:p w14:paraId="7D291FDA"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EE1126">
        <w:rPr>
          <w:szCs w:val="24"/>
        </w:rPr>
        <w:t xml:space="preserve">In addition to communicating gender in connectivity and the ICT sector, the secretariat has developed a </w:t>
      </w:r>
      <w:hyperlink r:id="rId19" w:history="1">
        <w:r w:rsidRPr="00EE1126">
          <w:rPr>
            <w:rStyle w:val="Hyperlink"/>
            <w:szCs w:val="24"/>
          </w:rPr>
          <w:t>Gender dashboard</w:t>
        </w:r>
      </w:hyperlink>
      <w:r w:rsidRPr="00EE1126">
        <w:rPr>
          <w:szCs w:val="24"/>
        </w:rPr>
        <w:t xml:space="preserve"> which provides a visual overview of gender in ITU meetings and events, including a map </w:t>
      </w:r>
      <w:r w:rsidRPr="00EE1126">
        <w:rPr>
          <w:rFonts w:eastAsia="SimSun"/>
          <w:szCs w:val="24"/>
        </w:rPr>
        <w:t>with geographical gender distribution for key events</w:t>
      </w:r>
      <w:r w:rsidRPr="00EE1126">
        <w:rPr>
          <w:szCs w:val="24"/>
        </w:rPr>
        <w:t xml:space="preserve"> during the year. A</w:t>
      </w:r>
      <w:r w:rsidRPr="00EE1126">
        <w:rPr>
          <w:rFonts w:eastAsia="SimSun"/>
          <w:szCs w:val="24"/>
        </w:rPr>
        <w:t xml:space="preserve"> procedure to systematically gather data on panelists and speakers is under consideration. </w:t>
      </w:r>
    </w:p>
    <w:p w14:paraId="2DB7EFE6" w14:textId="37D62617" w:rsidR="00EE1126" w:rsidRPr="00EE1126" w:rsidRDefault="00EE1126" w:rsidP="00096645">
      <w:pPr>
        <w:tabs>
          <w:tab w:val="clear" w:pos="567"/>
          <w:tab w:val="clear" w:pos="1134"/>
          <w:tab w:val="clear" w:pos="1701"/>
          <w:tab w:val="clear" w:pos="2268"/>
          <w:tab w:val="clear" w:pos="2835"/>
        </w:tabs>
        <w:snapToGrid w:val="0"/>
        <w:spacing w:after="120"/>
        <w:jc w:val="both"/>
        <w:rPr>
          <w:rFonts w:eastAsia="SimSun"/>
          <w:szCs w:val="24"/>
        </w:rPr>
      </w:pPr>
      <w:r w:rsidRPr="00EE1126">
        <w:rPr>
          <w:rFonts w:eastAsia="SimSun"/>
          <w:szCs w:val="24"/>
        </w:rPr>
        <w:t xml:space="preserve">In regards to the </w:t>
      </w:r>
      <w:r w:rsidR="000D7EF4">
        <w:rPr>
          <w:rFonts w:eastAsia="SimSun"/>
          <w:szCs w:val="24"/>
        </w:rPr>
        <w:t>s</w:t>
      </w:r>
      <w:r w:rsidRPr="00EE1126">
        <w:rPr>
          <w:rFonts w:eastAsia="SimSun"/>
          <w:szCs w:val="24"/>
        </w:rPr>
        <w:t>ecretariat, ITU HRM Department continued to monitor gender balance within the recruitment and selection process, the overall staff composition and promotions. Visuals are viewable on the last tab of the Gender dashboard. Some reflections on the data: (1) women in the Professional and hi</w:t>
      </w:r>
      <w:r w:rsidR="00394363">
        <w:rPr>
          <w:rFonts w:eastAsia="SimSun"/>
          <w:szCs w:val="24"/>
        </w:rPr>
        <w:t>gher categories remained stable;</w:t>
      </w:r>
      <w:r w:rsidRPr="00EE1126">
        <w:rPr>
          <w:rFonts w:eastAsia="SimSun"/>
          <w:szCs w:val="24"/>
        </w:rPr>
        <w:t xml:space="preserve"> (2) the percentage of women at the P-5 to D-2 grades saw a slight 3.5% increase; and (3) promotions in the professional and higher categories were extended 57% to women compared to 43% to men. </w:t>
      </w:r>
    </w:p>
    <w:p w14:paraId="047B0E38" w14:textId="77777777" w:rsidR="00EE1126" w:rsidRPr="00EE1126" w:rsidRDefault="00EE1126" w:rsidP="000D7EF4">
      <w:pPr>
        <w:pStyle w:val="Heading1"/>
        <w:keepNext w:val="0"/>
        <w:keepLines w:val="0"/>
        <w:tabs>
          <w:tab w:val="clear" w:pos="567"/>
          <w:tab w:val="clear" w:pos="1134"/>
          <w:tab w:val="clear" w:pos="1701"/>
          <w:tab w:val="clear" w:pos="2268"/>
          <w:tab w:val="clear" w:pos="2835"/>
        </w:tabs>
        <w:snapToGrid w:val="0"/>
        <w:spacing w:after="120"/>
        <w:ind w:left="709" w:hanging="709"/>
        <w:jc w:val="both"/>
        <w:rPr>
          <w:rFonts w:eastAsia="SimSun"/>
          <w:sz w:val="24"/>
          <w:szCs w:val="24"/>
        </w:rPr>
      </w:pPr>
      <w:r w:rsidRPr="00EE1126">
        <w:rPr>
          <w:rFonts w:eastAsia="SimSun"/>
          <w:sz w:val="24"/>
          <w:szCs w:val="24"/>
        </w:rPr>
        <w:t>3</w:t>
      </w:r>
      <w:r w:rsidRPr="00EE1126">
        <w:rPr>
          <w:rFonts w:eastAsia="SimSun"/>
          <w:sz w:val="24"/>
          <w:szCs w:val="24"/>
        </w:rPr>
        <w:tab/>
        <w:t xml:space="preserve">Bridging the Digital Gender Divide </w:t>
      </w:r>
    </w:p>
    <w:p w14:paraId="7FDD2EA4" w14:textId="77777777" w:rsidR="00EE1126" w:rsidRPr="00EE1126" w:rsidRDefault="00EE1126"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3.1</w:t>
      </w:r>
      <w:r w:rsidRPr="00EE1126">
        <w:rPr>
          <w:szCs w:val="24"/>
        </w:rPr>
        <w:tab/>
        <w:t>Girls in ICT Day</w:t>
      </w:r>
    </w:p>
    <w:p w14:paraId="63534189" w14:textId="77777777" w:rsidR="00EE1126" w:rsidRPr="00EE1126" w:rsidRDefault="00EE1126" w:rsidP="00394363">
      <w:pPr>
        <w:tabs>
          <w:tab w:val="clear" w:pos="567"/>
          <w:tab w:val="clear" w:pos="1134"/>
          <w:tab w:val="clear" w:pos="1701"/>
          <w:tab w:val="clear" w:pos="2268"/>
          <w:tab w:val="clear" w:pos="2835"/>
        </w:tabs>
        <w:snapToGrid w:val="0"/>
        <w:spacing w:after="120"/>
        <w:jc w:val="both"/>
        <w:rPr>
          <w:szCs w:val="24"/>
          <w:lang w:val="en"/>
        </w:rPr>
      </w:pPr>
      <w:r w:rsidRPr="00EE1126">
        <w:rPr>
          <w:szCs w:val="24"/>
          <w:lang w:val="en"/>
        </w:rPr>
        <w:t>The International Girls in ICT Day takes place every fourth Thursday of April to encourage more girls and young women to take up ICT careers and studies. From its launch in 2011 through 2016, the campaign had reached 240,000 girls in 160 countries. In 2016 the day saw more than 1,900 events in 138 countries in which more than 67,000 girls and young women took part. Activities included hands-on workshops to teach coding, mobile app development</w:t>
      </w:r>
      <w:r w:rsidR="00394363">
        <w:rPr>
          <w:szCs w:val="24"/>
          <w:lang w:val="en"/>
        </w:rPr>
        <w:t>,</w:t>
      </w:r>
      <w:r w:rsidRPr="00EE1126">
        <w:rPr>
          <w:szCs w:val="24"/>
          <w:lang w:val="en"/>
        </w:rPr>
        <w:t xml:space="preserve"> and other digital skills, such as Tanzania</w:t>
      </w:r>
      <w:r w:rsidR="00394363">
        <w:rPr>
          <w:szCs w:val="24"/>
          <w:lang w:val="en"/>
        </w:rPr>
        <w:t>’</w:t>
      </w:r>
      <w:r w:rsidRPr="00EE1126">
        <w:rPr>
          <w:szCs w:val="24"/>
          <w:lang w:val="en"/>
        </w:rPr>
        <w:t>s Universal Communication Service Access Fund event</w:t>
      </w:r>
      <w:r w:rsidR="000D7EF4">
        <w:rPr>
          <w:szCs w:val="24"/>
          <w:lang w:val="en"/>
        </w:rPr>
        <w:t>,</w:t>
      </w:r>
      <w:r w:rsidRPr="00EE1126">
        <w:rPr>
          <w:szCs w:val="24"/>
          <w:lang w:val="en"/>
        </w:rPr>
        <w:t xml:space="preserve"> which trained girls to develop and pitch their mobile apps to build their entrepreneurial skills. ITU headquarters engaged local schools to organize their own workshops, including training of local senior secondary students to programme robots donated by Lego. Participating schools were invited to ITU to showcase their skills and receive mentoring.</w:t>
      </w:r>
    </w:p>
    <w:p w14:paraId="481F97CB" w14:textId="77777777" w:rsidR="009D5E85" w:rsidRDefault="00EE1126" w:rsidP="00394363">
      <w:pPr>
        <w:tabs>
          <w:tab w:val="clear" w:pos="567"/>
          <w:tab w:val="clear" w:pos="1134"/>
          <w:tab w:val="clear" w:pos="1701"/>
          <w:tab w:val="clear" w:pos="2268"/>
          <w:tab w:val="clear" w:pos="2835"/>
        </w:tabs>
        <w:snapToGrid w:val="0"/>
        <w:spacing w:after="120"/>
        <w:jc w:val="both"/>
        <w:rPr>
          <w:szCs w:val="24"/>
          <w:lang w:val="en"/>
        </w:rPr>
      </w:pPr>
      <w:r w:rsidRPr="00EE1126">
        <w:rPr>
          <w:szCs w:val="24"/>
          <w:lang w:val="en"/>
        </w:rPr>
        <w:t xml:space="preserve">The </w:t>
      </w:r>
      <w:hyperlink r:id="rId20" w:history="1">
        <w:r w:rsidRPr="00EE1126">
          <w:rPr>
            <w:rStyle w:val="Hyperlink"/>
            <w:szCs w:val="24"/>
            <w:lang w:val="en"/>
          </w:rPr>
          <w:t>Girls in ICT Portal</w:t>
        </w:r>
      </w:hyperlink>
      <w:r w:rsidRPr="00EE1126">
        <w:rPr>
          <w:szCs w:val="24"/>
          <w:lang w:val="en"/>
        </w:rPr>
        <w:t xml:space="preserve"> offers an organizers toolkit and access to the very robust #GirlsinICT Twitter feed. </w:t>
      </w:r>
    </w:p>
    <w:p w14:paraId="0C061DA2" w14:textId="5F1543EA" w:rsidR="00EE1126" w:rsidRPr="00EE1126" w:rsidRDefault="00CF1214" w:rsidP="00394363">
      <w:pPr>
        <w:tabs>
          <w:tab w:val="clear" w:pos="567"/>
          <w:tab w:val="clear" w:pos="1134"/>
          <w:tab w:val="clear" w:pos="1701"/>
          <w:tab w:val="clear" w:pos="2268"/>
          <w:tab w:val="clear" w:pos="2835"/>
        </w:tabs>
        <w:snapToGrid w:val="0"/>
        <w:spacing w:after="120"/>
        <w:jc w:val="both"/>
        <w:rPr>
          <w:szCs w:val="24"/>
          <w:lang w:val="en"/>
        </w:rPr>
      </w:pPr>
      <w:r w:rsidRPr="00CF1214">
        <w:rPr>
          <w:szCs w:val="24"/>
          <w:lang w:val="en"/>
        </w:rPr>
        <w:t xml:space="preserve">The ITU Secretary General invites ITU Member States, Sector Members, Associates and Academia to organize events attracting as many girls and young women as possible. Ministries of ICT, Education, Labour, Youth, National ICT Regulatory Authorities, ICT companies, academic institutions, relevant UN agencies, NGOs and other stakeholders are all encouraged </w:t>
      </w:r>
      <w:r w:rsidR="001F7806">
        <w:rPr>
          <w:szCs w:val="24"/>
          <w:lang w:val="en"/>
        </w:rPr>
        <w:t xml:space="preserve">to join the global effort and </w:t>
      </w:r>
      <w:r w:rsidRPr="00CF1214">
        <w:rPr>
          <w:szCs w:val="24"/>
          <w:lang w:val="en"/>
        </w:rPr>
        <w:t>celebrate In</w:t>
      </w:r>
      <w:r w:rsidR="001F7806">
        <w:rPr>
          <w:szCs w:val="24"/>
          <w:lang w:val="en"/>
        </w:rPr>
        <w:t xml:space="preserve">ternational Girls in ICT Day. </w:t>
      </w:r>
    </w:p>
    <w:p w14:paraId="61AB82CD" w14:textId="77777777" w:rsidR="00EE1126" w:rsidRPr="00EE1126" w:rsidRDefault="000D7EF4"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3.2</w:t>
      </w:r>
      <w:r>
        <w:rPr>
          <w:szCs w:val="24"/>
        </w:rPr>
        <w:tab/>
      </w:r>
      <w:r w:rsidR="00EE1126" w:rsidRPr="00EE1126">
        <w:rPr>
          <w:szCs w:val="24"/>
        </w:rPr>
        <w:t>EQUALS: The Global Partnership to Bridge the Gender Digital Divide</w:t>
      </w:r>
    </w:p>
    <w:p w14:paraId="0BC5E019"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EE1126">
        <w:rPr>
          <w:rFonts w:eastAsia="SimSun"/>
          <w:szCs w:val="24"/>
        </w:rPr>
        <w:t xml:space="preserve">In September 2016, ITU and UN Women launched the </w:t>
      </w:r>
      <w:hyperlink r:id="rId21" w:history="1">
        <w:r w:rsidRPr="00EE1126">
          <w:rPr>
            <w:rStyle w:val="Hyperlink"/>
            <w:rFonts w:eastAsia="SimSun"/>
            <w:szCs w:val="24"/>
          </w:rPr>
          <w:t>EQUALS initiative</w:t>
        </w:r>
      </w:hyperlink>
      <w:r w:rsidRPr="00EE1126">
        <w:rPr>
          <w:rFonts w:eastAsia="SimSun"/>
          <w:szCs w:val="24"/>
        </w:rPr>
        <w:t xml:space="preserve"> aiming to bridge the gender digital divide in </w:t>
      </w:r>
      <w:r w:rsidR="000D7EF4" w:rsidRPr="00EE1126">
        <w:rPr>
          <w:rFonts w:eastAsia="SimSun"/>
          <w:szCs w:val="24"/>
        </w:rPr>
        <w:t>fulfilment</w:t>
      </w:r>
      <w:r w:rsidRPr="00EE1126">
        <w:rPr>
          <w:rFonts w:eastAsia="SimSun"/>
          <w:szCs w:val="24"/>
        </w:rPr>
        <w:t xml:space="preserve"> of the Sustainable Development Goals (SDG5). The global framework of action focuses on </w:t>
      </w:r>
      <w:r w:rsidR="000D7EF4">
        <w:rPr>
          <w:rFonts w:eastAsia="SimSun"/>
          <w:szCs w:val="24"/>
        </w:rPr>
        <w:t>three</w:t>
      </w:r>
      <w:r w:rsidRPr="00EE1126">
        <w:rPr>
          <w:rFonts w:eastAsia="SimSun"/>
          <w:szCs w:val="24"/>
        </w:rPr>
        <w:t xml:space="preserve"> complimentary and cross-cutting areas of action:</w:t>
      </w:r>
    </w:p>
    <w:p w14:paraId="4132C898" w14:textId="77777777" w:rsidR="00EE1126" w:rsidRPr="00EE1126" w:rsidRDefault="00EE1126" w:rsidP="000D7EF4">
      <w:pPr>
        <w:pStyle w:val="ListParagraph"/>
        <w:numPr>
          <w:ilvl w:val="0"/>
          <w:numId w:val="19"/>
        </w:numPr>
        <w:tabs>
          <w:tab w:val="clear" w:pos="794"/>
          <w:tab w:val="clear" w:pos="1191"/>
          <w:tab w:val="clear" w:pos="1588"/>
          <w:tab w:val="clear" w:pos="1985"/>
        </w:tabs>
        <w:adjustRightInd w:val="0"/>
        <w:snapToGrid w:val="0"/>
        <w:spacing w:before="120" w:after="120" w:line="240" w:lineRule="auto"/>
        <w:ind w:left="1134" w:hanging="425"/>
        <w:contextualSpacing w:val="0"/>
        <w:jc w:val="both"/>
        <w:rPr>
          <w:rFonts w:asciiTheme="minorHAnsi" w:eastAsia="SimSun" w:hAnsiTheme="minorHAnsi"/>
          <w:sz w:val="24"/>
          <w:szCs w:val="24"/>
          <w:lang w:val="en-US"/>
        </w:rPr>
      </w:pPr>
      <w:r w:rsidRPr="00EE1126">
        <w:rPr>
          <w:rFonts w:asciiTheme="minorHAnsi" w:eastAsia="SimSun" w:hAnsiTheme="minorHAnsi"/>
          <w:sz w:val="24"/>
          <w:szCs w:val="24"/>
          <w:u w:val="single"/>
          <w:lang w:val="en-US"/>
        </w:rPr>
        <w:t>Access</w:t>
      </w:r>
      <w:r w:rsidRPr="00EE1126">
        <w:rPr>
          <w:rFonts w:asciiTheme="minorHAnsi" w:eastAsia="SimSun" w:hAnsiTheme="minorHAnsi"/>
          <w:sz w:val="24"/>
          <w:szCs w:val="24"/>
          <w:lang w:val="en-US"/>
        </w:rPr>
        <w:t xml:space="preserve"> – Ensure that women and girls have access to digital devices and services. </w:t>
      </w:r>
    </w:p>
    <w:p w14:paraId="54463AD2" w14:textId="77777777" w:rsidR="00EE1126" w:rsidRPr="00EE1126" w:rsidRDefault="00EE1126" w:rsidP="00890BFE">
      <w:pPr>
        <w:pStyle w:val="ListParagraph"/>
        <w:numPr>
          <w:ilvl w:val="0"/>
          <w:numId w:val="19"/>
        </w:numPr>
        <w:tabs>
          <w:tab w:val="clear" w:pos="794"/>
          <w:tab w:val="clear" w:pos="1191"/>
          <w:tab w:val="clear" w:pos="1588"/>
          <w:tab w:val="clear" w:pos="1985"/>
        </w:tabs>
        <w:adjustRightInd w:val="0"/>
        <w:snapToGrid w:val="0"/>
        <w:spacing w:before="120" w:after="120" w:line="240" w:lineRule="auto"/>
        <w:ind w:left="1134" w:hanging="425"/>
        <w:contextualSpacing w:val="0"/>
        <w:jc w:val="both"/>
        <w:rPr>
          <w:rFonts w:asciiTheme="minorHAnsi" w:eastAsia="SimSun" w:hAnsiTheme="minorHAnsi"/>
          <w:sz w:val="24"/>
          <w:szCs w:val="24"/>
          <w:lang w:val="en-US"/>
        </w:rPr>
      </w:pPr>
      <w:r w:rsidRPr="00EE1126">
        <w:rPr>
          <w:rFonts w:asciiTheme="minorHAnsi" w:eastAsia="SimSun" w:hAnsiTheme="minorHAnsi"/>
          <w:sz w:val="24"/>
          <w:szCs w:val="24"/>
          <w:u w:val="single"/>
          <w:lang w:val="en-US"/>
        </w:rPr>
        <w:t>Skills</w:t>
      </w:r>
      <w:r w:rsidRPr="00EE1126">
        <w:rPr>
          <w:rFonts w:asciiTheme="minorHAnsi" w:eastAsia="SimSun" w:hAnsiTheme="minorHAnsi"/>
          <w:sz w:val="24"/>
          <w:szCs w:val="24"/>
          <w:lang w:val="en-US"/>
        </w:rPr>
        <w:t xml:space="preserve"> – Encourage girls to take up studies in</w:t>
      </w:r>
      <w:r w:rsidR="00890BFE">
        <w:rPr>
          <w:rFonts w:asciiTheme="minorHAnsi" w:eastAsia="SimSun" w:hAnsiTheme="minorHAnsi"/>
          <w:sz w:val="24"/>
          <w:szCs w:val="24"/>
          <w:lang w:val="en-US"/>
        </w:rPr>
        <w:t xml:space="preserve"> science, technology, engineering, and mathematics (</w:t>
      </w:r>
      <w:r w:rsidRPr="00EE1126">
        <w:rPr>
          <w:rFonts w:asciiTheme="minorHAnsi" w:eastAsia="SimSun" w:hAnsiTheme="minorHAnsi"/>
          <w:sz w:val="24"/>
          <w:szCs w:val="24"/>
          <w:lang w:val="en-US"/>
        </w:rPr>
        <w:t>STEM</w:t>
      </w:r>
      <w:r w:rsidR="00890BFE">
        <w:rPr>
          <w:rFonts w:asciiTheme="minorHAnsi" w:eastAsia="SimSun" w:hAnsiTheme="minorHAnsi"/>
          <w:sz w:val="24"/>
          <w:szCs w:val="24"/>
          <w:lang w:val="en-US"/>
        </w:rPr>
        <w:t>)</w:t>
      </w:r>
      <w:r w:rsidRPr="00EE1126">
        <w:rPr>
          <w:rFonts w:asciiTheme="minorHAnsi" w:eastAsia="SimSun" w:hAnsiTheme="minorHAnsi"/>
          <w:sz w:val="24"/>
          <w:szCs w:val="24"/>
          <w:lang w:val="en-US"/>
        </w:rPr>
        <w:t xml:space="preserve"> fields. Equip women and girls with the necessary digital skills to prepare them for the job market in today</w:t>
      </w:r>
      <w:r w:rsidR="00394363">
        <w:rPr>
          <w:rFonts w:asciiTheme="minorHAnsi" w:eastAsia="SimSun" w:hAnsiTheme="minorHAnsi"/>
          <w:sz w:val="24"/>
          <w:szCs w:val="24"/>
          <w:lang w:val="en-US"/>
        </w:rPr>
        <w:t>’</w:t>
      </w:r>
      <w:r w:rsidRPr="00EE1126">
        <w:rPr>
          <w:rFonts w:asciiTheme="minorHAnsi" w:eastAsia="SimSun" w:hAnsiTheme="minorHAnsi"/>
          <w:sz w:val="24"/>
          <w:szCs w:val="24"/>
          <w:lang w:val="en-US"/>
        </w:rPr>
        <w:t>s growing digital economy.</w:t>
      </w:r>
    </w:p>
    <w:p w14:paraId="254B6EB2" w14:textId="77777777" w:rsidR="00EE1126" w:rsidRPr="00EE1126" w:rsidRDefault="00EE1126" w:rsidP="000D7EF4">
      <w:pPr>
        <w:pStyle w:val="ListParagraph"/>
        <w:numPr>
          <w:ilvl w:val="0"/>
          <w:numId w:val="19"/>
        </w:numPr>
        <w:tabs>
          <w:tab w:val="clear" w:pos="794"/>
          <w:tab w:val="clear" w:pos="1191"/>
          <w:tab w:val="clear" w:pos="1588"/>
          <w:tab w:val="clear" w:pos="1985"/>
        </w:tabs>
        <w:adjustRightInd w:val="0"/>
        <w:snapToGrid w:val="0"/>
        <w:spacing w:before="120" w:after="120" w:line="240" w:lineRule="auto"/>
        <w:ind w:left="1134" w:hanging="425"/>
        <w:contextualSpacing w:val="0"/>
        <w:jc w:val="both"/>
        <w:rPr>
          <w:rFonts w:asciiTheme="minorHAnsi" w:eastAsia="SimSun" w:hAnsiTheme="minorHAnsi"/>
          <w:sz w:val="24"/>
          <w:szCs w:val="24"/>
          <w:lang w:val="en-US"/>
        </w:rPr>
      </w:pPr>
      <w:r w:rsidRPr="00EE1126">
        <w:rPr>
          <w:rFonts w:asciiTheme="minorHAnsi" w:eastAsia="SimSun" w:hAnsiTheme="minorHAnsi"/>
          <w:sz w:val="24"/>
          <w:szCs w:val="24"/>
          <w:u w:val="single"/>
          <w:lang w:val="en-US"/>
        </w:rPr>
        <w:t>Leadership</w:t>
      </w:r>
      <w:r w:rsidRPr="00EE1126">
        <w:rPr>
          <w:rFonts w:asciiTheme="minorHAnsi" w:eastAsia="SimSun" w:hAnsiTheme="minorHAnsi"/>
          <w:sz w:val="24"/>
          <w:szCs w:val="24"/>
          <w:lang w:val="en-US"/>
        </w:rPr>
        <w:t xml:space="preserve"> – Promote leadership opportunities for women by encouraging companies to take active role to employ women and promote women</w:t>
      </w:r>
      <w:r w:rsidR="00394363">
        <w:rPr>
          <w:rFonts w:asciiTheme="minorHAnsi" w:eastAsia="SimSun" w:hAnsiTheme="minorHAnsi"/>
          <w:sz w:val="24"/>
          <w:szCs w:val="24"/>
          <w:lang w:val="en-US"/>
        </w:rPr>
        <w:t>’</w:t>
      </w:r>
      <w:r w:rsidRPr="00EE1126">
        <w:rPr>
          <w:rFonts w:asciiTheme="minorHAnsi" w:eastAsia="SimSun" w:hAnsiTheme="minorHAnsi"/>
          <w:sz w:val="24"/>
          <w:szCs w:val="24"/>
          <w:lang w:val="en-US"/>
        </w:rPr>
        <w:t xml:space="preserve">s entrepreneurship. </w:t>
      </w:r>
    </w:p>
    <w:p w14:paraId="59E2656D" w14:textId="77777777" w:rsidR="00EE1126" w:rsidRPr="00EE1126" w:rsidRDefault="00394363" w:rsidP="000D7EF4">
      <w:pPr>
        <w:keepNext/>
        <w:keepLines/>
        <w:tabs>
          <w:tab w:val="clear" w:pos="567"/>
          <w:tab w:val="clear" w:pos="1134"/>
          <w:tab w:val="clear" w:pos="1701"/>
          <w:tab w:val="clear" w:pos="2268"/>
          <w:tab w:val="clear" w:pos="2835"/>
        </w:tabs>
        <w:snapToGrid w:val="0"/>
        <w:spacing w:after="120"/>
        <w:jc w:val="both"/>
        <w:rPr>
          <w:szCs w:val="24"/>
          <w:lang w:val="en-CA"/>
        </w:rPr>
      </w:pPr>
      <w:r>
        <w:rPr>
          <w:szCs w:val="24"/>
        </w:rPr>
        <w:lastRenderedPageBreak/>
        <w:t>EQUALS takes an evidence-</w:t>
      </w:r>
      <w:r w:rsidR="00EE1126" w:rsidRPr="00EE1126">
        <w:rPr>
          <w:szCs w:val="24"/>
        </w:rPr>
        <w:t xml:space="preserve">based approach. The United Nations University will lead the Research Group by coordinating a group of universities and research institutions such as the members of the Berkman Klein Center of Harvard University. To date more than 50 organizations/countries have been engaged in </w:t>
      </w:r>
      <w:hyperlink r:id="rId22" w:history="1">
        <w:r w:rsidR="00EE1126" w:rsidRPr="00EE1126">
          <w:rPr>
            <w:rStyle w:val="Hyperlink"/>
            <w:szCs w:val="24"/>
          </w:rPr>
          <w:t>EQUALS</w:t>
        </w:r>
      </w:hyperlink>
      <w:r w:rsidR="00EE1126" w:rsidRPr="00EE1126">
        <w:rPr>
          <w:szCs w:val="24"/>
        </w:rPr>
        <w:t xml:space="preserve"> discussions. </w:t>
      </w:r>
    </w:p>
    <w:p w14:paraId="5D59DA5E" w14:textId="77777777" w:rsidR="00EE1126" w:rsidRPr="00EE1126" w:rsidRDefault="000D7EF4"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Pr>
          <w:szCs w:val="24"/>
        </w:rPr>
        <w:t>3.3</w:t>
      </w:r>
      <w:r>
        <w:rPr>
          <w:szCs w:val="24"/>
        </w:rPr>
        <w:tab/>
      </w:r>
      <w:r w:rsidR="00EE1126" w:rsidRPr="00EE1126">
        <w:rPr>
          <w:szCs w:val="24"/>
        </w:rPr>
        <w:t>Advancing the New UN Agenda</w:t>
      </w:r>
    </w:p>
    <w:p w14:paraId="5B1B24D5"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bCs/>
          <w:szCs w:val="24"/>
        </w:rPr>
      </w:pPr>
      <w:r w:rsidRPr="00EE1126">
        <w:rPr>
          <w:bCs/>
          <w:szCs w:val="24"/>
        </w:rPr>
        <w:t>The new 2030 Agenda for Sustainable Development adopted by the UNGA in September 2015 refers to the enhanced used of enabling technologies, in particular ICTs to promo</w:t>
      </w:r>
      <w:r w:rsidR="000D7EF4">
        <w:rPr>
          <w:bCs/>
          <w:szCs w:val="24"/>
        </w:rPr>
        <w:t>te women</w:t>
      </w:r>
      <w:r w:rsidR="00394363">
        <w:rPr>
          <w:bCs/>
          <w:szCs w:val="24"/>
        </w:rPr>
        <w:t>’</w:t>
      </w:r>
      <w:r w:rsidR="000D7EF4">
        <w:rPr>
          <w:bCs/>
          <w:szCs w:val="24"/>
        </w:rPr>
        <w:t>s empowerment (SDG5).</w:t>
      </w:r>
    </w:p>
    <w:p w14:paraId="3B60F3AB"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EE1126">
        <w:rPr>
          <w:rFonts w:eastAsia="SimSun"/>
          <w:szCs w:val="24"/>
        </w:rPr>
        <w:t>In 2016, ITU participated in inter-agency coordination meetings and mechanisms, and is a member of the Inter-Agency Network on Women and Gender Equality (IANWGE) advocating the use of ICTs as a catalyst for gender equality and the empowerment of women, and harnessing ICTs</w:t>
      </w:r>
      <w:r w:rsidR="00394363">
        <w:rPr>
          <w:rFonts w:eastAsia="SimSun"/>
          <w:szCs w:val="24"/>
        </w:rPr>
        <w:t>’</w:t>
      </w:r>
      <w:r w:rsidRPr="00EE1126">
        <w:rPr>
          <w:rFonts w:eastAsia="SimSun"/>
          <w:szCs w:val="24"/>
        </w:rPr>
        <w:t xml:space="preserve"> access to women and girls to bridge the gender gap. ITU also participated in UN Women Expert Group Meetings (EGM), working to integrate gender equality and the empowerment of women into international development frameworks, particularly the </w:t>
      </w:r>
      <w:hyperlink r:id="rId23" w:history="1">
        <w:r w:rsidRPr="00EE1126">
          <w:rPr>
            <w:rStyle w:val="Hyperlink"/>
            <w:rFonts w:eastAsia="SimSun"/>
            <w:szCs w:val="24"/>
          </w:rPr>
          <w:t>Sustainable Development Goals (SDGs).</w:t>
        </w:r>
      </w:hyperlink>
      <w:r w:rsidRPr="00EE1126">
        <w:rPr>
          <w:rFonts w:eastAsia="SimSun"/>
          <w:szCs w:val="24"/>
        </w:rPr>
        <w:t xml:space="preserve"> </w:t>
      </w:r>
    </w:p>
    <w:p w14:paraId="1170BD5E" w14:textId="77777777" w:rsidR="00EE1126" w:rsidRPr="00EE1126" w:rsidRDefault="00EE1126"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3.4</w:t>
      </w:r>
      <w:r w:rsidRPr="00EE1126">
        <w:rPr>
          <w:szCs w:val="24"/>
        </w:rPr>
        <w:tab/>
        <w:t>Recommendations to Reduce the Digital Gender Divide</w:t>
      </w:r>
    </w:p>
    <w:p w14:paraId="2D1D7540" w14:textId="655F4C2C" w:rsidR="00EE1126" w:rsidRPr="00EE1126" w:rsidRDefault="00EE1126" w:rsidP="000D7EF4">
      <w:pPr>
        <w:tabs>
          <w:tab w:val="clear" w:pos="567"/>
          <w:tab w:val="clear" w:pos="1134"/>
          <w:tab w:val="clear" w:pos="1701"/>
          <w:tab w:val="clear" w:pos="2268"/>
          <w:tab w:val="clear" w:pos="2835"/>
        </w:tabs>
        <w:snapToGrid w:val="0"/>
        <w:spacing w:after="120"/>
        <w:jc w:val="both"/>
        <w:rPr>
          <w:szCs w:val="24"/>
        </w:rPr>
      </w:pPr>
      <w:r w:rsidRPr="00EE1126">
        <w:rPr>
          <w:szCs w:val="24"/>
        </w:rPr>
        <w:t xml:space="preserve">The Broadband Commission Working Group on the Digital Gender Divide, led by GSMA and UNESCO delivered a set of </w:t>
      </w:r>
      <w:hyperlink r:id="rId24" w:history="1">
        <w:r w:rsidRPr="00EE1126">
          <w:rPr>
            <w:rStyle w:val="Hyperlink"/>
            <w:szCs w:val="24"/>
          </w:rPr>
          <w:t>recommendations</w:t>
        </w:r>
      </w:hyperlink>
      <w:r w:rsidRPr="00EE1126">
        <w:rPr>
          <w:szCs w:val="24"/>
        </w:rPr>
        <w:t xml:space="preserve"> for action in March 2017, which can be adopted to help reduce the digital gender gap in </w:t>
      </w:r>
      <w:r w:rsidR="00CF1214">
        <w:rPr>
          <w:szCs w:val="24"/>
        </w:rPr>
        <w:t>I</w:t>
      </w:r>
      <w:r w:rsidRPr="00EE1126">
        <w:rPr>
          <w:szCs w:val="24"/>
        </w:rPr>
        <w:t>nternet and broadband access and use and which clarify the complementary roles of different actors, including governments and policy-makers, the private sector, intergovernmental organizations, NGOs, academia</w:t>
      </w:r>
      <w:r w:rsidR="00394363">
        <w:rPr>
          <w:szCs w:val="24"/>
        </w:rPr>
        <w:t>,</w:t>
      </w:r>
      <w:r w:rsidRPr="00EE1126">
        <w:rPr>
          <w:szCs w:val="24"/>
        </w:rPr>
        <w:t xml:space="preserve"> and research institutions. </w:t>
      </w:r>
    </w:p>
    <w:p w14:paraId="5E27D145" w14:textId="77777777" w:rsidR="00EE1126" w:rsidRPr="00EE1126" w:rsidRDefault="00EE1126"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3.5</w:t>
      </w:r>
      <w:r w:rsidRPr="00EE1126">
        <w:rPr>
          <w:szCs w:val="24"/>
        </w:rPr>
        <w:tab/>
        <w:t>GEM-TECH Awards</w:t>
      </w:r>
    </w:p>
    <w:p w14:paraId="389426AC"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A24C4E">
        <w:rPr>
          <w:rFonts w:eastAsia="SimSun"/>
          <w:spacing w:val="-4"/>
          <w:szCs w:val="24"/>
        </w:rPr>
        <w:t xml:space="preserve">The annual ITU/UN Women </w:t>
      </w:r>
      <w:hyperlink r:id="rId25" w:history="1">
        <w:r w:rsidRPr="00A24C4E">
          <w:rPr>
            <w:rStyle w:val="Hyperlink"/>
            <w:rFonts w:eastAsia="SimSun"/>
            <w:spacing w:val="-4"/>
            <w:szCs w:val="24"/>
          </w:rPr>
          <w:t>GEM-TECH Awards</w:t>
        </w:r>
      </w:hyperlink>
      <w:r w:rsidRPr="00A24C4E">
        <w:rPr>
          <w:rFonts w:eastAsia="SimSun"/>
          <w:spacing w:val="-4"/>
          <w:szCs w:val="24"/>
        </w:rPr>
        <w:t>, was held on 15 November, at ITU Telecom World 2017</w:t>
      </w:r>
      <w:r w:rsidRPr="00EE1126">
        <w:rPr>
          <w:rFonts w:eastAsia="SimSun"/>
          <w:szCs w:val="24"/>
        </w:rPr>
        <w:t>, Bangkok, Thailand. The event honored three GEM-TECH Winners. The Awards attracted government and industry partners including Internet Society, Mastercard, Microsoft, OFCOM Switzerland, Facebook, Rura Rwanda</w:t>
      </w:r>
      <w:r w:rsidR="00394363">
        <w:rPr>
          <w:rFonts w:eastAsia="SimSun"/>
          <w:szCs w:val="24"/>
        </w:rPr>
        <w:t>,</w:t>
      </w:r>
      <w:r w:rsidRPr="00EE1126">
        <w:rPr>
          <w:rFonts w:eastAsia="SimSun"/>
          <w:szCs w:val="24"/>
        </w:rPr>
        <w:t xml:space="preserve"> and Verizon</w:t>
      </w:r>
      <w:r w:rsidR="00394363">
        <w:rPr>
          <w:rFonts w:eastAsia="SimSun"/>
          <w:szCs w:val="24"/>
        </w:rPr>
        <w:t>,</w:t>
      </w:r>
      <w:r w:rsidRPr="00EE1126">
        <w:rPr>
          <w:rFonts w:eastAsia="SimSun"/>
          <w:szCs w:val="24"/>
        </w:rPr>
        <w:t xml:space="preserve"> with support from VimpelCom.</w:t>
      </w:r>
    </w:p>
    <w:p w14:paraId="269C6FD3" w14:textId="77777777" w:rsidR="00EE1126" w:rsidRPr="00EE1126" w:rsidRDefault="00EE1126" w:rsidP="000D7EF4">
      <w:pPr>
        <w:pStyle w:val="Heading1"/>
        <w:keepNext w:val="0"/>
        <w:keepLines w:val="0"/>
        <w:tabs>
          <w:tab w:val="clear" w:pos="567"/>
          <w:tab w:val="clear" w:pos="1134"/>
          <w:tab w:val="clear" w:pos="1701"/>
          <w:tab w:val="clear" w:pos="2268"/>
          <w:tab w:val="clear" w:pos="2835"/>
        </w:tabs>
        <w:snapToGrid w:val="0"/>
        <w:spacing w:after="120"/>
        <w:ind w:left="0" w:firstLine="0"/>
        <w:rPr>
          <w:rFonts w:eastAsia="SimSun"/>
          <w:sz w:val="24"/>
          <w:szCs w:val="24"/>
        </w:rPr>
      </w:pPr>
      <w:r w:rsidRPr="00EE1126">
        <w:rPr>
          <w:sz w:val="24"/>
          <w:szCs w:val="24"/>
        </w:rPr>
        <w:t>4</w:t>
      </w:r>
      <w:r w:rsidRPr="00EE1126">
        <w:rPr>
          <w:sz w:val="24"/>
          <w:szCs w:val="24"/>
        </w:rPr>
        <w:tab/>
        <w:t>Reinforcing Women</w:t>
      </w:r>
      <w:r w:rsidR="00394363">
        <w:rPr>
          <w:sz w:val="24"/>
          <w:szCs w:val="24"/>
        </w:rPr>
        <w:t>’</w:t>
      </w:r>
      <w:r w:rsidRPr="00EE1126">
        <w:rPr>
          <w:sz w:val="24"/>
          <w:szCs w:val="24"/>
        </w:rPr>
        <w:t>s Participation in ITU</w:t>
      </w:r>
      <w:r w:rsidR="00394363">
        <w:rPr>
          <w:sz w:val="24"/>
          <w:szCs w:val="24"/>
        </w:rPr>
        <w:t>’</w:t>
      </w:r>
      <w:r w:rsidRPr="00EE1126">
        <w:rPr>
          <w:sz w:val="24"/>
          <w:szCs w:val="24"/>
        </w:rPr>
        <w:t>s Main Conferences</w:t>
      </w:r>
    </w:p>
    <w:p w14:paraId="5A7AB53D" w14:textId="77777777" w:rsidR="00EE1126" w:rsidRPr="00EE1126" w:rsidRDefault="00EE1126" w:rsidP="000D7EF4">
      <w:pPr>
        <w:pStyle w:val="Heading3"/>
        <w:keepNext w:val="0"/>
        <w:keepLines w:val="0"/>
        <w:tabs>
          <w:tab w:val="clear" w:pos="567"/>
          <w:tab w:val="clear" w:pos="1134"/>
          <w:tab w:val="clear" w:pos="1701"/>
          <w:tab w:val="clear" w:pos="2268"/>
          <w:tab w:val="clear" w:pos="2835"/>
        </w:tabs>
        <w:snapToGrid w:val="0"/>
        <w:spacing w:before="120" w:after="120"/>
        <w:ind w:left="0" w:firstLine="0"/>
        <w:rPr>
          <w:rFonts w:eastAsia="SimSun"/>
          <w:szCs w:val="24"/>
        </w:rPr>
      </w:pPr>
      <w:r w:rsidRPr="00EE1126">
        <w:rPr>
          <w:szCs w:val="24"/>
        </w:rPr>
        <w:t>4.1</w:t>
      </w:r>
      <w:r w:rsidRPr="00EE1126">
        <w:rPr>
          <w:szCs w:val="24"/>
        </w:rPr>
        <w:tab/>
        <w:t>ITU Network of Women for WRC (NOW)</w:t>
      </w:r>
    </w:p>
    <w:p w14:paraId="3087B8DB"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szCs w:val="24"/>
        </w:rPr>
      </w:pPr>
      <w:r w:rsidRPr="00EE1126">
        <w:rPr>
          <w:szCs w:val="24"/>
        </w:rPr>
        <w:t>During the 2016 World Radiocommunication Seminar (</w:t>
      </w:r>
      <w:hyperlink r:id="rId26" w:history="1">
        <w:r w:rsidRPr="00EE1126">
          <w:rPr>
            <w:rStyle w:val="Hyperlink"/>
            <w:szCs w:val="24"/>
          </w:rPr>
          <w:t>WRS-16</w:t>
        </w:r>
      </w:hyperlink>
      <w:r w:rsidRPr="00EE1126">
        <w:rPr>
          <w:szCs w:val="24"/>
        </w:rPr>
        <w:t xml:space="preserve">), the ITU </w:t>
      </w:r>
      <w:r w:rsidR="00394363">
        <w:rPr>
          <w:szCs w:val="24"/>
        </w:rPr>
        <w:t>‘</w:t>
      </w:r>
      <w:r w:rsidRPr="00EE1126">
        <w:rPr>
          <w:szCs w:val="24"/>
        </w:rPr>
        <w:t>Network of Women for WRC</w:t>
      </w:r>
      <w:r w:rsidR="00394363">
        <w:rPr>
          <w:szCs w:val="24"/>
        </w:rPr>
        <w:t>’</w:t>
      </w:r>
      <w:r w:rsidRPr="00EE1126">
        <w:rPr>
          <w:szCs w:val="24"/>
        </w:rPr>
        <w:t xml:space="preserve"> (</w:t>
      </w:r>
      <w:hyperlink r:id="rId27" w:history="1">
        <w:r w:rsidRPr="00EE1126">
          <w:rPr>
            <w:rStyle w:val="Hyperlink"/>
            <w:szCs w:val="24"/>
          </w:rPr>
          <w:t>#NOW</w:t>
        </w:r>
      </w:hyperlink>
      <w:r w:rsidRPr="00EE1126">
        <w:rPr>
          <w:szCs w:val="24"/>
        </w:rPr>
        <w:t xml:space="preserve">) initiative was launched. NOW encourages gender balance in decision-making bodies, panels, statutory committees and study groups at ITU-R events. The aim of the NOW4WRC19 is to build capacity early in the </w:t>
      </w:r>
      <w:hyperlink r:id="rId28" w:history="1">
        <w:r w:rsidRPr="00EE1126">
          <w:rPr>
            <w:rStyle w:val="Hyperlink"/>
            <w:szCs w:val="24"/>
          </w:rPr>
          <w:t>WRC-19</w:t>
        </w:r>
      </w:hyperlink>
      <w:r w:rsidRPr="00EE1126">
        <w:rPr>
          <w:szCs w:val="24"/>
        </w:rPr>
        <w:t xml:space="preserve"> process and encourage greater participation of women delegates, in</w:t>
      </w:r>
      <w:r w:rsidR="00394363">
        <w:rPr>
          <w:szCs w:val="24"/>
        </w:rPr>
        <w:t>cluding in roles such as chairs</w:t>
      </w:r>
      <w:r w:rsidRPr="00EE1126">
        <w:rPr>
          <w:szCs w:val="24"/>
        </w:rPr>
        <w:t xml:space="preserve"> and vice-chairs. NOW4WRC19 benefits from 15 years of growing synergies in communities of women radiocommunication delegates, such as with the Annual Women</w:t>
      </w:r>
      <w:r w:rsidR="00394363">
        <w:rPr>
          <w:szCs w:val="24"/>
        </w:rPr>
        <w:t>’</w:t>
      </w:r>
      <w:r w:rsidRPr="00EE1126">
        <w:rPr>
          <w:szCs w:val="24"/>
        </w:rPr>
        <w:t>s Breakfast, the Women</w:t>
      </w:r>
      <w:r w:rsidR="00394363">
        <w:rPr>
          <w:szCs w:val="24"/>
        </w:rPr>
        <w:t>’</w:t>
      </w:r>
      <w:r w:rsidRPr="00EE1126">
        <w:rPr>
          <w:szCs w:val="24"/>
        </w:rPr>
        <w:t>s Leadership Workshop</w:t>
      </w:r>
      <w:r w:rsidR="00394363">
        <w:rPr>
          <w:szCs w:val="24"/>
        </w:rPr>
        <w:t>,</w:t>
      </w:r>
      <w:r w:rsidRPr="00EE1126">
        <w:rPr>
          <w:szCs w:val="24"/>
        </w:rPr>
        <w:t xml:space="preserve"> and the WeLead mentoring programme launched by the FCC at WRC-15. </w:t>
      </w:r>
    </w:p>
    <w:p w14:paraId="61CB7F46" w14:textId="0F4261FD" w:rsidR="00EE1126" w:rsidRPr="00EE1126" w:rsidRDefault="00EE1126" w:rsidP="00624352">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4</w:t>
      </w:r>
      <w:r w:rsidR="00624352">
        <w:rPr>
          <w:szCs w:val="24"/>
        </w:rPr>
        <w:t>.2</w:t>
      </w:r>
      <w:r w:rsidRPr="00EE1126">
        <w:rPr>
          <w:szCs w:val="24"/>
        </w:rPr>
        <w:tab/>
        <w:t>WTSA Side Event on Gender</w:t>
      </w:r>
    </w:p>
    <w:p w14:paraId="56DE98D7"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rFonts w:eastAsia="SimSun"/>
          <w:szCs w:val="24"/>
        </w:rPr>
      </w:pPr>
      <w:r w:rsidRPr="00EE1126">
        <w:rPr>
          <w:rFonts w:eastAsia="SimSun"/>
          <w:szCs w:val="24"/>
        </w:rPr>
        <w:t xml:space="preserve">In the effort to expand further the voices of women in the ICT sector, the Union launched the </w:t>
      </w:r>
      <w:hyperlink r:id="rId29" w:history="1">
        <w:r w:rsidRPr="00EE1126">
          <w:rPr>
            <w:rStyle w:val="Hyperlink"/>
            <w:rFonts w:eastAsia="SimSun"/>
            <w:szCs w:val="24"/>
          </w:rPr>
          <w:t>Women in Standardization Expert Group (WISE)</w:t>
        </w:r>
      </w:hyperlink>
      <w:r w:rsidRPr="00EE1126">
        <w:rPr>
          <w:rFonts w:eastAsia="SimSun"/>
          <w:szCs w:val="24"/>
        </w:rPr>
        <w:t xml:space="preserve"> at the Telecommunication Standardization Advisory Group (TSAG) conference in February 2016. WISE is dedicated to promoting women in standardization, telecommunication/ICTs</w:t>
      </w:r>
      <w:r w:rsidR="00394363">
        <w:rPr>
          <w:rFonts w:eastAsia="SimSun"/>
          <w:szCs w:val="24"/>
        </w:rPr>
        <w:t>,</w:t>
      </w:r>
      <w:r w:rsidRPr="00EE1126">
        <w:rPr>
          <w:rFonts w:eastAsia="SimSun"/>
          <w:szCs w:val="24"/>
        </w:rPr>
        <w:t xml:space="preserve"> and related fields and to recognizing men and women who have made and continue to make remarkable contribution in promoting women and the work </w:t>
      </w:r>
      <w:r w:rsidR="00A24C4E">
        <w:rPr>
          <w:rFonts w:eastAsia="SimSun"/>
          <w:szCs w:val="24"/>
        </w:rPr>
        <w:t xml:space="preserve">of women in these fields. </w:t>
      </w:r>
      <w:r w:rsidRPr="00EE1126">
        <w:rPr>
          <w:rFonts w:eastAsia="SimSun"/>
          <w:szCs w:val="24"/>
        </w:rPr>
        <w:t xml:space="preserve">The first WISE event was held on 30 October 2016 at the World </w:t>
      </w:r>
      <w:r w:rsidRPr="00EE1126">
        <w:rPr>
          <w:rFonts w:eastAsia="SimSun"/>
          <w:szCs w:val="24"/>
        </w:rPr>
        <w:lastRenderedPageBreak/>
        <w:t>Telecommunication Standardization Assembly (WTSA) in Yasmine Hammamet, Tunisia</w:t>
      </w:r>
      <w:r w:rsidR="00394363">
        <w:rPr>
          <w:rFonts w:eastAsia="SimSun"/>
          <w:szCs w:val="24"/>
        </w:rPr>
        <w:t>,</w:t>
      </w:r>
      <w:r w:rsidRPr="00EE1126">
        <w:rPr>
          <w:rFonts w:eastAsia="SimSun"/>
          <w:szCs w:val="24"/>
        </w:rPr>
        <w:t xml:space="preserve"> which included workshop on practical skills for successful negotiations, followed by a panel discussion highlighting the experiences of leading women from the ICT and standardization fields. WTSA-16 also reaffirmed ITU-T Resolution 55 on promoting a gender equality in ITU Telecommunication Standardization Sector activities.</w:t>
      </w:r>
    </w:p>
    <w:p w14:paraId="349A45F9" w14:textId="38A2F174" w:rsidR="00EE1126" w:rsidRPr="00EE1126" w:rsidRDefault="00624352" w:rsidP="00A24C4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lang w:val="en-CA"/>
        </w:rPr>
      </w:pPr>
      <w:r>
        <w:rPr>
          <w:szCs w:val="24"/>
          <w:lang w:val="en-CA"/>
        </w:rPr>
        <w:t>4.3</w:t>
      </w:r>
      <w:r w:rsidR="00EE1126" w:rsidRPr="00EE1126">
        <w:rPr>
          <w:szCs w:val="24"/>
          <w:lang w:val="en-CA"/>
        </w:rPr>
        <w:tab/>
        <w:t>Gender Equality in Delegations</w:t>
      </w:r>
    </w:p>
    <w:p w14:paraId="1D7B4171" w14:textId="77777777" w:rsidR="00EE1126" w:rsidRPr="00EE1126" w:rsidRDefault="00EE1126" w:rsidP="00A24C4E">
      <w:pPr>
        <w:tabs>
          <w:tab w:val="clear" w:pos="567"/>
          <w:tab w:val="clear" w:pos="1134"/>
          <w:tab w:val="clear" w:pos="1701"/>
          <w:tab w:val="clear" w:pos="2268"/>
          <w:tab w:val="clear" w:pos="2835"/>
        </w:tabs>
        <w:snapToGrid w:val="0"/>
        <w:spacing w:after="120"/>
        <w:jc w:val="both"/>
        <w:rPr>
          <w:i/>
          <w:iCs/>
          <w:szCs w:val="24"/>
          <w:lang w:val="en-CA"/>
        </w:rPr>
      </w:pPr>
      <w:r w:rsidRPr="00EE1126">
        <w:rPr>
          <w:szCs w:val="24"/>
          <w:lang w:val="en-CA"/>
        </w:rPr>
        <w:t xml:space="preserve">ITU </w:t>
      </w:r>
      <w:r w:rsidR="00394363">
        <w:rPr>
          <w:szCs w:val="24"/>
          <w:lang w:val="en-CA"/>
        </w:rPr>
        <w:t>collaborated with the Permanent</w:t>
      </w:r>
      <w:r w:rsidRPr="00EE1126">
        <w:rPr>
          <w:szCs w:val="24"/>
          <w:lang w:val="en-CA"/>
        </w:rPr>
        <w:t xml:space="preserve"> Mission of Australia, UN Women, and Geneva Gender champions on the publication </w:t>
      </w:r>
      <w:r w:rsidR="00394363">
        <w:rPr>
          <w:szCs w:val="24"/>
          <w:lang w:val="en-CA"/>
        </w:rPr>
        <w:t>“</w:t>
      </w:r>
      <w:r w:rsidRPr="00EE1126">
        <w:rPr>
          <w:szCs w:val="24"/>
          <w:lang w:val="en-CA"/>
        </w:rPr>
        <w:t>Shaping the international agenda: Raising women</w:t>
      </w:r>
      <w:r w:rsidR="00394363">
        <w:rPr>
          <w:szCs w:val="24"/>
          <w:lang w:val="en-CA"/>
        </w:rPr>
        <w:t>’</w:t>
      </w:r>
      <w:r w:rsidRPr="00EE1126">
        <w:rPr>
          <w:szCs w:val="24"/>
          <w:lang w:val="en-CA"/>
        </w:rPr>
        <w:t>s voices in intergovernmental forums</w:t>
      </w:r>
      <w:r w:rsidR="00394363">
        <w:rPr>
          <w:szCs w:val="24"/>
          <w:lang w:val="en-CA"/>
        </w:rPr>
        <w:t>”</w:t>
      </w:r>
      <w:r w:rsidRPr="00EE1126">
        <w:rPr>
          <w:szCs w:val="24"/>
          <w:lang w:val="en-CA"/>
        </w:rPr>
        <w:t>. It was prepared</w:t>
      </w:r>
      <w:r w:rsidRPr="00EE1126">
        <w:rPr>
          <w:b/>
          <w:bCs/>
          <w:szCs w:val="24"/>
          <w:lang w:val="en-CA"/>
        </w:rPr>
        <w:t xml:space="preserve"> </w:t>
      </w:r>
      <w:r w:rsidRPr="00EE1126">
        <w:rPr>
          <w:szCs w:val="24"/>
          <w:lang w:val="en-CA"/>
        </w:rPr>
        <w:t>by The Impact Group on the Composition of Delegations and Panels co-chaired by ITU and the Permanent Mission of Australia and released 20</w:t>
      </w:r>
      <w:r w:rsidR="00A24C4E">
        <w:rPr>
          <w:szCs w:val="24"/>
          <w:lang w:val="en-CA"/>
        </w:rPr>
        <w:t> </w:t>
      </w:r>
      <w:r w:rsidRPr="00EE1126">
        <w:rPr>
          <w:szCs w:val="24"/>
          <w:lang w:val="en-CA"/>
        </w:rPr>
        <w:t>March 2017 at a UNOG Library Talk.</w:t>
      </w:r>
    </w:p>
    <w:p w14:paraId="1C8A59AE" w14:textId="77777777" w:rsidR="00EE1126" w:rsidRPr="00EE1126" w:rsidRDefault="00EE1126" w:rsidP="00A24C4E">
      <w:pPr>
        <w:pStyle w:val="Heading1"/>
        <w:keepNext w:val="0"/>
        <w:keepLines w:val="0"/>
        <w:tabs>
          <w:tab w:val="clear" w:pos="567"/>
          <w:tab w:val="clear" w:pos="1134"/>
          <w:tab w:val="clear" w:pos="1701"/>
          <w:tab w:val="clear" w:pos="2268"/>
          <w:tab w:val="clear" w:pos="2835"/>
        </w:tabs>
        <w:snapToGrid w:val="0"/>
        <w:spacing w:after="120"/>
        <w:ind w:left="0" w:firstLine="0"/>
        <w:jc w:val="both"/>
        <w:rPr>
          <w:sz w:val="24"/>
          <w:szCs w:val="24"/>
        </w:rPr>
      </w:pPr>
      <w:r w:rsidRPr="00EE1126">
        <w:rPr>
          <w:sz w:val="24"/>
          <w:szCs w:val="24"/>
        </w:rPr>
        <w:t>5</w:t>
      </w:r>
      <w:r w:rsidRPr="00EE1126">
        <w:rPr>
          <w:sz w:val="24"/>
          <w:szCs w:val="24"/>
        </w:rPr>
        <w:tab/>
        <w:t>Improving Institutional Awareness of Gender Equality and Mainstreaming</w:t>
      </w:r>
    </w:p>
    <w:p w14:paraId="029F2296" w14:textId="77777777" w:rsidR="00EE1126" w:rsidRPr="00EE1126" w:rsidRDefault="00EE1126" w:rsidP="00A24C4E">
      <w:pPr>
        <w:pStyle w:val="Heading3"/>
        <w:keepNext w:val="0"/>
        <w:keepLines w:val="0"/>
        <w:tabs>
          <w:tab w:val="clear" w:pos="567"/>
          <w:tab w:val="clear" w:pos="1134"/>
          <w:tab w:val="clear" w:pos="1701"/>
          <w:tab w:val="clear" w:pos="2268"/>
          <w:tab w:val="clear" w:pos="2835"/>
        </w:tabs>
        <w:snapToGrid w:val="0"/>
        <w:spacing w:before="120" w:after="120"/>
        <w:ind w:left="0" w:firstLine="0"/>
        <w:rPr>
          <w:rFonts w:eastAsia="SimSun"/>
          <w:szCs w:val="24"/>
        </w:rPr>
      </w:pPr>
      <w:r w:rsidRPr="00EE1126">
        <w:rPr>
          <w:szCs w:val="24"/>
        </w:rPr>
        <w:t>5.1</w:t>
      </w:r>
      <w:r w:rsidRPr="00EE1126">
        <w:rPr>
          <w:szCs w:val="24"/>
        </w:rPr>
        <w:tab/>
        <w:t>Review of ITU</w:t>
      </w:r>
      <w:r w:rsidR="00394363">
        <w:rPr>
          <w:szCs w:val="24"/>
        </w:rPr>
        <w:t>’</w:t>
      </w:r>
      <w:r w:rsidRPr="00EE1126">
        <w:rPr>
          <w:szCs w:val="24"/>
        </w:rPr>
        <w:t>s Gender Equality and Mainstreaming Policy</w:t>
      </w:r>
    </w:p>
    <w:p w14:paraId="2DFE74B6" w14:textId="19AEFA1A" w:rsidR="00EE1126" w:rsidRPr="00EE1126" w:rsidRDefault="00EE1126" w:rsidP="004946D7">
      <w:pPr>
        <w:tabs>
          <w:tab w:val="clear" w:pos="567"/>
          <w:tab w:val="clear" w:pos="1134"/>
          <w:tab w:val="clear" w:pos="1701"/>
          <w:tab w:val="clear" w:pos="2268"/>
          <w:tab w:val="clear" w:pos="2835"/>
        </w:tabs>
        <w:snapToGrid w:val="0"/>
        <w:spacing w:after="120"/>
        <w:jc w:val="both"/>
        <w:rPr>
          <w:szCs w:val="24"/>
          <w:lang w:val="en-CA"/>
        </w:rPr>
      </w:pPr>
      <w:r w:rsidRPr="00EE1126">
        <w:rPr>
          <w:rFonts w:eastAsia="SimSun"/>
          <w:szCs w:val="24"/>
        </w:rPr>
        <w:t>The ITU Gender Equality and Mainstreaming Policy adopted by the ITU Council at its 2013 session has helped to grow an institutional awareness of the importance of including a gender perspective in ITU</w:t>
      </w:r>
      <w:r w:rsidR="00394363">
        <w:rPr>
          <w:rFonts w:eastAsia="SimSun"/>
          <w:szCs w:val="24"/>
        </w:rPr>
        <w:t>’</w:t>
      </w:r>
      <w:r w:rsidRPr="00EE1126">
        <w:rPr>
          <w:rFonts w:eastAsia="SimSun"/>
          <w:szCs w:val="24"/>
        </w:rPr>
        <w:t xml:space="preserve">s work to ensure that the benefits of ICTS are made available to all women and men on a fair </w:t>
      </w:r>
      <w:r w:rsidRPr="00A24C4E">
        <w:rPr>
          <w:rFonts w:eastAsia="SimSun"/>
          <w:spacing w:val="-4"/>
          <w:szCs w:val="24"/>
        </w:rPr>
        <w:t xml:space="preserve">and equitable basis. </w:t>
      </w:r>
      <w:r w:rsidRPr="00A24C4E">
        <w:rPr>
          <w:spacing w:val="-4"/>
          <w:szCs w:val="24"/>
          <w:lang w:val="en-CA"/>
        </w:rPr>
        <w:t xml:space="preserve">As requested by </w:t>
      </w:r>
      <w:r w:rsidR="00A24C4E" w:rsidRPr="00A24C4E">
        <w:rPr>
          <w:spacing w:val="-4"/>
          <w:szCs w:val="24"/>
          <w:lang w:val="en-CA"/>
        </w:rPr>
        <w:t xml:space="preserve">the </w:t>
      </w:r>
      <w:r w:rsidRPr="00A24C4E">
        <w:rPr>
          <w:spacing w:val="-4"/>
          <w:szCs w:val="24"/>
          <w:lang w:val="en-CA"/>
        </w:rPr>
        <w:t>Council and mandated within the policy itself, the</w:t>
      </w:r>
      <w:r w:rsidRPr="00EE1126">
        <w:rPr>
          <w:szCs w:val="24"/>
          <w:lang w:val="en-CA"/>
        </w:rPr>
        <w:t xml:space="preserve"> quadrennial review of the Policy is in process. </w:t>
      </w:r>
      <w:r w:rsidRPr="00EE1126">
        <w:rPr>
          <w:szCs w:val="24"/>
        </w:rPr>
        <w:t xml:space="preserve">The review is coordinated by the Gender Task Force which reports directly to the broader ITU Intersectoral </w:t>
      </w:r>
      <w:r w:rsidR="00096645">
        <w:rPr>
          <w:szCs w:val="24"/>
        </w:rPr>
        <w:t xml:space="preserve">Coordination </w:t>
      </w:r>
      <w:r w:rsidRPr="00EE1126">
        <w:rPr>
          <w:szCs w:val="24"/>
        </w:rPr>
        <w:t xml:space="preserve">Task Force led by the ITU Deputy Secretary-General. </w:t>
      </w:r>
      <w:r w:rsidRPr="00EE1126">
        <w:rPr>
          <w:szCs w:val="24"/>
          <w:lang w:val="en-CA"/>
        </w:rPr>
        <w:t xml:space="preserve">Comments and contributions have been received through an online open consultation platform as well as through email, focus groups and individual meetings. The </w:t>
      </w:r>
      <w:r w:rsidR="000A4E18">
        <w:rPr>
          <w:szCs w:val="24"/>
          <w:lang w:val="en-CA"/>
        </w:rPr>
        <w:t>outcome of the review o</w:t>
      </w:r>
      <w:bookmarkStart w:id="10" w:name="_GoBack"/>
      <w:bookmarkEnd w:id="10"/>
      <w:r w:rsidR="000A4E18">
        <w:rPr>
          <w:szCs w:val="24"/>
          <w:lang w:val="en-CA"/>
        </w:rPr>
        <w:t>f the policy</w:t>
      </w:r>
      <w:r w:rsidRPr="00EE1126">
        <w:rPr>
          <w:szCs w:val="24"/>
          <w:lang w:val="en-CA"/>
        </w:rPr>
        <w:t xml:space="preserve"> is available in </w:t>
      </w:r>
      <w:r w:rsidR="00070007">
        <w:rPr>
          <w:szCs w:val="24"/>
          <w:lang w:val="en-CA"/>
        </w:rPr>
        <w:t xml:space="preserve">Document </w:t>
      </w:r>
      <w:hyperlink r:id="rId30" w:history="1">
        <w:r w:rsidR="00070007" w:rsidRPr="00070007">
          <w:rPr>
            <w:rStyle w:val="Hyperlink"/>
            <w:szCs w:val="24"/>
            <w:lang w:val="en-CA"/>
          </w:rPr>
          <w:t>C17/</w:t>
        </w:r>
        <w:r w:rsidR="004946D7">
          <w:rPr>
            <w:rStyle w:val="Hyperlink"/>
            <w:szCs w:val="24"/>
            <w:lang w:val="en-CA"/>
          </w:rPr>
          <w:t>71</w:t>
        </w:r>
      </w:hyperlink>
      <w:r w:rsidR="00070007">
        <w:rPr>
          <w:szCs w:val="24"/>
          <w:lang w:val="en-CA"/>
        </w:rPr>
        <w:t>.</w:t>
      </w:r>
    </w:p>
    <w:p w14:paraId="15D04802" w14:textId="77777777" w:rsidR="00EE1126" w:rsidRPr="00EE1126" w:rsidRDefault="00EE1126" w:rsidP="00A24C4E">
      <w:pPr>
        <w:pStyle w:val="Heading3"/>
        <w:keepNext w:val="0"/>
        <w:keepLines w:val="0"/>
        <w:tabs>
          <w:tab w:val="clear" w:pos="567"/>
          <w:tab w:val="clear" w:pos="1134"/>
          <w:tab w:val="clear" w:pos="1701"/>
          <w:tab w:val="clear" w:pos="2268"/>
          <w:tab w:val="clear" w:pos="2835"/>
        </w:tabs>
        <w:snapToGrid w:val="0"/>
        <w:spacing w:before="120" w:after="120"/>
        <w:ind w:left="0" w:firstLine="0"/>
        <w:rPr>
          <w:szCs w:val="24"/>
        </w:rPr>
      </w:pPr>
      <w:r w:rsidRPr="00EE1126">
        <w:rPr>
          <w:szCs w:val="24"/>
        </w:rPr>
        <w:t>5.2</w:t>
      </w:r>
      <w:r w:rsidRPr="00EE1126">
        <w:rPr>
          <w:szCs w:val="24"/>
        </w:rPr>
        <w:tab/>
        <w:t>UN-SWAP Reporting</w:t>
      </w:r>
    </w:p>
    <w:p w14:paraId="72672FB1"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szCs w:val="24"/>
          <w:lang w:val="en-CA"/>
        </w:rPr>
      </w:pPr>
      <w:r w:rsidRPr="00EE1126">
        <w:rPr>
          <w:szCs w:val="24"/>
          <w:lang w:val="en-CA"/>
        </w:rPr>
        <w:t xml:space="preserve">ITU reports annually to the </w:t>
      </w:r>
      <w:hyperlink r:id="rId31" w:history="1">
        <w:r w:rsidRPr="00EE1126">
          <w:rPr>
            <w:rStyle w:val="Hyperlink"/>
            <w:szCs w:val="24"/>
            <w:lang w:val="en-CA"/>
          </w:rPr>
          <w:t>United Nations System-wide Action Plan for Gender Equality and Mainstreaming (UN-SWAP)</w:t>
        </w:r>
      </w:hyperlink>
      <w:r w:rsidRPr="00EE1126">
        <w:rPr>
          <w:szCs w:val="24"/>
          <w:lang w:val="en-CA"/>
        </w:rPr>
        <w:t xml:space="preserve">. In its 2016 report, ITU </w:t>
      </w:r>
      <w:r w:rsidR="00394363">
        <w:rPr>
          <w:szCs w:val="24"/>
          <w:lang w:val="en-CA"/>
        </w:rPr>
        <w:t>“</w:t>
      </w:r>
      <w:r w:rsidRPr="00EE1126">
        <w:rPr>
          <w:szCs w:val="24"/>
          <w:lang w:val="en-CA"/>
        </w:rPr>
        <w:t>meets requirements</w:t>
      </w:r>
      <w:r w:rsidR="00394363">
        <w:rPr>
          <w:szCs w:val="24"/>
          <w:lang w:val="en-CA"/>
        </w:rPr>
        <w:t>” for five</w:t>
      </w:r>
      <w:r w:rsidRPr="00EE1126">
        <w:rPr>
          <w:szCs w:val="24"/>
          <w:lang w:val="en-CA"/>
        </w:rPr>
        <w:t xml:space="preserve"> performance indicators, </w:t>
      </w:r>
      <w:r w:rsidR="00394363">
        <w:rPr>
          <w:szCs w:val="24"/>
          <w:lang w:val="en-CA"/>
        </w:rPr>
        <w:t>“</w:t>
      </w:r>
      <w:r w:rsidRPr="00EE1126">
        <w:rPr>
          <w:szCs w:val="24"/>
          <w:lang w:val="en-CA"/>
        </w:rPr>
        <w:t>approaches requirements</w:t>
      </w:r>
      <w:r w:rsidR="00394363">
        <w:rPr>
          <w:szCs w:val="24"/>
          <w:lang w:val="en-CA"/>
        </w:rPr>
        <w:t>” for six</w:t>
      </w:r>
      <w:r w:rsidRPr="00EE1126">
        <w:rPr>
          <w:szCs w:val="24"/>
          <w:lang w:val="en-CA"/>
        </w:rPr>
        <w:t xml:space="preserve"> indica</w:t>
      </w:r>
      <w:r w:rsidR="00394363">
        <w:rPr>
          <w:szCs w:val="24"/>
          <w:lang w:val="en-CA"/>
        </w:rPr>
        <w:t>tors, and is still missing for three</w:t>
      </w:r>
      <w:r w:rsidRPr="00EE1126">
        <w:rPr>
          <w:szCs w:val="24"/>
          <w:lang w:val="en-CA"/>
        </w:rPr>
        <w:t xml:space="preserve">. The three missing performance indicators are (1) gender responsive auditing, (2) financial resource allocation, and (3) capacity assessment. </w:t>
      </w:r>
    </w:p>
    <w:p w14:paraId="7B9D97A0" w14:textId="77777777" w:rsidR="00EE1126" w:rsidRPr="00EE1126" w:rsidRDefault="00EE1126" w:rsidP="000D7EF4">
      <w:pPr>
        <w:tabs>
          <w:tab w:val="clear" w:pos="567"/>
          <w:tab w:val="clear" w:pos="1134"/>
          <w:tab w:val="clear" w:pos="1701"/>
          <w:tab w:val="clear" w:pos="2268"/>
          <w:tab w:val="clear" w:pos="2835"/>
        </w:tabs>
        <w:snapToGrid w:val="0"/>
        <w:spacing w:after="120"/>
        <w:jc w:val="both"/>
        <w:rPr>
          <w:szCs w:val="24"/>
          <w:lang w:val="en-CA"/>
        </w:rPr>
      </w:pPr>
      <w:r w:rsidRPr="00EE1126">
        <w:rPr>
          <w:szCs w:val="24"/>
          <w:lang w:val="en-CA"/>
        </w:rPr>
        <w:t>With aim to comply with one of the missing performance indicators and to inform the quadrennial review of the GEM policy, an audit on gender equality and mainstreaming was conducted by ITU</w:t>
      </w:r>
      <w:r w:rsidR="00394363">
        <w:rPr>
          <w:szCs w:val="24"/>
          <w:lang w:val="en-CA"/>
        </w:rPr>
        <w:t>’</w:t>
      </w:r>
      <w:r w:rsidRPr="00EE1126">
        <w:rPr>
          <w:szCs w:val="24"/>
          <w:lang w:val="en-CA"/>
        </w:rPr>
        <w:t xml:space="preserve">s internal audit division during January and February 2017. </w:t>
      </w:r>
    </w:p>
    <w:p w14:paraId="67CEDEEB" w14:textId="77777777" w:rsidR="00EE1126" w:rsidRPr="00EE1126" w:rsidRDefault="00EE1126" w:rsidP="00A24C4E">
      <w:pPr>
        <w:pStyle w:val="Heading3"/>
        <w:keepNext w:val="0"/>
        <w:keepLines w:val="0"/>
        <w:tabs>
          <w:tab w:val="clear" w:pos="567"/>
          <w:tab w:val="clear" w:pos="1134"/>
          <w:tab w:val="clear" w:pos="1701"/>
          <w:tab w:val="clear" w:pos="2268"/>
          <w:tab w:val="clear" w:pos="2835"/>
        </w:tabs>
        <w:snapToGrid w:val="0"/>
        <w:spacing w:before="120" w:after="120"/>
        <w:ind w:left="0" w:firstLine="0"/>
        <w:rPr>
          <w:rFonts w:eastAsia="SimSun"/>
          <w:szCs w:val="24"/>
        </w:rPr>
      </w:pPr>
      <w:r w:rsidRPr="00EE1126">
        <w:rPr>
          <w:szCs w:val="24"/>
        </w:rPr>
        <w:t>5.3</w:t>
      </w:r>
      <w:r w:rsidRPr="00EE1126">
        <w:rPr>
          <w:szCs w:val="24"/>
        </w:rPr>
        <w:tab/>
        <w:t>International Gender Champion of Geneva</w:t>
      </w:r>
    </w:p>
    <w:p w14:paraId="064AB8B6" w14:textId="13FA1698" w:rsidR="00EE1126" w:rsidRPr="00EE1126" w:rsidRDefault="00EE1126" w:rsidP="00A24C4E">
      <w:pPr>
        <w:tabs>
          <w:tab w:val="clear" w:pos="567"/>
          <w:tab w:val="clear" w:pos="1134"/>
          <w:tab w:val="clear" w:pos="1701"/>
          <w:tab w:val="clear" w:pos="2268"/>
          <w:tab w:val="clear" w:pos="2835"/>
        </w:tabs>
        <w:snapToGrid w:val="0"/>
        <w:spacing w:after="120"/>
        <w:jc w:val="both"/>
        <w:rPr>
          <w:rFonts w:cs="Calibri"/>
          <w:bCs/>
          <w:szCs w:val="24"/>
        </w:rPr>
      </w:pPr>
      <w:r w:rsidRPr="00EE1126">
        <w:rPr>
          <w:rFonts w:cs="Calibri"/>
          <w:bCs/>
          <w:szCs w:val="24"/>
        </w:rPr>
        <w:t xml:space="preserve">The ITU Secretary-General is a founding member of the </w:t>
      </w:r>
      <w:hyperlink r:id="rId32" w:history="1">
        <w:r w:rsidRPr="00EE1126">
          <w:rPr>
            <w:rStyle w:val="Hyperlink"/>
            <w:rFonts w:cs="Calibri"/>
            <w:bCs/>
            <w:szCs w:val="24"/>
          </w:rPr>
          <w:t>Gender Champions of Geneva</w:t>
        </w:r>
      </w:hyperlink>
      <w:r w:rsidRPr="00EE1126">
        <w:rPr>
          <w:rFonts w:cs="Calibri"/>
          <w:bCs/>
          <w:szCs w:val="24"/>
        </w:rPr>
        <w:t>. As such, the Secretary-General committed to the Panel Parity Pledge, and also committed to: (a) adopting positive measures to improve gender balance among ITU staff, and (b) encouraging gender balance among delegates attending ITU conferences and meetings</w:t>
      </w:r>
      <w:r w:rsidRPr="00EE1126">
        <w:rPr>
          <w:rFonts w:cs="Calibri"/>
          <w:b/>
          <w:szCs w:val="24"/>
        </w:rPr>
        <w:t xml:space="preserve">. </w:t>
      </w:r>
      <w:r w:rsidRPr="00EE1126">
        <w:rPr>
          <w:rFonts w:cs="Calibri"/>
          <w:bCs/>
          <w:szCs w:val="24"/>
        </w:rPr>
        <w:t>For 2017, he further pledged to: (c)</w:t>
      </w:r>
      <w:r w:rsidR="00A24C4E">
        <w:rPr>
          <w:rFonts w:cs="Calibri"/>
          <w:bCs/>
          <w:szCs w:val="24"/>
        </w:rPr>
        <w:t> </w:t>
      </w:r>
      <w:r w:rsidRPr="00EE1126">
        <w:rPr>
          <w:rFonts w:cs="Calibri"/>
          <w:bCs/>
          <w:szCs w:val="24"/>
        </w:rPr>
        <w:t>progress towards gender balance in ITU statutory committees, and (d) encourage Members States to nominate wome</w:t>
      </w:r>
      <w:r w:rsidR="00394363">
        <w:rPr>
          <w:rFonts w:cs="Calibri"/>
          <w:bCs/>
          <w:szCs w:val="24"/>
        </w:rPr>
        <w:t>n candidates for chair and vice-c</w:t>
      </w:r>
      <w:r w:rsidRPr="00EE1126">
        <w:rPr>
          <w:rFonts w:cs="Calibri"/>
          <w:bCs/>
          <w:szCs w:val="24"/>
        </w:rPr>
        <w:t>hair positions of Conferenc</w:t>
      </w:r>
      <w:r w:rsidR="00394363">
        <w:rPr>
          <w:rFonts w:cs="Calibri"/>
          <w:bCs/>
          <w:szCs w:val="24"/>
        </w:rPr>
        <w:t>es Committees, Council Working G</w:t>
      </w:r>
      <w:r w:rsidRPr="00EE1126">
        <w:rPr>
          <w:rFonts w:cs="Calibri"/>
          <w:bCs/>
          <w:szCs w:val="24"/>
        </w:rPr>
        <w:t>roups</w:t>
      </w:r>
      <w:r w:rsidR="00394363">
        <w:rPr>
          <w:rFonts w:cs="Calibri"/>
          <w:bCs/>
          <w:szCs w:val="24"/>
        </w:rPr>
        <w:t>,</w:t>
      </w:r>
      <w:r w:rsidRPr="00EE1126">
        <w:rPr>
          <w:rFonts w:cs="Calibri"/>
          <w:bCs/>
          <w:szCs w:val="24"/>
        </w:rPr>
        <w:t xml:space="preserve"> and Study Groups, as well as track, publish</w:t>
      </w:r>
      <w:r w:rsidR="00394363">
        <w:rPr>
          <w:rFonts w:cs="Calibri"/>
          <w:bCs/>
          <w:szCs w:val="24"/>
        </w:rPr>
        <w:t>,</w:t>
      </w:r>
      <w:r w:rsidRPr="00EE1126">
        <w:rPr>
          <w:rFonts w:cs="Calibri"/>
          <w:bCs/>
          <w:szCs w:val="24"/>
        </w:rPr>
        <w:t xml:space="preserve"> and mention the numbers in </w:t>
      </w:r>
      <w:r w:rsidR="00A24C4E">
        <w:rPr>
          <w:rFonts w:cs="Calibri"/>
          <w:bCs/>
          <w:szCs w:val="24"/>
        </w:rPr>
        <w:t>particular during conferences.</w:t>
      </w:r>
    </w:p>
    <w:p w14:paraId="7B9CE1B3" w14:textId="77777777" w:rsidR="00EE1126" w:rsidRPr="00EE1126" w:rsidRDefault="00EE1126" w:rsidP="00A24C4E">
      <w:pPr>
        <w:pStyle w:val="Heading3"/>
        <w:tabs>
          <w:tab w:val="clear" w:pos="567"/>
          <w:tab w:val="clear" w:pos="1134"/>
          <w:tab w:val="clear" w:pos="1701"/>
          <w:tab w:val="clear" w:pos="2268"/>
          <w:tab w:val="clear" w:pos="2835"/>
        </w:tabs>
        <w:snapToGrid w:val="0"/>
        <w:spacing w:before="120" w:after="120"/>
        <w:ind w:left="0" w:firstLine="0"/>
        <w:rPr>
          <w:rFonts w:eastAsia="SimSun" w:cs="Arial"/>
          <w:szCs w:val="24"/>
        </w:rPr>
      </w:pPr>
      <w:r w:rsidRPr="00EE1126">
        <w:rPr>
          <w:rFonts w:eastAsia="SimSun"/>
          <w:szCs w:val="24"/>
        </w:rPr>
        <w:lastRenderedPageBreak/>
        <w:t>5.4</w:t>
      </w:r>
      <w:r w:rsidRPr="00EE1126">
        <w:rPr>
          <w:rFonts w:eastAsia="SimSun"/>
          <w:szCs w:val="24"/>
        </w:rPr>
        <w:tab/>
        <w:t xml:space="preserve">Network of BR Women Engineers in the Space Sector </w:t>
      </w:r>
    </w:p>
    <w:p w14:paraId="4C8B8A16" w14:textId="77777777" w:rsidR="00EE1126" w:rsidRPr="00EE1126" w:rsidRDefault="00EE1126" w:rsidP="00A24C4E">
      <w:pPr>
        <w:keepNext/>
        <w:keepLines/>
        <w:tabs>
          <w:tab w:val="clear" w:pos="567"/>
          <w:tab w:val="clear" w:pos="1134"/>
          <w:tab w:val="clear" w:pos="1701"/>
          <w:tab w:val="clear" w:pos="2268"/>
          <w:tab w:val="clear" w:pos="2835"/>
        </w:tabs>
        <w:snapToGrid w:val="0"/>
        <w:spacing w:after="120"/>
        <w:jc w:val="both"/>
        <w:rPr>
          <w:rFonts w:eastAsia="SimSun" w:cs="Arial"/>
          <w:szCs w:val="24"/>
        </w:rPr>
      </w:pPr>
      <w:r w:rsidRPr="00EE1126">
        <w:rPr>
          <w:szCs w:val="24"/>
        </w:rPr>
        <w:t>In order to develop visibility in the Aerospace Sector</w:t>
      </w:r>
      <w:r w:rsidRPr="00EE1126">
        <w:rPr>
          <w:spacing w:val="-2"/>
          <w:szCs w:val="24"/>
        </w:rPr>
        <w:t xml:space="preserve">, BR female engineers, </w:t>
      </w:r>
      <w:r w:rsidRPr="00EE1126">
        <w:rPr>
          <w:spacing w:val="-4"/>
          <w:szCs w:val="24"/>
        </w:rPr>
        <w:t xml:space="preserve">members of </w:t>
      </w:r>
      <w:hyperlink r:id="rId33" w:history="1">
        <w:r w:rsidRPr="00EE1126">
          <w:rPr>
            <w:rStyle w:val="Hyperlink"/>
            <w:szCs w:val="24"/>
          </w:rPr>
          <w:t>Women in Aerospace Europe (WIA-E)</w:t>
        </w:r>
      </w:hyperlink>
      <w:r w:rsidRPr="00EE1126">
        <w:rPr>
          <w:szCs w:val="24"/>
        </w:rPr>
        <w:t>, continue to engage key stakeholders and delegates. In 2016 expanded activities included: (1) m</w:t>
      </w:r>
      <w:r w:rsidR="00394363">
        <w:rPr>
          <w:szCs w:val="24"/>
        </w:rPr>
        <w:t xml:space="preserve">eeting role models (SES Astra); </w:t>
      </w:r>
      <w:r w:rsidRPr="00EE1126">
        <w:rPr>
          <w:szCs w:val="24"/>
        </w:rPr>
        <w:t>(2) trainings and negotiation development (EUTElleSAT Paris)</w:t>
      </w:r>
      <w:r w:rsidR="00394363">
        <w:rPr>
          <w:szCs w:val="24"/>
        </w:rPr>
        <w:t>;</w:t>
      </w:r>
      <w:r w:rsidRPr="00EE1126">
        <w:rPr>
          <w:szCs w:val="24"/>
        </w:rPr>
        <w:t xml:space="preserve"> and (3) </w:t>
      </w:r>
      <w:r w:rsidRPr="00EE1126">
        <w:rPr>
          <w:spacing w:val="-4"/>
          <w:szCs w:val="24"/>
        </w:rPr>
        <w:t xml:space="preserve">WRC role play on Space Issue with both experienced and less experienced players, all </w:t>
      </w:r>
      <w:r w:rsidRPr="00EE1126">
        <w:rPr>
          <w:szCs w:val="24"/>
        </w:rPr>
        <w:t>with the objective of encouraging and preparing for an equal and active participation at every level in the Sector.</w:t>
      </w:r>
    </w:p>
    <w:p w14:paraId="203D43CA" w14:textId="77777777" w:rsidR="00EE1126" w:rsidRPr="00EE1126" w:rsidRDefault="00EE1126" w:rsidP="00A24C4E">
      <w:pPr>
        <w:pStyle w:val="Heading3"/>
        <w:keepNext w:val="0"/>
        <w:keepLines w:val="0"/>
        <w:tabs>
          <w:tab w:val="clear" w:pos="567"/>
          <w:tab w:val="clear" w:pos="1134"/>
          <w:tab w:val="clear" w:pos="1701"/>
          <w:tab w:val="clear" w:pos="2268"/>
          <w:tab w:val="clear" w:pos="2835"/>
        </w:tabs>
        <w:snapToGrid w:val="0"/>
        <w:spacing w:before="120" w:after="120"/>
        <w:ind w:left="0" w:firstLine="0"/>
        <w:rPr>
          <w:rFonts w:eastAsia="SimSun"/>
          <w:szCs w:val="24"/>
        </w:rPr>
      </w:pPr>
      <w:r w:rsidRPr="00EE1126">
        <w:rPr>
          <w:szCs w:val="24"/>
        </w:rPr>
        <w:t>5.5</w:t>
      </w:r>
      <w:r w:rsidRPr="00EE1126">
        <w:rPr>
          <w:szCs w:val="24"/>
        </w:rPr>
        <w:tab/>
        <w:t xml:space="preserve">Exploring Technology and Career Options at ITU </w:t>
      </w:r>
    </w:p>
    <w:p w14:paraId="695E4F08" w14:textId="77777777" w:rsidR="00EE1126" w:rsidRDefault="00EE1126" w:rsidP="00394363">
      <w:pPr>
        <w:tabs>
          <w:tab w:val="clear" w:pos="567"/>
          <w:tab w:val="clear" w:pos="1134"/>
          <w:tab w:val="clear" w:pos="1701"/>
          <w:tab w:val="clear" w:pos="2268"/>
          <w:tab w:val="clear" w:pos="2835"/>
        </w:tabs>
        <w:snapToGrid w:val="0"/>
        <w:spacing w:after="120"/>
        <w:jc w:val="both"/>
        <w:rPr>
          <w:szCs w:val="24"/>
        </w:rPr>
      </w:pPr>
      <w:r w:rsidRPr="00EE1126">
        <w:rPr>
          <w:szCs w:val="24"/>
          <w:lang w:val="en-US"/>
        </w:rPr>
        <w:t xml:space="preserve">In order to strengthen links and interaction between ITU and the local community, ITU HQ staff (SPM, HR, Staff Council, BR Engineers) participated in the </w:t>
      </w:r>
      <w:hyperlink r:id="rId34" w:history="1">
        <w:r w:rsidRPr="00EE1126">
          <w:rPr>
            <w:rStyle w:val="Hyperlink"/>
            <w:szCs w:val="24"/>
            <w:lang w:val="en-US"/>
          </w:rPr>
          <w:t>Swiss national day campaign</w:t>
        </w:r>
      </w:hyperlink>
      <w:r w:rsidRPr="00EE1126">
        <w:rPr>
          <w:szCs w:val="24"/>
          <w:lang w:val="en-US"/>
        </w:rPr>
        <w:t xml:space="preserve"> aimed to </w:t>
      </w:r>
      <w:r w:rsidRPr="00EE1126">
        <w:rPr>
          <w:szCs w:val="24"/>
          <w:lang w:val="en"/>
        </w:rPr>
        <w:t>expand awareness of career choices for schoolchildren, helping them to discover occupations and broader career options for their future.</w:t>
      </w:r>
      <w:r w:rsidRPr="00EE1126">
        <w:rPr>
          <w:szCs w:val="24"/>
          <w:lang w:val="en-US"/>
        </w:rPr>
        <w:t xml:space="preserve"> </w:t>
      </w:r>
      <w:r w:rsidRPr="00EE1126">
        <w:rPr>
          <w:szCs w:val="24"/>
        </w:rPr>
        <w:t xml:space="preserve">Held on 10 November 2016, girls and boys aged 9 to 13 were invited to ITU where they discovered ICT jobs through animations in the ICT Discovery museum and participated in workshops on robotics and radiocommunication. </w:t>
      </w:r>
    </w:p>
    <w:p w14:paraId="5588E54E" w14:textId="672DDF58" w:rsidR="00264425" w:rsidRPr="00EE1126" w:rsidRDefault="00EE1126" w:rsidP="00EE1126">
      <w:pPr>
        <w:spacing w:before="600"/>
        <w:jc w:val="center"/>
        <w:rPr>
          <w:lang w:val="en-US"/>
        </w:rPr>
      </w:pPr>
      <w:r w:rsidRPr="00EE1126">
        <w:t>_________</w:t>
      </w:r>
      <w:r w:rsidR="00802121">
        <w:t>______</w:t>
      </w:r>
    </w:p>
    <w:sectPr w:rsidR="00264425" w:rsidRPr="00EE1126" w:rsidSect="000D7EF4">
      <w:headerReference w:type="default" r:id="rId35"/>
      <w:footerReference w:type="default" r:id="rId36"/>
      <w:footerReference w:type="first" r:id="rId37"/>
      <w:pgSz w:w="11907" w:h="16834"/>
      <w:pgMar w:top="1418" w:right="1134" w:bottom="119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8A8A6" w14:textId="77777777" w:rsidR="00960686" w:rsidRDefault="00960686">
      <w:r>
        <w:separator/>
      </w:r>
    </w:p>
  </w:endnote>
  <w:endnote w:type="continuationSeparator" w:id="0">
    <w:p w14:paraId="2899F30D" w14:textId="77777777" w:rsidR="00960686" w:rsidRDefault="009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0BDE3" w14:textId="77777777" w:rsidR="00802121" w:rsidRPr="00802121" w:rsidRDefault="00802121">
    <w:pPr>
      <w:pStyle w:val="Footer"/>
      <w:rPr>
        <w:color w:val="D9D9D9" w:themeColor="background1" w:themeShade="D9"/>
      </w:rPr>
    </w:pPr>
    <w:r w:rsidRPr="00802121">
      <w:rPr>
        <w:color w:val="D9D9D9" w:themeColor="background1" w:themeShade="D9"/>
      </w:rPr>
      <w:fldChar w:fldCharType="begin"/>
    </w:r>
    <w:r w:rsidRPr="00802121">
      <w:rPr>
        <w:color w:val="D9D9D9" w:themeColor="background1" w:themeShade="D9"/>
      </w:rPr>
      <w:instrText xml:space="preserve"> FILENAME \p  \* MERGEFORMAT </w:instrText>
    </w:r>
    <w:r w:rsidRPr="00802121">
      <w:rPr>
        <w:color w:val="D9D9D9" w:themeColor="background1" w:themeShade="D9"/>
      </w:rPr>
      <w:fldChar w:fldCharType="separate"/>
    </w:r>
    <w:r w:rsidRPr="00802121">
      <w:rPr>
        <w:color w:val="D9D9D9" w:themeColor="background1" w:themeShade="D9"/>
      </w:rPr>
      <w:t>Document1</w:t>
    </w:r>
    <w:r w:rsidRPr="00802121">
      <w:rPr>
        <w:color w:val="D9D9D9" w:themeColor="background1" w:themeShade="D9"/>
      </w:rPr>
      <w:fldChar w:fldCharType="end"/>
    </w:r>
    <w:r w:rsidRPr="00802121">
      <w:rPr>
        <w:color w:val="D9D9D9" w:themeColor="background1" w:themeShade="D9"/>
      </w:rPr>
      <w:tab/>
    </w:r>
    <w:r w:rsidRPr="00802121">
      <w:rPr>
        <w:color w:val="D9D9D9" w:themeColor="background1" w:themeShade="D9"/>
      </w:rPr>
      <w:fldChar w:fldCharType="begin"/>
    </w:r>
    <w:r w:rsidRPr="00802121">
      <w:rPr>
        <w:color w:val="D9D9D9" w:themeColor="background1" w:themeShade="D9"/>
      </w:rPr>
      <w:instrText xml:space="preserve"> SAVEDATE \@ DD.MM.YY </w:instrText>
    </w:r>
    <w:r w:rsidRPr="00802121">
      <w:rPr>
        <w:color w:val="D9D9D9" w:themeColor="background1" w:themeShade="D9"/>
      </w:rPr>
      <w:fldChar w:fldCharType="separate"/>
    </w:r>
    <w:r w:rsidR="00FB6DE6">
      <w:rPr>
        <w:color w:val="D9D9D9" w:themeColor="background1" w:themeShade="D9"/>
      </w:rPr>
      <w:t>01.05.17</w:t>
    </w:r>
    <w:r w:rsidRPr="00802121">
      <w:rPr>
        <w:color w:val="D9D9D9" w:themeColor="background1" w:themeShade="D9"/>
      </w:rPr>
      <w:fldChar w:fldCharType="end"/>
    </w:r>
    <w:r w:rsidRPr="00802121">
      <w:rPr>
        <w:color w:val="D9D9D9" w:themeColor="background1" w:themeShade="D9"/>
      </w:rPr>
      <w:tab/>
    </w:r>
    <w:r w:rsidRPr="00802121">
      <w:rPr>
        <w:color w:val="D9D9D9" w:themeColor="background1" w:themeShade="D9"/>
      </w:rPr>
      <w:fldChar w:fldCharType="begin"/>
    </w:r>
    <w:r w:rsidRPr="00802121">
      <w:rPr>
        <w:color w:val="D9D9D9" w:themeColor="background1" w:themeShade="D9"/>
      </w:rPr>
      <w:instrText xml:space="preserve"> PRINTDATE \@ DD.MM.YY </w:instrText>
    </w:r>
    <w:r w:rsidRPr="00802121">
      <w:rPr>
        <w:color w:val="D9D9D9" w:themeColor="background1" w:themeShade="D9"/>
      </w:rPr>
      <w:fldChar w:fldCharType="separate"/>
    </w:r>
    <w:r w:rsidRPr="00802121">
      <w:rPr>
        <w:color w:val="D9D9D9" w:themeColor="background1" w:themeShade="D9"/>
      </w:rPr>
      <w:t>18.07.00</w:t>
    </w:r>
    <w:r w:rsidRPr="00802121">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40704" w14:textId="77777777" w:rsidR="00802121" w:rsidRDefault="00802121" w:rsidP="00802121">
    <w:pPr>
      <w:spacing w:after="120"/>
      <w:jc w:val="center"/>
    </w:pPr>
    <w:r>
      <w:t xml:space="preserve">• </w:t>
    </w:r>
    <w:hyperlink r:id="rId1" w:history="1">
      <w:r>
        <w:rPr>
          <w:rStyle w:val="Hyperlink"/>
        </w:rPr>
        <w:t>http://www.itu.int/council</w:t>
      </w:r>
    </w:hyperlink>
    <w:r>
      <w:t xml:space="preserve"> •</w:t>
    </w:r>
  </w:p>
  <w:p w14:paraId="49FB9BCF" w14:textId="77777777" w:rsidR="00BA66B2" w:rsidRPr="00802121" w:rsidRDefault="00802121">
    <w:pPr>
      <w:pStyle w:val="Footer"/>
      <w:rPr>
        <w:color w:val="D9D9D9" w:themeColor="background1" w:themeShade="D9"/>
      </w:rPr>
    </w:pPr>
    <w:r w:rsidRPr="00802121">
      <w:rPr>
        <w:color w:val="D9D9D9" w:themeColor="background1" w:themeShade="D9"/>
      </w:rPr>
      <w:fldChar w:fldCharType="begin"/>
    </w:r>
    <w:r w:rsidRPr="00802121">
      <w:rPr>
        <w:color w:val="D9D9D9" w:themeColor="background1" w:themeShade="D9"/>
      </w:rPr>
      <w:instrText xml:space="preserve"> FILENAME \p  \* MERGEFORMAT </w:instrText>
    </w:r>
    <w:r w:rsidRPr="00802121">
      <w:rPr>
        <w:color w:val="D9D9D9" w:themeColor="background1" w:themeShade="D9"/>
      </w:rPr>
      <w:fldChar w:fldCharType="separate"/>
    </w:r>
    <w:r w:rsidR="00BA66B2" w:rsidRPr="00802121">
      <w:rPr>
        <w:color w:val="D9D9D9" w:themeColor="background1" w:themeShade="D9"/>
      </w:rPr>
      <w:t>Document1</w:t>
    </w:r>
    <w:r w:rsidRPr="00802121">
      <w:rPr>
        <w:color w:val="D9D9D9" w:themeColor="background1" w:themeShade="D9"/>
      </w:rPr>
      <w:fldChar w:fldCharType="end"/>
    </w:r>
    <w:r w:rsidR="00BA66B2" w:rsidRPr="00802121">
      <w:rPr>
        <w:color w:val="D9D9D9" w:themeColor="background1" w:themeShade="D9"/>
      </w:rPr>
      <w:tab/>
    </w:r>
    <w:r w:rsidR="00BA66B2" w:rsidRPr="00802121">
      <w:rPr>
        <w:color w:val="D9D9D9" w:themeColor="background1" w:themeShade="D9"/>
      </w:rPr>
      <w:fldChar w:fldCharType="begin"/>
    </w:r>
    <w:r w:rsidR="00BA66B2" w:rsidRPr="00802121">
      <w:rPr>
        <w:color w:val="D9D9D9" w:themeColor="background1" w:themeShade="D9"/>
      </w:rPr>
      <w:instrText xml:space="preserve"> SAVEDATE \@ DD.MM.YY </w:instrText>
    </w:r>
    <w:r w:rsidR="00BA66B2" w:rsidRPr="00802121">
      <w:rPr>
        <w:color w:val="D9D9D9" w:themeColor="background1" w:themeShade="D9"/>
      </w:rPr>
      <w:fldChar w:fldCharType="separate"/>
    </w:r>
    <w:r w:rsidR="00FB6DE6">
      <w:rPr>
        <w:color w:val="D9D9D9" w:themeColor="background1" w:themeShade="D9"/>
      </w:rPr>
      <w:t>01.05.17</w:t>
    </w:r>
    <w:r w:rsidR="00BA66B2" w:rsidRPr="00802121">
      <w:rPr>
        <w:color w:val="D9D9D9" w:themeColor="background1" w:themeShade="D9"/>
      </w:rPr>
      <w:fldChar w:fldCharType="end"/>
    </w:r>
    <w:r w:rsidR="00BA66B2" w:rsidRPr="00802121">
      <w:rPr>
        <w:color w:val="D9D9D9" w:themeColor="background1" w:themeShade="D9"/>
      </w:rPr>
      <w:tab/>
    </w:r>
    <w:r w:rsidR="00BA66B2" w:rsidRPr="00802121">
      <w:rPr>
        <w:color w:val="D9D9D9" w:themeColor="background1" w:themeShade="D9"/>
      </w:rPr>
      <w:fldChar w:fldCharType="begin"/>
    </w:r>
    <w:r w:rsidR="00BA66B2" w:rsidRPr="00802121">
      <w:rPr>
        <w:color w:val="D9D9D9" w:themeColor="background1" w:themeShade="D9"/>
      </w:rPr>
      <w:instrText xml:space="preserve"> PRINTDATE \@ DD.MM.YY </w:instrText>
    </w:r>
    <w:r w:rsidR="00BA66B2" w:rsidRPr="00802121">
      <w:rPr>
        <w:color w:val="D9D9D9" w:themeColor="background1" w:themeShade="D9"/>
      </w:rPr>
      <w:fldChar w:fldCharType="separate"/>
    </w:r>
    <w:r w:rsidR="00BA66B2" w:rsidRPr="00802121">
      <w:rPr>
        <w:color w:val="D9D9D9" w:themeColor="background1" w:themeShade="D9"/>
      </w:rPr>
      <w:t>18.07.00</w:t>
    </w:r>
    <w:r w:rsidR="00BA66B2" w:rsidRPr="00802121">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6718" w14:textId="77777777" w:rsidR="00960686" w:rsidRDefault="00960686">
      <w:r>
        <w:t>____________________</w:t>
      </w:r>
    </w:p>
  </w:footnote>
  <w:footnote w:type="continuationSeparator" w:id="0">
    <w:p w14:paraId="566EF369" w14:textId="77777777" w:rsidR="00960686" w:rsidRDefault="00960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1769" w14:textId="77777777" w:rsidR="00802121" w:rsidRDefault="00802121" w:rsidP="00CE433C">
    <w:pPr>
      <w:pStyle w:val="Header"/>
    </w:pPr>
    <w:r>
      <w:fldChar w:fldCharType="begin"/>
    </w:r>
    <w:r>
      <w:instrText>PAGE</w:instrText>
    </w:r>
    <w:r>
      <w:fldChar w:fldCharType="separate"/>
    </w:r>
    <w:r w:rsidR="00FB6DE6">
      <w:rPr>
        <w:noProof/>
      </w:rPr>
      <w:t>5</w:t>
    </w:r>
    <w:r>
      <w:rPr>
        <w:noProof/>
      </w:rPr>
      <w:fldChar w:fldCharType="end"/>
    </w:r>
  </w:p>
  <w:p w14:paraId="10AEF003" w14:textId="77777777" w:rsidR="00802121" w:rsidRDefault="00802121" w:rsidP="005243FF">
    <w:pPr>
      <w:pStyle w:val="Header"/>
    </w:pPr>
    <w:r>
      <w:t>C17/6-E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49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6E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38BC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CB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6A9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AE3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C2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088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E26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FB28F7"/>
    <w:multiLevelType w:val="hybridMultilevel"/>
    <w:tmpl w:val="88C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B3CAC"/>
    <w:multiLevelType w:val="hybridMultilevel"/>
    <w:tmpl w:val="B7E8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C2E6F"/>
    <w:multiLevelType w:val="multilevel"/>
    <w:tmpl w:val="FFB6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A12196"/>
    <w:multiLevelType w:val="multilevel"/>
    <w:tmpl w:val="7336633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42ED4"/>
    <w:multiLevelType w:val="hybridMultilevel"/>
    <w:tmpl w:val="8BBC4E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787B0D"/>
    <w:multiLevelType w:val="hybridMultilevel"/>
    <w:tmpl w:val="5594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84804"/>
    <w:multiLevelType w:val="hybridMultilevel"/>
    <w:tmpl w:val="FFB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F22CF"/>
    <w:multiLevelType w:val="multilevel"/>
    <w:tmpl w:val="2ECC9184"/>
    <w:lvl w:ilvl="0">
      <w:start w:val="5"/>
      <w:numFmt w:val="decimal"/>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18" w15:restartNumberingAfterBreak="0">
    <w:nsid w:val="650D5FFE"/>
    <w:multiLevelType w:val="hybridMultilevel"/>
    <w:tmpl w:val="9C38BE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78E82B3F"/>
    <w:multiLevelType w:val="multilevel"/>
    <w:tmpl w:val="160072E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bCs/>
        <w:i w:val="0"/>
        <w:iCs w:val="0"/>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9"/>
  </w:num>
  <w:num w:numId="3">
    <w:abstractNumId w:val="11"/>
  </w:num>
  <w:num w:numId="4">
    <w:abstractNumId w:val="13"/>
  </w:num>
  <w:num w:numId="5">
    <w:abstractNumId w:val="10"/>
  </w:num>
  <w:num w:numId="6">
    <w:abstractNumId w:val="17"/>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8"/>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26"/>
    <w:rsid w:val="000210D4"/>
    <w:rsid w:val="00063016"/>
    <w:rsid w:val="00066795"/>
    <w:rsid w:val="00070007"/>
    <w:rsid w:val="00076AF6"/>
    <w:rsid w:val="00085CF2"/>
    <w:rsid w:val="00096645"/>
    <w:rsid w:val="000A4E18"/>
    <w:rsid w:val="000B1705"/>
    <w:rsid w:val="000D75B2"/>
    <w:rsid w:val="000D7EF4"/>
    <w:rsid w:val="000F20DD"/>
    <w:rsid w:val="001121F5"/>
    <w:rsid w:val="001400DC"/>
    <w:rsid w:val="00140CE1"/>
    <w:rsid w:val="0017539C"/>
    <w:rsid w:val="00175AC2"/>
    <w:rsid w:val="0017609F"/>
    <w:rsid w:val="001C628E"/>
    <w:rsid w:val="001E0F7B"/>
    <w:rsid w:val="001F7806"/>
    <w:rsid w:val="002119FD"/>
    <w:rsid w:val="002130E0"/>
    <w:rsid w:val="00264425"/>
    <w:rsid w:val="00265875"/>
    <w:rsid w:val="0027303B"/>
    <w:rsid w:val="0028109B"/>
    <w:rsid w:val="002B1F58"/>
    <w:rsid w:val="002C1C7A"/>
    <w:rsid w:val="0030160F"/>
    <w:rsid w:val="003206FF"/>
    <w:rsid w:val="00322D0D"/>
    <w:rsid w:val="00327306"/>
    <w:rsid w:val="00375E0B"/>
    <w:rsid w:val="003942D4"/>
    <w:rsid w:val="00394363"/>
    <w:rsid w:val="003958A8"/>
    <w:rsid w:val="003C2533"/>
    <w:rsid w:val="0040435A"/>
    <w:rsid w:val="00416A24"/>
    <w:rsid w:val="00431D9E"/>
    <w:rsid w:val="00433CE8"/>
    <w:rsid w:val="00434A5C"/>
    <w:rsid w:val="004544D9"/>
    <w:rsid w:val="00490E72"/>
    <w:rsid w:val="00491157"/>
    <w:rsid w:val="004921C8"/>
    <w:rsid w:val="004946D7"/>
    <w:rsid w:val="004D1851"/>
    <w:rsid w:val="004D599D"/>
    <w:rsid w:val="004E2EA5"/>
    <w:rsid w:val="004E3AEB"/>
    <w:rsid w:val="0050223C"/>
    <w:rsid w:val="005243FF"/>
    <w:rsid w:val="00564FBC"/>
    <w:rsid w:val="00582442"/>
    <w:rsid w:val="00624352"/>
    <w:rsid w:val="0064737F"/>
    <w:rsid w:val="006535F1"/>
    <w:rsid w:val="0065557D"/>
    <w:rsid w:val="00662984"/>
    <w:rsid w:val="006716BB"/>
    <w:rsid w:val="006B6680"/>
    <w:rsid w:val="006B6DCC"/>
    <w:rsid w:val="00702DEF"/>
    <w:rsid w:val="00706861"/>
    <w:rsid w:val="0075051B"/>
    <w:rsid w:val="00794D34"/>
    <w:rsid w:val="00802121"/>
    <w:rsid w:val="00813E5E"/>
    <w:rsid w:val="0083581B"/>
    <w:rsid w:val="00864AFF"/>
    <w:rsid w:val="00890BFE"/>
    <w:rsid w:val="008B4A6A"/>
    <w:rsid w:val="008C7E27"/>
    <w:rsid w:val="009173EF"/>
    <w:rsid w:val="00932906"/>
    <w:rsid w:val="00960686"/>
    <w:rsid w:val="00961B0B"/>
    <w:rsid w:val="009B38C3"/>
    <w:rsid w:val="009D5E85"/>
    <w:rsid w:val="009E17BD"/>
    <w:rsid w:val="00A04CEC"/>
    <w:rsid w:val="00A24C4E"/>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66B2"/>
    <w:rsid w:val="00BC251A"/>
    <w:rsid w:val="00BD032B"/>
    <w:rsid w:val="00BE2640"/>
    <w:rsid w:val="00C01189"/>
    <w:rsid w:val="00C374DE"/>
    <w:rsid w:val="00C47AD4"/>
    <w:rsid w:val="00C52D81"/>
    <w:rsid w:val="00C55198"/>
    <w:rsid w:val="00CA6393"/>
    <w:rsid w:val="00CB18FF"/>
    <w:rsid w:val="00CD0C08"/>
    <w:rsid w:val="00CE03FB"/>
    <w:rsid w:val="00CE433C"/>
    <w:rsid w:val="00CF1214"/>
    <w:rsid w:val="00CF33F3"/>
    <w:rsid w:val="00D06183"/>
    <w:rsid w:val="00D22C42"/>
    <w:rsid w:val="00D65041"/>
    <w:rsid w:val="00D81019"/>
    <w:rsid w:val="00DB384B"/>
    <w:rsid w:val="00E10E80"/>
    <w:rsid w:val="00E124F0"/>
    <w:rsid w:val="00E60F04"/>
    <w:rsid w:val="00E854E4"/>
    <w:rsid w:val="00EB0D6F"/>
    <w:rsid w:val="00EB2232"/>
    <w:rsid w:val="00EC5337"/>
    <w:rsid w:val="00EE1126"/>
    <w:rsid w:val="00F2150A"/>
    <w:rsid w:val="00F231D8"/>
    <w:rsid w:val="00F46C5F"/>
    <w:rsid w:val="00F94A63"/>
    <w:rsid w:val="00FA1C28"/>
    <w:rsid w:val="00FB6DE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B53CF"/>
  <w15:docId w15:val="{8546626A-CF88-4E7D-B8ED-3D2919C5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126"/>
    <w:rPr>
      <w:rFonts w:ascii="Calibri" w:hAnsi="Calibri"/>
      <w:b/>
      <w:sz w:val="28"/>
      <w:lang w:val="en-GB" w:eastAsia="en-US"/>
    </w:rPr>
  </w:style>
  <w:style w:type="character" w:customStyle="1" w:styleId="Heading3Char">
    <w:name w:val="Heading 3 Char"/>
    <w:basedOn w:val="DefaultParagraphFont"/>
    <w:link w:val="Heading3"/>
    <w:rsid w:val="00EE1126"/>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EE1126"/>
    <w:rPr>
      <w:rFonts w:ascii="Calibri" w:hAnsi="Calibri"/>
      <w:caps/>
      <w:noProof/>
      <w:sz w:val="16"/>
      <w:lang w:val="en-GB" w:eastAsia="en-US"/>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EE1126"/>
    <w:rPr>
      <w:rFonts w:ascii="Calibri" w:hAnsi="Calibri"/>
      <w:sz w:val="18"/>
      <w:lang w:val="en-GB"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character" w:customStyle="1" w:styleId="FootnoteTextChar">
    <w:name w:val="Footnote Text Char"/>
    <w:basedOn w:val="DefaultParagraphFont"/>
    <w:link w:val="FootnoteText"/>
    <w:rsid w:val="00EE1126"/>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EE112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EE1126"/>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s>
      <w:overflowPunct/>
      <w:autoSpaceDE/>
      <w:autoSpaceDN/>
      <w:adjustRightInd/>
      <w:spacing w:before="0" w:after="200" w:line="276" w:lineRule="auto"/>
      <w:ind w:right="91"/>
      <w:textAlignment w:val="auto"/>
    </w:pPr>
    <w:rPr>
      <w:rFonts w:asciiTheme="minorHAnsi" w:eastAsiaTheme="minorEastAsia" w:hAnsiTheme="minorHAnsi" w:cstheme="minorBidi"/>
      <w:sz w:val="20"/>
      <w:szCs w:val="22"/>
      <w:lang w:val="fr-CH" w:eastAsia="zh-CN"/>
    </w:rPr>
  </w:style>
  <w:style w:type="character" w:styleId="EndnoteReference">
    <w:name w:val="endnote reference"/>
    <w:basedOn w:val="DefaultParagraphFont"/>
    <w:rsid w:val="00EE1126"/>
    <w:rPr>
      <w:vertAlign w:val="superscript"/>
    </w:rPr>
  </w:style>
  <w:style w:type="paragraph" w:customStyle="1" w:styleId="firstfooter0">
    <w:name w:val="firstfooter"/>
    <w:basedOn w:val="Normal"/>
    <w:rsid w:val="00EE1126"/>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Theme="minorHAnsi" w:eastAsia="SimSun" w:hAnsiTheme="minorHAnsi" w:cstheme="minorBidi"/>
      <w:sz w:val="22"/>
      <w:szCs w:val="24"/>
      <w:lang w:val="fr-CH" w:eastAsia="zh-CN"/>
    </w:rPr>
  </w:style>
  <w:style w:type="paragraph" w:styleId="BodyTextIndent">
    <w:name w:val="Body Text Indent"/>
    <w:basedOn w:val="Normal"/>
    <w:link w:val="BodyTextIndentChar"/>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20" w:line="276" w:lineRule="auto"/>
      <w:ind w:left="283"/>
      <w:textAlignment w:val="auto"/>
    </w:pPr>
    <w:rPr>
      <w:rFonts w:ascii="Times New Roman" w:eastAsiaTheme="minorEastAsia" w:hAnsi="Times New Roman" w:cstheme="minorBidi"/>
      <w:sz w:val="22"/>
      <w:szCs w:val="22"/>
      <w:lang w:val="fr-CH" w:eastAsia="zh-CN"/>
    </w:rPr>
  </w:style>
  <w:style w:type="character" w:customStyle="1" w:styleId="BodyTextIndentChar">
    <w:name w:val="Body Text Indent Char"/>
    <w:basedOn w:val="DefaultParagraphFont"/>
    <w:link w:val="BodyTextIndent"/>
    <w:rsid w:val="00EE1126"/>
    <w:rPr>
      <w:rFonts w:ascii="Times New Roman" w:eastAsiaTheme="minorEastAsia" w:hAnsi="Times New Roman" w:cstheme="minorBidi"/>
      <w:sz w:val="22"/>
      <w:szCs w:val="22"/>
      <w:lang w:val="fr-CH"/>
    </w:rPr>
  </w:style>
  <w:style w:type="paragraph" w:customStyle="1" w:styleId="CharCharCharCharCharChar">
    <w:name w:val="Char Char Char Char Char Char"/>
    <w:basedOn w:val="Normal"/>
    <w:rsid w:val="00EE1126"/>
    <w:pPr>
      <w:widowControl w:val="0"/>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ahoma" w:eastAsia="SimSun" w:hAnsi="Tahoma" w:cstheme="minorBidi"/>
      <w:kern w:val="2"/>
      <w:sz w:val="22"/>
      <w:szCs w:val="22"/>
      <w:lang w:val="fr-CH" w:eastAsia="zh-CN"/>
    </w:rPr>
  </w:style>
  <w:style w:type="paragraph" w:styleId="ListParagraph">
    <w:name w:val="List Paragraph"/>
    <w:basedOn w:val="Normal"/>
    <w:link w:val="ListParagraphChar"/>
    <w:uiPriority w:val="34"/>
    <w:qFormat/>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link w:val="ListParagraph"/>
    <w:uiPriority w:val="34"/>
    <w:locked/>
    <w:rsid w:val="00EE1126"/>
    <w:rPr>
      <w:rFonts w:ascii="Times New Roman" w:eastAsiaTheme="minorEastAsia" w:hAnsi="Times New Roman" w:cstheme="minorBidi"/>
      <w:sz w:val="22"/>
      <w:szCs w:val="22"/>
      <w:lang w:val="fr-CH"/>
    </w:rPr>
  </w:style>
  <w:style w:type="paragraph" w:styleId="BalloonText">
    <w:name w:val="Balloon Text"/>
    <w:basedOn w:val="Normal"/>
    <w:link w:val="BalloonTextChar"/>
    <w:uiPriority w:val="99"/>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rsid w:val="00EE1126"/>
    <w:rPr>
      <w:rFonts w:ascii="Tahoma" w:eastAsiaTheme="minorEastAsia" w:hAnsi="Tahoma" w:cs="Tahoma"/>
      <w:sz w:val="16"/>
      <w:szCs w:val="16"/>
      <w:lang w:val="fr-CH"/>
    </w:rPr>
  </w:style>
  <w:style w:type="character" w:styleId="Emphasis">
    <w:name w:val="Emphasis"/>
    <w:basedOn w:val="DefaultParagraphFont"/>
    <w:uiPriority w:val="20"/>
    <w:qFormat/>
    <w:rsid w:val="00EE1126"/>
    <w:rPr>
      <w:i/>
      <w:iCs/>
    </w:rPr>
  </w:style>
  <w:style w:type="paragraph" w:styleId="NormalWeb">
    <w:name w:val="Normal (Web)"/>
    <w:basedOn w:val="Normal"/>
    <w:uiPriority w:val="99"/>
    <w:unhideWhenUsed/>
    <w:rsid w:val="00EE1126"/>
    <w:pPr>
      <w:tabs>
        <w:tab w:val="clear" w:pos="567"/>
        <w:tab w:val="clear" w:pos="1134"/>
        <w:tab w:val="clear" w:pos="1701"/>
        <w:tab w:val="clear" w:pos="2268"/>
        <w:tab w:val="clear" w:pos="2835"/>
      </w:tabs>
      <w:overflowPunct/>
      <w:autoSpaceDE/>
      <w:autoSpaceDN/>
      <w:adjustRightInd/>
      <w:spacing w:before="0" w:after="200" w:line="456" w:lineRule="atLeast"/>
      <w:textAlignment w:val="auto"/>
    </w:pPr>
    <w:rPr>
      <w:rFonts w:ascii="Verdana" w:eastAsiaTheme="minorEastAsia" w:hAnsi="Verdana" w:cstheme="minorBidi"/>
      <w:color w:val="777777"/>
      <w:sz w:val="22"/>
      <w:szCs w:val="24"/>
      <w:lang w:val="fr-CH" w:eastAsia="zh-CN"/>
    </w:rPr>
  </w:style>
  <w:style w:type="character" w:customStyle="1" w:styleId="CommentTextChar">
    <w:name w:val="Comment Text Char"/>
    <w:basedOn w:val="DefaultParagraphFont"/>
    <w:link w:val="CommentText"/>
    <w:semiHidden/>
    <w:rsid w:val="00EE1126"/>
    <w:rPr>
      <w:rFonts w:ascii="Times New Roman" w:hAnsi="Times New Roman"/>
      <w:lang w:val="en-GB" w:eastAsia="en-US"/>
    </w:rPr>
  </w:style>
  <w:style w:type="paragraph" w:styleId="CommentText">
    <w:name w:val="annotation text"/>
    <w:basedOn w:val="Normal"/>
    <w:link w:val="CommentTextChar"/>
    <w:semiHidden/>
    <w:unhideWhenUsed/>
    <w:rsid w:val="00EE1126"/>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200" w:line="276" w:lineRule="auto"/>
      <w:textAlignment w:val="auto"/>
    </w:pPr>
    <w:rPr>
      <w:rFonts w:ascii="Times New Roman" w:hAnsi="Times New Roman"/>
      <w:sz w:val="20"/>
    </w:rPr>
  </w:style>
  <w:style w:type="character" w:customStyle="1" w:styleId="CommentTextChar1">
    <w:name w:val="Comment Text Char1"/>
    <w:basedOn w:val="DefaultParagraphFont"/>
    <w:semiHidden/>
    <w:rsid w:val="00EE1126"/>
    <w:rPr>
      <w:rFonts w:ascii="Calibri" w:hAnsi="Calibri"/>
      <w:lang w:val="en-GB" w:eastAsia="en-US"/>
    </w:rPr>
  </w:style>
  <w:style w:type="character" w:customStyle="1" w:styleId="CommentSubjectChar">
    <w:name w:val="Comment Subject Char"/>
    <w:basedOn w:val="CommentTextChar"/>
    <w:link w:val="CommentSubject"/>
    <w:semiHidden/>
    <w:rsid w:val="00EE1126"/>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EE1126"/>
    <w:rPr>
      <w:b/>
      <w:bCs/>
    </w:rPr>
  </w:style>
  <w:style w:type="character" w:customStyle="1" w:styleId="CommentSubjectChar1">
    <w:name w:val="Comment Subject Char1"/>
    <w:basedOn w:val="CommentTextChar1"/>
    <w:semiHidden/>
    <w:rsid w:val="00EE1126"/>
    <w:rPr>
      <w:rFonts w:ascii="Calibri" w:hAnsi="Calibri"/>
      <w:b/>
      <w:bCs/>
      <w:lang w:val="en-GB" w:eastAsia="en-US"/>
    </w:rPr>
  </w:style>
  <w:style w:type="paragraph" w:customStyle="1" w:styleId="Default">
    <w:name w:val="Default"/>
    <w:rsid w:val="00EE1126"/>
    <w:pPr>
      <w:autoSpaceDE w:val="0"/>
      <w:autoSpaceDN w:val="0"/>
      <w:adjustRightInd w:val="0"/>
    </w:pPr>
    <w:rPr>
      <w:rFonts w:ascii="Calibri" w:eastAsia="SimSun" w:hAnsi="Calibri" w:cs="Calibri"/>
      <w:color w:val="000000"/>
      <w:sz w:val="24"/>
      <w:szCs w:val="24"/>
    </w:rPr>
  </w:style>
  <w:style w:type="character" w:styleId="Strong">
    <w:name w:val="Strong"/>
    <w:basedOn w:val="DefaultParagraphFont"/>
    <w:uiPriority w:val="22"/>
    <w:qFormat/>
    <w:rsid w:val="00EE1126"/>
    <w:rPr>
      <w:b/>
      <w:bCs/>
    </w:rPr>
  </w:style>
  <w:style w:type="table" w:styleId="TableGrid">
    <w:name w:val="Table Grid"/>
    <w:basedOn w:val="TableNormal"/>
    <w:uiPriority w:val="39"/>
    <w:rsid w:val="00EE1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332653">
      <w:bodyDiv w:val="1"/>
      <w:marLeft w:val="0"/>
      <w:marRight w:val="0"/>
      <w:marTop w:val="0"/>
      <w:marBottom w:val="0"/>
      <w:divBdr>
        <w:top w:val="none" w:sz="0" w:space="0" w:color="auto"/>
        <w:left w:val="none" w:sz="0" w:space="0" w:color="auto"/>
        <w:bottom w:val="none" w:sz="0" w:space="0" w:color="auto"/>
        <w:right w:val="none" w:sz="0" w:space="0" w:color="auto"/>
      </w:divBdr>
    </w:div>
    <w:div w:id="210483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5-CL-C-0006/en" TargetMode="External"/><Relationship Id="rId18" Type="http://schemas.openxmlformats.org/officeDocument/2006/relationships/hyperlink" Target="http://www.itu.int/en/action/gender-equality/Pages/default.aspx" TargetMode="External"/><Relationship Id="rId26" Type="http://schemas.openxmlformats.org/officeDocument/2006/relationships/hyperlink" Target="https://www.itu.int/en/ITU-R/seminars/wrs/2016/Pages/defaul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quals.org/" TargetMode="External"/><Relationship Id="rId34" Type="http://schemas.openxmlformats.org/officeDocument/2006/relationships/hyperlink" Target="http://www.futurentousgenres.ch/fr/home/" TargetMode="External"/><Relationship Id="rId7" Type="http://schemas.openxmlformats.org/officeDocument/2006/relationships/endnotes" Target="endnotes.xml"/><Relationship Id="rId12" Type="http://schemas.openxmlformats.org/officeDocument/2006/relationships/hyperlink" Target="http://www.itu.int/md/S14-CL-C-0006/en" TargetMode="External"/><Relationship Id="rId17" Type="http://schemas.openxmlformats.org/officeDocument/2006/relationships/hyperlink" Target="http://www.itu.int/md/S17-CL-INF-0008/en" TargetMode="External"/><Relationship Id="rId25" Type="http://schemas.openxmlformats.org/officeDocument/2006/relationships/hyperlink" Target="http://www.itu.int/en/action/women/gem/Pages/award-2016.aspx" TargetMode="External"/><Relationship Id="rId33" Type="http://schemas.openxmlformats.org/officeDocument/2006/relationships/hyperlink" Target="http://wia-europe.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17-CL-INF-0007/en" TargetMode="External"/><Relationship Id="rId20" Type="http://schemas.openxmlformats.org/officeDocument/2006/relationships/hyperlink" Target="http://www.itu.int/girlsinict" TargetMode="External"/><Relationship Id="rId29" Type="http://schemas.openxmlformats.org/officeDocument/2006/relationships/hyperlink" Target="http://www.itu.int/en/ITU-T/wise/Pages/WTSA-16-WISE-Even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039/en" TargetMode="External"/><Relationship Id="rId24" Type="http://schemas.openxmlformats.org/officeDocument/2006/relationships/hyperlink" Target="http://broadbandcommission.org/workinggroups/Pages/digital-gender-divide.aspx" TargetMode="External"/><Relationship Id="rId32" Type="http://schemas.openxmlformats.org/officeDocument/2006/relationships/hyperlink" Target="http://genderchampions.com/geneva-2/"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6-CL-INF-0001/en" TargetMode="External"/><Relationship Id="rId23" Type="http://schemas.openxmlformats.org/officeDocument/2006/relationships/hyperlink" Target="http://www.un.org/sustainabledevelopment/sustainable-development-goals/" TargetMode="External"/><Relationship Id="rId28" Type="http://schemas.openxmlformats.org/officeDocument/2006/relationships/hyperlink" Target="http://www.itu.int/en/ITU-R/conferences/wrc/2019/Pages/default.aspx" TargetMode="External"/><Relationship Id="rId36" Type="http://schemas.openxmlformats.org/officeDocument/2006/relationships/footer" Target="footer1.xml"/><Relationship Id="rId10" Type="http://schemas.openxmlformats.org/officeDocument/2006/relationships/hyperlink" Target="http://www.itu.int/md/S13-CL-INF-0011/en" TargetMode="External"/><Relationship Id="rId19" Type="http://schemas.openxmlformats.org/officeDocument/2006/relationships/hyperlink" Target="https://www.itu.int/genderdashboard" TargetMode="External"/><Relationship Id="rId31" Type="http://schemas.openxmlformats.org/officeDocument/2006/relationships/hyperlink" Target="https://unswap.unwomen.org/" TargetMode="External"/><Relationship Id="rId4" Type="http://schemas.openxmlformats.org/officeDocument/2006/relationships/settings" Target="settings.xml"/><Relationship Id="rId9" Type="http://schemas.openxmlformats.org/officeDocument/2006/relationships/hyperlink" Target="http://www.itu.int/pub/S-CONF-ACTF-2014" TargetMode="External"/><Relationship Id="rId14" Type="http://schemas.openxmlformats.org/officeDocument/2006/relationships/hyperlink" Target="http://www.itu.int/md/S16-CL-C-0006/en" TargetMode="External"/><Relationship Id="rId22" Type="http://schemas.openxmlformats.org/officeDocument/2006/relationships/hyperlink" Target="http://equals.org/" TargetMode="External"/><Relationship Id="rId27" Type="http://schemas.openxmlformats.org/officeDocument/2006/relationships/hyperlink" Target="http://www.itu.int/en/ITU-R/seminars/wrs/2016/Pages/NOWforWRC19.aspx" TargetMode="External"/><Relationship Id="rId30" Type="http://schemas.openxmlformats.org/officeDocument/2006/relationships/hyperlink" Target="https://www.itu.int/md/S17-CL-C-0071/en"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B1FB-C60D-4266-A685-BEA49269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ITU's activities related to Res. 70</vt:lpstr>
    </vt:vector>
  </TitlesOfParts>
  <Manager>General Secretariat - Pool</Manager>
  <Company>International Telecommunication Union (ITU)</Company>
  <LinksUpToDate>false</LinksUpToDate>
  <CharactersWithSpaces>14444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 70</dc:title>
  <dc:subject>Council 2017</dc:subject>
  <dc:creator>Brouard, Ricarda</dc:creator>
  <cp:keywords>C2017, C17</cp:keywords>
  <dc:description/>
  <cp:lastModifiedBy>Janin</cp:lastModifiedBy>
  <cp:revision>2</cp:revision>
  <cp:lastPrinted>2000-07-18T13:30:00Z</cp:lastPrinted>
  <dcterms:created xsi:type="dcterms:W3CDTF">2017-05-01T14:23:00Z</dcterms:created>
  <dcterms:modified xsi:type="dcterms:W3CDTF">2017-05-01T14:23:00Z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