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093EEB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Start w:id="2" w:name="_GoBack"/>
            <w:bookmarkEnd w:id="0"/>
            <w:bookmarkEnd w:id="2"/>
            <w:r w:rsidRPr="00093EEB">
              <w:rPr>
                <w:b/>
                <w:bCs/>
                <w:sz w:val="30"/>
                <w:szCs w:val="30"/>
              </w:rPr>
              <w:t>Consejo 2017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15-25 de mayo de 2017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3" w:name="ditulogo"/>
            <w:bookmarkEnd w:id="3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1C039E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4" w:name="dnum" w:colFirst="1" w:colLast="1"/>
            <w:bookmarkStart w:id="5" w:name="dmeeting" w:colFirst="0" w:colLast="0"/>
            <w:r>
              <w:rPr>
                <w:rFonts w:cs="Calibri"/>
                <w:b/>
                <w:szCs w:val="24"/>
              </w:rPr>
              <w:t>Punto del orden del día: PL 2.5</w:t>
            </w:r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C17/</w:t>
            </w:r>
            <w:r w:rsidR="001C039E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1" w:type="dxa"/>
          </w:tcPr>
          <w:p w:rsidR="00093EEB" w:rsidRPr="00093EEB" w:rsidRDefault="001C039E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8 de febrero de 2017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1C039E">
            <w:pPr>
              <w:pStyle w:val="Source"/>
            </w:pPr>
            <w:bookmarkStart w:id="8" w:name="dsource" w:colFirst="0" w:colLast="0"/>
            <w:bookmarkEnd w:id="1"/>
            <w:bookmarkEnd w:id="7"/>
            <w:r>
              <w:t>Informe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1C039E">
            <w:pPr>
              <w:pStyle w:val="Title1"/>
            </w:pPr>
            <w:bookmarkStart w:id="9" w:name="dtitle1" w:colFirst="0" w:colLast="0"/>
            <w:bookmarkEnd w:id="8"/>
            <w:r w:rsidRPr="00BA4F23">
              <w:t>PREPARATIVOS PARA LA CONFERENCIA DE PLENIPOTENCIARIOS DE 201</w:t>
            </w:r>
            <w:r>
              <w:t>8</w:t>
            </w:r>
          </w:p>
        </w:tc>
      </w:tr>
      <w:bookmarkEnd w:id="9"/>
    </w:tbl>
    <w:p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:rsidR="001C039E" w:rsidRPr="00026078" w:rsidRDefault="001C039E" w:rsidP="001C039E">
            <w:pPr>
              <w:rPr>
                <w:lang w:val="es-ES"/>
              </w:rPr>
            </w:pPr>
            <w:r w:rsidRPr="00026078">
              <w:rPr>
                <w:lang w:val="es-ES"/>
              </w:rPr>
              <w:t>El Consejo de la UIT, en su reunión de 201</w:t>
            </w:r>
            <w:r>
              <w:rPr>
                <w:lang w:val="es-ES"/>
              </w:rPr>
              <w:t>6</w:t>
            </w:r>
            <w:r w:rsidRPr="00026078">
              <w:rPr>
                <w:lang w:val="es-ES"/>
              </w:rPr>
              <w:t xml:space="preserve">, decidió el lugar para la celebración de la próxima Conferencia de Plenipotenciarios. </w:t>
            </w:r>
          </w:p>
          <w:p w:rsidR="00093EEB" w:rsidRPr="000B0D00" w:rsidRDefault="001C039E" w:rsidP="001C039E">
            <w:pPr>
              <w:rPr>
                <w:lang w:val="es-ES"/>
              </w:rPr>
            </w:pPr>
            <w:r w:rsidRPr="00026078">
              <w:rPr>
                <w:lang w:val="es-ES"/>
              </w:rPr>
              <w:t>El objeto del presente documento es facilitar al Consejo información actualizada acerca de la situación de los preparativos para la Conferencia de Plenipotenciarios (PP-1</w:t>
            </w:r>
            <w:r>
              <w:rPr>
                <w:lang w:val="es-ES"/>
              </w:rPr>
              <w:t>8</w:t>
            </w:r>
            <w:r w:rsidRPr="00026078">
              <w:rPr>
                <w:lang w:val="es-ES"/>
              </w:rPr>
              <w:t>).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:rsidR="00093EEB" w:rsidRPr="000B0D00" w:rsidRDefault="001C039E">
            <w:pPr>
              <w:rPr>
                <w:lang w:val="es-ES"/>
              </w:rPr>
            </w:pPr>
            <w:r w:rsidRPr="0083476E">
              <w:rPr>
                <w:rFonts w:cs="Calibri"/>
                <w:lang w:val="es-ES"/>
              </w:rPr>
              <w:t xml:space="preserve">Se invita al Consejo a </w:t>
            </w:r>
            <w:r w:rsidRPr="0083476E">
              <w:rPr>
                <w:rFonts w:cs="Calibri"/>
                <w:b/>
                <w:bCs/>
                <w:lang w:val="es-ES"/>
              </w:rPr>
              <w:t>tomar nota</w:t>
            </w:r>
            <w:r w:rsidRPr="0083476E">
              <w:rPr>
                <w:rFonts w:cs="Calibri"/>
                <w:lang w:val="es-ES"/>
              </w:rPr>
              <w:t xml:space="preserve"> de la situación actual de los preparativos para la Conferencia de Plenipotenciarios 201</w:t>
            </w:r>
            <w:r>
              <w:rPr>
                <w:rFonts w:cs="Calibri"/>
                <w:lang w:val="es-ES"/>
              </w:rPr>
              <w:t>8.</w:t>
            </w:r>
          </w:p>
          <w:p w:rsidR="00093EEB" w:rsidRPr="000B0D00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0B0D00">
              <w:rPr>
                <w:caps w:val="0"/>
                <w:sz w:val="22"/>
                <w:lang w:val="es-ES"/>
              </w:rPr>
              <w:t>____________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Referencia</w:t>
            </w:r>
          </w:p>
          <w:bookmarkStart w:id="10" w:name="lt_pId020"/>
          <w:p w:rsidR="00093EEB" w:rsidRPr="000B0D00" w:rsidRDefault="001C039E" w:rsidP="001C039E">
            <w:pPr>
              <w:spacing w:after="120"/>
              <w:rPr>
                <w:i/>
                <w:iCs/>
                <w:lang w:val="es-ES"/>
              </w:rPr>
            </w:pPr>
            <w:r w:rsidRPr="00E2113D">
              <w:fldChar w:fldCharType="begin"/>
            </w:r>
            <w:r w:rsidRPr="00E2113D">
              <w:instrText xml:space="preserve"> HYPERLINK "https://www.itu.int/pub/S-CONF-PLEN-2015" </w:instrText>
            </w:r>
            <w:r w:rsidRPr="00E2113D">
              <w:fldChar w:fldCharType="separate"/>
            </w:r>
            <w:r w:rsidRPr="00E2113D">
              <w:rPr>
                <w:rStyle w:val="Hyperlink"/>
                <w:rFonts w:asciiTheme="minorHAnsi" w:hAnsiTheme="minorHAnsi" w:cstheme="minorHAnsi"/>
                <w:lang w:val="sv-SE"/>
              </w:rPr>
              <w:t>CV 2</w:t>
            </w:r>
            <w:r w:rsidRPr="00E2113D">
              <w:fldChar w:fldCharType="end"/>
            </w:r>
            <w:r w:rsidRPr="00E2113D">
              <w:rPr>
                <w:rFonts w:asciiTheme="minorHAnsi" w:hAnsiTheme="minorHAnsi" w:cstheme="minorHAnsi"/>
                <w:lang w:val="sv-SE"/>
              </w:rPr>
              <w:t>;</w:t>
            </w:r>
            <w:bookmarkEnd w:id="10"/>
            <w:r w:rsidRPr="00E2113D">
              <w:rPr>
                <w:rFonts w:asciiTheme="minorHAnsi" w:hAnsiTheme="minorHAnsi" w:cstheme="minorHAnsi"/>
                <w:lang w:val="sv-SE"/>
              </w:rPr>
              <w:t xml:space="preserve"> </w:t>
            </w:r>
            <w:bookmarkStart w:id="11" w:name="lt_pId021"/>
            <w:r w:rsidRPr="00E2113D">
              <w:fldChar w:fldCharType="begin"/>
            </w:r>
            <w:r w:rsidRPr="00E2113D">
              <w:instrText xml:space="preserve"> HYPERLINK "https://www.itu.int/pub/S-CONF-PLEN-2015" </w:instrText>
            </w:r>
            <w:r w:rsidRPr="00E2113D">
              <w:fldChar w:fldCharType="separate"/>
            </w:r>
            <w:r w:rsidRPr="00E2113D">
              <w:rPr>
                <w:rStyle w:val="Hyperlink"/>
                <w:rFonts w:asciiTheme="minorHAnsi" w:hAnsiTheme="minorHAnsi" w:cstheme="minorHAnsi"/>
                <w:lang w:val="sv-SE"/>
              </w:rPr>
              <w:t>Res. 77 (Rev. Bus</w:t>
            </w:r>
            <w:r>
              <w:rPr>
                <w:rStyle w:val="Hyperlink"/>
                <w:rFonts w:asciiTheme="minorHAnsi" w:hAnsiTheme="minorHAnsi" w:cstheme="minorHAnsi"/>
                <w:lang w:val="sv-SE"/>
              </w:rPr>
              <w:t>á</w:t>
            </w:r>
            <w:r w:rsidRPr="00E2113D">
              <w:rPr>
                <w:rStyle w:val="Hyperlink"/>
                <w:rFonts w:asciiTheme="minorHAnsi" w:hAnsiTheme="minorHAnsi" w:cstheme="minorHAnsi"/>
                <w:lang w:val="sv-SE"/>
              </w:rPr>
              <w:t>n, 2014)</w:t>
            </w:r>
            <w:r w:rsidRPr="00E2113D">
              <w:fldChar w:fldCharType="end"/>
            </w:r>
            <w:r>
              <w:rPr>
                <w:rFonts w:asciiTheme="minorHAnsi" w:hAnsiTheme="minorHAnsi" w:cstheme="minorHAnsi"/>
                <w:lang w:val="sv-SE"/>
              </w:rPr>
              <w:t>,</w:t>
            </w:r>
            <w:r>
              <w:rPr>
                <w:lang w:val="sv-SE"/>
              </w:rPr>
              <w:t xml:space="preserve"> </w:t>
            </w:r>
            <w:hyperlink r:id="rId7" w:history="1">
              <w:r w:rsidRPr="00F3630B">
                <w:rPr>
                  <w:rStyle w:val="Hyperlink"/>
                  <w:rFonts w:asciiTheme="minorHAnsi" w:hAnsiTheme="minorHAnsi"/>
                </w:rPr>
                <w:t>Doc. PP-14/178</w:t>
              </w:r>
            </w:hyperlink>
            <w:r>
              <w:rPr>
                <w:rFonts w:asciiTheme="minorHAnsi" w:hAnsiTheme="minorHAnsi"/>
              </w:rPr>
              <w:t xml:space="preserve">, </w:t>
            </w:r>
            <w:hyperlink r:id="rId8" w:history="1">
              <w:r w:rsidRPr="00644AF2">
                <w:rPr>
                  <w:rStyle w:val="Hyperlink"/>
                  <w:rFonts w:asciiTheme="minorHAnsi" w:hAnsiTheme="minorHAnsi"/>
                  <w:sz w:val="22"/>
                  <w:szCs w:val="22"/>
                  <w:lang w:eastAsia="zh-CN"/>
                </w:rPr>
                <w:t>Doc. C16/110</w:t>
              </w:r>
            </w:hyperlink>
            <w:bookmarkEnd w:id="11"/>
          </w:p>
        </w:tc>
      </w:tr>
    </w:tbl>
    <w:p w:rsidR="001C039E" w:rsidRPr="00026078" w:rsidRDefault="00F149A1" w:rsidP="001C039E">
      <w:pPr>
        <w:pStyle w:val="Heading1"/>
      </w:pPr>
      <w:r>
        <w:t>1</w:t>
      </w:r>
      <w:r>
        <w:tab/>
      </w:r>
      <w:r w:rsidR="001C039E" w:rsidRPr="00026078">
        <w:t>Introducción</w:t>
      </w:r>
    </w:p>
    <w:p w:rsidR="001C039E" w:rsidRPr="0083476E" w:rsidRDefault="001C039E" w:rsidP="001C039E">
      <w:pPr>
        <w:rPr>
          <w:lang w:val="es-ES"/>
        </w:rPr>
      </w:pPr>
      <w:r w:rsidRPr="0083476E">
        <w:rPr>
          <w:lang w:val="es-ES"/>
        </w:rPr>
        <w:t>1.1</w:t>
      </w:r>
      <w:r w:rsidRPr="0083476E">
        <w:rPr>
          <w:lang w:val="es-ES"/>
        </w:rPr>
        <w:tab/>
        <w:t>Este documento facilita información actualizada sobre la situación de los preparativos para la Conferencia de Plenipotenciarios de 201</w:t>
      </w:r>
      <w:r>
        <w:rPr>
          <w:lang w:val="es-ES"/>
        </w:rPr>
        <w:t>8</w:t>
      </w:r>
      <w:r w:rsidRPr="0083476E">
        <w:rPr>
          <w:lang w:val="es-ES"/>
        </w:rPr>
        <w:t>.</w:t>
      </w:r>
    </w:p>
    <w:p w:rsidR="001C039E" w:rsidRPr="0083476E" w:rsidRDefault="001C039E" w:rsidP="001C039E">
      <w:pPr>
        <w:rPr>
          <w:lang w:val="es-ES"/>
        </w:rPr>
      </w:pPr>
      <w:r w:rsidRPr="0083476E">
        <w:rPr>
          <w:lang w:val="es-ES"/>
        </w:rPr>
        <w:t>1.2</w:t>
      </w:r>
      <w:r w:rsidRPr="0083476E">
        <w:rPr>
          <w:lang w:val="es-ES"/>
        </w:rPr>
        <w:tab/>
        <w:t xml:space="preserve">En </w:t>
      </w:r>
      <w:r>
        <w:rPr>
          <w:lang w:val="es-ES"/>
        </w:rPr>
        <w:t xml:space="preserve">la última Conferencia de Plenipotenciarios (PP-14) celebrada en la República de Corea, el delegado de los Emiratos Árabes Unidos propuso acoger la PP-18. </w:t>
      </w:r>
    </w:p>
    <w:p w:rsidR="001C039E" w:rsidRPr="0083476E" w:rsidRDefault="001C039E" w:rsidP="001C039E">
      <w:pPr>
        <w:rPr>
          <w:lang w:val="es-ES"/>
        </w:rPr>
      </w:pPr>
      <w:r w:rsidRPr="0083476E">
        <w:rPr>
          <w:lang w:val="es-ES"/>
        </w:rPr>
        <w:t>1.3</w:t>
      </w:r>
      <w:r w:rsidRPr="0083476E">
        <w:rPr>
          <w:lang w:val="es-ES"/>
        </w:rPr>
        <w:tab/>
        <w:t>Con arreglo al número 2 del Convenio, en caso de que el lugar concreto y las fechas exactas de una PP no hayan sido fijados por la PP anterior, éstos serán fijados por el Consejo con el acuerdo de la mayoría de los Estados Miembros.</w:t>
      </w:r>
    </w:p>
    <w:p w:rsidR="001C039E" w:rsidRPr="0083476E" w:rsidRDefault="001C039E" w:rsidP="001C039E">
      <w:pPr>
        <w:rPr>
          <w:lang w:val="es-ES"/>
        </w:rPr>
      </w:pPr>
      <w:r w:rsidRPr="0083476E">
        <w:rPr>
          <w:lang w:val="es-ES"/>
        </w:rPr>
        <w:t>1.4</w:t>
      </w:r>
      <w:r w:rsidRPr="0083476E">
        <w:rPr>
          <w:lang w:val="es-ES"/>
        </w:rPr>
        <w:tab/>
        <w:t>En su reunión de 201</w:t>
      </w:r>
      <w:r>
        <w:rPr>
          <w:lang w:val="es-ES"/>
        </w:rPr>
        <w:t>6</w:t>
      </w:r>
      <w:r w:rsidRPr="0083476E">
        <w:rPr>
          <w:lang w:val="es-ES"/>
        </w:rPr>
        <w:t xml:space="preserve">, el Consejo </w:t>
      </w:r>
      <w:r>
        <w:rPr>
          <w:lang w:val="es-ES"/>
        </w:rPr>
        <w:t>confirmó la ciudad de Dubái como lugar de celebración de la PP-18</w:t>
      </w:r>
      <w:r w:rsidRPr="0083476E">
        <w:rPr>
          <w:lang w:val="es-ES"/>
        </w:rPr>
        <w:t xml:space="preserve">. </w:t>
      </w:r>
    </w:p>
    <w:p w:rsidR="001C039E" w:rsidRPr="00026078" w:rsidRDefault="001C039E" w:rsidP="001C039E">
      <w:pPr>
        <w:pStyle w:val="Heading1"/>
      </w:pPr>
      <w:r w:rsidRPr="00026078">
        <w:lastRenderedPageBreak/>
        <w:t>2</w:t>
      </w:r>
      <w:r w:rsidRPr="00026078">
        <w:tab/>
        <w:t>Consulta</w:t>
      </w:r>
    </w:p>
    <w:p w:rsidR="001C039E" w:rsidRPr="0083476E" w:rsidRDefault="001C039E" w:rsidP="001C039E">
      <w:pPr>
        <w:rPr>
          <w:lang w:val="es-ES"/>
        </w:rPr>
      </w:pPr>
      <w:r w:rsidRPr="0083476E">
        <w:rPr>
          <w:lang w:val="es-ES"/>
        </w:rPr>
        <w:t>2.1</w:t>
      </w:r>
      <w:r w:rsidRPr="0083476E">
        <w:rPr>
          <w:lang w:val="es-ES"/>
        </w:rPr>
        <w:tab/>
        <w:t xml:space="preserve">El </w:t>
      </w:r>
      <w:r>
        <w:rPr>
          <w:lang w:val="es-ES"/>
        </w:rPr>
        <w:t>12</w:t>
      </w:r>
      <w:r w:rsidRPr="0083476E">
        <w:rPr>
          <w:lang w:val="es-ES"/>
        </w:rPr>
        <w:t xml:space="preserve"> de </w:t>
      </w:r>
      <w:r>
        <w:rPr>
          <w:lang w:val="es-ES"/>
        </w:rPr>
        <w:t>octubre</w:t>
      </w:r>
      <w:r w:rsidRPr="0083476E">
        <w:rPr>
          <w:lang w:val="es-ES"/>
        </w:rPr>
        <w:t xml:space="preserve"> de 201</w:t>
      </w:r>
      <w:r>
        <w:rPr>
          <w:lang w:val="es-ES"/>
        </w:rPr>
        <w:t>6</w:t>
      </w:r>
      <w:r w:rsidRPr="0083476E">
        <w:rPr>
          <w:lang w:val="es-ES"/>
        </w:rPr>
        <w:t xml:space="preserve">, el Secretario General </w:t>
      </w:r>
      <w:r>
        <w:rPr>
          <w:lang w:val="es-ES"/>
        </w:rPr>
        <w:t xml:space="preserve">recibió una invitación oficial del Gobierno de los Emiratos Árabes Unidos para acoger la PP-18 del lunes 29 de octubre al viernes 16 de noviembre de 2018, en el World Trade Center de Dubái. </w:t>
      </w:r>
    </w:p>
    <w:p w:rsidR="001C039E" w:rsidRDefault="001C039E" w:rsidP="001C039E">
      <w:pPr>
        <w:rPr>
          <w:lang w:val="es-ES"/>
        </w:rPr>
      </w:pPr>
      <w:r w:rsidRPr="0083476E">
        <w:rPr>
          <w:lang w:val="es-ES"/>
        </w:rPr>
        <w:t>2.2</w:t>
      </w:r>
      <w:r w:rsidRPr="0083476E">
        <w:rPr>
          <w:lang w:val="es-ES"/>
        </w:rPr>
        <w:tab/>
      </w:r>
      <w:r>
        <w:rPr>
          <w:lang w:val="es-ES"/>
        </w:rPr>
        <w:t>El 21 de octubre de 2016 (</w:t>
      </w:r>
      <w:hyperlink r:id="rId9" w:history="1">
        <w:r w:rsidRPr="006E4032">
          <w:rPr>
            <w:rStyle w:val="Hyperlink"/>
            <w:lang w:val="es-ES"/>
          </w:rPr>
          <w:t>DM-16/1012</w:t>
        </w:r>
      </w:hyperlink>
      <w:r>
        <w:rPr>
          <w:lang w:val="es-ES"/>
        </w:rPr>
        <w:t xml:space="preserve">), el Presidente del Consejo </w:t>
      </w:r>
      <w:r w:rsidR="00D200F8">
        <w:rPr>
          <w:lang w:val="es-ES"/>
        </w:rPr>
        <w:t xml:space="preserve">de </w:t>
      </w:r>
      <w:r w:rsidR="00FA7572">
        <w:rPr>
          <w:lang w:val="es-ES"/>
        </w:rPr>
        <w:t xml:space="preserve">2016 </w:t>
      </w:r>
      <w:r>
        <w:rPr>
          <w:lang w:val="es-ES"/>
        </w:rPr>
        <w:t>invitó a los Estados Miembros del Consejo a confirmar por escrito su acuerdo respecto de las fechas exactas y el lugar de celebración preciso para la PP-18.</w:t>
      </w:r>
    </w:p>
    <w:p w:rsidR="001C039E" w:rsidRDefault="001C039E" w:rsidP="001C039E">
      <w:pPr>
        <w:rPr>
          <w:lang w:val="es-ES"/>
        </w:rPr>
      </w:pPr>
      <w:r>
        <w:rPr>
          <w:lang w:val="es-ES"/>
        </w:rPr>
        <w:t>2.3</w:t>
      </w:r>
      <w:r>
        <w:rPr>
          <w:lang w:val="es-ES"/>
        </w:rPr>
        <w:tab/>
        <w:t>Tras la aprobación de los Estados Miembros del Consejo y con arreglo al número 2 del Convenio, el 13 de diciembre de 2016, el Secretario General inició una consulta (</w:t>
      </w:r>
      <w:hyperlink r:id="rId10" w:history="1">
        <w:r w:rsidRPr="006E4032">
          <w:rPr>
            <w:rStyle w:val="Hyperlink"/>
            <w:lang w:val="es-ES"/>
          </w:rPr>
          <w:t>CL-16/58</w:t>
        </w:r>
      </w:hyperlink>
      <w:r>
        <w:rPr>
          <w:lang w:val="es-ES"/>
        </w:rPr>
        <w:t>) con los Estados Miembros de la UIT solicitando su acuerdo respecto de las fechas exactas y el lugar de celebración preciso para la PP-18.</w:t>
      </w:r>
    </w:p>
    <w:p w:rsidR="001C039E" w:rsidRPr="0083476E" w:rsidRDefault="001C039E" w:rsidP="001C039E">
      <w:pPr>
        <w:rPr>
          <w:lang w:val="es-ES"/>
        </w:rPr>
      </w:pPr>
      <w:r>
        <w:rPr>
          <w:lang w:val="es-ES"/>
        </w:rPr>
        <w:t>2.4</w:t>
      </w:r>
      <w:r>
        <w:rPr>
          <w:lang w:val="es-ES"/>
        </w:rPr>
        <w:tab/>
        <w:t>El 13 de febrero de 2017, el Secretario General anunció que la consulta había obtenido el acuerdo de la mayoría necesaria de los Estados Miembros con arreglo al número 2 del Convenio (</w:t>
      </w:r>
      <w:hyperlink r:id="rId11" w:history="1">
        <w:r w:rsidRPr="006E4032">
          <w:rPr>
            <w:rStyle w:val="Hyperlink"/>
            <w:lang w:val="es-ES"/>
          </w:rPr>
          <w:t>CL-17/6</w:t>
        </w:r>
      </w:hyperlink>
      <w:r>
        <w:rPr>
          <w:lang w:val="es-ES"/>
        </w:rPr>
        <w:t xml:space="preserve">).  </w:t>
      </w:r>
    </w:p>
    <w:p w:rsidR="001C039E" w:rsidRPr="00026078" w:rsidRDefault="001C039E" w:rsidP="001C039E">
      <w:pPr>
        <w:pStyle w:val="Heading1"/>
      </w:pPr>
      <w:r w:rsidRPr="00026078">
        <w:t>3</w:t>
      </w:r>
      <w:r w:rsidRPr="00026078">
        <w:tab/>
      </w:r>
      <w:r>
        <w:t>Progresos logrados hasta la fecha</w:t>
      </w:r>
    </w:p>
    <w:p w:rsidR="001C039E" w:rsidRDefault="001C039E" w:rsidP="00021E8A">
      <w:pPr>
        <w:rPr>
          <w:lang w:val="es-ES"/>
        </w:rPr>
      </w:pPr>
      <w:r w:rsidRPr="00F512A1">
        <w:t>3.1</w:t>
      </w:r>
      <w:r w:rsidRPr="00F512A1">
        <w:tab/>
        <w:t xml:space="preserve">La UIT y </w:t>
      </w:r>
      <w:r>
        <w:t>el Gobierno de los Emiratos Árabes Unidos</w:t>
      </w:r>
      <w:r w:rsidRPr="00F512A1">
        <w:t xml:space="preserve"> están discutiendo </w:t>
      </w:r>
      <w:r w:rsidRPr="0083476E">
        <w:rPr>
          <w:lang w:val="es-ES"/>
        </w:rPr>
        <w:t>acerca de las</w:t>
      </w:r>
      <w:r w:rsidR="00021E8A">
        <w:rPr>
          <w:lang w:val="es-ES"/>
        </w:rPr>
        <w:t xml:space="preserve"> disposiciones del Acuerdo de p</w:t>
      </w:r>
      <w:r w:rsidRPr="0083476E">
        <w:rPr>
          <w:lang w:val="es-ES"/>
        </w:rPr>
        <w:t xml:space="preserve">aís </w:t>
      </w:r>
      <w:r w:rsidR="00021E8A">
        <w:rPr>
          <w:lang w:val="es-ES"/>
        </w:rPr>
        <w:t>a</w:t>
      </w:r>
      <w:r w:rsidRPr="0083476E">
        <w:rPr>
          <w:lang w:val="es-ES"/>
        </w:rPr>
        <w:t>nfitrión que habrán de firmar ambas partes.</w:t>
      </w:r>
      <w:r w:rsidR="00021E8A">
        <w:rPr>
          <w:lang w:val="es-ES"/>
        </w:rPr>
        <w:t xml:space="preserve"> La negociación del Acuerdo de país a</w:t>
      </w:r>
      <w:r w:rsidRPr="0083476E">
        <w:rPr>
          <w:lang w:val="es-ES"/>
        </w:rPr>
        <w:t>nfitrión para la PP-1</w:t>
      </w:r>
      <w:r>
        <w:rPr>
          <w:lang w:val="es-ES"/>
        </w:rPr>
        <w:t>8</w:t>
      </w:r>
      <w:r w:rsidRPr="0083476E">
        <w:rPr>
          <w:lang w:val="es-ES"/>
        </w:rPr>
        <w:t xml:space="preserve"> se </w:t>
      </w:r>
      <w:r>
        <w:rPr>
          <w:lang w:val="es-ES"/>
        </w:rPr>
        <w:t>ha efectuado</w:t>
      </w:r>
      <w:r w:rsidRPr="0083476E">
        <w:rPr>
          <w:lang w:val="es-ES"/>
        </w:rPr>
        <w:t xml:space="preserve"> sobre la base del modelo de acuerdo de país anfitrión </w:t>
      </w:r>
      <w:r>
        <w:rPr>
          <w:lang w:val="es-ES"/>
        </w:rPr>
        <w:t>aprob</w:t>
      </w:r>
      <w:r w:rsidRPr="0083476E">
        <w:rPr>
          <w:lang w:val="es-ES"/>
        </w:rPr>
        <w:t>ado por el Consejo en su reunión de 2007 y con referencia al acuerdo concluido para la PP-1</w:t>
      </w:r>
      <w:r>
        <w:rPr>
          <w:lang w:val="es-ES"/>
        </w:rPr>
        <w:t>4.</w:t>
      </w:r>
    </w:p>
    <w:p w:rsidR="001C039E" w:rsidRDefault="001C039E" w:rsidP="001C039E">
      <w:pPr>
        <w:rPr>
          <w:lang w:val="es-ES"/>
        </w:rPr>
      </w:pPr>
      <w:r>
        <w:rPr>
          <w:lang w:val="es-ES"/>
        </w:rPr>
        <w:t>3.2</w:t>
      </w:r>
      <w:r>
        <w:rPr>
          <w:lang w:val="es-ES"/>
        </w:rPr>
        <w:tab/>
        <w:t>La Secretaría de la UIT efectuó una visita al lugar del 16 al 20 de enero de 2017 a fin de reuni</w:t>
      </w:r>
      <w:r w:rsidR="00021E8A">
        <w:rPr>
          <w:lang w:val="es-ES"/>
        </w:rPr>
        <w:t>rse con sus interlocutores del país a</w:t>
      </w:r>
      <w:r>
        <w:rPr>
          <w:lang w:val="es-ES"/>
        </w:rPr>
        <w:t xml:space="preserve">nfitrión, examinar el centro de conferencias, las infraestructuras, los hoteles, preparar los planes de seguridad y comunicaciones, tratar de las cuestiones de protocolo e iniciar la organización de la logística. </w:t>
      </w:r>
    </w:p>
    <w:p w:rsidR="001C039E" w:rsidRPr="00F512A1" w:rsidRDefault="00021E8A" w:rsidP="001C039E">
      <w:r>
        <w:rPr>
          <w:lang w:val="es-ES"/>
        </w:rPr>
        <w:t>3.3</w:t>
      </w:r>
      <w:r>
        <w:rPr>
          <w:lang w:val="es-ES"/>
        </w:rPr>
        <w:tab/>
        <w:t>El país a</w:t>
      </w:r>
      <w:r w:rsidR="001C039E">
        <w:rPr>
          <w:lang w:val="es-ES"/>
        </w:rPr>
        <w:t xml:space="preserve">nfitrión ha manifestado su compromiso para que este evento sea lo más ecológico que sea posible. </w:t>
      </w:r>
    </w:p>
    <w:p w:rsidR="001C039E" w:rsidRDefault="001C039E" w:rsidP="001C039E">
      <w:pPr>
        <w:pStyle w:val="Heading1"/>
      </w:pPr>
      <w:r w:rsidRPr="00026078">
        <w:t>4</w:t>
      </w:r>
      <w:r w:rsidRPr="00026078">
        <w:tab/>
      </w:r>
      <w:r>
        <w:t>Cuestiones fundamentales</w:t>
      </w:r>
    </w:p>
    <w:p w:rsidR="001C039E" w:rsidRDefault="001C039E" w:rsidP="001C039E">
      <w:r>
        <w:t>De conformidad con el Artículo 8 de la Constitución de la UIT y sobre la base de las propuestas de los Estados Miembros y teniendo en cuenta los informes preparados por el Consejo, la Conferencia de Plenipotenciarios:</w:t>
      </w:r>
    </w:p>
    <w:p w:rsidR="001C039E" w:rsidRDefault="001C039E" w:rsidP="001C039E">
      <w:pPr>
        <w:pStyle w:val="enumlev1"/>
      </w:pPr>
      <w:r>
        <w:t>a)</w:t>
      </w:r>
      <w:r>
        <w:tab/>
        <w:t>Determinará los principios generales aplicables para alcanzar el objeto de la Unión.</w:t>
      </w:r>
    </w:p>
    <w:p w:rsidR="001C039E" w:rsidRDefault="001C039E" w:rsidP="001C039E">
      <w:pPr>
        <w:pStyle w:val="enumlev1"/>
      </w:pPr>
      <w:r>
        <w:t>b)</w:t>
      </w:r>
      <w:r>
        <w:tab/>
        <w:t>Examinará los informes del Consejo acerca de las actividades de la Unión desde la última Conferencia de Plenipotenciarios y sobre la política general y la planificación estratégica de la Unión.</w:t>
      </w:r>
    </w:p>
    <w:p w:rsidR="001C039E" w:rsidRDefault="001C039E" w:rsidP="001C039E">
      <w:pPr>
        <w:pStyle w:val="enumlev1"/>
      </w:pPr>
      <w:r>
        <w:t>c)</w:t>
      </w:r>
      <w:r>
        <w:tab/>
        <w:t>Establecerá el Plan Estratégico de la Unión y las bases del presupuesto de la Unión, y fijará los correspondientes límites financieros.</w:t>
      </w:r>
    </w:p>
    <w:p w:rsidR="001C039E" w:rsidRDefault="001C039E" w:rsidP="001C039E">
      <w:pPr>
        <w:pStyle w:val="enumlev1"/>
      </w:pPr>
      <w:r>
        <w:t>d)</w:t>
      </w:r>
      <w:r>
        <w:tab/>
        <w:t>Establecerá el número total de unidades contributivas para el periodo hasta la siguiente Conferencia de Plenipotenciarios.</w:t>
      </w:r>
    </w:p>
    <w:p w:rsidR="001C039E" w:rsidRDefault="001C039E" w:rsidP="001C039E">
      <w:pPr>
        <w:pStyle w:val="enumlev1"/>
      </w:pPr>
      <w:r>
        <w:t>e)</w:t>
      </w:r>
      <w:r>
        <w:tab/>
        <w:t>Dará las instrucciones generales relacionadas con la plantilla de personal de la Unión.</w:t>
      </w:r>
    </w:p>
    <w:p w:rsidR="001C039E" w:rsidRDefault="001C039E" w:rsidP="001C039E">
      <w:pPr>
        <w:pStyle w:val="enumlev1"/>
      </w:pPr>
      <w:r>
        <w:lastRenderedPageBreak/>
        <w:t>f)</w:t>
      </w:r>
      <w:r>
        <w:tab/>
        <w:t>Examinará y, en su caso, aprobará definitivamente las cuentas de la Unión.</w:t>
      </w:r>
    </w:p>
    <w:p w:rsidR="001C039E" w:rsidRDefault="001C039E" w:rsidP="001C039E">
      <w:pPr>
        <w:pStyle w:val="enumlev1"/>
      </w:pPr>
      <w:r>
        <w:t>g)</w:t>
      </w:r>
      <w:r>
        <w:tab/>
      </w:r>
      <w:r w:rsidRPr="00653069">
        <w:t>Elegirá a los Estados Miembros q</w:t>
      </w:r>
      <w:r>
        <w:t>ue han de constituir el Consejo.</w:t>
      </w:r>
    </w:p>
    <w:p w:rsidR="001C039E" w:rsidRDefault="001C039E" w:rsidP="001C039E">
      <w:pPr>
        <w:pStyle w:val="enumlev1"/>
      </w:pPr>
      <w:r>
        <w:t>h)</w:t>
      </w:r>
      <w:r>
        <w:tab/>
        <w:t>Elegirá al Secretario General, al Vicesecretario General y a los Directores de las Oficinas de los Sectores.</w:t>
      </w:r>
    </w:p>
    <w:p w:rsidR="001C039E" w:rsidRDefault="001C039E" w:rsidP="001C039E">
      <w:pPr>
        <w:pStyle w:val="enumlev1"/>
      </w:pPr>
      <w:r>
        <w:t>i)</w:t>
      </w:r>
      <w:r>
        <w:tab/>
      </w:r>
      <w:r w:rsidRPr="00E00797">
        <w:t>Elegirá a los miembros de la Junta del Re</w:t>
      </w:r>
      <w:r>
        <w:t>glamento de Radiocomunicaciones.</w:t>
      </w:r>
    </w:p>
    <w:p w:rsidR="001C039E" w:rsidRDefault="001C039E" w:rsidP="00D200F8">
      <w:pPr>
        <w:pStyle w:val="enumlev1"/>
      </w:pPr>
      <w:r>
        <w:t>j)</w:t>
      </w:r>
      <w:r>
        <w:tab/>
        <w:t xml:space="preserve">Examinará y, en su caso, aprobará las enmiendas propuestas a la </w:t>
      </w:r>
      <w:r w:rsidR="00D200F8">
        <w:t xml:space="preserve">presente </w:t>
      </w:r>
      <w:r>
        <w:t>Constitución y al Convenio.</w:t>
      </w:r>
    </w:p>
    <w:p w:rsidR="001C039E" w:rsidRDefault="001C039E" w:rsidP="001C039E">
      <w:pPr>
        <w:pStyle w:val="enumlev1"/>
      </w:pPr>
      <w:r>
        <w:t>k)</w:t>
      </w:r>
      <w:r>
        <w:tab/>
        <w:t>Concertará y, en su caso, revisará los acuerdos entre la Unión y otras organizaciones internacionales.</w:t>
      </w:r>
    </w:p>
    <w:p w:rsidR="001C039E" w:rsidRDefault="001C039E" w:rsidP="001C039E">
      <w:pPr>
        <w:pStyle w:val="enumlev1"/>
      </w:pPr>
      <w:r>
        <w:t>l)</w:t>
      </w:r>
      <w:r>
        <w:tab/>
        <w:t>Adoptará y enmendará el Reglamento general de las conferencias, asambleas y reuniones de la Unión.</w:t>
      </w:r>
    </w:p>
    <w:p w:rsidR="001C039E" w:rsidRDefault="001C039E" w:rsidP="001C039E">
      <w:pPr>
        <w:pStyle w:val="enumlev1"/>
      </w:pPr>
      <w:r>
        <w:t>m)</w:t>
      </w:r>
      <w:r>
        <w:tab/>
      </w:r>
      <w:r w:rsidRPr="001347F5">
        <w:t>Tratará cuantos asuntos de telecomunicación juzgue necesarios.</w:t>
      </w:r>
    </w:p>
    <w:p w:rsidR="001C039E" w:rsidRDefault="001C039E" w:rsidP="001C039E">
      <w:pPr>
        <w:pStyle w:val="Heading1"/>
      </w:pPr>
      <w:r>
        <w:t>5</w:t>
      </w:r>
      <w:r>
        <w:tab/>
        <w:t>Próximos pasos</w:t>
      </w:r>
    </w:p>
    <w:p w:rsidR="001C039E" w:rsidRDefault="001C039E" w:rsidP="001C039E">
      <w:r>
        <w:t>5.1</w:t>
      </w:r>
      <w:r>
        <w:tab/>
        <w:t>En el plano interno, la Comisión de Coordinación constituirá el Grupo Preparatorio de Dubái (GPD) con representantes de todas las Oficinas y de la Secretaría General.</w:t>
      </w:r>
    </w:p>
    <w:p w:rsidR="001C039E" w:rsidRDefault="001C039E" w:rsidP="001C039E">
      <w:r>
        <w:t>5.2</w:t>
      </w:r>
      <w:r>
        <w:tab/>
      </w:r>
      <w:r w:rsidR="00021E8A">
        <w:t>La firma del Acuerdo de país a</w:t>
      </w:r>
      <w:r>
        <w:t>nfitrión está prevista a finales de octubre de 2017 en los Emiratos Árabes Unidos, un año antes de la Conferencia de Plenipotenciarios.</w:t>
      </w:r>
    </w:p>
    <w:p w:rsidR="001C039E" w:rsidRDefault="001C039E" w:rsidP="001C039E">
      <w:pPr>
        <w:pStyle w:val="Reasons"/>
      </w:pPr>
    </w:p>
    <w:p w:rsidR="001C039E" w:rsidRDefault="001C039E" w:rsidP="001C039E">
      <w:pPr>
        <w:jc w:val="center"/>
      </w:pPr>
      <w:r>
        <w:t>______________</w:t>
      </w:r>
    </w:p>
    <w:p w:rsidR="00093EEB" w:rsidRPr="000B0D00" w:rsidRDefault="00093EEB" w:rsidP="000B0D00"/>
    <w:p w:rsidR="00726872" w:rsidRPr="00F82FEE" w:rsidRDefault="00726872" w:rsidP="00DC3D3E"/>
    <w:sectPr w:rsidR="00726872" w:rsidRPr="00F82FEE" w:rsidSect="006710F6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63" w:rsidRDefault="008A1F63">
      <w:r>
        <w:separator/>
      </w:r>
    </w:p>
  </w:endnote>
  <w:endnote w:type="continuationSeparator" w:id="0">
    <w:p w:rsidR="008A1F63" w:rsidRDefault="008A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940B92" w:rsidRDefault="0077252D" w:rsidP="00940B92">
    <w:pPr>
      <w:pStyle w:val="Footer"/>
      <w:rPr>
        <w:lang w:val="fr-CH"/>
      </w:rPr>
    </w:pPr>
    <w:r>
      <w:fldChar w:fldCharType="begin"/>
    </w:r>
    <w:r w:rsidRPr="00940B92">
      <w:rPr>
        <w:lang w:val="fr-CH"/>
      </w:rPr>
      <w:instrText xml:space="preserve"> FILENAME \p \* MERGEFORMAT </w:instrText>
    </w:r>
    <w:r>
      <w:fldChar w:fldCharType="separate"/>
    </w:r>
    <w:r w:rsidR="00940B92" w:rsidRPr="00940B92">
      <w:rPr>
        <w:lang w:val="fr-CH"/>
      </w:rPr>
      <w:t>P:\ESP\SG\CONSEIL\C17\000\005S.docx</w:t>
    </w:r>
    <w:r>
      <w:rPr>
        <w:lang w:val="en-US"/>
      </w:rPr>
      <w:fldChar w:fldCharType="end"/>
    </w:r>
    <w:r w:rsidR="00940B92" w:rsidRPr="00940B92">
      <w:rPr>
        <w:lang w:val="fr-CH"/>
      </w:rPr>
      <w:t xml:space="preserve"> (407279)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60F1C" w:rsidRPr="00940B92" w:rsidRDefault="00760F1C" w:rsidP="00940B92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63" w:rsidRDefault="008A1F63">
      <w:r>
        <w:t>____________________</w:t>
      </w:r>
    </w:p>
  </w:footnote>
  <w:footnote w:type="continuationSeparator" w:id="0">
    <w:p w:rsidR="008A1F63" w:rsidRDefault="008A1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1D1326">
      <w:rPr>
        <w:noProof/>
      </w:rPr>
      <w:t>2</w:t>
    </w:r>
    <w:r>
      <w:rPr>
        <w:noProof/>
      </w:rPr>
      <w:fldChar w:fldCharType="end"/>
    </w:r>
  </w:p>
  <w:p w:rsidR="00760F1C" w:rsidRDefault="00760F1C" w:rsidP="00B8298E">
    <w:pPr>
      <w:pStyle w:val="Header"/>
    </w:pPr>
    <w:r>
      <w:t>C</w:t>
    </w:r>
    <w:r w:rsidR="007F350B">
      <w:t>1</w:t>
    </w:r>
    <w:r w:rsidR="00B8298E">
      <w:t>7</w:t>
    </w:r>
    <w:r w:rsidR="00940B92">
      <w:t>/5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9E"/>
    <w:rsid w:val="00021E8A"/>
    <w:rsid w:val="00093EEB"/>
    <w:rsid w:val="000B0D00"/>
    <w:rsid w:val="000B7C15"/>
    <w:rsid w:val="000D1D0F"/>
    <w:rsid w:val="000F5290"/>
    <w:rsid w:val="0010165C"/>
    <w:rsid w:val="00146BFB"/>
    <w:rsid w:val="00170A9C"/>
    <w:rsid w:val="001C039E"/>
    <w:rsid w:val="001D1326"/>
    <w:rsid w:val="001F14A2"/>
    <w:rsid w:val="002801AA"/>
    <w:rsid w:val="002C4676"/>
    <w:rsid w:val="002C70B0"/>
    <w:rsid w:val="002F3CC4"/>
    <w:rsid w:val="004A7FC1"/>
    <w:rsid w:val="004B0B75"/>
    <w:rsid w:val="00513630"/>
    <w:rsid w:val="00560125"/>
    <w:rsid w:val="00585553"/>
    <w:rsid w:val="005B34D9"/>
    <w:rsid w:val="005D0CCF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60F1C"/>
    <w:rsid w:val="007657F0"/>
    <w:rsid w:val="0077252D"/>
    <w:rsid w:val="007E5DD3"/>
    <w:rsid w:val="007F350B"/>
    <w:rsid w:val="00820BE4"/>
    <w:rsid w:val="008451E8"/>
    <w:rsid w:val="008A1F63"/>
    <w:rsid w:val="00913B9C"/>
    <w:rsid w:val="00940B92"/>
    <w:rsid w:val="00956E77"/>
    <w:rsid w:val="00AA390C"/>
    <w:rsid w:val="00B0200A"/>
    <w:rsid w:val="00B574DB"/>
    <w:rsid w:val="00B826C2"/>
    <w:rsid w:val="00B8298E"/>
    <w:rsid w:val="00BD0723"/>
    <w:rsid w:val="00BD2518"/>
    <w:rsid w:val="00BF1D1C"/>
    <w:rsid w:val="00C20C59"/>
    <w:rsid w:val="00C55B1F"/>
    <w:rsid w:val="00CF1A67"/>
    <w:rsid w:val="00CF1ADB"/>
    <w:rsid w:val="00D200F8"/>
    <w:rsid w:val="00D24F5C"/>
    <w:rsid w:val="00D2750E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149A1"/>
    <w:rsid w:val="00F33BF4"/>
    <w:rsid w:val="00F7105E"/>
    <w:rsid w:val="00F75F57"/>
    <w:rsid w:val="00F82FEE"/>
    <w:rsid w:val="00FA7572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E69DAB-5FBC-4084-97F1-126C182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6-CL-C-0110/e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4-PP-C-0178/e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7-SG-CIR-0006/e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16-SG-CIR-0058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md/S16-DM-CIR-0101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5707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Ayala Martinez, Beatriz</dc:creator>
  <cp:keywords>C2017, C17</cp:keywords>
  <dc:description/>
  <cp:lastModifiedBy>Janin</cp:lastModifiedBy>
  <cp:revision>3</cp:revision>
  <cp:lastPrinted>2006-03-24T09:51:00Z</cp:lastPrinted>
  <dcterms:created xsi:type="dcterms:W3CDTF">2017-04-19T06:04:00Z</dcterms:created>
  <dcterms:modified xsi:type="dcterms:W3CDTF">2017-04-19T06:04:00Z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