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520F36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2017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>, 15-25 mai 2017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A838CC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400302">
              <w:rPr>
                <w:rFonts w:cs="Times"/>
                <w:b/>
                <w:bCs/>
                <w:szCs w:val="24"/>
              </w:rPr>
              <w:t>Point de l</w:t>
            </w:r>
            <w:r w:rsidR="005C0058">
              <w:rPr>
                <w:rFonts w:cs="Times"/>
                <w:b/>
                <w:bCs/>
                <w:szCs w:val="24"/>
              </w:rPr>
              <w:t>'</w:t>
            </w:r>
            <w:r w:rsidRPr="00400302">
              <w:rPr>
                <w:rFonts w:cs="Times"/>
                <w:b/>
                <w:bCs/>
                <w:szCs w:val="24"/>
              </w:rPr>
              <w:t>ordre du jour</w:t>
            </w:r>
            <w:bookmarkStart w:id="4" w:name="lt_pId006"/>
            <w:r w:rsidRPr="00400302">
              <w:rPr>
                <w:b/>
              </w:rPr>
              <w:t xml:space="preserve"> PL 2.5</w:t>
            </w:r>
            <w:bookmarkEnd w:id="4"/>
          </w:p>
        </w:tc>
        <w:tc>
          <w:tcPr>
            <w:tcW w:w="3261" w:type="dxa"/>
          </w:tcPr>
          <w:p w:rsidR="00520F36" w:rsidRPr="00520F36" w:rsidRDefault="00520F36" w:rsidP="00A838C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C17/</w:t>
            </w:r>
            <w:r w:rsidR="00A838CC">
              <w:rPr>
                <w:b/>
                <w:bCs/>
              </w:rPr>
              <w:t>5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A838CC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8 février</w:t>
            </w:r>
            <w:r w:rsidR="00520F36">
              <w:rPr>
                <w:b/>
                <w:bCs/>
              </w:rPr>
              <w:t xml:space="preserve"> 2017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A838CC" w:rsidP="00DF74DD">
            <w:pPr>
              <w:pStyle w:val="Source"/>
            </w:pPr>
            <w:bookmarkStart w:id="7" w:name="dsource" w:colFirst="0" w:colLast="0"/>
            <w:bookmarkEnd w:id="6"/>
            <w:r w:rsidRPr="00B2020F">
              <w:t>Rapport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A838CC" w:rsidP="00DF74DD">
            <w:pPr>
              <w:pStyle w:val="Title1"/>
            </w:pPr>
            <w:bookmarkStart w:id="8" w:name="dtitle1" w:colFirst="0" w:colLast="0"/>
            <w:bookmarkEnd w:id="7"/>
            <w:r w:rsidRPr="00400302">
              <w:t xml:space="preserve">Travaux préparatoires en vue DE LA CONFÉRENCE </w:t>
            </w:r>
            <w:r w:rsidRPr="00400302">
              <w:br/>
              <w:t>DE PLÉNIPOTENTIAIRES DE 201</w:t>
            </w:r>
            <w:r>
              <w:t>8</w:t>
            </w:r>
          </w:p>
        </w:tc>
      </w:tr>
      <w:bookmarkEnd w:id="8"/>
    </w:tbl>
    <w:p w:rsidR="00520F36" w:rsidRPr="0092392D" w:rsidRDefault="00520F36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A838CC" w:rsidRPr="00A838CC" w:rsidRDefault="00A838CC" w:rsidP="00A838CC">
            <w:pPr>
              <w:rPr>
                <w:lang w:val="fr-CH"/>
              </w:rPr>
            </w:pPr>
            <w:r w:rsidRPr="00A838CC">
              <w:rPr>
                <w:lang w:val="fr-CH"/>
              </w:rPr>
              <w:t>Le Conseil de l</w:t>
            </w:r>
            <w:r w:rsidR="005C0058">
              <w:rPr>
                <w:lang w:val="fr-CH"/>
              </w:rPr>
              <w:t>'</w:t>
            </w:r>
            <w:r w:rsidRPr="00A838CC">
              <w:rPr>
                <w:lang w:val="fr-CH"/>
              </w:rPr>
              <w:t>UIT, à sa session de 2016, a arrêté le lieu</w:t>
            </w:r>
            <w:r w:rsidR="005C0058">
              <w:rPr>
                <w:lang w:val="fr-CH"/>
              </w:rPr>
              <w:t xml:space="preserve"> </w:t>
            </w:r>
            <w:r w:rsidRPr="00A838CC">
              <w:rPr>
                <w:lang w:val="fr-CH"/>
              </w:rPr>
              <w:t>de la prochaine Conférence de plénipotentiaires</w:t>
            </w:r>
            <w:r w:rsidR="005C0058">
              <w:rPr>
                <w:lang w:val="fr-CH"/>
              </w:rPr>
              <w:t xml:space="preserve"> </w:t>
            </w:r>
            <w:r w:rsidRPr="00A838CC">
              <w:rPr>
                <w:lang w:val="fr-CH"/>
              </w:rPr>
              <w:t>.</w:t>
            </w:r>
          </w:p>
          <w:p w:rsidR="00520F36" w:rsidRPr="0092392D" w:rsidRDefault="00A838CC" w:rsidP="00A838CC">
            <w:pPr>
              <w:rPr>
                <w:lang w:val="fr-CH"/>
              </w:rPr>
            </w:pPr>
            <w:r w:rsidRPr="00A838CC">
              <w:rPr>
                <w:lang w:val="fr-CH"/>
              </w:rPr>
              <w:t>Le présent document a pour objet de présenter au Conseil un point sur l</w:t>
            </w:r>
            <w:r w:rsidR="005C0058">
              <w:rPr>
                <w:lang w:val="fr-CH"/>
              </w:rPr>
              <w:t>'</w:t>
            </w:r>
            <w:r w:rsidRPr="00A838CC">
              <w:rPr>
                <w:lang w:val="fr-CH"/>
              </w:rPr>
              <w:t>état d</w:t>
            </w:r>
            <w:r w:rsidR="005C0058">
              <w:rPr>
                <w:lang w:val="fr-CH"/>
              </w:rPr>
              <w:t>'</w:t>
            </w:r>
            <w:r w:rsidRPr="00A838CC">
              <w:rPr>
                <w:lang w:val="fr-CH"/>
              </w:rPr>
              <w:t>avancement des travaux préparatoires en vue de la Conférence de plénipotentiaires</w:t>
            </w:r>
            <w:r w:rsidR="005C0058">
              <w:rPr>
                <w:lang w:val="fr-CH"/>
              </w:rPr>
              <w:t xml:space="preserve"> </w:t>
            </w:r>
            <w:r w:rsidRPr="00A838CC">
              <w:rPr>
                <w:lang w:val="fr-CH"/>
              </w:rPr>
              <w:t>(PP-18)</w:t>
            </w:r>
            <w:r w:rsidR="00BA1E16">
              <w:rPr>
                <w:lang w:val="fr-CH"/>
              </w:rPr>
              <w:t>.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A838CC">
            <w:pPr>
              <w:rPr>
                <w:lang w:val="fr-CH"/>
              </w:rPr>
            </w:pPr>
            <w:r w:rsidRPr="00A838CC">
              <w:rPr>
                <w:lang w:val="fr-CH"/>
              </w:rPr>
              <w:t xml:space="preserve">Le Conseil est invité à </w:t>
            </w:r>
            <w:r w:rsidRPr="00CD3A0B">
              <w:rPr>
                <w:b/>
                <w:bCs/>
                <w:lang w:val="fr-CH"/>
              </w:rPr>
              <w:t>prendre note</w:t>
            </w:r>
            <w:r w:rsidRPr="00A838CC">
              <w:rPr>
                <w:lang w:val="fr-CH"/>
              </w:rPr>
              <w:t xml:space="preserve"> de l</w:t>
            </w:r>
            <w:r w:rsidR="005C0058">
              <w:rPr>
                <w:lang w:val="fr-CH"/>
              </w:rPr>
              <w:t>'</w:t>
            </w:r>
            <w:r w:rsidRPr="00A838CC">
              <w:rPr>
                <w:lang w:val="fr-CH"/>
              </w:rPr>
              <w:t>état d</w:t>
            </w:r>
            <w:r w:rsidR="005C0058">
              <w:rPr>
                <w:lang w:val="fr-CH"/>
              </w:rPr>
              <w:t>'</w:t>
            </w:r>
            <w:r w:rsidRPr="00A838CC">
              <w:rPr>
                <w:lang w:val="fr-CH"/>
              </w:rPr>
              <w:t>avancement des travaux prép</w:t>
            </w:r>
            <w:r>
              <w:rPr>
                <w:lang w:val="fr-CH"/>
              </w:rPr>
              <w:t>aratoires en vue de la</w:t>
            </w:r>
            <w:r w:rsidR="005C0058">
              <w:rPr>
                <w:lang w:val="fr-CH"/>
              </w:rPr>
              <w:t xml:space="preserve"> </w:t>
            </w:r>
            <w:r>
              <w:rPr>
                <w:lang w:val="fr-CH"/>
              </w:rPr>
              <w:t>PP-18.</w:t>
            </w:r>
          </w:p>
          <w:p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A838CC" w:rsidP="005C0058">
            <w:pPr>
              <w:spacing w:after="120"/>
              <w:rPr>
                <w:i/>
                <w:iCs/>
                <w:lang w:val="fr-CH"/>
              </w:rPr>
            </w:pPr>
            <w:r w:rsidRPr="00474BE1">
              <w:t>Numéro 2 de la Convention</w:t>
            </w:r>
            <w:r w:rsidR="00B454A8">
              <w:t xml:space="preserve"> </w:t>
            </w:r>
            <w:hyperlink r:id="rId7" w:history="1">
              <w:r w:rsidR="00B454A8" w:rsidRPr="009C50A5">
                <w:rPr>
                  <w:rStyle w:val="Hyperlink"/>
                  <w:rFonts w:asciiTheme="minorHAnsi" w:hAnsiTheme="minorHAnsi" w:cstheme="minorHAnsi"/>
                  <w:lang w:val="sv-SE"/>
                </w:rPr>
                <w:t>CV</w:t>
              </w:r>
              <w:r w:rsidR="00B454A8">
                <w:rPr>
                  <w:rStyle w:val="Hyperlink"/>
                  <w:rFonts w:asciiTheme="minorHAnsi" w:hAnsiTheme="minorHAnsi" w:cstheme="minorHAnsi"/>
                  <w:lang w:val="sv-SE"/>
                </w:rPr>
                <w:t> </w:t>
              </w:r>
              <w:r w:rsidR="00B454A8" w:rsidRPr="009C50A5">
                <w:rPr>
                  <w:rStyle w:val="Hyperlink"/>
                  <w:rFonts w:asciiTheme="minorHAnsi" w:hAnsiTheme="minorHAnsi" w:cstheme="minorHAnsi"/>
                  <w:lang w:val="sv-SE"/>
                </w:rPr>
                <w:t>2</w:t>
              </w:r>
            </w:hyperlink>
            <w:r w:rsidRPr="00B454A8">
              <w:rPr>
                <w:rFonts w:asciiTheme="minorHAnsi" w:hAnsiTheme="minorHAnsi" w:cstheme="minorHAnsi"/>
              </w:rPr>
              <w:t xml:space="preserve">; </w:t>
            </w:r>
            <w:hyperlink r:id="rId8" w:history="1">
              <w:r w:rsidRPr="00B454A8">
                <w:rPr>
                  <w:rStyle w:val="Hyperlink"/>
                  <w:rFonts w:asciiTheme="minorHAnsi" w:hAnsiTheme="minorHAnsi" w:cstheme="minorHAnsi"/>
                </w:rPr>
                <w:t>Résolution 77 (Rév. Busan, 2014)</w:t>
              </w:r>
            </w:hyperlink>
            <w:r w:rsidRPr="00B454A8">
              <w:rPr>
                <w:rFonts w:asciiTheme="minorHAnsi" w:hAnsiTheme="minorHAnsi" w:cstheme="minorHAnsi"/>
              </w:rPr>
              <w:t xml:space="preserve">; </w:t>
            </w:r>
            <w:hyperlink r:id="rId9" w:history="1">
              <w:r w:rsidRPr="00CD3A0B">
                <w:rPr>
                  <w:rStyle w:val="Hyperlink"/>
                  <w:rFonts w:asciiTheme="minorHAnsi" w:hAnsiTheme="minorHAnsi" w:cstheme="minorHAnsi"/>
                  <w:bCs/>
                </w:rPr>
                <w:t>Document</w:t>
              </w:r>
              <w:r w:rsidR="00624D49" w:rsidRPr="00CD3A0B">
                <w:rPr>
                  <w:rStyle w:val="Hyperlink"/>
                  <w:rFonts w:asciiTheme="minorHAnsi" w:hAnsiTheme="minorHAnsi" w:cstheme="minorHAnsi"/>
                  <w:bCs/>
                </w:rPr>
                <w:t> PP</w:t>
              </w:r>
              <w:r w:rsidR="00624D49" w:rsidRPr="00CD3A0B">
                <w:rPr>
                  <w:rStyle w:val="Hyperlink"/>
                  <w:rFonts w:asciiTheme="minorHAnsi" w:hAnsiTheme="minorHAnsi" w:cstheme="minorHAnsi"/>
                  <w:bCs/>
                </w:rPr>
                <w:noBreakHyphen/>
              </w:r>
              <w:r w:rsidRPr="00CD3A0B">
                <w:rPr>
                  <w:rStyle w:val="Hyperlink"/>
                  <w:rFonts w:asciiTheme="minorHAnsi" w:hAnsiTheme="minorHAnsi" w:cstheme="minorHAnsi"/>
                  <w:bCs/>
                </w:rPr>
                <w:t>14/178</w:t>
              </w:r>
              <w:bookmarkStart w:id="9" w:name="lt_pId021"/>
            </w:hyperlink>
            <w:r w:rsidRPr="00B454A8">
              <w:rPr>
                <w:rFonts w:asciiTheme="minorHAnsi" w:hAnsiTheme="minorHAnsi"/>
              </w:rPr>
              <w:t xml:space="preserve">, </w:t>
            </w:r>
            <w:hyperlink r:id="rId10" w:history="1">
              <w:r w:rsidRPr="00B454A8">
                <w:rPr>
                  <w:rStyle w:val="Hyperlink"/>
                  <w:rFonts w:asciiTheme="minorHAnsi" w:hAnsiTheme="minorHAnsi" w:cstheme="minorHAnsi"/>
                  <w:bCs/>
                </w:rPr>
                <w:t>Document</w:t>
              </w:r>
              <w:r w:rsidRPr="00B454A8">
                <w:rPr>
                  <w:rStyle w:val="Hyperlink"/>
                </w:rPr>
                <w:t xml:space="preserve"> </w:t>
              </w:r>
              <w:r w:rsidRPr="00B454A8">
                <w:rPr>
                  <w:rStyle w:val="Hyperlink"/>
                  <w:rFonts w:asciiTheme="minorHAnsi" w:hAnsiTheme="minorHAnsi"/>
                  <w:sz w:val="22"/>
                  <w:szCs w:val="22"/>
                  <w:lang w:eastAsia="zh-CN"/>
                </w:rPr>
                <w:t>C16/110</w:t>
              </w:r>
              <w:bookmarkEnd w:id="9"/>
            </w:hyperlink>
          </w:p>
        </w:tc>
      </w:tr>
    </w:tbl>
    <w:p w:rsidR="00A838CC" w:rsidRPr="00757311" w:rsidRDefault="00A838CC" w:rsidP="00A838CC">
      <w:pPr>
        <w:pStyle w:val="Heading1"/>
        <w:rPr>
          <w:sz w:val="24"/>
          <w:szCs w:val="18"/>
        </w:rPr>
      </w:pPr>
      <w:r w:rsidRPr="00757311">
        <w:rPr>
          <w:sz w:val="24"/>
          <w:szCs w:val="18"/>
        </w:rPr>
        <w:t>1</w:t>
      </w:r>
      <w:r w:rsidRPr="00757311">
        <w:rPr>
          <w:sz w:val="24"/>
          <w:szCs w:val="18"/>
        </w:rPr>
        <w:tab/>
      </w:r>
      <w:bookmarkStart w:id="10" w:name="lt_pId023"/>
      <w:r w:rsidRPr="00757311">
        <w:rPr>
          <w:sz w:val="24"/>
          <w:szCs w:val="18"/>
        </w:rPr>
        <w:t>Introduction</w:t>
      </w:r>
      <w:bookmarkEnd w:id="10"/>
    </w:p>
    <w:p w:rsidR="00A838CC" w:rsidRPr="00A838CC" w:rsidRDefault="00A838CC" w:rsidP="00A838C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</w:rPr>
      </w:pPr>
      <w:r w:rsidRPr="00A838CC">
        <w:rPr>
          <w:rFonts w:asciiTheme="minorHAnsi" w:eastAsia="SimSun" w:hAnsiTheme="minorHAnsi" w:cstheme="minorHAnsi"/>
          <w:bCs/>
          <w:lang w:eastAsia="zh-CN"/>
        </w:rPr>
        <w:t>1.1</w:t>
      </w:r>
      <w:r w:rsidRPr="00A838CC">
        <w:rPr>
          <w:rFonts w:asciiTheme="minorHAnsi" w:eastAsia="SimSun" w:hAnsiTheme="minorHAnsi" w:cstheme="minorHAnsi"/>
          <w:bCs/>
          <w:lang w:eastAsia="zh-CN"/>
        </w:rPr>
        <w:tab/>
      </w:r>
      <w:bookmarkStart w:id="11" w:name="lt_pId025"/>
      <w:r w:rsidRPr="00A838CC">
        <w:t>Le présent document fait le point sur l</w:t>
      </w:r>
      <w:r w:rsidR="005C0058">
        <w:t>'</w:t>
      </w:r>
      <w:r w:rsidRPr="00A838CC">
        <w:t>état d</w:t>
      </w:r>
      <w:r w:rsidR="005C0058">
        <w:t>'</w:t>
      </w:r>
      <w:r w:rsidRPr="00A838CC">
        <w:t>avancement des travaux préparatoires en vue de la Conférence de plénipotentiaires de</w:t>
      </w:r>
      <w:r w:rsidR="005C0058">
        <w:t xml:space="preserve"> </w:t>
      </w:r>
      <w:r w:rsidRPr="00A838CC">
        <w:rPr>
          <w:rFonts w:asciiTheme="minorHAnsi" w:hAnsiTheme="minorHAnsi" w:cstheme="minorHAnsi"/>
          <w:bCs/>
        </w:rPr>
        <w:t>2018</w:t>
      </w:r>
      <w:r w:rsidR="005C0058">
        <w:rPr>
          <w:rFonts w:asciiTheme="minorHAnsi" w:hAnsiTheme="minorHAnsi" w:cstheme="minorHAnsi"/>
          <w:bCs/>
        </w:rPr>
        <w:t xml:space="preserve"> </w:t>
      </w:r>
      <w:r w:rsidRPr="00A838CC">
        <w:rPr>
          <w:rFonts w:asciiTheme="minorHAnsi" w:hAnsiTheme="minorHAnsi" w:cstheme="minorHAnsi"/>
          <w:bCs/>
        </w:rPr>
        <w:t>(PP-18).</w:t>
      </w:r>
      <w:bookmarkEnd w:id="11"/>
    </w:p>
    <w:p w:rsidR="00A838CC" w:rsidRPr="00A838CC" w:rsidRDefault="00A838CC" w:rsidP="00B454A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</w:rPr>
      </w:pPr>
      <w:r w:rsidRPr="00A838CC">
        <w:rPr>
          <w:rFonts w:asciiTheme="minorHAnsi" w:hAnsiTheme="minorHAnsi" w:cstheme="minorHAnsi"/>
          <w:bCs/>
        </w:rPr>
        <w:t>1.2</w:t>
      </w:r>
      <w:r w:rsidRPr="00A838CC">
        <w:rPr>
          <w:rFonts w:asciiTheme="minorHAnsi" w:hAnsiTheme="minorHAnsi" w:cstheme="minorHAnsi"/>
          <w:bCs/>
        </w:rPr>
        <w:tab/>
      </w:r>
      <w:bookmarkStart w:id="12" w:name="lt_pId027"/>
      <w:r w:rsidRPr="00A838CC">
        <w:rPr>
          <w:rFonts w:asciiTheme="minorHAnsi" w:hAnsiTheme="minorHAnsi" w:cstheme="minorHAnsi"/>
          <w:bCs/>
        </w:rPr>
        <w:t>Au cours de la dernière</w:t>
      </w:r>
      <w:r w:rsidRPr="00A838CC">
        <w:t xml:space="preserve"> Conférence de plénipotentiaires</w:t>
      </w:r>
      <w:r w:rsidRPr="00A838CC">
        <w:rPr>
          <w:rFonts w:asciiTheme="minorHAnsi" w:hAnsiTheme="minorHAnsi" w:cstheme="minorHAnsi"/>
          <w:bCs/>
        </w:rPr>
        <w:t xml:space="preserve"> (PP-14) tenue en République de Corée, le délégué des Emirats arabes unis a proposé</w:t>
      </w:r>
      <w:r w:rsidR="005C0058">
        <w:rPr>
          <w:rFonts w:asciiTheme="minorHAnsi" w:hAnsiTheme="minorHAnsi" w:cstheme="minorHAnsi"/>
          <w:bCs/>
        </w:rPr>
        <w:t xml:space="preserve"> </w:t>
      </w:r>
      <w:r w:rsidRPr="00A838CC">
        <w:rPr>
          <w:rFonts w:asciiTheme="minorHAnsi" w:hAnsiTheme="minorHAnsi" w:cstheme="minorHAnsi"/>
          <w:bCs/>
        </w:rPr>
        <w:t>d</w:t>
      </w:r>
      <w:r w:rsidR="005C0058">
        <w:rPr>
          <w:rFonts w:asciiTheme="minorHAnsi" w:hAnsiTheme="minorHAnsi" w:cstheme="minorHAnsi"/>
          <w:bCs/>
        </w:rPr>
        <w:t>'</w:t>
      </w:r>
      <w:r w:rsidRPr="00A838CC">
        <w:rPr>
          <w:rFonts w:asciiTheme="minorHAnsi" w:hAnsiTheme="minorHAnsi" w:cstheme="minorHAnsi"/>
          <w:bCs/>
        </w:rPr>
        <w:t>accueillir la</w:t>
      </w:r>
      <w:r w:rsidR="005C0058">
        <w:rPr>
          <w:rFonts w:asciiTheme="minorHAnsi" w:hAnsiTheme="minorHAnsi" w:cstheme="minorHAnsi"/>
          <w:bCs/>
        </w:rPr>
        <w:t xml:space="preserve"> </w:t>
      </w:r>
      <w:r w:rsidRPr="00A838CC">
        <w:rPr>
          <w:rFonts w:asciiTheme="minorHAnsi" w:hAnsiTheme="minorHAnsi" w:cstheme="minorHAnsi"/>
          <w:bCs/>
        </w:rPr>
        <w:t>PP-18.</w:t>
      </w:r>
      <w:bookmarkEnd w:id="12"/>
    </w:p>
    <w:p w:rsidR="00A838CC" w:rsidRPr="00A838CC" w:rsidRDefault="00A838CC" w:rsidP="00A838C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</w:rPr>
      </w:pPr>
      <w:r w:rsidRPr="00A838CC">
        <w:rPr>
          <w:rFonts w:asciiTheme="minorHAnsi" w:hAnsiTheme="minorHAnsi" w:cstheme="minorHAnsi"/>
          <w:bCs/>
        </w:rPr>
        <w:t>1.3</w:t>
      </w:r>
      <w:r w:rsidRPr="00A838CC">
        <w:rPr>
          <w:rFonts w:asciiTheme="minorHAnsi" w:hAnsiTheme="minorHAnsi" w:cstheme="minorHAnsi"/>
          <w:bCs/>
        </w:rPr>
        <w:tab/>
      </w:r>
      <w:bookmarkStart w:id="13" w:name="lt_pId029"/>
      <w:r w:rsidRPr="00A838CC">
        <w:t>En vertu du numéro 2 de la Convention, dans le cas où le lieu précis et les dates exactes d</w:t>
      </w:r>
      <w:r w:rsidR="005C0058">
        <w:t>'</w:t>
      </w:r>
      <w:r w:rsidRPr="00A838CC">
        <w:t>une PP n</w:t>
      </w:r>
      <w:r w:rsidR="005C0058">
        <w:t>'</w:t>
      </w:r>
      <w:r w:rsidRPr="00A838CC">
        <w:t>ont pas pu être fixés par la PP précédente, ce lieu et ces dates sont déterminés par le Conseil, avec l</w:t>
      </w:r>
      <w:r w:rsidR="005C0058">
        <w:t>'</w:t>
      </w:r>
      <w:r w:rsidRPr="00A838CC">
        <w:t>accord de la majorité des Etats Membres.</w:t>
      </w:r>
      <w:bookmarkEnd w:id="13"/>
      <w:r w:rsidR="005C0058">
        <w:t xml:space="preserve"> </w:t>
      </w:r>
    </w:p>
    <w:p w:rsidR="00A838CC" w:rsidRPr="00A838CC" w:rsidRDefault="00A838CC" w:rsidP="00A838C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</w:rPr>
      </w:pPr>
      <w:r w:rsidRPr="00A838CC">
        <w:rPr>
          <w:rFonts w:asciiTheme="minorHAnsi" w:hAnsiTheme="minorHAnsi" w:cstheme="minorHAnsi"/>
          <w:bCs/>
        </w:rPr>
        <w:t>1.4</w:t>
      </w:r>
      <w:r w:rsidRPr="00A838CC">
        <w:rPr>
          <w:rFonts w:asciiTheme="minorHAnsi" w:hAnsiTheme="minorHAnsi" w:cstheme="minorHAnsi"/>
          <w:bCs/>
        </w:rPr>
        <w:tab/>
      </w:r>
      <w:bookmarkStart w:id="14" w:name="lt_pId031"/>
      <w:r w:rsidRPr="00A838CC">
        <w:rPr>
          <w:rFonts w:asciiTheme="minorHAnsi" w:hAnsiTheme="minorHAnsi" w:cstheme="minorHAnsi"/>
          <w:bCs/>
        </w:rPr>
        <w:t>A sa session de</w:t>
      </w:r>
      <w:r w:rsidR="005C0058">
        <w:rPr>
          <w:rFonts w:asciiTheme="minorHAnsi" w:hAnsiTheme="minorHAnsi" w:cstheme="minorHAnsi"/>
          <w:bCs/>
        </w:rPr>
        <w:t xml:space="preserve"> </w:t>
      </w:r>
      <w:r w:rsidRPr="00A838CC">
        <w:rPr>
          <w:rFonts w:asciiTheme="minorHAnsi" w:hAnsiTheme="minorHAnsi" w:cstheme="minorHAnsi"/>
          <w:bCs/>
        </w:rPr>
        <w:t>2016, le</w:t>
      </w:r>
      <w:r w:rsidR="005C0058">
        <w:rPr>
          <w:rFonts w:asciiTheme="minorHAnsi" w:hAnsiTheme="minorHAnsi" w:cstheme="minorHAnsi"/>
          <w:bCs/>
        </w:rPr>
        <w:t xml:space="preserve"> </w:t>
      </w:r>
      <w:r w:rsidRPr="00A838CC">
        <w:rPr>
          <w:rFonts w:asciiTheme="minorHAnsi" w:hAnsiTheme="minorHAnsi" w:cstheme="minorHAnsi"/>
          <w:bCs/>
        </w:rPr>
        <w:t>Conseil a confirmé que la PP-18 aurait lieu dans la ville de</w:t>
      </w:r>
      <w:r w:rsidR="005C0058">
        <w:rPr>
          <w:rFonts w:asciiTheme="minorHAnsi" w:hAnsiTheme="minorHAnsi" w:cstheme="minorHAnsi"/>
          <w:bCs/>
        </w:rPr>
        <w:t xml:space="preserve"> </w:t>
      </w:r>
      <w:bookmarkEnd w:id="14"/>
      <w:r w:rsidR="005C0058" w:rsidRPr="00A838CC">
        <w:rPr>
          <w:rFonts w:asciiTheme="minorHAnsi" w:hAnsiTheme="minorHAnsi" w:cstheme="minorHAnsi"/>
          <w:bCs/>
        </w:rPr>
        <w:t>Dubaï</w:t>
      </w:r>
      <w:r w:rsidR="005C0058">
        <w:rPr>
          <w:rFonts w:asciiTheme="minorHAnsi" w:hAnsiTheme="minorHAnsi" w:cstheme="minorHAnsi"/>
          <w:bCs/>
        </w:rPr>
        <w:t>.</w:t>
      </w:r>
    </w:p>
    <w:p w:rsidR="00A838CC" w:rsidRPr="00757311" w:rsidRDefault="00A838CC" w:rsidP="00A838CC">
      <w:pPr>
        <w:pStyle w:val="Heading1"/>
        <w:rPr>
          <w:sz w:val="24"/>
          <w:szCs w:val="18"/>
        </w:rPr>
      </w:pPr>
      <w:r w:rsidRPr="00757311">
        <w:rPr>
          <w:sz w:val="24"/>
          <w:szCs w:val="18"/>
        </w:rPr>
        <w:lastRenderedPageBreak/>
        <w:t>2</w:t>
      </w:r>
      <w:r w:rsidRPr="00757311">
        <w:rPr>
          <w:sz w:val="24"/>
          <w:szCs w:val="18"/>
        </w:rPr>
        <w:tab/>
      </w:r>
      <w:bookmarkStart w:id="15" w:name="lt_pId033"/>
      <w:r w:rsidRPr="00757311">
        <w:rPr>
          <w:sz w:val="24"/>
          <w:szCs w:val="18"/>
        </w:rPr>
        <w:t>Consultation</w:t>
      </w:r>
      <w:bookmarkEnd w:id="15"/>
      <w:r w:rsidRPr="00757311">
        <w:rPr>
          <w:sz w:val="24"/>
          <w:szCs w:val="18"/>
        </w:rPr>
        <w:t xml:space="preserve"> </w:t>
      </w:r>
    </w:p>
    <w:p w:rsidR="00A838CC" w:rsidRPr="00A838CC" w:rsidRDefault="00A838CC" w:rsidP="005C0058">
      <w:pPr>
        <w:pStyle w:val="BodyText3"/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cstheme="minorHAnsi"/>
          <w:b/>
          <w:bCs/>
          <w:color w:val="800000"/>
          <w:sz w:val="22"/>
          <w:lang w:val="fr-FR"/>
        </w:rPr>
      </w:pPr>
      <w:r w:rsidRPr="00A838CC">
        <w:rPr>
          <w:rFonts w:asciiTheme="minorHAnsi" w:hAnsiTheme="minorHAnsi" w:cstheme="minorHAnsi"/>
          <w:bCs/>
          <w:sz w:val="24"/>
          <w:lang w:val="fr-FR"/>
        </w:rPr>
        <w:t>2.1</w:t>
      </w:r>
      <w:r w:rsidRPr="00A838CC">
        <w:rPr>
          <w:rFonts w:asciiTheme="minorHAnsi" w:hAnsiTheme="minorHAnsi" w:cstheme="minorHAnsi"/>
          <w:bCs/>
          <w:sz w:val="24"/>
          <w:lang w:val="fr-FR"/>
        </w:rPr>
        <w:tab/>
      </w:r>
      <w:bookmarkStart w:id="16" w:name="lt_pId035"/>
      <w:r w:rsidRPr="00A838CC">
        <w:rPr>
          <w:rFonts w:asciiTheme="minorHAnsi" w:hAnsiTheme="minorHAnsi" w:cstheme="minorHAnsi"/>
          <w:bCs/>
          <w:sz w:val="24"/>
          <w:lang w:val="fr-FR"/>
        </w:rPr>
        <w:t xml:space="preserve">Le 12 octobre 2016, le Secrétaire </w:t>
      </w:r>
      <w:r w:rsidR="005C0058">
        <w:rPr>
          <w:rFonts w:asciiTheme="minorHAnsi" w:hAnsiTheme="minorHAnsi" w:cstheme="minorHAnsi"/>
          <w:bCs/>
          <w:sz w:val="24"/>
          <w:lang w:val="fr-FR"/>
        </w:rPr>
        <w:t>général</w:t>
      </w:r>
      <w:r w:rsidRPr="00A838CC">
        <w:rPr>
          <w:rFonts w:asciiTheme="minorHAnsi" w:hAnsiTheme="minorHAnsi" w:cstheme="minorHAnsi"/>
          <w:bCs/>
          <w:sz w:val="24"/>
          <w:lang w:val="fr-FR"/>
        </w:rPr>
        <w:t xml:space="preserve"> de l</w:t>
      </w:r>
      <w:r w:rsidR="005C0058">
        <w:rPr>
          <w:rFonts w:asciiTheme="minorHAnsi" w:hAnsiTheme="minorHAnsi" w:cstheme="minorHAnsi"/>
          <w:bCs/>
          <w:sz w:val="24"/>
          <w:lang w:val="fr-FR"/>
        </w:rPr>
        <w:t>'</w:t>
      </w:r>
      <w:r w:rsidRPr="00A838CC">
        <w:rPr>
          <w:rFonts w:asciiTheme="minorHAnsi" w:hAnsiTheme="minorHAnsi" w:cstheme="minorHAnsi"/>
          <w:bCs/>
          <w:sz w:val="24"/>
          <w:lang w:val="fr-FR"/>
        </w:rPr>
        <w:t>UIT a reçu de la part du Gouvernement des Emirats arabes unis une invitation officielle en vue de tenir</w:t>
      </w:r>
      <w:r w:rsidR="005C0058">
        <w:rPr>
          <w:rFonts w:asciiTheme="minorHAnsi" w:hAnsiTheme="minorHAnsi" w:cstheme="minorHAnsi"/>
          <w:bCs/>
          <w:sz w:val="24"/>
          <w:lang w:val="fr-FR"/>
        </w:rPr>
        <w:t xml:space="preserve"> </w:t>
      </w:r>
      <w:r w:rsidRPr="00A838CC">
        <w:rPr>
          <w:rFonts w:asciiTheme="minorHAnsi" w:hAnsiTheme="minorHAnsi" w:cstheme="minorHAnsi"/>
          <w:bCs/>
          <w:sz w:val="24"/>
          <w:lang w:val="fr-FR"/>
        </w:rPr>
        <w:t>la</w:t>
      </w:r>
      <w:r w:rsidR="005C0058">
        <w:rPr>
          <w:rFonts w:asciiTheme="minorHAnsi" w:hAnsiTheme="minorHAnsi" w:cstheme="minorHAnsi"/>
          <w:bCs/>
          <w:sz w:val="24"/>
          <w:lang w:val="fr-FR"/>
        </w:rPr>
        <w:t xml:space="preserve"> </w:t>
      </w:r>
      <w:r w:rsidRPr="00A838CC">
        <w:rPr>
          <w:rFonts w:asciiTheme="minorHAnsi" w:hAnsiTheme="minorHAnsi" w:cstheme="minorHAnsi"/>
          <w:bCs/>
          <w:sz w:val="24"/>
          <w:lang w:val="fr-FR"/>
        </w:rPr>
        <w:t>PP-18</w:t>
      </w:r>
      <w:r w:rsidR="005C0058">
        <w:rPr>
          <w:rFonts w:asciiTheme="minorHAnsi" w:hAnsiTheme="minorHAnsi" w:cstheme="minorHAnsi"/>
          <w:bCs/>
          <w:sz w:val="24"/>
          <w:lang w:val="fr-FR"/>
        </w:rPr>
        <w:t xml:space="preserve"> </w:t>
      </w:r>
      <w:r w:rsidRPr="00A838CC">
        <w:rPr>
          <w:rFonts w:asciiTheme="minorHAnsi" w:hAnsiTheme="minorHAnsi" w:cstheme="minorHAnsi"/>
          <w:bCs/>
          <w:sz w:val="24"/>
          <w:lang w:val="fr-FR"/>
        </w:rPr>
        <w:t>du lundi 29 octobre au vendredi 16 novembre 2018 au World Trade Center de Dubaï</w:t>
      </w:r>
      <w:bookmarkEnd w:id="16"/>
      <w:r w:rsidR="005C0058">
        <w:rPr>
          <w:rFonts w:asciiTheme="minorHAnsi" w:hAnsiTheme="minorHAnsi" w:cstheme="minorHAnsi"/>
          <w:bCs/>
          <w:sz w:val="24"/>
          <w:lang w:val="fr-FR"/>
        </w:rPr>
        <w:t>.</w:t>
      </w:r>
    </w:p>
    <w:p w:rsidR="00A838CC" w:rsidRPr="00A838CC" w:rsidRDefault="00A838CC" w:rsidP="00A838CC">
      <w:pPr>
        <w:pStyle w:val="BodyText3"/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  <w:lang w:val="fr-FR"/>
        </w:rPr>
      </w:pPr>
      <w:r w:rsidRPr="00A838CC">
        <w:rPr>
          <w:rFonts w:asciiTheme="minorHAnsi" w:hAnsiTheme="minorHAnsi" w:cstheme="minorHAnsi"/>
          <w:bCs/>
          <w:sz w:val="24"/>
          <w:lang w:val="fr-FR"/>
        </w:rPr>
        <w:t>2.2</w:t>
      </w:r>
      <w:r w:rsidRPr="00A838CC">
        <w:rPr>
          <w:rFonts w:asciiTheme="minorHAnsi" w:hAnsiTheme="minorHAnsi" w:cstheme="minorHAnsi"/>
          <w:bCs/>
          <w:sz w:val="24"/>
          <w:lang w:val="fr-FR"/>
        </w:rPr>
        <w:tab/>
      </w:r>
      <w:bookmarkStart w:id="17" w:name="lt_pId037"/>
      <w:r w:rsidRPr="00A838CC">
        <w:rPr>
          <w:rFonts w:asciiTheme="minorHAnsi" w:hAnsiTheme="minorHAnsi" w:cstheme="minorHAnsi"/>
          <w:bCs/>
          <w:sz w:val="24"/>
          <w:lang w:val="fr-FR"/>
        </w:rPr>
        <w:t>Le 21 octobre 2016 (</w:t>
      </w:r>
      <w:hyperlink r:id="rId11" w:history="1">
        <w:r w:rsidRPr="00A838CC">
          <w:rPr>
            <w:rStyle w:val="Hyperlink"/>
            <w:rFonts w:asciiTheme="minorHAnsi" w:hAnsiTheme="minorHAnsi" w:cstheme="minorHAnsi"/>
            <w:bCs/>
            <w:sz w:val="24"/>
            <w:lang w:val="fr-FR"/>
          </w:rPr>
          <w:t>DM-16/1012</w:t>
        </w:r>
      </w:hyperlink>
      <w:r w:rsidRPr="00A838CC">
        <w:rPr>
          <w:rFonts w:asciiTheme="minorHAnsi" w:hAnsiTheme="minorHAnsi" w:cstheme="minorHAnsi"/>
          <w:bCs/>
          <w:sz w:val="24"/>
          <w:lang w:val="fr-FR"/>
        </w:rPr>
        <w:t>), le Président du Conseil à sa session de 2016 a invité les Etats Membres du Conseil à confirmer par écrit leur accord en ce qui concerne les dates exactes et le lieu précis de</w:t>
      </w:r>
      <w:r w:rsidR="005C0058">
        <w:rPr>
          <w:rFonts w:asciiTheme="minorHAnsi" w:hAnsiTheme="minorHAnsi" w:cstheme="minorHAnsi"/>
          <w:bCs/>
          <w:sz w:val="24"/>
          <w:lang w:val="fr-FR"/>
        </w:rPr>
        <w:t xml:space="preserve"> </w:t>
      </w:r>
      <w:r w:rsidRPr="00A838CC">
        <w:rPr>
          <w:rFonts w:asciiTheme="minorHAnsi" w:hAnsiTheme="minorHAnsi" w:cstheme="minorHAnsi"/>
          <w:bCs/>
          <w:sz w:val="24"/>
          <w:lang w:val="fr-FR"/>
        </w:rPr>
        <w:t>la</w:t>
      </w:r>
      <w:r w:rsidR="005C0058">
        <w:rPr>
          <w:rFonts w:asciiTheme="minorHAnsi" w:hAnsiTheme="minorHAnsi" w:cstheme="minorHAnsi"/>
          <w:bCs/>
          <w:sz w:val="24"/>
          <w:lang w:val="fr-FR"/>
        </w:rPr>
        <w:t xml:space="preserve"> </w:t>
      </w:r>
      <w:r w:rsidRPr="00A838CC">
        <w:rPr>
          <w:rFonts w:asciiTheme="minorHAnsi" w:hAnsiTheme="minorHAnsi" w:cstheme="minorHAnsi"/>
          <w:bCs/>
          <w:sz w:val="24"/>
          <w:lang w:val="fr-FR"/>
        </w:rPr>
        <w:t>PP‐18.</w:t>
      </w:r>
      <w:bookmarkEnd w:id="17"/>
      <w:r w:rsidR="005C0058">
        <w:rPr>
          <w:rFonts w:asciiTheme="minorHAnsi" w:hAnsiTheme="minorHAnsi" w:cstheme="minorHAnsi"/>
          <w:bCs/>
          <w:sz w:val="24"/>
          <w:lang w:val="fr-FR"/>
        </w:rPr>
        <w:t xml:space="preserve"> </w:t>
      </w:r>
    </w:p>
    <w:p w:rsidR="00A838CC" w:rsidRPr="00A838CC" w:rsidRDefault="00A838CC" w:rsidP="00B454A8">
      <w:pPr>
        <w:pStyle w:val="BodyText3"/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  <w:lang w:val="fr-FR"/>
        </w:rPr>
      </w:pPr>
      <w:r w:rsidRPr="00A838CC">
        <w:rPr>
          <w:rFonts w:asciiTheme="minorHAnsi" w:hAnsiTheme="minorHAnsi" w:cstheme="minorHAnsi"/>
          <w:bCs/>
          <w:sz w:val="24"/>
          <w:lang w:val="fr-FR"/>
        </w:rPr>
        <w:t>2.3</w:t>
      </w:r>
      <w:r w:rsidRPr="00A838CC">
        <w:rPr>
          <w:rFonts w:asciiTheme="minorHAnsi" w:hAnsiTheme="minorHAnsi" w:cstheme="minorHAnsi"/>
          <w:bCs/>
          <w:sz w:val="24"/>
          <w:lang w:val="fr-FR"/>
        </w:rPr>
        <w:tab/>
      </w:r>
      <w:bookmarkStart w:id="18" w:name="lt_pId039"/>
      <w:r w:rsidRPr="00A838CC">
        <w:rPr>
          <w:rFonts w:asciiTheme="minorHAnsi" w:hAnsiTheme="minorHAnsi" w:cstheme="minorHAnsi"/>
          <w:bCs/>
          <w:sz w:val="24"/>
          <w:lang w:val="fr-FR"/>
        </w:rPr>
        <w:t>Suite à l</w:t>
      </w:r>
      <w:r w:rsidR="005C0058">
        <w:rPr>
          <w:rFonts w:asciiTheme="minorHAnsi" w:hAnsiTheme="minorHAnsi" w:cstheme="minorHAnsi"/>
          <w:bCs/>
          <w:sz w:val="24"/>
          <w:lang w:val="fr-FR"/>
        </w:rPr>
        <w:t>'</w:t>
      </w:r>
      <w:r w:rsidRPr="00A838CC">
        <w:rPr>
          <w:rFonts w:asciiTheme="minorHAnsi" w:hAnsiTheme="minorHAnsi" w:cstheme="minorHAnsi"/>
          <w:bCs/>
          <w:sz w:val="24"/>
          <w:lang w:val="fr-FR"/>
        </w:rPr>
        <w:t>approbation par les Etats Membres du Conseil et conformément</w:t>
      </w:r>
      <w:r w:rsidR="005C0058">
        <w:rPr>
          <w:rFonts w:asciiTheme="minorHAnsi" w:hAnsiTheme="minorHAnsi" w:cstheme="minorHAnsi"/>
          <w:bCs/>
          <w:sz w:val="24"/>
          <w:lang w:val="fr-FR"/>
        </w:rPr>
        <w:t xml:space="preserve"> </w:t>
      </w:r>
      <w:r w:rsidRPr="00A838CC">
        <w:rPr>
          <w:rFonts w:asciiTheme="minorHAnsi" w:hAnsiTheme="minorHAnsi" w:cstheme="minorHAnsi"/>
          <w:bCs/>
          <w:sz w:val="24"/>
          <w:lang w:val="fr-FR"/>
        </w:rPr>
        <w:t>au numéro 2 de la Convention, le Secrétaire général a lancé, le 13 décembre 2016,</w:t>
      </w:r>
      <w:r w:rsidR="005C0058">
        <w:rPr>
          <w:rFonts w:asciiTheme="minorHAnsi" w:hAnsiTheme="minorHAnsi" w:cstheme="minorHAnsi"/>
          <w:bCs/>
          <w:sz w:val="24"/>
          <w:lang w:val="fr-FR"/>
        </w:rPr>
        <w:t xml:space="preserve"> </w:t>
      </w:r>
      <w:r w:rsidRPr="00A838CC">
        <w:rPr>
          <w:rFonts w:asciiTheme="minorHAnsi" w:hAnsiTheme="minorHAnsi" w:cstheme="minorHAnsi"/>
          <w:bCs/>
          <w:sz w:val="24"/>
          <w:lang w:val="fr-FR"/>
        </w:rPr>
        <w:t xml:space="preserve">une consultation (voir </w:t>
      </w:r>
      <w:hyperlink r:id="rId12" w:history="1">
        <w:r w:rsidR="00B454A8" w:rsidRPr="00B454A8">
          <w:rPr>
            <w:rFonts w:asciiTheme="minorHAnsi" w:hAnsiTheme="minorHAnsi"/>
            <w:color w:val="0000FF"/>
            <w:sz w:val="24"/>
            <w:szCs w:val="24"/>
            <w:u w:val="single"/>
            <w:lang w:val="fr-FR" w:eastAsia="zh-CN"/>
          </w:rPr>
          <w:t>CL-16/58</w:t>
        </w:r>
      </w:hyperlink>
      <w:r w:rsidRPr="00A838CC">
        <w:rPr>
          <w:rFonts w:asciiTheme="minorHAnsi" w:hAnsiTheme="minorHAnsi" w:cstheme="minorHAnsi"/>
          <w:bCs/>
          <w:sz w:val="24"/>
          <w:lang w:val="fr-FR"/>
        </w:rPr>
        <w:t>) auprès des Etats Membres de l</w:t>
      </w:r>
      <w:r w:rsidR="005C0058">
        <w:rPr>
          <w:rFonts w:asciiTheme="minorHAnsi" w:hAnsiTheme="minorHAnsi" w:cstheme="minorHAnsi"/>
          <w:bCs/>
          <w:sz w:val="24"/>
          <w:lang w:val="fr-FR"/>
        </w:rPr>
        <w:t>'</w:t>
      </w:r>
      <w:r w:rsidRPr="00A838CC">
        <w:rPr>
          <w:rFonts w:asciiTheme="minorHAnsi" w:hAnsiTheme="minorHAnsi" w:cstheme="minorHAnsi"/>
          <w:bCs/>
          <w:sz w:val="24"/>
          <w:lang w:val="fr-FR"/>
        </w:rPr>
        <w:t>UIT pour leur demander s</w:t>
      </w:r>
      <w:r w:rsidR="005C0058">
        <w:rPr>
          <w:rFonts w:asciiTheme="minorHAnsi" w:hAnsiTheme="minorHAnsi" w:cstheme="minorHAnsi"/>
          <w:bCs/>
          <w:sz w:val="24"/>
          <w:lang w:val="fr-FR"/>
        </w:rPr>
        <w:t>'</w:t>
      </w:r>
      <w:r w:rsidRPr="00A838CC">
        <w:rPr>
          <w:rFonts w:asciiTheme="minorHAnsi" w:hAnsiTheme="minorHAnsi" w:cstheme="minorHAnsi"/>
          <w:bCs/>
          <w:sz w:val="24"/>
          <w:lang w:val="fr-FR"/>
        </w:rPr>
        <w:t>ils approuvaient le lieu précis et les dates exactes de la</w:t>
      </w:r>
      <w:r w:rsidR="005C0058">
        <w:rPr>
          <w:rFonts w:asciiTheme="minorHAnsi" w:hAnsiTheme="minorHAnsi" w:cstheme="minorHAnsi"/>
          <w:bCs/>
          <w:sz w:val="24"/>
          <w:lang w:val="fr-FR"/>
        </w:rPr>
        <w:t xml:space="preserve"> </w:t>
      </w:r>
      <w:r w:rsidRPr="00A838CC">
        <w:rPr>
          <w:rFonts w:asciiTheme="minorHAnsi" w:hAnsiTheme="minorHAnsi" w:cstheme="minorHAnsi"/>
          <w:bCs/>
          <w:sz w:val="24"/>
          <w:lang w:val="fr-FR"/>
        </w:rPr>
        <w:t>PP-18.</w:t>
      </w:r>
      <w:bookmarkEnd w:id="18"/>
    </w:p>
    <w:p w:rsidR="00A838CC" w:rsidRPr="00A838CC" w:rsidRDefault="00A838CC" w:rsidP="006031B4">
      <w:pPr>
        <w:pStyle w:val="BodyText3"/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cstheme="minorHAnsi"/>
          <w:b/>
          <w:bCs/>
          <w:color w:val="800000"/>
          <w:sz w:val="22"/>
          <w:lang w:val="fr-FR"/>
        </w:rPr>
      </w:pPr>
      <w:r w:rsidRPr="00A838CC">
        <w:rPr>
          <w:rFonts w:asciiTheme="minorHAnsi" w:hAnsiTheme="minorHAnsi" w:cstheme="minorHAnsi"/>
          <w:bCs/>
          <w:sz w:val="24"/>
          <w:lang w:val="fr-FR"/>
        </w:rPr>
        <w:t>2.4</w:t>
      </w:r>
      <w:r w:rsidRPr="00A838CC">
        <w:rPr>
          <w:rFonts w:asciiTheme="minorHAnsi" w:hAnsiTheme="minorHAnsi" w:cstheme="minorHAnsi"/>
          <w:bCs/>
          <w:sz w:val="24"/>
          <w:lang w:val="fr-FR"/>
        </w:rPr>
        <w:tab/>
      </w:r>
      <w:bookmarkStart w:id="19" w:name="lt_pId041"/>
      <w:r w:rsidRPr="00A838CC">
        <w:rPr>
          <w:rFonts w:asciiTheme="minorHAnsi" w:hAnsiTheme="minorHAnsi" w:cstheme="minorHAnsi"/>
          <w:bCs/>
          <w:sz w:val="24"/>
          <w:lang w:val="fr-FR"/>
        </w:rPr>
        <w:t>Le 13 février 2017, le Secrétaire général a annoncé que la consultation avait reçu l</w:t>
      </w:r>
      <w:r w:rsidR="005C0058">
        <w:rPr>
          <w:rFonts w:asciiTheme="minorHAnsi" w:hAnsiTheme="minorHAnsi" w:cstheme="minorHAnsi"/>
          <w:bCs/>
          <w:sz w:val="24"/>
          <w:lang w:val="fr-FR"/>
        </w:rPr>
        <w:t>'</w:t>
      </w:r>
      <w:r w:rsidRPr="00A838CC">
        <w:rPr>
          <w:rFonts w:asciiTheme="minorHAnsi" w:hAnsiTheme="minorHAnsi" w:cstheme="minorHAnsi"/>
          <w:bCs/>
          <w:sz w:val="24"/>
          <w:lang w:val="fr-FR"/>
        </w:rPr>
        <w:t xml:space="preserve">accord de la majorité requise des Etats Membres, conformément au numéro 2 de la Convention (voir </w:t>
      </w:r>
      <w:bookmarkEnd w:id="19"/>
      <w:r w:rsidR="006031B4">
        <w:fldChar w:fldCharType="begin"/>
      </w:r>
      <w:r w:rsidR="006031B4" w:rsidRPr="006031B4">
        <w:rPr>
          <w:lang w:val="fr-FR"/>
        </w:rPr>
        <w:instrText>HYPERLINK "http://www.itu.int/md/S17-SG-CIR-0006/fr"</w:instrText>
      </w:r>
      <w:r w:rsidR="006031B4">
        <w:fldChar w:fldCharType="separate"/>
      </w:r>
      <w:r w:rsidR="006031B4" w:rsidRPr="006031B4">
        <w:rPr>
          <w:rStyle w:val="Hyperlink"/>
          <w:rFonts w:asciiTheme="minorHAnsi" w:hAnsiTheme="minorHAnsi" w:cstheme="minorHAnsi"/>
          <w:bCs/>
          <w:sz w:val="24"/>
          <w:lang w:val="fr-FR"/>
        </w:rPr>
        <w:t>CL-17/6</w:t>
      </w:r>
      <w:r w:rsidR="006031B4">
        <w:rPr>
          <w:rStyle w:val="Hyperlink"/>
          <w:rFonts w:asciiTheme="minorHAnsi" w:hAnsiTheme="minorHAnsi" w:cstheme="minorHAnsi"/>
          <w:bCs/>
          <w:sz w:val="24"/>
        </w:rPr>
        <w:fldChar w:fldCharType="end"/>
      </w:r>
      <w:r w:rsidR="006031B4" w:rsidRPr="006031B4">
        <w:rPr>
          <w:rFonts w:asciiTheme="minorHAnsi" w:hAnsiTheme="minorHAnsi" w:cstheme="minorHAnsi"/>
          <w:bCs/>
          <w:sz w:val="24"/>
          <w:lang w:val="fr-FR"/>
        </w:rPr>
        <w:t>).</w:t>
      </w:r>
      <w:r w:rsidR="005C0058">
        <w:rPr>
          <w:rFonts w:asciiTheme="minorHAnsi" w:hAnsiTheme="minorHAnsi" w:cstheme="minorHAnsi"/>
          <w:bCs/>
          <w:sz w:val="24"/>
          <w:lang w:val="fr-FR"/>
        </w:rPr>
        <w:t xml:space="preserve"> </w:t>
      </w:r>
    </w:p>
    <w:p w:rsidR="00A838CC" w:rsidRPr="00757311" w:rsidRDefault="00A838CC" w:rsidP="00A838CC">
      <w:pPr>
        <w:pStyle w:val="Heading1"/>
        <w:rPr>
          <w:sz w:val="24"/>
          <w:szCs w:val="18"/>
        </w:rPr>
      </w:pPr>
      <w:r w:rsidRPr="00757311">
        <w:rPr>
          <w:sz w:val="24"/>
          <w:szCs w:val="18"/>
        </w:rPr>
        <w:t>3</w:t>
      </w:r>
      <w:r w:rsidRPr="00757311">
        <w:rPr>
          <w:sz w:val="24"/>
          <w:szCs w:val="18"/>
        </w:rPr>
        <w:tab/>
      </w:r>
      <w:bookmarkStart w:id="20" w:name="lt_pId043"/>
      <w:r w:rsidRPr="00757311">
        <w:rPr>
          <w:sz w:val="24"/>
          <w:szCs w:val="18"/>
        </w:rPr>
        <w:t>Avancement des travaux</w:t>
      </w:r>
    </w:p>
    <w:p w:rsidR="00A838CC" w:rsidRPr="00B454A8" w:rsidRDefault="00A838CC" w:rsidP="00A838CC">
      <w:pPr>
        <w:rPr>
          <w:spacing w:val="-2"/>
        </w:rPr>
      </w:pPr>
      <w:r w:rsidRPr="00A838CC">
        <w:t>3.1</w:t>
      </w:r>
      <w:r w:rsidRPr="00A838CC">
        <w:tab/>
      </w:r>
      <w:r w:rsidRPr="00B454A8">
        <w:rPr>
          <w:spacing w:val="-2"/>
        </w:rPr>
        <w:t>Les discussions se poursuivent entre l</w:t>
      </w:r>
      <w:r w:rsidR="005C0058" w:rsidRPr="00B454A8">
        <w:rPr>
          <w:spacing w:val="-2"/>
        </w:rPr>
        <w:t>'</w:t>
      </w:r>
      <w:r w:rsidRPr="00B454A8">
        <w:rPr>
          <w:spacing w:val="-2"/>
        </w:rPr>
        <w:t>UIT et</w:t>
      </w:r>
      <w:r w:rsidR="005C0058" w:rsidRPr="00B454A8">
        <w:rPr>
          <w:spacing w:val="-2"/>
        </w:rPr>
        <w:t xml:space="preserve"> </w:t>
      </w:r>
      <w:r w:rsidRPr="00B454A8">
        <w:rPr>
          <w:spacing w:val="-2"/>
        </w:rPr>
        <w:t xml:space="preserve">le </w:t>
      </w:r>
      <w:r w:rsidRPr="00B454A8">
        <w:rPr>
          <w:rFonts w:asciiTheme="minorHAnsi" w:hAnsiTheme="minorHAnsi" w:cstheme="minorHAnsi"/>
          <w:bCs/>
          <w:spacing w:val="-2"/>
        </w:rPr>
        <w:t>Gouvernement des Emirats arabes unis</w:t>
      </w:r>
      <w:r w:rsidR="005C0058" w:rsidRPr="00B454A8">
        <w:rPr>
          <w:rFonts w:asciiTheme="minorHAnsi" w:hAnsiTheme="minorHAnsi" w:cstheme="minorHAnsi"/>
          <w:bCs/>
          <w:spacing w:val="-2"/>
        </w:rPr>
        <w:t xml:space="preserve"> </w:t>
      </w:r>
      <w:r w:rsidRPr="00B454A8">
        <w:rPr>
          <w:spacing w:val="-2"/>
        </w:rPr>
        <w:t>pour convenir des dispositions de l</w:t>
      </w:r>
      <w:r w:rsidR="005C0058" w:rsidRPr="00B454A8">
        <w:rPr>
          <w:spacing w:val="-2"/>
        </w:rPr>
        <w:t>'</w:t>
      </w:r>
      <w:r w:rsidRPr="00B454A8">
        <w:rPr>
          <w:spacing w:val="-2"/>
        </w:rPr>
        <w:t>Accord de pays hôte que signeront les deux parties. La négociation de l</w:t>
      </w:r>
      <w:r w:rsidR="005C0058" w:rsidRPr="00B454A8">
        <w:rPr>
          <w:spacing w:val="-2"/>
        </w:rPr>
        <w:t>'</w:t>
      </w:r>
      <w:r w:rsidRPr="00B454A8">
        <w:rPr>
          <w:spacing w:val="-2"/>
        </w:rPr>
        <w:t>Accord de pays hôte pour la PP-18 s</w:t>
      </w:r>
      <w:r w:rsidR="005C0058" w:rsidRPr="00B454A8">
        <w:rPr>
          <w:spacing w:val="-2"/>
        </w:rPr>
        <w:t>'</w:t>
      </w:r>
      <w:r w:rsidRPr="00B454A8">
        <w:rPr>
          <w:spacing w:val="-2"/>
        </w:rPr>
        <w:t>est faite sur la base du modèle d</w:t>
      </w:r>
      <w:r w:rsidR="005C0058" w:rsidRPr="00B454A8">
        <w:rPr>
          <w:spacing w:val="-2"/>
        </w:rPr>
        <w:t>'</w:t>
      </w:r>
      <w:r w:rsidRPr="00B454A8">
        <w:rPr>
          <w:spacing w:val="-2"/>
        </w:rPr>
        <w:t>accord de pays hôte approuvé par le Conseil à sa session de 2007 et en prenant pour référence l</w:t>
      </w:r>
      <w:r w:rsidR="005C0058" w:rsidRPr="00B454A8">
        <w:rPr>
          <w:spacing w:val="-2"/>
        </w:rPr>
        <w:t>'</w:t>
      </w:r>
      <w:r w:rsidRPr="00B454A8">
        <w:rPr>
          <w:spacing w:val="-2"/>
        </w:rPr>
        <w:t>accord conclu pour la PP-14.</w:t>
      </w:r>
    </w:p>
    <w:bookmarkEnd w:id="20"/>
    <w:p w:rsidR="00A838CC" w:rsidRPr="00A838CC" w:rsidRDefault="00A838CC" w:rsidP="00A838C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cstheme="minorHAnsi"/>
          <w:b/>
          <w:bCs/>
          <w:color w:val="800000"/>
          <w:sz w:val="22"/>
        </w:rPr>
      </w:pPr>
      <w:r w:rsidRPr="00A838CC">
        <w:rPr>
          <w:rFonts w:asciiTheme="minorHAnsi" w:hAnsiTheme="minorHAnsi" w:cstheme="minorHAnsi"/>
          <w:bCs/>
        </w:rPr>
        <w:t>3.2</w:t>
      </w:r>
      <w:r w:rsidRPr="00A838CC">
        <w:rPr>
          <w:rFonts w:asciiTheme="minorHAnsi" w:hAnsiTheme="minorHAnsi" w:cstheme="minorHAnsi"/>
          <w:bCs/>
        </w:rPr>
        <w:tab/>
      </w:r>
      <w:bookmarkStart w:id="21" w:name="lt_pId048"/>
      <w:r w:rsidRPr="00A838CC">
        <w:rPr>
          <w:color w:val="000000"/>
        </w:rPr>
        <w:t>Le secrétariat de l</w:t>
      </w:r>
      <w:r w:rsidR="005C0058">
        <w:rPr>
          <w:color w:val="000000"/>
        </w:rPr>
        <w:t>'</w:t>
      </w:r>
      <w:r w:rsidRPr="00A838CC">
        <w:rPr>
          <w:color w:val="000000"/>
        </w:rPr>
        <w:t xml:space="preserve">UIT a effectué une visite sur place du </w:t>
      </w:r>
      <w:r w:rsidRPr="00A838CC">
        <w:rPr>
          <w:rFonts w:asciiTheme="minorHAnsi" w:hAnsiTheme="minorHAnsi"/>
        </w:rPr>
        <w:t>16</w:t>
      </w:r>
      <w:r w:rsidR="005C0058">
        <w:rPr>
          <w:rFonts w:asciiTheme="minorHAnsi" w:hAnsiTheme="minorHAnsi"/>
        </w:rPr>
        <w:t xml:space="preserve"> </w:t>
      </w:r>
      <w:r w:rsidRPr="00A838CC">
        <w:rPr>
          <w:rFonts w:asciiTheme="minorHAnsi" w:hAnsiTheme="minorHAnsi"/>
        </w:rPr>
        <w:t>au</w:t>
      </w:r>
      <w:r w:rsidR="005C0058">
        <w:rPr>
          <w:rFonts w:asciiTheme="minorHAnsi" w:hAnsiTheme="minorHAnsi"/>
        </w:rPr>
        <w:t xml:space="preserve"> </w:t>
      </w:r>
      <w:r w:rsidRPr="00A838CC">
        <w:rPr>
          <w:rFonts w:asciiTheme="minorHAnsi" w:hAnsiTheme="minorHAnsi"/>
        </w:rPr>
        <w:t>20 janvier</w:t>
      </w:r>
      <w:r w:rsidR="005C0058">
        <w:rPr>
          <w:rFonts w:asciiTheme="minorHAnsi" w:hAnsiTheme="minorHAnsi"/>
        </w:rPr>
        <w:t xml:space="preserve"> </w:t>
      </w:r>
      <w:r w:rsidRPr="00A838CC">
        <w:rPr>
          <w:rFonts w:asciiTheme="minorHAnsi" w:hAnsiTheme="minorHAnsi"/>
        </w:rPr>
        <w:t xml:space="preserve">2017, </w:t>
      </w:r>
      <w:r w:rsidRPr="00A838CC">
        <w:rPr>
          <w:color w:val="000000"/>
        </w:rPr>
        <w:t>afin de rencontrer les interlocuteurs dans le pays hôte, de visiter le centre de conférences, les infrastructures et les hôtels, d</w:t>
      </w:r>
      <w:r w:rsidR="005C0058">
        <w:rPr>
          <w:color w:val="000000"/>
        </w:rPr>
        <w:t>'</w:t>
      </w:r>
      <w:r w:rsidRPr="00A838CC">
        <w:rPr>
          <w:color w:val="000000"/>
        </w:rPr>
        <w:t>élaborer le plan de sécurité et le plan de communication, d</w:t>
      </w:r>
      <w:r w:rsidR="005C0058">
        <w:rPr>
          <w:color w:val="000000"/>
        </w:rPr>
        <w:t>'</w:t>
      </w:r>
      <w:r w:rsidRPr="00A838CC">
        <w:rPr>
          <w:color w:val="000000"/>
        </w:rPr>
        <w:t>examiner les questions de protocole</w:t>
      </w:r>
      <w:r w:rsidR="005C0058">
        <w:rPr>
          <w:color w:val="000000"/>
        </w:rPr>
        <w:t xml:space="preserve"> </w:t>
      </w:r>
      <w:r w:rsidRPr="00A838CC">
        <w:rPr>
          <w:color w:val="000000"/>
        </w:rPr>
        <w:t>et de commencer à procéder à l</w:t>
      </w:r>
      <w:r w:rsidR="005C0058">
        <w:rPr>
          <w:color w:val="000000"/>
        </w:rPr>
        <w:t>'</w:t>
      </w:r>
      <w:r w:rsidRPr="00A838CC">
        <w:rPr>
          <w:color w:val="000000"/>
        </w:rPr>
        <w:t>organisation logistique</w:t>
      </w:r>
      <w:bookmarkEnd w:id="21"/>
      <w:r w:rsidR="00CF54AA">
        <w:rPr>
          <w:color w:val="000000"/>
        </w:rPr>
        <w:t>.</w:t>
      </w:r>
    </w:p>
    <w:p w:rsidR="00A838CC" w:rsidRPr="00A838CC" w:rsidRDefault="00A838CC" w:rsidP="00A838C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</w:rPr>
      </w:pPr>
      <w:r w:rsidRPr="00A838CC">
        <w:rPr>
          <w:rFonts w:asciiTheme="minorHAnsi" w:hAnsiTheme="minorHAnsi" w:cstheme="minorHAnsi"/>
          <w:bCs/>
        </w:rPr>
        <w:t>3.3</w:t>
      </w:r>
      <w:r w:rsidRPr="00A838CC">
        <w:rPr>
          <w:rFonts w:asciiTheme="minorHAnsi" w:hAnsiTheme="minorHAnsi" w:cstheme="minorHAnsi"/>
          <w:bCs/>
        </w:rPr>
        <w:tab/>
      </w:r>
      <w:bookmarkStart w:id="22" w:name="lt_pId050"/>
      <w:r w:rsidRPr="00A838CC">
        <w:rPr>
          <w:rFonts w:asciiTheme="minorHAnsi" w:hAnsiTheme="minorHAnsi" w:cstheme="minorHAnsi"/>
          <w:bCs/>
        </w:rPr>
        <w:t>Le pays hôte s</w:t>
      </w:r>
      <w:r w:rsidR="005C0058">
        <w:rPr>
          <w:rFonts w:asciiTheme="minorHAnsi" w:hAnsiTheme="minorHAnsi" w:cstheme="minorHAnsi"/>
          <w:bCs/>
        </w:rPr>
        <w:t>'</w:t>
      </w:r>
      <w:r w:rsidRPr="00A838CC">
        <w:rPr>
          <w:rFonts w:asciiTheme="minorHAnsi" w:hAnsiTheme="minorHAnsi" w:cstheme="minorHAnsi"/>
          <w:bCs/>
        </w:rPr>
        <w:t xml:space="preserve">est </w:t>
      </w:r>
      <w:r w:rsidR="005C0058" w:rsidRPr="00A838CC">
        <w:rPr>
          <w:rFonts w:asciiTheme="minorHAnsi" w:hAnsiTheme="minorHAnsi" w:cstheme="minorHAnsi"/>
          <w:bCs/>
        </w:rPr>
        <w:t>engagé</w:t>
      </w:r>
      <w:r w:rsidRPr="00A838CC">
        <w:rPr>
          <w:rFonts w:asciiTheme="minorHAnsi" w:hAnsiTheme="minorHAnsi" w:cstheme="minorHAnsi"/>
          <w:bCs/>
        </w:rPr>
        <w:t xml:space="preserve"> à faire en sorte que cette manifestation soit aussi</w:t>
      </w:r>
      <w:r w:rsidR="005C0058">
        <w:rPr>
          <w:rFonts w:asciiTheme="minorHAnsi" w:hAnsiTheme="minorHAnsi" w:cstheme="minorHAnsi"/>
          <w:bCs/>
        </w:rPr>
        <w:t xml:space="preserve"> </w:t>
      </w:r>
      <w:r w:rsidRPr="00A838CC">
        <w:rPr>
          <w:color w:val="000000"/>
        </w:rPr>
        <w:t>respectueuse que possible</w:t>
      </w:r>
      <w:r w:rsidR="005C0058">
        <w:rPr>
          <w:color w:val="000000"/>
        </w:rPr>
        <w:t xml:space="preserve"> </w:t>
      </w:r>
      <w:r w:rsidRPr="00A838CC">
        <w:rPr>
          <w:color w:val="000000"/>
        </w:rPr>
        <w:t>de l</w:t>
      </w:r>
      <w:r w:rsidR="005C0058">
        <w:rPr>
          <w:color w:val="000000"/>
        </w:rPr>
        <w:t>'</w:t>
      </w:r>
      <w:r w:rsidRPr="00A838CC">
        <w:rPr>
          <w:color w:val="000000"/>
        </w:rPr>
        <w:t>environnement</w:t>
      </w:r>
      <w:bookmarkEnd w:id="22"/>
      <w:r w:rsidR="00CF54AA">
        <w:rPr>
          <w:color w:val="000000"/>
        </w:rPr>
        <w:t>.</w:t>
      </w:r>
    </w:p>
    <w:p w:rsidR="00A838CC" w:rsidRPr="00757311" w:rsidRDefault="00A838CC" w:rsidP="00A838CC">
      <w:pPr>
        <w:pStyle w:val="Heading1"/>
        <w:rPr>
          <w:sz w:val="24"/>
          <w:szCs w:val="18"/>
        </w:rPr>
      </w:pPr>
      <w:r w:rsidRPr="00757311">
        <w:rPr>
          <w:sz w:val="24"/>
          <w:szCs w:val="18"/>
        </w:rPr>
        <w:t>4</w:t>
      </w:r>
      <w:r w:rsidRPr="00757311">
        <w:rPr>
          <w:sz w:val="24"/>
          <w:szCs w:val="18"/>
        </w:rPr>
        <w:tab/>
        <w:t>Sujets essentiels</w:t>
      </w:r>
    </w:p>
    <w:p w:rsidR="00A838CC" w:rsidRPr="00A838CC" w:rsidRDefault="00A838CC" w:rsidP="00A838CC">
      <w:r w:rsidRPr="00A838CC">
        <w:t>Conformément à l</w:t>
      </w:r>
      <w:r w:rsidR="005C0058">
        <w:t>'</w:t>
      </w:r>
      <w:r w:rsidRPr="00A838CC">
        <w:t>article 8 de la Constitution de l</w:t>
      </w:r>
      <w:r w:rsidR="005C0058">
        <w:t>'</w:t>
      </w:r>
      <w:r w:rsidRPr="00A838CC">
        <w:t>UIT, la Conférence de plénipotentiaires, sur la base de propositions des Etats Membres et compte tenu des rapports du Conseil:</w:t>
      </w:r>
    </w:p>
    <w:p w:rsidR="00A838CC" w:rsidRPr="00A838CC" w:rsidRDefault="00A838CC" w:rsidP="00A838CC">
      <w:pPr>
        <w:pStyle w:val="enumlev1"/>
      </w:pPr>
      <w:r w:rsidRPr="00A838CC">
        <w:t>a)</w:t>
      </w:r>
      <w:r w:rsidRPr="00A838CC">
        <w:tab/>
        <w:t>détermine les principes généraux permettant de satisfaire l</w:t>
      </w:r>
      <w:r w:rsidR="005C0058">
        <w:t>'</w:t>
      </w:r>
      <w:r w:rsidRPr="00A838CC">
        <w:t>objet de l</w:t>
      </w:r>
      <w:r w:rsidR="005C0058">
        <w:t>'</w:t>
      </w:r>
      <w:r w:rsidRPr="00A838CC">
        <w:t>Union;</w:t>
      </w:r>
    </w:p>
    <w:p w:rsidR="00A838CC" w:rsidRPr="00A838CC" w:rsidRDefault="00A838CC" w:rsidP="00A838CC">
      <w:pPr>
        <w:pStyle w:val="enumlev1"/>
      </w:pPr>
      <w:r w:rsidRPr="00A838CC">
        <w:t>b)</w:t>
      </w:r>
      <w:r w:rsidRPr="00A838CC">
        <w:tab/>
        <w:t>examine les rapports du Conseil sur l</w:t>
      </w:r>
      <w:r w:rsidR="005C0058">
        <w:t>'</w:t>
      </w:r>
      <w:r w:rsidRPr="00A838CC">
        <w:t>activité de l</w:t>
      </w:r>
      <w:r w:rsidR="005C0058">
        <w:t>'</w:t>
      </w:r>
      <w:r w:rsidRPr="00A838CC">
        <w:t>Union depuis la précédente Conférence de plénipotentiaires ainsi que sur la politique générale et la planification stratégique de l</w:t>
      </w:r>
      <w:r w:rsidR="005C0058">
        <w:t>'</w:t>
      </w:r>
      <w:r w:rsidRPr="00A838CC">
        <w:t>Union;</w:t>
      </w:r>
    </w:p>
    <w:p w:rsidR="00A838CC" w:rsidRPr="00A838CC" w:rsidRDefault="00A838CC" w:rsidP="00A838CC">
      <w:pPr>
        <w:pStyle w:val="enumlev1"/>
      </w:pPr>
      <w:r w:rsidRPr="00A838CC">
        <w:t>c)</w:t>
      </w:r>
      <w:r w:rsidRPr="00A838CC">
        <w:tab/>
        <w:t>établit le plan stratégique pour l</w:t>
      </w:r>
      <w:r w:rsidR="005C0058">
        <w:t>'</w:t>
      </w:r>
      <w:r w:rsidRPr="00A838CC">
        <w:t>Union ainsi que les bases du budget de l</w:t>
      </w:r>
      <w:r w:rsidR="005C0058">
        <w:t>'</w:t>
      </w:r>
      <w:r w:rsidRPr="00A838CC">
        <w:t>Union et fixe les limites financières correspondantes;</w:t>
      </w:r>
    </w:p>
    <w:p w:rsidR="00A838CC" w:rsidRPr="00A838CC" w:rsidRDefault="00A838CC" w:rsidP="00A838CC">
      <w:pPr>
        <w:pStyle w:val="enumlev1"/>
      </w:pPr>
      <w:r w:rsidRPr="00A838CC">
        <w:t>d)</w:t>
      </w:r>
      <w:r w:rsidRPr="00A838CC">
        <w:tab/>
        <w:t>établit le nombre total d</w:t>
      </w:r>
      <w:r w:rsidR="005C0058">
        <w:t>'</w:t>
      </w:r>
      <w:r w:rsidRPr="00A838CC">
        <w:t>unités contributives pour la période allant jusqu</w:t>
      </w:r>
      <w:r w:rsidR="005C0058">
        <w:t>'</w:t>
      </w:r>
      <w:r w:rsidRPr="00A838CC">
        <w:t>à la PP suivante;</w:t>
      </w:r>
    </w:p>
    <w:p w:rsidR="00A838CC" w:rsidRPr="00A838CC" w:rsidRDefault="00A838CC" w:rsidP="00A838CC">
      <w:pPr>
        <w:pStyle w:val="enumlev1"/>
      </w:pPr>
      <w:r w:rsidRPr="00A838CC">
        <w:t>e)</w:t>
      </w:r>
      <w:r w:rsidRPr="00A838CC">
        <w:tab/>
        <w:t>formule des directives générales concernant les effectifs de l</w:t>
      </w:r>
      <w:r w:rsidR="005C0058">
        <w:t>'</w:t>
      </w:r>
      <w:r w:rsidRPr="00A838CC">
        <w:t>Union;</w:t>
      </w:r>
    </w:p>
    <w:p w:rsidR="00A838CC" w:rsidRPr="00A838CC" w:rsidRDefault="00A838CC" w:rsidP="00A838CC">
      <w:pPr>
        <w:pStyle w:val="enumlev1"/>
      </w:pPr>
      <w:r w:rsidRPr="00A838CC">
        <w:t>f)</w:t>
      </w:r>
      <w:r w:rsidRPr="00A838CC">
        <w:tab/>
        <w:t>examine les comptes de l</w:t>
      </w:r>
      <w:r w:rsidR="005C0058">
        <w:t>'</w:t>
      </w:r>
      <w:r w:rsidRPr="00A838CC">
        <w:t>Union et les approuve définitivement;</w:t>
      </w:r>
    </w:p>
    <w:p w:rsidR="00A838CC" w:rsidRPr="00A838CC" w:rsidRDefault="00A838CC" w:rsidP="00A838CC">
      <w:pPr>
        <w:pStyle w:val="enumlev1"/>
      </w:pPr>
      <w:r w:rsidRPr="00A838CC">
        <w:t>g)</w:t>
      </w:r>
      <w:r w:rsidRPr="00A838CC">
        <w:tab/>
        <w:t>élit les Etats Membres appelés à composer le Conseil;</w:t>
      </w:r>
    </w:p>
    <w:p w:rsidR="00A838CC" w:rsidRPr="00A838CC" w:rsidRDefault="00A838CC" w:rsidP="00A838CC">
      <w:pPr>
        <w:pStyle w:val="enumlev1"/>
      </w:pPr>
      <w:r w:rsidRPr="00A838CC">
        <w:t>h)</w:t>
      </w:r>
      <w:r w:rsidRPr="00A838CC">
        <w:tab/>
        <w:t>élit le Secrétaire général, le Vice-Secrétaire général et les Directeurs des Bureaux des Secteurs;</w:t>
      </w:r>
    </w:p>
    <w:p w:rsidR="00A838CC" w:rsidRPr="00A838CC" w:rsidRDefault="00A838CC" w:rsidP="00A838CC">
      <w:pPr>
        <w:pStyle w:val="enumlev1"/>
      </w:pPr>
      <w:r w:rsidRPr="00A838CC">
        <w:lastRenderedPageBreak/>
        <w:t>i)</w:t>
      </w:r>
      <w:r w:rsidRPr="00A838CC">
        <w:tab/>
        <w:t>élit les mem</w:t>
      </w:r>
      <w:bookmarkStart w:id="23" w:name="_GoBack"/>
      <w:bookmarkEnd w:id="23"/>
      <w:r w:rsidRPr="00A838CC">
        <w:t>bres du Comité du Règlement des radiocommunications;</w:t>
      </w:r>
    </w:p>
    <w:p w:rsidR="00A838CC" w:rsidRPr="00A838CC" w:rsidRDefault="00A838CC" w:rsidP="00A838CC">
      <w:pPr>
        <w:pStyle w:val="enumlev1"/>
      </w:pPr>
      <w:r w:rsidRPr="00A838CC">
        <w:t>j)</w:t>
      </w:r>
      <w:r w:rsidRPr="00A838CC">
        <w:tab/>
        <w:t>examine et adopte les modifications à la Constitution et à la Convention;</w:t>
      </w:r>
    </w:p>
    <w:p w:rsidR="00A838CC" w:rsidRPr="00A838CC" w:rsidRDefault="00A838CC" w:rsidP="00A838CC">
      <w:pPr>
        <w:pStyle w:val="enumlev1"/>
      </w:pPr>
      <w:r w:rsidRPr="00A838CC">
        <w:t>k)</w:t>
      </w:r>
      <w:r w:rsidRPr="00A838CC">
        <w:tab/>
        <w:t>conclut ou révise, le cas échéant, des accords avec d</w:t>
      </w:r>
      <w:r w:rsidR="005C0058">
        <w:t>'</w:t>
      </w:r>
      <w:r w:rsidRPr="00A838CC">
        <w:t>autres organisations internationales;</w:t>
      </w:r>
    </w:p>
    <w:p w:rsidR="00A838CC" w:rsidRPr="00A838CC" w:rsidRDefault="00A838CC" w:rsidP="00A838CC">
      <w:pPr>
        <w:pStyle w:val="enumlev1"/>
      </w:pPr>
      <w:r w:rsidRPr="00A838CC">
        <w:t>l)</w:t>
      </w:r>
      <w:r w:rsidRPr="00A838CC">
        <w:tab/>
        <w:t>adopte et amende les Règles générales régissant les conférences, assemblées et réunions de l</w:t>
      </w:r>
      <w:r w:rsidR="005C0058">
        <w:t>'</w:t>
      </w:r>
      <w:r w:rsidRPr="00A838CC">
        <w:t>Union;</w:t>
      </w:r>
    </w:p>
    <w:p w:rsidR="00A838CC" w:rsidRPr="00A838CC" w:rsidRDefault="00A838CC" w:rsidP="00A838CC">
      <w:pPr>
        <w:pStyle w:val="enumlev1"/>
      </w:pPr>
      <w:r w:rsidRPr="00A838CC">
        <w:t>k)</w:t>
      </w:r>
      <w:r w:rsidRPr="00A838CC">
        <w:tab/>
        <w:t>traite toutes les autres questions de télécommunication jugées nécessaires.</w:t>
      </w:r>
    </w:p>
    <w:p w:rsidR="00A838CC" w:rsidRPr="00A838CC" w:rsidRDefault="00A838CC" w:rsidP="00A838CC">
      <w:pPr>
        <w:pStyle w:val="Heading1"/>
      </w:pPr>
      <w:r w:rsidRPr="00A838CC">
        <w:t>5</w:t>
      </w:r>
      <w:r w:rsidRPr="00A838CC">
        <w:tab/>
        <w:t>Prochaines étapes</w:t>
      </w:r>
    </w:p>
    <w:p w:rsidR="00A838CC" w:rsidRPr="00A838CC" w:rsidRDefault="00A838CC" w:rsidP="00CD3A0B">
      <w:r w:rsidRPr="00A838CC">
        <w:t>5.1</w:t>
      </w:r>
      <w:r w:rsidRPr="00A838CC">
        <w:tab/>
        <w:t>Au niveau interne, le Comité de coordination établira le Groupe de préparation de la Conférence de Dubaï (DPG), qui se composera de représentants de tous les Bureaux et du Secrétariat général.</w:t>
      </w:r>
    </w:p>
    <w:p w:rsidR="00A838CC" w:rsidRPr="00A838CC" w:rsidRDefault="00A838CC" w:rsidP="00CD3A0B">
      <w:r w:rsidRPr="00A838CC">
        <w:t>5.2</w:t>
      </w:r>
      <w:r w:rsidRPr="00A838CC">
        <w:tab/>
        <w:t>L</w:t>
      </w:r>
      <w:r w:rsidR="005C0058">
        <w:t>'</w:t>
      </w:r>
      <w:r w:rsidRPr="00A838CC">
        <w:t>Accord de pays hôte doit être signé aux</w:t>
      </w:r>
      <w:r w:rsidR="005C0058">
        <w:t xml:space="preserve"> </w:t>
      </w:r>
      <w:r w:rsidRPr="00A838CC">
        <w:rPr>
          <w:rFonts w:asciiTheme="minorHAnsi" w:hAnsiTheme="minorHAnsi" w:cstheme="minorHAnsi"/>
          <w:bCs/>
        </w:rPr>
        <w:t xml:space="preserve">Emirats </w:t>
      </w:r>
      <w:r w:rsidR="00CF54AA" w:rsidRPr="00A838CC">
        <w:rPr>
          <w:rFonts w:asciiTheme="minorHAnsi" w:hAnsiTheme="minorHAnsi" w:cstheme="minorHAnsi"/>
          <w:bCs/>
        </w:rPr>
        <w:t xml:space="preserve">Arabes Unis </w:t>
      </w:r>
      <w:r w:rsidRPr="00A838CC">
        <w:rPr>
          <w:rFonts w:asciiTheme="minorHAnsi" w:hAnsiTheme="minorHAnsi" w:cstheme="minorHAnsi"/>
          <w:bCs/>
        </w:rPr>
        <w:t>un an avant la tenue de la</w:t>
      </w:r>
      <w:r w:rsidR="005C0058">
        <w:rPr>
          <w:rFonts w:asciiTheme="minorHAnsi" w:hAnsiTheme="minorHAnsi" w:cstheme="minorHAnsi"/>
          <w:bCs/>
        </w:rPr>
        <w:t xml:space="preserve"> </w:t>
      </w:r>
      <w:r w:rsidRPr="00A838CC">
        <w:t>Conférence de plénipotentiaires, d</w:t>
      </w:r>
      <w:r w:rsidR="005C0058">
        <w:t>'</w:t>
      </w:r>
      <w:r w:rsidRPr="00A838CC">
        <w:t>ici à la fin octobre 2017.</w:t>
      </w:r>
    </w:p>
    <w:p w:rsidR="00A838CC" w:rsidRPr="00A838CC" w:rsidRDefault="00A838CC" w:rsidP="00CD3A0B"/>
    <w:p w:rsidR="00A838CC" w:rsidRPr="00A838CC" w:rsidRDefault="00A838CC" w:rsidP="00CD3A0B"/>
    <w:p w:rsidR="00A838CC" w:rsidRDefault="00A838CC" w:rsidP="00CD3A0B"/>
    <w:p w:rsidR="00A838CC" w:rsidRDefault="00A838CC">
      <w:pPr>
        <w:jc w:val="center"/>
      </w:pPr>
      <w:r>
        <w:t>______________</w:t>
      </w:r>
    </w:p>
    <w:p w:rsidR="00571EEA" w:rsidRDefault="00571EEA" w:rsidP="0018694A"/>
    <w:sectPr w:rsidR="00571EEA" w:rsidSect="005C389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73" w:rsidRDefault="00167E73">
      <w:r>
        <w:separator/>
      </w:r>
    </w:p>
  </w:endnote>
  <w:endnote w:type="continuationSeparator" w:id="0">
    <w:p w:rsidR="00167E73" w:rsidRDefault="0016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055733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460507">
      <w:t>P:\FRA\SG\CONSEIL\C17\000\005F.docx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13.04.17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460507">
      <w:t>13.04.17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055733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460507">
      <w:t>P:\FRA\SG\CONSEIL\C17\000\005F.docx</w:t>
    </w:r>
    <w:r>
      <w:fldChar w:fldCharType="end"/>
    </w:r>
    <w:r w:rsidR="00A838CC">
      <w:t xml:space="preserve"> (407279)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13.04.17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460507">
      <w:t>13.04.17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73" w:rsidRDefault="00167E73">
      <w:r>
        <w:t>____________________</w:t>
      </w:r>
    </w:p>
  </w:footnote>
  <w:footnote w:type="continuationSeparator" w:id="0">
    <w:p w:rsidR="00167E73" w:rsidRDefault="00167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055733">
      <w:rPr>
        <w:noProof/>
      </w:rPr>
      <w:t>3</w:t>
    </w:r>
    <w:r>
      <w:rPr>
        <w:noProof/>
      </w:rPr>
      <w:fldChar w:fldCharType="end"/>
    </w:r>
  </w:p>
  <w:p w:rsidR="00732045" w:rsidRDefault="00732045" w:rsidP="00B454A8">
    <w:pPr>
      <w:pStyle w:val="Header"/>
    </w:pPr>
    <w:r>
      <w:t>C1</w:t>
    </w:r>
    <w:r w:rsidR="0093234A">
      <w:t>7</w:t>
    </w:r>
    <w:r>
      <w:t>/</w:t>
    </w:r>
    <w:r w:rsidR="00B454A8">
      <w:t>5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73"/>
    <w:rsid w:val="00055733"/>
    <w:rsid w:val="000D0D0A"/>
    <w:rsid w:val="00103163"/>
    <w:rsid w:val="00115D93"/>
    <w:rsid w:val="001247A8"/>
    <w:rsid w:val="001378C0"/>
    <w:rsid w:val="00167E73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3A1A27"/>
    <w:rsid w:val="004038CB"/>
    <w:rsid w:val="0040546F"/>
    <w:rsid w:val="0042404A"/>
    <w:rsid w:val="0044618F"/>
    <w:rsid w:val="00460507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C0058"/>
    <w:rsid w:val="005C3890"/>
    <w:rsid w:val="005C47B4"/>
    <w:rsid w:val="005F7BFE"/>
    <w:rsid w:val="00600017"/>
    <w:rsid w:val="006031B4"/>
    <w:rsid w:val="006235CA"/>
    <w:rsid w:val="00624D49"/>
    <w:rsid w:val="006643AB"/>
    <w:rsid w:val="007210CD"/>
    <w:rsid w:val="00732045"/>
    <w:rsid w:val="007369DB"/>
    <w:rsid w:val="00757311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838CC"/>
    <w:rsid w:val="00AA332F"/>
    <w:rsid w:val="00AA7BBB"/>
    <w:rsid w:val="00AB0CA3"/>
    <w:rsid w:val="00AB64A8"/>
    <w:rsid w:val="00AC0266"/>
    <w:rsid w:val="00AD24EC"/>
    <w:rsid w:val="00B309F9"/>
    <w:rsid w:val="00B32B60"/>
    <w:rsid w:val="00B454A8"/>
    <w:rsid w:val="00B61619"/>
    <w:rsid w:val="00BA1E16"/>
    <w:rsid w:val="00BB4545"/>
    <w:rsid w:val="00BD5873"/>
    <w:rsid w:val="00C04BE3"/>
    <w:rsid w:val="00C25D29"/>
    <w:rsid w:val="00C27A7C"/>
    <w:rsid w:val="00CA08ED"/>
    <w:rsid w:val="00CD3A0B"/>
    <w:rsid w:val="00CF183B"/>
    <w:rsid w:val="00CF54AA"/>
    <w:rsid w:val="00D375CD"/>
    <w:rsid w:val="00D553A2"/>
    <w:rsid w:val="00D56068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AB0ECC0-A14B-4CA3-9EF0-CF1646AB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BodyText3">
    <w:name w:val="Body Text 3"/>
    <w:basedOn w:val="Normal"/>
    <w:link w:val="BodyText3Char"/>
    <w:rsid w:val="00A838CC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A838CC"/>
    <w:rPr>
      <w:rFonts w:ascii="Calibri" w:hAnsi="Calibri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PLEN-2015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pub/S-CONF-PLEN-2015" TargetMode="External"/><Relationship Id="rId12" Type="http://schemas.openxmlformats.org/officeDocument/2006/relationships/hyperlink" Target="https://www.itu.int/md/S16-SG-CIR-0058/fr" TargetMode="Externa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6-DM-CIR-01012/fr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6-CL-C-0110/e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4-PP-C-0178/en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4734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5565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Limousin, Catherine</dc:creator>
  <cp:keywords>C2017, C17</cp:keywords>
  <dc:description/>
  <cp:lastModifiedBy>Janin</cp:lastModifiedBy>
  <cp:revision>2</cp:revision>
  <cp:lastPrinted>2017-04-13T06:42:00Z</cp:lastPrinted>
  <dcterms:created xsi:type="dcterms:W3CDTF">2017-04-19T06:09:00Z</dcterms:created>
  <dcterms:modified xsi:type="dcterms:W3CDTF">2017-04-19T06:09:00Z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