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32ECA" w:rsidRPr="00813E5E">
        <w:trPr>
          <w:cantSplit/>
        </w:trPr>
        <w:tc>
          <w:tcPr>
            <w:tcW w:w="6911" w:type="dxa"/>
          </w:tcPr>
          <w:p w:rsidR="00332ECA" w:rsidRPr="00813E5E" w:rsidRDefault="00332ECA" w:rsidP="00332ECA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332ECA">
              <w:rPr>
                <w:b/>
                <w:bCs/>
                <w:position w:val="6"/>
                <w:sz w:val="30"/>
                <w:szCs w:val="30"/>
                <w:lang w:val="fr-CH"/>
              </w:rPr>
              <w:t>Council 2017</w:t>
            </w:r>
            <w:r w:rsidRPr="00332ECA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332ECA">
              <w:rPr>
                <w:b/>
                <w:bCs/>
                <w:position w:val="6"/>
                <w:szCs w:val="24"/>
                <w:lang w:val="fr-CH"/>
              </w:rPr>
              <w:t>Geneva, 15-25 May 2017</w:t>
            </w:r>
          </w:p>
        </w:tc>
        <w:tc>
          <w:tcPr>
            <w:tcW w:w="3120" w:type="dxa"/>
          </w:tcPr>
          <w:p w:rsidR="00332ECA" w:rsidRPr="00813E5E" w:rsidRDefault="00332ECA" w:rsidP="00332ECA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ECA" w:rsidRPr="00813E5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332ECA" w:rsidRPr="00813E5E" w:rsidRDefault="00332ECA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332ECA" w:rsidRPr="00813E5E" w:rsidRDefault="00332ECA">
            <w:pPr>
              <w:spacing w:before="0" w:line="240" w:lineRule="atLeast"/>
              <w:rPr>
                <w:szCs w:val="24"/>
              </w:rPr>
            </w:pPr>
          </w:p>
        </w:tc>
      </w:tr>
      <w:tr w:rsidR="00332ECA" w:rsidRPr="00813E5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332ECA" w:rsidRPr="00813E5E" w:rsidRDefault="00332ECA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332ECA" w:rsidRPr="00813E5E" w:rsidRDefault="00332ECA">
            <w:pPr>
              <w:spacing w:before="0" w:line="240" w:lineRule="atLeast"/>
              <w:rPr>
                <w:szCs w:val="24"/>
              </w:rPr>
            </w:pPr>
          </w:p>
        </w:tc>
      </w:tr>
      <w:tr w:rsidR="00332ECA" w:rsidRPr="00813E5E">
        <w:trPr>
          <w:cantSplit/>
          <w:trHeight w:val="23"/>
        </w:trPr>
        <w:tc>
          <w:tcPr>
            <w:tcW w:w="6911" w:type="dxa"/>
            <w:vMerge w:val="restart"/>
          </w:tcPr>
          <w:p w:rsidR="00332ECA" w:rsidRPr="00332ECA" w:rsidRDefault="00332ECA" w:rsidP="00332ECA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>Agenda item: PL 2.5</w:t>
            </w:r>
          </w:p>
        </w:tc>
        <w:tc>
          <w:tcPr>
            <w:tcW w:w="3120" w:type="dxa"/>
          </w:tcPr>
          <w:p w:rsidR="00332ECA" w:rsidRPr="00332ECA" w:rsidRDefault="00332ECA" w:rsidP="00332ECA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C17/5-E</w:t>
            </w:r>
          </w:p>
        </w:tc>
      </w:tr>
      <w:tr w:rsidR="00332ECA" w:rsidRPr="00813E5E">
        <w:trPr>
          <w:cantSplit/>
          <w:trHeight w:val="23"/>
        </w:trPr>
        <w:tc>
          <w:tcPr>
            <w:tcW w:w="6911" w:type="dxa"/>
            <w:vMerge/>
          </w:tcPr>
          <w:p w:rsidR="00332ECA" w:rsidRPr="00813E5E" w:rsidRDefault="00332EC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332ECA" w:rsidRPr="00332ECA" w:rsidRDefault="00332ECA" w:rsidP="00332ECA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8 February 2017</w:t>
            </w:r>
          </w:p>
        </w:tc>
      </w:tr>
      <w:tr w:rsidR="00332ECA" w:rsidRPr="00813E5E">
        <w:trPr>
          <w:cantSplit/>
          <w:trHeight w:val="23"/>
        </w:trPr>
        <w:tc>
          <w:tcPr>
            <w:tcW w:w="6911" w:type="dxa"/>
            <w:vMerge/>
          </w:tcPr>
          <w:p w:rsidR="00332ECA" w:rsidRPr="00813E5E" w:rsidRDefault="00332EC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332ECA" w:rsidRPr="00332ECA" w:rsidRDefault="00332ECA" w:rsidP="00332ECA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332ECA" w:rsidRPr="00813E5E">
        <w:trPr>
          <w:cantSplit/>
        </w:trPr>
        <w:tc>
          <w:tcPr>
            <w:tcW w:w="10031" w:type="dxa"/>
            <w:gridSpan w:val="2"/>
          </w:tcPr>
          <w:p w:rsidR="00332ECA" w:rsidRPr="00813E5E" w:rsidRDefault="00332ECA">
            <w:pPr>
              <w:pStyle w:val="Source"/>
            </w:pPr>
            <w:bookmarkStart w:id="6" w:name="dsource" w:colFirst="0" w:colLast="0"/>
            <w:bookmarkEnd w:id="5"/>
            <w:r>
              <w:t>Report by the Secretary-General</w:t>
            </w:r>
          </w:p>
        </w:tc>
      </w:tr>
      <w:tr w:rsidR="00332ECA" w:rsidRPr="00813E5E">
        <w:trPr>
          <w:cantSplit/>
        </w:trPr>
        <w:tc>
          <w:tcPr>
            <w:tcW w:w="10031" w:type="dxa"/>
            <w:gridSpan w:val="2"/>
          </w:tcPr>
          <w:p w:rsidR="00332ECA" w:rsidRPr="00813E5E" w:rsidRDefault="00332ECA">
            <w:pPr>
              <w:pStyle w:val="Title1"/>
            </w:pPr>
            <w:bookmarkStart w:id="7" w:name="dtitle1" w:colFirst="0" w:colLast="0"/>
            <w:bookmarkEnd w:id="6"/>
            <w:r w:rsidRPr="00332ECA">
              <w:t>PREPARATIONS FOR THE 2018 PLENIPOTENTIARY CONFERENCE</w:t>
            </w:r>
          </w:p>
        </w:tc>
      </w:tr>
      <w:bookmarkEnd w:id="7"/>
    </w:tbl>
    <w:p w:rsidR="00332ECA" w:rsidRPr="00813E5E" w:rsidRDefault="00332ECA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332ECA" w:rsidRPr="00813E5E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2ECA" w:rsidRPr="00813E5E" w:rsidRDefault="00332ECA">
            <w:pPr>
              <w:pStyle w:val="Headingb"/>
            </w:pPr>
            <w:r w:rsidRPr="00813E5E">
              <w:t>Summary</w:t>
            </w:r>
          </w:p>
          <w:p w:rsidR="00332ECA" w:rsidRDefault="00332ECA" w:rsidP="00D75605">
            <w:pPr>
              <w:jc w:val="both"/>
            </w:pPr>
            <w:r>
              <w:t>The ITU Council, at its 2016 session, decided on the venue for the holding of the next Plenipotentiary Conference.</w:t>
            </w:r>
          </w:p>
          <w:p w:rsidR="00332ECA" w:rsidRPr="00813E5E" w:rsidRDefault="00332ECA" w:rsidP="00D75605">
            <w:pPr>
              <w:jc w:val="both"/>
            </w:pPr>
            <w:r>
              <w:t>The purpose of this document is to update the Council on the status of preparations for the Plenipotentiary Conference (PP-18).</w:t>
            </w:r>
          </w:p>
          <w:p w:rsidR="00332ECA" w:rsidRPr="00813E5E" w:rsidRDefault="00332ECA">
            <w:pPr>
              <w:pStyle w:val="Headingb"/>
            </w:pPr>
            <w:r w:rsidRPr="00813E5E">
              <w:t>Action required</w:t>
            </w:r>
          </w:p>
          <w:p w:rsidR="00332ECA" w:rsidRPr="00332ECA" w:rsidRDefault="00332ECA" w:rsidP="00332ECA">
            <w:pPr>
              <w:spacing w:before="16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The </w:t>
            </w:r>
            <w:r w:rsidRPr="009C50A5">
              <w:rPr>
                <w:rFonts w:asciiTheme="minorHAnsi" w:hAnsiTheme="minorHAnsi" w:cstheme="minorHAnsi"/>
              </w:rPr>
              <w:t xml:space="preserve">Council is invited </w:t>
            </w:r>
            <w:r w:rsidRPr="009C50A5">
              <w:rPr>
                <w:rFonts w:asciiTheme="minorHAnsi" w:hAnsiTheme="minorHAnsi" w:cstheme="minorHAnsi"/>
                <w:b/>
                <w:bCs/>
              </w:rPr>
              <w:t xml:space="preserve">to note </w:t>
            </w:r>
            <w:r w:rsidRPr="009C50A5">
              <w:rPr>
                <w:rFonts w:asciiTheme="minorHAnsi" w:hAnsiTheme="minorHAnsi" w:cstheme="minorHAnsi"/>
              </w:rPr>
              <w:t xml:space="preserve">the current status of the preparations for </w:t>
            </w:r>
            <w:r>
              <w:rPr>
                <w:rFonts w:asciiTheme="minorHAnsi" w:hAnsiTheme="minorHAnsi" w:cstheme="minorHAnsi"/>
              </w:rPr>
              <w:t>PP-18</w:t>
            </w:r>
            <w:r w:rsidRPr="009C50A5">
              <w:rPr>
                <w:rFonts w:asciiTheme="minorHAnsi" w:hAnsiTheme="minorHAnsi" w:cstheme="minorHAnsi"/>
              </w:rPr>
              <w:t>.</w:t>
            </w:r>
          </w:p>
          <w:p w:rsidR="00332ECA" w:rsidRPr="00813E5E" w:rsidRDefault="00332ECA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</w:rPr>
            </w:pPr>
            <w:r w:rsidRPr="00813E5E">
              <w:rPr>
                <w:rFonts w:ascii="Calibri" w:hAnsi="Calibri"/>
                <w:caps w:val="0"/>
                <w:sz w:val="22"/>
              </w:rPr>
              <w:t>____________</w:t>
            </w:r>
          </w:p>
          <w:p w:rsidR="00332ECA" w:rsidRPr="00813E5E" w:rsidRDefault="00332ECA">
            <w:pPr>
              <w:pStyle w:val="Headingb"/>
            </w:pPr>
            <w:r w:rsidRPr="00813E5E">
              <w:t>References</w:t>
            </w:r>
          </w:p>
          <w:p w:rsidR="00332ECA" w:rsidRPr="00813E5E" w:rsidRDefault="00D50868" w:rsidP="00332ECA">
            <w:pPr>
              <w:spacing w:after="120"/>
              <w:rPr>
                <w:i/>
                <w:iCs/>
              </w:rPr>
            </w:pPr>
            <w:hyperlink r:id="rId9" w:history="1">
              <w:r w:rsidR="00332ECA" w:rsidRPr="009C50A5">
                <w:rPr>
                  <w:rStyle w:val="Hyperlink"/>
                  <w:rFonts w:asciiTheme="minorHAnsi" w:hAnsiTheme="minorHAnsi" w:cstheme="minorHAnsi"/>
                  <w:lang w:val="sv-SE"/>
                </w:rPr>
                <w:t>CV</w:t>
              </w:r>
              <w:r w:rsidR="00332ECA">
                <w:rPr>
                  <w:rStyle w:val="Hyperlink"/>
                  <w:rFonts w:asciiTheme="minorHAnsi" w:hAnsiTheme="minorHAnsi" w:cstheme="minorHAnsi"/>
                  <w:lang w:val="sv-SE"/>
                </w:rPr>
                <w:t> </w:t>
              </w:r>
              <w:r w:rsidR="00332ECA" w:rsidRPr="009C50A5">
                <w:rPr>
                  <w:rStyle w:val="Hyperlink"/>
                  <w:rFonts w:asciiTheme="minorHAnsi" w:hAnsiTheme="minorHAnsi" w:cstheme="minorHAnsi"/>
                  <w:lang w:val="sv-SE"/>
                </w:rPr>
                <w:t>2</w:t>
              </w:r>
            </w:hyperlink>
            <w:r w:rsidR="00332ECA" w:rsidRPr="009C50A5">
              <w:rPr>
                <w:rFonts w:asciiTheme="minorHAnsi" w:hAnsiTheme="minorHAnsi" w:cstheme="minorHAnsi"/>
                <w:lang w:val="sv-SE"/>
              </w:rPr>
              <w:t xml:space="preserve">; </w:t>
            </w:r>
            <w:hyperlink r:id="rId10" w:history="1">
              <w:r w:rsidR="00332ECA" w:rsidRPr="00BA35A9">
                <w:rPr>
                  <w:rStyle w:val="Hyperlink"/>
                  <w:rFonts w:asciiTheme="minorHAnsi" w:hAnsiTheme="minorHAnsi" w:cstheme="minorHAnsi"/>
                  <w:lang w:val="sv-SE"/>
                </w:rPr>
                <w:t>Res</w:t>
              </w:r>
              <w:r w:rsidR="00332ECA">
                <w:rPr>
                  <w:rStyle w:val="Hyperlink"/>
                  <w:rFonts w:asciiTheme="minorHAnsi" w:hAnsiTheme="minorHAnsi" w:cstheme="minorHAnsi"/>
                  <w:lang w:val="sv-SE"/>
                </w:rPr>
                <w:t>.</w:t>
              </w:r>
              <w:r w:rsidR="00332ECA" w:rsidRPr="00BA35A9">
                <w:rPr>
                  <w:rStyle w:val="Hyperlink"/>
                  <w:rFonts w:asciiTheme="minorHAnsi" w:hAnsiTheme="minorHAnsi" w:cstheme="minorHAnsi"/>
                  <w:lang w:val="sv-SE"/>
                </w:rPr>
                <w:t xml:space="preserve"> 77 (Rev. Busan, 2014)</w:t>
              </w:r>
            </w:hyperlink>
            <w:r w:rsidR="00332ECA">
              <w:rPr>
                <w:rFonts w:asciiTheme="minorHAnsi" w:hAnsiTheme="minorHAnsi" w:cstheme="minorHAnsi"/>
                <w:lang w:val="sv-SE"/>
              </w:rPr>
              <w:t>,</w:t>
            </w:r>
            <w:r w:rsidR="00332ECA">
              <w:rPr>
                <w:lang w:val="sv-SE"/>
              </w:rPr>
              <w:t xml:space="preserve"> </w:t>
            </w:r>
            <w:hyperlink r:id="rId11" w:history="1">
              <w:r w:rsidR="00332ECA" w:rsidRPr="00F3630B">
                <w:rPr>
                  <w:rStyle w:val="Hyperlink"/>
                  <w:rFonts w:asciiTheme="minorHAnsi" w:hAnsiTheme="minorHAnsi"/>
                </w:rPr>
                <w:t>Doc. PP-14/178</w:t>
              </w:r>
            </w:hyperlink>
            <w:r w:rsidR="00332ECA">
              <w:rPr>
                <w:rFonts w:asciiTheme="minorHAnsi" w:hAnsiTheme="minorHAnsi"/>
              </w:rPr>
              <w:t xml:space="preserve">, </w:t>
            </w:r>
            <w:hyperlink r:id="rId12" w:history="1">
              <w:r w:rsidR="00332ECA" w:rsidRPr="00644AF2">
                <w:rPr>
                  <w:rStyle w:val="Hyperlink"/>
                  <w:rFonts w:asciiTheme="minorHAnsi" w:hAnsiTheme="minorHAnsi"/>
                  <w:sz w:val="22"/>
                  <w:szCs w:val="22"/>
                  <w:lang w:eastAsia="zh-CN"/>
                </w:rPr>
                <w:t>Doc. C16/110</w:t>
              </w:r>
            </w:hyperlink>
          </w:p>
        </w:tc>
      </w:tr>
    </w:tbl>
    <w:p w:rsidR="00332ECA" w:rsidRPr="009C50A5" w:rsidRDefault="00332ECA" w:rsidP="00332ECA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0"/>
        <w:ind w:left="0" w:firstLine="0"/>
        <w:rPr>
          <w:rFonts w:asciiTheme="minorHAnsi" w:hAnsiTheme="minorHAnsi" w:cstheme="minorHAnsi"/>
          <w:szCs w:val="28"/>
        </w:rPr>
      </w:pPr>
      <w:bookmarkStart w:id="8" w:name="dstart"/>
      <w:bookmarkStart w:id="9" w:name="dbreak"/>
      <w:bookmarkEnd w:id="8"/>
      <w:bookmarkEnd w:id="9"/>
      <w:r>
        <w:rPr>
          <w:rFonts w:asciiTheme="minorHAnsi" w:hAnsiTheme="minorHAnsi" w:cstheme="minorHAnsi"/>
          <w:szCs w:val="28"/>
        </w:rPr>
        <w:t>1.</w:t>
      </w:r>
      <w:r>
        <w:rPr>
          <w:rFonts w:asciiTheme="minorHAnsi" w:hAnsiTheme="minorHAnsi" w:cstheme="minorHAnsi"/>
          <w:szCs w:val="28"/>
        </w:rPr>
        <w:tab/>
        <w:t>Introduction</w:t>
      </w:r>
    </w:p>
    <w:p w:rsidR="00332ECA" w:rsidRPr="009C50A5" w:rsidRDefault="00332ECA" w:rsidP="00332EC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bCs/>
        </w:rPr>
      </w:pPr>
      <w:r w:rsidRPr="009C50A5">
        <w:rPr>
          <w:rFonts w:asciiTheme="minorHAnsi" w:eastAsia="SimSun" w:hAnsiTheme="minorHAnsi" w:cstheme="minorHAnsi"/>
          <w:bCs/>
          <w:lang w:eastAsia="zh-CN"/>
        </w:rPr>
        <w:t>1.1</w:t>
      </w:r>
      <w:r w:rsidRPr="009C50A5">
        <w:rPr>
          <w:rFonts w:asciiTheme="minorHAnsi" w:eastAsia="SimSun" w:hAnsiTheme="minorHAnsi" w:cstheme="minorHAnsi"/>
          <w:bCs/>
          <w:lang w:eastAsia="zh-CN"/>
        </w:rPr>
        <w:tab/>
      </w:r>
      <w:r w:rsidRPr="009C50A5">
        <w:rPr>
          <w:rFonts w:asciiTheme="minorHAnsi" w:hAnsiTheme="minorHAnsi" w:cstheme="minorHAnsi"/>
          <w:bCs/>
        </w:rPr>
        <w:t>This document provides an update on the status of preparations for the 201</w:t>
      </w:r>
      <w:r>
        <w:rPr>
          <w:rFonts w:asciiTheme="minorHAnsi" w:hAnsiTheme="minorHAnsi" w:cstheme="minorHAnsi"/>
          <w:bCs/>
        </w:rPr>
        <w:t>8 Plenipotentiary Conference (PP-18).</w:t>
      </w:r>
    </w:p>
    <w:p w:rsidR="00332ECA" w:rsidRPr="009C50A5" w:rsidRDefault="00332ECA" w:rsidP="00332EC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bCs/>
        </w:rPr>
      </w:pPr>
      <w:proofErr w:type="gramStart"/>
      <w:r w:rsidRPr="009C50A5">
        <w:rPr>
          <w:rFonts w:asciiTheme="minorHAnsi" w:hAnsiTheme="minorHAnsi" w:cstheme="minorHAnsi"/>
          <w:bCs/>
        </w:rPr>
        <w:t>1.2</w:t>
      </w:r>
      <w:proofErr w:type="gramEnd"/>
      <w:r w:rsidRPr="009C50A5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At the last P</w:t>
      </w:r>
      <w:r w:rsidRPr="009C50A5">
        <w:rPr>
          <w:rFonts w:asciiTheme="minorHAnsi" w:hAnsiTheme="minorHAnsi" w:cstheme="minorHAnsi"/>
          <w:bCs/>
        </w:rPr>
        <w:t xml:space="preserve">lenipotentiary </w:t>
      </w:r>
      <w:r>
        <w:rPr>
          <w:rFonts w:asciiTheme="minorHAnsi" w:hAnsiTheme="minorHAnsi" w:cstheme="minorHAnsi"/>
          <w:bCs/>
        </w:rPr>
        <w:t>C</w:t>
      </w:r>
      <w:r w:rsidRPr="009C50A5">
        <w:rPr>
          <w:rFonts w:asciiTheme="minorHAnsi" w:hAnsiTheme="minorHAnsi" w:cstheme="minorHAnsi"/>
          <w:bCs/>
        </w:rPr>
        <w:t>onference (PP</w:t>
      </w:r>
      <w:r>
        <w:rPr>
          <w:rFonts w:asciiTheme="minorHAnsi" w:hAnsiTheme="minorHAnsi" w:cstheme="minorHAnsi"/>
          <w:bCs/>
        </w:rPr>
        <w:t>-14</w:t>
      </w:r>
      <w:r w:rsidRPr="009C50A5">
        <w:rPr>
          <w:rFonts w:asciiTheme="minorHAnsi" w:hAnsiTheme="minorHAnsi" w:cstheme="minorHAnsi"/>
          <w:bCs/>
        </w:rPr>
        <w:t>) held in</w:t>
      </w:r>
      <w:r>
        <w:rPr>
          <w:rFonts w:asciiTheme="minorHAnsi" w:hAnsiTheme="minorHAnsi" w:cstheme="minorHAnsi"/>
          <w:bCs/>
        </w:rPr>
        <w:t xml:space="preserve"> the Republic of</w:t>
      </w:r>
      <w:r w:rsidRPr="009C50A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Korea, the delegate of the United Arab Emirates proposed to host PP-18.</w:t>
      </w:r>
    </w:p>
    <w:p w:rsidR="00332ECA" w:rsidRPr="009C50A5" w:rsidRDefault="00332ECA" w:rsidP="00332EC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bCs/>
        </w:rPr>
      </w:pPr>
      <w:r w:rsidRPr="009C50A5">
        <w:rPr>
          <w:rFonts w:asciiTheme="minorHAnsi" w:hAnsiTheme="minorHAnsi" w:cstheme="minorHAnsi"/>
          <w:bCs/>
        </w:rPr>
        <w:t>1.3</w:t>
      </w:r>
      <w:r w:rsidRPr="009C50A5">
        <w:rPr>
          <w:rFonts w:asciiTheme="minorHAnsi" w:hAnsiTheme="minorHAnsi" w:cstheme="minorHAnsi"/>
          <w:bCs/>
        </w:rPr>
        <w:tab/>
        <w:t>Pursuant to No. 2 of the Convention, in the event that the precise place and exact dates of a PP have not been set by the preceding PP, they shall be fixed by the Council with the concurrence of the majority of the Member States.</w:t>
      </w:r>
    </w:p>
    <w:p w:rsidR="00332ECA" w:rsidRPr="009C50A5" w:rsidRDefault="00332ECA" w:rsidP="00332EC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bCs/>
        </w:rPr>
      </w:pPr>
      <w:r w:rsidRPr="009C50A5">
        <w:rPr>
          <w:rFonts w:asciiTheme="minorHAnsi" w:hAnsiTheme="minorHAnsi" w:cstheme="minorHAnsi"/>
          <w:bCs/>
        </w:rPr>
        <w:t>1.4</w:t>
      </w:r>
      <w:r w:rsidRPr="009C50A5">
        <w:rPr>
          <w:rFonts w:asciiTheme="minorHAnsi" w:hAnsiTheme="minorHAnsi" w:cstheme="minorHAnsi"/>
          <w:bCs/>
        </w:rPr>
        <w:tab/>
        <w:t>At its 20</w:t>
      </w:r>
      <w:r>
        <w:rPr>
          <w:rFonts w:asciiTheme="minorHAnsi" w:hAnsiTheme="minorHAnsi" w:cstheme="minorHAnsi"/>
          <w:bCs/>
        </w:rPr>
        <w:t>16</w:t>
      </w:r>
      <w:r w:rsidRPr="009C50A5">
        <w:rPr>
          <w:rFonts w:asciiTheme="minorHAnsi" w:hAnsiTheme="minorHAnsi" w:cstheme="minorHAnsi"/>
          <w:bCs/>
        </w:rPr>
        <w:t xml:space="preserve"> session, Council </w:t>
      </w:r>
      <w:r>
        <w:rPr>
          <w:rFonts w:asciiTheme="minorHAnsi" w:hAnsiTheme="minorHAnsi" w:cstheme="minorHAnsi"/>
          <w:bCs/>
        </w:rPr>
        <w:t>confirmed the city of Dubai as the venue for PP-18</w:t>
      </w:r>
      <w:r w:rsidRPr="009C50A5">
        <w:rPr>
          <w:rFonts w:asciiTheme="minorHAnsi" w:hAnsiTheme="minorHAnsi" w:cstheme="minorHAnsi"/>
          <w:bCs/>
        </w:rPr>
        <w:t>.</w:t>
      </w:r>
    </w:p>
    <w:p w:rsidR="00332ECA" w:rsidRPr="00022739" w:rsidRDefault="00332ECA" w:rsidP="00D75605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ind w:left="0" w:firstLine="0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2.</w:t>
      </w:r>
      <w:r w:rsidRPr="00022739">
        <w:rPr>
          <w:rFonts w:asciiTheme="minorHAnsi" w:hAnsiTheme="minorHAnsi" w:cstheme="minorHAnsi"/>
          <w:szCs w:val="28"/>
        </w:rPr>
        <w:tab/>
        <w:t>Consultation</w:t>
      </w:r>
    </w:p>
    <w:p w:rsidR="00332ECA" w:rsidRPr="00803797" w:rsidRDefault="00332ECA" w:rsidP="00D75605">
      <w:pPr>
        <w:pStyle w:val="BodyText3"/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jc w:val="both"/>
        <w:rPr>
          <w:rFonts w:asciiTheme="minorHAnsi" w:hAnsiTheme="minorHAnsi" w:cstheme="minorHAnsi"/>
          <w:bCs/>
          <w:sz w:val="24"/>
        </w:rPr>
      </w:pPr>
      <w:r w:rsidRPr="009C50A5">
        <w:rPr>
          <w:rFonts w:asciiTheme="minorHAnsi" w:hAnsiTheme="minorHAnsi" w:cstheme="minorHAnsi"/>
          <w:bCs/>
          <w:sz w:val="24"/>
        </w:rPr>
        <w:t>2.1</w:t>
      </w:r>
      <w:r w:rsidRPr="009C50A5">
        <w:rPr>
          <w:rFonts w:asciiTheme="minorHAnsi" w:hAnsiTheme="minorHAnsi" w:cstheme="minorHAnsi"/>
          <w:bCs/>
          <w:sz w:val="24"/>
        </w:rPr>
        <w:tab/>
      </w:r>
      <w:r w:rsidRPr="00332ECA">
        <w:rPr>
          <w:rFonts w:asciiTheme="minorHAnsi" w:hAnsiTheme="minorHAnsi" w:cstheme="minorHAnsi"/>
          <w:bCs/>
          <w:spacing w:val="-4"/>
          <w:sz w:val="24"/>
        </w:rPr>
        <w:t xml:space="preserve">On 12 October 2016, </w:t>
      </w:r>
      <w:r w:rsidR="00D75605">
        <w:rPr>
          <w:rFonts w:asciiTheme="minorHAnsi" w:hAnsiTheme="minorHAnsi" w:cstheme="minorHAnsi"/>
          <w:bCs/>
          <w:spacing w:val="-4"/>
          <w:sz w:val="24"/>
        </w:rPr>
        <w:t xml:space="preserve">the </w:t>
      </w:r>
      <w:r w:rsidRPr="00332ECA">
        <w:rPr>
          <w:rFonts w:asciiTheme="minorHAnsi" w:hAnsiTheme="minorHAnsi" w:cstheme="minorHAnsi"/>
          <w:bCs/>
          <w:spacing w:val="-4"/>
          <w:sz w:val="24"/>
        </w:rPr>
        <w:t>ITU Secretary-General received an official invitation from the Government</w:t>
      </w:r>
      <w:r w:rsidRPr="00803797">
        <w:rPr>
          <w:rFonts w:asciiTheme="minorHAnsi" w:hAnsiTheme="minorHAnsi" w:cstheme="minorHAnsi"/>
          <w:bCs/>
          <w:sz w:val="24"/>
        </w:rPr>
        <w:t xml:space="preserve"> of the United Arab Emirates to</w:t>
      </w:r>
      <w:r>
        <w:rPr>
          <w:rFonts w:asciiTheme="minorHAnsi" w:hAnsiTheme="minorHAnsi" w:cstheme="minorHAnsi"/>
          <w:bCs/>
          <w:sz w:val="24"/>
        </w:rPr>
        <w:t xml:space="preserve"> host </w:t>
      </w:r>
      <w:r w:rsidRPr="00803797">
        <w:rPr>
          <w:rFonts w:asciiTheme="minorHAnsi" w:hAnsiTheme="minorHAnsi" w:cstheme="minorHAnsi"/>
          <w:bCs/>
          <w:sz w:val="24"/>
        </w:rPr>
        <w:t>PP‐18 from Monday, 29 October to Friday, 16 November 2018</w:t>
      </w:r>
      <w:r>
        <w:rPr>
          <w:rFonts w:asciiTheme="minorHAnsi" w:hAnsiTheme="minorHAnsi" w:cstheme="minorHAnsi"/>
          <w:bCs/>
          <w:sz w:val="24"/>
        </w:rPr>
        <w:t xml:space="preserve"> </w:t>
      </w:r>
      <w:r w:rsidRPr="00803797">
        <w:rPr>
          <w:rFonts w:asciiTheme="minorHAnsi" w:hAnsiTheme="minorHAnsi" w:cstheme="minorHAnsi"/>
          <w:bCs/>
          <w:sz w:val="24"/>
        </w:rPr>
        <w:t>at the Dubai World Trade Center.</w:t>
      </w:r>
    </w:p>
    <w:p w:rsidR="00332ECA" w:rsidRDefault="00332ECA" w:rsidP="00D75605">
      <w:pPr>
        <w:pStyle w:val="BodyText3"/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lastRenderedPageBreak/>
        <w:t>2.2</w:t>
      </w:r>
      <w:r>
        <w:rPr>
          <w:rFonts w:asciiTheme="minorHAnsi" w:hAnsiTheme="minorHAnsi" w:cstheme="minorHAnsi"/>
          <w:bCs/>
          <w:sz w:val="24"/>
        </w:rPr>
        <w:tab/>
        <w:t>On 21</w:t>
      </w:r>
      <w:r w:rsidRPr="00644AF2">
        <w:rPr>
          <w:rFonts w:asciiTheme="minorHAnsi" w:hAnsiTheme="minorHAnsi" w:cstheme="minorHAnsi"/>
          <w:bCs/>
          <w:sz w:val="24"/>
        </w:rPr>
        <w:t xml:space="preserve"> </w:t>
      </w:r>
      <w:r>
        <w:rPr>
          <w:rFonts w:asciiTheme="minorHAnsi" w:hAnsiTheme="minorHAnsi" w:cstheme="minorHAnsi"/>
          <w:bCs/>
          <w:sz w:val="24"/>
        </w:rPr>
        <w:t>October</w:t>
      </w:r>
      <w:r w:rsidRPr="00644AF2">
        <w:rPr>
          <w:rFonts w:asciiTheme="minorHAnsi" w:hAnsiTheme="minorHAnsi" w:cstheme="minorHAnsi"/>
          <w:bCs/>
          <w:sz w:val="24"/>
        </w:rPr>
        <w:t xml:space="preserve"> 2016</w:t>
      </w:r>
      <w:r>
        <w:rPr>
          <w:rFonts w:asciiTheme="minorHAnsi" w:hAnsiTheme="minorHAnsi" w:cstheme="minorHAnsi"/>
          <w:bCs/>
          <w:sz w:val="24"/>
        </w:rPr>
        <w:t xml:space="preserve"> (</w:t>
      </w:r>
      <w:hyperlink r:id="rId13" w:history="1">
        <w:r w:rsidRPr="00644AF2">
          <w:rPr>
            <w:rStyle w:val="Hyperlink"/>
            <w:rFonts w:asciiTheme="minorHAnsi" w:hAnsiTheme="minorHAnsi" w:cstheme="minorHAnsi"/>
            <w:bCs/>
            <w:sz w:val="24"/>
          </w:rPr>
          <w:t>DM-16/1012</w:t>
        </w:r>
      </w:hyperlink>
      <w:r>
        <w:rPr>
          <w:rFonts w:asciiTheme="minorHAnsi" w:hAnsiTheme="minorHAnsi" w:cstheme="minorHAnsi"/>
          <w:bCs/>
          <w:sz w:val="24"/>
        </w:rPr>
        <w:t>)</w:t>
      </w:r>
      <w:r w:rsidR="00D75605">
        <w:rPr>
          <w:rFonts w:asciiTheme="minorHAnsi" w:hAnsiTheme="minorHAnsi" w:cstheme="minorHAnsi"/>
          <w:bCs/>
          <w:sz w:val="24"/>
        </w:rPr>
        <w:t>,</w:t>
      </w:r>
      <w:r w:rsidRPr="00644AF2">
        <w:rPr>
          <w:rFonts w:asciiTheme="minorHAnsi" w:hAnsiTheme="minorHAnsi" w:cstheme="minorHAnsi"/>
          <w:bCs/>
          <w:sz w:val="24"/>
        </w:rPr>
        <w:t xml:space="preserve"> </w:t>
      </w:r>
      <w:r>
        <w:rPr>
          <w:rFonts w:asciiTheme="minorHAnsi" w:hAnsiTheme="minorHAnsi" w:cstheme="minorHAnsi"/>
          <w:bCs/>
          <w:sz w:val="24"/>
        </w:rPr>
        <w:t>the C</w:t>
      </w:r>
      <w:r w:rsidRPr="00803797">
        <w:rPr>
          <w:rFonts w:asciiTheme="minorHAnsi" w:hAnsiTheme="minorHAnsi" w:cstheme="minorHAnsi"/>
          <w:bCs/>
          <w:sz w:val="24"/>
        </w:rPr>
        <w:t xml:space="preserve">hairman of Council 2016 </w:t>
      </w:r>
      <w:r>
        <w:rPr>
          <w:rFonts w:asciiTheme="minorHAnsi" w:hAnsiTheme="minorHAnsi" w:cstheme="minorHAnsi"/>
          <w:bCs/>
          <w:sz w:val="24"/>
        </w:rPr>
        <w:t>invited the Member States of</w:t>
      </w:r>
      <w:r w:rsidRPr="00803797">
        <w:rPr>
          <w:rFonts w:asciiTheme="minorHAnsi" w:hAnsiTheme="minorHAnsi" w:cstheme="minorHAnsi"/>
          <w:bCs/>
          <w:sz w:val="24"/>
        </w:rPr>
        <w:t xml:space="preserve"> </w:t>
      </w:r>
      <w:r w:rsidR="00D75605">
        <w:rPr>
          <w:rFonts w:asciiTheme="minorHAnsi" w:hAnsiTheme="minorHAnsi" w:cstheme="minorHAnsi"/>
          <w:bCs/>
          <w:sz w:val="24"/>
        </w:rPr>
        <w:t xml:space="preserve">the </w:t>
      </w:r>
      <w:r w:rsidRPr="00803797">
        <w:rPr>
          <w:rFonts w:asciiTheme="minorHAnsi" w:hAnsiTheme="minorHAnsi" w:cstheme="minorHAnsi"/>
          <w:bCs/>
          <w:sz w:val="24"/>
        </w:rPr>
        <w:t>Council to confirm in writing their</w:t>
      </w:r>
      <w:r>
        <w:rPr>
          <w:rFonts w:asciiTheme="minorHAnsi" w:hAnsiTheme="minorHAnsi" w:cstheme="minorHAnsi"/>
          <w:bCs/>
          <w:sz w:val="24"/>
        </w:rPr>
        <w:t xml:space="preserve"> </w:t>
      </w:r>
      <w:r w:rsidRPr="00803797">
        <w:rPr>
          <w:rFonts w:asciiTheme="minorHAnsi" w:hAnsiTheme="minorHAnsi" w:cstheme="minorHAnsi"/>
          <w:bCs/>
          <w:sz w:val="24"/>
        </w:rPr>
        <w:t xml:space="preserve">agreement as to the exact dates and precise place for PP‐18. </w:t>
      </w:r>
    </w:p>
    <w:p w:rsidR="00332ECA" w:rsidRPr="009C50A5" w:rsidRDefault="00332ECA" w:rsidP="00D75605">
      <w:pPr>
        <w:pStyle w:val="BodyText3"/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2.3</w:t>
      </w:r>
      <w:r>
        <w:rPr>
          <w:rFonts w:asciiTheme="minorHAnsi" w:hAnsiTheme="minorHAnsi" w:cstheme="minorHAnsi"/>
          <w:bCs/>
          <w:sz w:val="24"/>
        </w:rPr>
        <w:tab/>
        <w:t xml:space="preserve">Following the approval by </w:t>
      </w:r>
      <w:r w:rsidR="00D75605">
        <w:rPr>
          <w:rFonts w:asciiTheme="minorHAnsi" w:hAnsiTheme="minorHAnsi" w:cstheme="minorHAnsi"/>
          <w:bCs/>
          <w:sz w:val="24"/>
        </w:rPr>
        <w:t xml:space="preserve">the </w:t>
      </w:r>
      <w:r>
        <w:rPr>
          <w:rFonts w:asciiTheme="minorHAnsi" w:hAnsiTheme="minorHAnsi" w:cstheme="minorHAnsi"/>
          <w:bCs/>
          <w:sz w:val="24"/>
        </w:rPr>
        <w:t xml:space="preserve">Member States of </w:t>
      </w:r>
      <w:r w:rsidR="00D75605">
        <w:rPr>
          <w:rFonts w:asciiTheme="minorHAnsi" w:hAnsiTheme="minorHAnsi" w:cstheme="minorHAnsi"/>
          <w:bCs/>
          <w:sz w:val="24"/>
        </w:rPr>
        <w:t xml:space="preserve">the </w:t>
      </w:r>
      <w:r>
        <w:rPr>
          <w:rFonts w:asciiTheme="minorHAnsi" w:hAnsiTheme="minorHAnsi" w:cstheme="minorHAnsi"/>
          <w:bCs/>
          <w:sz w:val="24"/>
        </w:rPr>
        <w:t>Council and i</w:t>
      </w:r>
      <w:r w:rsidRPr="009C50A5">
        <w:rPr>
          <w:rFonts w:asciiTheme="minorHAnsi" w:hAnsiTheme="minorHAnsi" w:cstheme="minorHAnsi"/>
          <w:bCs/>
          <w:sz w:val="24"/>
        </w:rPr>
        <w:t xml:space="preserve">n accordance with No. 2 of the Convention, on </w:t>
      </w:r>
      <w:r>
        <w:rPr>
          <w:rFonts w:asciiTheme="minorHAnsi" w:hAnsiTheme="minorHAnsi" w:cstheme="minorHAnsi"/>
          <w:bCs/>
          <w:sz w:val="24"/>
        </w:rPr>
        <w:t>13 December 2016</w:t>
      </w:r>
      <w:r w:rsidRPr="009C50A5">
        <w:rPr>
          <w:rFonts w:asciiTheme="minorHAnsi" w:hAnsiTheme="minorHAnsi" w:cstheme="minorHAnsi"/>
          <w:bCs/>
          <w:sz w:val="24"/>
        </w:rPr>
        <w:t>, the Secretary</w:t>
      </w:r>
      <w:r>
        <w:rPr>
          <w:rFonts w:asciiTheme="minorHAnsi" w:hAnsiTheme="minorHAnsi" w:cstheme="minorHAnsi"/>
          <w:bCs/>
          <w:sz w:val="24"/>
        </w:rPr>
        <w:t>-</w:t>
      </w:r>
      <w:r w:rsidRPr="009C50A5">
        <w:rPr>
          <w:rFonts w:asciiTheme="minorHAnsi" w:hAnsiTheme="minorHAnsi" w:cstheme="minorHAnsi"/>
          <w:bCs/>
          <w:sz w:val="24"/>
        </w:rPr>
        <w:t xml:space="preserve">General launched a </w:t>
      </w:r>
      <w:r w:rsidRPr="00BE3895">
        <w:rPr>
          <w:rFonts w:asciiTheme="minorHAnsi" w:hAnsiTheme="minorHAnsi" w:cstheme="minorHAnsi"/>
          <w:bCs/>
          <w:sz w:val="24"/>
          <w:szCs w:val="24"/>
        </w:rPr>
        <w:t>consultation (</w:t>
      </w:r>
      <w:hyperlink r:id="rId14" w:history="1">
        <w:r w:rsidRPr="00BE3895">
          <w:rPr>
            <w:rFonts w:asciiTheme="minorHAnsi" w:hAnsiTheme="minorHAnsi"/>
            <w:color w:val="0000FF"/>
            <w:sz w:val="24"/>
            <w:szCs w:val="24"/>
            <w:u w:val="single"/>
            <w:lang w:eastAsia="zh-CN"/>
          </w:rPr>
          <w:t>CL-16/58</w:t>
        </w:r>
      </w:hyperlink>
      <w:r w:rsidRPr="00BE3895">
        <w:rPr>
          <w:rFonts w:asciiTheme="minorHAnsi" w:hAnsiTheme="minorHAnsi" w:cstheme="minorHAnsi"/>
          <w:bCs/>
          <w:sz w:val="24"/>
          <w:szCs w:val="24"/>
        </w:rPr>
        <w:t>) with</w:t>
      </w:r>
      <w:r w:rsidRPr="009C50A5">
        <w:rPr>
          <w:rFonts w:asciiTheme="minorHAnsi" w:hAnsiTheme="minorHAnsi" w:cstheme="minorHAnsi"/>
          <w:bCs/>
          <w:sz w:val="24"/>
        </w:rPr>
        <w:t xml:space="preserve"> the</w:t>
      </w:r>
      <w:r>
        <w:rPr>
          <w:rFonts w:asciiTheme="minorHAnsi" w:hAnsiTheme="minorHAnsi" w:cstheme="minorHAnsi"/>
          <w:bCs/>
          <w:sz w:val="24"/>
        </w:rPr>
        <w:t> </w:t>
      </w:r>
      <w:r w:rsidRPr="009C50A5">
        <w:rPr>
          <w:rFonts w:asciiTheme="minorHAnsi" w:hAnsiTheme="minorHAnsi" w:cstheme="minorHAnsi"/>
          <w:bCs/>
          <w:sz w:val="24"/>
        </w:rPr>
        <w:t>Member States of ITU requesting their concurrence with the precise place and exact dates</w:t>
      </w:r>
      <w:r>
        <w:rPr>
          <w:rFonts w:asciiTheme="minorHAnsi" w:hAnsiTheme="minorHAnsi" w:cstheme="minorHAnsi"/>
          <w:bCs/>
          <w:sz w:val="24"/>
        </w:rPr>
        <w:t xml:space="preserve"> for PP-18</w:t>
      </w:r>
      <w:r w:rsidRPr="009C50A5">
        <w:rPr>
          <w:rFonts w:asciiTheme="minorHAnsi" w:hAnsiTheme="minorHAnsi" w:cstheme="minorHAnsi"/>
          <w:bCs/>
          <w:sz w:val="24"/>
        </w:rPr>
        <w:t>.</w:t>
      </w:r>
    </w:p>
    <w:p w:rsidR="00332ECA" w:rsidRPr="009C50A5" w:rsidRDefault="00332ECA" w:rsidP="00332ECA">
      <w:pPr>
        <w:pStyle w:val="BodyText3"/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jc w:val="both"/>
        <w:rPr>
          <w:rFonts w:asciiTheme="minorHAnsi" w:hAnsiTheme="minorHAnsi" w:cstheme="minorHAnsi"/>
          <w:bCs/>
          <w:sz w:val="24"/>
        </w:rPr>
      </w:pPr>
      <w:r w:rsidRPr="009C50A5">
        <w:rPr>
          <w:rFonts w:asciiTheme="minorHAnsi" w:hAnsiTheme="minorHAnsi" w:cstheme="minorHAnsi"/>
          <w:bCs/>
          <w:sz w:val="24"/>
        </w:rPr>
        <w:t>2.</w:t>
      </w:r>
      <w:r>
        <w:rPr>
          <w:rFonts w:asciiTheme="minorHAnsi" w:hAnsiTheme="minorHAnsi" w:cstheme="minorHAnsi"/>
          <w:bCs/>
          <w:sz w:val="24"/>
        </w:rPr>
        <w:t>4</w:t>
      </w:r>
      <w:r w:rsidRPr="009C50A5">
        <w:rPr>
          <w:rFonts w:asciiTheme="minorHAnsi" w:hAnsiTheme="minorHAnsi" w:cstheme="minorHAnsi"/>
          <w:bCs/>
          <w:sz w:val="24"/>
        </w:rPr>
        <w:tab/>
      </w:r>
      <w:r w:rsidRPr="00040A27">
        <w:rPr>
          <w:rFonts w:asciiTheme="minorHAnsi" w:hAnsiTheme="minorHAnsi" w:cstheme="minorHAnsi"/>
          <w:bCs/>
          <w:sz w:val="24"/>
        </w:rPr>
        <w:t>On 13 February 2017, the Secretary-General announced that the consultation received the agreement of the required majority of the Member States in accordance with No. 2 of the Convention (</w:t>
      </w:r>
      <w:hyperlink r:id="rId15" w:history="1">
        <w:r w:rsidRPr="00040A27">
          <w:rPr>
            <w:rStyle w:val="Hyperlink"/>
            <w:rFonts w:asciiTheme="minorHAnsi" w:hAnsiTheme="minorHAnsi" w:cstheme="minorHAnsi"/>
            <w:bCs/>
            <w:sz w:val="24"/>
          </w:rPr>
          <w:t>CL-17/6</w:t>
        </w:r>
      </w:hyperlink>
      <w:r w:rsidRPr="00040A27">
        <w:rPr>
          <w:rFonts w:asciiTheme="minorHAnsi" w:hAnsiTheme="minorHAnsi" w:cstheme="minorHAnsi"/>
          <w:bCs/>
          <w:sz w:val="24"/>
        </w:rPr>
        <w:t>).</w:t>
      </w:r>
    </w:p>
    <w:p w:rsidR="00332ECA" w:rsidRPr="00022739" w:rsidRDefault="00332ECA" w:rsidP="00332ECA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ind w:left="0" w:firstLine="0"/>
        <w:jc w:val="both"/>
        <w:rPr>
          <w:rFonts w:asciiTheme="minorHAnsi" w:hAnsiTheme="minorHAnsi" w:cstheme="minorHAnsi"/>
          <w:szCs w:val="28"/>
        </w:rPr>
      </w:pPr>
      <w:r w:rsidRPr="00022739">
        <w:rPr>
          <w:rFonts w:asciiTheme="minorHAnsi" w:hAnsiTheme="minorHAnsi" w:cstheme="minorHAnsi"/>
          <w:szCs w:val="28"/>
        </w:rPr>
        <w:t>3.</w:t>
      </w:r>
      <w:r w:rsidRPr="00022739"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>Progress to date</w:t>
      </w:r>
    </w:p>
    <w:p w:rsidR="00332ECA" w:rsidRDefault="00332ECA" w:rsidP="00332EC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bCs/>
        </w:rPr>
      </w:pPr>
      <w:r w:rsidRPr="009C50A5">
        <w:rPr>
          <w:rFonts w:asciiTheme="minorHAnsi" w:hAnsiTheme="minorHAnsi" w:cstheme="minorHAnsi"/>
          <w:bCs/>
        </w:rPr>
        <w:t>3.1</w:t>
      </w:r>
      <w:r w:rsidRPr="009C50A5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Discussions are ongoing</w:t>
      </w:r>
      <w:r w:rsidRPr="009C50A5">
        <w:rPr>
          <w:rFonts w:asciiTheme="minorHAnsi" w:hAnsiTheme="minorHAnsi" w:cstheme="minorHAnsi"/>
          <w:bCs/>
        </w:rPr>
        <w:t xml:space="preserve"> between ITU and </w:t>
      </w:r>
      <w:r>
        <w:rPr>
          <w:rFonts w:asciiTheme="minorHAnsi" w:hAnsiTheme="minorHAnsi" w:cstheme="minorHAnsi"/>
          <w:bCs/>
        </w:rPr>
        <w:t xml:space="preserve">the Government of the United Arab Emirates </w:t>
      </w:r>
      <w:r w:rsidRPr="009C50A5">
        <w:rPr>
          <w:rFonts w:asciiTheme="minorHAnsi" w:hAnsiTheme="minorHAnsi" w:cstheme="minorHAnsi"/>
          <w:bCs/>
        </w:rPr>
        <w:t>to progress on the provisions of the Host</w:t>
      </w:r>
      <w:r>
        <w:rPr>
          <w:rFonts w:asciiTheme="minorHAnsi" w:hAnsiTheme="minorHAnsi" w:cstheme="minorHAnsi"/>
          <w:bCs/>
        </w:rPr>
        <w:t xml:space="preserve"> </w:t>
      </w:r>
      <w:r w:rsidRPr="009C50A5">
        <w:rPr>
          <w:rFonts w:asciiTheme="minorHAnsi" w:hAnsiTheme="minorHAnsi" w:cstheme="minorHAnsi"/>
          <w:bCs/>
        </w:rPr>
        <w:t xml:space="preserve">Country </w:t>
      </w:r>
      <w:r>
        <w:rPr>
          <w:rFonts w:asciiTheme="minorHAnsi" w:hAnsiTheme="minorHAnsi" w:cstheme="minorHAnsi"/>
          <w:bCs/>
        </w:rPr>
        <w:t>Agreement to be signed by both p</w:t>
      </w:r>
      <w:r w:rsidRPr="009C50A5">
        <w:rPr>
          <w:rFonts w:asciiTheme="minorHAnsi" w:hAnsiTheme="minorHAnsi" w:cstheme="minorHAnsi"/>
          <w:bCs/>
        </w:rPr>
        <w:t>arties</w:t>
      </w:r>
      <w:r>
        <w:rPr>
          <w:rFonts w:asciiTheme="minorHAnsi" w:hAnsiTheme="minorHAnsi" w:cstheme="minorHAnsi"/>
          <w:bCs/>
        </w:rPr>
        <w:t xml:space="preserve">. </w:t>
      </w:r>
      <w:r w:rsidRPr="009C50A5">
        <w:rPr>
          <w:rFonts w:asciiTheme="minorHAnsi" w:hAnsiTheme="minorHAnsi" w:cstheme="minorHAnsi"/>
          <w:bCs/>
        </w:rPr>
        <w:t>The negotiation</w:t>
      </w:r>
      <w:r>
        <w:rPr>
          <w:rFonts w:asciiTheme="minorHAnsi" w:hAnsiTheme="minorHAnsi" w:cstheme="minorHAnsi"/>
          <w:bCs/>
        </w:rPr>
        <w:t>s</w:t>
      </w:r>
      <w:r w:rsidRPr="009C50A5">
        <w:rPr>
          <w:rFonts w:asciiTheme="minorHAnsi" w:hAnsiTheme="minorHAnsi" w:cstheme="minorHAnsi"/>
          <w:bCs/>
        </w:rPr>
        <w:t xml:space="preserve"> of the </w:t>
      </w:r>
      <w:r>
        <w:rPr>
          <w:rFonts w:asciiTheme="minorHAnsi" w:hAnsiTheme="minorHAnsi" w:cstheme="minorHAnsi"/>
          <w:bCs/>
        </w:rPr>
        <w:t xml:space="preserve">Host Country Agreement for PP-18 have been </w:t>
      </w:r>
      <w:r w:rsidRPr="009C50A5">
        <w:rPr>
          <w:rFonts w:asciiTheme="minorHAnsi" w:hAnsiTheme="minorHAnsi" w:cstheme="minorHAnsi"/>
          <w:bCs/>
        </w:rPr>
        <w:t>conducted on the basis of the model host</w:t>
      </w:r>
      <w:r>
        <w:rPr>
          <w:rFonts w:asciiTheme="minorHAnsi" w:hAnsiTheme="minorHAnsi" w:cstheme="minorHAnsi"/>
          <w:bCs/>
        </w:rPr>
        <w:t xml:space="preserve"> </w:t>
      </w:r>
      <w:r w:rsidRPr="009C50A5">
        <w:rPr>
          <w:rFonts w:asciiTheme="minorHAnsi" w:hAnsiTheme="minorHAnsi" w:cstheme="minorHAnsi"/>
          <w:bCs/>
        </w:rPr>
        <w:t xml:space="preserve">country agreement </w:t>
      </w:r>
      <w:r>
        <w:rPr>
          <w:rFonts w:asciiTheme="minorHAnsi" w:hAnsiTheme="minorHAnsi" w:cstheme="minorHAnsi"/>
          <w:bCs/>
        </w:rPr>
        <w:t>approved</w:t>
      </w:r>
      <w:r w:rsidRPr="009C50A5">
        <w:rPr>
          <w:rFonts w:asciiTheme="minorHAnsi" w:hAnsiTheme="minorHAnsi" w:cstheme="minorHAnsi"/>
          <w:bCs/>
        </w:rPr>
        <w:t xml:space="preserve"> by Council at its </w:t>
      </w:r>
      <w:r w:rsidRPr="002D66E0">
        <w:rPr>
          <w:rFonts w:asciiTheme="minorHAnsi" w:hAnsiTheme="minorHAnsi" w:cstheme="minorHAnsi"/>
          <w:bCs/>
        </w:rPr>
        <w:t>2007</w:t>
      </w:r>
      <w:r w:rsidRPr="009C50A5">
        <w:rPr>
          <w:rFonts w:asciiTheme="minorHAnsi" w:hAnsiTheme="minorHAnsi" w:cstheme="minorHAnsi"/>
          <w:bCs/>
        </w:rPr>
        <w:t xml:space="preserve"> session</w:t>
      </w:r>
      <w:r>
        <w:rPr>
          <w:rFonts w:asciiTheme="minorHAnsi" w:hAnsiTheme="minorHAnsi" w:cstheme="minorHAnsi"/>
          <w:bCs/>
        </w:rPr>
        <w:t xml:space="preserve"> and with reference to the agreement concluded for PP-14.</w:t>
      </w:r>
    </w:p>
    <w:p w:rsidR="00332ECA" w:rsidRDefault="00332ECA" w:rsidP="00332EC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3.2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/>
        </w:rPr>
        <w:t>The ITU secretariat conducted a site visit from 16 to 20 January 2017 to meet with host country counterparts, examine the conference centre, infrastructure</w:t>
      </w:r>
      <w:r w:rsidR="00D75605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and hotels, prepare the security and communication plans, address protocol issues, and commence the organization of logistics.</w:t>
      </w:r>
      <w:r>
        <w:rPr>
          <w:rFonts w:asciiTheme="minorHAnsi" w:hAnsiTheme="minorHAnsi" w:cstheme="minorHAnsi"/>
          <w:bCs/>
        </w:rPr>
        <w:t xml:space="preserve"> </w:t>
      </w:r>
    </w:p>
    <w:p w:rsidR="00332ECA" w:rsidRDefault="00332ECA" w:rsidP="00EE56C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3.3</w:t>
      </w:r>
      <w:r>
        <w:rPr>
          <w:rFonts w:asciiTheme="minorHAnsi" w:hAnsiTheme="minorHAnsi" w:cstheme="minorHAnsi"/>
          <w:bCs/>
        </w:rPr>
        <w:tab/>
        <w:t xml:space="preserve">The host country has expressed its commitment to </w:t>
      </w:r>
      <w:r w:rsidR="00EE56C7">
        <w:rPr>
          <w:rFonts w:asciiTheme="minorHAnsi" w:hAnsiTheme="minorHAnsi" w:cstheme="minorHAnsi"/>
          <w:bCs/>
        </w:rPr>
        <w:t xml:space="preserve">make this event as </w:t>
      </w:r>
      <w:r w:rsidR="00D75605">
        <w:rPr>
          <w:rFonts w:asciiTheme="minorHAnsi" w:hAnsiTheme="minorHAnsi" w:cstheme="minorHAnsi"/>
          <w:bCs/>
        </w:rPr>
        <w:t>green as possible</w:t>
      </w:r>
      <w:r>
        <w:rPr>
          <w:rFonts w:asciiTheme="minorHAnsi" w:hAnsiTheme="minorHAnsi" w:cstheme="minorHAnsi"/>
          <w:bCs/>
        </w:rPr>
        <w:t xml:space="preserve">. </w:t>
      </w:r>
    </w:p>
    <w:p w:rsidR="00332ECA" w:rsidRPr="00D356B3" w:rsidRDefault="00332ECA" w:rsidP="00D50868">
      <w:pPr>
        <w:pStyle w:val="Heading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0" w:firstLine="0"/>
        <w:jc w:val="both"/>
        <w:rPr>
          <w:rFonts w:asciiTheme="minorHAnsi" w:hAnsiTheme="minorHAnsi"/>
        </w:rPr>
      </w:pPr>
      <w:r w:rsidRPr="00D356B3">
        <w:rPr>
          <w:rFonts w:asciiTheme="minorHAnsi" w:hAnsiTheme="minorHAnsi"/>
        </w:rPr>
        <w:t>4.</w:t>
      </w:r>
      <w:r>
        <w:rPr>
          <w:rFonts w:asciiTheme="minorHAnsi" w:hAnsiTheme="minorHAnsi"/>
        </w:rPr>
        <w:tab/>
      </w:r>
      <w:r w:rsidRPr="00D356B3">
        <w:rPr>
          <w:rFonts w:asciiTheme="minorHAnsi" w:hAnsiTheme="minorHAnsi"/>
        </w:rPr>
        <w:t>Key issues</w:t>
      </w:r>
    </w:p>
    <w:p w:rsidR="00332ECA" w:rsidRDefault="00332ECA" w:rsidP="00332EC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In line with Article 8 of ITU Constitution, the Plenipotentiary Conference, on the basis of proposals by Member States and taking into account of reports by the Council, shall: </w:t>
      </w:r>
    </w:p>
    <w:p w:rsidR="00332ECA" w:rsidRPr="00D356B3" w:rsidRDefault="00332ECA" w:rsidP="00D50868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0"/>
        <w:ind w:left="714" w:hanging="430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Determine</w:t>
      </w:r>
      <w:r w:rsidRPr="00D356B3">
        <w:rPr>
          <w:rFonts w:asciiTheme="minorHAnsi" w:hAnsiTheme="minorHAnsi" w:cstheme="minorHAnsi"/>
          <w:bCs/>
        </w:rPr>
        <w:t xml:space="preserve"> general policies for fulfilling the purposes of the Union</w:t>
      </w:r>
      <w:r>
        <w:rPr>
          <w:rFonts w:asciiTheme="minorHAnsi" w:hAnsiTheme="minorHAnsi" w:cstheme="minorHAnsi"/>
          <w:bCs/>
        </w:rPr>
        <w:t>;</w:t>
      </w:r>
    </w:p>
    <w:p w:rsidR="00332ECA" w:rsidRDefault="00332ECA" w:rsidP="00D50868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0"/>
        <w:ind w:left="714" w:hanging="430"/>
        <w:contextualSpacing w:val="0"/>
        <w:jc w:val="both"/>
        <w:rPr>
          <w:rFonts w:asciiTheme="minorHAnsi" w:hAnsiTheme="minorHAnsi" w:cstheme="minorHAnsi"/>
          <w:bCs/>
        </w:rPr>
      </w:pPr>
      <w:r w:rsidRPr="00D356B3">
        <w:rPr>
          <w:rFonts w:asciiTheme="minorHAnsi" w:hAnsiTheme="minorHAnsi" w:cstheme="minorHAnsi"/>
          <w:bCs/>
        </w:rPr>
        <w:t xml:space="preserve">Consider reports </w:t>
      </w:r>
      <w:r>
        <w:rPr>
          <w:rFonts w:asciiTheme="minorHAnsi" w:hAnsiTheme="minorHAnsi" w:cstheme="minorHAnsi"/>
          <w:bCs/>
        </w:rPr>
        <w:t>by</w:t>
      </w:r>
      <w:r w:rsidRPr="00D356B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t</w:t>
      </w:r>
      <w:r w:rsidRPr="00D356B3">
        <w:rPr>
          <w:rFonts w:asciiTheme="minorHAnsi" w:hAnsiTheme="minorHAnsi" w:cstheme="minorHAnsi"/>
          <w:bCs/>
        </w:rPr>
        <w:t>he Council</w:t>
      </w:r>
      <w:r>
        <w:rPr>
          <w:rFonts w:asciiTheme="minorHAnsi" w:hAnsiTheme="minorHAnsi" w:cstheme="minorHAnsi"/>
          <w:bCs/>
        </w:rPr>
        <w:t xml:space="preserve"> on the activities of the Union since the previous plenipotentiary conference and on the policy and strategic planning of the Union;</w:t>
      </w:r>
    </w:p>
    <w:p w:rsidR="00332ECA" w:rsidRDefault="00332ECA" w:rsidP="00D50868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0"/>
        <w:ind w:left="714" w:hanging="430"/>
        <w:contextualSpacing w:val="0"/>
        <w:jc w:val="both"/>
        <w:rPr>
          <w:rFonts w:asciiTheme="minorHAnsi" w:hAnsiTheme="minorHAnsi" w:cstheme="minorHAnsi"/>
          <w:bCs/>
        </w:rPr>
      </w:pPr>
      <w:r w:rsidRPr="001832F7">
        <w:rPr>
          <w:rFonts w:asciiTheme="minorHAnsi" w:hAnsiTheme="minorHAnsi" w:cstheme="minorHAnsi"/>
          <w:bCs/>
        </w:rPr>
        <w:t>Establish the strategic plan for the Union and the basis for the budget of the Union, and determines related financial limits</w:t>
      </w:r>
      <w:r>
        <w:rPr>
          <w:rFonts w:asciiTheme="minorHAnsi" w:hAnsiTheme="minorHAnsi" w:cstheme="minorHAnsi"/>
          <w:bCs/>
        </w:rPr>
        <w:t xml:space="preserve">; </w:t>
      </w:r>
    </w:p>
    <w:p w:rsidR="00332ECA" w:rsidRPr="006F4BD0" w:rsidRDefault="00332ECA" w:rsidP="00D50868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0"/>
        <w:ind w:left="714" w:hanging="430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Establish</w:t>
      </w:r>
      <w:r w:rsidRPr="006F4BD0">
        <w:rPr>
          <w:rFonts w:asciiTheme="minorHAnsi" w:hAnsiTheme="minorHAnsi" w:cstheme="minorHAnsi"/>
          <w:bCs/>
        </w:rPr>
        <w:t xml:space="preserve"> the total number of contributory units for period up to next PP;</w:t>
      </w:r>
    </w:p>
    <w:p w:rsidR="00332ECA" w:rsidRDefault="00332ECA" w:rsidP="00D50868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0"/>
        <w:ind w:left="714" w:hanging="430"/>
        <w:contextualSpacing w:val="0"/>
        <w:jc w:val="both"/>
        <w:rPr>
          <w:rFonts w:asciiTheme="minorHAnsi" w:hAnsiTheme="minorHAnsi" w:cstheme="minorHAnsi"/>
          <w:bCs/>
        </w:rPr>
      </w:pPr>
      <w:r w:rsidRPr="006F4BD0">
        <w:rPr>
          <w:rFonts w:asciiTheme="minorHAnsi" w:hAnsiTheme="minorHAnsi" w:cstheme="minorHAnsi"/>
          <w:bCs/>
        </w:rPr>
        <w:t>Provide general directives dealing with the staffing of the Union</w:t>
      </w:r>
      <w:r>
        <w:rPr>
          <w:rFonts w:asciiTheme="minorHAnsi" w:hAnsiTheme="minorHAnsi" w:cstheme="minorHAnsi"/>
          <w:bCs/>
        </w:rPr>
        <w:t>;</w:t>
      </w:r>
    </w:p>
    <w:p w:rsidR="00332ECA" w:rsidRDefault="00332ECA" w:rsidP="00D50868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0"/>
        <w:ind w:left="714" w:hanging="430"/>
        <w:contextualSpacing w:val="0"/>
        <w:jc w:val="both"/>
        <w:rPr>
          <w:rFonts w:asciiTheme="minorHAnsi" w:hAnsiTheme="minorHAnsi" w:cstheme="minorHAnsi"/>
          <w:bCs/>
        </w:rPr>
      </w:pPr>
      <w:r w:rsidRPr="001832F7">
        <w:rPr>
          <w:rFonts w:asciiTheme="minorHAnsi" w:hAnsiTheme="minorHAnsi" w:cstheme="minorHAnsi"/>
          <w:bCs/>
        </w:rPr>
        <w:t>Examine the accounts of the Union</w:t>
      </w:r>
      <w:r>
        <w:rPr>
          <w:rFonts w:asciiTheme="minorHAnsi" w:hAnsiTheme="minorHAnsi" w:cstheme="minorHAnsi"/>
          <w:bCs/>
        </w:rPr>
        <w:t xml:space="preserve"> and finally approve them;</w:t>
      </w:r>
    </w:p>
    <w:p w:rsidR="00332ECA" w:rsidRDefault="00332ECA" w:rsidP="00D50868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0"/>
        <w:ind w:left="714" w:hanging="430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Elect the Member States which are to serve on the Council; </w:t>
      </w:r>
    </w:p>
    <w:p w:rsidR="00332ECA" w:rsidRDefault="00332ECA" w:rsidP="00D50868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0"/>
        <w:ind w:left="714" w:hanging="430"/>
        <w:contextualSpacing w:val="0"/>
        <w:jc w:val="both"/>
        <w:rPr>
          <w:rFonts w:asciiTheme="minorHAnsi" w:hAnsiTheme="minorHAnsi" w:cstheme="minorHAnsi"/>
          <w:bCs/>
        </w:rPr>
      </w:pPr>
      <w:r w:rsidRPr="006F4BD0">
        <w:rPr>
          <w:rFonts w:asciiTheme="minorHAnsi" w:hAnsiTheme="minorHAnsi" w:cstheme="minorHAnsi"/>
          <w:bCs/>
        </w:rPr>
        <w:t xml:space="preserve">Elect </w:t>
      </w:r>
      <w:r>
        <w:rPr>
          <w:rFonts w:asciiTheme="minorHAnsi" w:hAnsiTheme="minorHAnsi" w:cstheme="minorHAnsi"/>
          <w:bCs/>
        </w:rPr>
        <w:t xml:space="preserve">the </w:t>
      </w:r>
      <w:r w:rsidRPr="006F4BD0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>ecretary-</w:t>
      </w:r>
      <w:r w:rsidRPr="006F4BD0">
        <w:rPr>
          <w:rFonts w:asciiTheme="minorHAnsi" w:hAnsiTheme="minorHAnsi" w:cstheme="minorHAnsi"/>
          <w:bCs/>
        </w:rPr>
        <w:t>G</w:t>
      </w:r>
      <w:r>
        <w:rPr>
          <w:rFonts w:asciiTheme="minorHAnsi" w:hAnsiTheme="minorHAnsi" w:cstheme="minorHAnsi"/>
          <w:bCs/>
        </w:rPr>
        <w:t>eneral</w:t>
      </w:r>
      <w:r w:rsidRPr="006F4BD0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the </w:t>
      </w:r>
      <w:r w:rsidRPr="006F4BD0">
        <w:rPr>
          <w:rFonts w:asciiTheme="minorHAnsi" w:hAnsiTheme="minorHAnsi" w:cstheme="minorHAnsi"/>
          <w:bCs/>
        </w:rPr>
        <w:t>D</w:t>
      </w:r>
      <w:r>
        <w:rPr>
          <w:rFonts w:asciiTheme="minorHAnsi" w:hAnsiTheme="minorHAnsi" w:cstheme="minorHAnsi"/>
          <w:bCs/>
        </w:rPr>
        <w:t xml:space="preserve">eputy </w:t>
      </w:r>
      <w:r w:rsidRPr="006F4BD0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ecretary-General and the </w:t>
      </w:r>
      <w:r w:rsidRPr="006F4BD0">
        <w:rPr>
          <w:rFonts w:asciiTheme="minorHAnsi" w:hAnsiTheme="minorHAnsi" w:cstheme="minorHAnsi"/>
          <w:bCs/>
        </w:rPr>
        <w:t xml:space="preserve">Directors of </w:t>
      </w:r>
      <w:r>
        <w:rPr>
          <w:rFonts w:asciiTheme="minorHAnsi" w:hAnsiTheme="minorHAnsi" w:cstheme="minorHAnsi"/>
          <w:bCs/>
        </w:rPr>
        <w:t xml:space="preserve">the </w:t>
      </w:r>
      <w:r w:rsidRPr="006F4BD0">
        <w:rPr>
          <w:rFonts w:asciiTheme="minorHAnsi" w:hAnsiTheme="minorHAnsi" w:cstheme="minorHAnsi"/>
          <w:bCs/>
        </w:rPr>
        <w:t xml:space="preserve">Bureaux of </w:t>
      </w:r>
      <w:r>
        <w:rPr>
          <w:rFonts w:asciiTheme="minorHAnsi" w:hAnsiTheme="minorHAnsi" w:cstheme="minorHAnsi"/>
          <w:bCs/>
        </w:rPr>
        <w:t xml:space="preserve">the </w:t>
      </w:r>
      <w:r w:rsidRPr="006F4BD0">
        <w:rPr>
          <w:rFonts w:asciiTheme="minorHAnsi" w:hAnsiTheme="minorHAnsi" w:cstheme="minorHAnsi"/>
          <w:bCs/>
        </w:rPr>
        <w:t>Sectors</w:t>
      </w:r>
      <w:r>
        <w:rPr>
          <w:rFonts w:asciiTheme="minorHAnsi" w:hAnsiTheme="minorHAnsi" w:cstheme="minorHAnsi"/>
          <w:bCs/>
        </w:rPr>
        <w:t>;</w:t>
      </w:r>
    </w:p>
    <w:p w:rsidR="00332ECA" w:rsidRPr="006F4BD0" w:rsidRDefault="00332ECA" w:rsidP="00D50868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0"/>
        <w:ind w:left="714" w:hanging="430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Elect the members of the </w:t>
      </w:r>
      <w:r w:rsidRPr="006F4BD0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adio </w:t>
      </w:r>
      <w:r w:rsidRPr="006F4BD0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>egulations Board</w:t>
      </w:r>
      <w:r w:rsidRPr="006F4BD0">
        <w:rPr>
          <w:rFonts w:asciiTheme="minorHAnsi" w:hAnsiTheme="minorHAnsi" w:cstheme="minorHAnsi"/>
          <w:bCs/>
        </w:rPr>
        <w:t>;</w:t>
      </w:r>
    </w:p>
    <w:p w:rsidR="00332ECA" w:rsidRDefault="00332ECA" w:rsidP="00D50868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0"/>
        <w:ind w:left="714" w:hanging="430"/>
        <w:contextualSpacing w:val="0"/>
        <w:jc w:val="both"/>
        <w:rPr>
          <w:rFonts w:asciiTheme="minorHAnsi" w:hAnsiTheme="minorHAnsi" w:cstheme="minorHAnsi"/>
          <w:bCs/>
        </w:rPr>
      </w:pPr>
      <w:r w:rsidRPr="00583CC0">
        <w:rPr>
          <w:rFonts w:asciiTheme="minorHAnsi" w:hAnsiTheme="minorHAnsi" w:cstheme="minorHAnsi"/>
          <w:bCs/>
        </w:rPr>
        <w:t>Consider and adopts modifications to the Constitution and Convention;</w:t>
      </w:r>
    </w:p>
    <w:p w:rsidR="00332ECA" w:rsidRPr="00583CC0" w:rsidRDefault="00332ECA" w:rsidP="00D50868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0"/>
        <w:ind w:left="714" w:hanging="430"/>
        <w:contextualSpacing w:val="0"/>
        <w:jc w:val="both"/>
        <w:rPr>
          <w:rFonts w:asciiTheme="minorHAnsi" w:hAnsiTheme="minorHAnsi" w:cstheme="minorHAnsi"/>
          <w:bCs/>
        </w:rPr>
      </w:pPr>
      <w:r w:rsidRPr="00583CC0">
        <w:rPr>
          <w:rFonts w:asciiTheme="minorHAnsi" w:hAnsiTheme="minorHAnsi" w:cstheme="minorHAnsi"/>
          <w:bCs/>
        </w:rPr>
        <w:t xml:space="preserve">Conclude </w:t>
      </w:r>
      <w:r>
        <w:rPr>
          <w:rFonts w:asciiTheme="minorHAnsi" w:hAnsiTheme="minorHAnsi" w:cstheme="minorHAnsi"/>
          <w:bCs/>
        </w:rPr>
        <w:t xml:space="preserve">or revise if necessary </w:t>
      </w:r>
      <w:r w:rsidRPr="00583CC0">
        <w:rPr>
          <w:rFonts w:asciiTheme="minorHAnsi" w:hAnsiTheme="minorHAnsi" w:cstheme="minorHAnsi"/>
          <w:bCs/>
        </w:rPr>
        <w:t xml:space="preserve">agreements with </w:t>
      </w:r>
      <w:r>
        <w:rPr>
          <w:rFonts w:asciiTheme="minorHAnsi" w:hAnsiTheme="minorHAnsi" w:cstheme="minorHAnsi"/>
          <w:bCs/>
        </w:rPr>
        <w:t xml:space="preserve">other </w:t>
      </w:r>
      <w:r w:rsidRPr="00583CC0">
        <w:rPr>
          <w:rFonts w:asciiTheme="minorHAnsi" w:hAnsiTheme="minorHAnsi" w:cstheme="minorHAnsi"/>
          <w:bCs/>
        </w:rPr>
        <w:t>international organizations</w:t>
      </w:r>
      <w:r>
        <w:rPr>
          <w:rFonts w:asciiTheme="minorHAnsi" w:hAnsiTheme="minorHAnsi" w:cstheme="minorHAnsi"/>
          <w:bCs/>
        </w:rPr>
        <w:t>;</w:t>
      </w:r>
    </w:p>
    <w:p w:rsidR="00332ECA" w:rsidRDefault="00332ECA" w:rsidP="00D50868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0"/>
        <w:ind w:left="714" w:hanging="430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Adopt and amend the General Rules of conferences, assemblies and meetings of the Union; </w:t>
      </w:r>
    </w:p>
    <w:p w:rsidR="00332ECA" w:rsidRDefault="00332ECA" w:rsidP="00D50868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0"/>
        <w:ind w:left="714" w:hanging="430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Deal with such other telecommunications questions as may be necessary.</w:t>
      </w:r>
    </w:p>
    <w:p w:rsidR="00332ECA" w:rsidRPr="005F353E" w:rsidRDefault="00332ECA" w:rsidP="00332ECA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5</w:t>
      </w:r>
      <w:r w:rsidR="00D50868">
        <w:rPr>
          <w:rFonts w:asciiTheme="minorHAnsi" w:hAnsiTheme="minorHAnsi" w:cstheme="minorHAnsi"/>
        </w:rPr>
        <w:t>.</w:t>
      </w:r>
      <w:r w:rsidRPr="005F353E">
        <w:rPr>
          <w:rFonts w:asciiTheme="minorHAnsi" w:hAnsiTheme="minorHAnsi" w:cstheme="minorHAnsi"/>
        </w:rPr>
        <w:tab/>
      </w:r>
      <w:bookmarkStart w:id="10" w:name="_GoBack"/>
      <w:bookmarkEnd w:id="10"/>
      <w:r w:rsidRPr="005F353E">
        <w:rPr>
          <w:rFonts w:asciiTheme="minorHAnsi" w:hAnsiTheme="minorHAnsi" w:cstheme="minorHAnsi"/>
        </w:rPr>
        <w:t>Next steps</w:t>
      </w:r>
    </w:p>
    <w:p w:rsidR="00332ECA" w:rsidRDefault="00332ECA" w:rsidP="00332ECA">
      <w:pPr>
        <w:pStyle w:val="BodyText3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5</w:t>
      </w:r>
      <w:r w:rsidRPr="009C50A5">
        <w:rPr>
          <w:rFonts w:asciiTheme="minorHAnsi" w:hAnsiTheme="minorHAnsi" w:cstheme="minorHAnsi"/>
          <w:bCs/>
          <w:sz w:val="24"/>
        </w:rPr>
        <w:t>.</w:t>
      </w:r>
      <w:r>
        <w:rPr>
          <w:rFonts w:asciiTheme="minorHAnsi" w:hAnsiTheme="minorHAnsi" w:cstheme="minorHAnsi"/>
          <w:bCs/>
          <w:sz w:val="24"/>
        </w:rPr>
        <w:t>1</w:t>
      </w:r>
      <w:r w:rsidRPr="009C50A5">
        <w:rPr>
          <w:rFonts w:asciiTheme="minorHAnsi" w:hAnsiTheme="minorHAnsi" w:cstheme="minorHAnsi"/>
          <w:bCs/>
          <w:sz w:val="24"/>
        </w:rPr>
        <w:tab/>
        <w:t xml:space="preserve">Internally, the Coordination Committee </w:t>
      </w:r>
      <w:r>
        <w:rPr>
          <w:rFonts w:asciiTheme="minorHAnsi" w:hAnsiTheme="minorHAnsi" w:cstheme="minorHAnsi"/>
          <w:bCs/>
          <w:sz w:val="24"/>
        </w:rPr>
        <w:t>will establish</w:t>
      </w:r>
      <w:r w:rsidRPr="009C50A5">
        <w:rPr>
          <w:rFonts w:asciiTheme="minorHAnsi" w:hAnsiTheme="minorHAnsi" w:cstheme="minorHAnsi"/>
          <w:bCs/>
          <w:sz w:val="24"/>
        </w:rPr>
        <w:t xml:space="preserve"> the </w:t>
      </w:r>
      <w:r>
        <w:rPr>
          <w:rFonts w:asciiTheme="minorHAnsi" w:hAnsiTheme="minorHAnsi" w:cstheme="minorHAnsi"/>
          <w:bCs/>
          <w:sz w:val="24"/>
        </w:rPr>
        <w:t xml:space="preserve">Dubai </w:t>
      </w:r>
      <w:r w:rsidRPr="009C50A5">
        <w:rPr>
          <w:rFonts w:asciiTheme="minorHAnsi" w:hAnsiTheme="minorHAnsi" w:cstheme="minorHAnsi"/>
          <w:bCs/>
          <w:sz w:val="24"/>
        </w:rPr>
        <w:t xml:space="preserve">Preparatory Group </w:t>
      </w:r>
      <w:r>
        <w:rPr>
          <w:rFonts w:asciiTheme="minorHAnsi" w:hAnsiTheme="minorHAnsi" w:cstheme="minorHAnsi"/>
          <w:bCs/>
          <w:sz w:val="24"/>
        </w:rPr>
        <w:t xml:space="preserve">(DPG) </w:t>
      </w:r>
      <w:r w:rsidRPr="009C50A5">
        <w:rPr>
          <w:rFonts w:asciiTheme="minorHAnsi" w:hAnsiTheme="minorHAnsi" w:cstheme="minorHAnsi"/>
          <w:bCs/>
          <w:sz w:val="24"/>
        </w:rPr>
        <w:t xml:space="preserve">with representatives from all </w:t>
      </w:r>
      <w:r>
        <w:rPr>
          <w:rFonts w:asciiTheme="minorHAnsi" w:hAnsiTheme="minorHAnsi" w:cstheme="minorHAnsi"/>
          <w:bCs/>
          <w:sz w:val="24"/>
        </w:rPr>
        <w:t>Bureaux</w:t>
      </w:r>
      <w:r w:rsidRPr="009C50A5">
        <w:rPr>
          <w:rFonts w:asciiTheme="minorHAnsi" w:hAnsiTheme="minorHAnsi" w:cstheme="minorHAnsi"/>
          <w:bCs/>
          <w:sz w:val="24"/>
        </w:rPr>
        <w:t xml:space="preserve"> and the General Secretariat.</w:t>
      </w:r>
    </w:p>
    <w:p w:rsidR="00332ECA" w:rsidRPr="009C50A5" w:rsidRDefault="00332ECA" w:rsidP="00332ECA">
      <w:pPr>
        <w:pStyle w:val="BodyText3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5.2</w:t>
      </w:r>
      <w:r>
        <w:rPr>
          <w:rFonts w:asciiTheme="minorHAnsi" w:hAnsiTheme="minorHAnsi" w:cstheme="minorHAnsi"/>
          <w:bCs/>
          <w:sz w:val="24"/>
        </w:rPr>
        <w:tab/>
        <w:t>The Host Country Agreement is due to be sig</w:t>
      </w:r>
      <w:r w:rsidR="00D75605">
        <w:rPr>
          <w:rFonts w:asciiTheme="minorHAnsi" w:hAnsiTheme="minorHAnsi" w:cstheme="minorHAnsi"/>
          <w:bCs/>
          <w:sz w:val="24"/>
        </w:rPr>
        <w:t>ned in the United Arab Emirates</w:t>
      </w:r>
      <w:r>
        <w:rPr>
          <w:rFonts w:asciiTheme="minorHAnsi" w:hAnsiTheme="minorHAnsi" w:cstheme="minorHAnsi"/>
          <w:bCs/>
          <w:sz w:val="24"/>
        </w:rPr>
        <w:t xml:space="preserve"> a year before the Plenipotentiary Conference, by the end of October 2017.</w:t>
      </w:r>
    </w:p>
    <w:p w:rsidR="00332ECA" w:rsidRPr="009C50A5" w:rsidRDefault="00332ECA" w:rsidP="00332ECA">
      <w:pPr>
        <w:tabs>
          <w:tab w:val="left" w:pos="851"/>
        </w:tabs>
        <w:spacing w:before="840"/>
        <w:jc w:val="center"/>
        <w:rPr>
          <w:rFonts w:asciiTheme="minorHAnsi" w:hAnsiTheme="minorHAnsi" w:cstheme="minorHAnsi"/>
          <w:bCs/>
          <w:lang w:val="en-US"/>
        </w:rPr>
      </w:pPr>
      <w:r w:rsidRPr="009C50A5">
        <w:rPr>
          <w:rFonts w:asciiTheme="minorHAnsi" w:eastAsia="SimSun" w:hAnsiTheme="minorHAnsi" w:cstheme="minorHAnsi"/>
          <w:bCs/>
          <w:lang w:val="en-US" w:eastAsia="zh-CN"/>
        </w:rPr>
        <w:t>__________________</w:t>
      </w:r>
    </w:p>
    <w:sectPr w:rsidR="00332ECA" w:rsidRPr="009C50A5" w:rsidSect="004D1851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ECA" w:rsidRDefault="00332ECA">
      <w:r>
        <w:separator/>
      </w:r>
    </w:p>
  </w:endnote>
  <w:endnote w:type="continuationSeparator" w:id="0">
    <w:p w:rsidR="00332ECA" w:rsidRDefault="0033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Pr="00332ECA" w:rsidRDefault="00332ECA">
    <w:pPr>
      <w:pStyle w:val="Footer"/>
      <w:rPr>
        <w:color w:val="D9D9D9" w:themeColor="background1" w:themeShade="D9"/>
      </w:rPr>
    </w:pPr>
    <w:r w:rsidRPr="00332ECA">
      <w:rPr>
        <w:color w:val="D9D9D9" w:themeColor="background1" w:themeShade="D9"/>
      </w:rPr>
      <w:fldChar w:fldCharType="begin"/>
    </w:r>
    <w:r w:rsidRPr="00332ECA">
      <w:rPr>
        <w:color w:val="D9D9D9" w:themeColor="background1" w:themeShade="D9"/>
      </w:rPr>
      <w:instrText xml:space="preserve"> FILENAME \p  \* MERGEFORMAT </w:instrText>
    </w:r>
    <w:r w:rsidRPr="00332ECA">
      <w:rPr>
        <w:color w:val="D9D9D9" w:themeColor="background1" w:themeShade="D9"/>
      </w:rPr>
      <w:fldChar w:fldCharType="separate"/>
    </w:r>
    <w:r w:rsidRPr="00332ECA">
      <w:rPr>
        <w:color w:val="D9D9D9" w:themeColor="background1" w:themeShade="D9"/>
      </w:rPr>
      <w:t>Document1</w:t>
    </w:r>
    <w:r w:rsidRPr="00332ECA">
      <w:rPr>
        <w:color w:val="D9D9D9" w:themeColor="background1" w:themeShade="D9"/>
      </w:rPr>
      <w:fldChar w:fldCharType="end"/>
    </w:r>
    <w:r w:rsidR="00CB18FF" w:rsidRPr="00332ECA">
      <w:rPr>
        <w:color w:val="D9D9D9" w:themeColor="background1" w:themeShade="D9"/>
      </w:rPr>
      <w:tab/>
    </w:r>
    <w:r w:rsidR="00864AFF" w:rsidRPr="00332ECA">
      <w:rPr>
        <w:color w:val="D9D9D9" w:themeColor="background1" w:themeShade="D9"/>
      </w:rPr>
      <w:fldChar w:fldCharType="begin"/>
    </w:r>
    <w:r w:rsidR="00CB18FF" w:rsidRPr="00332ECA">
      <w:rPr>
        <w:color w:val="D9D9D9" w:themeColor="background1" w:themeShade="D9"/>
      </w:rPr>
      <w:instrText xml:space="preserve"> SAVEDATE \@ DD.MM.YY </w:instrText>
    </w:r>
    <w:r w:rsidR="00864AFF" w:rsidRPr="00332ECA">
      <w:rPr>
        <w:color w:val="D9D9D9" w:themeColor="background1" w:themeShade="D9"/>
      </w:rPr>
      <w:fldChar w:fldCharType="separate"/>
    </w:r>
    <w:r w:rsidR="00D50868">
      <w:rPr>
        <w:color w:val="D9D9D9" w:themeColor="background1" w:themeShade="D9"/>
      </w:rPr>
      <w:t>22.03.17</w:t>
    </w:r>
    <w:r w:rsidR="00864AFF" w:rsidRPr="00332ECA">
      <w:rPr>
        <w:color w:val="D9D9D9" w:themeColor="background1" w:themeShade="D9"/>
      </w:rPr>
      <w:fldChar w:fldCharType="end"/>
    </w:r>
    <w:r w:rsidR="00CB18FF" w:rsidRPr="00332ECA">
      <w:rPr>
        <w:color w:val="D9D9D9" w:themeColor="background1" w:themeShade="D9"/>
      </w:rPr>
      <w:tab/>
    </w:r>
    <w:r w:rsidR="00864AFF" w:rsidRPr="00332ECA">
      <w:rPr>
        <w:color w:val="D9D9D9" w:themeColor="background1" w:themeShade="D9"/>
      </w:rPr>
      <w:fldChar w:fldCharType="begin"/>
    </w:r>
    <w:r w:rsidR="00CB18FF" w:rsidRPr="00332ECA">
      <w:rPr>
        <w:color w:val="D9D9D9" w:themeColor="background1" w:themeShade="D9"/>
      </w:rPr>
      <w:instrText xml:space="preserve"> PRINTDATE \@ DD.MM.YY </w:instrText>
    </w:r>
    <w:r w:rsidR="00864AFF" w:rsidRPr="00332ECA">
      <w:rPr>
        <w:color w:val="D9D9D9" w:themeColor="background1" w:themeShade="D9"/>
      </w:rPr>
      <w:fldChar w:fldCharType="separate"/>
    </w:r>
    <w:r w:rsidRPr="00332ECA">
      <w:rPr>
        <w:color w:val="D9D9D9" w:themeColor="background1" w:themeShade="D9"/>
      </w:rPr>
      <w:t>18.07.00</w:t>
    </w:r>
    <w:r w:rsidR="00864AFF" w:rsidRPr="00332ECA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22D0D" w:rsidRPr="00332ECA" w:rsidRDefault="00332ECA">
    <w:pPr>
      <w:pStyle w:val="Footer"/>
      <w:rPr>
        <w:color w:val="D9D9D9" w:themeColor="background1" w:themeShade="D9"/>
      </w:rPr>
    </w:pPr>
    <w:r w:rsidRPr="00332ECA">
      <w:rPr>
        <w:color w:val="D9D9D9" w:themeColor="background1" w:themeShade="D9"/>
      </w:rPr>
      <w:fldChar w:fldCharType="begin"/>
    </w:r>
    <w:r w:rsidRPr="00332ECA">
      <w:rPr>
        <w:color w:val="D9D9D9" w:themeColor="background1" w:themeShade="D9"/>
      </w:rPr>
      <w:instrText xml:space="preserve"> FILENAME \p  \* MERGEFORMAT </w:instrText>
    </w:r>
    <w:r w:rsidRPr="00332ECA">
      <w:rPr>
        <w:color w:val="D9D9D9" w:themeColor="background1" w:themeShade="D9"/>
      </w:rPr>
      <w:fldChar w:fldCharType="separate"/>
    </w:r>
    <w:r w:rsidRPr="00332ECA">
      <w:rPr>
        <w:color w:val="D9D9D9" w:themeColor="background1" w:themeShade="D9"/>
      </w:rPr>
      <w:t>Document1</w:t>
    </w:r>
    <w:r w:rsidRPr="00332ECA">
      <w:rPr>
        <w:color w:val="D9D9D9" w:themeColor="background1" w:themeShade="D9"/>
      </w:rPr>
      <w:fldChar w:fldCharType="end"/>
    </w:r>
    <w:r w:rsidR="00322D0D" w:rsidRPr="00332ECA">
      <w:rPr>
        <w:color w:val="D9D9D9" w:themeColor="background1" w:themeShade="D9"/>
      </w:rPr>
      <w:tab/>
    </w:r>
    <w:r w:rsidR="00864AFF" w:rsidRPr="00332ECA">
      <w:rPr>
        <w:color w:val="D9D9D9" w:themeColor="background1" w:themeShade="D9"/>
      </w:rPr>
      <w:fldChar w:fldCharType="begin"/>
    </w:r>
    <w:r w:rsidR="00322D0D" w:rsidRPr="00332ECA">
      <w:rPr>
        <w:color w:val="D9D9D9" w:themeColor="background1" w:themeShade="D9"/>
      </w:rPr>
      <w:instrText xml:space="preserve"> SAVEDATE \@ DD.MM.YY </w:instrText>
    </w:r>
    <w:r w:rsidR="00864AFF" w:rsidRPr="00332ECA">
      <w:rPr>
        <w:color w:val="D9D9D9" w:themeColor="background1" w:themeShade="D9"/>
      </w:rPr>
      <w:fldChar w:fldCharType="separate"/>
    </w:r>
    <w:r w:rsidR="00D50868">
      <w:rPr>
        <w:color w:val="D9D9D9" w:themeColor="background1" w:themeShade="D9"/>
      </w:rPr>
      <w:t>22.03.17</w:t>
    </w:r>
    <w:r w:rsidR="00864AFF" w:rsidRPr="00332ECA">
      <w:rPr>
        <w:color w:val="D9D9D9" w:themeColor="background1" w:themeShade="D9"/>
      </w:rPr>
      <w:fldChar w:fldCharType="end"/>
    </w:r>
    <w:r w:rsidR="00322D0D" w:rsidRPr="00332ECA">
      <w:rPr>
        <w:color w:val="D9D9D9" w:themeColor="background1" w:themeShade="D9"/>
      </w:rPr>
      <w:tab/>
    </w:r>
    <w:r w:rsidR="00864AFF" w:rsidRPr="00332ECA">
      <w:rPr>
        <w:color w:val="D9D9D9" w:themeColor="background1" w:themeShade="D9"/>
      </w:rPr>
      <w:fldChar w:fldCharType="begin"/>
    </w:r>
    <w:r w:rsidR="00322D0D" w:rsidRPr="00332ECA">
      <w:rPr>
        <w:color w:val="D9D9D9" w:themeColor="background1" w:themeShade="D9"/>
      </w:rPr>
      <w:instrText xml:space="preserve"> PRINTDATE \@ DD.MM.YY </w:instrText>
    </w:r>
    <w:r w:rsidR="00864AFF" w:rsidRPr="00332ECA">
      <w:rPr>
        <w:color w:val="D9D9D9" w:themeColor="background1" w:themeShade="D9"/>
      </w:rPr>
      <w:fldChar w:fldCharType="separate"/>
    </w:r>
    <w:r w:rsidRPr="00332ECA">
      <w:rPr>
        <w:color w:val="D9D9D9" w:themeColor="background1" w:themeShade="D9"/>
      </w:rPr>
      <w:t>18.07.00</w:t>
    </w:r>
    <w:r w:rsidR="00864AFF" w:rsidRPr="00332ECA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ECA" w:rsidRDefault="00332ECA">
      <w:r>
        <w:t>____________________</w:t>
      </w:r>
    </w:p>
  </w:footnote>
  <w:footnote w:type="continuationSeparator" w:id="0">
    <w:p w:rsidR="00332ECA" w:rsidRDefault="00332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50868">
      <w:rPr>
        <w:noProof/>
      </w:rPr>
      <w:t>3</w:t>
    </w:r>
    <w:r>
      <w:rPr>
        <w:noProof/>
      </w:rPr>
      <w:fldChar w:fldCharType="end"/>
    </w:r>
  </w:p>
  <w:p w:rsidR="00322D0D" w:rsidRPr="00332ECA" w:rsidRDefault="00332ECA" w:rsidP="005243FF">
    <w:pPr>
      <w:pStyle w:val="Header"/>
      <w:rPr>
        <w:color w:val="D9D9D9" w:themeColor="background1" w:themeShade="D9"/>
      </w:rPr>
    </w:pPr>
    <w:r w:rsidRPr="00332ECA">
      <w:rPr>
        <w:color w:val="D9D9D9" w:themeColor="background1" w:themeShade="D9"/>
      </w:rPr>
      <w:t>C17/5-E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8BD3B3B"/>
    <w:multiLevelType w:val="hybridMultilevel"/>
    <w:tmpl w:val="8A7092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CA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B1F58"/>
    <w:rsid w:val="002C1C7A"/>
    <w:rsid w:val="0030160F"/>
    <w:rsid w:val="00322D0D"/>
    <w:rsid w:val="00332ECA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64FBC"/>
    <w:rsid w:val="00582442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5051B"/>
    <w:rsid w:val="00794D34"/>
    <w:rsid w:val="00813E5E"/>
    <w:rsid w:val="0083581B"/>
    <w:rsid w:val="00864AFF"/>
    <w:rsid w:val="008B4A6A"/>
    <w:rsid w:val="008C7E27"/>
    <w:rsid w:val="009173EF"/>
    <w:rsid w:val="00932906"/>
    <w:rsid w:val="00961B0B"/>
    <w:rsid w:val="009B38C3"/>
    <w:rsid w:val="009E17BD"/>
    <w:rsid w:val="00A04CEC"/>
    <w:rsid w:val="00A27F92"/>
    <w:rsid w:val="00A32257"/>
    <w:rsid w:val="00A36D20"/>
    <w:rsid w:val="00A55622"/>
    <w:rsid w:val="00A83502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22C42"/>
    <w:rsid w:val="00D50868"/>
    <w:rsid w:val="00D65041"/>
    <w:rsid w:val="00D75605"/>
    <w:rsid w:val="00DB384B"/>
    <w:rsid w:val="00E10E80"/>
    <w:rsid w:val="00E124F0"/>
    <w:rsid w:val="00E60F04"/>
    <w:rsid w:val="00E854E4"/>
    <w:rsid w:val="00EB0D6F"/>
    <w:rsid w:val="00EB2232"/>
    <w:rsid w:val="00EC5337"/>
    <w:rsid w:val="00EE56C7"/>
    <w:rsid w:val="00F2150A"/>
    <w:rsid w:val="00F231D8"/>
    <w:rsid w:val="00F46C5F"/>
    <w:rsid w:val="00F94A63"/>
    <w:rsid w:val="00FA1C28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6645DED8-D79F-4839-A6ED-AD35C69D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332ECA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332ECA"/>
    <w:pPr>
      <w:ind w:left="720"/>
      <w:contextualSpacing/>
    </w:pPr>
  </w:style>
  <w:style w:type="paragraph" w:styleId="BodyText3">
    <w:name w:val="Body Text 3"/>
    <w:basedOn w:val="Normal"/>
    <w:link w:val="BodyText3Char"/>
    <w:rsid w:val="00332E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32ECA"/>
    <w:rPr>
      <w:rFonts w:ascii="Calibri" w:hAnsi="Calibri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S16-DM-CIR-01012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6-CL-C-0110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4-PP-C-0178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7-SG-CIR-0006/en" TargetMode="External"/><Relationship Id="rId10" Type="http://schemas.openxmlformats.org/officeDocument/2006/relationships/hyperlink" Target="https://www.itu.int/pub/S-CONF-PLEN-201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pub/S-CONF-PLEN-2015" TargetMode="External"/><Relationship Id="rId14" Type="http://schemas.openxmlformats.org/officeDocument/2006/relationships/hyperlink" Target="https://www.itu.int/md/S16-SG-CIR-0058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F193E-AD7C-4844-9E67-E6A07881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PE_C17.dotm</Template>
  <TotalTime>16</TotalTime>
  <Pages>3</Pages>
  <Words>747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Preparations for the 2018 Plenipotentiary Conference</vt:lpstr>
    </vt:vector>
  </TitlesOfParts>
  <Manager>General Secretariat - Pool</Manager>
  <Company>International Telecommunication Union (ITU)</Company>
  <LinksUpToDate>false</LinksUpToDate>
  <CharactersWithSpaces>5006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Preparations for the 2018 Plenipotentiary Conference</dc:title>
  <dc:subject>Council 2017</dc:subject>
  <dc:creator>Brouard, Ricarda</dc:creator>
  <cp:keywords>C2017, C17</cp:keywords>
  <dc:description/>
  <cp:lastModifiedBy>Brouard, Ricarda</cp:lastModifiedBy>
  <cp:revision>4</cp:revision>
  <cp:lastPrinted>2000-07-18T13:30:00Z</cp:lastPrinted>
  <dcterms:created xsi:type="dcterms:W3CDTF">2017-03-22T08:39:00Z</dcterms:created>
  <dcterms:modified xsi:type="dcterms:W3CDTF">2017-03-22T10:00:00Z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