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586C8D" w:rsidRPr="008B021C">
        <w:trPr>
          <w:cantSplit/>
        </w:trPr>
        <w:tc>
          <w:tcPr>
            <w:tcW w:w="6912" w:type="dxa"/>
          </w:tcPr>
          <w:p w:rsidR="00586C8D" w:rsidRPr="008B021C" w:rsidRDefault="00586C8D" w:rsidP="00586C8D">
            <w:pPr>
              <w:spacing w:before="360"/>
              <w:rPr>
                <w:szCs w:val="24"/>
              </w:rPr>
            </w:pPr>
            <w:bookmarkStart w:id="0" w:name="dc06"/>
            <w:bookmarkStart w:id="1" w:name="dbluepink" w:colFirst="0" w:colLast="0"/>
            <w:bookmarkEnd w:id="0"/>
            <w:r w:rsidRPr="008B021C">
              <w:rPr>
                <w:b/>
                <w:bCs/>
                <w:sz w:val="30"/>
                <w:szCs w:val="30"/>
              </w:rPr>
              <w:t>Consejo 2017</w:t>
            </w:r>
            <w:r w:rsidRPr="008B021C">
              <w:rPr>
                <w:b/>
                <w:bCs/>
                <w:sz w:val="26"/>
                <w:szCs w:val="26"/>
              </w:rPr>
              <w:br/>
            </w:r>
            <w:r w:rsidRPr="008B021C">
              <w:rPr>
                <w:b/>
                <w:bCs/>
                <w:szCs w:val="24"/>
              </w:rPr>
              <w:t>Ginebra, 15-25 de mayo de 2017</w:t>
            </w:r>
          </w:p>
        </w:tc>
        <w:tc>
          <w:tcPr>
            <w:tcW w:w="3261" w:type="dxa"/>
          </w:tcPr>
          <w:p w:rsidR="00586C8D" w:rsidRPr="008B021C" w:rsidRDefault="00586C8D" w:rsidP="00586C8D">
            <w:pPr>
              <w:spacing w:before="0"/>
              <w:jc w:val="right"/>
              <w:rPr>
                <w:szCs w:val="24"/>
              </w:rPr>
            </w:pPr>
            <w:bookmarkStart w:id="2" w:name="ditulogo"/>
            <w:bookmarkEnd w:id="2"/>
            <w:r w:rsidRPr="008B021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586C8D" w:rsidRPr="008B021C">
        <w:trPr>
          <w:cantSplit/>
          <w:trHeight w:val="20"/>
        </w:trPr>
        <w:tc>
          <w:tcPr>
            <w:tcW w:w="10173" w:type="dxa"/>
            <w:gridSpan w:val="2"/>
            <w:tcBorders>
              <w:bottom w:val="single" w:sz="12" w:space="0" w:color="auto"/>
            </w:tcBorders>
          </w:tcPr>
          <w:p w:rsidR="00586C8D" w:rsidRPr="008B021C" w:rsidRDefault="00586C8D">
            <w:pPr>
              <w:spacing w:before="0"/>
              <w:rPr>
                <w:b/>
                <w:bCs/>
                <w:szCs w:val="24"/>
              </w:rPr>
            </w:pPr>
          </w:p>
        </w:tc>
      </w:tr>
      <w:tr w:rsidR="00586C8D" w:rsidRPr="008B021C">
        <w:trPr>
          <w:cantSplit/>
          <w:trHeight w:val="20"/>
        </w:trPr>
        <w:tc>
          <w:tcPr>
            <w:tcW w:w="6912" w:type="dxa"/>
            <w:tcBorders>
              <w:top w:val="single" w:sz="12" w:space="0" w:color="auto"/>
            </w:tcBorders>
          </w:tcPr>
          <w:p w:rsidR="00586C8D" w:rsidRPr="008B021C" w:rsidRDefault="00586C8D">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586C8D" w:rsidRPr="008B021C" w:rsidRDefault="00586C8D">
            <w:pPr>
              <w:spacing w:before="0"/>
              <w:rPr>
                <w:b/>
                <w:bCs/>
                <w:szCs w:val="24"/>
              </w:rPr>
            </w:pPr>
          </w:p>
        </w:tc>
      </w:tr>
      <w:tr w:rsidR="00586C8D" w:rsidRPr="008B021C">
        <w:trPr>
          <w:cantSplit/>
          <w:trHeight w:val="20"/>
        </w:trPr>
        <w:tc>
          <w:tcPr>
            <w:tcW w:w="6912" w:type="dxa"/>
            <w:shd w:val="clear" w:color="auto" w:fill="auto"/>
          </w:tcPr>
          <w:p w:rsidR="00586C8D" w:rsidRPr="008B021C" w:rsidRDefault="00586C8D" w:rsidP="00586C8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B021C">
              <w:rPr>
                <w:rFonts w:cs="Times"/>
                <w:b/>
                <w:szCs w:val="24"/>
              </w:rPr>
              <w:t xml:space="preserve">Punto del orden del día: PL </w:t>
            </w:r>
            <w:r w:rsidR="00143263" w:rsidRPr="008B021C">
              <w:rPr>
                <w:rFonts w:cs="Times"/>
                <w:b/>
                <w:szCs w:val="24"/>
              </w:rPr>
              <w:t>2.3</w:t>
            </w:r>
          </w:p>
        </w:tc>
        <w:tc>
          <w:tcPr>
            <w:tcW w:w="3261" w:type="dxa"/>
          </w:tcPr>
          <w:p w:rsidR="00586C8D" w:rsidRPr="008B021C" w:rsidRDefault="00586C8D" w:rsidP="00586C8D">
            <w:pPr>
              <w:spacing w:before="0"/>
              <w:rPr>
                <w:b/>
                <w:bCs/>
                <w:szCs w:val="24"/>
              </w:rPr>
            </w:pPr>
            <w:r w:rsidRPr="008B021C">
              <w:rPr>
                <w:b/>
                <w:bCs/>
                <w:szCs w:val="24"/>
              </w:rPr>
              <w:t>Documento C17/2-S</w:t>
            </w:r>
          </w:p>
        </w:tc>
      </w:tr>
      <w:tr w:rsidR="00586C8D" w:rsidRPr="008B021C">
        <w:trPr>
          <w:cantSplit/>
          <w:trHeight w:val="20"/>
        </w:trPr>
        <w:tc>
          <w:tcPr>
            <w:tcW w:w="6912" w:type="dxa"/>
            <w:shd w:val="clear" w:color="auto" w:fill="auto"/>
          </w:tcPr>
          <w:p w:rsidR="00586C8D" w:rsidRPr="008B021C" w:rsidRDefault="00586C8D">
            <w:pPr>
              <w:shd w:val="solid" w:color="FFFFFF" w:fill="FFFFFF"/>
              <w:spacing w:before="0"/>
              <w:rPr>
                <w:smallCaps/>
                <w:szCs w:val="24"/>
              </w:rPr>
            </w:pPr>
            <w:bookmarkStart w:id="5" w:name="ddate" w:colFirst="1" w:colLast="1"/>
            <w:bookmarkEnd w:id="3"/>
            <w:bookmarkEnd w:id="4"/>
          </w:p>
        </w:tc>
        <w:tc>
          <w:tcPr>
            <w:tcW w:w="3261" w:type="dxa"/>
          </w:tcPr>
          <w:p w:rsidR="00586C8D" w:rsidRPr="008B021C" w:rsidRDefault="00586C8D" w:rsidP="00586C8D">
            <w:pPr>
              <w:spacing w:before="0"/>
              <w:rPr>
                <w:b/>
                <w:bCs/>
                <w:szCs w:val="24"/>
              </w:rPr>
            </w:pPr>
            <w:r w:rsidRPr="008B021C">
              <w:rPr>
                <w:b/>
                <w:bCs/>
                <w:szCs w:val="24"/>
              </w:rPr>
              <w:t>24 de enero de 2017</w:t>
            </w:r>
          </w:p>
        </w:tc>
      </w:tr>
      <w:tr w:rsidR="00586C8D" w:rsidRPr="008B021C">
        <w:trPr>
          <w:cantSplit/>
          <w:trHeight w:val="20"/>
        </w:trPr>
        <w:tc>
          <w:tcPr>
            <w:tcW w:w="6912" w:type="dxa"/>
            <w:shd w:val="clear" w:color="auto" w:fill="auto"/>
          </w:tcPr>
          <w:p w:rsidR="00586C8D" w:rsidRPr="008B021C" w:rsidRDefault="00586C8D">
            <w:pPr>
              <w:shd w:val="solid" w:color="FFFFFF" w:fill="FFFFFF"/>
              <w:spacing w:before="0"/>
              <w:rPr>
                <w:smallCaps/>
                <w:szCs w:val="24"/>
              </w:rPr>
            </w:pPr>
            <w:bookmarkStart w:id="6" w:name="dorlang" w:colFirst="1" w:colLast="1"/>
            <w:bookmarkEnd w:id="5"/>
          </w:p>
        </w:tc>
        <w:tc>
          <w:tcPr>
            <w:tcW w:w="3261" w:type="dxa"/>
          </w:tcPr>
          <w:p w:rsidR="00586C8D" w:rsidRPr="008B021C" w:rsidRDefault="00586C8D" w:rsidP="00586C8D">
            <w:pPr>
              <w:spacing w:before="0"/>
              <w:rPr>
                <w:b/>
                <w:bCs/>
                <w:szCs w:val="24"/>
              </w:rPr>
            </w:pPr>
            <w:r w:rsidRPr="008B021C">
              <w:rPr>
                <w:b/>
                <w:bCs/>
                <w:szCs w:val="24"/>
              </w:rPr>
              <w:t>Original: inglés</w:t>
            </w:r>
          </w:p>
        </w:tc>
      </w:tr>
      <w:tr w:rsidR="00586C8D" w:rsidRPr="008B021C">
        <w:trPr>
          <w:cantSplit/>
        </w:trPr>
        <w:tc>
          <w:tcPr>
            <w:tcW w:w="10173" w:type="dxa"/>
            <w:gridSpan w:val="2"/>
          </w:tcPr>
          <w:p w:rsidR="00586C8D" w:rsidRPr="008B021C" w:rsidRDefault="00586C8D">
            <w:pPr>
              <w:pStyle w:val="Source"/>
            </w:pPr>
            <w:bookmarkStart w:id="7" w:name="dsource" w:colFirst="0" w:colLast="0"/>
            <w:bookmarkEnd w:id="1"/>
            <w:bookmarkEnd w:id="6"/>
            <w:r w:rsidRPr="008B021C">
              <w:t>Informe del Secretario General</w:t>
            </w:r>
          </w:p>
        </w:tc>
      </w:tr>
      <w:tr w:rsidR="00586C8D" w:rsidRPr="008B021C">
        <w:trPr>
          <w:cantSplit/>
        </w:trPr>
        <w:tc>
          <w:tcPr>
            <w:tcW w:w="10173" w:type="dxa"/>
            <w:gridSpan w:val="2"/>
          </w:tcPr>
          <w:p w:rsidR="00586C8D" w:rsidRPr="008B021C" w:rsidRDefault="00143263">
            <w:pPr>
              <w:pStyle w:val="Title1"/>
            </w:pPr>
            <w:bookmarkStart w:id="8" w:name="dtitle1" w:colFirst="0" w:colLast="0"/>
            <w:bookmarkEnd w:id="7"/>
            <w:r w:rsidRPr="008B021C">
              <w:t>fechas y duración propuestas para las reuniones</w:t>
            </w:r>
            <w:r w:rsidRPr="008B021C">
              <w:br/>
              <w:t>de 2018, 2019 y 2020</w:t>
            </w:r>
            <w:r w:rsidR="003137FD" w:rsidRPr="008B021C">
              <w:t xml:space="preserve"> </w:t>
            </w:r>
            <w:r w:rsidRPr="008B021C">
              <w:t>del consejo</w:t>
            </w:r>
          </w:p>
        </w:tc>
      </w:tr>
      <w:bookmarkEnd w:id="8"/>
    </w:tbl>
    <w:p w:rsidR="00586C8D" w:rsidRPr="008B021C" w:rsidRDefault="00586C8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86C8D" w:rsidRPr="008B021C">
        <w:trPr>
          <w:trHeight w:val="3372"/>
        </w:trPr>
        <w:tc>
          <w:tcPr>
            <w:tcW w:w="8080" w:type="dxa"/>
            <w:tcBorders>
              <w:top w:val="single" w:sz="12" w:space="0" w:color="auto"/>
              <w:left w:val="single" w:sz="12" w:space="0" w:color="auto"/>
              <w:bottom w:val="single" w:sz="12" w:space="0" w:color="auto"/>
              <w:right w:val="single" w:sz="12" w:space="0" w:color="auto"/>
            </w:tcBorders>
          </w:tcPr>
          <w:p w:rsidR="00586C8D" w:rsidRPr="008B021C" w:rsidRDefault="00586C8D">
            <w:pPr>
              <w:pStyle w:val="Headingb"/>
            </w:pPr>
            <w:r w:rsidRPr="008B021C">
              <w:t>Resumen</w:t>
            </w:r>
          </w:p>
          <w:p w:rsidR="00586C8D" w:rsidRPr="008B021C" w:rsidRDefault="00143263">
            <w:r w:rsidRPr="008B021C">
              <w:rPr>
                <w:rFonts w:asciiTheme="minorHAnsi" w:hAnsiTheme="minorHAnsi"/>
                <w:szCs w:val="24"/>
              </w:rPr>
              <w:t xml:space="preserve">De acuerdo con la Resolución 77 (Rev. Busán, 2014), y teniendo en cuenta los acuerdos adoptados en su última reunión de 2016, se invita al Consejo a que </w:t>
            </w:r>
            <w:r w:rsidR="003137FD" w:rsidRPr="008B021C">
              <w:rPr>
                <w:rFonts w:asciiTheme="minorHAnsi" w:hAnsiTheme="minorHAnsi"/>
                <w:szCs w:val="24"/>
              </w:rPr>
              <w:t>"</w:t>
            </w:r>
            <w:r w:rsidRPr="008B021C">
              <w:rPr>
                <w:rFonts w:asciiTheme="minorHAnsi" w:hAnsiTheme="minorHAnsi"/>
                <w:szCs w:val="24"/>
              </w:rPr>
              <w:t>planifique sus próximas tres reuniones ordinaria</w:t>
            </w:r>
            <w:r w:rsidR="003137FD" w:rsidRPr="008B021C">
              <w:rPr>
                <w:rFonts w:asciiTheme="minorHAnsi" w:hAnsiTheme="minorHAnsi"/>
                <w:szCs w:val="24"/>
              </w:rPr>
              <w:t>s para el periodo junio-julio y </w:t>
            </w:r>
            <w:r w:rsidRPr="008B021C">
              <w:rPr>
                <w:rFonts w:asciiTheme="minorHAnsi" w:hAnsiTheme="minorHAnsi"/>
                <w:szCs w:val="24"/>
              </w:rPr>
              <w:t>examine dicha planificación de manera continua</w:t>
            </w:r>
            <w:r w:rsidR="003137FD" w:rsidRPr="008B021C">
              <w:rPr>
                <w:rFonts w:asciiTheme="minorHAnsi" w:hAnsiTheme="minorHAnsi"/>
                <w:szCs w:val="24"/>
              </w:rPr>
              <w:t>"</w:t>
            </w:r>
            <w:r w:rsidRPr="008B021C">
              <w:rPr>
                <w:rFonts w:asciiTheme="minorHAnsi" w:hAnsiTheme="minorHAnsi"/>
                <w:szCs w:val="24"/>
              </w:rPr>
              <w:t>.</w:t>
            </w:r>
          </w:p>
          <w:p w:rsidR="00586C8D" w:rsidRPr="008B021C" w:rsidRDefault="00586C8D">
            <w:pPr>
              <w:pStyle w:val="Headingb"/>
            </w:pPr>
            <w:r w:rsidRPr="008B021C">
              <w:t>Acción solicitada</w:t>
            </w:r>
          </w:p>
          <w:p w:rsidR="00586C8D" w:rsidRPr="008B021C" w:rsidRDefault="00143263">
            <w:r w:rsidRPr="008B021C">
              <w:rPr>
                <w:rFonts w:asciiTheme="minorHAnsi" w:hAnsiTheme="minorHAnsi"/>
                <w:szCs w:val="24"/>
              </w:rPr>
              <w:t xml:space="preserve">Se invita al Consejo a examinar y </w:t>
            </w:r>
            <w:r w:rsidRPr="008B021C">
              <w:rPr>
                <w:rFonts w:asciiTheme="minorHAnsi" w:hAnsiTheme="minorHAnsi"/>
                <w:b/>
                <w:szCs w:val="24"/>
              </w:rPr>
              <w:t>aprobar</w:t>
            </w:r>
            <w:r w:rsidRPr="008B021C">
              <w:rPr>
                <w:rFonts w:asciiTheme="minorHAnsi" w:hAnsiTheme="minorHAnsi"/>
                <w:szCs w:val="24"/>
              </w:rPr>
              <w:t xml:space="preserve"> las fechas de la reunión de 2020, y a </w:t>
            </w:r>
            <w:r w:rsidRPr="008B021C">
              <w:rPr>
                <w:rFonts w:asciiTheme="minorHAnsi" w:hAnsiTheme="minorHAnsi"/>
                <w:b/>
                <w:szCs w:val="24"/>
              </w:rPr>
              <w:t xml:space="preserve">adoptar </w:t>
            </w:r>
            <w:r w:rsidRPr="008B021C">
              <w:rPr>
                <w:rFonts w:asciiTheme="minorHAnsi" w:hAnsiTheme="minorHAnsi"/>
                <w:szCs w:val="24"/>
              </w:rPr>
              <w:t>el proyecto de Acuerdo contenido en el Anexo al presente documento.</w:t>
            </w:r>
          </w:p>
          <w:p w:rsidR="00586C8D" w:rsidRPr="008B021C" w:rsidRDefault="00586C8D">
            <w:pPr>
              <w:pStyle w:val="Table"/>
              <w:keepNext w:val="0"/>
              <w:spacing w:before="0" w:after="0"/>
              <w:rPr>
                <w:caps w:val="0"/>
                <w:sz w:val="22"/>
                <w:lang w:val="es-ES_tradnl"/>
              </w:rPr>
            </w:pPr>
            <w:r w:rsidRPr="008B021C">
              <w:rPr>
                <w:caps w:val="0"/>
                <w:sz w:val="22"/>
                <w:lang w:val="es-ES_tradnl"/>
              </w:rPr>
              <w:t>____________</w:t>
            </w:r>
          </w:p>
          <w:p w:rsidR="00586C8D" w:rsidRPr="008B021C" w:rsidRDefault="00586C8D">
            <w:pPr>
              <w:pStyle w:val="Headingb"/>
            </w:pPr>
            <w:r w:rsidRPr="008B021C">
              <w:t>Referencia</w:t>
            </w:r>
          </w:p>
          <w:p w:rsidR="00586C8D" w:rsidRPr="008B021C" w:rsidRDefault="008D2430" w:rsidP="007059B6">
            <w:pPr>
              <w:spacing w:after="120"/>
              <w:rPr>
                <w:color w:val="0000FF"/>
                <w:u w:val="single"/>
              </w:rPr>
            </w:pPr>
            <w:hyperlink r:id="rId9" w:history="1">
              <w:r w:rsidR="00143263" w:rsidRPr="008B021C">
                <w:rPr>
                  <w:rStyle w:val="Hyperlink"/>
                </w:rPr>
                <w:t>Regla 1, Reglamento Interno del Consejo</w:t>
              </w:r>
            </w:hyperlink>
            <w:r w:rsidR="00143263" w:rsidRPr="008B021C">
              <w:t xml:space="preserve">, </w:t>
            </w:r>
            <w:hyperlink r:id="rId10" w:history="1">
              <w:r w:rsidR="00143263" w:rsidRPr="008B021C">
                <w:rPr>
                  <w:rStyle w:val="Hyperlink"/>
                </w:rPr>
                <w:t>Resolución 77 (Rev. Busán, 2014)</w:t>
              </w:r>
            </w:hyperlink>
            <w:r w:rsidR="007059B6">
              <w:t>,</w:t>
            </w:r>
            <w:r w:rsidR="00143263" w:rsidRPr="008B021C">
              <w:t xml:space="preserve"> </w:t>
            </w:r>
            <w:hyperlink r:id="rId11" w:history="1">
              <w:r w:rsidR="00143263" w:rsidRPr="008B021C">
                <w:rPr>
                  <w:rStyle w:val="Hyperlink"/>
                </w:rPr>
                <w:t>Resolución 111 (Rev. Busán, 2014)</w:t>
              </w:r>
            </w:hyperlink>
            <w:r w:rsidR="007059B6">
              <w:t>,</w:t>
            </w:r>
            <w:r w:rsidR="00143263" w:rsidRPr="008B021C">
              <w:t xml:space="preserve"> </w:t>
            </w:r>
            <w:bookmarkStart w:id="9" w:name="lt_pId019"/>
            <w:r w:rsidR="002B2068" w:rsidRPr="008B021C">
              <w:rPr>
                <w:rStyle w:val="Hyperlink"/>
                <w:rFonts w:eastAsia="SimSun"/>
              </w:rPr>
              <w:fldChar w:fldCharType="begin"/>
            </w:r>
            <w:r w:rsidR="002B2068" w:rsidRPr="008B021C">
              <w:rPr>
                <w:rStyle w:val="Hyperlink"/>
                <w:rFonts w:eastAsia="SimSun"/>
              </w:rPr>
              <w:instrText xml:space="preserve"> HYPERLINK "https://www.itu.int/md/S15-CL-C-0123/es" </w:instrText>
            </w:r>
            <w:r w:rsidR="002B2068" w:rsidRPr="008B021C">
              <w:rPr>
                <w:rStyle w:val="Hyperlink"/>
                <w:rFonts w:eastAsia="SimSun"/>
              </w:rPr>
              <w:fldChar w:fldCharType="separate"/>
            </w:r>
            <w:r w:rsidR="00143263" w:rsidRPr="008B021C">
              <w:rPr>
                <w:rStyle w:val="Hyperlink"/>
                <w:rFonts w:eastAsia="SimSun"/>
              </w:rPr>
              <w:t>Documentos C15/123</w:t>
            </w:r>
            <w:r w:rsidR="002B2068" w:rsidRPr="008B021C">
              <w:rPr>
                <w:rStyle w:val="Hyperlink"/>
                <w:rFonts w:eastAsia="SimSun"/>
              </w:rPr>
              <w:fldChar w:fldCharType="end"/>
            </w:r>
            <w:r w:rsidR="00143263" w:rsidRPr="008B021C">
              <w:rPr>
                <w:rFonts w:eastAsia="SimSun"/>
              </w:rPr>
              <w:t>,</w:t>
            </w:r>
            <w:r w:rsidR="00143263" w:rsidRPr="008B021C">
              <w:t xml:space="preserve"> </w:t>
            </w:r>
            <w:hyperlink r:id="rId12" w:history="1">
              <w:r w:rsidR="00143263" w:rsidRPr="008B021C">
                <w:rPr>
                  <w:rStyle w:val="Hyperlink"/>
                </w:rPr>
                <w:t>C15/125</w:t>
              </w:r>
            </w:hyperlink>
            <w:r w:rsidR="00143263" w:rsidRPr="008B021C">
              <w:t xml:space="preserve">, </w:t>
            </w:r>
            <w:hyperlink r:id="rId13" w:history="1">
              <w:r w:rsidR="00143263" w:rsidRPr="008B021C">
                <w:rPr>
                  <w:rStyle w:val="Hyperlink"/>
                </w:rPr>
                <w:t>C16/120</w:t>
              </w:r>
            </w:hyperlink>
            <w:r w:rsidR="00143263" w:rsidRPr="008B021C">
              <w:t xml:space="preserve"> y </w:t>
            </w:r>
            <w:hyperlink r:id="rId14" w:history="1">
              <w:r w:rsidR="00143263" w:rsidRPr="008B021C">
                <w:rPr>
                  <w:rStyle w:val="Hyperlink"/>
                </w:rPr>
                <w:t>C16/121</w:t>
              </w:r>
            </w:hyperlink>
            <w:r w:rsidR="00143263" w:rsidRPr="008B021C">
              <w:rPr>
                <w:rFonts w:eastAsia="SimSun"/>
              </w:rPr>
              <w:t xml:space="preserve"> y </w:t>
            </w:r>
            <w:hyperlink r:id="rId15" w:history="1">
              <w:r w:rsidR="00143263" w:rsidRPr="008B021C">
                <w:rPr>
                  <w:rStyle w:val="Hyperlink"/>
                  <w:rFonts w:eastAsia="SimSun"/>
                </w:rPr>
                <w:t>Acuerdo 5</w:t>
              </w:r>
              <w:bookmarkEnd w:id="9"/>
              <w:r w:rsidR="00143263" w:rsidRPr="008B021C">
                <w:rPr>
                  <w:rStyle w:val="Hyperlink"/>
                  <w:rFonts w:eastAsia="SimSun"/>
                </w:rPr>
                <w:t>91 del Consejo</w:t>
              </w:r>
            </w:hyperlink>
          </w:p>
        </w:tc>
      </w:tr>
    </w:tbl>
    <w:p w:rsidR="00143263" w:rsidRPr="008B021C" w:rsidRDefault="00143263" w:rsidP="00143263">
      <w:pPr>
        <w:spacing w:before="3240"/>
        <w:rPr>
          <w:b/>
          <w:bCs/>
          <w:caps/>
        </w:rPr>
      </w:pPr>
      <w:r w:rsidRPr="008B021C">
        <w:rPr>
          <w:b/>
          <w:bCs/>
        </w:rPr>
        <w:t>Anexo</w:t>
      </w:r>
      <w:r w:rsidRPr="008B021C">
        <w:t>: 1</w:t>
      </w:r>
    </w:p>
    <w:p w:rsidR="00726872" w:rsidRPr="008B021C" w:rsidRDefault="00726872" w:rsidP="00DC3D3E"/>
    <w:p w:rsidR="00143263" w:rsidRPr="008B021C" w:rsidRDefault="00143263" w:rsidP="00143263">
      <w:pPr>
        <w:pStyle w:val="Headingb"/>
      </w:pPr>
      <w:r w:rsidRPr="008B021C">
        <w:lastRenderedPageBreak/>
        <w:t>Antecedentes</w:t>
      </w:r>
    </w:p>
    <w:p w:rsidR="00143263" w:rsidRPr="008B021C" w:rsidRDefault="00143263" w:rsidP="007059B6">
      <w:r w:rsidRPr="008B021C">
        <w:t>1</w:t>
      </w:r>
      <w:r w:rsidRPr="008B021C">
        <w:tab/>
        <w:t xml:space="preserve">En la Resolución 77 (Rev. Busán, 2014), relativa a la </w:t>
      </w:r>
      <w:r w:rsidRPr="008B021C">
        <w:rPr>
          <w:b/>
          <w:bCs/>
          <w:i/>
          <w:iCs/>
        </w:rPr>
        <w:t>planificación y duración de las Conferencias</w:t>
      </w:r>
      <w:r w:rsidRPr="007059B6">
        <w:rPr>
          <w:i/>
          <w:iCs/>
        </w:rPr>
        <w:t>,</w:t>
      </w:r>
      <w:r w:rsidRPr="008B021C">
        <w:rPr>
          <w:b/>
          <w:bCs/>
          <w:i/>
          <w:iCs/>
        </w:rPr>
        <w:t xml:space="preserve"> los Foros</w:t>
      </w:r>
      <w:r w:rsidRPr="007059B6">
        <w:rPr>
          <w:i/>
          <w:iCs/>
        </w:rPr>
        <w:t>,</w:t>
      </w:r>
      <w:r w:rsidRPr="008B021C">
        <w:rPr>
          <w:b/>
          <w:bCs/>
          <w:i/>
          <w:iCs/>
        </w:rPr>
        <w:t xml:space="preserve"> las Asambleas y las reuniones del Consejo de la Unión</w:t>
      </w:r>
      <w:r w:rsidRPr="008B021C">
        <w:t xml:space="preserve">, se resuelve </w:t>
      </w:r>
      <w:r w:rsidR="003137FD" w:rsidRPr="008B021C">
        <w:t>"que</w:t>
      </w:r>
      <w:r w:rsidR="007059B6">
        <w:t xml:space="preserve"> </w:t>
      </w:r>
      <w:r w:rsidRPr="008B021C">
        <w:t>el Consejo celebre, en principio, su reunión ordinaria entre junio y julio de cada año o alrededor de esos meses</w:t>
      </w:r>
      <w:r w:rsidR="003137FD" w:rsidRPr="008B021C">
        <w:t>"</w:t>
      </w:r>
      <w:r w:rsidRPr="008B021C">
        <w:t xml:space="preserve">, y también se encarga al Consejo </w:t>
      </w:r>
      <w:r w:rsidR="003137FD" w:rsidRPr="008B021C">
        <w:t>"</w:t>
      </w:r>
      <w:r w:rsidRPr="008B021C">
        <w:t>que, en cada reunión ordinaria, planifique sus próximas tres reuniones ordinarias para el periodo junio-julio y examine dicha planificación de manera continua</w:t>
      </w:r>
      <w:r w:rsidR="003137FD" w:rsidRPr="008B021C">
        <w:t>"</w:t>
      </w:r>
      <w:r w:rsidRPr="008B021C">
        <w:t>.</w:t>
      </w:r>
    </w:p>
    <w:p w:rsidR="00143263" w:rsidRPr="008B021C" w:rsidRDefault="00143263" w:rsidP="002B2068">
      <w:r w:rsidRPr="008B021C">
        <w:t>2</w:t>
      </w:r>
      <w:r w:rsidRPr="008B021C">
        <w:tab/>
        <w:t xml:space="preserve">Por otra parte, en la Resolución 111 (Rev. Busán, 2014) sobre la </w:t>
      </w:r>
      <w:r w:rsidRPr="008B021C">
        <w:rPr>
          <w:b/>
          <w:bCs/>
          <w:i/>
          <w:iCs/>
        </w:rPr>
        <w:t>toma en consideración de los periodos religiosos importantes en la planificación de las Conferencias, Asambleas y reuniones del Consejo de la UIT</w:t>
      </w:r>
      <w:r w:rsidRPr="008B021C">
        <w:t xml:space="preserve">, se resuelve que </w:t>
      </w:r>
      <w:r w:rsidR="003137FD" w:rsidRPr="008B021C">
        <w:t>"</w:t>
      </w:r>
      <w:r w:rsidRPr="008B021C">
        <w:t>la Unión y sus Estados Miembros hagan todo lo posible, con los medios disponibles, por evitar que el periodo planificado de conferencias o asambleas de la UIT coincida con un periodo considerado como religioso importante para un Estado Miembro</w:t>
      </w:r>
      <w:r w:rsidR="003137FD" w:rsidRPr="008B021C">
        <w:t>"</w:t>
      </w:r>
      <w:r w:rsidRPr="008B021C">
        <w:t>.</w:t>
      </w:r>
    </w:p>
    <w:p w:rsidR="00143263" w:rsidRPr="008B021C" w:rsidRDefault="00143263" w:rsidP="002B2068">
      <w:pPr>
        <w:rPr>
          <w:rFonts w:asciiTheme="minorHAnsi" w:hAnsiTheme="minorHAnsi"/>
        </w:rPr>
      </w:pPr>
      <w:bookmarkStart w:id="10" w:name="lt_pId025"/>
      <w:r w:rsidRPr="008B021C">
        <w:t>3</w:t>
      </w:r>
      <w:r w:rsidRPr="008B021C">
        <w:tab/>
      </w:r>
      <w:bookmarkEnd w:id="10"/>
      <w:r w:rsidRPr="008B021C">
        <w:t>Durante su reunión de 2016, el Consejo acordó que la duración de sus reuniones debía ampliarse en un día, y aprobó el Acuerdo 591 relativo a las fechas</w:t>
      </w:r>
      <w:r w:rsidR="007059B6">
        <w:t xml:space="preserve"> y duración de las reuniones de </w:t>
      </w:r>
      <w:r w:rsidRPr="008B021C">
        <w:t>2018 y 2019. Los debates celebrados durante el Consejo 2016 se resumen en los Documentos </w:t>
      </w:r>
      <w:hyperlink r:id="rId16" w:history="1">
        <w:r w:rsidRPr="008B021C">
          <w:rPr>
            <w:rStyle w:val="Hyperlink"/>
          </w:rPr>
          <w:t>C16/120</w:t>
        </w:r>
      </w:hyperlink>
      <w:r w:rsidRPr="008B021C">
        <w:t xml:space="preserve"> y </w:t>
      </w:r>
      <w:hyperlink r:id="rId17" w:history="1">
        <w:r w:rsidRPr="008B021C">
          <w:rPr>
            <w:rStyle w:val="Hyperlink"/>
          </w:rPr>
          <w:t>C16/121</w:t>
        </w:r>
      </w:hyperlink>
      <w:r w:rsidRPr="008B021C">
        <w:t>.</w:t>
      </w:r>
      <w:r w:rsidRPr="008B021C">
        <w:rPr>
          <w:rFonts w:asciiTheme="minorHAnsi" w:hAnsiTheme="minorHAnsi"/>
        </w:rPr>
        <w:t xml:space="preserve"> </w:t>
      </w:r>
    </w:p>
    <w:p w:rsidR="00143263" w:rsidRPr="008B021C" w:rsidRDefault="00143263" w:rsidP="002B2068">
      <w:pPr>
        <w:pStyle w:val="Headingb"/>
        <w:rPr>
          <w:rFonts w:asciiTheme="minorHAnsi" w:hAnsiTheme="minorHAnsi"/>
          <w:bCs/>
          <w:szCs w:val="24"/>
        </w:rPr>
      </w:pPr>
      <w:r w:rsidRPr="008B021C">
        <w:rPr>
          <w:rFonts w:asciiTheme="minorHAnsi" w:hAnsiTheme="minorHAnsi"/>
          <w:bCs/>
          <w:szCs w:val="24"/>
        </w:rPr>
        <w:t xml:space="preserve">Fechas confirmadas con arreglo al </w:t>
      </w:r>
      <w:hyperlink r:id="rId18" w:history="1">
        <w:r w:rsidRPr="008B021C">
          <w:rPr>
            <w:rStyle w:val="Hyperlink"/>
            <w:rFonts w:asciiTheme="minorHAnsi" w:hAnsiTheme="minorHAnsi"/>
            <w:bCs/>
            <w:szCs w:val="24"/>
          </w:rPr>
          <w:t>Acuerdo 591</w:t>
        </w:r>
      </w:hyperlink>
      <w:r w:rsidRPr="008B021C">
        <w:t>:</w:t>
      </w:r>
    </w:p>
    <w:p w:rsidR="00143263" w:rsidRPr="008B021C" w:rsidRDefault="00143263" w:rsidP="00860952">
      <w:pPr>
        <w:pStyle w:val="enumlev1"/>
      </w:pPr>
      <w:r w:rsidRPr="008B021C">
        <w:t>–</w:t>
      </w:r>
      <w:r w:rsidRPr="008B021C">
        <w:tab/>
        <w:t>reunión de 2018 del Consejo (ocho</w:t>
      </w:r>
      <w:r w:rsidR="003137FD" w:rsidRPr="008B021C">
        <w:t xml:space="preserve"> días laborables):</w:t>
      </w:r>
      <w:r w:rsidR="003137FD" w:rsidRPr="008B021C">
        <w:br/>
      </w:r>
      <w:r w:rsidRPr="008B021C">
        <w:rPr>
          <w:b/>
          <w:bCs/>
        </w:rPr>
        <w:t>del miércoles 18 de abril al viernes 27 de abril de 2018</w:t>
      </w:r>
      <w:r w:rsidR="00860952">
        <w:rPr>
          <w:rStyle w:val="FootnoteReference"/>
          <w:b/>
          <w:bCs/>
        </w:rPr>
        <w:footnoteReference w:customMarkFollows="1" w:id="1"/>
        <w:t>*</w:t>
      </w:r>
    </w:p>
    <w:p w:rsidR="00143263" w:rsidRPr="008B021C" w:rsidRDefault="00143263" w:rsidP="00143263">
      <w:pPr>
        <w:pStyle w:val="enumlev1"/>
      </w:pPr>
      <w:r w:rsidRPr="008B021C">
        <w:t>–</w:t>
      </w:r>
      <w:r w:rsidRPr="008B021C">
        <w:tab/>
        <w:t>reunión de 2019 del Consejo (nueve</w:t>
      </w:r>
      <w:r w:rsidR="003137FD" w:rsidRPr="008B021C">
        <w:t xml:space="preserve"> días laborables):</w:t>
      </w:r>
      <w:r w:rsidR="003137FD" w:rsidRPr="008B021C">
        <w:br/>
      </w:r>
      <w:r w:rsidRPr="008B021C">
        <w:rPr>
          <w:b/>
          <w:bCs/>
        </w:rPr>
        <w:t>del lunes 10 de junio al jueves 20 de junio de 2019</w:t>
      </w:r>
      <w:r w:rsidR="00D21117" w:rsidRPr="00D21117">
        <w:t>.</w:t>
      </w:r>
    </w:p>
    <w:p w:rsidR="00143263" w:rsidRPr="008B021C" w:rsidRDefault="00143263" w:rsidP="002B2068">
      <w:pPr>
        <w:pStyle w:val="Headingb"/>
      </w:pPr>
      <w:r w:rsidRPr="008B021C">
        <w:t>Fechas propuestas para la reunión de 2020</w:t>
      </w:r>
      <w:r w:rsidR="003137FD" w:rsidRPr="008B021C">
        <w:t>:</w:t>
      </w:r>
    </w:p>
    <w:p w:rsidR="00143263" w:rsidRPr="00D21117" w:rsidRDefault="00143263" w:rsidP="00143263">
      <w:pPr>
        <w:pStyle w:val="enumlev1"/>
      </w:pPr>
      <w:r w:rsidRPr="008B021C">
        <w:t>–</w:t>
      </w:r>
      <w:r w:rsidRPr="008B021C">
        <w:tab/>
        <w:t xml:space="preserve">reunión de 2020 del </w:t>
      </w:r>
      <w:r w:rsidR="003137FD" w:rsidRPr="008B021C">
        <w:t>Consejo (ocho días laborables):</w:t>
      </w:r>
      <w:r w:rsidR="003137FD" w:rsidRPr="008B021C">
        <w:br/>
      </w:r>
      <w:r w:rsidRPr="008B021C">
        <w:rPr>
          <w:b/>
          <w:bCs/>
        </w:rPr>
        <w:t>del</w:t>
      </w:r>
      <w:r w:rsidRPr="008B021C">
        <w:t xml:space="preserve"> </w:t>
      </w:r>
      <w:r w:rsidRPr="008B021C">
        <w:rPr>
          <w:b/>
          <w:bCs/>
        </w:rPr>
        <w:t>miércoles 27 de mayo al viernes 5 de junio de 2020</w:t>
      </w:r>
      <w:r w:rsidR="00D21117">
        <w:t>.</w:t>
      </w:r>
    </w:p>
    <w:p w:rsidR="00143263" w:rsidRPr="008B021C" w:rsidRDefault="00143263" w:rsidP="00143263">
      <w:pPr>
        <w:rPr>
          <w:rFonts w:asciiTheme="minorHAnsi" w:hAnsiTheme="minorHAnsi"/>
          <w:szCs w:val="24"/>
        </w:rPr>
      </w:pPr>
      <w:r w:rsidRPr="008B021C">
        <w:t>Se</w:t>
      </w:r>
      <w:r w:rsidRPr="008B021C">
        <w:rPr>
          <w:rFonts w:asciiTheme="minorHAnsi" w:hAnsiTheme="minorHAnsi"/>
          <w:szCs w:val="24"/>
        </w:rPr>
        <w:t xml:space="preserve"> invita al Consejo a examinar y aprobar las fechas de la reunión de 2020 del Consejo, y a </w:t>
      </w:r>
      <w:r w:rsidRPr="008B021C">
        <w:rPr>
          <w:rFonts w:asciiTheme="minorHAnsi" w:hAnsiTheme="minorHAnsi"/>
          <w:bCs/>
          <w:szCs w:val="24"/>
        </w:rPr>
        <w:t>adoptar</w:t>
      </w:r>
      <w:r w:rsidRPr="008B021C">
        <w:rPr>
          <w:rFonts w:asciiTheme="minorHAnsi" w:hAnsiTheme="minorHAnsi"/>
          <w:b/>
          <w:szCs w:val="24"/>
        </w:rPr>
        <w:t xml:space="preserve"> </w:t>
      </w:r>
      <w:r w:rsidRPr="008B021C">
        <w:rPr>
          <w:rFonts w:asciiTheme="minorHAnsi" w:hAnsiTheme="minorHAnsi"/>
          <w:szCs w:val="24"/>
        </w:rPr>
        <w:t>el proyecto de Acuerdo contenido en el Anexo.</w:t>
      </w:r>
    </w:p>
    <w:p w:rsidR="00143263" w:rsidRPr="008B021C" w:rsidRDefault="00143263" w:rsidP="00143263"/>
    <w:p w:rsidR="00143263" w:rsidRPr="008B021C" w:rsidRDefault="00143263" w:rsidP="00143263">
      <w:pPr>
        <w:rPr>
          <w:b/>
          <w:bCs/>
          <w:caps/>
        </w:rPr>
      </w:pPr>
      <w:r w:rsidRPr="008B021C">
        <w:rPr>
          <w:b/>
          <w:bCs/>
          <w:caps/>
        </w:rPr>
        <w:br w:type="page"/>
      </w:r>
    </w:p>
    <w:p w:rsidR="00143263" w:rsidRPr="008B021C" w:rsidRDefault="00143263" w:rsidP="00143263">
      <w:pPr>
        <w:pStyle w:val="AnnexNo"/>
      </w:pPr>
      <w:r w:rsidRPr="008B021C">
        <w:lastRenderedPageBreak/>
        <w:t>Anexo</w:t>
      </w:r>
    </w:p>
    <w:p w:rsidR="00143263" w:rsidRPr="008B021C" w:rsidRDefault="00143263" w:rsidP="00143263">
      <w:pPr>
        <w:pStyle w:val="AnnexNo"/>
      </w:pPr>
      <w:r w:rsidRPr="008B021C">
        <w:t>proyecto de acuerdo [...]</w:t>
      </w:r>
    </w:p>
    <w:p w:rsidR="00143263" w:rsidRPr="008B021C" w:rsidRDefault="00143263" w:rsidP="00143263">
      <w:pPr>
        <w:pStyle w:val="Restitle"/>
      </w:pPr>
      <w:r w:rsidRPr="008B021C">
        <w:t>Fechas y duración de las reuniones de 2018, 2019 y 2020 del Consejo</w:t>
      </w:r>
    </w:p>
    <w:p w:rsidR="00143263" w:rsidRPr="008B021C" w:rsidRDefault="00143263" w:rsidP="00143263">
      <w:pPr>
        <w:pStyle w:val="Normalaftertitle"/>
        <w:jc w:val="both"/>
        <w:rPr>
          <w:szCs w:val="24"/>
        </w:rPr>
      </w:pPr>
      <w:r w:rsidRPr="008B021C">
        <w:rPr>
          <w:szCs w:val="24"/>
        </w:rPr>
        <w:t>El Consejo,</w:t>
      </w:r>
    </w:p>
    <w:p w:rsidR="00143263" w:rsidRPr="008B021C" w:rsidRDefault="00143263" w:rsidP="002B2068">
      <w:pPr>
        <w:pStyle w:val="call0"/>
        <w:rPr>
          <w:lang w:val="es-ES_tradnl"/>
        </w:rPr>
      </w:pPr>
      <w:proofErr w:type="gramStart"/>
      <w:r w:rsidRPr="008B021C">
        <w:rPr>
          <w:lang w:val="es-ES_tradnl"/>
        </w:rPr>
        <w:t>recordando</w:t>
      </w:r>
      <w:proofErr w:type="gramEnd"/>
    </w:p>
    <w:p w:rsidR="00143263" w:rsidRPr="008B021C" w:rsidRDefault="00143263" w:rsidP="002B2068">
      <w:r w:rsidRPr="008B021C">
        <w:rPr>
          <w:i/>
          <w:iCs/>
        </w:rPr>
        <w:t>a)</w:t>
      </w:r>
      <w:r w:rsidRPr="008B021C">
        <w:tab/>
        <w:t xml:space="preserve">la Resolución 77 (Rev. Busán, 2014) de la Conferencia de Plenipotenciarios, en la que se encarga al Consejo </w:t>
      </w:r>
      <w:r w:rsidR="003137FD" w:rsidRPr="008B021C">
        <w:t>"</w:t>
      </w:r>
      <w:r w:rsidRPr="008B021C">
        <w:t>que, en cada reunión ordinaria, planifique sus próximas tres reuniones ordinarias para el periodo junio-julio y examine dicha planificación de manera continua</w:t>
      </w:r>
      <w:r w:rsidR="003137FD" w:rsidRPr="008B021C">
        <w:t>"</w:t>
      </w:r>
      <w:r w:rsidRPr="008B021C">
        <w:t>;</w:t>
      </w:r>
    </w:p>
    <w:p w:rsidR="00143263" w:rsidRPr="008B021C" w:rsidRDefault="00143263" w:rsidP="002B2068">
      <w:r w:rsidRPr="008B021C">
        <w:rPr>
          <w:i/>
          <w:iCs/>
        </w:rPr>
        <w:t>b)</w:t>
      </w:r>
      <w:r w:rsidRPr="008B021C">
        <w:tab/>
        <w:t>el Acuerdo 591 del Consejo:</w:t>
      </w:r>
    </w:p>
    <w:p w:rsidR="00143263" w:rsidRPr="008B021C" w:rsidRDefault="00143263" w:rsidP="000535F9">
      <w:pPr>
        <w:pStyle w:val="enumlev2"/>
      </w:pPr>
      <w:r w:rsidRPr="007059B6">
        <w:t>i)</w:t>
      </w:r>
      <w:r w:rsidRPr="008B021C">
        <w:tab/>
        <w:t xml:space="preserve">que la reunión de 2018 del Consejo se celebre en Ginebra por un periodo de 8 días laborables </w:t>
      </w:r>
      <w:r w:rsidRPr="008B021C">
        <w:rPr>
          <w:b/>
          <w:bCs/>
        </w:rPr>
        <w:t>del</w:t>
      </w:r>
      <w:r w:rsidRPr="008B021C">
        <w:t xml:space="preserve"> </w:t>
      </w:r>
      <w:r w:rsidRPr="008B021C">
        <w:rPr>
          <w:b/>
          <w:bCs/>
        </w:rPr>
        <w:t>miércoles 18 de abril al viernes 27 de abril de 2018</w:t>
      </w:r>
      <w:r w:rsidR="000535F9" w:rsidRPr="008B021C">
        <w:rPr>
          <w:rStyle w:val="FootnoteReference"/>
          <w:szCs w:val="24"/>
        </w:rPr>
        <w:footnoteReference w:customMarkFollows="1" w:id="2"/>
        <w:t>*</w:t>
      </w:r>
      <w:r w:rsidRPr="008B021C">
        <w:t>;</w:t>
      </w:r>
    </w:p>
    <w:p w:rsidR="00143263" w:rsidRPr="008B021C" w:rsidRDefault="002B2068" w:rsidP="007059B6">
      <w:pPr>
        <w:pStyle w:val="enumlev2"/>
      </w:pPr>
      <w:r w:rsidRPr="007059B6">
        <w:t>ii)</w:t>
      </w:r>
      <w:r w:rsidR="00143263" w:rsidRPr="008B021C">
        <w:tab/>
        <w:t xml:space="preserve">que la reunión de 2019 del Consejo se celebre en Ginebra por un periodo de 9 días laborables </w:t>
      </w:r>
      <w:r w:rsidR="00143263" w:rsidRPr="008B021C">
        <w:rPr>
          <w:b/>
          <w:bCs/>
        </w:rPr>
        <w:t>del</w:t>
      </w:r>
      <w:r w:rsidR="00143263" w:rsidRPr="008B021C">
        <w:t xml:space="preserve"> </w:t>
      </w:r>
      <w:r w:rsidR="00143263" w:rsidRPr="008B021C">
        <w:rPr>
          <w:b/>
          <w:bCs/>
        </w:rPr>
        <w:t>lunes 10 de junio al jueves 20 de junio de 2019</w:t>
      </w:r>
      <w:r w:rsidR="007059B6">
        <w:t>,</w:t>
      </w:r>
    </w:p>
    <w:p w:rsidR="00143263" w:rsidRPr="008B021C" w:rsidRDefault="00143263" w:rsidP="002B2068">
      <w:pPr>
        <w:pStyle w:val="call0"/>
        <w:rPr>
          <w:lang w:val="es-ES_tradnl"/>
        </w:rPr>
      </w:pPr>
      <w:proofErr w:type="gramStart"/>
      <w:r w:rsidRPr="008B021C">
        <w:rPr>
          <w:lang w:val="es-ES_tradnl"/>
        </w:rPr>
        <w:t>teniendo</w:t>
      </w:r>
      <w:proofErr w:type="gramEnd"/>
      <w:r w:rsidRPr="008B021C">
        <w:rPr>
          <w:lang w:val="es-ES_tradnl"/>
        </w:rPr>
        <w:t xml:space="preserve"> en cuenta</w:t>
      </w:r>
    </w:p>
    <w:p w:rsidR="00143263" w:rsidRPr="008B021C" w:rsidRDefault="00143263" w:rsidP="002B2068">
      <w:proofErr w:type="gramStart"/>
      <w:r w:rsidRPr="008B021C">
        <w:t>la</w:t>
      </w:r>
      <w:proofErr w:type="gramEnd"/>
      <w:r w:rsidRPr="008B021C">
        <w:t xml:space="preserve"> Resolución 111 (Rev. Busán, 2014) de la Conferencia de Plenipotenciarios, en la que se resuelve </w:t>
      </w:r>
      <w:r w:rsidR="003137FD" w:rsidRPr="008B021C">
        <w:t>"</w:t>
      </w:r>
      <w:r w:rsidRPr="008B021C">
        <w:t>que la Unión y los Estados Miembros del Consejo hagan, en la medida de lo posible, todo lo que esté en su mano para que las reuniones del Consejo de la UIT no coincidan con un periodo religioso importante para un Estado Miembro del Consejo</w:t>
      </w:r>
      <w:r w:rsidR="003137FD" w:rsidRPr="008B021C">
        <w:t>"</w:t>
      </w:r>
      <w:r w:rsidRPr="008B021C">
        <w:t>,</w:t>
      </w:r>
    </w:p>
    <w:p w:rsidR="00143263" w:rsidRPr="008B021C" w:rsidRDefault="00143263" w:rsidP="002B2068">
      <w:pPr>
        <w:pStyle w:val="call0"/>
        <w:rPr>
          <w:lang w:val="es-ES_tradnl"/>
        </w:rPr>
      </w:pPr>
      <w:proofErr w:type="gramStart"/>
      <w:r w:rsidRPr="008B021C">
        <w:rPr>
          <w:lang w:val="es-ES_tradnl"/>
        </w:rPr>
        <w:t>acuerda</w:t>
      </w:r>
      <w:proofErr w:type="gramEnd"/>
    </w:p>
    <w:p w:rsidR="00143263" w:rsidRPr="008B021C" w:rsidRDefault="00143263" w:rsidP="00143263">
      <w:proofErr w:type="gramStart"/>
      <w:r w:rsidRPr="008B021C">
        <w:t>que</w:t>
      </w:r>
      <w:proofErr w:type="gramEnd"/>
      <w:r w:rsidRPr="008B021C">
        <w:t xml:space="preserve"> la reunión de 2020 del Consejo se celebre en Ginebra durante un periodo de 8 días laborables, </w:t>
      </w:r>
      <w:r w:rsidRPr="008B021C">
        <w:rPr>
          <w:b/>
          <w:bCs/>
        </w:rPr>
        <w:t>del</w:t>
      </w:r>
      <w:r w:rsidRPr="008B021C">
        <w:t xml:space="preserve"> </w:t>
      </w:r>
      <w:r w:rsidRPr="008B021C">
        <w:rPr>
          <w:b/>
          <w:bCs/>
        </w:rPr>
        <w:t>miércoles 27 de mayo al viernes 5 de junio de 2020</w:t>
      </w:r>
      <w:r w:rsidRPr="008B021C">
        <w:t xml:space="preserve">. </w:t>
      </w:r>
    </w:p>
    <w:p w:rsidR="00143263" w:rsidRPr="008B021C" w:rsidRDefault="002B2068" w:rsidP="008D2430">
      <w:pPr>
        <w:spacing w:before="840"/>
        <w:jc w:val="center"/>
      </w:pPr>
      <w:r w:rsidRPr="008B021C">
        <w:t>______________</w:t>
      </w:r>
    </w:p>
    <w:sectPr w:rsidR="00143263" w:rsidRPr="008B021C" w:rsidSect="006710F6">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8D" w:rsidRDefault="00586C8D">
      <w:r>
        <w:separator/>
      </w:r>
    </w:p>
  </w:endnote>
  <w:endnote w:type="continuationSeparator" w:id="0">
    <w:p w:rsidR="00586C8D" w:rsidRDefault="0058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D2430" w:rsidRDefault="00143263" w:rsidP="00143263">
    <w:pPr>
      <w:pStyle w:val="Footer"/>
      <w:rPr>
        <w:color w:val="D9D9D9" w:themeColor="background1" w:themeShade="D9"/>
        <w:lang w:val="fr-CH"/>
      </w:rPr>
    </w:pPr>
    <w:r w:rsidRPr="008D2430">
      <w:rPr>
        <w:color w:val="D9D9D9" w:themeColor="background1" w:themeShade="D9"/>
      </w:rPr>
      <w:fldChar w:fldCharType="begin"/>
    </w:r>
    <w:r w:rsidRPr="008D2430">
      <w:rPr>
        <w:color w:val="D9D9D9" w:themeColor="background1" w:themeShade="D9"/>
        <w:lang w:val="fr-CH"/>
      </w:rPr>
      <w:instrText xml:space="preserve"> FILENAME \p  \* MERGEFORMAT </w:instrText>
    </w:r>
    <w:r w:rsidRPr="008D2430">
      <w:rPr>
        <w:color w:val="D9D9D9" w:themeColor="background1" w:themeShade="D9"/>
      </w:rPr>
      <w:fldChar w:fldCharType="separate"/>
    </w:r>
    <w:r w:rsidR="003137FD" w:rsidRPr="008D2430">
      <w:rPr>
        <w:color w:val="D9D9D9" w:themeColor="background1" w:themeShade="D9"/>
        <w:lang w:val="fr-CH"/>
      </w:rPr>
      <w:t>P:\ESP\SG\CONSEIL\C17\000\002S.docx</w:t>
    </w:r>
    <w:r w:rsidRPr="008D2430">
      <w:rPr>
        <w:color w:val="D9D9D9" w:themeColor="background1" w:themeShade="D9"/>
      </w:rPr>
      <w:fldChar w:fldCharType="end"/>
    </w:r>
    <w:r w:rsidRPr="008D2430">
      <w:rPr>
        <w:color w:val="D9D9D9" w:themeColor="background1" w:themeShade="D9"/>
        <w:lang w:val="fr-CH"/>
      </w:rPr>
      <w:t xml:space="preserve"> (407261)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143263" w:rsidRDefault="00760F1C" w:rsidP="0014326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8D" w:rsidRDefault="00586C8D">
      <w:r>
        <w:t>____________________</w:t>
      </w:r>
    </w:p>
  </w:footnote>
  <w:footnote w:type="continuationSeparator" w:id="0">
    <w:p w:rsidR="00586C8D" w:rsidRDefault="00586C8D">
      <w:r>
        <w:continuationSeparator/>
      </w:r>
    </w:p>
  </w:footnote>
  <w:footnote w:id="1">
    <w:p w:rsidR="00860952" w:rsidRDefault="00860952">
      <w:pPr>
        <w:pStyle w:val="FootnoteText"/>
      </w:pPr>
      <w:r>
        <w:rPr>
          <w:rStyle w:val="FootnoteReference"/>
        </w:rPr>
        <w:t>*</w:t>
      </w:r>
      <w:r>
        <w:t xml:space="preserve"> </w:t>
      </w:r>
      <w:r>
        <w:tab/>
        <w:t>Siguiendo la práctica anterior, la última reunión del Consejo de 2018 tendrá lugar justo antes de la Conferencia de Plenip</w:t>
      </w:r>
      <w:bookmarkStart w:id="11" w:name="_GoBack"/>
      <w:bookmarkEnd w:id="11"/>
      <w:r>
        <w:t>otenciarios de 2018 (PP-18).</w:t>
      </w:r>
    </w:p>
  </w:footnote>
  <w:footnote w:id="2">
    <w:p w:rsidR="000535F9" w:rsidRPr="00F10DFE" w:rsidRDefault="000535F9" w:rsidP="000535F9">
      <w:pPr>
        <w:pStyle w:val="FootnoteText"/>
        <w:rPr>
          <w:lang w:val="es-ES"/>
        </w:rPr>
      </w:pPr>
      <w:r>
        <w:rPr>
          <w:rStyle w:val="FootnoteReference"/>
        </w:rPr>
        <w:t>*</w:t>
      </w:r>
      <w:r>
        <w:t xml:space="preserve"> </w:t>
      </w:r>
      <w:r>
        <w:tab/>
        <w:t>Siguiendo la práctica anterior, la última reunión del Consejo de 2018 tendrá lugar justo antes de la Conferencia de Plenipotenciarios de 2018 (PP-18).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D2430">
      <w:rPr>
        <w:noProof/>
      </w:rPr>
      <w:t>2</w:t>
    </w:r>
    <w:r>
      <w:rPr>
        <w:noProof/>
      </w:rPr>
      <w:fldChar w:fldCharType="end"/>
    </w:r>
  </w:p>
  <w:p w:rsidR="00760F1C" w:rsidRDefault="00760F1C" w:rsidP="00B8298E">
    <w:pPr>
      <w:pStyle w:val="Header"/>
    </w:pPr>
    <w:r>
      <w:t>C</w:t>
    </w:r>
    <w:r w:rsidR="007F350B">
      <w:t>1</w:t>
    </w:r>
    <w:r w:rsidR="00B8298E">
      <w:t>7</w:t>
    </w:r>
    <w:r w:rsidR="008320E2">
      <w:t>/2</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8207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EF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3A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004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E4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8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C4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041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FA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3E14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8D"/>
    <w:rsid w:val="000535F9"/>
    <w:rsid w:val="000B0D00"/>
    <w:rsid w:val="000B7C15"/>
    <w:rsid w:val="000D1D0F"/>
    <w:rsid w:val="000F5290"/>
    <w:rsid w:val="0010165C"/>
    <w:rsid w:val="00143263"/>
    <w:rsid w:val="00146BFB"/>
    <w:rsid w:val="001F14A2"/>
    <w:rsid w:val="002801AA"/>
    <w:rsid w:val="002B2068"/>
    <w:rsid w:val="002C4676"/>
    <w:rsid w:val="002C70B0"/>
    <w:rsid w:val="002F3CC4"/>
    <w:rsid w:val="003137FD"/>
    <w:rsid w:val="00513630"/>
    <w:rsid w:val="00560125"/>
    <w:rsid w:val="00585553"/>
    <w:rsid w:val="00586C8D"/>
    <w:rsid w:val="005A66ED"/>
    <w:rsid w:val="005B34D9"/>
    <w:rsid w:val="005D0CCF"/>
    <w:rsid w:val="005F410F"/>
    <w:rsid w:val="0060149A"/>
    <w:rsid w:val="00601924"/>
    <w:rsid w:val="006447EA"/>
    <w:rsid w:val="0064731F"/>
    <w:rsid w:val="006710F6"/>
    <w:rsid w:val="006C1B56"/>
    <w:rsid w:val="006D4761"/>
    <w:rsid w:val="007059B6"/>
    <w:rsid w:val="00726872"/>
    <w:rsid w:val="00760F1C"/>
    <w:rsid w:val="007657F0"/>
    <w:rsid w:val="007D18D3"/>
    <w:rsid w:val="007E5DD3"/>
    <w:rsid w:val="007F350B"/>
    <w:rsid w:val="00820BE4"/>
    <w:rsid w:val="008320E2"/>
    <w:rsid w:val="008451E8"/>
    <w:rsid w:val="00860952"/>
    <w:rsid w:val="008B021C"/>
    <w:rsid w:val="008D2430"/>
    <w:rsid w:val="00913B9C"/>
    <w:rsid w:val="00956E77"/>
    <w:rsid w:val="00AA390C"/>
    <w:rsid w:val="00B0200A"/>
    <w:rsid w:val="00B574DB"/>
    <w:rsid w:val="00B826C2"/>
    <w:rsid w:val="00B8298E"/>
    <w:rsid w:val="00BD0723"/>
    <w:rsid w:val="00BD2518"/>
    <w:rsid w:val="00BD53E3"/>
    <w:rsid w:val="00BF1D1C"/>
    <w:rsid w:val="00C20C59"/>
    <w:rsid w:val="00C55B1F"/>
    <w:rsid w:val="00CF1A67"/>
    <w:rsid w:val="00D21117"/>
    <w:rsid w:val="00D2750E"/>
    <w:rsid w:val="00D42B49"/>
    <w:rsid w:val="00D62446"/>
    <w:rsid w:val="00DA4EA2"/>
    <w:rsid w:val="00DC3D3E"/>
    <w:rsid w:val="00DE2C90"/>
    <w:rsid w:val="00DE3B24"/>
    <w:rsid w:val="00E06947"/>
    <w:rsid w:val="00E3592D"/>
    <w:rsid w:val="00E9271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800CFC7-8EA7-4FC2-AD7F-C82A6DA3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586C8D"/>
    <w:pPr>
      <w:keepNext/>
      <w:overflowPunct/>
      <w:autoSpaceDE/>
      <w:autoSpaceDN/>
      <w:adjustRightInd/>
      <w:spacing w:before="560" w:after="120"/>
      <w:jc w:val="center"/>
      <w:textAlignment w:val="auto"/>
    </w:pPr>
    <w:rPr>
      <w:caps/>
      <w:lang w:val="en-GB"/>
    </w:rPr>
  </w:style>
  <w:style w:type="paragraph" w:customStyle="1" w:styleId="Body">
    <w:name w:val="Body"/>
    <w:rsid w:val="00143263"/>
    <w:rPr>
      <w:rFonts w:ascii="Helvetica" w:eastAsia="ヒラギノ角ゴ Pro W3" w:hAnsi="Helvetica"/>
      <w:color w:val="000000"/>
      <w:sz w:val="24"/>
      <w:lang w:eastAsia="en-US"/>
    </w:rPr>
  </w:style>
  <w:style w:type="paragraph" w:customStyle="1" w:styleId="call0">
    <w:name w:val="call"/>
    <w:basedOn w:val="Normal"/>
    <w:next w:val="Normal"/>
    <w:rsid w:val="00143263"/>
    <w:pPr>
      <w:keepNext/>
      <w:keepLines/>
      <w:spacing w:before="160"/>
      <w:ind w:left="794" w:hanging="357"/>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itu.int/md/S16-CL-C-0120/es" TargetMode="External"/><Relationship Id="rId18" Type="http://schemas.openxmlformats.org/officeDocument/2006/relationships/hyperlink" Target="http://www.itu.int/md/S16-CL-C-0129/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S15-CL-C-0125/es" TargetMode="External"/><Relationship Id="rId17" Type="http://schemas.openxmlformats.org/officeDocument/2006/relationships/hyperlink" Target="http://web.itu.int/md/S16-CL-C-0121/es" TargetMode="External"/><Relationship Id="rId2" Type="http://schemas.openxmlformats.org/officeDocument/2006/relationships/numbering" Target="numbering.xml"/><Relationship Id="rId16" Type="http://schemas.openxmlformats.org/officeDocument/2006/relationships/hyperlink" Target="http://web.itu.int/md/S16-CL-C-0120/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s/opb/conf/S-CONF-ACTF-2014-PDF-S.pdf" TargetMode="External"/><Relationship Id="rId5" Type="http://schemas.openxmlformats.org/officeDocument/2006/relationships/webSettings" Target="webSettings.xml"/><Relationship Id="rId15" Type="http://schemas.openxmlformats.org/officeDocument/2006/relationships/hyperlink" Target="http://www.itu.int/md/S16-CL-C-0129/es" TargetMode="External"/><Relationship Id="rId23" Type="http://schemas.openxmlformats.org/officeDocument/2006/relationships/theme" Target="theme/theme1.xml"/><Relationship Id="rId10" Type="http://schemas.openxmlformats.org/officeDocument/2006/relationships/hyperlink" Target="http://www.itu.int/dms_pub/itu-s/opb/conf/S-CONF-ACTF-2014-PDF-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council/pd/rop-e.pdf" TargetMode="External"/><Relationship Id="rId14" Type="http://schemas.openxmlformats.org/officeDocument/2006/relationships/hyperlink" Target="http://web.itu.int/md/S16-CL-C-0121/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F1F9-AE1F-4E83-A807-D9DEACA8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1</TotalTime>
  <Pages>3</Pages>
  <Words>689</Words>
  <Characters>4038</Characters>
  <Application>Microsoft Office Word</Application>
  <DocSecurity>4</DocSecurity>
  <Lines>33</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FECHAS Y DURACIÓN PROPUESTAS PARA LAS REUNIONES DE 2018, 2019 Y 2020 DEL CONSEJO</vt:lpstr>
    </vt:vector>
  </TitlesOfParts>
  <Manager>Secretaría General - Pool</Manager>
  <Company>Unión Internacional de Telecomunicaciones (UIT)</Company>
  <LinksUpToDate>false</LinksUpToDate>
  <CharactersWithSpaces>4718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2018, 2019 Y 2020 DEL CONSEJO</dc:title>
  <dc:subject>Consejo 2017</dc:subject>
  <dc:creator>Informe del Secretario General</dc:creator>
  <cp:keywords>C2017, C17</cp:keywords>
  <dc:description>Documento C17/2-S  Para: Punto del orden del día: PL 2.3_x000d_Fecha del documento: 24 de enero de 2017_x000d_Registrado por ITU51007781 a 12:03:32 el 13/02/2017</dc:description>
  <cp:lastModifiedBy>Brouard, Ricarda</cp:lastModifiedBy>
  <cp:revision>2</cp:revision>
  <cp:lastPrinted>2017-02-13T10:40:00Z</cp:lastPrinted>
  <dcterms:created xsi:type="dcterms:W3CDTF">2017-02-17T13:11:00Z</dcterms:created>
  <dcterms:modified xsi:type="dcterms:W3CDTF">2017-02-17T13:11:00Z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C17/2-S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PL 2.3</vt:lpwstr>
  </property>
  <property fmtid="{D5CDD505-2E9C-101B-9397-08002B2CF9AE}" pid="7" name="Docauthor">
    <vt:lpwstr>Informe del Secretario General</vt:lpwstr>
  </property>
</Properties>
</file>