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90"/>
        <w:tblW w:w="10173" w:type="dxa"/>
        <w:tblLayout w:type="fixed"/>
        <w:tblLook w:val="0000" w:firstRow="0" w:lastRow="0" w:firstColumn="0" w:lastColumn="0" w:noHBand="0" w:noVBand="0"/>
      </w:tblPr>
      <w:tblGrid>
        <w:gridCol w:w="6912"/>
        <w:gridCol w:w="3261"/>
      </w:tblGrid>
      <w:tr w:rsidR="009B46A9" w:rsidRPr="00A83750">
        <w:trPr>
          <w:cantSplit/>
        </w:trPr>
        <w:tc>
          <w:tcPr>
            <w:tcW w:w="6912" w:type="dxa"/>
          </w:tcPr>
          <w:p w:rsidR="009B46A9" w:rsidRPr="00A83750" w:rsidRDefault="009B46A9" w:rsidP="009B46A9">
            <w:pPr>
              <w:spacing w:before="360"/>
            </w:pPr>
            <w:bookmarkStart w:id="0" w:name="dc06"/>
            <w:bookmarkEnd w:id="0"/>
            <w:r w:rsidRPr="00A83750">
              <w:rPr>
                <w:b/>
                <w:bCs/>
                <w:sz w:val="30"/>
                <w:szCs w:val="30"/>
              </w:rPr>
              <w:t>Conseil 2017</w:t>
            </w:r>
            <w:r w:rsidRPr="00A83750">
              <w:rPr>
                <w:rFonts w:ascii="Verdana" w:hAnsi="Verdana"/>
                <w:b/>
                <w:bCs/>
                <w:sz w:val="26"/>
                <w:szCs w:val="26"/>
              </w:rPr>
              <w:br/>
            </w:r>
            <w:r w:rsidRPr="00A83750">
              <w:rPr>
                <w:b/>
                <w:bCs/>
                <w:szCs w:val="24"/>
              </w:rPr>
              <w:t>Genève, 15-25 mai 2017</w:t>
            </w:r>
          </w:p>
        </w:tc>
        <w:tc>
          <w:tcPr>
            <w:tcW w:w="3261" w:type="dxa"/>
          </w:tcPr>
          <w:p w:rsidR="009B46A9" w:rsidRPr="00A83750" w:rsidRDefault="009B46A9" w:rsidP="009B46A9">
            <w:pPr>
              <w:spacing w:before="0"/>
              <w:jc w:val="right"/>
            </w:pPr>
            <w:bookmarkStart w:id="1" w:name="ditulogo"/>
            <w:bookmarkEnd w:id="1"/>
            <w:r w:rsidRPr="00A83750">
              <w:rPr>
                <w:rFonts w:cstheme="minorHAnsi"/>
                <w:b/>
                <w:bCs/>
                <w:noProof/>
                <w:lang w:val="en-US" w:eastAsia="zh-CN"/>
              </w:rPr>
              <w:drawing>
                <wp:inline distT="0" distB="0" distL="0" distR="0" wp14:anchorId="483F5B98" wp14:editId="41A9B44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9B46A9" w:rsidRPr="00A83750" w:rsidTr="00EF41DD">
        <w:trPr>
          <w:cantSplit/>
          <w:trHeight w:val="20"/>
        </w:trPr>
        <w:tc>
          <w:tcPr>
            <w:tcW w:w="6912" w:type="dxa"/>
            <w:tcBorders>
              <w:bottom w:val="single" w:sz="12" w:space="0" w:color="auto"/>
            </w:tcBorders>
            <w:vAlign w:val="center"/>
          </w:tcPr>
          <w:p w:rsidR="009B46A9" w:rsidRPr="00A83750" w:rsidRDefault="009B46A9" w:rsidP="004C37A9">
            <w:pPr>
              <w:spacing w:before="0"/>
              <w:rPr>
                <w:b/>
                <w:bCs/>
                <w:sz w:val="26"/>
                <w:szCs w:val="26"/>
              </w:rPr>
            </w:pPr>
          </w:p>
        </w:tc>
        <w:tc>
          <w:tcPr>
            <w:tcW w:w="3261" w:type="dxa"/>
            <w:tcBorders>
              <w:bottom w:val="single" w:sz="12" w:space="0" w:color="auto"/>
            </w:tcBorders>
          </w:tcPr>
          <w:p w:rsidR="009B46A9" w:rsidRPr="00A83750" w:rsidRDefault="009B46A9" w:rsidP="00DF74DD">
            <w:pPr>
              <w:spacing w:before="0"/>
              <w:rPr>
                <w:b/>
                <w:bCs/>
              </w:rPr>
            </w:pPr>
          </w:p>
        </w:tc>
      </w:tr>
      <w:tr w:rsidR="009B46A9" w:rsidRPr="00A83750">
        <w:trPr>
          <w:cantSplit/>
          <w:trHeight w:val="20"/>
        </w:trPr>
        <w:tc>
          <w:tcPr>
            <w:tcW w:w="6912" w:type="dxa"/>
            <w:tcBorders>
              <w:top w:val="single" w:sz="12" w:space="0" w:color="auto"/>
            </w:tcBorders>
          </w:tcPr>
          <w:p w:rsidR="009B46A9" w:rsidRPr="00A83750" w:rsidRDefault="009B46A9" w:rsidP="00DF74DD">
            <w:pPr>
              <w:spacing w:before="0"/>
              <w:rPr>
                <w:smallCaps/>
                <w:sz w:val="22"/>
              </w:rPr>
            </w:pPr>
          </w:p>
        </w:tc>
        <w:tc>
          <w:tcPr>
            <w:tcW w:w="3261" w:type="dxa"/>
            <w:tcBorders>
              <w:top w:val="single" w:sz="12" w:space="0" w:color="auto"/>
            </w:tcBorders>
          </w:tcPr>
          <w:p w:rsidR="009B46A9" w:rsidRPr="00A83750" w:rsidRDefault="009B46A9" w:rsidP="00DF74DD">
            <w:pPr>
              <w:spacing w:before="0"/>
              <w:rPr>
                <w:b/>
                <w:bCs/>
              </w:rPr>
            </w:pPr>
          </w:p>
        </w:tc>
      </w:tr>
      <w:tr w:rsidR="009B46A9" w:rsidRPr="00A83750">
        <w:trPr>
          <w:cantSplit/>
          <w:trHeight w:val="20"/>
        </w:trPr>
        <w:tc>
          <w:tcPr>
            <w:tcW w:w="6912" w:type="dxa"/>
            <w:vMerge w:val="restart"/>
          </w:tcPr>
          <w:p w:rsidR="009B46A9" w:rsidRPr="00A83750" w:rsidRDefault="009B46A9" w:rsidP="00DF74DD">
            <w:pPr>
              <w:spacing w:before="0"/>
              <w:rPr>
                <w:rFonts w:cs="Times"/>
                <w:b/>
                <w:bCs/>
                <w:szCs w:val="24"/>
              </w:rPr>
            </w:pPr>
            <w:bookmarkStart w:id="2" w:name="dnum" w:colFirst="1" w:colLast="1"/>
            <w:bookmarkStart w:id="3" w:name="dmeeting" w:colFirst="0" w:colLast="0"/>
            <w:r w:rsidRPr="00A83750">
              <w:rPr>
                <w:rFonts w:cs="Times"/>
                <w:b/>
                <w:bCs/>
                <w:szCs w:val="24"/>
              </w:rPr>
              <w:t>Point de l'ordre du jour: PL 2.3</w:t>
            </w:r>
          </w:p>
        </w:tc>
        <w:tc>
          <w:tcPr>
            <w:tcW w:w="3261" w:type="dxa"/>
          </w:tcPr>
          <w:p w:rsidR="009B46A9" w:rsidRPr="00A83750" w:rsidRDefault="009B46A9" w:rsidP="009B46A9">
            <w:pPr>
              <w:spacing w:before="0"/>
              <w:rPr>
                <w:b/>
                <w:bCs/>
              </w:rPr>
            </w:pPr>
            <w:r w:rsidRPr="00A83750">
              <w:rPr>
                <w:b/>
                <w:bCs/>
              </w:rPr>
              <w:t>Document C17/2-F</w:t>
            </w:r>
          </w:p>
        </w:tc>
      </w:tr>
      <w:tr w:rsidR="009B46A9" w:rsidRPr="00A83750">
        <w:trPr>
          <w:cantSplit/>
          <w:trHeight w:val="20"/>
        </w:trPr>
        <w:tc>
          <w:tcPr>
            <w:tcW w:w="6912" w:type="dxa"/>
            <w:vMerge/>
          </w:tcPr>
          <w:p w:rsidR="009B46A9" w:rsidRPr="00A83750" w:rsidRDefault="009B46A9" w:rsidP="00DF74DD">
            <w:pPr>
              <w:shd w:val="solid" w:color="FFFFFF" w:fill="FFFFFF"/>
              <w:spacing w:before="180"/>
              <w:rPr>
                <w:smallCaps/>
              </w:rPr>
            </w:pPr>
            <w:bookmarkStart w:id="4" w:name="ddate" w:colFirst="1" w:colLast="1"/>
            <w:bookmarkEnd w:id="2"/>
            <w:bookmarkEnd w:id="3"/>
          </w:p>
        </w:tc>
        <w:tc>
          <w:tcPr>
            <w:tcW w:w="3261" w:type="dxa"/>
          </w:tcPr>
          <w:p w:rsidR="009B46A9" w:rsidRPr="00A83750" w:rsidRDefault="009B46A9" w:rsidP="009B46A9">
            <w:pPr>
              <w:spacing w:before="0"/>
              <w:rPr>
                <w:b/>
                <w:bCs/>
              </w:rPr>
            </w:pPr>
            <w:r w:rsidRPr="00A83750">
              <w:rPr>
                <w:b/>
                <w:bCs/>
              </w:rPr>
              <w:t>24 janvier 2017</w:t>
            </w:r>
          </w:p>
        </w:tc>
      </w:tr>
      <w:tr w:rsidR="009B46A9" w:rsidRPr="00A83750">
        <w:trPr>
          <w:cantSplit/>
          <w:trHeight w:val="20"/>
        </w:trPr>
        <w:tc>
          <w:tcPr>
            <w:tcW w:w="6912" w:type="dxa"/>
            <w:vMerge/>
          </w:tcPr>
          <w:p w:rsidR="009B46A9" w:rsidRPr="00A83750" w:rsidRDefault="009B46A9" w:rsidP="00DF74DD">
            <w:pPr>
              <w:shd w:val="solid" w:color="FFFFFF" w:fill="FFFFFF"/>
              <w:spacing w:before="180"/>
              <w:rPr>
                <w:smallCaps/>
              </w:rPr>
            </w:pPr>
            <w:bookmarkStart w:id="5" w:name="dorlang" w:colFirst="1" w:colLast="1"/>
            <w:bookmarkEnd w:id="4"/>
          </w:p>
        </w:tc>
        <w:tc>
          <w:tcPr>
            <w:tcW w:w="3261" w:type="dxa"/>
          </w:tcPr>
          <w:p w:rsidR="009B46A9" w:rsidRPr="00A83750" w:rsidRDefault="009B46A9" w:rsidP="009B46A9">
            <w:pPr>
              <w:spacing w:before="0"/>
              <w:rPr>
                <w:b/>
                <w:bCs/>
              </w:rPr>
            </w:pPr>
            <w:r w:rsidRPr="00A83750">
              <w:rPr>
                <w:b/>
                <w:bCs/>
              </w:rPr>
              <w:t>Original: anglais</w:t>
            </w:r>
          </w:p>
        </w:tc>
      </w:tr>
      <w:tr w:rsidR="009B46A9" w:rsidRPr="00A83750">
        <w:trPr>
          <w:cantSplit/>
        </w:trPr>
        <w:tc>
          <w:tcPr>
            <w:tcW w:w="10173" w:type="dxa"/>
            <w:gridSpan w:val="2"/>
          </w:tcPr>
          <w:p w:rsidR="009B46A9" w:rsidRPr="00A83750" w:rsidRDefault="009B46A9" w:rsidP="00DF74DD">
            <w:pPr>
              <w:pStyle w:val="Source"/>
            </w:pPr>
            <w:bookmarkStart w:id="6" w:name="dsource" w:colFirst="0" w:colLast="0"/>
            <w:bookmarkEnd w:id="5"/>
            <w:r w:rsidRPr="00A83750">
              <w:t>Rapport du Secrétaire général</w:t>
            </w:r>
          </w:p>
        </w:tc>
      </w:tr>
      <w:tr w:rsidR="009B46A9" w:rsidRPr="00A83750">
        <w:trPr>
          <w:cantSplit/>
        </w:trPr>
        <w:tc>
          <w:tcPr>
            <w:tcW w:w="10173" w:type="dxa"/>
            <w:gridSpan w:val="2"/>
          </w:tcPr>
          <w:p w:rsidR="009B46A9" w:rsidRPr="00A83750" w:rsidRDefault="009B46A9" w:rsidP="009B46A9">
            <w:pPr>
              <w:pStyle w:val="Title1"/>
            </w:pPr>
            <w:bookmarkStart w:id="7" w:name="dtitle1" w:colFirst="0" w:colLast="0"/>
            <w:bookmarkEnd w:id="6"/>
            <w:r w:rsidRPr="00A83750">
              <w:t xml:space="preserve">dates et durée proposées pour les sessions de 2018, 2019 </w:t>
            </w:r>
            <w:r w:rsidRPr="00A83750">
              <w:br/>
              <w:t>et 2020 du Conseil</w:t>
            </w:r>
          </w:p>
        </w:tc>
      </w:tr>
      <w:bookmarkEnd w:id="7"/>
    </w:tbl>
    <w:p w:rsidR="009B46A9" w:rsidRPr="00A83750" w:rsidRDefault="009B46A9"/>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9B46A9" w:rsidRPr="00A83750">
        <w:trPr>
          <w:trHeight w:val="3372"/>
        </w:trPr>
        <w:tc>
          <w:tcPr>
            <w:tcW w:w="8080" w:type="dxa"/>
            <w:tcBorders>
              <w:top w:val="single" w:sz="12" w:space="0" w:color="auto"/>
              <w:left w:val="single" w:sz="12" w:space="0" w:color="auto"/>
              <w:bottom w:val="single" w:sz="12" w:space="0" w:color="auto"/>
              <w:right w:val="single" w:sz="12" w:space="0" w:color="auto"/>
            </w:tcBorders>
          </w:tcPr>
          <w:p w:rsidR="009B46A9" w:rsidRPr="00A83750" w:rsidRDefault="009B46A9">
            <w:pPr>
              <w:pStyle w:val="Headingb"/>
            </w:pPr>
            <w:r w:rsidRPr="00A83750">
              <w:t>Résumé</w:t>
            </w:r>
          </w:p>
          <w:p w:rsidR="009B46A9" w:rsidRPr="00A83750" w:rsidRDefault="009B46A9" w:rsidP="00483D7C">
            <w:r w:rsidRPr="00A83750">
              <w:rPr>
                <w:rFonts w:asciiTheme="minorHAnsi" w:hAnsiTheme="minorHAnsi"/>
                <w:szCs w:val="24"/>
              </w:rPr>
              <w:t xml:space="preserve">Conformément à la Résolution 77 (Rév. Busan, 2014) de la Conférence de plénipotentiaires, </w:t>
            </w:r>
            <w:r w:rsidR="00DB0E8F">
              <w:rPr>
                <w:rFonts w:asciiTheme="minorHAnsi" w:hAnsiTheme="minorHAnsi"/>
                <w:szCs w:val="24"/>
              </w:rPr>
              <w:t xml:space="preserve">et compte </w:t>
            </w:r>
            <w:r w:rsidR="00483D7C">
              <w:rPr>
                <w:rFonts w:asciiTheme="minorHAnsi" w:hAnsiTheme="minorHAnsi"/>
                <w:szCs w:val="24"/>
              </w:rPr>
              <w:t xml:space="preserve">tenu </w:t>
            </w:r>
            <w:r w:rsidR="00DB0E8F">
              <w:rPr>
                <w:rFonts w:asciiTheme="minorHAnsi" w:hAnsiTheme="minorHAnsi"/>
                <w:szCs w:val="24"/>
              </w:rPr>
              <w:t>des décisions prises lors de sa dernière session de 2016</w:t>
            </w:r>
            <w:r w:rsidRPr="00A83750">
              <w:rPr>
                <w:rFonts w:asciiTheme="minorHAnsi" w:hAnsiTheme="minorHAnsi"/>
                <w:szCs w:val="24"/>
              </w:rPr>
              <w:t xml:space="preserve">, </w:t>
            </w:r>
            <w:r w:rsidRPr="00A83750">
              <w:rPr>
                <w:rFonts w:asciiTheme="minorHAnsi" w:hAnsiTheme="minorHAnsi"/>
                <w:szCs w:val="24"/>
              </w:rPr>
              <w:tab/>
              <w:t>le Conseil est invité à "planifier ses trois prochaines sessions ordinaires en juin-juillet</w:t>
            </w:r>
            <w:r w:rsidRPr="00A83750">
              <w:t>, et à revoir cette planification d'une année à l'autre".</w:t>
            </w:r>
          </w:p>
          <w:p w:rsidR="009B46A9" w:rsidRPr="00A83750" w:rsidRDefault="009B46A9">
            <w:pPr>
              <w:pStyle w:val="Headingb"/>
            </w:pPr>
            <w:r w:rsidRPr="00A83750">
              <w:t>Suite à donner</w:t>
            </w:r>
          </w:p>
          <w:p w:rsidR="009B46A9" w:rsidRPr="00A83750" w:rsidRDefault="009B46A9" w:rsidP="009B46A9">
            <w:r w:rsidRPr="00A83750">
              <w:rPr>
                <w:rFonts w:asciiTheme="minorHAnsi" w:hAnsiTheme="minorHAnsi"/>
                <w:szCs w:val="24"/>
              </w:rPr>
              <w:t xml:space="preserve">Le Conseil est invité à examiner et </w:t>
            </w:r>
            <w:r w:rsidRPr="00A83750">
              <w:rPr>
                <w:rFonts w:asciiTheme="minorHAnsi" w:hAnsiTheme="minorHAnsi"/>
                <w:b/>
                <w:bCs/>
                <w:szCs w:val="24"/>
              </w:rPr>
              <w:t>approuver</w:t>
            </w:r>
            <w:r w:rsidRPr="00A83750">
              <w:rPr>
                <w:rFonts w:asciiTheme="minorHAnsi" w:hAnsiTheme="minorHAnsi"/>
                <w:szCs w:val="24"/>
              </w:rPr>
              <w:t xml:space="preserve"> les dates de la session de 2020, et à </w:t>
            </w:r>
            <w:r w:rsidRPr="00A83750">
              <w:rPr>
                <w:rFonts w:asciiTheme="minorHAnsi" w:hAnsiTheme="minorHAnsi"/>
                <w:b/>
                <w:bCs/>
                <w:szCs w:val="24"/>
              </w:rPr>
              <w:t>adopter</w:t>
            </w:r>
            <w:r w:rsidRPr="00A83750">
              <w:rPr>
                <w:rFonts w:asciiTheme="minorHAnsi" w:hAnsiTheme="minorHAnsi"/>
                <w:szCs w:val="24"/>
              </w:rPr>
              <w:t xml:space="preserve"> le projet de Décision reproduit dans l'Annexe du présent document.</w:t>
            </w:r>
          </w:p>
          <w:p w:rsidR="009B46A9" w:rsidRPr="00A83750" w:rsidRDefault="009B46A9">
            <w:pPr>
              <w:pStyle w:val="Table"/>
              <w:keepNext w:val="0"/>
              <w:spacing w:before="0" w:after="0"/>
              <w:rPr>
                <w:rFonts w:ascii="Calibri" w:hAnsi="Calibri"/>
                <w:caps w:val="0"/>
                <w:sz w:val="22"/>
                <w:lang w:val="fr-FR"/>
              </w:rPr>
            </w:pPr>
            <w:r w:rsidRPr="00A83750">
              <w:rPr>
                <w:rFonts w:ascii="Calibri" w:hAnsi="Calibri"/>
                <w:caps w:val="0"/>
                <w:sz w:val="22"/>
                <w:lang w:val="fr-FR"/>
              </w:rPr>
              <w:t>____________</w:t>
            </w:r>
          </w:p>
          <w:p w:rsidR="009B46A9" w:rsidRPr="00A83750" w:rsidRDefault="009B46A9">
            <w:pPr>
              <w:pStyle w:val="Headingb"/>
            </w:pPr>
            <w:r w:rsidRPr="00A83750">
              <w:t>Références</w:t>
            </w:r>
          </w:p>
          <w:bookmarkStart w:id="8" w:name="lt_pId018"/>
          <w:p w:rsidR="009B46A9" w:rsidRPr="00A83750" w:rsidRDefault="009B46A9" w:rsidP="009B46A9">
            <w:pPr>
              <w:spacing w:after="120"/>
              <w:rPr>
                <w:i/>
                <w:iCs/>
              </w:rPr>
            </w:pPr>
            <w:r w:rsidRPr="00A83750">
              <w:rPr>
                <w:i/>
                <w:iCs/>
              </w:rPr>
              <w:fldChar w:fldCharType="begin"/>
            </w:r>
            <w:r w:rsidRPr="00A83750">
              <w:rPr>
                <w:i/>
                <w:iCs/>
              </w:rPr>
              <w:instrText xml:space="preserve"> HYPERLINK "http://www.itu.int/council/pd/rop-e.pdf" </w:instrText>
            </w:r>
            <w:r w:rsidRPr="00A83750">
              <w:rPr>
                <w:i/>
                <w:iCs/>
              </w:rPr>
              <w:fldChar w:fldCharType="separate"/>
            </w:r>
            <w:r w:rsidRPr="00A83750">
              <w:rPr>
                <w:rStyle w:val="Hyperlink"/>
                <w:i/>
                <w:iCs/>
              </w:rPr>
              <w:t xml:space="preserve">Règle 1, Règles de procédure du </w:t>
            </w:r>
            <w:proofErr w:type="gramStart"/>
            <w:r w:rsidRPr="00A83750">
              <w:rPr>
                <w:rStyle w:val="Hyperlink"/>
                <w:i/>
                <w:iCs/>
              </w:rPr>
              <w:t>Conseil</w:t>
            </w:r>
            <w:proofErr w:type="gramEnd"/>
            <w:r w:rsidRPr="00A83750">
              <w:rPr>
                <w:i/>
                <w:iCs/>
              </w:rPr>
              <w:fldChar w:fldCharType="end"/>
            </w:r>
            <w:r w:rsidRPr="00A83750">
              <w:rPr>
                <w:i/>
                <w:iCs/>
              </w:rPr>
              <w:t xml:space="preserve">; </w:t>
            </w:r>
            <w:hyperlink r:id="rId8" w:history="1">
              <w:r w:rsidRPr="00A83750">
                <w:rPr>
                  <w:rStyle w:val="Hyperlink"/>
                  <w:i/>
                  <w:iCs/>
                </w:rPr>
                <w:t>Résolution 77 (Rév. Busan, 2014)</w:t>
              </w:r>
            </w:hyperlink>
            <w:r w:rsidRPr="00A83750">
              <w:rPr>
                <w:i/>
                <w:iCs/>
              </w:rPr>
              <w:t xml:space="preserve">, </w:t>
            </w:r>
            <w:hyperlink r:id="rId9" w:history="1">
              <w:r w:rsidRPr="00A83750">
                <w:rPr>
                  <w:rStyle w:val="Hyperlink"/>
                  <w:i/>
                  <w:iCs/>
                </w:rPr>
                <w:t>Résolution 111 (Rév. Busan, 2014)</w:t>
              </w:r>
            </w:hyperlink>
            <w:r w:rsidRPr="00A83750">
              <w:rPr>
                <w:i/>
                <w:iCs/>
              </w:rPr>
              <w:t>;</w:t>
            </w:r>
            <w:r w:rsidRPr="00A83750">
              <w:rPr>
                <w:rFonts w:cstheme="minorHAnsi"/>
                <w:i/>
                <w:iCs/>
                <w:szCs w:val="24"/>
              </w:rPr>
              <w:t xml:space="preserve"> </w:t>
            </w:r>
            <w:r w:rsidRPr="00A83750">
              <w:rPr>
                <w:rStyle w:val="Hyperlink"/>
                <w:rFonts w:cstheme="minorHAnsi"/>
                <w:i/>
                <w:iCs/>
                <w:szCs w:val="24"/>
              </w:rPr>
              <w:t xml:space="preserve">Documents </w:t>
            </w:r>
            <w:hyperlink r:id="rId10" w:history="1">
              <w:r w:rsidRPr="00A83750">
                <w:rPr>
                  <w:rStyle w:val="Hyperlink"/>
                  <w:rFonts w:cstheme="minorHAnsi"/>
                  <w:i/>
                  <w:iCs/>
                  <w:szCs w:val="24"/>
                </w:rPr>
                <w:t>C15/123</w:t>
              </w:r>
            </w:hyperlink>
            <w:r w:rsidRPr="00A83750">
              <w:rPr>
                <w:i/>
                <w:iCs/>
              </w:rPr>
              <w:t xml:space="preserve">, </w:t>
            </w:r>
            <w:hyperlink r:id="rId11" w:history="1">
              <w:r w:rsidRPr="00A83750">
                <w:rPr>
                  <w:rStyle w:val="Hyperlink"/>
                  <w:i/>
                  <w:iCs/>
                  <w:szCs w:val="24"/>
                </w:rPr>
                <w:t>C15/125</w:t>
              </w:r>
            </w:hyperlink>
            <w:r w:rsidRPr="00A83750">
              <w:rPr>
                <w:i/>
                <w:iCs/>
              </w:rPr>
              <w:t xml:space="preserve">, </w:t>
            </w:r>
            <w:hyperlink r:id="rId12" w:history="1">
              <w:r w:rsidRPr="00A83750">
                <w:rPr>
                  <w:rStyle w:val="Hyperlink"/>
                  <w:i/>
                  <w:iCs/>
                </w:rPr>
                <w:t>C16/120</w:t>
              </w:r>
            </w:hyperlink>
            <w:r w:rsidRPr="00A83750">
              <w:rPr>
                <w:i/>
                <w:iCs/>
              </w:rPr>
              <w:t xml:space="preserve"> et</w:t>
            </w:r>
            <w:r w:rsidR="00282612">
              <w:rPr>
                <w:i/>
                <w:iCs/>
              </w:rPr>
              <w:t> </w:t>
            </w:r>
            <w:hyperlink r:id="rId13" w:history="1">
              <w:r w:rsidRPr="00A83750">
                <w:rPr>
                  <w:rStyle w:val="Hyperlink"/>
                  <w:i/>
                  <w:iCs/>
                </w:rPr>
                <w:t>C16/121</w:t>
              </w:r>
            </w:hyperlink>
            <w:r w:rsidRPr="00A83750">
              <w:rPr>
                <w:i/>
                <w:iCs/>
              </w:rPr>
              <w:t xml:space="preserve">, et </w:t>
            </w:r>
            <w:hyperlink r:id="rId14" w:history="1">
              <w:r w:rsidRPr="00A83750">
                <w:rPr>
                  <w:rStyle w:val="Hyperlink"/>
                  <w:i/>
                  <w:iCs/>
                </w:rPr>
                <w:t>Décision 591</w:t>
              </w:r>
            </w:hyperlink>
            <w:bookmarkEnd w:id="8"/>
            <w:r w:rsidRPr="00A83750">
              <w:rPr>
                <w:rStyle w:val="Hyperlink"/>
                <w:i/>
                <w:iCs/>
              </w:rPr>
              <w:t xml:space="preserve"> du Conseil</w:t>
            </w:r>
          </w:p>
        </w:tc>
      </w:tr>
    </w:tbl>
    <w:p w:rsidR="009B46A9" w:rsidRPr="00A83750" w:rsidRDefault="009B46A9" w:rsidP="0081342C">
      <w:pPr>
        <w:spacing w:before="1560"/>
      </w:pPr>
      <w:proofErr w:type="gramStart"/>
      <w:r w:rsidRPr="000F4048">
        <w:rPr>
          <w:b/>
          <w:bCs/>
        </w:rPr>
        <w:t>Annexe</w:t>
      </w:r>
      <w:r w:rsidRPr="000F4048">
        <w:t>:</w:t>
      </w:r>
      <w:proofErr w:type="gramEnd"/>
      <w:r w:rsidRPr="000F4048">
        <w:t xml:space="preserve"> 1</w:t>
      </w:r>
      <w:r w:rsidRPr="00A83750">
        <w:br w:type="page"/>
      </w:r>
    </w:p>
    <w:p w:rsidR="009B46A9" w:rsidRPr="00A83750" w:rsidRDefault="009B46A9" w:rsidP="009B46A9">
      <w:pPr>
        <w:pStyle w:val="Headingb"/>
      </w:pPr>
      <w:r w:rsidRPr="00A83750">
        <w:lastRenderedPageBreak/>
        <w:t>Rappel</w:t>
      </w:r>
    </w:p>
    <w:p w:rsidR="009B46A9" w:rsidRPr="00A83750" w:rsidRDefault="009B46A9" w:rsidP="009B46A9">
      <w:r w:rsidRPr="00A83750">
        <w:t>1</w:t>
      </w:r>
      <w:r w:rsidRPr="00A83750">
        <w:tab/>
        <w:t xml:space="preserve">Aux termes de sa Résolution 77 (Rév. Busan, 2014) relative à </w:t>
      </w:r>
      <w:r w:rsidRPr="00A83750">
        <w:rPr>
          <w:b/>
          <w:bCs/>
          <w:i/>
          <w:iCs/>
        </w:rPr>
        <w:t>la planification et à la durée des conférences, forums, assemblées et sessions du Conseil de l'Union</w:t>
      </w:r>
      <w:r w:rsidRPr="00A83750">
        <w:t>, la Conférence de plénipotentiaires a décidé ce qui suit: "Le Conseil tiendra, en principe, sa session ordinaire pendant la période juin-juillet de l'année calendaire ou aux environs de cette période", et a chargé en outre le Conseil "de planifier, à chaque session ordinaire, ses trois prochaines sessions ordinaires en juin-juillet, et de revoir cette planification d'une année à l'autre".</w:t>
      </w:r>
    </w:p>
    <w:p w:rsidR="009B46A9" w:rsidRPr="00A83750" w:rsidRDefault="009B46A9" w:rsidP="009B46A9">
      <w:r w:rsidRPr="00A83750">
        <w:t>2</w:t>
      </w:r>
      <w:r w:rsidRPr="00A83750">
        <w:tab/>
        <w:t xml:space="preserve">Aux termes de sa Résolution 111 (Rév. Busan, 2014) relative à la </w:t>
      </w:r>
      <w:r w:rsidRPr="00A83750">
        <w:rPr>
          <w:b/>
          <w:bCs/>
          <w:i/>
          <w:iCs/>
        </w:rPr>
        <w:t>prise en compte des grandes fêtes religieuses dans la planification des conférences, des assemblées et des sessions du Conseil de l'UIT</w:t>
      </w:r>
      <w:r w:rsidRPr="00A83750">
        <w:t>, la Conférence de plénipotentiaires a décidé ce qui suit: "L'Union et les Etats Membres du Conseil devront tout faire, dans la mesure du possible, pour éviter que la période prévue pour une session du Conseil coïncide avec la période de célébration d'une fête religieuse considérée comme importante par un Etat Membre du Conseil".</w:t>
      </w:r>
    </w:p>
    <w:p w:rsidR="009B46A9" w:rsidRPr="00A83750" w:rsidRDefault="009B46A9" w:rsidP="0081342C">
      <w:pPr>
        <w:spacing w:after="240"/>
      </w:pPr>
      <w:r w:rsidRPr="00A83750">
        <w:t>3</w:t>
      </w:r>
      <w:r w:rsidRPr="00A83750">
        <w:tab/>
        <w:t>A sa session de 2016, le Conseil a décidé</w:t>
      </w:r>
      <w:r w:rsidR="00665D0A">
        <w:t xml:space="preserve"> d’allonger</w:t>
      </w:r>
      <w:r w:rsidRPr="00A83750">
        <w:t xml:space="preserve"> d'une journée la durée de ses sessio</w:t>
      </w:r>
      <w:r w:rsidR="00DB0E8F">
        <w:t>ns et a approuvé la Décision 591</w:t>
      </w:r>
      <w:r w:rsidRPr="00A83750">
        <w:t xml:space="preserve"> concernant les dates et la durée de ses sessions de 2018 et 2019. On trouvera dans les Documents </w:t>
      </w:r>
      <w:hyperlink r:id="rId15" w:history="1">
        <w:r w:rsidRPr="00A83750">
          <w:rPr>
            <w:rStyle w:val="Hyperlink"/>
          </w:rPr>
          <w:t>C16/120</w:t>
        </w:r>
      </w:hyperlink>
      <w:r w:rsidRPr="00A83750">
        <w:t xml:space="preserve"> et </w:t>
      </w:r>
      <w:hyperlink r:id="rId16" w:history="1">
        <w:r w:rsidRPr="00A83750">
          <w:rPr>
            <w:rStyle w:val="Hyperlink"/>
          </w:rPr>
          <w:t>C16/121</w:t>
        </w:r>
      </w:hyperlink>
      <w:r w:rsidRPr="00A83750">
        <w:t xml:space="preserve"> un résumé des discussions qui ont eu lieu lors de la session de 2016 du Conseil.</w:t>
      </w:r>
    </w:p>
    <w:p w:rsidR="00A83750" w:rsidRDefault="00A83750" w:rsidP="00282612">
      <w:pPr>
        <w:pStyle w:val="Headingb"/>
      </w:pPr>
      <w:bookmarkStart w:id="9" w:name="lt_pId025"/>
      <w:r>
        <w:t xml:space="preserve">Dates confirmées </w:t>
      </w:r>
      <w:r w:rsidR="00DB0E8F">
        <w:t>conformément à la Décision 591</w:t>
      </w:r>
      <w:r>
        <w:t>:</w:t>
      </w:r>
      <w:r w:rsidR="00CF0749" w:rsidRPr="00A83750">
        <w:t xml:space="preserve"> </w:t>
      </w:r>
      <w:bookmarkEnd w:id="9"/>
    </w:p>
    <w:p w:rsidR="00A83750" w:rsidRDefault="00A83750" w:rsidP="00282612">
      <w:pPr>
        <w:pStyle w:val="enumlev1"/>
        <w:rPr>
          <w:b/>
          <w:bCs/>
        </w:rPr>
      </w:pPr>
      <w:r>
        <w:t>–</w:t>
      </w:r>
      <w:r w:rsidR="00CF0749" w:rsidRPr="00A83750">
        <w:tab/>
      </w:r>
      <w:bookmarkStart w:id="10" w:name="lt_pId027"/>
      <w:r w:rsidRPr="00A83750">
        <w:t xml:space="preserve">Session de 2018 du Conseil </w:t>
      </w:r>
      <w:r w:rsidR="00CF0749" w:rsidRPr="00A83750">
        <w:t>(</w:t>
      </w:r>
      <w:r w:rsidRPr="00A83750">
        <w:t>huit jours ouvrables</w:t>
      </w:r>
      <w:r w:rsidR="00CF0749" w:rsidRPr="00A83750">
        <w:t>):</w:t>
      </w:r>
      <w:bookmarkEnd w:id="10"/>
      <w:r w:rsidR="00CF0749" w:rsidRPr="00A83750">
        <w:t xml:space="preserve"> </w:t>
      </w:r>
      <w:r w:rsidR="00CF0749" w:rsidRPr="00A83750">
        <w:br/>
      </w:r>
      <w:r w:rsidR="00282612" w:rsidRPr="00282612">
        <w:rPr>
          <w:b/>
        </w:rPr>
        <w:t xml:space="preserve">du </w:t>
      </w:r>
      <w:r w:rsidRPr="00282612">
        <w:rPr>
          <w:b/>
        </w:rPr>
        <w:t>mercredi 18 avril au vendredi 27</w:t>
      </w:r>
      <w:r w:rsidRPr="00A83750">
        <w:rPr>
          <w:b/>
          <w:bCs/>
        </w:rPr>
        <w:t xml:space="preserve"> avril 2018</w:t>
      </w:r>
      <w:bookmarkStart w:id="11" w:name="lt_pId030"/>
      <w:r w:rsidR="00DB0E8F">
        <w:rPr>
          <w:rStyle w:val="FootnoteReference"/>
          <w:b/>
          <w:bCs/>
        </w:rPr>
        <w:footnoteReference w:customMarkFollows="1" w:id="1"/>
        <w:t>*</w:t>
      </w:r>
    </w:p>
    <w:p w:rsidR="00CF0749" w:rsidRPr="00A83750" w:rsidRDefault="00A83750" w:rsidP="00282612">
      <w:pPr>
        <w:pStyle w:val="enumlev1"/>
        <w:rPr>
          <w:b/>
          <w:bCs/>
        </w:rPr>
      </w:pPr>
      <w:r w:rsidRPr="00A83750">
        <w:t>–</w:t>
      </w:r>
      <w:r>
        <w:rPr>
          <w:b/>
          <w:bCs/>
        </w:rPr>
        <w:tab/>
      </w:r>
      <w:r w:rsidRPr="00A83750">
        <w:rPr>
          <w:rFonts w:asciiTheme="minorHAnsi" w:hAnsiTheme="minorHAnsi"/>
          <w:szCs w:val="24"/>
        </w:rPr>
        <w:t xml:space="preserve">Session de 2019 du Conseil </w:t>
      </w:r>
      <w:r w:rsidR="00CF0749" w:rsidRPr="00A83750">
        <w:rPr>
          <w:rFonts w:asciiTheme="minorHAnsi" w:hAnsiTheme="minorHAnsi"/>
          <w:szCs w:val="24"/>
        </w:rPr>
        <w:t>(</w:t>
      </w:r>
      <w:r>
        <w:rPr>
          <w:rFonts w:asciiTheme="minorHAnsi" w:hAnsiTheme="minorHAnsi"/>
          <w:szCs w:val="24"/>
        </w:rPr>
        <w:t xml:space="preserve">neuf </w:t>
      </w:r>
      <w:r w:rsidRPr="00A83750">
        <w:rPr>
          <w:rFonts w:asciiTheme="minorHAnsi" w:hAnsiTheme="minorHAnsi"/>
          <w:szCs w:val="24"/>
        </w:rPr>
        <w:t>jours ouvrables</w:t>
      </w:r>
      <w:r w:rsidR="00CF0749" w:rsidRPr="00A83750">
        <w:rPr>
          <w:rFonts w:asciiTheme="minorHAnsi" w:hAnsiTheme="minorHAnsi"/>
          <w:szCs w:val="24"/>
        </w:rPr>
        <w:t>):</w:t>
      </w:r>
      <w:bookmarkEnd w:id="11"/>
      <w:r w:rsidR="00CF0749" w:rsidRPr="00A83750">
        <w:rPr>
          <w:rFonts w:asciiTheme="minorHAnsi" w:hAnsiTheme="minorHAnsi"/>
          <w:szCs w:val="24"/>
        </w:rPr>
        <w:t xml:space="preserve"> </w:t>
      </w:r>
      <w:r w:rsidR="00CF0749" w:rsidRPr="00A83750">
        <w:rPr>
          <w:rFonts w:asciiTheme="minorHAnsi" w:hAnsiTheme="minorHAnsi"/>
          <w:szCs w:val="24"/>
        </w:rPr>
        <w:br/>
      </w:r>
      <w:r w:rsidR="00282612" w:rsidRPr="00282612">
        <w:rPr>
          <w:rFonts w:asciiTheme="minorHAnsi" w:hAnsiTheme="minorHAnsi"/>
          <w:b/>
          <w:szCs w:val="24"/>
        </w:rPr>
        <w:t xml:space="preserve">du </w:t>
      </w:r>
      <w:r w:rsidR="00665D0A" w:rsidRPr="00282612">
        <w:rPr>
          <w:rFonts w:asciiTheme="minorHAnsi" w:hAnsiTheme="minorHAnsi"/>
          <w:b/>
          <w:szCs w:val="24"/>
        </w:rPr>
        <w:t xml:space="preserve">lundi 10 juin </w:t>
      </w:r>
      <w:r w:rsidR="00282612" w:rsidRPr="00282612">
        <w:rPr>
          <w:rFonts w:asciiTheme="minorHAnsi" w:hAnsiTheme="minorHAnsi"/>
          <w:b/>
          <w:szCs w:val="24"/>
        </w:rPr>
        <w:t>au</w:t>
      </w:r>
      <w:r w:rsidRPr="00282612">
        <w:rPr>
          <w:rFonts w:asciiTheme="minorHAnsi" w:hAnsiTheme="minorHAnsi"/>
          <w:b/>
          <w:szCs w:val="24"/>
        </w:rPr>
        <w:t xml:space="preserve"> jeudi</w:t>
      </w:r>
      <w:r w:rsidRPr="00A83750">
        <w:rPr>
          <w:rFonts w:asciiTheme="minorHAnsi" w:hAnsiTheme="minorHAnsi"/>
          <w:b/>
          <w:bCs/>
          <w:szCs w:val="24"/>
        </w:rPr>
        <w:t xml:space="preserve"> 20 juin 2019</w:t>
      </w:r>
    </w:p>
    <w:p w:rsidR="00CF0749" w:rsidRPr="00A83750" w:rsidRDefault="00A83750" w:rsidP="00665D0A">
      <w:pPr>
        <w:pStyle w:val="Headingb"/>
      </w:pPr>
      <w:bookmarkStart w:id="12" w:name="lt_pId032"/>
      <w:r>
        <w:t xml:space="preserve">Dates proposées pour la session de </w:t>
      </w:r>
      <w:r w:rsidR="00CF0749" w:rsidRPr="00A83750">
        <w:t>2020</w:t>
      </w:r>
      <w:bookmarkEnd w:id="12"/>
      <w:r>
        <w:t>:</w:t>
      </w:r>
    </w:p>
    <w:p w:rsidR="00CF0749" w:rsidRPr="00A83750" w:rsidRDefault="00A83750" w:rsidP="00A83750">
      <w:pPr>
        <w:pStyle w:val="enumlev1"/>
        <w:rPr>
          <w:szCs w:val="24"/>
        </w:rPr>
      </w:pPr>
      <w:r w:rsidRPr="00A83750">
        <w:rPr>
          <w:szCs w:val="24"/>
        </w:rPr>
        <w:t>–</w:t>
      </w:r>
      <w:r w:rsidR="00CF0749" w:rsidRPr="00A83750">
        <w:rPr>
          <w:szCs w:val="24"/>
        </w:rPr>
        <w:tab/>
      </w:r>
      <w:bookmarkStart w:id="13" w:name="lt_pId034"/>
      <w:r>
        <w:rPr>
          <w:szCs w:val="24"/>
        </w:rPr>
        <w:t xml:space="preserve">Session de </w:t>
      </w:r>
      <w:r w:rsidR="00CF0749" w:rsidRPr="00A83750">
        <w:rPr>
          <w:szCs w:val="24"/>
        </w:rPr>
        <w:t>2020</w:t>
      </w:r>
      <w:r>
        <w:rPr>
          <w:szCs w:val="24"/>
        </w:rPr>
        <w:t xml:space="preserve"> </w:t>
      </w:r>
      <w:r w:rsidRPr="00A83750">
        <w:t>du</w:t>
      </w:r>
      <w:r>
        <w:rPr>
          <w:szCs w:val="24"/>
        </w:rPr>
        <w:t xml:space="preserve"> Conseil </w:t>
      </w:r>
      <w:r w:rsidR="00CF0749" w:rsidRPr="00A83750">
        <w:rPr>
          <w:szCs w:val="24"/>
        </w:rPr>
        <w:t>(</w:t>
      </w:r>
      <w:r w:rsidRPr="00A83750">
        <w:t>huit jours ouvrables</w:t>
      </w:r>
      <w:r w:rsidR="00CF0749" w:rsidRPr="00A83750">
        <w:rPr>
          <w:szCs w:val="24"/>
        </w:rPr>
        <w:t>):</w:t>
      </w:r>
      <w:bookmarkEnd w:id="13"/>
      <w:r w:rsidR="00CF0749" w:rsidRPr="00A83750">
        <w:rPr>
          <w:szCs w:val="24"/>
        </w:rPr>
        <w:t xml:space="preserve"> </w:t>
      </w:r>
      <w:r w:rsidR="00CF0749" w:rsidRPr="00A83750">
        <w:rPr>
          <w:szCs w:val="24"/>
        </w:rPr>
        <w:br/>
      </w:r>
      <w:r w:rsidRPr="00282612">
        <w:rPr>
          <w:b/>
          <w:bCs/>
        </w:rPr>
        <w:t>du mercredi</w:t>
      </w:r>
      <w:r w:rsidRPr="00A83750">
        <w:rPr>
          <w:b/>
          <w:bCs/>
        </w:rPr>
        <w:t xml:space="preserve"> 27 mai au vendredi 5 juin 2020</w:t>
      </w:r>
    </w:p>
    <w:p w:rsidR="00CF0749" w:rsidRPr="00A83750" w:rsidRDefault="00A83750" w:rsidP="0081342C">
      <w:pPr>
        <w:spacing w:before="240"/>
        <w:rPr>
          <w:lang w:val="fr-CH"/>
        </w:rPr>
      </w:pPr>
      <w:bookmarkStart w:id="14" w:name="lt_pId036"/>
      <w:r w:rsidRPr="00A83750">
        <w:rPr>
          <w:lang w:val="fr-CH"/>
        </w:rPr>
        <w:t>Le Conseil est invité à examiner et à approuver les dates de la session de 2020 du Conseil</w:t>
      </w:r>
      <w:r w:rsidR="00D22152">
        <w:rPr>
          <w:lang w:val="fr-CH"/>
        </w:rPr>
        <w:t xml:space="preserve"> et à </w:t>
      </w:r>
      <w:r w:rsidRPr="00A83750">
        <w:rPr>
          <w:lang w:val="fr-CH"/>
        </w:rPr>
        <w:t>adopter le projet de Décision proposé en A</w:t>
      </w:r>
      <w:r w:rsidR="00D22152">
        <w:rPr>
          <w:lang w:val="fr-CH"/>
        </w:rPr>
        <w:t>nnex</w:t>
      </w:r>
      <w:r w:rsidRPr="00A83750">
        <w:rPr>
          <w:lang w:val="fr-CH"/>
        </w:rPr>
        <w:t>e</w:t>
      </w:r>
      <w:r w:rsidR="00CF0749" w:rsidRPr="00A83750">
        <w:rPr>
          <w:lang w:val="fr-CH"/>
        </w:rPr>
        <w:t>.</w:t>
      </w:r>
      <w:bookmarkEnd w:id="14"/>
    </w:p>
    <w:p w:rsidR="00CF0749" w:rsidRPr="00A83750" w:rsidRDefault="00CF0749">
      <w:pPr>
        <w:tabs>
          <w:tab w:val="clear" w:pos="567"/>
          <w:tab w:val="clear" w:pos="1134"/>
          <w:tab w:val="clear" w:pos="1701"/>
          <w:tab w:val="clear" w:pos="2268"/>
          <w:tab w:val="clear" w:pos="2835"/>
        </w:tabs>
        <w:overflowPunct/>
        <w:autoSpaceDE/>
        <w:autoSpaceDN/>
        <w:adjustRightInd/>
        <w:spacing w:before="0"/>
        <w:textAlignment w:val="auto"/>
        <w:rPr>
          <w:lang w:val="fr-CH"/>
        </w:rPr>
      </w:pPr>
      <w:r w:rsidRPr="00A83750">
        <w:rPr>
          <w:lang w:val="fr-CH"/>
        </w:rPr>
        <w:br w:type="page"/>
      </w:r>
    </w:p>
    <w:p w:rsidR="00DB0E8F" w:rsidRDefault="00DB0E8F" w:rsidP="00CF0749">
      <w:pPr>
        <w:pStyle w:val="ResNo"/>
      </w:pPr>
      <w:r>
        <w:lastRenderedPageBreak/>
        <w:t>ANNEXE</w:t>
      </w:r>
    </w:p>
    <w:p w:rsidR="00CF0749" w:rsidRPr="0091648C" w:rsidRDefault="0091648C" w:rsidP="0091648C">
      <w:pPr>
        <w:pStyle w:val="ResNo"/>
      </w:pPr>
      <w:r w:rsidRPr="0091648C">
        <w:t xml:space="preserve">PROJET DE </w:t>
      </w:r>
      <w:r w:rsidR="00CF0749" w:rsidRPr="0091648C">
        <w:t xml:space="preserve">DÉCISION </w:t>
      </w:r>
      <w:r w:rsidRPr="0091648C">
        <w:t>[…]</w:t>
      </w:r>
    </w:p>
    <w:p w:rsidR="00CF0749" w:rsidRPr="00A83750" w:rsidRDefault="00CF0749" w:rsidP="00CF0749">
      <w:pPr>
        <w:pStyle w:val="Restitle"/>
      </w:pPr>
      <w:r w:rsidRPr="00A83750">
        <w:t>Dates et durée des sessions de 2018, 2019 et 2020 du Conseil</w:t>
      </w:r>
    </w:p>
    <w:p w:rsidR="00CF0749" w:rsidRPr="00A83750" w:rsidRDefault="00CF0749" w:rsidP="00CF0749">
      <w:pPr>
        <w:pStyle w:val="Normalaftertitle"/>
      </w:pPr>
      <w:r w:rsidRPr="00A83750">
        <w:t>Le Conseil,</w:t>
      </w:r>
    </w:p>
    <w:p w:rsidR="00CF0749" w:rsidRPr="00A83750" w:rsidRDefault="00CF0749" w:rsidP="00CF0749">
      <w:pPr>
        <w:pStyle w:val="Call"/>
      </w:pPr>
      <w:r w:rsidRPr="00A83750">
        <w:t>rappelant</w:t>
      </w:r>
    </w:p>
    <w:p w:rsidR="00CF0749" w:rsidRPr="00A83750" w:rsidRDefault="00CF0749" w:rsidP="00CF0749">
      <w:r w:rsidRPr="0091648C">
        <w:rPr>
          <w:i/>
          <w:iCs/>
        </w:rPr>
        <w:t>a)</w:t>
      </w:r>
      <w:r w:rsidRPr="00A83750">
        <w:tab/>
        <w:t>la Résolution 77 (Rév. Busan, 2014) de la Conférence de plénipotentiaires, aux termes de laquelle le Conseil est chargé "de planifier, à chaque session ordinaire, ses trois prochaines sessions ordinaires en juin-juillet, et de revoir cette planification d'une année à l'autre"</w:t>
      </w:r>
      <w:r w:rsidR="00A83750" w:rsidRPr="00A83750">
        <w:t>;</w:t>
      </w:r>
    </w:p>
    <w:p w:rsidR="00CF0749" w:rsidRPr="00A83750" w:rsidRDefault="00CF0749" w:rsidP="00CF0749">
      <w:r w:rsidRPr="0091648C">
        <w:rPr>
          <w:i/>
          <w:iCs/>
        </w:rPr>
        <w:t>b)</w:t>
      </w:r>
      <w:r w:rsidRPr="00A83750">
        <w:tab/>
      </w:r>
      <w:r w:rsidR="000F4048">
        <w:t xml:space="preserve">la </w:t>
      </w:r>
      <w:r w:rsidRPr="00A83750">
        <w:t>Décision 591 du Conseil</w:t>
      </w:r>
      <w:r w:rsidR="000F4048">
        <w:t xml:space="preserve"> aux termes de laquelle</w:t>
      </w:r>
      <w:r w:rsidRPr="00A83750">
        <w:t>:</w:t>
      </w:r>
    </w:p>
    <w:p w:rsidR="00CF0749" w:rsidRPr="00A83750" w:rsidRDefault="00CF0749" w:rsidP="000F4048">
      <w:pPr>
        <w:pStyle w:val="enumlev2"/>
      </w:pPr>
      <w:r w:rsidRPr="00A83750">
        <w:t>i)</w:t>
      </w:r>
      <w:r w:rsidRPr="00A83750">
        <w:tab/>
        <w:t>sa session de 2018 se tiendra à Genève, pour u</w:t>
      </w:r>
      <w:r w:rsidR="000F4048">
        <w:t>ne période de 8 jours ouvrables,</w:t>
      </w:r>
      <w:r w:rsidRPr="00A83750">
        <w:t xml:space="preserve"> </w:t>
      </w:r>
      <w:r w:rsidR="000F4048">
        <w:t>du </w:t>
      </w:r>
      <w:r w:rsidRPr="00A83750">
        <w:rPr>
          <w:b/>
          <w:bCs/>
        </w:rPr>
        <w:t>mercredi 18 avril au vendredi 27 avril 2018</w:t>
      </w:r>
      <w:r w:rsidRPr="00A83750">
        <w:rPr>
          <w:rStyle w:val="FootnoteReference"/>
          <w:b/>
          <w:bCs/>
        </w:rPr>
        <w:footnoteReference w:customMarkFollows="1" w:id="2"/>
        <w:t>*</w:t>
      </w:r>
      <w:r w:rsidRPr="00A83750">
        <w:t>;</w:t>
      </w:r>
    </w:p>
    <w:p w:rsidR="00CF0749" w:rsidRPr="00A83750" w:rsidRDefault="000F4048" w:rsidP="00CF0749">
      <w:pPr>
        <w:pStyle w:val="enumlev2"/>
      </w:pPr>
      <w:r>
        <w:t>ii)</w:t>
      </w:r>
      <w:r>
        <w:tab/>
      </w:r>
      <w:r w:rsidR="00CF0749" w:rsidRPr="00A83750">
        <w:t>sa session de 2019 se tiendra à Genève, pour u</w:t>
      </w:r>
      <w:r>
        <w:t>ne période de 9 jours ouvrables,</w:t>
      </w:r>
      <w:r w:rsidR="00D22152">
        <w:t xml:space="preserve"> du </w:t>
      </w:r>
      <w:r w:rsidR="007255AA">
        <w:rPr>
          <w:b/>
          <w:bCs/>
        </w:rPr>
        <w:t>lundi 10 juin au</w:t>
      </w:r>
      <w:r w:rsidR="00CF0749" w:rsidRPr="00A83750">
        <w:rPr>
          <w:b/>
          <w:bCs/>
        </w:rPr>
        <w:t xml:space="preserve"> jeudi 20 juin 2019</w:t>
      </w:r>
      <w:r w:rsidR="00CF0749" w:rsidRPr="00A83750">
        <w:t>,</w:t>
      </w:r>
    </w:p>
    <w:p w:rsidR="00CF0749" w:rsidRPr="00A83750" w:rsidRDefault="00CF0749" w:rsidP="00CF0749">
      <w:pPr>
        <w:pStyle w:val="Call"/>
        <w:rPr>
          <w:i w:val="0"/>
          <w:iCs/>
        </w:rPr>
      </w:pPr>
      <w:r w:rsidRPr="00A83750">
        <w:rPr>
          <w:iCs/>
        </w:rPr>
        <w:t>tenant compte de</w:t>
      </w:r>
    </w:p>
    <w:p w:rsidR="00CF0749" w:rsidRPr="00A83750" w:rsidRDefault="00CF0749" w:rsidP="00CF0749">
      <w:r w:rsidRPr="00A83750">
        <w:t>la Résolution 111 (Rév. Busan, 2014) de la Conférence de plénipotentiaires, aux termes de laquelle "l'Union et ses Etats Membres devraient tout faire, dans la mesure du possible, pour éviter que la période prévue pour une session du Conseil coïncide avec la période de célébration d'une fête religieuse considérée comme importante par un Etat Membre du Conseil",</w:t>
      </w:r>
    </w:p>
    <w:p w:rsidR="00CF0749" w:rsidRPr="00A83750" w:rsidRDefault="00CF0749" w:rsidP="00CF0749">
      <w:pPr>
        <w:pStyle w:val="Call"/>
      </w:pPr>
      <w:r w:rsidRPr="00A83750">
        <w:t>décide</w:t>
      </w:r>
    </w:p>
    <w:p w:rsidR="00A83750" w:rsidRPr="00A83750" w:rsidRDefault="00CF0749" w:rsidP="0091648C">
      <w:pPr>
        <w:rPr>
          <w:rFonts w:asciiTheme="minorHAnsi" w:hAnsiTheme="minorHAnsi"/>
          <w:szCs w:val="24"/>
        </w:rPr>
      </w:pPr>
      <w:r w:rsidRPr="00A83750">
        <w:t xml:space="preserve">que </w:t>
      </w:r>
      <w:r w:rsidR="00A83750" w:rsidRPr="00A83750">
        <w:t>s</w:t>
      </w:r>
      <w:r w:rsidRPr="00A83750">
        <w:t>a session de 20</w:t>
      </w:r>
      <w:r w:rsidR="00A83750" w:rsidRPr="00A83750">
        <w:t>20</w:t>
      </w:r>
      <w:r w:rsidRPr="00A83750">
        <w:t xml:space="preserve"> se tiendra à Genève, pour une période de 8 jours ouvrables</w:t>
      </w:r>
      <w:r w:rsidR="00A83750" w:rsidRPr="00A83750">
        <w:t>,</w:t>
      </w:r>
      <w:r w:rsidR="000F4048">
        <w:t xml:space="preserve"> du </w:t>
      </w:r>
      <w:r w:rsidR="000F4048">
        <w:rPr>
          <w:b/>
          <w:bCs/>
        </w:rPr>
        <w:t>mercredi </w:t>
      </w:r>
      <w:r w:rsidRPr="00A83750">
        <w:rPr>
          <w:b/>
          <w:bCs/>
        </w:rPr>
        <w:t xml:space="preserve">27 mai </w:t>
      </w:r>
      <w:r w:rsidR="00A83750" w:rsidRPr="00A83750">
        <w:rPr>
          <w:b/>
          <w:bCs/>
        </w:rPr>
        <w:t>au vendredi 5 juin 2020</w:t>
      </w:r>
      <w:r w:rsidR="00A83750" w:rsidRPr="00A83750">
        <w:rPr>
          <w:rFonts w:asciiTheme="minorHAnsi" w:hAnsiTheme="minorHAnsi"/>
          <w:szCs w:val="24"/>
        </w:rPr>
        <w:t>.</w:t>
      </w:r>
    </w:p>
    <w:p w:rsidR="00A83750" w:rsidRPr="00A83750" w:rsidRDefault="00A83750" w:rsidP="0081342C">
      <w:pPr>
        <w:spacing w:before="840"/>
        <w:jc w:val="center"/>
      </w:pPr>
      <w:r w:rsidRPr="00A83750">
        <w:t>______________</w:t>
      </w:r>
      <w:bookmarkStart w:id="15" w:name="_GoBack"/>
      <w:bookmarkEnd w:id="15"/>
    </w:p>
    <w:sectPr w:rsidR="00A83750" w:rsidRPr="00A83750" w:rsidSect="005C3890">
      <w:headerReference w:type="even" r:id="rId17"/>
      <w:headerReference w:type="default" r:id="rId18"/>
      <w:footerReference w:type="even" r:id="rId19"/>
      <w:footerReference w:type="default" r:id="rId20"/>
      <w:footerReference w:type="first" r:id="rId21"/>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6A9" w:rsidRDefault="009B46A9">
      <w:r>
        <w:separator/>
      </w:r>
    </w:p>
  </w:endnote>
  <w:endnote w:type="continuationSeparator" w:id="0">
    <w:p w:rsidR="009B46A9" w:rsidRDefault="009B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charset w:val="00"/>
    <w:family w:val="roman"/>
    <w:pitch w:val="variable"/>
    <w:sig w:usb0="00000007" w:usb1="0000000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80"/>
    <w:family w:val="auto"/>
    <w:pitch w:val="variable"/>
    <w:sig w:usb0="00000000" w:usb1="7AC7FFFF" w:usb2="00000012" w:usb3="00000000" w:csb0="0002000D"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665D0A" w:rsidRDefault="00D22152">
    <w:pPr>
      <w:pStyle w:val="Footer"/>
      <w:rPr>
        <w:lang w:val="en-US"/>
      </w:rPr>
    </w:pPr>
    <w:r>
      <w:fldChar w:fldCharType="begin"/>
    </w:r>
    <w:r w:rsidRPr="00665D0A">
      <w:rPr>
        <w:lang w:val="en-US"/>
      </w:rPr>
      <w:instrText xml:space="preserve"> FILENAME \p \* MERGEFORMAT </w:instrText>
    </w:r>
    <w:r>
      <w:fldChar w:fldCharType="separate"/>
    </w:r>
    <w:r w:rsidR="00665D0A">
      <w:rPr>
        <w:lang w:val="en-US"/>
      </w:rPr>
      <w:t>P:\TRAD\F\LING\Godreau\Fev 2017\407261F.docx</w:t>
    </w:r>
    <w:r>
      <w:fldChar w:fldCharType="end"/>
    </w:r>
    <w:r w:rsidR="00732045" w:rsidRPr="00665D0A">
      <w:rPr>
        <w:lang w:val="en-US"/>
      </w:rPr>
      <w:tab/>
    </w:r>
    <w:r w:rsidR="002F1B76">
      <w:fldChar w:fldCharType="begin"/>
    </w:r>
    <w:r w:rsidR="00732045">
      <w:instrText xml:space="preserve"> savedate \@ dd.MM.yy </w:instrText>
    </w:r>
    <w:r w:rsidR="002F1B76">
      <w:fldChar w:fldCharType="separate"/>
    </w:r>
    <w:r w:rsidR="0081342C">
      <w:t>21.02.17</w:t>
    </w:r>
    <w:r w:rsidR="002F1B76">
      <w:fldChar w:fldCharType="end"/>
    </w:r>
    <w:r w:rsidR="00732045" w:rsidRPr="00665D0A">
      <w:rPr>
        <w:lang w:val="en-US"/>
      </w:rPr>
      <w:tab/>
    </w:r>
    <w:r w:rsidR="002F1B76">
      <w:fldChar w:fldCharType="begin"/>
    </w:r>
    <w:r w:rsidR="00732045">
      <w:instrText xml:space="preserve"> printdate \@ dd.MM.yy </w:instrText>
    </w:r>
    <w:r w:rsidR="002F1B76">
      <w:fldChar w:fldCharType="separate"/>
    </w:r>
    <w:r w:rsidR="00665D0A">
      <w:t>14.02.17</w:t>
    </w:r>
    <w:r w:rsidR="002F1B7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Pr="0081342C" w:rsidRDefault="00D22152">
    <w:pPr>
      <w:pStyle w:val="Footer"/>
      <w:rPr>
        <w:color w:val="D9D9D9" w:themeColor="background1" w:themeShade="D9"/>
        <w:lang w:val="fr-CH"/>
      </w:rPr>
    </w:pPr>
    <w:r w:rsidRPr="0081342C">
      <w:rPr>
        <w:color w:val="D9D9D9" w:themeColor="background1" w:themeShade="D9"/>
      </w:rPr>
      <w:fldChar w:fldCharType="begin"/>
    </w:r>
    <w:r w:rsidRPr="0081342C">
      <w:rPr>
        <w:color w:val="D9D9D9" w:themeColor="background1" w:themeShade="D9"/>
        <w:lang w:val="fr-CH"/>
      </w:rPr>
      <w:instrText xml:space="preserve"> FILENAME \p \* MERGEFORMAT </w:instrText>
    </w:r>
    <w:r w:rsidRPr="0081342C">
      <w:rPr>
        <w:color w:val="D9D9D9" w:themeColor="background1" w:themeShade="D9"/>
      </w:rPr>
      <w:fldChar w:fldCharType="separate"/>
    </w:r>
    <w:r w:rsidR="000F4048" w:rsidRPr="0081342C">
      <w:rPr>
        <w:color w:val="D9D9D9" w:themeColor="background1" w:themeShade="D9"/>
        <w:lang w:val="fr-CH"/>
      </w:rPr>
      <w:t>P:\FRA\SG\CONSEIL\C17\000\002F.docx</w:t>
    </w:r>
    <w:r w:rsidRPr="0081342C">
      <w:rPr>
        <w:color w:val="D9D9D9" w:themeColor="background1" w:themeShade="D9"/>
      </w:rPr>
      <w:fldChar w:fldCharType="end"/>
    </w:r>
    <w:r w:rsidRPr="0081342C">
      <w:rPr>
        <w:color w:val="D9D9D9" w:themeColor="background1" w:themeShade="D9"/>
        <w:lang w:val="fr-CH"/>
      </w:rPr>
      <w:t xml:space="preserve"> (407261)</w:t>
    </w:r>
    <w:r w:rsidR="00732045" w:rsidRPr="0081342C">
      <w:rPr>
        <w:color w:val="D9D9D9" w:themeColor="background1" w:themeShade="D9"/>
        <w:lang w:val="fr-CH"/>
      </w:rPr>
      <w:tab/>
    </w:r>
    <w:r w:rsidR="002F1B76" w:rsidRPr="0081342C">
      <w:rPr>
        <w:color w:val="D9D9D9" w:themeColor="background1" w:themeShade="D9"/>
      </w:rPr>
      <w:fldChar w:fldCharType="begin"/>
    </w:r>
    <w:r w:rsidR="00732045" w:rsidRPr="0081342C">
      <w:rPr>
        <w:color w:val="D9D9D9" w:themeColor="background1" w:themeShade="D9"/>
      </w:rPr>
      <w:instrText xml:space="preserve"> savedate \@ dd.MM.yy </w:instrText>
    </w:r>
    <w:r w:rsidR="002F1B76" w:rsidRPr="0081342C">
      <w:rPr>
        <w:color w:val="D9D9D9" w:themeColor="background1" w:themeShade="D9"/>
      </w:rPr>
      <w:fldChar w:fldCharType="separate"/>
    </w:r>
    <w:r w:rsidR="0081342C" w:rsidRPr="0081342C">
      <w:rPr>
        <w:color w:val="D9D9D9" w:themeColor="background1" w:themeShade="D9"/>
      </w:rPr>
      <w:t>21.02.17</w:t>
    </w:r>
    <w:r w:rsidR="002F1B76" w:rsidRPr="0081342C">
      <w:rPr>
        <w:color w:val="D9D9D9" w:themeColor="background1" w:themeShade="D9"/>
      </w:rPr>
      <w:fldChar w:fldCharType="end"/>
    </w:r>
    <w:r w:rsidR="00732045" w:rsidRPr="0081342C">
      <w:rPr>
        <w:color w:val="D9D9D9" w:themeColor="background1" w:themeShade="D9"/>
        <w:lang w:val="fr-CH"/>
      </w:rPr>
      <w:tab/>
    </w:r>
    <w:r w:rsidR="002F1B76" w:rsidRPr="0081342C">
      <w:rPr>
        <w:color w:val="D9D9D9" w:themeColor="background1" w:themeShade="D9"/>
      </w:rPr>
      <w:fldChar w:fldCharType="begin"/>
    </w:r>
    <w:r w:rsidR="00732045" w:rsidRPr="0081342C">
      <w:rPr>
        <w:color w:val="D9D9D9" w:themeColor="background1" w:themeShade="D9"/>
      </w:rPr>
      <w:instrText xml:space="preserve"> printdate \@ dd.MM.yy </w:instrText>
    </w:r>
    <w:r w:rsidR="002F1B76" w:rsidRPr="0081342C">
      <w:rPr>
        <w:color w:val="D9D9D9" w:themeColor="background1" w:themeShade="D9"/>
      </w:rPr>
      <w:fldChar w:fldCharType="separate"/>
    </w:r>
    <w:r w:rsidR="00665D0A" w:rsidRPr="0081342C">
      <w:rPr>
        <w:color w:val="D9D9D9" w:themeColor="background1" w:themeShade="D9"/>
      </w:rPr>
      <w:t>14.02.17</w:t>
    </w:r>
    <w:r w:rsidR="002F1B76" w:rsidRPr="0081342C">
      <w:rPr>
        <w:color w:val="D9D9D9" w:themeColor="background1" w:themeShade="D9"/>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spacing w:after="120"/>
      <w:jc w:val="center"/>
    </w:pPr>
    <w:r>
      <w:t xml:space="preserve">• </w:t>
    </w:r>
    <w:hyperlink r:id="rId1" w:history="1">
      <w:r>
        <w:rPr>
          <w:rStyle w:val="Hyperlink"/>
        </w:rPr>
        <w:t>http://www.itu.int/council</w:t>
      </w:r>
    </w:hyperlink>
    <w:r>
      <w:t xml:space="preserve"> •</w:t>
    </w:r>
  </w:p>
  <w:p w:rsidR="00732045" w:rsidRPr="0081342C" w:rsidRDefault="00D22152" w:rsidP="00D22152">
    <w:pPr>
      <w:pStyle w:val="Footer"/>
      <w:rPr>
        <w:color w:val="D9D9D9" w:themeColor="background1" w:themeShade="D9"/>
        <w:lang w:val="fr-CH"/>
      </w:rPr>
    </w:pPr>
    <w:r w:rsidRPr="0081342C">
      <w:rPr>
        <w:color w:val="D9D9D9" w:themeColor="background1" w:themeShade="D9"/>
      </w:rPr>
      <w:fldChar w:fldCharType="begin"/>
    </w:r>
    <w:r w:rsidRPr="0081342C">
      <w:rPr>
        <w:color w:val="D9D9D9" w:themeColor="background1" w:themeShade="D9"/>
        <w:lang w:val="fr-CH"/>
      </w:rPr>
      <w:instrText xml:space="preserve"> FILENAME \p \* MERGEFORMAT </w:instrText>
    </w:r>
    <w:r w:rsidRPr="0081342C">
      <w:rPr>
        <w:color w:val="D9D9D9" w:themeColor="background1" w:themeShade="D9"/>
      </w:rPr>
      <w:fldChar w:fldCharType="separate"/>
    </w:r>
    <w:r w:rsidR="000F4048" w:rsidRPr="0081342C">
      <w:rPr>
        <w:color w:val="D9D9D9" w:themeColor="background1" w:themeShade="D9"/>
        <w:lang w:val="fr-CH"/>
      </w:rPr>
      <w:t>P:\FRA\SG\CONSEIL\C17\000\002F.docx</w:t>
    </w:r>
    <w:r w:rsidRPr="0081342C">
      <w:rPr>
        <w:color w:val="D9D9D9" w:themeColor="background1" w:themeShade="D9"/>
      </w:rPr>
      <w:fldChar w:fldCharType="end"/>
    </w:r>
    <w:r w:rsidRPr="0081342C">
      <w:rPr>
        <w:color w:val="D9D9D9" w:themeColor="background1" w:themeShade="D9"/>
        <w:lang w:val="fr-CH"/>
      </w:rPr>
      <w:t xml:space="preserve"> (407261)</w:t>
    </w:r>
    <w:r w:rsidRPr="0081342C">
      <w:rPr>
        <w:color w:val="D9D9D9" w:themeColor="background1" w:themeShade="D9"/>
        <w:lang w:val="fr-CH"/>
      </w:rPr>
      <w:tab/>
    </w:r>
    <w:r w:rsidRPr="0081342C">
      <w:rPr>
        <w:color w:val="D9D9D9" w:themeColor="background1" w:themeShade="D9"/>
      </w:rPr>
      <w:fldChar w:fldCharType="begin"/>
    </w:r>
    <w:r w:rsidRPr="0081342C">
      <w:rPr>
        <w:color w:val="D9D9D9" w:themeColor="background1" w:themeShade="D9"/>
      </w:rPr>
      <w:instrText xml:space="preserve"> savedate \@ dd.MM.yy </w:instrText>
    </w:r>
    <w:r w:rsidRPr="0081342C">
      <w:rPr>
        <w:color w:val="D9D9D9" w:themeColor="background1" w:themeShade="D9"/>
      </w:rPr>
      <w:fldChar w:fldCharType="separate"/>
    </w:r>
    <w:r w:rsidR="0081342C" w:rsidRPr="0081342C">
      <w:rPr>
        <w:color w:val="D9D9D9" w:themeColor="background1" w:themeShade="D9"/>
      </w:rPr>
      <w:t>21.02.17</w:t>
    </w:r>
    <w:r w:rsidRPr="0081342C">
      <w:rPr>
        <w:color w:val="D9D9D9" w:themeColor="background1" w:themeShade="D9"/>
      </w:rPr>
      <w:fldChar w:fldCharType="end"/>
    </w:r>
    <w:r w:rsidRPr="0081342C">
      <w:rPr>
        <w:color w:val="D9D9D9" w:themeColor="background1" w:themeShade="D9"/>
        <w:lang w:val="fr-CH"/>
      </w:rPr>
      <w:tab/>
    </w:r>
    <w:r w:rsidRPr="0081342C">
      <w:rPr>
        <w:color w:val="D9D9D9" w:themeColor="background1" w:themeShade="D9"/>
      </w:rPr>
      <w:fldChar w:fldCharType="begin"/>
    </w:r>
    <w:r w:rsidRPr="0081342C">
      <w:rPr>
        <w:color w:val="D9D9D9" w:themeColor="background1" w:themeShade="D9"/>
      </w:rPr>
      <w:instrText xml:space="preserve"> printdate \@ dd.MM.yy </w:instrText>
    </w:r>
    <w:r w:rsidRPr="0081342C">
      <w:rPr>
        <w:color w:val="D9D9D9" w:themeColor="background1" w:themeShade="D9"/>
      </w:rPr>
      <w:fldChar w:fldCharType="separate"/>
    </w:r>
    <w:r w:rsidR="00665D0A" w:rsidRPr="0081342C">
      <w:rPr>
        <w:color w:val="D9D9D9" w:themeColor="background1" w:themeShade="D9"/>
      </w:rPr>
      <w:t>14.02.17</w:t>
    </w:r>
    <w:r w:rsidRPr="0081342C">
      <w:rPr>
        <w:color w:val="D9D9D9" w:themeColor="background1" w:themeShade="D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6A9" w:rsidRDefault="009B46A9">
      <w:r>
        <w:t>____________________</w:t>
      </w:r>
    </w:p>
  </w:footnote>
  <w:footnote w:type="continuationSeparator" w:id="0">
    <w:p w:rsidR="009B46A9" w:rsidRDefault="009B46A9">
      <w:r>
        <w:continuationSeparator/>
      </w:r>
    </w:p>
  </w:footnote>
  <w:footnote w:id="1">
    <w:p w:rsidR="00DB0E8F" w:rsidRPr="00A83750" w:rsidRDefault="00DB0E8F">
      <w:pPr>
        <w:pStyle w:val="FootnoteText"/>
      </w:pPr>
      <w:r>
        <w:rPr>
          <w:rStyle w:val="FootnoteReference"/>
        </w:rPr>
        <w:t>*</w:t>
      </w:r>
      <w:r>
        <w:t xml:space="preserve"> </w:t>
      </w:r>
      <w:r>
        <w:tab/>
      </w:r>
      <w:r>
        <w:rPr>
          <w:lang w:val="fr-CH"/>
        </w:rPr>
        <w:t>Comme c'est habituellement le cas, la dernière séance de la session de 2018 du Conseil se tiendra juste avant la Conférence de plénipotentiaires de 2018 (PP-18).</w:t>
      </w:r>
    </w:p>
  </w:footnote>
  <w:footnote w:id="2">
    <w:p w:rsidR="00CF0749" w:rsidRPr="00293994" w:rsidRDefault="00CF0749" w:rsidP="00CF0749">
      <w:pPr>
        <w:pStyle w:val="FootnoteText"/>
        <w:rPr>
          <w:lang w:val="fr-CH"/>
        </w:rPr>
      </w:pPr>
      <w:r w:rsidRPr="004A23A2">
        <w:rPr>
          <w:rStyle w:val="FootnoteReference"/>
          <w:sz w:val="20"/>
        </w:rPr>
        <w:t>*</w:t>
      </w:r>
      <w:r w:rsidRPr="004A23A2">
        <w:rPr>
          <w:sz w:val="20"/>
        </w:rPr>
        <w:t xml:space="preserve"> </w:t>
      </w:r>
      <w:r>
        <w:rPr>
          <w:lang w:val="fr-CH"/>
        </w:rPr>
        <w:tab/>
        <w:t>Comme c'est habituellement le cas, la dernière séance de la session de 2018 du Conseil se tiendra juste avant la Conférence de plénipotentiaires de 2018 (PP-18).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rsidR="00732045" w:rsidRDefault="00732045">
    <w:pPr>
      <w:pStyle w:val="Header"/>
    </w:pPr>
    <w:r>
      <w:t>C2001/#-F</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2045" w:rsidRDefault="00C27A7C" w:rsidP="00475FB3">
    <w:pPr>
      <w:pStyle w:val="Header"/>
    </w:pPr>
    <w:r>
      <w:fldChar w:fldCharType="begin"/>
    </w:r>
    <w:r>
      <w:instrText>PAGE</w:instrText>
    </w:r>
    <w:r>
      <w:fldChar w:fldCharType="separate"/>
    </w:r>
    <w:r w:rsidR="0081342C">
      <w:rPr>
        <w:noProof/>
      </w:rPr>
      <w:t>3</w:t>
    </w:r>
    <w:r>
      <w:rPr>
        <w:noProof/>
      </w:rPr>
      <w:fldChar w:fldCharType="end"/>
    </w:r>
  </w:p>
  <w:p w:rsidR="00732045" w:rsidRDefault="00732045" w:rsidP="0093234A">
    <w:pPr>
      <w:pStyle w:val="Header"/>
    </w:pPr>
    <w:r>
      <w:t>C1</w:t>
    </w:r>
    <w:r w:rsidR="0093234A">
      <w:t>7</w:t>
    </w:r>
    <w:r>
      <w:t>/</w:t>
    </w:r>
    <w:r w:rsidR="00D22152">
      <w:t>2</w:t>
    </w:r>
    <w:r>
      <w:t>-F</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46A9"/>
    <w:rsid w:val="000D0D0A"/>
    <w:rsid w:val="000F4048"/>
    <w:rsid w:val="00103163"/>
    <w:rsid w:val="00115D93"/>
    <w:rsid w:val="001247A8"/>
    <w:rsid w:val="001378C0"/>
    <w:rsid w:val="0018694A"/>
    <w:rsid w:val="001A3287"/>
    <w:rsid w:val="001A6E74"/>
    <w:rsid w:val="001D4C31"/>
    <w:rsid w:val="001E4D21"/>
    <w:rsid w:val="00207CD1"/>
    <w:rsid w:val="002477A2"/>
    <w:rsid w:val="00263A51"/>
    <w:rsid w:val="00267E02"/>
    <w:rsid w:val="00282612"/>
    <w:rsid w:val="002A5D44"/>
    <w:rsid w:val="002E01CF"/>
    <w:rsid w:val="002E0BC4"/>
    <w:rsid w:val="002F1B76"/>
    <w:rsid w:val="00355FF5"/>
    <w:rsid w:val="00361350"/>
    <w:rsid w:val="004038CB"/>
    <w:rsid w:val="0040546F"/>
    <w:rsid w:val="0042404A"/>
    <w:rsid w:val="0044618F"/>
    <w:rsid w:val="0045755B"/>
    <w:rsid w:val="0046769A"/>
    <w:rsid w:val="00475FB3"/>
    <w:rsid w:val="00483D7C"/>
    <w:rsid w:val="004A23A2"/>
    <w:rsid w:val="004A3854"/>
    <w:rsid w:val="004C37A9"/>
    <w:rsid w:val="004F259E"/>
    <w:rsid w:val="00511F1D"/>
    <w:rsid w:val="00540615"/>
    <w:rsid w:val="00540A6D"/>
    <w:rsid w:val="00567039"/>
    <w:rsid w:val="00571EEA"/>
    <w:rsid w:val="00575417"/>
    <w:rsid w:val="005768E1"/>
    <w:rsid w:val="005C3890"/>
    <w:rsid w:val="005F7BFE"/>
    <w:rsid w:val="00600017"/>
    <w:rsid w:val="006235CA"/>
    <w:rsid w:val="006643AB"/>
    <w:rsid w:val="00665D0A"/>
    <w:rsid w:val="007210CD"/>
    <w:rsid w:val="007255AA"/>
    <w:rsid w:val="00732045"/>
    <w:rsid w:val="007369DB"/>
    <w:rsid w:val="007956C2"/>
    <w:rsid w:val="007A187E"/>
    <w:rsid w:val="007C72C2"/>
    <w:rsid w:val="007D4436"/>
    <w:rsid w:val="007F257A"/>
    <w:rsid w:val="007F3665"/>
    <w:rsid w:val="00800037"/>
    <w:rsid w:val="0081342C"/>
    <w:rsid w:val="00861D73"/>
    <w:rsid w:val="008A4E87"/>
    <w:rsid w:val="008D76E6"/>
    <w:rsid w:val="0091648C"/>
    <w:rsid w:val="0092392D"/>
    <w:rsid w:val="0093234A"/>
    <w:rsid w:val="009B46A9"/>
    <w:rsid w:val="009C307F"/>
    <w:rsid w:val="00A2113E"/>
    <w:rsid w:val="00A23A51"/>
    <w:rsid w:val="00A24607"/>
    <w:rsid w:val="00A25CD3"/>
    <w:rsid w:val="00A82767"/>
    <w:rsid w:val="00A83750"/>
    <w:rsid w:val="00AA332F"/>
    <w:rsid w:val="00AA7BBB"/>
    <w:rsid w:val="00AB64A8"/>
    <w:rsid w:val="00AC0266"/>
    <w:rsid w:val="00AD24EC"/>
    <w:rsid w:val="00B309F9"/>
    <w:rsid w:val="00B32B60"/>
    <w:rsid w:val="00B61619"/>
    <w:rsid w:val="00B802AF"/>
    <w:rsid w:val="00BB27DE"/>
    <w:rsid w:val="00BB4545"/>
    <w:rsid w:val="00BD5873"/>
    <w:rsid w:val="00C04BE3"/>
    <w:rsid w:val="00C25D29"/>
    <w:rsid w:val="00C27A7C"/>
    <w:rsid w:val="00CA08ED"/>
    <w:rsid w:val="00CF0749"/>
    <w:rsid w:val="00CF183B"/>
    <w:rsid w:val="00D22152"/>
    <w:rsid w:val="00D375CD"/>
    <w:rsid w:val="00D553A2"/>
    <w:rsid w:val="00D774D3"/>
    <w:rsid w:val="00D904E8"/>
    <w:rsid w:val="00DA08C3"/>
    <w:rsid w:val="00DA42F1"/>
    <w:rsid w:val="00DB0E8F"/>
    <w:rsid w:val="00DB5A3E"/>
    <w:rsid w:val="00DC22AA"/>
    <w:rsid w:val="00DF74DD"/>
    <w:rsid w:val="00E25AD0"/>
    <w:rsid w:val="00EB6350"/>
    <w:rsid w:val="00F15B57"/>
    <w:rsid w:val="00F203E4"/>
    <w:rsid w:val="00F427DB"/>
    <w:rsid w:val="00FA5EB1"/>
    <w:rsid w:val="00FA7439"/>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0F429365-5A1B-487A-8978-20AA4ADED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2045"/>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732045"/>
    <w:pPr>
      <w:keepNext/>
      <w:keepLines/>
      <w:spacing w:before="480"/>
      <w:ind w:left="567" w:hanging="567"/>
      <w:outlineLvl w:val="0"/>
    </w:pPr>
    <w:rPr>
      <w:b/>
      <w:sz w:val="28"/>
    </w:rPr>
  </w:style>
  <w:style w:type="paragraph" w:styleId="Heading2">
    <w:name w:val="heading 2"/>
    <w:basedOn w:val="Heading1"/>
    <w:next w:val="Normal"/>
    <w:qFormat/>
    <w:rsid w:val="00732045"/>
    <w:pPr>
      <w:spacing w:before="320"/>
      <w:outlineLvl w:val="1"/>
    </w:pPr>
    <w:rPr>
      <w:sz w:val="24"/>
    </w:rPr>
  </w:style>
  <w:style w:type="paragraph" w:styleId="Heading3">
    <w:name w:val="heading 3"/>
    <w:basedOn w:val="Heading1"/>
    <w:next w:val="Normal"/>
    <w:qFormat/>
    <w:rsid w:val="00732045"/>
    <w:pPr>
      <w:spacing w:before="200"/>
      <w:outlineLvl w:val="2"/>
    </w:pPr>
    <w:rPr>
      <w:sz w:val="24"/>
    </w:rPr>
  </w:style>
  <w:style w:type="paragraph" w:styleId="Heading4">
    <w:name w:val="heading 4"/>
    <w:basedOn w:val="Heading3"/>
    <w:next w:val="Normal"/>
    <w:qFormat/>
    <w:rsid w:val="00732045"/>
    <w:pPr>
      <w:ind w:left="1134" w:hanging="1134"/>
      <w:outlineLvl w:val="3"/>
    </w:pPr>
  </w:style>
  <w:style w:type="paragraph" w:styleId="Heading5">
    <w:name w:val="heading 5"/>
    <w:basedOn w:val="Heading4"/>
    <w:next w:val="Normal"/>
    <w:qFormat/>
    <w:rsid w:val="00732045"/>
    <w:pPr>
      <w:outlineLvl w:val="4"/>
    </w:pPr>
  </w:style>
  <w:style w:type="paragraph" w:styleId="Heading6">
    <w:name w:val="heading 6"/>
    <w:basedOn w:val="Heading4"/>
    <w:next w:val="Normal"/>
    <w:qFormat/>
    <w:rsid w:val="00732045"/>
    <w:pPr>
      <w:outlineLvl w:val="5"/>
    </w:pPr>
  </w:style>
  <w:style w:type="paragraph" w:styleId="Heading7">
    <w:name w:val="heading 7"/>
    <w:basedOn w:val="Heading4"/>
    <w:next w:val="Normal"/>
    <w:qFormat/>
    <w:rsid w:val="00732045"/>
    <w:pPr>
      <w:ind w:left="1701" w:hanging="1701"/>
      <w:outlineLvl w:val="6"/>
    </w:pPr>
  </w:style>
  <w:style w:type="paragraph" w:styleId="Heading8">
    <w:name w:val="heading 8"/>
    <w:basedOn w:val="Heading4"/>
    <w:next w:val="Normal"/>
    <w:qFormat/>
    <w:rsid w:val="00732045"/>
    <w:pPr>
      <w:ind w:left="1701" w:hanging="1701"/>
      <w:outlineLvl w:val="7"/>
    </w:pPr>
  </w:style>
  <w:style w:type="paragraph" w:styleId="Heading9">
    <w:name w:val="heading 9"/>
    <w:basedOn w:val="Heading4"/>
    <w:next w:val="Normal"/>
    <w:qFormat/>
    <w:rsid w:val="00732045"/>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732045"/>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732045"/>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732045"/>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5C3890"/>
    <w:pPr>
      <w:ind w:left="1698"/>
    </w:pPr>
  </w:style>
  <w:style w:type="paragraph" w:styleId="Index6">
    <w:name w:val="index 6"/>
    <w:basedOn w:val="Normal"/>
    <w:next w:val="Normal"/>
    <w:rsid w:val="005C3890"/>
    <w:pPr>
      <w:ind w:left="1415"/>
    </w:pPr>
  </w:style>
  <w:style w:type="paragraph" w:styleId="Index5">
    <w:name w:val="index 5"/>
    <w:basedOn w:val="Normal"/>
    <w:next w:val="Normal"/>
    <w:rsid w:val="005C3890"/>
    <w:pPr>
      <w:ind w:left="1132"/>
    </w:pPr>
  </w:style>
  <w:style w:type="paragraph" w:styleId="Index4">
    <w:name w:val="index 4"/>
    <w:basedOn w:val="Normal"/>
    <w:next w:val="Normal"/>
    <w:rsid w:val="005C3890"/>
    <w:pPr>
      <w:ind w:left="849"/>
    </w:pPr>
  </w:style>
  <w:style w:type="paragraph" w:styleId="Index3">
    <w:name w:val="index 3"/>
    <w:basedOn w:val="Normal"/>
    <w:next w:val="Normal"/>
    <w:rsid w:val="005C3890"/>
    <w:pPr>
      <w:ind w:left="566"/>
    </w:pPr>
  </w:style>
  <w:style w:type="paragraph" w:styleId="Index2">
    <w:name w:val="index 2"/>
    <w:basedOn w:val="Normal"/>
    <w:next w:val="Normal"/>
    <w:rsid w:val="005C3890"/>
    <w:pPr>
      <w:ind w:left="283"/>
    </w:pPr>
  </w:style>
  <w:style w:type="paragraph" w:styleId="Index1">
    <w:name w:val="index 1"/>
    <w:basedOn w:val="Normal"/>
    <w:next w:val="Normal"/>
    <w:rsid w:val="005C3890"/>
  </w:style>
  <w:style w:type="character" w:styleId="LineNumber">
    <w:name w:val="line number"/>
    <w:basedOn w:val="DefaultParagraphFont"/>
    <w:rsid w:val="005C3890"/>
  </w:style>
  <w:style w:type="paragraph" w:styleId="IndexHeading">
    <w:name w:val="index heading"/>
    <w:basedOn w:val="Normal"/>
    <w:next w:val="Index1"/>
    <w:rsid w:val="005C3890"/>
  </w:style>
  <w:style w:type="paragraph" w:styleId="Footer">
    <w:name w:val="footer"/>
    <w:basedOn w:val="Normal"/>
    <w:rsid w:val="00732045"/>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732045"/>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732045"/>
    <w:rPr>
      <w:rFonts w:ascii="Calibri" w:hAnsi="Calibri"/>
      <w:position w:val="6"/>
      <w:sz w:val="16"/>
    </w:rPr>
  </w:style>
  <w:style w:type="paragraph" w:styleId="FootnoteText">
    <w:name w:val="footnote text"/>
    <w:basedOn w:val="Normal"/>
    <w:rsid w:val="00732045"/>
    <w:pPr>
      <w:keepLines/>
      <w:tabs>
        <w:tab w:val="left" w:pos="256"/>
      </w:tabs>
      <w:ind w:left="256" w:hanging="256"/>
    </w:pPr>
  </w:style>
  <w:style w:type="paragraph" w:styleId="NormalIndent">
    <w:name w:val="Normal Indent"/>
    <w:basedOn w:val="Normal"/>
    <w:rsid w:val="00732045"/>
    <w:pPr>
      <w:ind w:left="567"/>
    </w:pPr>
  </w:style>
  <w:style w:type="paragraph" w:customStyle="1" w:styleId="enumlev1">
    <w:name w:val="enumlev1"/>
    <w:basedOn w:val="Normal"/>
    <w:rsid w:val="00732045"/>
    <w:pPr>
      <w:spacing w:before="86"/>
      <w:ind w:left="567" w:hanging="567"/>
    </w:pPr>
  </w:style>
  <w:style w:type="paragraph" w:customStyle="1" w:styleId="enumlev2">
    <w:name w:val="enumlev2"/>
    <w:basedOn w:val="enumlev1"/>
    <w:rsid w:val="00732045"/>
    <w:pPr>
      <w:ind w:left="1134"/>
    </w:pPr>
  </w:style>
  <w:style w:type="paragraph" w:customStyle="1" w:styleId="enumlev3">
    <w:name w:val="enumlev3"/>
    <w:basedOn w:val="enumlev2"/>
    <w:rsid w:val="00732045"/>
    <w:pPr>
      <w:ind w:left="1701"/>
    </w:pPr>
  </w:style>
  <w:style w:type="paragraph" w:customStyle="1" w:styleId="Equation">
    <w:name w:val="Equation"/>
    <w:basedOn w:val="Normal"/>
    <w:rsid w:val="005C3890"/>
    <w:pPr>
      <w:tabs>
        <w:tab w:val="center" w:pos="4820"/>
        <w:tab w:val="right" w:pos="9639"/>
      </w:tabs>
    </w:pPr>
  </w:style>
  <w:style w:type="paragraph" w:customStyle="1" w:styleId="Head">
    <w:name w:val="Head"/>
    <w:basedOn w:val="Normal"/>
    <w:rsid w:val="005C3890"/>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732045"/>
    <w:pPr>
      <w:spacing w:before="240"/>
    </w:pPr>
  </w:style>
  <w:style w:type="paragraph" w:customStyle="1" w:styleId="Call">
    <w:name w:val="Call"/>
    <w:basedOn w:val="Normal"/>
    <w:next w:val="Normal"/>
    <w:rsid w:val="00732045"/>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732045"/>
    <w:pPr>
      <w:tabs>
        <w:tab w:val="clear" w:pos="567"/>
        <w:tab w:val="clear" w:pos="1134"/>
        <w:tab w:val="clear" w:pos="1701"/>
        <w:tab w:val="clear" w:pos="2268"/>
        <w:tab w:val="clear" w:pos="2835"/>
        <w:tab w:val="right" w:pos="9781"/>
      </w:tabs>
    </w:pPr>
    <w:rPr>
      <w:b/>
    </w:rPr>
  </w:style>
  <w:style w:type="paragraph" w:styleId="List">
    <w:name w:val="List"/>
    <w:basedOn w:val="Normal"/>
    <w:rsid w:val="005C3890"/>
    <w:pPr>
      <w:tabs>
        <w:tab w:val="left" w:pos="2127"/>
      </w:tabs>
      <w:ind w:left="2127" w:hanging="2127"/>
    </w:pPr>
  </w:style>
  <w:style w:type="paragraph" w:customStyle="1" w:styleId="Part">
    <w:name w:val="Part"/>
    <w:basedOn w:val="Normal"/>
    <w:rsid w:val="005C3890"/>
    <w:pPr>
      <w:tabs>
        <w:tab w:val="left" w:pos="1276"/>
      </w:tabs>
      <w:spacing w:before="199"/>
      <w:ind w:left="1701" w:hanging="1701"/>
    </w:pPr>
    <w:rPr>
      <w:caps/>
    </w:rPr>
  </w:style>
  <w:style w:type="paragraph" w:customStyle="1" w:styleId="Reasons">
    <w:name w:val="Reasons"/>
    <w:basedOn w:val="Normal"/>
    <w:qFormat/>
    <w:rsid w:val="00732045"/>
  </w:style>
  <w:style w:type="paragraph" w:customStyle="1" w:styleId="meeting">
    <w:name w:val="meeting"/>
    <w:basedOn w:val="Head"/>
    <w:next w:val="Head"/>
    <w:rsid w:val="005C3890"/>
    <w:pPr>
      <w:tabs>
        <w:tab w:val="left" w:pos="7371"/>
      </w:tabs>
      <w:spacing w:after="567"/>
    </w:pPr>
  </w:style>
  <w:style w:type="paragraph" w:customStyle="1" w:styleId="Subject">
    <w:name w:val="Subject"/>
    <w:basedOn w:val="Normal"/>
    <w:next w:val="Source"/>
    <w:rsid w:val="005C3890"/>
    <w:pPr>
      <w:tabs>
        <w:tab w:val="left" w:pos="709"/>
      </w:tabs>
      <w:spacing w:before="0"/>
      <w:ind w:left="709" w:hanging="709"/>
    </w:pPr>
  </w:style>
  <w:style w:type="paragraph" w:customStyle="1" w:styleId="Source">
    <w:name w:val="Source"/>
    <w:basedOn w:val="Normal"/>
    <w:next w:val="Title1"/>
    <w:rsid w:val="00732045"/>
    <w:pPr>
      <w:spacing w:before="840"/>
      <w:jc w:val="center"/>
    </w:pPr>
    <w:rPr>
      <w:b/>
      <w:sz w:val="28"/>
    </w:rPr>
  </w:style>
  <w:style w:type="paragraph" w:customStyle="1" w:styleId="Object">
    <w:name w:val="Object"/>
    <w:basedOn w:val="Subject"/>
    <w:next w:val="Subject"/>
    <w:rsid w:val="005C3890"/>
  </w:style>
  <w:style w:type="paragraph" w:customStyle="1" w:styleId="Data">
    <w:name w:val="Data"/>
    <w:basedOn w:val="Subject"/>
    <w:next w:val="Subject"/>
    <w:rsid w:val="005C3890"/>
  </w:style>
  <w:style w:type="paragraph" w:customStyle="1" w:styleId="Headingb">
    <w:name w:val="Heading_b"/>
    <w:basedOn w:val="Heading3"/>
    <w:next w:val="Normal"/>
    <w:rsid w:val="00732045"/>
    <w:pPr>
      <w:spacing w:before="160"/>
      <w:outlineLvl w:val="0"/>
    </w:pPr>
  </w:style>
  <w:style w:type="paragraph" w:customStyle="1" w:styleId="Title1">
    <w:name w:val="Title 1"/>
    <w:basedOn w:val="Source"/>
    <w:next w:val="Title2"/>
    <w:rsid w:val="00732045"/>
    <w:pPr>
      <w:spacing w:before="240"/>
    </w:pPr>
    <w:rPr>
      <w:b w:val="0"/>
      <w:caps/>
    </w:rPr>
  </w:style>
  <w:style w:type="paragraph" w:customStyle="1" w:styleId="dnum">
    <w:name w:val="dnum"/>
    <w:basedOn w:val="Normal"/>
    <w:rsid w:val="005C3890"/>
    <w:pPr>
      <w:framePr w:hSpace="181" w:wrap="notBeside" w:vAnchor="page" w:hAnchor="margin" w:x="1" w:y="852"/>
      <w:shd w:val="solid" w:color="FFFFFF" w:fill="FFFFFF"/>
      <w:tabs>
        <w:tab w:val="left" w:pos="1871"/>
      </w:tabs>
    </w:pPr>
    <w:rPr>
      <w:b/>
      <w:bCs/>
    </w:rPr>
  </w:style>
  <w:style w:type="paragraph" w:customStyle="1" w:styleId="FirstFooter">
    <w:name w:val="FirstFooter"/>
    <w:basedOn w:val="Footer"/>
    <w:rsid w:val="00732045"/>
    <w:rPr>
      <w:caps w:val="0"/>
    </w:rPr>
  </w:style>
  <w:style w:type="paragraph" w:customStyle="1" w:styleId="Note">
    <w:name w:val="Note"/>
    <w:basedOn w:val="Normal"/>
    <w:rsid w:val="005C3890"/>
    <w:pPr>
      <w:spacing w:before="80"/>
    </w:pPr>
  </w:style>
  <w:style w:type="paragraph" w:styleId="TOC9">
    <w:name w:val="toc 9"/>
    <w:basedOn w:val="Normal"/>
    <w:next w:val="Normal"/>
    <w:rsid w:val="00732045"/>
    <w:pPr>
      <w:tabs>
        <w:tab w:val="clear" w:pos="567"/>
        <w:tab w:val="clear" w:pos="1134"/>
        <w:tab w:val="clear" w:pos="1701"/>
        <w:tab w:val="clear" w:pos="2268"/>
        <w:tab w:val="clear" w:pos="2835"/>
        <w:tab w:val="right" w:leader="dot" w:pos="9645"/>
      </w:tabs>
      <w:ind w:left="1920"/>
    </w:pPr>
  </w:style>
  <w:style w:type="paragraph" w:customStyle="1" w:styleId="ddate">
    <w:name w:val="ddate"/>
    <w:basedOn w:val="Normal"/>
    <w:rsid w:val="005C3890"/>
    <w:pPr>
      <w:framePr w:hSpace="181" w:wrap="notBeside" w:vAnchor="page" w:hAnchor="margin" w:x="1" w:y="852"/>
      <w:shd w:val="solid" w:color="FFFFFF" w:fill="FFFFFF"/>
      <w:tabs>
        <w:tab w:val="left" w:pos="1871"/>
      </w:tabs>
      <w:spacing w:before="0"/>
    </w:pPr>
    <w:rPr>
      <w:b/>
      <w:bCs/>
    </w:rPr>
  </w:style>
  <w:style w:type="paragraph" w:customStyle="1" w:styleId="dorlang">
    <w:name w:val="dorlang"/>
    <w:basedOn w:val="Normal"/>
    <w:rsid w:val="005C3890"/>
    <w:pPr>
      <w:framePr w:hSpace="181" w:wrap="notBeside" w:vAnchor="page" w:hAnchor="margin" w:x="1" w:y="852"/>
      <w:shd w:val="solid" w:color="FFFFFF" w:fill="FFFFFF"/>
      <w:tabs>
        <w:tab w:val="left" w:pos="1871"/>
      </w:tabs>
      <w:spacing w:before="0"/>
    </w:pPr>
    <w:rPr>
      <w:b/>
      <w:bCs/>
    </w:rPr>
  </w:style>
  <w:style w:type="character" w:styleId="Hyperlink">
    <w:name w:val="Hyperlink"/>
    <w:basedOn w:val="DefaultParagraphFont"/>
    <w:rsid w:val="00732045"/>
    <w:rPr>
      <w:color w:val="0000FF"/>
      <w:u w:val="single"/>
    </w:rPr>
  </w:style>
  <w:style w:type="character" w:styleId="FollowedHyperlink">
    <w:name w:val="FollowedHyperlink"/>
    <w:basedOn w:val="DefaultParagraphFont"/>
    <w:rsid w:val="005C3890"/>
    <w:rPr>
      <w:color w:val="800080"/>
      <w:u w:val="single"/>
    </w:rPr>
  </w:style>
  <w:style w:type="paragraph" w:customStyle="1" w:styleId="AnnexNo">
    <w:name w:val="Annex_No"/>
    <w:basedOn w:val="Normal"/>
    <w:next w:val="Annexref"/>
    <w:rsid w:val="00732045"/>
    <w:pPr>
      <w:spacing w:before="720"/>
      <w:jc w:val="center"/>
    </w:pPr>
    <w:rPr>
      <w:caps/>
      <w:sz w:val="28"/>
    </w:rPr>
  </w:style>
  <w:style w:type="paragraph" w:customStyle="1" w:styleId="Annexref">
    <w:name w:val="Annex_ref"/>
    <w:basedOn w:val="Normal"/>
    <w:next w:val="Annextitle"/>
    <w:rsid w:val="00732045"/>
    <w:pPr>
      <w:jc w:val="center"/>
    </w:pPr>
    <w:rPr>
      <w:sz w:val="28"/>
    </w:rPr>
  </w:style>
  <w:style w:type="paragraph" w:customStyle="1" w:styleId="Annextitle">
    <w:name w:val="Annex_title"/>
    <w:basedOn w:val="Normal"/>
    <w:next w:val="Normal"/>
    <w:rsid w:val="00732045"/>
    <w:pPr>
      <w:spacing w:before="240" w:after="240"/>
      <w:jc w:val="center"/>
    </w:pPr>
    <w:rPr>
      <w:b/>
      <w:sz w:val="28"/>
    </w:rPr>
  </w:style>
  <w:style w:type="paragraph" w:customStyle="1" w:styleId="AppendixNo">
    <w:name w:val="Appendix_No"/>
    <w:basedOn w:val="AnnexNo"/>
    <w:next w:val="Appendixref"/>
    <w:rsid w:val="00732045"/>
  </w:style>
  <w:style w:type="paragraph" w:customStyle="1" w:styleId="Appendixref">
    <w:name w:val="Appendix_ref"/>
    <w:basedOn w:val="Annexref"/>
    <w:next w:val="Appendixtitle"/>
    <w:rsid w:val="00732045"/>
  </w:style>
  <w:style w:type="paragraph" w:customStyle="1" w:styleId="Appendixtitle">
    <w:name w:val="Appendix_title"/>
    <w:basedOn w:val="Annextitle"/>
    <w:next w:val="Normal"/>
    <w:rsid w:val="00732045"/>
  </w:style>
  <w:style w:type="paragraph" w:customStyle="1" w:styleId="Artheading">
    <w:name w:val="Art_heading"/>
    <w:basedOn w:val="Normal"/>
    <w:next w:val="Normalaftertitle"/>
    <w:rsid w:val="00732045"/>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732045"/>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732045"/>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732045"/>
  </w:style>
  <w:style w:type="paragraph" w:customStyle="1" w:styleId="Chaptitle">
    <w:name w:val="Chap_title"/>
    <w:basedOn w:val="Arttitle"/>
    <w:next w:val="Normal"/>
    <w:rsid w:val="00732045"/>
  </w:style>
  <w:style w:type="paragraph" w:customStyle="1" w:styleId="Equationlegend">
    <w:name w:val="Equation_legend"/>
    <w:basedOn w:val="NormalIndent"/>
    <w:rsid w:val="005C3890"/>
    <w:pPr>
      <w:tabs>
        <w:tab w:val="right" w:pos="1531"/>
      </w:tabs>
      <w:spacing w:before="80"/>
      <w:ind w:left="1701" w:hanging="1701"/>
    </w:pPr>
  </w:style>
  <w:style w:type="paragraph" w:customStyle="1" w:styleId="Figure">
    <w:name w:val="Figure"/>
    <w:basedOn w:val="Normal"/>
    <w:next w:val="Figuretitle"/>
    <w:rsid w:val="005C3890"/>
    <w:pPr>
      <w:keepNext/>
      <w:keepLines/>
      <w:spacing w:after="120"/>
      <w:jc w:val="center"/>
    </w:pPr>
  </w:style>
  <w:style w:type="paragraph" w:customStyle="1" w:styleId="Figurelegend">
    <w:name w:val="Figure_legend"/>
    <w:basedOn w:val="Normal"/>
    <w:rsid w:val="005C3890"/>
    <w:pPr>
      <w:keepNext/>
      <w:keepLines/>
      <w:spacing w:before="20" w:after="20"/>
    </w:pPr>
    <w:rPr>
      <w:sz w:val="18"/>
    </w:rPr>
  </w:style>
  <w:style w:type="paragraph" w:customStyle="1" w:styleId="TableNo">
    <w:name w:val="Table_No"/>
    <w:basedOn w:val="Normal"/>
    <w:next w:val="Tabletitle"/>
    <w:rsid w:val="00732045"/>
    <w:pPr>
      <w:keepNext/>
      <w:spacing w:before="560" w:after="120"/>
      <w:jc w:val="center"/>
    </w:pPr>
    <w:rPr>
      <w:caps/>
    </w:rPr>
  </w:style>
  <w:style w:type="paragraph" w:customStyle="1" w:styleId="Tabletitle">
    <w:name w:val="Table_title"/>
    <w:basedOn w:val="TableNo"/>
    <w:next w:val="Tabletext"/>
    <w:rsid w:val="00732045"/>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5C3890"/>
    <w:pPr>
      <w:spacing w:before="240" w:after="480"/>
    </w:pPr>
  </w:style>
  <w:style w:type="paragraph" w:customStyle="1" w:styleId="Figurewithouttitle">
    <w:name w:val="Figure_without_title"/>
    <w:basedOn w:val="Figure"/>
    <w:next w:val="Normalaftertitle"/>
    <w:rsid w:val="005C3890"/>
    <w:pPr>
      <w:keepNext w:val="0"/>
      <w:spacing w:after="240"/>
    </w:pPr>
  </w:style>
  <w:style w:type="paragraph" w:customStyle="1" w:styleId="Headingi">
    <w:name w:val="Heading_i"/>
    <w:basedOn w:val="Heading3"/>
    <w:next w:val="Normal"/>
    <w:rsid w:val="00732045"/>
    <w:pPr>
      <w:spacing w:before="160"/>
      <w:outlineLvl w:val="0"/>
    </w:pPr>
    <w:rPr>
      <w:b w:val="0"/>
      <w:i/>
    </w:rPr>
  </w:style>
  <w:style w:type="character" w:styleId="PageNumber">
    <w:name w:val="page number"/>
    <w:basedOn w:val="DefaultParagraphFont"/>
    <w:rsid w:val="00732045"/>
    <w:rPr>
      <w:rFonts w:ascii="Calibri" w:hAnsi="Calibri"/>
    </w:rPr>
  </w:style>
  <w:style w:type="paragraph" w:customStyle="1" w:styleId="PartNo">
    <w:name w:val="Part_No"/>
    <w:basedOn w:val="AnnexNo"/>
    <w:next w:val="Parttitle"/>
    <w:rsid w:val="005C3890"/>
  </w:style>
  <w:style w:type="paragraph" w:customStyle="1" w:styleId="Partref">
    <w:name w:val="Part_ref"/>
    <w:basedOn w:val="Annexref"/>
    <w:next w:val="Normalaftertitle"/>
    <w:rsid w:val="005C3890"/>
  </w:style>
  <w:style w:type="paragraph" w:customStyle="1" w:styleId="Parttitle">
    <w:name w:val="Part_title"/>
    <w:basedOn w:val="Annextitle"/>
    <w:next w:val="Partref"/>
    <w:rsid w:val="005C3890"/>
  </w:style>
  <w:style w:type="paragraph" w:customStyle="1" w:styleId="RecNo">
    <w:name w:val="Rec_No"/>
    <w:basedOn w:val="Normal"/>
    <w:next w:val="Rectitle"/>
    <w:rsid w:val="00732045"/>
    <w:pPr>
      <w:spacing w:before="720"/>
      <w:jc w:val="center"/>
    </w:pPr>
    <w:rPr>
      <w:caps/>
      <w:sz w:val="28"/>
    </w:rPr>
  </w:style>
  <w:style w:type="paragraph" w:customStyle="1" w:styleId="Rectitle">
    <w:name w:val="Rec_title"/>
    <w:basedOn w:val="Normal"/>
    <w:next w:val="Heading1"/>
    <w:rsid w:val="00732045"/>
    <w:pPr>
      <w:spacing w:before="240"/>
      <w:jc w:val="center"/>
    </w:pPr>
    <w:rPr>
      <w:b/>
      <w:sz w:val="28"/>
    </w:rPr>
  </w:style>
  <w:style w:type="paragraph" w:customStyle="1" w:styleId="Recref">
    <w:name w:val="Rec_ref"/>
    <w:basedOn w:val="Rectitle"/>
    <w:next w:val="Recdate"/>
    <w:rsid w:val="005C3890"/>
    <w:pPr>
      <w:spacing w:before="120"/>
    </w:pPr>
    <w:rPr>
      <w:rFonts w:ascii="Times New Roman" w:hAnsi="Times New Roman"/>
      <w:b w:val="0"/>
      <w:sz w:val="24"/>
    </w:rPr>
  </w:style>
  <w:style w:type="paragraph" w:customStyle="1" w:styleId="Recdate">
    <w:name w:val="Rec_date"/>
    <w:basedOn w:val="Recref"/>
    <w:next w:val="Normalaftertitle"/>
    <w:rsid w:val="005C3890"/>
    <w:pPr>
      <w:jc w:val="right"/>
    </w:pPr>
    <w:rPr>
      <w:sz w:val="22"/>
    </w:rPr>
  </w:style>
  <w:style w:type="paragraph" w:customStyle="1" w:styleId="Questiondate">
    <w:name w:val="Question_date"/>
    <w:basedOn w:val="Recdate"/>
    <w:next w:val="Normalaftertitle"/>
    <w:rsid w:val="005C3890"/>
  </w:style>
  <w:style w:type="paragraph" w:customStyle="1" w:styleId="QuestionNo">
    <w:name w:val="Question_No"/>
    <w:basedOn w:val="RecNo"/>
    <w:next w:val="Questiontitle"/>
    <w:rsid w:val="005C3890"/>
  </w:style>
  <w:style w:type="paragraph" w:customStyle="1" w:styleId="Questionref">
    <w:name w:val="Question_ref"/>
    <w:basedOn w:val="Recref"/>
    <w:next w:val="Questiondate"/>
    <w:rsid w:val="005C3890"/>
  </w:style>
  <w:style w:type="paragraph" w:customStyle="1" w:styleId="Questiontitle">
    <w:name w:val="Question_title"/>
    <w:basedOn w:val="Rectitle"/>
    <w:next w:val="Questionref"/>
    <w:rsid w:val="005C3890"/>
  </w:style>
  <w:style w:type="paragraph" w:customStyle="1" w:styleId="Reftext">
    <w:name w:val="Ref_text"/>
    <w:basedOn w:val="Normal"/>
    <w:rsid w:val="00732045"/>
    <w:pPr>
      <w:ind w:left="567" w:hanging="567"/>
    </w:pPr>
  </w:style>
  <w:style w:type="paragraph" w:customStyle="1" w:styleId="Reftitle">
    <w:name w:val="Ref_title"/>
    <w:basedOn w:val="Normal"/>
    <w:next w:val="Reftext"/>
    <w:rsid w:val="00732045"/>
    <w:pPr>
      <w:spacing w:before="480"/>
      <w:jc w:val="center"/>
    </w:pPr>
    <w:rPr>
      <w:caps/>
      <w:sz w:val="28"/>
    </w:rPr>
  </w:style>
  <w:style w:type="paragraph" w:customStyle="1" w:styleId="Repdate">
    <w:name w:val="Rep_date"/>
    <w:basedOn w:val="Recdate"/>
    <w:next w:val="Normalaftertitle"/>
    <w:rsid w:val="005C3890"/>
  </w:style>
  <w:style w:type="paragraph" w:customStyle="1" w:styleId="RepNo">
    <w:name w:val="Rep_No"/>
    <w:basedOn w:val="RecNo"/>
    <w:next w:val="Reptitle"/>
    <w:rsid w:val="005C3890"/>
  </w:style>
  <w:style w:type="paragraph" w:customStyle="1" w:styleId="Repref">
    <w:name w:val="Rep_ref"/>
    <w:basedOn w:val="Recref"/>
    <w:next w:val="Repdate"/>
    <w:rsid w:val="005C3890"/>
  </w:style>
  <w:style w:type="paragraph" w:customStyle="1" w:styleId="Reptitle">
    <w:name w:val="Rep_title"/>
    <w:basedOn w:val="Rectitle"/>
    <w:next w:val="Repref"/>
    <w:rsid w:val="005C3890"/>
  </w:style>
  <w:style w:type="paragraph" w:customStyle="1" w:styleId="Resdate">
    <w:name w:val="Res_date"/>
    <w:basedOn w:val="Recdate"/>
    <w:next w:val="Normalaftertitle"/>
    <w:rsid w:val="005C3890"/>
  </w:style>
  <w:style w:type="paragraph" w:customStyle="1" w:styleId="ResNo">
    <w:name w:val="Res_No"/>
    <w:basedOn w:val="AnnexNo"/>
    <w:next w:val="Restitle"/>
    <w:rsid w:val="00732045"/>
  </w:style>
  <w:style w:type="paragraph" w:customStyle="1" w:styleId="Resref">
    <w:name w:val="Res_ref"/>
    <w:basedOn w:val="Recref"/>
    <w:next w:val="Resdate"/>
    <w:rsid w:val="005C3890"/>
  </w:style>
  <w:style w:type="paragraph" w:customStyle="1" w:styleId="Restitle">
    <w:name w:val="Res_title"/>
    <w:basedOn w:val="Annextitle"/>
    <w:next w:val="Normal"/>
    <w:rsid w:val="00732045"/>
  </w:style>
  <w:style w:type="paragraph" w:customStyle="1" w:styleId="SectionNo">
    <w:name w:val="Section_No"/>
    <w:basedOn w:val="AnnexNo"/>
    <w:next w:val="Sectiontitle"/>
    <w:rsid w:val="005C3890"/>
  </w:style>
  <w:style w:type="paragraph" w:customStyle="1" w:styleId="Sectiontitle">
    <w:name w:val="Section_title"/>
    <w:basedOn w:val="Normal"/>
    <w:next w:val="Normalaftertitle"/>
    <w:rsid w:val="005C3890"/>
    <w:rPr>
      <w:sz w:val="28"/>
    </w:rPr>
  </w:style>
  <w:style w:type="paragraph" w:customStyle="1" w:styleId="SpecialFooter">
    <w:name w:val="Special Footer"/>
    <w:basedOn w:val="Footer"/>
    <w:rsid w:val="005C3890"/>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rsid w:val="00732045"/>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rsid w:val="00732045"/>
    <w:pPr>
      <w:spacing w:before="120" w:after="120"/>
      <w:jc w:val="center"/>
    </w:pPr>
    <w:rPr>
      <w:b/>
    </w:rPr>
  </w:style>
  <w:style w:type="paragraph" w:customStyle="1" w:styleId="Tablelegend">
    <w:name w:val="Table_legend"/>
    <w:basedOn w:val="Tabletext"/>
    <w:rsid w:val="00732045"/>
    <w:pPr>
      <w:spacing w:before="120"/>
    </w:pPr>
  </w:style>
  <w:style w:type="paragraph" w:customStyle="1" w:styleId="Tableref">
    <w:name w:val="Table_ref"/>
    <w:basedOn w:val="Normal"/>
    <w:next w:val="Tabletitle"/>
    <w:rsid w:val="005C3890"/>
    <w:pPr>
      <w:keepNext/>
      <w:spacing w:before="567"/>
      <w:jc w:val="center"/>
    </w:pPr>
  </w:style>
  <w:style w:type="paragraph" w:customStyle="1" w:styleId="Title2">
    <w:name w:val="Title 2"/>
    <w:basedOn w:val="Source"/>
    <w:next w:val="Title3"/>
    <w:rsid w:val="00732045"/>
    <w:pPr>
      <w:spacing w:before="240"/>
    </w:pPr>
    <w:rPr>
      <w:b w:val="0"/>
      <w:caps/>
    </w:rPr>
  </w:style>
  <w:style w:type="paragraph" w:customStyle="1" w:styleId="Title3">
    <w:name w:val="Title 3"/>
    <w:basedOn w:val="Title2"/>
    <w:next w:val="Normalaftertitle"/>
    <w:rsid w:val="00732045"/>
    <w:rPr>
      <w:caps w:val="0"/>
    </w:rPr>
  </w:style>
  <w:style w:type="paragraph" w:customStyle="1" w:styleId="Title4">
    <w:name w:val="Title 4"/>
    <w:basedOn w:val="Title3"/>
    <w:next w:val="Heading1"/>
    <w:rsid w:val="005C3890"/>
    <w:rPr>
      <w:b/>
    </w:rPr>
  </w:style>
  <w:style w:type="paragraph" w:customStyle="1" w:styleId="FigureNo">
    <w:name w:val="Figure_No"/>
    <w:basedOn w:val="Normal"/>
    <w:next w:val="Figuretitle"/>
    <w:rsid w:val="005C3890"/>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9B46A9"/>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lang w:val="en-GB"/>
    </w:rPr>
  </w:style>
  <w:style w:type="paragraph" w:customStyle="1" w:styleId="Body">
    <w:name w:val="Body"/>
    <w:rsid w:val="00CF0749"/>
    <w:rPr>
      <w:rFonts w:ascii="Helvetica" w:eastAsia="ヒラギノ角ゴ Pro W3" w:hAnsi="Helvetica"/>
      <w:color w:val="000000"/>
      <w:sz w:val="24"/>
      <w:lang w:eastAsia="en-US"/>
    </w:rPr>
  </w:style>
  <w:style w:type="paragraph" w:styleId="BalloonText">
    <w:name w:val="Balloon Text"/>
    <w:basedOn w:val="Normal"/>
    <w:link w:val="BalloonTextChar"/>
    <w:semiHidden/>
    <w:unhideWhenUsed/>
    <w:rsid w:val="00665D0A"/>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665D0A"/>
    <w:rPr>
      <w:rFonts w:ascii="Segoe UI" w:hAnsi="Segoe UI" w:cs="Segoe UI"/>
      <w:sz w:val="18"/>
      <w:szCs w:val="18"/>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dms_pub/itu-s/opb/conf/S-CONF-ACTF-2014-PDF-E.pdf" TargetMode="External"/><Relationship Id="rId13" Type="http://schemas.openxmlformats.org/officeDocument/2006/relationships/hyperlink" Target="http://web.itu.int/md/S16-CL-C-0121/en"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hyperlink" Target="http://web.itu.int/md/S16-CL-C-0120/en"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eb.itu.int/md/S16-CL-C-0121/en"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md/S15-CL-C-0125/en" TargetMode="External"/><Relationship Id="rId5" Type="http://schemas.openxmlformats.org/officeDocument/2006/relationships/footnotes" Target="footnotes.xml"/><Relationship Id="rId15" Type="http://schemas.openxmlformats.org/officeDocument/2006/relationships/hyperlink" Target="http://web.itu.int/md/S16-CL-C-0120/en" TargetMode="External"/><Relationship Id="rId23" Type="http://schemas.openxmlformats.org/officeDocument/2006/relationships/theme" Target="theme/theme1.xml"/><Relationship Id="rId10" Type="http://schemas.openxmlformats.org/officeDocument/2006/relationships/hyperlink" Target="http://www.itu.int/md/S15-CL-C-0123/e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tu.int/dms_pub/itu-s/opb/conf/S-CONF-ACTF-2014-PDF-E.pdf" TargetMode="External"/><Relationship Id="rId14" Type="http://schemas.openxmlformats.org/officeDocument/2006/relationships/hyperlink" Target="http://www.itu.int/md/S16-CL-C-0129/en" TargetMode="External"/><Relationship Id="rId22"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dra\AppData\Roaming\Microsoft\Templates\POOL%20F%20-%20ITU\PF_C1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659FB4-0A9F-4E86-AA79-2B3B7B0A5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PF_C17.dotm</Template>
  <TotalTime>1</TotalTime>
  <Pages>3</Pages>
  <Words>688</Words>
  <Characters>4061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DATES ET DURÉE PROPOSÉES POUR LES SESSIONS DE 2018, 2019 ET 2020 DU CONSEIL</vt:lpstr>
    </vt:vector>
  </TitlesOfParts>
  <Manager>Secrétariat général - Pool</Manager>
  <Company>Union internationale des télécommunications (UIT)</Company>
  <LinksUpToDate>false</LinksUpToDate>
  <CharactersWithSpaces>4740</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 ET DURÉE PROPOSÉES POUR LES SESSIONS DE 2018, 2019 ET 2020 DU CONSEIL</dc:title>
  <dc:subject>Conseil 2017</dc:subject>
  <dc:creator>Rapport du Secrétaire général</dc:creator>
  <cp:keywords>C2017, C17</cp:keywords>
  <dc:description/>
  <cp:lastModifiedBy>Brouard, Ricarda</cp:lastModifiedBy>
  <cp:revision>2</cp:revision>
  <cp:lastPrinted>2017-02-14T11:19:00Z</cp:lastPrinted>
  <dcterms:created xsi:type="dcterms:W3CDTF">2017-02-21T13:20:00Z</dcterms:created>
  <dcterms:modified xsi:type="dcterms:W3CDTF">2017-02-21T13:20:00Z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C17/2-F</vt:lpwstr>
  </property>
  <property fmtid="{D5CDD505-2E9C-101B-9397-08002B2CF9AE}" pid="3" name="Docdate">
    <vt:lpwstr>24 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Point de l'ordre du jour: PL 2.3</vt:lpwstr>
  </property>
  <property fmtid="{D5CDD505-2E9C-101B-9397-08002B2CF9AE}" pid="7" name="Docauthor">
    <vt:lpwstr>Rapport du Secrétaire général</vt:lpwstr>
  </property>
</Properties>
</file>