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751778" w:rsidRPr="00E57C96">
        <w:trPr>
          <w:cantSplit/>
        </w:trPr>
        <w:tc>
          <w:tcPr>
            <w:tcW w:w="6912" w:type="dxa"/>
          </w:tcPr>
          <w:p w:rsidR="00751778" w:rsidRPr="00E57C96" w:rsidRDefault="00751778" w:rsidP="002D4E28">
            <w:pPr>
              <w:spacing w:before="360"/>
              <w:rPr>
                <w:szCs w:val="24"/>
              </w:rPr>
            </w:pPr>
            <w:bookmarkStart w:id="0" w:name="dc06"/>
            <w:bookmarkStart w:id="1" w:name="dbluepink" w:colFirst="0" w:colLast="0"/>
            <w:bookmarkEnd w:id="0"/>
            <w:r w:rsidRPr="00E57C96">
              <w:rPr>
                <w:b/>
                <w:bCs/>
                <w:sz w:val="30"/>
                <w:szCs w:val="30"/>
              </w:rPr>
              <w:t>Consejo 2016</w:t>
            </w:r>
            <w:r w:rsidRPr="00E57C96">
              <w:rPr>
                <w:b/>
                <w:bCs/>
                <w:sz w:val="26"/>
                <w:szCs w:val="26"/>
              </w:rPr>
              <w:br/>
            </w:r>
            <w:r w:rsidRPr="00E57C96">
              <w:rPr>
                <w:b/>
                <w:bCs/>
                <w:szCs w:val="24"/>
              </w:rPr>
              <w:t>Ginebra, 25 de mayo – 2 de junio de 2016</w:t>
            </w:r>
          </w:p>
        </w:tc>
        <w:tc>
          <w:tcPr>
            <w:tcW w:w="3261" w:type="dxa"/>
          </w:tcPr>
          <w:p w:rsidR="00751778" w:rsidRPr="00E57C96" w:rsidRDefault="00751778" w:rsidP="002D4E28">
            <w:pPr>
              <w:spacing w:before="0"/>
              <w:jc w:val="right"/>
              <w:rPr>
                <w:szCs w:val="24"/>
              </w:rPr>
            </w:pPr>
            <w:bookmarkStart w:id="2" w:name="ditulogo"/>
            <w:bookmarkEnd w:id="2"/>
            <w:r w:rsidRPr="00E57C96">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751778" w:rsidRPr="00E57C96">
        <w:trPr>
          <w:cantSplit/>
          <w:trHeight w:val="20"/>
        </w:trPr>
        <w:tc>
          <w:tcPr>
            <w:tcW w:w="10173" w:type="dxa"/>
            <w:gridSpan w:val="2"/>
            <w:tcBorders>
              <w:bottom w:val="single" w:sz="12" w:space="0" w:color="auto"/>
            </w:tcBorders>
          </w:tcPr>
          <w:p w:rsidR="00751778" w:rsidRPr="00E57C96" w:rsidRDefault="00751778" w:rsidP="002D4E28">
            <w:pPr>
              <w:spacing w:before="0"/>
              <w:rPr>
                <w:b/>
                <w:bCs/>
                <w:szCs w:val="24"/>
              </w:rPr>
            </w:pPr>
          </w:p>
        </w:tc>
      </w:tr>
      <w:tr w:rsidR="00751778" w:rsidRPr="00E57C96">
        <w:trPr>
          <w:cantSplit/>
          <w:trHeight w:val="20"/>
        </w:trPr>
        <w:tc>
          <w:tcPr>
            <w:tcW w:w="6912" w:type="dxa"/>
            <w:tcBorders>
              <w:top w:val="single" w:sz="12" w:space="0" w:color="auto"/>
            </w:tcBorders>
          </w:tcPr>
          <w:p w:rsidR="00751778" w:rsidRPr="00E57C96" w:rsidRDefault="00751778" w:rsidP="002D4E28">
            <w:pPr>
              <w:tabs>
                <w:tab w:val="clear" w:pos="2268"/>
                <w:tab w:val="left" w:pos="1560"/>
                <w:tab w:val="left" w:pos="2269"/>
                <w:tab w:val="left" w:pos="3544"/>
                <w:tab w:val="left" w:pos="3969"/>
              </w:tabs>
              <w:spacing w:before="0"/>
              <w:rPr>
                <w:b/>
                <w:smallCaps/>
                <w:szCs w:val="24"/>
              </w:rPr>
            </w:pPr>
          </w:p>
        </w:tc>
        <w:tc>
          <w:tcPr>
            <w:tcW w:w="3261" w:type="dxa"/>
            <w:tcBorders>
              <w:top w:val="single" w:sz="12" w:space="0" w:color="auto"/>
            </w:tcBorders>
          </w:tcPr>
          <w:p w:rsidR="00751778" w:rsidRPr="00E57C96" w:rsidRDefault="00751778" w:rsidP="002D4E28">
            <w:pPr>
              <w:spacing w:before="0"/>
              <w:rPr>
                <w:b/>
                <w:bCs/>
                <w:szCs w:val="24"/>
              </w:rPr>
            </w:pPr>
          </w:p>
        </w:tc>
      </w:tr>
      <w:tr w:rsidR="00751778" w:rsidRPr="00E57C96">
        <w:trPr>
          <w:cantSplit/>
          <w:trHeight w:val="20"/>
        </w:trPr>
        <w:tc>
          <w:tcPr>
            <w:tcW w:w="6912" w:type="dxa"/>
            <w:shd w:val="clear" w:color="auto" w:fill="auto"/>
          </w:tcPr>
          <w:p w:rsidR="00751778" w:rsidRPr="00E57C96" w:rsidRDefault="00CF10B1" w:rsidP="002D4E28">
            <w:pPr>
              <w:tabs>
                <w:tab w:val="left" w:pos="1560"/>
                <w:tab w:val="left" w:pos="3544"/>
                <w:tab w:val="left" w:pos="3969"/>
              </w:tabs>
              <w:spacing w:before="0"/>
              <w:rPr>
                <w:rFonts w:cs="Times"/>
                <w:b/>
                <w:szCs w:val="24"/>
              </w:rPr>
            </w:pPr>
            <w:bookmarkStart w:id="3" w:name="dnum" w:colFirst="1" w:colLast="1"/>
            <w:bookmarkStart w:id="4" w:name="dmeeting" w:colFirst="0" w:colLast="0"/>
            <w:r w:rsidRPr="00E57C96">
              <w:rPr>
                <w:rFonts w:cs="Times"/>
                <w:b/>
                <w:szCs w:val="24"/>
              </w:rPr>
              <w:t xml:space="preserve">Punto del orden del día: ADM </w:t>
            </w:r>
            <w:r w:rsidR="00264454" w:rsidRPr="00E57C96">
              <w:rPr>
                <w:rFonts w:cs="Times"/>
                <w:b/>
                <w:szCs w:val="24"/>
              </w:rPr>
              <w:t>10</w:t>
            </w:r>
          </w:p>
        </w:tc>
        <w:tc>
          <w:tcPr>
            <w:tcW w:w="3261" w:type="dxa"/>
          </w:tcPr>
          <w:p w:rsidR="00751778" w:rsidRPr="00E57C96" w:rsidRDefault="00751778" w:rsidP="002D4E28">
            <w:pPr>
              <w:spacing w:before="0"/>
              <w:rPr>
                <w:b/>
                <w:bCs/>
                <w:szCs w:val="24"/>
              </w:rPr>
            </w:pPr>
            <w:r w:rsidRPr="00E57C96">
              <w:rPr>
                <w:b/>
                <w:bCs/>
                <w:szCs w:val="24"/>
              </w:rPr>
              <w:t>Documento C16/44-S</w:t>
            </w:r>
          </w:p>
        </w:tc>
      </w:tr>
      <w:tr w:rsidR="00751778" w:rsidRPr="00E57C96">
        <w:trPr>
          <w:cantSplit/>
          <w:trHeight w:val="20"/>
        </w:trPr>
        <w:tc>
          <w:tcPr>
            <w:tcW w:w="6912" w:type="dxa"/>
            <w:shd w:val="clear" w:color="auto" w:fill="auto"/>
          </w:tcPr>
          <w:p w:rsidR="00751778" w:rsidRPr="00E57C96" w:rsidRDefault="00751778" w:rsidP="002D4E28">
            <w:pPr>
              <w:shd w:val="solid" w:color="FFFFFF" w:fill="FFFFFF"/>
              <w:spacing w:before="0"/>
              <w:rPr>
                <w:smallCaps/>
                <w:szCs w:val="24"/>
              </w:rPr>
            </w:pPr>
            <w:bookmarkStart w:id="5" w:name="ddate" w:colFirst="1" w:colLast="1"/>
            <w:bookmarkEnd w:id="3"/>
            <w:bookmarkEnd w:id="4"/>
          </w:p>
        </w:tc>
        <w:tc>
          <w:tcPr>
            <w:tcW w:w="3261" w:type="dxa"/>
          </w:tcPr>
          <w:p w:rsidR="00751778" w:rsidRPr="00E57C96" w:rsidRDefault="00751778" w:rsidP="002D4E28">
            <w:pPr>
              <w:spacing w:before="0"/>
              <w:rPr>
                <w:b/>
                <w:bCs/>
                <w:szCs w:val="24"/>
              </w:rPr>
            </w:pPr>
            <w:r w:rsidRPr="00E57C96">
              <w:rPr>
                <w:b/>
                <w:bCs/>
                <w:szCs w:val="24"/>
              </w:rPr>
              <w:t>12 de abril de 2016</w:t>
            </w:r>
          </w:p>
        </w:tc>
      </w:tr>
      <w:tr w:rsidR="00751778" w:rsidRPr="00E57C96">
        <w:trPr>
          <w:cantSplit/>
          <w:trHeight w:val="20"/>
        </w:trPr>
        <w:tc>
          <w:tcPr>
            <w:tcW w:w="6912" w:type="dxa"/>
            <w:shd w:val="clear" w:color="auto" w:fill="auto"/>
          </w:tcPr>
          <w:p w:rsidR="00751778" w:rsidRPr="00E57C96" w:rsidRDefault="00751778" w:rsidP="002D4E28">
            <w:pPr>
              <w:shd w:val="solid" w:color="FFFFFF" w:fill="FFFFFF"/>
              <w:spacing w:before="0"/>
              <w:rPr>
                <w:smallCaps/>
                <w:szCs w:val="24"/>
              </w:rPr>
            </w:pPr>
            <w:bookmarkStart w:id="6" w:name="dorlang" w:colFirst="1" w:colLast="1"/>
            <w:bookmarkEnd w:id="5"/>
          </w:p>
        </w:tc>
        <w:tc>
          <w:tcPr>
            <w:tcW w:w="3261" w:type="dxa"/>
          </w:tcPr>
          <w:p w:rsidR="00751778" w:rsidRPr="00E57C96" w:rsidRDefault="00751778" w:rsidP="002D4E28">
            <w:pPr>
              <w:spacing w:before="0"/>
              <w:rPr>
                <w:b/>
                <w:bCs/>
                <w:szCs w:val="24"/>
              </w:rPr>
            </w:pPr>
            <w:r w:rsidRPr="00E57C96">
              <w:rPr>
                <w:b/>
                <w:bCs/>
                <w:szCs w:val="24"/>
              </w:rPr>
              <w:t>Original: inglés</w:t>
            </w:r>
          </w:p>
        </w:tc>
      </w:tr>
      <w:tr w:rsidR="00751778" w:rsidRPr="00E57C96">
        <w:trPr>
          <w:cantSplit/>
        </w:trPr>
        <w:tc>
          <w:tcPr>
            <w:tcW w:w="10173" w:type="dxa"/>
            <w:gridSpan w:val="2"/>
          </w:tcPr>
          <w:p w:rsidR="00751778" w:rsidRPr="00E57C96" w:rsidRDefault="00CF10B1" w:rsidP="002D4E28">
            <w:pPr>
              <w:pStyle w:val="Source"/>
            </w:pPr>
            <w:bookmarkStart w:id="7" w:name="dsource" w:colFirst="0" w:colLast="0"/>
            <w:bookmarkEnd w:id="1"/>
            <w:bookmarkEnd w:id="6"/>
            <w:r w:rsidRPr="00E57C96">
              <w:t>Informe del Secretario General</w:t>
            </w:r>
          </w:p>
        </w:tc>
      </w:tr>
      <w:tr w:rsidR="00751778" w:rsidRPr="00E57C96">
        <w:trPr>
          <w:cantSplit/>
        </w:trPr>
        <w:tc>
          <w:tcPr>
            <w:tcW w:w="10173" w:type="dxa"/>
            <w:gridSpan w:val="2"/>
          </w:tcPr>
          <w:p w:rsidR="00751778" w:rsidRPr="00E57C96" w:rsidRDefault="00CF10B1" w:rsidP="002D4E28">
            <w:pPr>
              <w:pStyle w:val="Title1"/>
            </w:pPr>
            <w:bookmarkStart w:id="8" w:name="dtitle1" w:colFirst="0" w:colLast="0"/>
            <w:bookmarkEnd w:id="7"/>
            <w:r w:rsidRPr="00E57C96">
              <w:t>INFORME DEL AUDITOR INTERNO SOBRE ACTIVIDADES DE AUDITORÍA INTERNA</w:t>
            </w:r>
          </w:p>
        </w:tc>
      </w:tr>
      <w:bookmarkEnd w:id="8"/>
    </w:tbl>
    <w:p w:rsidR="00751778" w:rsidRPr="00E57C96" w:rsidRDefault="00751778" w:rsidP="002D4E2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751778" w:rsidRPr="00E57C96">
        <w:trPr>
          <w:trHeight w:val="3372"/>
        </w:trPr>
        <w:tc>
          <w:tcPr>
            <w:tcW w:w="8080" w:type="dxa"/>
            <w:tcBorders>
              <w:top w:val="single" w:sz="12" w:space="0" w:color="auto"/>
              <w:left w:val="single" w:sz="12" w:space="0" w:color="auto"/>
              <w:bottom w:val="single" w:sz="12" w:space="0" w:color="auto"/>
              <w:right w:val="single" w:sz="12" w:space="0" w:color="auto"/>
            </w:tcBorders>
          </w:tcPr>
          <w:p w:rsidR="00751778" w:rsidRPr="00E57C96" w:rsidRDefault="00751778" w:rsidP="002D4E28">
            <w:pPr>
              <w:pStyle w:val="Headingb"/>
            </w:pPr>
            <w:r w:rsidRPr="00E57C96">
              <w:t>Resumen</w:t>
            </w:r>
          </w:p>
          <w:p w:rsidR="00751778" w:rsidRPr="00E57C96" w:rsidRDefault="00CF10B1" w:rsidP="004922E8">
            <w:r w:rsidRPr="00E57C96">
              <w:t xml:space="preserve">El presente Informe se refiere a las actividades de </w:t>
            </w:r>
            <w:r w:rsidR="004922E8">
              <w:t>A</w:t>
            </w:r>
            <w:r w:rsidRPr="00E57C96">
              <w:t xml:space="preserve">uditoría </w:t>
            </w:r>
            <w:r w:rsidR="004922E8">
              <w:t>I</w:t>
            </w:r>
            <w:r w:rsidRPr="00E57C96">
              <w:t>nterna en el periodo comprendido entre marzo de 2015 y febrero de 2016.</w:t>
            </w:r>
          </w:p>
          <w:p w:rsidR="00751778" w:rsidRPr="00E57C96" w:rsidRDefault="00751778" w:rsidP="002D4E28">
            <w:pPr>
              <w:pStyle w:val="Headingb"/>
            </w:pPr>
            <w:r w:rsidRPr="00E57C96">
              <w:t>Acción solicitada</w:t>
            </w:r>
          </w:p>
          <w:p w:rsidR="00751778" w:rsidRPr="00E57C96" w:rsidRDefault="00CF10B1" w:rsidP="002D4E28">
            <w:r w:rsidRPr="00E57C96">
              <w:t xml:space="preserve">Se transmite el presente Informe al Consejo para </w:t>
            </w:r>
            <w:r w:rsidRPr="00E57C96">
              <w:rPr>
                <w:b/>
                <w:bCs/>
              </w:rPr>
              <w:t>examen</w:t>
            </w:r>
            <w:r w:rsidRPr="00E57C96">
              <w:t>.</w:t>
            </w:r>
          </w:p>
          <w:p w:rsidR="00751778" w:rsidRPr="00E57C96" w:rsidRDefault="00751778" w:rsidP="002D4E28">
            <w:pPr>
              <w:pStyle w:val="Table"/>
              <w:keepNext w:val="0"/>
              <w:spacing w:before="0" w:after="0"/>
              <w:rPr>
                <w:caps w:val="0"/>
                <w:sz w:val="22"/>
                <w:lang w:val="es-ES_tradnl"/>
              </w:rPr>
            </w:pPr>
            <w:r w:rsidRPr="00E57C96">
              <w:rPr>
                <w:caps w:val="0"/>
                <w:sz w:val="22"/>
                <w:lang w:val="es-ES_tradnl"/>
              </w:rPr>
              <w:t>____________</w:t>
            </w:r>
          </w:p>
          <w:p w:rsidR="00751778" w:rsidRPr="00E57C96" w:rsidRDefault="00751778" w:rsidP="002D4E28">
            <w:pPr>
              <w:pStyle w:val="Headingb"/>
            </w:pPr>
            <w:r w:rsidRPr="00E57C96">
              <w:t>Referencia</w:t>
            </w:r>
            <w:r w:rsidR="00CF10B1" w:rsidRPr="00E57C96">
              <w:t>s</w:t>
            </w:r>
          </w:p>
          <w:p w:rsidR="00751778" w:rsidRPr="00E57C96" w:rsidRDefault="00CF10B1" w:rsidP="002D4E28">
            <w:pPr>
              <w:spacing w:after="120"/>
              <w:rPr>
                <w:i/>
                <w:iCs/>
              </w:rPr>
            </w:pPr>
            <w:r w:rsidRPr="00E57C96">
              <w:rPr>
                <w:i/>
                <w:iCs/>
              </w:rPr>
              <w:t>Reglamento Financiero y Reglas Financieras de la UIT (2010), Artículo 29</w:t>
            </w:r>
          </w:p>
        </w:tc>
      </w:tr>
    </w:tbl>
    <w:p w:rsidR="006F6D48" w:rsidRPr="00E57C96" w:rsidRDefault="006F6D48" w:rsidP="002D4E28">
      <w:pPr>
        <w:pStyle w:val="Headingb"/>
        <w:spacing w:before="240"/>
      </w:pPr>
      <w:r w:rsidRPr="00E57C96">
        <w:t>Introducción</w:t>
      </w:r>
    </w:p>
    <w:p w:rsidR="006F6D48" w:rsidRPr="00E57C96" w:rsidRDefault="006F6D48" w:rsidP="002D4E28">
      <w:r w:rsidRPr="00E57C96">
        <w:t>1</w:t>
      </w:r>
      <w:r w:rsidRPr="00E57C96">
        <w:tab/>
        <w:t>El presente Informe se transmite al Consejo y responde al Artículo 29 del Reglamento Financiero de la UIT (2010). De conformidad con la Carta de Auditoría Interna</w:t>
      </w:r>
      <w:r w:rsidRPr="00E57C96">
        <w:rPr>
          <w:rStyle w:val="FootnoteReference"/>
        </w:rPr>
        <w:footnoteReference w:id="1"/>
      </w:r>
      <w:r w:rsidRPr="00E57C96">
        <w:t xml:space="preserve"> de la UIT, el presente Informe se sometió al Secretario General antes de someterlo a la consideración del Consejo. El actual Informe se refiere a actividades realizadas durante el periodo comprendido entre marzo de 2015 y febrero de 2016.</w:t>
      </w:r>
    </w:p>
    <w:p w:rsidR="006F6D48" w:rsidRPr="00E57C96" w:rsidRDefault="006F6D48" w:rsidP="004922E8">
      <w:r w:rsidRPr="00E57C96">
        <w:t>2</w:t>
      </w:r>
      <w:r w:rsidRPr="00E57C96">
        <w:tab/>
        <w:t xml:space="preserve">Durante la mayor parte de 2015, la Unidad de Auditoría Interna estuvo compuesta por dos funcionarios de categoría profesional, un P.5 (Jefe de le Unidad) y un P.3 (Auditor Interno). </w:t>
      </w:r>
      <w:r w:rsidR="00AC105C" w:rsidRPr="00E57C96">
        <w:t>Hasta mayo de 2015 el puesto de categoría profesional (Asistente de auditoría) era a tiempo parcial y se convirtió en un puesto a tiempo completo. En septiembre de 2015 el titular del puesto de</w:t>
      </w:r>
      <w:r w:rsidR="009046AF" w:rsidRPr="00E57C96">
        <w:t xml:space="preserve"> Auditor interno subalterno (con categoría P.1) dejó la Unión y la contratación del Auditor interno subalterno (con categoría P.2) de per</w:t>
      </w:r>
      <w:r w:rsidR="004922E8">
        <w:t>i</w:t>
      </w:r>
      <w:r w:rsidR="009046AF" w:rsidRPr="00E57C96">
        <w:t xml:space="preserve">odo fijo quedó completada cuando el titular </w:t>
      </w:r>
      <w:r w:rsidR="009046AF" w:rsidRPr="00E57C96">
        <w:lastRenderedPageBreak/>
        <w:t>ocupó el cargo a mediados de marzo de 2016.</w:t>
      </w:r>
      <w:r w:rsidRPr="00E57C96">
        <w:rPr>
          <w:rFonts w:asciiTheme="minorHAnsi" w:hAnsiTheme="minorHAnsi" w:cs="Calibri"/>
        </w:rPr>
        <w:t xml:space="preserve"> </w:t>
      </w:r>
      <w:r w:rsidRPr="00E57C96">
        <w:t xml:space="preserve">Hoy la Unidad consta por consiguiente de tres puestos de categoría profesional y un puesto de servicios generales a tiempo </w:t>
      </w:r>
      <w:r w:rsidR="00A11A47" w:rsidRPr="00E57C96">
        <w:t>completo</w:t>
      </w:r>
      <w:r w:rsidRPr="00E57C96">
        <w:t>.</w:t>
      </w:r>
    </w:p>
    <w:p w:rsidR="006F6D48" w:rsidRPr="00E57C96" w:rsidRDefault="006F6D48" w:rsidP="002D4E28">
      <w:r w:rsidRPr="00E57C96">
        <w:t>3</w:t>
      </w:r>
      <w:r w:rsidRPr="00E57C96">
        <w:tab/>
      </w:r>
      <w:r w:rsidR="00301C8B" w:rsidRPr="00E57C96">
        <w:t>La Auditoría Interna confirma que lleva a cabo sus auditorías de conformidad con las Normas Internacionales para la Práctica Profesional de Auditoría Interna y el Código Ético establecidos por el Instituto de Auditores Internos (IIA)</w:t>
      </w:r>
      <w:r w:rsidR="00301C8B" w:rsidRPr="00E57C96">
        <w:rPr>
          <w:rStyle w:val="FootnoteReference"/>
        </w:rPr>
        <w:footnoteReference w:id="2"/>
      </w:r>
      <w:r w:rsidR="00301C8B" w:rsidRPr="00E57C96">
        <w:t>, así como las disposiciones de la Carta de Auditoría Interna</w:t>
      </w:r>
      <w:r w:rsidR="00301C8B" w:rsidRPr="00E57C96">
        <w:rPr>
          <w:rStyle w:val="FootnoteReference"/>
        </w:rPr>
        <w:footnoteReference w:id="3"/>
      </w:r>
      <w:r w:rsidR="00301C8B" w:rsidRPr="00E57C96">
        <w:t xml:space="preserve"> de la UIT. Además, la Auditoría Interna confirma que durante el periodo auditado su personal no tuvo autoridad de gestión ni responsabilidad sobre ninguna de las actividades auditadas y no realizó funciones de contabilidad u operacionales en la UIT.</w:t>
      </w:r>
    </w:p>
    <w:p w:rsidR="006F6D48" w:rsidRPr="00E57C96" w:rsidRDefault="006F6D48" w:rsidP="002D4E28">
      <w:pPr>
        <w:pStyle w:val="Headingb"/>
      </w:pPr>
      <w:r w:rsidRPr="00E57C96">
        <w:t xml:space="preserve">Orientación y ámbito de las actividades de </w:t>
      </w:r>
      <w:r w:rsidR="005D7AB5" w:rsidRPr="00E57C96">
        <w:t>Auditoría Interna</w:t>
      </w:r>
    </w:p>
    <w:p w:rsidR="0029331A" w:rsidRPr="00E57C96" w:rsidRDefault="0029331A" w:rsidP="005D7AB5">
      <w:r w:rsidRPr="00E57C96">
        <w:t>4</w:t>
      </w:r>
      <w:r w:rsidRPr="00E57C96">
        <w:tab/>
        <w:t xml:space="preserve">El plan de </w:t>
      </w:r>
      <w:r w:rsidR="004922E8">
        <w:t>A</w:t>
      </w:r>
      <w:r w:rsidRPr="00E57C96">
        <w:t xml:space="preserve">uditoría </w:t>
      </w:r>
      <w:r w:rsidR="004922E8">
        <w:t>I</w:t>
      </w:r>
      <w:r w:rsidRPr="00E57C96">
        <w:t xml:space="preserve">nterna para 2015 </w:t>
      </w:r>
      <w:r w:rsidR="009046AF" w:rsidRPr="00E57C96">
        <w:t xml:space="preserve">fue aprobado por el Secretario General en enero de 2015 y comunicado </w:t>
      </w:r>
      <w:r w:rsidRPr="00E57C96">
        <w:t>al Auditor Externo con miras a promover la eficiencia y la c</w:t>
      </w:r>
      <w:r w:rsidR="009E7CBF" w:rsidRPr="00E57C96">
        <w:t>oordinación. L</w:t>
      </w:r>
      <w:r w:rsidRPr="00E57C96">
        <w:t xml:space="preserve">as actividades de </w:t>
      </w:r>
      <w:r w:rsidR="005D7AB5">
        <w:t>a</w:t>
      </w:r>
      <w:r w:rsidRPr="00E57C96">
        <w:t xml:space="preserve">uditoría </w:t>
      </w:r>
      <w:r w:rsidR="009E7CBF" w:rsidRPr="00E57C96">
        <w:t>están orientadas</w:t>
      </w:r>
      <w:r w:rsidRPr="00E57C96">
        <w:t xml:space="preserve"> principalmente a l</w:t>
      </w:r>
      <w:r w:rsidR="0030633F">
        <w:t>o</w:t>
      </w:r>
      <w:r w:rsidRPr="00E57C96">
        <w:t xml:space="preserve">s </w:t>
      </w:r>
      <w:r w:rsidR="0030633F">
        <w:t>c</w:t>
      </w:r>
      <w:r w:rsidR="0030633F" w:rsidRPr="0030633F">
        <w:t>ompromiso</w:t>
      </w:r>
      <w:r w:rsidR="0030633F">
        <w:t>s</w:t>
      </w:r>
      <w:r w:rsidR="0030633F" w:rsidRPr="0030633F">
        <w:t xml:space="preserve"> de garantía</w:t>
      </w:r>
      <w:r w:rsidRPr="00E57C96">
        <w:t xml:space="preserve">. </w:t>
      </w:r>
      <w:r w:rsidR="009E7CBF" w:rsidRPr="00E57C96">
        <w:t xml:space="preserve">En 2015 no se llevaron a cabo dos </w:t>
      </w:r>
      <w:r w:rsidR="005D7AB5">
        <w:t>a</w:t>
      </w:r>
      <w:r w:rsidR="009E7CBF" w:rsidRPr="00E57C96">
        <w:t>uditorías planificadas (una se aplazó a principios de 2016 y la otra se canceló a raíz de los trabajos del Auditor Externo al respecto que condujeron a un riesgo de auditoría reducido</w:t>
      </w:r>
      <w:r w:rsidRPr="00E57C96">
        <w:rPr>
          <w:rFonts w:asciiTheme="minorHAnsi" w:hAnsiTheme="minorHAnsi" w:cs="Arial"/>
        </w:rPr>
        <w:t>).</w:t>
      </w:r>
    </w:p>
    <w:p w:rsidR="00950B84" w:rsidRPr="00E57C96" w:rsidRDefault="006F6D48" w:rsidP="004922E8">
      <w:r w:rsidRPr="00E57C96">
        <w:t>5</w:t>
      </w:r>
      <w:r w:rsidRPr="00E57C96">
        <w:tab/>
      </w:r>
      <w:r w:rsidR="00950B84" w:rsidRPr="00E57C96">
        <w:t xml:space="preserve">La Auditoría Interna comparte sistemáticamente copias de los informes de </w:t>
      </w:r>
      <w:r w:rsidR="004922E8">
        <w:t>A</w:t>
      </w:r>
      <w:r w:rsidR="00950B84" w:rsidRPr="00E57C96">
        <w:t xml:space="preserve">uditoría </w:t>
      </w:r>
      <w:r w:rsidR="004922E8">
        <w:t>I</w:t>
      </w:r>
      <w:r w:rsidR="00950B84" w:rsidRPr="00E57C96">
        <w:t xml:space="preserve">nterna con el Auditor Externo de la UIT y el </w:t>
      </w:r>
      <w:r w:rsidR="009E7CBF" w:rsidRPr="00E57C96">
        <w:t>Comité Asesor Independiente sobre la Gestión (</w:t>
      </w:r>
      <w:r w:rsidR="00950B84" w:rsidRPr="00E57C96">
        <w:t>CAIG</w:t>
      </w:r>
      <w:r w:rsidR="009E7CBF" w:rsidRPr="00E57C96">
        <w:t>)</w:t>
      </w:r>
      <w:r w:rsidR="00950B84" w:rsidRPr="00E57C96">
        <w:t>. De conformidad con el Reglamento Financier</w:t>
      </w:r>
      <w:r w:rsidR="009E7CBF" w:rsidRPr="00E57C96">
        <w:t>o de la UIT (Art. 29, punto 5)</w:t>
      </w:r>
      <w:r w:rsidR="00950B84" w:rsidRPr="00E57C96">
        <w:t xml:space="preserve">, los Informes Finales de </w:t>
      </w:r>
      <w:r w:rsidR="004922E8" w:rsidRPr="00E57C96">
        <w:t xml:space="preserve">Auditoría Interna </w:t>
      </w:r>
      <w:r w:rsidR="00950B84" w:rsidRPr="00E57C96">
        <w:t xml:space="preserve">pueden ponerse a disposición de los Estados Miembros o de sus representantes designados. </w:t>
      </w:r>
      <w:r w:rsidR="009E7CBF" w:rsidRPr="00E57C96">
        <w:t xml:space="preserve">Conforme a la solicitud de la reunión de 2015 del Consejo al Secretario General de la UIT, un mecanismo facilitado para acceder a los informes de </w:t>
      </w:r>
      <w:r w:rsidR="004922E8">
        <w:t>A</w:t>
      </w:r>
      <w:r w:rsidR="009E7CBF" w:rsidRPr="00E57C96">
        <w:t xml:space="preserve">uditoría Interna se presentó al </w:t>
      </w:r>
      <w:r w:rsidR="009E7CBF" w:rsidRPr="00E57C96">
        <w:rPr>
          <w:i/>
          <w:iCs/>
        </w:rPr>
        <w:t>Grupo de Trabajo del Consejo sobre Recursos Humanos y Financieros</w:t>
      </w:r>
      <w:r w:rsidR="009E7CBF" w:rsidRPr="00E57C96">
        <w:t xml:space="preserve"> (en su reunión de octubre de 2015) y se aplicó inmediatamente después.</w:t>
      </w:r>
      <w:r w:rsidR="00950B84" w:rsidRPr="00E57C96">
        <w:rPr>
          <w:rFonts w:asciiTheme="minorHAnsi" w:hAnsiTheme="minorHAnsi" w:cs="Calibri"/>
        </w:rPr>
        <w:t xml:space="preserve"> </w:t>
      </w:r>
      <w:r w:rsidR="00950B84" w:rsidRPr="00E57C96">
        <w:t>Durante el periodo de que se trata no se recibió ninguna solicitud</w:t>
      </w:r>
      <w:r w:rsidR="0068362F" w:rsidRPr="00E57C96">
        <w:t xml:space="preserve"> para consultar informes de </w:t>
      </w:r>
      <w:r w:rsidR="004922E8" w:rsidRPr="00E57C96">
        <w:t xml:space="preserve">Auditoría Interna </w:t>
      </w:r>
      <w:r w:rsidR="0068362F" w:rsidRPr="00E57C96">
        <w:t>a través del (nuevo) mecanismo en línea</w:t>
      </w:r>
      <w:r w:rsidR="00950B84" w:rsidRPr="00E57C96">
        <w:t>.</w:t>
      </w:r>
    </w:p>
    <w:p w:rsidR="00950B84" w:rsidRPr="00E57C96" w:rsidRDefault="00410C74" w:rsidP="0030633F">
      <w:pPr>
        <w:pStyle w:val="Headingb"/>
      </w:pPr>
      <w:r>
        <w:t xml:space="preserve">Objetivos y conclusiones de </w:t>
      </w:r>
      <w:r w:rsidRPr="00410C74">
        <w:t>l</w:t>
      </w:r>
      <w:r w:rsidR="0030633F">
        <w:t>o</w:t>
      </w:r>
      <w:r w:rsidRPr="00410C74">
        <w:t xml:space="preserve">s </w:t>
      </w:r>
      <w:r w:rsidR="0030633F" w:rsidRPr="0030633F">
        <w:t>compromisos de garantía</w:t>
      </w:r>
    </w:p>
    <w:p w:rsidR="00950B84" w:rsidRPr="00E57C96" w:rsidRDefault="003A567A" w:rsidP="00D93B2F">
      <w:r w:rsidRPr="00E57C96">
        <w:t>6</w:t>
      </w:r>
      <w:r w:rsidRPr="00E57C96">
        <w:tab/>
        <w:t xml:space="preserve">Los objetivos de </w:t>
      </w:r>
      <w:r w:rsidR="00410C74" w:rsidRPr="00410C74">
        <w:t>l</w:t>
      </w:r>
      <w:r w:rsidR="0030633F">
        <w:t>o</w:t>
      </w:r>
      <w:r w:rsidR="00410C74" w:rsidRPr="00410C74">
        <w:t xml:space="preserve">s </w:t>
      </w:r>
      <w:r w:rsidR="0030633F" w:rsidRPr="0030633F">
        <w:t>compromisos de garantía</w:t>
      </w:r>
      <w:r w:rsidRPr="00E57C96">
        <w:t xml:space="preserve"> eran evaluar </w:t>
      </w:r>
      <w:r w:rsidRPr="00E57C96">
        <w:rPr>
          <w:rFonts w:asciiTheme="minorHAnsi" w:hAnsiTheme="minorHAnsi" w:cs="Calibri"/>
        </w:rPr>
        <w:t xml:space="preserve">i) </w:t>
      </w:r>
      <w:r w:rsidR="0068362F" w:rsidRPr="00E57C96">
        <w:rPr>
          <w:rFonts w:asciiTheme="minorHAnsi" w:hAnsiTheme="minorHAnsi" w:cs="Calibri"/>
        </w:rPr>
        <w:t>los aspectos de gobernanza de las operaciones verificadas de la Unión, ii) las prácticas de gestión de riesgos y iii) la eficacia de los controles (internos).</w:t>
      </w:r>
      <w:r w:rsidRPr="00E57C96">
        <w:rPr>
          <w:rFonts w:asciiTheme="minorHAnsi" w:hAnsiTheme="minorHAnsi" w:cs="Calibri"/>
        </w:rPr>
        <w:t xml:space="preserve"> </w:t>
      </w:r>
      <w:r w:rsidRPr="00E57C96">
        <w:t xml:space="preserve">La prioridad de las Recomendaciones resultantes de los trabajos de </w:t>
      </w:r>
      <w:r w:rsidR="005D7AB5">
        <w:t>a</w:t>
      </w:r>
      <w:r w:rsidRPr="00E57C96">
        <w:t>uditoría se clasifica de acuerdo con la repercusión y la probabilidad de la deficiencia (crítica, alta, media, baja).</w:t>
      </w:r>
    </w:p>
    <w:p w:rsidR="003A567A" w:rsidRPr="00E57C96" w:rsidRDefault="001A7EA4" w:rsidP="0030633F">
      <w:r w:rsidRPr="00E57C96">
        <w:t>7</w:t>
      </w:r>
      <w:r w:rsidRPr="00E57C96">
        <w:tab/>
      </w:r>
      <w:r w:rsidR="0068362F" w:rsidRPr="00E57C96">
        <w:t>Partiendo de l</w:t>
      </w:r>
      <w:r w:rsidR="0030633F">
        <w:t>o</w:t>
      </w:r>
      <w:r w:rsidR="0068362F" w:rsidRPr="00E57C96">
        <w:t>s divers</w:t>
      </w:r>
      <w:r w:rsidR="0030633F">
        <w:t>o</w:t>
      </w:r>
      <w:r w:rsidR="0068362F" w:rsidRPr="00E57C96">
        <w:t xml:space="preserve">s </w:t>
      </w:r>
      <w:r w:rsidR="0030633F" w:rsidRPr="0030633F">
        <w:t>compromisos de garantía</w:t>
      </w:r>
      <w:r w:rsidR="0068362F" w:rsidRPr="00E57C96">
        <w:t xml:space="preserve"> </w:t>
      </w:r>
      <w:r w:rsidR="00410C74">
        <w:t>obtenidas</w:t>
      </w:r>
      <w:r w:rsidR="0068362F" w:rsidRPr="00E57C96">
        <w:t xml:space="preserve">, la Auditoría Interna llegó a la conclusión de que, globalmente, la falta de orientación y políticas (y la comunicación de las mismas) sería la deficiencia que se </w:t>
      </w:r>
      <w:r w:rsidR="0068362F" w:rsidRPr="00E57C96">
        <w:lastRenderedPageBreak/>
        <w:t>producía más frecuentemente. En menor medida se hallaron varias deficiencias en la evaluación de riesgos (a diversos niveles)</w:t>
      </w:r>
      <w:r w:rsidR="00377AA0" w:rsidRPr="00E57C96">
        <w:t xml:space="preserve"> que impedían que los funcionarios de la Unión gestionasen los riesgos de manera adecuada.</w:t>
      </w:r>
      <w:r w:rsidR="008B1746" w:rsidRPr="00E57C96">
        <w:t xml:space="preserve"> Los controles internos de las operaciones y transacciones tienden a ser razonablemente eficaces.</w:t>
      </w:r>
      <w:r w:rsidRPr="00E57C96">
        <w:rPr>
          <w:rFonts w:asciiTheme="minorHAnsi" w:hAnsiTheme="minorHAnsi" w:cs="Arial"/>
        </w:rPr>
        <w:t xml:space="preserve"> </w:t>
      </w:r>
      <w:r w:rsidRPr="00E57C96">
        <w:t>Se van a aplicar las Recomendaciones hechas a la Dirección</w:t>
      </w:r>
      <w:r w:rsidR="008B1746" w:rsidRPr="00E57C96">
        <w:t>,</w:t>
      </w:r>
      <w:r w:rsidRPr="00E57C96">
        <w:t xml:space="preserve"> con el apoyo del Secretario General</w:t>
      </w:r>
      <w:r w:rsidR="008B1746" w:rsidRPr="00E57C96">
        <w:t>,</w:t>
      </w:r>
      <w:r w:rsidRPr="00E57C96">
        <w:t xml:space="preserve"> y ello reforzará a la UIT para el cumplimiento de su mandato.</w:t>
      </w:r>
    </w:p>
    <w:p w:rsidR="001A7EA4" w:rsidRPr="00E57C96" w:rsidRDefault="001A7EA4" w:rsidP="00307B6B">
      <w:r w:rsidRPr="00E57C96">
        <w:t>8</w:t>
      </w:r>
      <w:r w:rsidRPr="00E57C96">
        <w:tab/>
        <w:t xml:space="preserve">La </w:t>
      </w:r>
      <w:r w:rsidR="008B1746" w:rsidRPr="00E57C96">
        <w:t xml:space="preserve">Auditoría Interna </w:t>
      </w:r>
      <w:r w:rsidRPr="00E57C96">
        <w:t xml:space="preserve">sigue la implementación de las acciones recomendadas, en su caso (véase también el punto sobre el seguimiento más adelante en el presente </w:t>
      </w:r>
      <w:r w:rsidR="00307B6B">
        <w:t>I</w:t>
      </w:r>
      <w:r w:rsidRPr="00E57C96">
        <w:t>nforme).</w:t>
      </w:r>
    </w:p>
    <w:p w:rsidR="001A7EA4" w:rsidRPr="00E57C96" w:rsidRDefault="001A7EA4" w:rsidP="00AD6B65">
      <w:pPr>
        <w:keepNext/>
        <w:keepLines/>
      </w:pPr>
      <w:r w:rsidRPr="00E57C96">
        <w:rPr>
          <w:i/>
          <w:iCs/>
        </w:rPr>
        <w:t xml:space="preserve">Se han </w:t>
      </w:r>
      <w:r w:rsidR="0030633F">
        <w:rPr>
          <w:i/>
          <w:iCs/>
        </w:rPr>
        <w:t>obtenido</w:t>
      </w:r>
      <w:r w:rsidRPr="00E57C96">
        <w:rPr>
          <w:i/>
          <w:iCs/>
        </w:rPr>
        <w:t xml:space="preserve"> l</w:t>
      </w:r>
      <w:r w:rsidR="0011509D" w:rsidRPr="00E57C96">
        <w:rPr>
          <w:i/>
          <w:iCs/>
        </w:rPr>
        <w:t>o</w:t>
      </w:r>
      <w:r w:rsidRPr="00E57C96">
        <w:rPr>
          <w:i/>
          <w:iCs/>
        </w:rPr>
        <w:t xml:space="preserve">s siguientes </w:t>
      </w:r>
      <w:r w:rsidR="0030633F" w:rsidRPr="0030633F">
        <w:rPr>
          <w:i/>
          <w:iCs/>
        </w:rPr>
        <w:t>compromisos de garantía</w:t>
      </w:r>
      <w:r w:rsidRPr="00E57C96">
        <w:rPr>
          <w:i/>
          <w:iCs/>
        </w:rPr>
        <w:t>:</w:t>
      </w:r>
    </w:p>
    <w:p w:rsidR="001A7EA4" w:rsidRPr="00E57C96" w:rsidRDefault="001A7EA4" w:rsidP="00307B6B">
      <w:pPr>
        <w:pStyle w:val="Headingb"/>
      </w:pPr>
      <w:r w:rsidRPr="00E57C96">
        <w:t>A</w:t>
      </w:r>
      <w:r w:rsidRPr="00E57C96">
        <w:tab/>
      </w:r>
      <w:r w:rsidR="0011509D" w:rsidRPr="00E57C96">
        <w:t xml:space="preserve">Auditoría de los viajes entre la Sede de la UIT y las </w:t>
      </w:r>
      <w:r w:rsidR="00307B6B">
        <w:t>O</w:t>
      </w:r>
      <w:r w:rsidR="0011509D" w:rsidRPr="00E57C96">
        <w:t>ficinas regionales y de zona</w:t>
      </w:r>
    </w:p>
    <w:p w:rsidR="001A7EA4" w:rsidRPr="00E57C96" w:rsidRDefault="006B3AAD" w:rsidP="00307B6B">
      <w:r w:rsidRPr="00E57C96">
        <w:t>9</w:t>
      </w:r>
      <w:r w:rsidRPr="00E57C96">
        <w:tab/>
      </w:r>
      <w:r w:rsidR="0011509D" w:rsidRPr="00E57C96">
        <w:t xml:space="preserve">La auditoría tenía por </w:t>
      </w:r>
      <w:r w:rsidR="0011509D" w:rsidRPr="00E57C96">
        <w:rPr>
          <w:u w:val="single"/>
        </w:rPr>
        <w:t>objeto</w:t>
      </w:r>
      <w:r w:rsidR="0011509D" w:rsidRPr="00E57C96">
        <w:t xml:space="preserve"> evaluar en qué medida los viajes entre la Sede de la UIT y las </w:t>
      </w:r>
      <w:r w:rsidR="00307B6B">
        <w:t>O</w:t>
      </w:r>
      <w:r w:rsidR="0011509D" w:rsidRPr="00E57C96">
        <w:t>ficinas regionales y de zona se han reducido o se pueden reducir y ser sustituidos por métodos de trabajo electrónicos internos y, por consiguiente, conducir a posibles reducciones de gastos. La auditoría abarcó el periodo del 1 de enero de 2012 al 31 de diciembre de 2014</w:t>
      </w:r>
      <w:r w:rsidRPr="00E57C96">
        <w:rPr>
          <w:rFonts w:asciiTheme="minorHAnsi" w:hAnsiTheme="minorHAnsi"/>
          <w:bCs/>
        </w:rPr>
        <w:t>.</w:t>
      </w:r>
    </w:p>
    <w:p w:rsidR="001A7EA4" w:rsidRPr="00E57C96" w:rsidRDefault="006B3AAD" w:rsidP="00307B6B">
      <w:r w:rsidRPr="00E57C96">
        <w:t>10</w:t>
      </w:r>
      <w:r w:rsidRPr="00E57C96">
        <w:tab/>
      </w:r>
      <w:r w:rsidR="0011509D" w:rsidRPr="00E57C96">
        <w:t xml:space="preserve">Se llegó a la conclusión de que las misiones realizadas en el pasado difícilmente se podían reducir o sustituir por métodos de trabajo electrónicos internos. </w:t>
      </w:r>
      <w:r w:rsidR="00CD54DF" w:rsidRPr="00E57C96">
        <w:t xml:space="preserve">Podría recurrirse al trabajo a distancia para </w:t>
      </w:r>
      <w:r w:rsidR="0011509D" w:rsidRPr="00E57C96">
        <w:t xml:space="preserve">las misiones relacionadas con la </w:t>
      </w:r>
      <w:r w:rsidR="0011509D" w:rsidRPr="00E57C96">
        <w:rPr>
          <w:i/>
          <w:iCs/>
        </w:rPr>
        <w:t>capacitación</w:t>
      </w:r>
      <w:r w:rsidR="0011509D" w:rsidRPr="00E57C96">
        <w:t xml:space="preserve"> siempre que fuera posible.</w:t>
      </w:r>
      <w:r w:rsidR="00CD54DF" w:rsidRPr="00E57C96">
        <w:t xml:space="preserve"> La Dirección comentó que la BDT ya había introducido medidas sustanciales de eficiencia y economía con respecto a los viajes. Globalmente,</w:t>
      </w:r>
      <w:r w:rsidR="0001522D" w:rsidRPr="00E57C96">
        <w:t xml:space="preserve"> las conclusiones de la auditoría dan al Secretario General una </w:t>
      </w:r>
      <w:r w:rsidR="0001522D" w:rsidRPr="00E57C96">
        <w:rPr>
          <w:i/>
          <w:iCs/>
        </w:rPr>
        <w:t>garantía razonable</w:t>
      </w:r>
      <w:r w:rsidR="0001522D" w:rsidRPr="00307B6B">
        <w:rPr>
          <w:rStyle w:val="FootnoteReference"/>
          <w:rFonts w:asciiTheme="minorHAnsi" w:hAnsiTheme="minorHAnsi"/>
          <w:sz w:val="20"/>
        </w:rPr>
        <w:footnoteReference w:id="4"/>
      </w:r>
      <w:r w:rsidR="0001522D" w:rsidRPr="00E57C96">
        <w:t xml:space="preserve"> de que, con respecto a los viajes entre la Sede de la UIT y las </w:t>
      </w:r>
      <w:r w:rsidR="00307B6B">
        <w:t>O</w:t>
      </w:r>
      <w:r w:rsidR="0001522D" w:rsidRPr="00E57C96">
        <w:t>ficinas regionales y de zona, los métodos de trabajo electrónicos internos se utilizan de manera adecuada y que, por consiguiente, los recursos de la UIT se utilizan de una manera razonablemente económica</w:t>
      </w:r>
      <w:r w:rsidRPr="00E57C96">
        <w:t>.</w:t>
      </w:r>
    </w:p>
    <w:p w:rsidR="007C4A29" w:rsidRPr="00E57C96" w:rsidRDefault="007C4A29" w:rsidP="0001522D">
      <w:pPr>
        <w:pStyle w:val="Headingb"/>
      </w:pPr>
      <w:r w:rsidRPr="00E57C96">
        <w:t>B</w:t>
      </w:r>
      <w:r w:rsidRPr="00E57C96">
        <w:tab/>
        <w:t>Audit</w:t>
      </w:r>
      <w:r w:rsidR="0001522D" w:rsidRPr="00E57C96">
        <w:t>oría de la</w:t>
      </w:r>
      <w:r w:rsidRPr="00E57C96">
        <w:t xml:space="preserve"> revisión y posible reducción de grados de los puestos vacantes</w:t>
      </w:r>
    </w:p>
    <w:p w:rsidR="007C4A29" w:rsidRPr="00E57C96" w:rsidRDefault="007C4A29" w:rsidP="00F346F2">
      <w:r w:rsidRPr="00E57C96">
        <w:t>11</w:t>
      </w:r>
      <w:r w:rsidRPr="00E57C96">
        <w:tab/>
      </w:r>
      <w:r w:rsidR="0001522D" w:rsidRPr="00E57C96">
        <w:t xml:space="preserve">La auditoría tenía por </w:t>
      </w:r>
      <w:r w:rsidR="0001522D" w:rsidRPr="00E57C96">
        <w:rPr>
          <w:u w:val="single"/>
        </w:rPr>
        <w:t>objeto</w:t>
      </w:r>
      <w:r w:rsidR="0001522D" w:rsidRPr="00E57C96">
        <w:t xml:space="preserve"> evaluar el proceso de clasificación de puestos y en qué medida la revisión de los grados de los empleos vacantes habían generado ahorros. La auditoría también abarcó parcialmente la revisión y </w:t>
      </w:r>
      <w:r w:rsidR="00F346F2" w:rsidRPr="00E57C96">
        <w:t>el aumento de grado</w:t>
      </w:r>
      <w:r w:rsidR="0001522D" w:rsidRPr="00E57C96">
        <w:t xml:space="preserve"> de los empleos a fin de obtener una imagen exhaustiva del mecanismo de clasificación de empleos y de las consecuencias financieras de</w:t>
      </w:r>
      <w:r w:rsidR="00F346F2" w:rsidRPr="00E57C96">
        <w:t>l aumento de los grados</w:t>
      </w:r>
      <w:r w:rsidR="0001522D" w:rsidRPr="00E57C96">
        <w:t>.</w:t>
      </w:r>
      <w:r w:rsidRPr="00E57C96">
        <w:rPr>
          <w:bCs/>
        </w:rPr>
        <w:t xml:space="preserve"> </w:t>
      </w:r>
      <w:r w:rsidR="00CD54DF" w:rsidRPr="00E57C96">
        <w:rPr>
          <w:bCs/>
        </w:rPr>
        <w:t>La auditoría abarcó el periodo del 1 de enero de 2012 al 31 de diciembre de 2014</w:t>
      </w:r>
      <w:r w:rsidRPr="00E57C96">
        <w:t>.</w:t>
      </w:r>
    </w:p>
    <w:p w:rsidR="007C4A29" w:rsidRPr="00E57C96" w:rsidRDefault="007C4A29" w:rsidP="00F346F2">
      <w:r w:rsidRPr="00E57C96">
        <w:lastRenderedPageBreak/>
        <w:t>12</w:t>
      </w:r>
      <w:r w:rsidRPr="00E57C96">
        <w:tab/>
      </w:r>
      <w:r w:rsidR="00F346F2" w:rsidRPr="00E57C96">
        <w:t>Se llegó a la conclusión de que la reducción de grados de los empleos en el periodo 2012-2014 generó 370.728 CHF de ahorros anuales. Esos ahorros fueron compensados por 257.251 CHF de gastos anuales adicionales debido al aumento de grados de otros empleos. El proceso de clasificación está bien controlado y los riesgos de justificaciones inapropiadas a efectos de clasificación están gestionados y conducen a decisiones coherentes de clasificación. Debe mejorarse el aspecto de la gobernanza mediante una actualización de la nota de servicio aplicable. El Departamento de Gestión de Recursos Humanos comentó que se está preparando esa nota de servicio</w:t>
      </w:r>
      <w:r w:rsidRPr="00E57C96">
        <w:t>.</w:t>
      </w:r>
    </w:p>
    <w:p w:rsidR="007C4A29" w:rsidRPr="00E57C96" w:rsidRDefault="007C4A29" w:rsidP="0023696F">
      <w:r w:rsidRPr="00E57C96">
        <w:t>13</w:t>
      </w:r>
      <w:r w:rsidRPr="00E57C96">
        <w:tab/>
      </w:r>
      <w:r w:rsidR="0023696F" w:rsidRPr="00E57C96">
        <w:t xml:space="preserve">Globalmente, las conclusiones de la auditoría dan al Secretario General una </w:t>
      </w:r>
      <w:r w:rsidR="0023696F" w:rsidRPr="00E57C96">
        <w:rPr>
          <w:i/>
          <w:iCs/>
        </w:rPr>
        <w:t>garantía razonable</w:t>
      </w:r>
      <w:r w:rsidR="0023696F" w:rsidRPr="00E57C96">
        <w:t xml:space="preserve"> de que existen controles efectivos del proceso de clasificación y que los riesgos correspondientes están controlados. Deben mejorarse los aspectos de la gobernanza. La Auditoría Interna también llegó a la conclusión de que la reducción de los grados de puestos vacantes en 2012-2014 generaban ahorros.</w:t>
      </w:r>
    </w:p>
    <w:p w:rsidR="007C4A29" w:rsidRPr="00E57C96" w:rsidRDefault="007C4A29" w:rsidP="0023696F">
      <w:pPr>
        <w:pStyle w:val="Headingb"/>
      </w:pPr>
      <w:r w:rsidRPr="00E57C96">
        <w:t>C</w:t>
      </w:r>
      <w:r w:rsidRPr="00E57C96">
        <w:tab/>
      </w:r>
      <w:r w:rsidR="0023696F" w:rsidRPr="00E57C96">
        <w:t>Auditoría de la</w:t>
      </w:r>
      <w:r w:rsidRPr="00E57C96">
        <w:t xml:space="preserve"> </w:t>
      </w:r>
      <w:r w:rsidR="0023696F" w:rsidRPr="00E57C96">
        <w:t>tesorería y las inversiones</w:t>
      </w:r>
    </w:p>
    <w:p w:rsidR="005B3A7E" w:rsidRPr="00E57C96" w:rsidRDefault="005B3A7E" w:rsidP="00307B6B">
      <w:r w:rsidRPr="00E57C96">
        <w:t>14</w:t>
      </w:r>
      <w:r w:rsidRPr="00E57C96">
        <w:tab/>
      </w:r>
      <w:r w:rsidR="0023696F" w:rsidRPr="00E57C96">
        <w:t xml:space="preserve">La auditoría tenía por </w:t>
      </w:r>
      <w:r w:rsidR="0023696F" w:rsidRPr="00E57C96">
        <w:rPr>
          <w:u w:val="single"/>
        </w:rPr>
        <w:t>objeto</w:t>
      </w:r>
      <w:r w:rsidRPr="00E57C96">
        <w:t xml:space="preserve">: i) </w:t>
      </w:r>
      <w:r w:rsidR="0023696F" w:rsidRPr="00E57C96">
        <w:t>examinar y evaluar los controles internos (</w:t>
      </w:r>
      <w:r w:rsidR="00EA024E" w:rsidRPr="00E57C96">
        <w:t>y los informes al respecto), así como su efectividad en todo lo relacionado con las decisiones de inversión de la UIT, ii) verificar el proceso de gobernanza, las políticas, los procedimientos y marcos normativos, y iii) evaluar c</w:t>
      </w:r>
      <w:r w:rsidR="00307B6B">
        <w:t>ó</w:t>
      </w:r>
      <w:r w:rsidR="00EA024E" w:rsidRPr="00E57C96">
        <w:t>mo se gestionan los riesgos que acompañan las actividades de inversión. La auditoría abarcó el per</w:t>
      </w:r>
      <w:r w:rsidR="00307B6B">
        <w:t>i</w:t>
      </w:r>
      <w:r w:rsidR="00EA024E" w:rsidRPr="00E57C96">
        <w:t>odo de 2012 a 2014 (y principios de 2015)</w:t>
      </w:r>
      <w:r w:rsidRPr="00E57C96">
        <w:t>.</w:t>
      </w:r>
    </w:p>
    <w:p w:rsidR="005B3A7E" w:rsidRPr="00E57C96" w:rsidRDefault="005B3A7E" w:rsidP="008D2164">
      <w:r w:rsidRPr="00E57C96">
        <w:t>15</w:t>
      </w:r>
      <w:r w:rsidRPr="00E57C96">
        <w:tab/>
      </w:r>
      <w:r w:rsidR="00EA024E" w:rsidRPr="00E57C96">
        <w:t>La Auditoría Interna observó aspectos positivos tales como i)</w:t>
      </w:r>
      <w:r w:rsidR="008D2164" w:rsidRPr="00E57C96">
        <w:t xml:space="preserve"> una tesorería suficiente para cubrir los gastos operacionales previstos (la muestra verificada no puso de manifiesto ningún caso de falta de tesorería), ii) doble firma de las instrucciones de inversión a los bancos (no se encontró ningún caso de transacciones/telefaxes erróneos en los ficheros examinados), y iii) no se encontraron anomalías de transacciones incompatibles en los ficheros relativos a las inversiones</w:t>
      </w:r>
      <w:r w:rsidRPr="00E57C96">
        <w:t>.</w:t>
      </w:r>
    </w:p>
    <w:p w:rsidR="001A7EA4" w:rsidRPr="00E57C96" w:rsidRDefault="005B3A7E" w:rsidP="002D4E28">
      <w:r w:rsidRPr="00E57C96">
        <w:t>16</w:t>
      </w:r>
      <w:r w:rsidRPr="00E57C96">
        <w:tab/>
        <w:t xml:space="preserve">Observaciones de la </w:t>
      </w:r>
      <w:r w:rsidR="008D2164" w:rsidRPr="00E57C96">
        <w:t>Auditoría Interna</w:t>
      </w:r>
      <w:r w:rsidRPr="00E57C96">
        <w:t>, recomendaciones de alta prioridad y comentarios de la Dirección:</w:t>
      </w:r>
    </w:p>
    <w:p w:rsidR="00E6126E" w:rsidRPr="00E57C96" w:rsidRDefault="00E6126E" w:rsidP="00BE2D09">
      <w:pPr>
        <w:pStyle w:val="enumlev1"/>
      </w:pPr>
      <w:r w:rsidRPr="00E57C96">
        <w:t>i)</w:t>
      </w:r>
      <w:r w:rsidRPr="00E57C96">
        <w:tab/>
      </w:r>
      <w:r w:rsidR="00BE2D09" w:rsidRPr="00E57C96">
        <w:t>Se recomendó adoptar un procedimiento de gestión de los tipos de interés negativos y contemplar la creación de un grupo asesor interno. La Dirección comentó que debían tenerse en cuenta todas las consecuencias jurídicas y financieras y que se preparará un procedimiento oficial a largo plazo que se someterá a la aprobación del Secretario General</w:t>
      </w:r>
      <w:r w:rsidRPr="00E57C96">
        <w:t>.</w:t>
      </w:r>
    </w:p>
    <w:p w:rsidR="00E6126E" w:rsidRPr="00E57C96" w:rsidRDefault="00E6126E" w:rsidP="00A760C1">
      <w:pPr>
        <w:pStyle w:val="enumlev1"/>
      </w:pPr>
      <w:r w:rsidRPr="00E57C96">
        <w:t>ii)</w:t>
      </w:r>
      <w:r w:rsidRPr="00E57C96">
        <w:tab/>
      </w:r>
      <w:r w:rsidR="00A760C1" w:rsidRPr="00E57C96">
        <w:t>Se recomendó trabajar sobre el mecanismo de presentación de informes para publicar un informe de previsión de flujos de caja a fin de mitigar riesgos potenciales de falta de reactividad ante una situación determinada. La Dirección comentó que tomaba nota de la recomendación y que se habían iniciado discusiones al respecto</w:t>
      </w:r>
      <w:r w:rsidRPr="00E57C96">
        <w:t>.</w:t>
      </w:r>
    </w:p>
    <w:p w:rsidR="00E6126E" w:rsidRPr="00E57C96" w:rsidRDefault="00E6126E" w:rsidP="0005494E">
      <w:pPr>
        <w:pStyle w:val="enumlev1"/>
      </w:pPr>
      <w:r w:rsidRPr="00E57C96">
        <w:t>iii)</w:t>
      </w:r>
      <w:r w:rsidRPr="00E57C96">
        <w:tab/>
      </w:r>
      <w:r w:rsidR="00A760C1" w:rsidRPr="00E57C96">
        <w:t>Se recomendó completar la implementación del módulo de Gestión de Caja con todas sus funcionalidades e impartir una formación apropiada a sus usuarios,</w:t>
      </w:r>
      <w:r w:rsidR="0005494E" w:rsidRPr="00E57C96">
        <w:t xml:space="preserve"> a fin de limitar posibles riesgos de error y de eficiencia reducida. La Dirección comentó que estaba de acuerdo con la recomendación pero previno sobre la adopción de aplicaciones sobredimensionadas para la UIT</w:t>
      </w:r>
      <w:r w:rsidRPr="00E57C96">
        <w:t>.</w:t>
      </w:r>
    </w:p>
    <w:p w:rsidR="00E6126E" w:rsidRPr="00E57C96" w:rsidRDefault="00E6126E" w:rsidP="00307B6B">
      <w:pPr>
        <w:pStyle w:val="enumlev1"/>
      </w:pPr>
      <w:r w:rsidRPr="00E57C96">
        <w:lastRenderedPageBreak/>
        <w:t>iv)</w:t>
      </w:r>
      <w:r w:rsidRPr="00E57C96">
        <w:tab/>
      </w:r>
      <w:r w:rsidR="0005494E" w:rsidRPr="00E57C96">
        <w:t xml:space="preserve">Se recomendó generalizar la banca electrónica para limitar los riesgos de transacciones </w:t>
      </w:r>
      <w:r w:rsidR="00307B6B">
        <w:t>"</w:t>
      </w:r>
      <w:r w:rsidR="0005494E" w:rsidRPr="00E57C96">
        <w:t>manuales</w:t>
      </w:r>
      <w:r w:rsidR="00307B6B">
        <w:t>"</w:t>
      </w:r>
      <w:r w:rsidR="0005494E" w:rsidRPr="00E57C96">
        <w:t xml:space="preserve"> erróneas (por telefax). La Dirección comentó que consideraba que el procedimiento actual era más seguro que el electrónico y que, por lo tanto, no tenía intención de aplicar globalmente la Recomendación</w:t>
      </w:r>
      <w:r w:rsidRPr="00E57C96">
        <w:t>.</w:t>
      </w:r>
    </w:p>
    <w:p w:rsidR="007C4A29" w:rsidRPr="00E57C96" w:rsidRDefault="00773F58" w:rsidP="005A36AF">
      <w:r w:rsidRPr="00E57C96">
        <w:t>17</w:t>
      </w:r>
      <w:r w:rsidRPr="00E57C96">
        <w:tab/>
      </w:r>
      <w:r w:rsidR="0005494E" w:rsidRPr="00E57C96">
        <w:t xml:space="preserve">Globalmente, para el número limitado de transacciones de inversión tramitadas anualmente, se dio al Secretario General una </w:t>
      </w:r>
      <w:r w:rsidR="0005494E" w:rsidRPr="00E57C96">
        <w:rPr>
          <w:i/>
          <w:iCs/>
        </w:rPr>
        <w:t>garantía razonable</w:t>
      </w:r>
      <w:r w:rsidR="0005494E" w:rsidRPr="00E57C96">
        <w:t xml:space="preserve"> de que, a efectos de tesorería e inversión, los controles internos, la gestión de riesgos y las prácticas de gobernanza funciona</w:t>
      </w:r>
      <w:r w:rsidR="005A36AF" w:rsidRPr="00E57C96">
        <w:t>ban.</w:t>
      </w:r>
    </w:p>
    <w:p w:rsidR="00773F58" w:rsidRPr="00E57C96" w:rsidRDefault="00773F58" w:rsidP="00234C50">
      <w:pPr>
        <w:pStyle w:val="Headingb"/>
      </w:pPr>
      <w:r w:rsidRPr="00E57C96">
        <w:t>D</w:t>
      </w:r>
      <w:r w:rsidRPr="00E57C96">
        <w:tab/>
      </w:r>
      <w:r w:rsidR="0006190C" w:rsidRPr="00E57C96">
        <w:t>Marco reglamentario interno de la UIT (</w:t>
      </w:r>
      <w:r w:rsidR="00234C50" w:rsidRPr="00E57C96">
        <w:t>Órdenes</w:t>
      </w:r>
      <w:r w:rsidR="005A36AF" w:rsidRPr="00E57C96">
        <w:t xml:space="preserve"> </w:t>
      </w:r>
      <w:r w:rsidR="0006190C" w:rsidRPr="00E57C96">
        <w:t>de Servicio)</w:t>
      </w:r>
    </w:p>
    <w:p w:rsidR="00433D1E" w:rsidRPr="00E57C96" w:rsidRDefault="00433D1E" w:rsidP="00234C50">
      <w:r w:rsidRPr="00E57C96">
        <w:t>18</w:t>
      </w:r>
      <w:r w:rsidRPr="00E57C96">
        <w:tab/>
      </w:r>
      <w:r w:rsidR="004E4D1A" w:rsidRPr="00E57C96">
        <w:t xml:space="preserve">Esta auditoría tenía por objeto examinar la precisión y validez de todas las </w:t>
      </w:r>
      <w:r w:rsidR="00234C50" w:rsidRPr="00E57C96">
        <w:t>órdenes</w:t>
      </w:r>
      <w:r w:rsidR="004E4D1A" w:rsidRPr="00E57C96">
        <w:t xml:space="preserve"> de servicio vigentes</w:t>
      </w:r>
      <w:r w:rsidR="00B91E83" w:rsidRPr="00307B6B">
        <w:rPr>
          <w:rStyle w:val="FootnoteReference"/>
        </w:rPr>
        <w:footnoteReference w:id="5"/>
      </w:r>
      <w:r w:rsidR="004E4D1A" w:rsidRPr="00E57C96">
        <w:t xml:space="preserve"> para determinar si todavía correspondían a la reglamentación vigente, a otros procedimientos aplicables y prácticas idóneas. Durante la preparación de la auditoría, la Auditoría Interna fue informada de que el Secretario General había encomendado recientemente al Jefe del Departamento de Gestión de Recursos Humanos (HRMD) que coordinase (y dirigiese) un estudio de las </w:t>
      </w:r>
      <w:r w:rsidR="00234C50" w:rsidRPr="00E57C96">
        <w:t>órdenes</w:t>
      </w:r>
      <w:r w:rsidR="004E4D1A" w:rsidRPr="00E57C96">
        <w:t xml:space="preserve"> de servicio.</w:t>
      </w:r>
      <w:r w:rsidR="00B91E83" w:rsidRPr="00E57C96">
        <w:t xml:space="preserve"> La Auditoría Interna renunció por consiguiente el trabajo de auditoría y publicó una nota de auditoría para i) describir los trabajos en curso (por colegas competentes) al respecto y ii) evaluar los posibles riesgos restantes</w:t>
      </w:r>
      <w:r w:rsidRPr="00E57C96">
        <w:t>.</w:t>
      </w:r>
    </w:p>
    <w:p w:rsidR="00433D1E" w:rsidRPr="00E57C96" w:rsidRDefault="00433D1E" w:rsidP="00B902EF">
      <w:r w:rsidRPr="00E57C96">
        <w:t>19</w:t>
      </w:r>
      <w:r w:rsidRPr="00E57C96">
        <w:tab/>
      </w:r>
      <w:r w:rsidR="00B902EF" w:rsidRPr="00E57C96">
        <w:t>La Auditoría Interna llegó a las conclusiones siguientes</w:t>
      </w:r>
      <w:r w:rsidRPr="00E57C96">
        <w:t>:</w:t>
      </w:r>
    </w:p>
    <w:p w:rsidR="00433D1E" w:rsidRPr="00E57C96" w:rsidRDefault="00433D1E" w:rsidP="00FE6C80">
      <w:pPr>
        <w:pStyle w:val="enumlev1"/>
      </w:pPr>
      <w:r w:rsidRPr="00E57C96">
        <w:t>i)</w:t>
      </w:r>
      <w:r w:rsidRPr="00E57C96">
        <w:tab/>
      </w:r>
      <w:r w:rsidR="00E90261" w:rsidRPr="00E57C96">
        <w:t xml:space="preserve">La revisión se está llevando a cabo y, una vez terminada, se habría limitado el riesgo de imprecisión de las </w:t>
      </w:r>
      <w:r w:rsidR="00FE6C80" w:rsidRPr="00E57C96">
        <w:t>reglamentaciones internas/instrucciones administrativas</w:t>
      </w:r>
      <w:r w:rsidRPr="00E57C96">
        <w:t>.</w:t>
      </w:r>
    </w:p>
    <w:p w:rsidR="00433D1E" w:rsidRPr="00E57C96" w:rsidRDefault="00433D1E" w:rsidP="00307B6B">
      <w:pPr>
        <w:pStyle w:val="enumlev1"/>
      </w:pPr>
      <w:r w:rsidRPr="00E57C96">
        <w:t>ii)</w:t>
      </w:r>
      <w:r w:rsidRPr="00E57C96">
        <w:tab/>
      </w:r>
      <w:r w:rsidR="00FE6C80" w:rsidRPr="00E57C96">
        <w:t xml:space="preserve">La definición de </w:t>
      </w:r>
      <w:r w:rsidR="00307B6B">
        <w:t>"</w:t>
      </w:r>
      <w:r w:rsidR="00234C50" w:rsidRPr="00E57C96">
        <w:t>Orden</w:t>
      </w:r>
      <w:r w:rsidR="00FE6C80" w:rsidRPr="00E57C96">
        <w:t xml:space="preserve"> de Servicio</w:t>
      </w:r>
      <w:r w:rsidR="00307B6B">
        <w:t>"</w:t>
      </w:r>
      <w:r w:rsidR="00FE6C80" w:rsidRPr="00E57C96">
        <w:t xml:space="preserve"> (y la relación entre </w:t>
      </w:r>
      <w:r w:rsidR="00234C50" w:rsidRPr="00E57C96">
        <w:t>orden</w:t>
      </w:r>
      <w:r w:rsidR="00FE6C80" w:rsidRPr="00E57C96">
        <w:t xml:space="preserve"> de servicio y </w:t>
      </w:r>
      <w:r w:rsidR="00234C50" w:rsidRPr="00E57C96">
        <w:t>nota</w:t>
      </w:r>
      <w:r w:rsidR="007E7581" w:rsidRPr="00E57C96">
        <w:t xml:space="preserve"> interno</w:t>
      </w:r>
      <w:r w:rsidR="00FE6C80" w:rsidRPr="00E57C96">
        <w:t xml:space="preserve">) se indica claramente en la </w:t>
      </w:r>
      <w:r w:rsidR="00234C50" w:rsidRPr="00E57C96">
        <w:t>Orden de</w:t>
      </w:r>
      <w:r w:rsidR="00FE6C80" w:rsidRPr="00E57C96">
        <w:t xml:space="preserve"> Servicio 00/1</w:t>
      </w:r>
      <w:r w:rsidRPr="00E57C96">
        <w:t>.</w:t>
      </w:r>
    </w:p>
    <w:p w:rsidR="00433D1E" w:rsidRPr="00E57C96" w:rsidRDefault="00433D1E" w:rsidP="00234C50">
      <w:pPr>
        <w:pStyle w:val="enumlev1"/>
      </w:pPr>
      <w:r w:rsidRPr="00E57C96">
        <w:t>iii)</w:t>
      </w:r>
      <w:r w:rsidRPr="00E57C96">
        <w:tab/>
      </w:r>
      <w:r w:rsidR="007E7581" w:rsidRPr="00E57C96">
        <w:t xml:space="preserve">La función de la Dirección se enmarca en el proceso gracias a varios mecanismos de revisión. </w:t>
      </w:r>
      <w:r w:rsidR="00234C50" w:rsidRPr="00E57C96">
        <w:t>E</w:t>
      </w:r>
      <w:r w:rsidR="007E7581" w:rsidRPr="00E57C96">
        <w:t>l actual ejercicio de revisión, seguido por el Jefe de HRMD, el Asesor Jurídico y los servicios de la biblioteca, se lleva a cabo en estrecha colaboración con los administradores interesados</w:t>
      </w:r>
      <w:r w:rsidRPr="00E57C96">
        <w:t>.</w:t>
      </w:r>
    </w:p>
    <w:p w:rsidR="00433D1E" w:rsidRPr="00E57C96" w:rsidRDefault="00234C50" w:rsidP="00234C50">
      <w:r w:rsidRPr="00E57C96">
        <w:t>Se recomendó que el departamento coordinador (HRMD) continuase el estrecho seguimiento del trabajo de revisión a fin de ofrecer al Secretario General la garantía de que la Secretaría de la UIT dispone de normativas internas actualizadas y precisas para una gobernanza coherente y efectiva</w:t>
      </w:r>
      <w:r w:rsidR="00433D1E" w:rsidRPr="00E57C96">
        <w:rPr>
          <w:bCs/>
          <w:iCs/>
          <w:color w:val="000000"/>
        </w:rPr>
        <w:t>.</w:t>
      </w:r>
    </w:p>
    <w:p w:rsidR="00E7629F" w:rsidRPr="00E57C96" w:rsidRDefault="00E7629F" w:rsidP="004630FA">
      <w:pPr>
        <w:pStyle w:val="Headingb"/>
      </w:pPr>
      <w:r w:rsidRPr="00E57C96">
        <w:lastRenderedPageBreak/>
        <w:t>E</w:t>
      </w:r>
      <w:r w:rsidRPr="00E57C96">
        <w:tab/>
      </w:r>
      <w:r w:rsidR="004630FA" w:rsidRPr="00E57C96">
        <w:t>Auditoría de las licencias de software</w:t>
      </w:r>
    </w:p>
    <w:p w:rsidR="00EC687B" w:rsidRPr="00E57C96" w:rsidRDefault="00EC687B" w:rsidP="00135C48">
      <w:r w:rsidRPr="00E57C96">
        <w:t>20</w:t>
      </w:r>
      <w:r w:rsidRPr="00E57C96">
        <w:tab/>
      </w:r>
      <w:r w:rsidR="00135C48" w:rsidRPr="00E57C96">
        <w:t xml:space="preserve">La auditoría tenía por </w:t>
      </w:r>
      <w:r w:rsidR="00135C48" w:rsidRPr="00E57C96">
        <w:rPr>
          <w:u w:val="single"/>
        </w:rPr>
        <w:t>objeto</w:t>
      </w:r>
      <w:r w:rsidR="00135C48" w:rsidRPr="00E57C96">
        <w:t>: i) examinar y evaluar el sistema de inventario de las licencias de software vigentes, ii) evaluar los controles internos para impedir o detectar errores e irregularidades materiales así como determinar si las políticas y orientaciones son suficientes para que el personal pueda impedir riesgos económicos o de incumplimiento de licencias, y iii) determinar como la Unión administra software conforme a los procedimientos, normativas y políticas aplicables. La auditoría abarcó el periodo de enero de 2013 a diciembre de 2014</w:t>
      </w:r>
      <w:r w:rsidRPr="00E57C96">
        <w:t>.</w:t>
      </w:r>
    </w:p>
    <w:p w:rsidR="00EC687B" w:rsidRPr="00E57C96" w:rsidRDefault="002820AA" w:rsidP="00135C48">
      <w:pPr>
        <w:rPr>
          <w:rFonts w:asciiTheme="minorHAnsi" w:hAnsiTheme="minorHAnsi"/>
        </w:rPr>
      </w:pPr>
      <w:r w:rsidRPr="00E57C96">
        <w:t>21</w:t>
      </w:r>
      <w:r w:rsidRPr="00E57C96">
        <w:tab/>
        <w:t xml:space="preserve">Observaciones de la </w:t>
      </w:r>
      <w:r w:rsidR="00FF2A86" w:rsidRPr="00E57C96">
        <w:t>Auditoría Interna</w:t>
      </w:r>
      <w:r w:rsidRPr="00E57C96">
        <w:t>, recomendaciones y comentarios de la Dirección:</w:t>
      </w:r>
    </w:p>
    <w:p w:rsidR="00EC687B" w:rsidRPr="00E57C96" w:rsidRDefault="002B0BA2" w:rsidP="00FF2A86">
      <w:pPr>
        <w:pStyle w:val="enumlev1"/>
      </w:pPr>
      <w:r w:rsidRPr="00E57C96">
        <w:t>i)</w:t>
      </w:r>
      <w:r w:rsidRPr="00E57C96">
        <w:tab/>
      </w:r>
      <w:r w:rsidR="0060031F" w:rsidRPr="00E57C96">
        <w:t>Deberían señalarse políticas y directrices adicionales sobre todos los tipos de software a los funcionarios de la UIT, a fin de limitar posibles riesgos de incumplimiento con respecto a acuerdos de software. La Dirección comentó que, en caso de duda, los usuarios deben ponerse en contacto con la Unidad de Asuntos Jurídicos para aclarar el significado de las cláusulas de esas licencias (en particular, las cláusulas</w:t>
      </w:r>
      <w:r w:rsidR="00C549F5" w:rsidRPr="00E57C96">
        <w:t xml:space="preserve"> </w:t>
      </w:r>
      <w:r w:rsidR="00FF2A86">
        <w:t>"</w:t>
      </w:r>
      <w:r w:rsidR="00C549F5" w:rsidRPr="00E57C96">
        <w:t>gratuito para uso no comercial</w:t>
      </w:r>
      <w:r w:rsidR="00FF2A86">
        <w:t>"</w:t>
      </w:r>
      <w:r w:rsidR="00C549F5" w:rsidRPr="00E57C96">
        <w:t>)</w:t>
      </w:r>
      <w:r w:rsidR="00EC687B" w:rsidRPr="00E57C96">
        <w:t>.</w:t>
      </w:r>
    </w:p>
    <w:p w:rsidR="00EC687B" w:rsidRPr="00E57C96" w:rsidRDefault="002B0BA2" w:rsidP="000203C7">
      <w:pPr>
        <w:pStyle w:val="enumlev1"/>
      </w:pPr>
      <w:r w:rsidRPr="00E57C96">
        <w:t>ii)</w:t>
      </w:r>
      <w:r w:rsidRPr="00E57C96">
        <w:tab/>
      </w:r>
      <w:r w:rsidR="00C549F5" w:rsidRPr="00E57C96">
        <w:t>El sistema de inventario actual no es óptimo.</w:t>
      </w:r>
      <w:r w:rsidR="007476C1" w:rsidRPr="00E57C96">
        <w:t xml:space="preserve"> Debería documentarse la conciliación anual entre los datos de SCCM (base de datos del Departamento de Servicios Informáticos (ISD)) y el informe de activos informáticos SAP (datos FRMD) con un posible aumento de su frecuencia para facilitar el ejercicio de inventario anual. La Dirección comentó</w:t>
      </w:r>
      <w:r w:rsidR="000203C7" w:rsidRPr="00E57C96">
        <w:t xml:space="preserve"> que el ISD debía llevar a cabo, en su caso, las modificaciones necesarias, principalmente suprimiendo software no utilizados o llanos soportados por proveedores informáticos, y que se revisaría y pondría al día la documentación para el ejercicio anual de conciliación de licencias informáticas</w:t>
      </w:r>
      <w:r w:rsidR="00EC687B" w:rsidRPr="00E57C96">
        <w:t>.</w:t>
      </w:r>
    </w:p>
    <w:p w:rsidR="00EC687B" w:rsidRDefault="002B0BA2" w:rsidP="00FF2A86">
      <w:pPr>
        <w:pStyle w:val="enumlev1"/>
      </w:pPr>
      <w:r w:rsidRPr="00E57C96">
        <w:t>iii)</w:t>
      </w:r>
      <w:r w:rsidRPr="00E57C96">
        <w:tab/>
      </w:r>
      <w:r w:rsidR="000203C7" w:rsidRPr="00E57C96">
        <w:t>Debería crearse un informe que permitiera una clasificación por producto y por centro de coste en el SRM a fin de limitar el riesgo de inventarios incompletos y de incumplimiento de licencias. Debería publicarse el inventario de SCCM</w:t>
      </w:r>
      <w:r w:rsidR="00A812B9" w:rsidRPr="00E57C96">
        <w:t xml:space="preserve"> a fin de conciliar los datos de inventario, y debería documentarse la conciliación anual de licencias informáticas. La Dirección comentó que la UIT nunca utiliza códigos de productos detallados (p.ej. UNSPSC) que no sean las categorías de productos muy genéricas (antiguamente Grupos de material) utilizadas en el sistema SAP ERP, </w:t>
      </w:r>
      <w:r w:rsidR="00D161FB" w:rsidRPr="00E57C96">
        <w:t xml:space="preserve">y que los cánones de licencias figuran en la categoría genérica S341E </w:t>
      </w:r>
      <w:r w:rsidR="00FF2A86">
        <w:t>"</w:t>
      </w:r>
      <w:r w:rsidR="00D161FB" w:rsidRPr="00E57C96">
        <w:t>Arrendamiento-sistemas informáticos</w:t>
      </w:r>
      <w:r w:rsidR="00FF2A86">
        <w:t>"</w:t>
      </w:r>
      <w:r w:rsidR="00D161FB" w:rsidRPr="00E57C96">
        <w:t xml:space="preserve"> creada originalmente para el alquiler de equipos informáticos para eventos Telecom. La Dirección también comentó que ese debate también podía concernir al plan de cuentas</w:t>
      </w:r>
      <w:r w:rsidR="00EC687B" w:rsidRPr="00E57C96">
        <w:t>.</w:t>
      </w:r>
    </w:p>
    <w:p w:rsidR="00EC687B" w:rsidRPr="00E57C96" w:rsidRDefault="002B0BA2" w:rsidP="001608C2">
      <w:pPr>
        <w:pStyle w:val="enumlev1"/>
      </w:pPr>
      <w:r w:rsidRPr="00E57C96">
        <w:t>iv)</w:t>
      </w:r>
      <w:r w:rsidRPr="00E57C96">
        <w:tab/>
      </w:r>
      <w:r w:rsidR="00D161FB" w:rsidRPr="00E57C96">
        <w:t>Las adquisiciones de software en línea con la tarjeta de crédito de la UIT deberían atenerse al proceso de adquisición habitual y limitarse lo más posible (cuando no se pueda utilizar otro medio de pago) a fin de limitar los riesgos económicos para la Unión.</w:t>
      </w:r>
      <w:r w:rsidR="001608C2" w:rsidRPr="00E57C96">
        <w:t xml:space="preserve"> Habría que determinar la conveniencia de integrar las adquisiciones con tarjeta de crédito en el SRM, así como la eficacia económica de ese sistema. La Dirección se declaró conforme con las Recomendaciones pero destacó que consideraba que las adquisiciones con tarjeta de crédito ya estaban limitadas al mínimo</w:t>
      </w:r>
      <w:r w:rsidR="00EC687B" w:rsidRPr="00E57C96">
        <w:t>.</w:t>
      </w:r>
    </w:p>
    <w:p w:rsidR="00EC687B" w:rsidRPr="00E57C96" w:rsidRDefault="002B0BA2" w:rsidP="00D601EB">
      <w:pPr>
        <w:pStyle w:val="enumlev1"/>
      </w:pPr>
      <w:r w:rsidRPr="00E57C96">
        <w:lastRenderedPageBreak/>
        <w:t>v)</w:t>
      </w:r>
      <w:r w:rsidRPr="00E57C96">
        <w:tab/>
      </w:r>
      <w:r w:rsidR="001608C2" w:rsidRPr="00E57C96">
        <w:t>La Auditoría Interna señaló que se llevan a cabo controles de seguridad en varios niveles para limitar los riesgos para la Unión. Habría que establecer no obstante</w:t>
      </w:r>
      <w:r w:rsidR="00567A64" w:rsidRPr="00E57C96">
        <w:t xml:space="preserve"> la herramienta de alerta sobre SCCM para los software que pueden entrañar riesgos si son telecargados individualmente en las computadoras de los usuarios, a fin de limitar los riesgos de incumplimiento y seguridad relacionados con los derechos de administrador para los usuarios </w:t>
      </w:r>
      <w:r w:rsidR="00D601EB">
        <w:t>"</w:t>
      </w:r>
      <w:r w:rsidR="00567A64" w:rsidRPr="00E57C96">
        <w:t>lambda</w:t>
      </w:r>
      <w:r w:rsidR="00D601EB">
        <w:t>"</w:t>
      </w:r>
      <w:r w:rsidR="00567A64" w:rsidRPr="00E57C96">
        <w:t>. La Dirección comentó que mejorará la supervisión de los software que los funcionarios instalan en sus computadoras personales</w:t>
      </w:r>
      <w:r w:rsidR="00EC687B" w:rsidRPr="00E57C96">
        <w:t>.</w:t>
      </w:r>
    </w:p>
    <w:p w:rsidR="00EC687B" w:rsidRPr="00E57C96" w:rsidRDefault="002B0BA2" w:rsidP="002D253F">
      <w:r w:rsidRPr="00E57C96">
        <w:t>22</w:t>
      </w:r>
      <w:r w:rsidRPr="00E57C96">
        <w:tab/>
      </w:r>
      <w:r w:rsidR="005C11FC" w:rsidRPr="00E57C96">
        <w:rPr>
          <w:u w:val="single"/>
        </w:rPr>
        <w:t>Globalmente</w:t>
      </w:r>
      <w:r w:rsidR="005C11FC" w:rsidRPr="00E57C96">
        <w:t xml:space="preserve">, las conclusiones de la auditoría dan al Secretario General una </w:t>
      </w:r>
      <w:r w:rsidR="005C11FC" w:rsidRPr="00E57C96">
        <w:rPr>
          <w:i/>
          <w:iCs/>
        </w:rPr>
        <w:t>garantía razonable</w:t>
      </w:r>
      <w:r w:rsidR="005C11FC" w:rsidRPr="00E57C96">
        <w:t xml:space="preserve"> de que los controles internos, la gobernanza y los procesos de gestión de riesgos de la UIT funcionan. No obstante, la Auditoría Interna identificó posibilidades de mejora y riesgos asociados</w:t>
      </w:r>
      <w:r w:rsidR="002D253F" w:rsidRPr="00E57C96">
        <w:t xml:space="preserve"> con los procesos de inventario y de supervisión de licencias informáticas que, si se resuelven, fortalecerán específicamente los procesos informáticos para aumentar las garantías dadas al Secretario General</w:t>
      </w:r>
      <w:r w:rsidRPr="00E57C96">
        <w:t>.</w:t>
      </w:r>
    </w:p>
    <w:p w:rsidR="00EC687B" w:rsidRPr="00E57C96" w:rsidRDefault="00621345" w:rsidP="00D601EB">
      <w:pPr>
        <w:pStyle w:val="Headingb"/>
      </w:pPr>
      <w:r w:rsidRPr="00E57C96">
        <w:t>F</w:t>
      </w:r>
      <w:r w:rsidRPr="00E57C96">
        <w:tab/>
      </w:r>
      <w:r w:rsidR="00F304D4" w:rsidRPr="00E57C96">
        <w:t xml:space="preserve">Auditoría de las </w:t>
      </w:r>
      <w:r w:rsidR="00D601EB">
        <w:t>O</w:t>
      </w:r>
      <w:r w:rsidR="00F304D4" w:rsidRPr="00E57C96">
        <w:t>ficinas Regional y de Zona de África</w:t>
      </w:r>
    </w:p>
    <w:p w:rsidR="00EC687B" w:rsidRPr="00E57C96" w:rsidRDefault="00D57AC0" w:rsidP="00D601EB">
      <w:r w:rsidRPr="00E57C96">
        <w:t>23</w:t>
      </w:r>
      <w:r w:rsidRPr="00E57C96">
        <w:tab/>
      </w:r>
      <w:r w:rsidR="002D253F" w:rsidRPr="00E57C96">
        <w:t xml:space="preserve">La Auditoría Interna efectuó una auditoría de las Oficinas de zona de Dakar (Senegal) y Yaoundé (Camerún) para el periodo </w:t>
      </w:r>
      <w:r w:rsidR="007A6C80" w:rsidRPr="00E57C96">
        <w:t>de enero de 2013 a junio de 2015. Los</w:t>
      </w:r>
      <w:r w:rsidR="007A6C80" w:rsidRPr="00E57C96">
        <w:rPr>
          <w:u w:val="single"/>
        </w:rPr>
        <w:t xml:space="preserve"> objetivos </w:t>
      </w:r>
      <w:r w:rsidR="007A6C80" w:rsidRPr="00E57C96">
        <w:t xml:space="preserve">de la auditoría eran: i) examinar y evaluar el acuerdo de país anfitrión y las políticas vigentes, ii) determinar en qué medida están mitigados los riesgos de seguridad y protección, así como determinar hasta qué punto las cajas menores y las transacciones bancarias son objeto de una orientación adecuada y si los riesgos correspondientes están mitigados, y iii) evaluar cómo las transacciones de las </w:t>
      </w:r>
      <w:r w:rsidR="00D601EB">
        <w:t>O</w:t>
      </w:r>
      <w:r w:rsidR="007A6C80" w:rsidRPr="00E57C96">
        <w:t>ficinas de zona están efectivamente controladas para que cumplan los procedimientos, normativas y políticas aplicables</w:t>
      </w:r>
      <w:r w:rsidR="00EC687B" w:rsidRPr="00E57C96">
        <w:t>.</w:t>
      </w:r>
    </w:p>
    <w:p w:rsidR="00EC687B" w:rsidRPr="00E57C96" w:rsidRDefault="00D57AC0" w:rsidP="00D601EB">
      <w:pPr>
        <w:rPr>
          <w:rFonts w:asciiTheme="minorHAnsi" w:hAnsiTheme="minorHAnsi"/>
        </w:rPr>
      </w:pPr>
      <w:r w:rsidRPr="00E57C96">
        <w:rPr>
          <w:rFonts w:asciiTheme="minorHAnsi" w:hAnsiTheme="minorHAnsi"/>
        </w:rPr>
        <w:t>24</w:t>
      </w:r>
      <w:r w:rsidRPr="00E57C96">
        <w:rPr>
          <w:rFonts w:asciiTheme="minorHAnsi" w:hAnsiTheme="minorHAnsi"/>
        </w:rPr>
        <w:tab/>
      </w:r>
      <w:r w:rsidR="003B03E0" w:rsidRPr="00E57C96">
        <w:rPr>
          <w:rFonts w:asciiTheme="minorHAnsi" w:hAnsiTheme="minorHAnsi"/>
        </w:rPr>
        <w:t xml:space="preserve">Una cuestión fundamental, a saber, el acceso (de colegas) a despachos de funcionarios ausentes en caso de emergencia o para necesidades de trabajo, ya se había tenido parcialmente en cuenta durante la visita de auditoría a la </w:t>
      </w:r>
      <w:r w:rsidR="00D601EB">
        <w:rPr>
          <w:rFonts w:asciiTheme="minorHAnsi" w:hAnsiTheme="minorHAnsi"/>
        </w:rPr>
        <w:t>O</w:t>
      </w:r>
      <w:r w:rsidR="003B03E0" w:rsidRPr="00E57C96">
        <w:rPr>
          <w:rFonts w:asciiTheme="minorHAnsi" w:hAnsiTheme="minorHAnsi"/>
        </w:rPr>
        <w:t>ficina de zona de Yaoundé, y la Auditoría Interna fue informada posteriormente de medidas adicionales</w:t>
      </w:r>
      <w:r w:rsidRPr="00E57C96">
        <w:rPr>
          <w:rFonts w:asciiTheme="minorHAnsi" w:hAnsiTheme="minorHAnsi"/>
        </w:rPr>
        <w:t>.</w:t>
      </w:r>
    </w:p>
    <w:p w:rsidR="00EC687B" w:rsidRPr="00E57C96" w:rsidRDefault="00AE16BB" w:rsidP="002D4E28">
      <w:r w:rsidRPr="00E57C96">
        <w:t xml:space="preserve">Observaciones de la </w:t>
      </w:r>
      <w:r w:rsidR="00D601EB" w:rsidRPr="00E57C96">
        <w:t>Auditoría Interna</w:t>
      </w:r>
      <w:r w:rsidRPr="00E57C96">
        <w:t>, recomendaciones y comentarios de la Dirección:</w:t>
      </w:r>
    </w:p>
    <w:p w:rsidR="00EC687B" w:rsidRPr="00E57C96" w:rsidRDefault="00955A66" w:rsidP="00B5747C">
      <w:pPr>
        <w:pStyle w:val="enumlev1"/>
        <w:rPr>
          <w:rFonts w:cs="Arial"/>
        </w:rPr>
      </w:pPr>
      <w:r w:rsidRPr="00E57C96">
        <w:t>i)</w:t>
      </w:r>
      <w:r w:rsidRPr="00E57C96">
        <w:tab/>
      </w:r>
      <w:r w:rsidR="003B03E0" w:rsidRPr="00E57C96">
        <w:t>Deberían resolverse las deficiencias de seguridad identificadas durante la auditoría y/o sobre la base de informes del UNDSS. Durante la auditoría, la Dirección ya informó a la Auditoría Interna</w:t>
      </w:r>
      <w:r w:rsidR="00B5747C" w:rsidRPr="00E57C96">
        <w:t xml:space="preserve"> de que se tendría en cuenta</w:t>
      </w:r>
      <w:r w:rsidR="00EC687B" w:rsidRPr="00E57C96">
        <w:rPr>
          <w:rFonts w:cs="Arial"/>
        </w:rPr>
        <w:t>.</w:t>
      </w:r>
    </w:p>
    <w:p w:rsidR="00EC687B" w:rsidRPr="00E57C96" w:rsidRDefault="00955A66" w:rsidP="00D601EB">
      <w:pPr>
        <w:pStyle w:val="enumlev1"/>
        <w:rPr>
          <w:rFonts w:cs="Arial"/>
        </w:rPr>
      </w:pPr>
      <w:r w:rsidRPr="00E57C96">
        <w:rPr>
          <w:rFonts w:cs="Arial"/>
        </w:rPr>
        <w:t>ii)</w:t>
      </w:r>
      <w:r w:rsidRPr="00E57C96">
        <w:rPr>
          <w:rFonts w:cs="Arial"/>
        </w:rPr>
        <w:tab/>
      </w:r>
      <w:r w:rsidR="00B5747C" w:rsidRPr="00E57C96">
        <w:rPr>
          <w:rFonts w:cs="Arial"/>
        </w:rPr>
        <w:t xml:space="preserve">Debería finalizarse una propuesta de subsidio por gastos de representación en las </w:t>
      </w:r>
      <w:r w:rsidR="00D601EB">
        <w:rPr>
          <w:rFonts w:cs="Arial"/>
        </w:rPr>
        <w:t>O</w:t>
      </w:r>
      <w:r w:rsidR="00B5747C" w:rsidRPr="00E57C96">
        <w:rPr>
          <w:rFonts w:cs="Arial"/>
        </w:rPr>
        <w:t>ficinas regionales y de zona a fin de someterlo al Comité de coordinación para su adopción. La Dirección comentó que se había finalizado un proyecto de texto, que estaba en espera de aprobación final antes de ser sometido a la aprobación de la Dirección</w:t>
      </w:r>
      <w:r w:rsidR="00EC687B" w:rsidRPr="00E57C96">
        <w:t>.</w:t>
      </w:r>
    </w:p>
    <w:p w:rsidR="00EC687B" w:rsidRPr="00E57C96" w:rsidRDefault="00EC32AE" w:rsidP="00D62C8C">
      <w:pPr>
        <w:rPr>
          <w:rFonts w:cs="Arial"/>
        </w:rPr>
      </w:pPr>
      <w:r w:rsidRPr="00E57C96">
        <w:t>25</w:t>
      </w:r>
      <w:r w:rsidRPr="00E57C96">
        <w:tab/>
      </w:r>
      <w:r w:rsidR="00D62C8C" w:rsidRPr="00E57C96">
        <w:t xml:space="preserve">Globalmente, las conclusiones de la auditoría dan una </w:t>
      </w:r>
      <w:r w:rsidR="00D62C8C" w:rsidRPr="00E57C96">
        <w:rPr>
          <w:i/>
          <w:iCs/>
        </w:rPr>
        <w:t>garantía razonable</w:t>
      </w:r>
      <w:r w:rsidR="00D62C8C" w:rsidRPr="00E57C96">
        <w:t xml:space="preserve"> de que los controles internos, la gobernanza y los procesos de gestión de riesgos de la UIT funcionan. La Auditoría Interna identificó, no obstante, </w:t>
      </w:r>
      <w:r w:rsidR="00D62C8C" w:rsidRPr="00E57C96">
        <w:lastRenderedPageBreak/>
        <w:t>posibilidades de mejora y riesgos asociados esencialmente con las medidas de seguridad y protección en el terreno y con (la falta de) subsidios por gastos de representación que, si se tuvieran en cuenta, fortalecerían concretamente la representación de la UIT en el terreno y su seguridad y protección</w:t>
      </w:r>
      <w:r w:rsidR="00EC687B" w:rsidRPr="00E57C96">
        <w:t>.</w:t>
      </w:r>
    </w:p>
    <w:p w:rsidR="00BE763B" w:rsidRPr="00E57C96" w:rsidRDefault="004C487B" w:rsidP="002D4E28">
      <w:pPr>
        <w:pStyle w:val="Headingb"/>
      </w:pPr>
      <w:r w:rsidRPr="00E57C96">
        <w:t>Aplicación</w:t>
      </w:r>
      <w:r w:rsidR="00697C91" w:rsidRPr="00E57C96">
        <w:t xml:space="preserve"> de las recomendaciones del CAIG con respecto a la Auditoría Interna</w:t>
      </w:r>
    </w:p>
    <w:p w:rsidR="00BE763B" w:rsidRPr="00E57C96" w:rsidRDefault="00C821CA" w:rsidP="00C735BE">
      <w:pPr>
        <w:rPr>
          <w:sz w:val="22"/>
        </w:rPr>
      </w:pPr>
      <w:r w:rsidRPr="00E57C96">
        <w:t>26</w:t>
      </w:r>
      <w:r w:rsidRPr="00E57C96">
        <w:tab/>
      </w:r>
      <w:r w:rsidR="00697C91" w:rsidRPr="00E57C96">
        <w:t xml:space="preserve">El CAIG efectuó un seguimiento periódico de las recomendaciones con respecto a la función de </w:t>
      </w:r>
      <w:r w:rsidR="002D253F" w:rsidRPr="00E57C96">
        <w:t xml:space="preserve">Auditoría Interna </w:t>
      </w:r>
      <w:r w:rsidR="00697C91" w:rsidRPr="00E57C96">
        <w:t xml:space="preserve">e incorporó los progresos observados en su informe al Secretario General y en su informe anual al Consejo. En ese contexto se hace referencia específicamente al segundo informe del CAIG al Consejo (C13/65, punto 3.4) en el que recomendó que "… la Auditoría Interna encargue un examen por un homólogo, que tenga lugar preferiblemente antes de 2014". Ese examen tuvo lugar en enero de 2015. A pesar de que el equipo de validación externo opinó globalmente que la </w:t>
      </w:r>
      <w:r w:rsidR="00D601EB" w:rsidRPr="00E57C96">
        <w:t xml:space="preserve">Auditoría Interna </w:t>
      </w:r>
      <w:r w:rsidR="00697C91" w:rsidRPr="00E57C96">
        <w:t xml:space="preserve">de la UIT es conforme a las Normas y al Código de Ética del IIA, observó una conformidad parcial con </w:t>
      </w:r>
      <w:r w:rsidR="00D62C8C" w:rsidRPr="00E57C96">
        <w:t>una</w:t>
      </w:r>
      <w:r w:rsidR="00697C91" w:rsidRPr="00E57C96">
        <w:t xml:space="preserve"> de las 14 Normas de Atributo del IIA y 5 de las 26</w:t>
      </w:r>
      <w:r w:rsidR="00D601EB">
        <w:t> </w:t>
      </w:r>
      <w:r w:rsidR="00697C91" w:rsidRPr="00E57C96">
        <w:t xml:space="preserve">Normas de Rendimiento del IIA. </w:t>
      </w:r>
      <w:r w:rsidR="00D62C8C" w:rsidRPr="00E57C96">
        <w:t xml:space="preserve">En el </w:t>
      </w:r>
      <w:r w:rsidR="00362FF6" w:rsidRPr="00E57C96">
        <w:t>Addéndum</w:t>
      </w:r>
      <w:r w:rsidR="00D62C8C" w:rsidRPr="00E57C96">
        <w:t xml:space="preserve"> 2</w:t>
      </w:r>
      <w:r w:rsidR="00804299" w:rsidRPr="00E57C96">
        <w:t xml:space="preserve"> de su cuarto informe al Consejo, el CAIG refrendó las conclusiones del equipo de validación externo (recogido en el </w:t>
      </w:r>
      <w:hyperlink r:id="rId8" w:history="1">
        <w:r w:rsidR="00804299" w:rsidRPr="00E57C96">
          <w:rPr>
            <w:rStyle w:val="Hyperlink"/>
          </w:rPr>
          <w:t>Documento C15/INF/11</w:t>
        </w:r>
      </w:hyperlink>
      <w:r w:rsidR="00804299" w:rsidRPr="00E57C96">
        <w:t xml:space="preserve">) y recomendó que el Auditor Interno, en su informe anual sobre las actividades de </w:t>
      </w:r>
      <w:r w:rsidR="00D601EB" w:rsidRPr="00E57C96">
        <w:t>Auditoría Interna</w:t>
      </w:r>
      <w:r w:rsidR="00804299" w:rsidRPr="00E57C96">
        <w:t xml:space="preserve">, informase a la reunión de 2016 del Consejo y a las reuniones posteriores sobre las medidas adoptadas y los progresos realizados en la aplicación de cada una de las nueve recomendaciones recogidas en la validación independiente externa de la actividad de Auditoría Interna de la UIT. En el </w:t>
      </w:r>
      <w:r w:rsidR="00C735BE">
        <w:t>A</w:t>
      </w:r>
      <w:r w:rsidR="00804299" w:rsidRPr="00E57C96">
        <w:t>nexo a ese informe figura pues una perspectiva general de las Recomendaciones y de la evaluación por la Auditoría Interna de las medidas adoptadas y los progresos realizados</w:t>
      </w:r>
      <w:r w:rsidR="00BE763B" w:rsidRPr="00E57C96">
        <w:rPr>
          <w:rFonts w:asciiTheme="minorHAnsi" w:hAnsiTheme="minorHAnsi"/>
        </w:rPr>
        <w:t>.</w:t>
      </w:r>
    </w:p>
    <w:p w:rsidR="00BE763B" w:rsidRPr="00E57C96" w:rsidRDefault="00C821CA" w:rsidP="002D4E28">
      <w:pPr>
        <w:pStyle w:val="Headingb"/>
      </w:pPr>
      <w:r w:rsidRPr="00E57C96">
        <w:t>Seguimiento de las recomendaciones de la Auditoría Interna</w:t>
      </w:r>
    </w:p>
    <w:p w:rsidR="000D6658" w:rsidRDefault="00C821CA" w:rsidP="002D4E28">
      <w:r w:rsidRPr="00E57C96">
        <w:t>27</w:t>
      </w:r>
      <w:r w:rsidRPr="00E57C96">
        <w:tab/>
        <w:t>A lo largo del periodo del informe y en cumplimiento de la Norma 2500 del IIA</w:t>
      </w:r>
      <w:r w:rsidRPr="00E57C96">
        <w:rPr>
          <w:rStyle w:val="FootnoteReference"/>
        </w:rPr>
        <w:footnoteReference w:id="6"/>
      </w:r>
      <w:r w:rsidRPr="00E57C96">
        <w:t>, la Auditoría Interna siguió las recomendaciones realizadas por auditorías previas. Se observó un progreso en los últimos 12 meses y las estadísticas sobre la implementación son las siguientes:</w:t>
      </w:r>
    </w:p>
    <w:p w:rsidR="001E6C6F" w:rsidRPr="00E57C96" w:rsidRDefault="001E6C6F" w:rsidP="00AD6B65"/>
    <w:tbl>
      <w:tblPr>
        <w:tblW w:w="9564" w:type="dxa"/>
        <w:jc w:val="center"/>
        <w:tblCellMar>
          <w:left w:w="0" w:type="dxa"/>
          <w:right w:w="0" w:type="dxa"/>
        </w:tblCellMar>
        <w:tblLook w:val="04A0" w:firstRow="1" w:lastRow="0" w:firstColumn="1" w:lastColumn="0" w:noHBand="0" w:noVBand="1"/>
      </w:tblPr>
      <w:tblGrid>
        <w:gridCol w:w="3552"/>
        <w:gridCol w:w="880"/>
        <w:gridCol w:w="756"/>
        <w:gridCol w:w="771"/>
        <w:gridCol w:w="788"/>
        <w:gridCol w:w="804"/>
        <w:gridCol w:w="678"/>
        <w:gridCol w:w="694"/>
        <w:gridCol w:w="696"/>
      </w:tblGrid>
      <w:tr w:rsidR="006F382F" w:rsidRPr="00E57C96" w:rsidTr="006F382F">
        <w:trPr>
          <w:jc w:val="center"/>
        </w:trPr>
        <w:tc>
          <w:tcPr>
            <w:tcW w:w="3551" w:type="dxa"/>
            <w:tcBorders>
              <w:top w:val="single" w:sz="8" w:space="0" w:color="auto"/>
              <w:left w:val="single" w:sz="8" w:space="0" w:color="auto"/>
              <w:bottom w:val="nil"/>
              <w:right w:val="nil"/>
            </w:tcBorders>
            <w:shd w:val="clear" w:color="000000" w:fill="000000"/>
            <w:noWrap/>
            <w:vAlign w:val="bottom"/>
            <w:hideMark/>
          </w:tcPr>
          <w:p w:rsidR="000D6658" w:rsidRPr="00D601EB" w:rsidRDefault="000D6658" w:rsidP="00D601EB">
            <w:pPr>
              <w:pStyle w:val="Tablehead"/>
              <w:spacing w:before="0" w:after="0"/>
              <w:jc w:val="left"/>
              <w:rPr>
                <w:color w:val="FFFFFF"/>
                <w:sz w:val="20"/>
                <w:lang w:eastAsia="zh-CN"/>
              </w:rPr>
            </w:pPr>
            <w:r w:rsidRPr="00D601EB">
              <w:rPr>
                <w:sz w:val="20"/>
                <w:lang w:eastAsia="zh-CN"/>
              </w:rPr>
              <w:t>Año</w:t>
            </w:r>
          </w:p>
        </w:tc>
        <w:tc>
          <w:tcPr>
            <w:tcW w:w="875" w:type="dxa"/>
            <w:tcBorders>
              <w:top w:val="single" w:sz="8" w:space="0" w:color="auto"/>
              <w:left w:val="nil"/>
              <w:bottom w:val="nil"/>
              <w:right w:val="nil"/>
            </w:tcBorders>
            <w:shd w:val="clear" w:color="000000" w:fill="000000"/>
            <w:noWrap/>
            <w:vAlign w:val="bottom"/>
            <w:hideMark/>
          </w:tcPr>
          <w:p w:rsidR="000D6658" w:rsidRPr="00D601EB" w:rsidRDefault="000D6658" w:rsidP="00D601EB">
            <w:pPr>
              <w:pStyle w:val="Tablehead"/>
              <w:spacing w:before="0" w:after="0"/>
              <w:rPr>
                <w:sz w:val="20"/>
                <w:lang w:eastAsia="zh-CN"/>
              </w:rPr>
            </w:pPr>
            <w:r w:rsidRPr="00D601EB">
              <w:rPr>
                <w:sz w:val="20"/>
                <w:lang w:eastAsia="zh-CN"/>
              </w:rPr>
              <w:t>2009</w:t>
            </w:r>
          </w:p>
        </w:tc>
        <w:tc>
          <w:tcPr>
            <w:tcW w:w="749" w:type="dxa"/>
            <w:tcBorders>
              <w:top w:val="single" w:sz="8" w:space="0" w:color="auto"/>
              <w:left w:val="nil"/>
              <w:bottom w:val="nil"/>
              <w:right w:val="nil"/>
            </w:tcBorders>
            <w:shd w:val="clear" w:color="000000" w:fill="000000"/>
            <w:noWrap/>
            <w:vAlign w:val="bottom"/>
            <w:hideMark/>
          </w:tcPr>
          <w:p w:rsidR="000D6658" w:rsidRPr="00D601EB" w:rsidRDefault="000D6658" w:rsidP="00D601EB">
            <w:pPr>
              <w:pStyle w:val="Tablehead"/>
              <w:spacing w:before="0" w:after="0"/>
              <w:rPr>
                <w:sz w:val="20"/>
                <w:lang w:eastAsia="zh-CN"/>
              </w:rPr>
            </w:pPr>
            <w:r w:rsidRPr="00D601EB">
              <w:rPr>
                <w:sz w:val="20"/>
                <w:lang w:eastAsia="zh-CN"/>
              </w:rPr>
              <w:t>2010</w:t>
            </w:r>
          </w:p>
        </w:tc>
        <w:tc>
          <w:tcPr>
            <w:tcW w:w="764" w:type="dxa"/>
            <w:tcBorders>
              <w:top w:val="single" w:sz="8" w:space="0" w:color="auto"/>
              <w:left w:val="nil"/>
              <w:bottom w:val="nil"/>
              <w:right w:val="nil"/>
            </w:tcBorders>
            <w:shd w:val="clear" w:color="000000" w:fill="000000"/>
            <w:noWrap/>
            <w:vAlign w:val="bottom"/>
            <w:hideMark/>
          </w:tcPr>
          <w:p w:rsidR="000D6658" w:rsidRPr="00D601EB" w:rsidRDefault="000D6658" w:rsidP="00D601EB">
            <w:pPr>
              <w:pStyle w:val="Tablehead"/>
              <w:spacing w:before="0" w:after="0"/>
              <w:rPr>
                <w:sz w:val="20"/>
                <w:lang w:eastAsia="zh-CN"/>
              </w:rPr>
            </w:pPr>
            <w:r w:rsidRPr="00D601EB">
              <w:rPr>
                <w:sz w:val="20"/>
                <w:lang w:eastAsia="zh-CN"/>
              </w:rPr>
              <w:t>2011</w:t>
            </w:r>
          </w:p>
        </w:tc>
        <w:tc>
          <w:tcPr>
            <w:tcW w:w="781" w:type="dxa"/>
            <w:tcBorders>
              <w:top w:val="single" w:sz="8" w:space="0" w:color="auto"/>
              <w:left w:val="nil"/>
              <w:bottom w:val="nil"/>
              <w:right w:val="nil"/>
            </w:tcBorders>
            <w:shd w:val="clear" w:color="000000" w:fill="000000"/>
            <w:noWrap/>
            <w:vAlign w:val="bottom"/>
            <w:hideMark/>
          </w:tcPr>
          <w:p w:rsidR="000D6658" w:rsidRPr="00D601EB" w:rsidRDefault="000D6658" w:rsidP="00D601EB">
            <w:pPr>
              <w:pStyle w:val="Tablehead"/>
              <w:spacing w:before="0" w:after="0"/>
              <w:rPr>
                <w:sz w:val="20"/>
                <w:lang w:eastAsia="zh-CN"/>
              </w:rPr>
            </w:pPr>
            <w:r w:rsidRPr="00D601EB">
              <w:rPr>
                <w:sz w:val="20"/>
                <w:lang w:eastAsia="zh-CN"/>
              </w:rPr>
              <w:t>2012</w:t>
            </w:r>
          </w:p>
        </w:tc>
        <w:tc>
          <w:tcPr>
            <w:tcW w:w="797" w:type="dxa"/>
            <w:tcBorders>
              <w:top w:val="single" w:sz="8" w:space="0" w:color="auto"/>
              <w:left w:val="nil"/>
              <w:bottom w:val="nil"/>
              <w:right w:val="nil"/>
            </w:tcBorders>
            <w:shd w:val="clear" w:color="000000" w:fill="000000"/>
            <w:noWrap/>
            <w:vAlign w:val="bottom"/>
            <w:hideMark/>
          </w:tcPr>
          <w:p w:rsidR="000D6658" w:rsidRPr="00D601EB" w:rsidRDefault="000D6658" w:rsidP="00D601EB">
            <w:pPr>
              <w:pStyle w:val="Tablehead"/>
              <w:spacing w:before="0" w:after="0"/>
              <w:rPr>
                <w:sz w:val="20"/>
                <w:lang w:eastAsia="zh-CN"/>
              </w:rPr>
            </w:pPr>
            <w:r w:rsidRPr="00D601EB">
              <w:rPr>
                <w:sz w:val="20"/>
                <w:lang w:eastAsia="zh-CN"/>
              </w:rPr>
              <w:t>2013</w:t>
            </w:r>
          </w:p>
        </w:tc>
        <w:tc>
          <w:tcPr>
            <w:tcW w:w="671" w:type="dxa"/>
            <w:tcBorders>
              <w:top w:val="single" w:sz="8" w:space="0" w:color="auto"/>
              <w:left w:val="nil"/>
              <w:bottom w:val="nil"/>
              <w:right w:val="nil"/>
            </w:tcBorders>
            <w:shd w:val="clear" w:color="000000" w:fill="000000"/>
            <w:noWrap/>
            <w:vAlign w:val="bottom"/>
            <w:hideMark/>
          </w:tcPr>
          <w:p w:rsidR="000D6658" w:rsidRPr="00D601EB" w:rsidRDefault="000D6658" w:rsidP="00D601EB">
            <w:pPr>
              <w:pStyle w:val="Tablehead"/>
              <w:spacing w:before="0" w:after="0"/>
              <w:rPr>
                <w:sz w:val="20"/>
                <w:lang w:eastAsia="zh-CN"/>
              </w:rPr>
            </w:pPr>
            <w:r w:rsidRPr="00D601EB">
              <w:rPr>
                <w:sz w:val="20"/>
                <w:lang w:eastAsia="zh-CN"/>
              </w:rPr>
              <w:t>2014</w:t>
            </w:r>
          </w:p>
        </w:tc>
        <w:tc>
          <w:tcPr>
            <w:tcW w:w="687" w:type="dxa"/>
            <w:tcBorders>
              <w:top w:val="single" w:sz="8" w:space="0" w:color="auto"/>
              <w:left w:val="nil"/>
              <w:bottom w:val="nil"/>
              <w:right w:val="nil"/>
            </w:tcBorders>
            <w:shd w:val="clear" w:color="000000" w:fill="000000"/>
            <w:noWrap/>
            <w:vAlign w:val="bottom"/>
            <w:hideMark/>
          </w:tcPr>
          <w:p w:rsidR="000D6658" w:rsidRPr="00D601EB" w:rsidRDefault="000D6658" w:rsidP="00D601EB">
            <w:pPr>
              <w:pStyle w:val="Tablehead"/>
              <w:spacing w:before="0" w:after="0"/>
              <w:rPr>
                <w:sz w:val="20"/>
                <w:lang w:eastAsia="zh-CN"/>
              </w:rPr>
            </w:pPr>
            <w:r w:rsidRPr="00D601EB">
              <w:rPr>
                <w:sz w:val="20"/>
                <w:lang w:eastAsia="zh-CN"/>
              </w:rPr>
              <w:t>2015</w:t>
            </w:r>
          </w:p>
        </w:tc>
        <w:tc>
          <w:tcPr>
            <w:tcW w:w="689" w:type="dxa"/>
            <w:tcBorders>
              <w:top w:val="single" w:sz="8" w:space="0" w:color="auto"/>
              <w:left w:val="nil"/>
              <w:bottom w:val="nil"/>
              <w:right w:val="single" w:sz="8" w:space="0" w:color="auto"/>
            </w:tcBorders>
            <w:shd w:val="clear" w:color="000000" w:fill="000000"/>
            <w:noWrap/>
            <w:vAlign w:val="bottom"/>
            <w:hideMark/>
          </w:tcPr>
          <w:p w:rsidR="000D6658" w:rsidRPr="00D601EB" w:rsidRDefault="000D6658" w:rsidP="00D601EB">
            <w:pPr>
              <w:pStyle w:val="Tablehead"/>
              <w:spacing w:before="0" w:after="0"/>
              <w:rPr>
                <w:sz w:val="20"/>
                <w:lang w:eastAsia="zh-CN"/>
              </w:rPr>
            </w:pPr>
            <w:r w:rsidRPr="00D601EB">
              <w:rPr>
                <w:sz w:val="20"/>
                <w:lang w:eastAsia="zh-CN"/>
              </w:rPr>
              <w:t>Total</w:t>
            </w:r>
          </w:p>
        </w:tc>
      </w:tr>
      <w:tr w:rsidR="006F382F" w:rsidRPr="00E57C96" w:rsidTr="006F382F">
        <w:trPr>
          <w:jc w:val="center"/>
        </w:trPr>
        <w:tc>
          <w:tcPr>
            <w:tcW w:w="355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D6658" w:rsidRPr="00D601EB" w:rsidRDefault="000D6658" w:rsidP="00D601EB">
            <w:pPr>
              <w:pStyle w:val="Tabletext"/>
              <w:spacing w:before="0" w:after="0"/>
              <w:rPr>
                <w:sz w:val="20"/>
                <w:lang w:eastAsia="zh-CN"/>
              </w:rPr>
            </w:pPr>
            <w:r w:rsidRPr="00D601EB">
              <w:rPr>
                <w:sz w:val="20"/>
                <w:lang w:eastAsia="zh-CN"/>
              </w:rPr>
              <w:t>Número de informes de auditoría</w:t>
            </w:r>
          </w:p>
        </w:tc>
        <w:tc>
          <w:tcPr>
            <w:tcW w:w="875" w:type="dxa"/>
            <w:tcBorders>
              <w:top w:val="single" w:sz="8" w:space="0" w:color="auto"/>
              <w:left w:val="nil"/>
              <w:bottom w:val="single" w:sz="4" w:space="0" w:color="auto"/>
              <w:right w:val="single" w:sz="4" w:space="0" w:color="auto"/>
            </w:tcBorders>
            <w:shd w:val="clear" w:color="auto" w:fill="auto"/>
            <w:noWrap/>
            <w:vAlign w:val="bottom"/>
            <w:hideMark/>
          </w:tcPr>
          <w:p w:rsidR="000D6658" w:rsidRPr="00D601EB" w:rsidRDefault="000D6658" w:rsidP="00D601EB">
            <w:pPr>
              <w:pStyle w:val="Tabletext"/>
              <w:spacing w:before="0" w:after="0"/>
              <w:jc w:val="center"/>
              <w:rPr>
                <w:sz w:val="20"/>
                <w:lang w:eastAsia="zh-CN"/>
              </w:rPr>
            </w:pPr>
            <w:r w:rsidRPr="00D601EB">
              <w:rPr>
                <w:sz w:val="20"/>
                <w:lang w:eastAsia="zh-CN"/>
              </w:rPr>
              <w:t>2</w:t>
            </w:r>
          </w:p>
        </w:tc>
        <w:tc>
          <w:tcPr>
            <w:tcW w:w="749" w:type="dxa"/>
            <w:tcBorders>
              <w:top w:val="single" w:sz="8" w:space="0" w:color="auto"/>
              <w:left w:val="nil"/>
              <w:bottom w:val="single" w:sz="4" w:space="0" w:color="auto"/>
              <w:right w:val="single" w:sz="4" w:space="0" w:color="auto"/>
            </w:tcBorders>
            <w:shd w:val="clear" w:color="auto" w:fill="auto"/>
            <w:noWrap/>
            <w:vAlign w:val="bottom"/>
            <w:hideMark/>
          </w:tcPr>
          <w:p w:rsidR="000D6658" w:rsidRPr="00D601EB" w:rsidRDefault="000D6658" w:rsidP="00D601EB">
            <w:pPr>
              <w:pStyle w:val="Tabletext"/>
              <w:spacing w:before="0" w:after="0"/>
              <w:jc w:val="center"/>
              <w:rPr>
                <w:sz w:val="20"/>
                <w:lang w:eastAsia="zh-CN"/>
              </w:rPr>
            </w:pPr>
            <w:r w:rsidRPr="00D601EB">
              <w:rPr>
                <w:sz w:val="20"/>
                <w:lang w:eastAsia="zh-CN"/>
              </w:rPr>
              <w:t>3</w:t>
            </w:r>
          </w:p>
        </w:tc>
        <w:tc>
          <w:tcPr>
            <w:tcW w:w="764" w:type="dxa"/>
            <w:tcBorders>
              <w:top w:val="single" w:sz="8" w:space="0" w:color="auto"/>
              <w:left w:val="nil"/>
              <w:bottom w:val="single" w:sz="4" w:space="0" w:color="auto"/>
              <w:right w:val="single" w:sz="4" w:space="0" w:color="auto"/>
            </w:tcBorders>
            <w:shd w:val="clear" w:color="auto" w:fill="auto"/>
            <w:noWrap/>
            <w:vAlign w:val="bottom"/>
            <w:hideMark/>
          </w:tcPr>
          <w:p w:rsidR="000D6658" w:rsidRPr="00D601EB" w:rsidRDefault="000D6658" w:rsidP="00D601EB">
            <w:pPr>
              <w:pStyle w:val="Tabletext"/>
              <w:spacing w:before="0" w:after="0"/>
              <w:jc w:val="center"/>
              <w:rPr>
                <w:sz w:val="20"/>
                <w:lang w:eastAsia="zh-CN"/>
              </w:rPr>
            </w:pPr>
            <w:r w:rsidRPr="00D601EB">
              <w:rPr>
                <w:sz w:val="20"/>
                <w:lang w:eastAsia="zh-CN"/>
              </w:rPr>
              <w:t>2</w:t>
            </w:r>
          </w:p>
        </w:tc>
        <w:tc>
          <w:tcPr>
            <w:tcW w:w="781" w:type="dxa"/>
            <w:tcBorders>
              <w:top w:val="single" w:sz="8" w:space="0" w:color="auto"/>
              <w:left w:val="nil"/>
              <w:bottom w:val="single" w:sz="4" w:space="0" w:color="auto"/>
              <w:right w:val="single" w:sz="4" w:space="0" w:color="auto"/>
            </w:tcBorders>
            <w:shd w:val="clear" w:color="auto" w:fill="auto"/>
            <w:noWrap/>
            <w:vAlign w:val="bottom"/>
            <w:hideMark/>
          </w:tcPr>
          <w:p w:rsidR="000D6658" w:rsidRPr="00D601EB" w:rsidRDefault="000D6658" w:rsidP="00D601EB">
            <w:pPr>
              <w:pStyle w:val="Tabletext"/>
              <w:spacing w:before="0" w:after="0"/>
              <w:jc w:val="center"/>
              <w:rPr>
                <w:sz w:val="20"/>
                <w:lang w:eastAsia="zh-CN"/>
              </w:rPr>
            </w:pPr>
            <w:r w:rsidRPr="00D601EB">
              <w:rPr>
                <w:sz w:val="20"/>
                <w:lang w:eastAsia="zh-CN"/>
              </w:rPr>
              <w:t>0</w:t>
            </w:r>
          </w:p>
        </w:tc>
        <w:tc>
          <w:tcPr>
            <w:tcW w:w="797" w:type="dxa"/>
            <w:tcBorders>
              <w:top w:val="single" w:sz="8" w:space="0" w:color="auto"/>
              <w:left w:val="nil"/>
              <w:bottom w:val="single" w:sz="4" w:space="0" w:color="auto"/>
              <w:right w:val="single" w:sz="4" w:space="0" w:color="auto"/>
            </w:tcBorders>
            <w:shd w:val="clear" w:color="auto" w:fill="auto"/>
            <w:noWrap/>
            <w:vAlign w:val="bottom"/>
            <w:hideMark/>
          </w:tcPr>
          <w:p w:rsidR="000D6658" w:rsidRPr="00D601EB" w:rsidRDefault="000D6658" w:rsidP="00D601EB">
            <w:pPr>
              <w:pStyle w:val="Tabletext"/>
              <w:spacing w:before="0" w:after="0"/>
              <w:jc w:val="center"/>
              <w:rPr>
                <w:sz w:val="20"/>
                <w:lang w:eastAsia="zh-CN"/>
              </w:rPr>
            </w:pPr>
            <w:r w:rsidRPr="00D601EB">
              <w:rPr>
                <w:sz w:val="20"/>
                <w:lang w:eastAsia="zh-CN"/>
              </w:rPr>
              <w:t>4</w:t>
            </w:r>
          </w:p>
        </w:tc>
        <w:tc>
          <w:tcPr>
            <w:tcW w:w="671" w:type="dxa"/>
            <w:tcBorders>
              <w:top w:val="single" w:sz="8" w:space="0" w:color="auto"/>
              <w:left w:val="nil"/>
              <w:bottom w:val="single" w:sz="4" w:space="0" w:color="auto"/>
              <w:right w:val="single" w:sz="4" w:space="0" w:color="auto"/>
            </w:tcBorders>
            <w:shd w:val="clear" w:color="000000" w:fill="FFFFFF"/>
            <w:noWrap/>
            <w:vAlign w:val="bottom"/>
            <w:hideMark/>
          </w:tcPr>
          <w:p w:rsidR="000D6658" w:rsidRPr="00D601EB" w:rsidRDefault="000D6658" w:rsidP="00D601EB">
            <w:pPr>
              <w:pStyle w:val="Tabletext"/>
              <w:spacing w:before="0" w:after="0"/>
              <w:jc w:val="center"/>
              <w:rPr>
                <w:sz w:val="20"/>
                <w:lang w:eastAsia="zh-CN"/>
              </w:rPr>
            </w:pPr>
            <w:r w:rsidRPr="00D601EB">
              <w:rPr>
                <w:sz w:val="20"/>
                <w:lang w:eastAsia="zh-CN"/>
              </w:rPr>
              <w:t>4</w:t>
            </w:r>
          </w:p>
        </w:tc>
        <w:tc>
          <w:tcPr>
            <w:tcW w:w="687" w:type="dxa"/>
            <w:tcBorders>
              <w:top w:val="single" w:sz="8" w:space="0" w:color="auto"/>
              <w:left w:val="nil"/>
              <w:bottom w:val="single" w:sz="4" w:space="0" w:color="auto"/>
              <w:right w:val="nil"/>
            </w:tcBorders>
            <w:shd w:val="clear" w:color="000000" w:fill="FFFFFF"/>
            <w:noWrap/>
            <w:vAlign w:val="bottom"/>
            <w:hideMark/>
          </w:tcPr>
          <w:p w:rsidR="000D6658" w:rsidRPr="00D601EB" w:rsidRDefault="000D6658" w:rsidP="00D601EB">
            <w:pPr>
              <w:pStyle w:val="Tabletext"/>
              <w:spacing w:before="0" w:after="0"/>
              <w:jc w:val="center"/>
              <w:rPr>
                <w:sz w:val="20"/>
                <w:lang w:eastAsia="zh-CN"/>
              </w:rPr>
            </w:pPr>
            <w:r w:rsidRPr="00D601EB">
              <w:rPr>
                <w:sz w:val="20"/>
                <w:lang w:eastAsia="zh-CN"/>
              </w:rPr>
              <w:t>7</w:t>
            </w:r>
          </w:p>
        </w:tc>
        <w:tc>
          <w:tcPr>
            <w:tcW w:w="689" w:type="dxa"/>
            <w:tcBorders>
              <w:top w:val="single" w:sz="8" w:space="0" w:color="auto"/>
              <w:left w:val="single" w:sz="4" w:space="0" w:color="auto"/>
              <w:bottom w:val="single" w:sz="4" w:space="0" w:color="auto"/>
              <w:right w:val="single" w:sz="8" w:space="0" w:color="auto"/>
            </w:tcBorders>
            <w:shd w:val="clear" w:color="000000" w:fill="C4BD97"/>
            <w:noWrap/>
            <w:vAlign w:val="bottom"/>
            <w:hideMark/>
          </w:tcPr>
          <w:p w:rsidR="000D6658" w:rsidRPr="00D601EB" w:rsidRDefault="000D6658" w:rsidP="00D601EB">
            <w:pPr>
              <w:pStyle w:val="Tabletext"/>
              <w:spacing w:before="0" w:after="0"/>
              <w:jc w:val="center"/>
              <w:rPr>
                <w:b/>
                <w:bCs/>
                <w:sz w:val="20"/>
                <w:lang w:eastAsia="zh-CN"/>
              </w:rPr>
            </w:pPr>
            <w:r w:rsidRPr="00D601EB">
              <w:rPr>
                <w:b/>
                <w:bCs/>
                <w:sz w:val="20"/>
                <w:lang w:eastAsia="zh-CN"/>
              </w:rPr>
              <w:t>22</w:t>
            </w:r>
          </w:p>
        </w:tc>
      </w:tr>
      <w:tr w:rsidR="006F382F" w:rsidRPr="00E57C96" w:rsidTr="006F382F">
        <w:trPr>
          <w:jc w:val="center"/>
        </w:trPr>
        <w:tc>
          <w:tcPr>
            <w:tcW w:w="3551" w:type="dxa"/>
            <w:tcBorders>
              <w:top w:val="nil"/>
              <w:left w:val="single" w:sz="8" w:space="0" w:color="auto"/>
              <w:bottom w:val="single" w:sz="4" w:space="0" w:color="auto"/>
              <w:right w:val="single" w:sz="4" w:space="0" w:color="auto"/>
            </w:tcBorders>
            <w:shd w:val="clear" w:color="auto" w:fill="auto"/>
            <w:noWrap/>
            <w:vAlign w:val="bottom"/>
            <w:hideMark/>
          </w:tcPr>
          <w:p w:rsidR="000D6658" w:rsidRPr="00D601EB" w:rsidRDefault="000D6658" w:rsidP="00D601EB">
            <w:pPr>
              <w:pStyle w:val="Tabletext"/>
              <w:spacing w:before="0" w:after="0"/>
              <w:rPr>
                <w:sz w:val="20"/>
                <w:lang w:eastAsia="zh-CN"/>
              </w:rPr>
            </w:pPr>
            <w:r w:rsidRPr="00D601EB">
              <w:rPr>
                <w:sz w:val="20"/>
                <w:lang w:eastAsia="zh-CN"/>
              </w:rPr>
              <w:t>Recomendaciones – Total</w:t>
            </w:r>
          </w:p>
        </w:tc>
        <w:tc>
          <w:tcPr>
            <w:tcW w:w="875" w:type="dxa"/>
            <w:tcBorders>
              <w:top w:val="nil"/>
              <w:left w:val="nil"/>
              <w:bottom w:val="single" w:sz="4" w:space="0" w:color="auto"/>
              <w:right w:val="single" w:sz="4" w:space="0" w:color="auto"/>
            </w:tcBorders>
            <w:shd w:val="clear" w:color="auto" w:fill="auto"/>
            <w:noWrap/>
            <w:vAlign w:val="bottom"/>
            <w:hideMark/>
          </w:tcPr>
          <w:p w:rsidR="000D6658" w:rsidRPr="00D601EB" w:rsidRDefault="000D6658" w:rsidP="00D601EB">
            <w:pPr>
              <w:pStyle w:val="Tabletext"/>
              <w:spacing w:before="0" w:after="0"/>
              <w:jc w:val="center"/>
              <w:rPr>
                <w:sz w:val="20"/>
                <w:lang w:eastAsia="zh-CN"/>
              </w:rPr>
            </w:pPr>
            <w:r w:rsidRPr="00D601EB">
              <w:rPr>
                <w:sz w:val="20"/>
                <w:lang w:eastAsia="zh-CN"/>
              </w:rPr>
              <w:t>13</w:t>
            </w:r>
          </w:p>
        </w:tc>
        <w:tc>
          <w:tcPr>
            <w:tcW w:w="749" w:type="dxa"/>
            <w:tcBorders>
              <w:top w:val="nil"/>
              <w:left w:val="nil"/>
              <w:bottom w:val="single" w:sz="4" w:space="0" w:color="auto"/>
              <w:right w:val="single" w:sz="4" w:space="0" w:color="auto"/>
            </w:tcBorders>
            <w:shd w:val="clear" w:color="auto" w:fill="auto"/>
            <w:noWrap/>
            <w:vAlign w:val="bottom"/>
            <w:hideMark/>
          </w:tcPr>
          <w:p w:rsidR="000D6658" w:rsidRPr="00D601EB" w:rsidRDefault="000D6658" w:rsidP="00D601EB">
            <w:pPr>
              <w:pStyle w:val="Tabletext"/>
              <w:spacing w:before="0" w:after="0"/>
              <w:jc w:val="center"/>
              <w:rPr>
                <w:sz w:val="20"/>
                <w:lang w:eastAsia="zh-CN"/>
              </w:rPr>
            </w:pPr>
            <w:r w:rsidRPr="00D601EB">
              <w:rPr>
                <w:sz w:val="20"/>
                <w:lang w:eastAsia="zh-CN"/>
              </w:rPr>
              <w:t>21</w:t>
            </w:r>
          </w:p>
        </w:tc>
        <w:tc>
          <w:tcPr>
            <w:tcW w:w="764" w:type="dxa"/>
            <w:tcBorders>
              <w:top w:val="nil"/>
              <w:left w:val="nil"/>
              <w:bottom w:val="single" w:sz="4" w:space="0" w:color="auto"/>
              <w:right w:val="single" w:sz="4" w:space="0" w:color="auto"/>
            </w:tcBorders>
            <w:shd w:val="clear" w:color="auto" w:fill="auto"/>
            <w:noWrap/>
            <w:vAlign w:val="bottom"/>
            <w:hideMark/>
          </w:tcPr>
          <w:p w:rsidR="000D6658" w:rsidRPr="00D601EB" w:rsidRDefault="000D6658" w:rsidP="00D601EB">
            <w:pPr>
              <w:pStyle w:val="Tabletext"/>
              <w:spacing w:before="0" w:after="0"/>
              <w:jc w:val="center"/>
              <w:rPr>
                <w:sz w:val="20"/>
                <w:lang w:eastAsia="zh-CN"/>
              </w:rPr>
            </w:pPr>
            <w:r w:rsidRPr="00D601EB">
              <w:rPr>
                <w:sz w:val="20"/>
                <w:lang w:eastAsia="zh-CN"/>
              </w:rPr>
              <w:t>17</w:t>
            </w:r>
          </w:p>
        </w:tc>
        <w:tc>
          <w:tcPr>
            <w:tcW w:w="781" w:type="dxa"/>
            <w:tcBorders>
              <w:top w:val="nil"/>
              <w:left w:val="nil"/>
              <w:bottom w:val="single" w:sz="4" w:space="0" w:color="auto"/>
              <w:right w:val="single" w:sz="4" w:space="0" w:color="auto"/>
            </w:tcBorders>
            <w:shd w:val="clear" w:color="auto" w:fill="auto"/>
            <w:noWrap/>
            <w:vAlign w:val="bottom"/>
            <w:hideMark/>
          </w:tcPr>
          <w:p w:rsidR="000D6658" w:rsidRPr="00D601EB" w:rsidRDefault="000D6658" w:rsidP="00D601EB">
            <w:pPr>
              <w:pStyle w:val="Tabletext"/>
              <w:spacing w:before="0" w:after="0"/>
              <w:jc w:val="center"/>
              <w:rPr>
                <w:sz w:val="20"/>
                <w:lang w:eastAsia="zh-CN"/>
              </w:rPr>
            </w:pPr>
            <w:r w:rsidRPr="00D601EB">
              <w:rPr>
                <w:sz w:val="20"/>
                <w:lang w:eastAsia="zh-CN"/>
              </w:rPr>
              <w:t>–</w:t>
            </w:r>
          </w:p>
        </w:tc>
        <w:tc>
          <w:tcPr>
            <w:tcW w:w="797" w:type="dxa"/>
            <w:tcBorders>
              <w:top w:val="nil"/>
              <w:left w:val="nil"/>
              <w:bottom w:val="single" w:sz="4" w:space="0" w:color="auto"/>
              <w:right w:val="single" w:sz="4" w:space="0" w:color="auto"/>
            </w:tcBorders>
            <w:shd w:val="clear" w:color="auto" w:fill="auto"/>
            <w:noWrap/>
            <w:vAlign w:val="bottom"/>
            <w:hideMark/>
          </w:tcPr>
          <w:p w:rsidR="000D6658" w:rsidRPr="00D601EB" w:rsidRDefault="000D6658" w:rsidP="00D601EB">
            <w:pPr>
              <w:pStyle w:val="Tabletext"/>
              <w:spacing w:before="0" w:after="0"/>
              <w:jc w:val="center"/>
              <w:rPr>
                <w:sz w:val="20"/>
                <w:lang w:eastAsia="zh-CN"/>
              </w:rPr>
            </w:pPr>
            <w:r w:rsidRPr="00D601EB">
              <w:rPr>
                <w:sz w:val="20"/>
                <w:lang w:eastAsia="zh-CN"/>
              </w:rPr>
              <w:t>113</w:t>
            </w:r>
          </w:p>
        </w:tc>
        <w:tc>
          <w:tcPr>
            <w:tcW w:w="671" w:type="dxa"/>
            <w:tcBorders>
              <w:top w:val="nil"/>
              <w:left w:val="nil"/>
              <w:bottom w:val="single" w:sz="4" w:space="0" w:color="auto"/>
              <w:right w:val="single" w:sz="4" w:space="0" w:color="auto"/>
            </w:tcBorders>
            <w:shd w:val="clear" w:color="000000" w:fill="FFFFFF"/>
            <w:noWrap/>
            <w:vAlign w:val="bottom"/>
            <w:hideMark/>
          </w:tcPr>
          <w:p w:rsidR="000D6658" w:rsidRPr="00D601EB" w:rsidRDefault="000D6658" w:rsidP="00D601EB">
            <w:pPr>
              <w:pStyle w:val="Tabletext"/>
              <w:spacing w:before="0" w:after="0"/>
              <w:jc w:val="center"/>
              <w:rPr>
                <w:sz w:val="20"/>
                <w:lang w:eastAsia="zh-CN"/>
              </w:rPr>
            </w:pPr>
            <w:r w:rsidRPr="00D601EB">
              <w:rPr>
                <w:sz w:val="20"/>
                <w:lang w:eastAsia="zh-CN"/>
              </w:rPr>
              <w:t>55</w:t>
            </w:r>
          </w:p>
        </w:tc>
        <w:tc>
          <w:tcPr>
            <w:tcW w:w="687" w:type="dxa"/>
            <w:tcBorders>
              <w:top w:val="nil"/>
              <w:left w:val="nil"/>
              <w:bottom w:val="single" w:sz="4" w:space="0" w:color="auto"/>
              <w:right w:val="nil"/>
            </w:tcBorders>
            <w:shd w:val="clear" w:color="000000" w:fill="FFFFFF"/>
            <w:noWrap/>
            <w:vAlign w:val="bottom"/>
            <w:hideMark/>
          </w:tcPr>
          <w:p w:rsidR="000D6658" w:rsidRPr="00D601EB" w:rsidRDefault="000D6658" w:rsidP="00D601EB">
            <w:pPr>
              <w:pStyle w:val="Tabletext"/>
              <w:spacing w:before="0" w:after="0"/>
              <w:jc w:val="center"/>
              <w:rPr>
                <w:sz w:val="20"/>
                <w:lang w:eastAsia="zh-CN"/>
              </w:rPr>
            </w:pPr>
            <w:r w:rsidRPr="00D601EB">
              <w:rPr>
                <w:sz w:val="20"/>
                <w:lang w:eastAsia="zh-CN"/>
              </w:rPr>
              <w:t>34</w:t>
            </w:r>
          </w:p>
        </w:tc>
        <w:tc>
          <w:tcPr>
            <w:tcW w:w="689" w:type="dxa"/>
            <w:tcBorders>
              <w:top w:val="nil"/>
              <w:left w:val="single" w:sz="4" w:space="0" w:color="auto"/>
              <w:bottom w:val="single" w:sz="4" w:space="0" w:color="auto"/>
              <w:right w:val="single" w:sz="8" w:space="0" w:color="auto"/>
            </w:tcBorders>
            <w:shd w:val="clear" w:color="000000" w:fill="C4BD97"/>
            <w:noWrap/>
            <w:vAlign w:val="bottom"/>
            <w:hideMark/>
          </w:tcPr>
          <w:p w:rsidR="000D6658" w:rsidRPr="00D601EB" w:rsidRDefault="000D6658" w:rsidP="00D601EB">
            <w:pPr>
              <w:pStyle w:val="Tabletext"/>
              <w:spacing w:before="0" w:after="0"/>
              <w:jc w:val="center"/>
              <w:rPr>
                <w:b/>
                <w:bCs/>
                <w:sz w:val="20"/>
                <w:lang w:eastAsia="zh-CN"/>
              </w:rPr>
            </w:pPr>
            <w:r w:rsidRPr="00D601EB">
              <w:rPr>
                <w:b/>
                <w:bCs/>
                <w:sz w:val="20"/>
                <w:lang w:eastAsia="zh-CN"/>
              </w:rPr>
              <w:t>242</w:t>
            </w:r>
          </w:p>
        </w:tc>
      </w:tr>
      <w:tr w:rsidR="006F382F" w:rsidRPr="00E57C96" w:rsidTr="006F382F">
        <w:trPr>
          <w:jc w:val="center"/>
        </w:trPr>
        <w:tc>
          <w:tcPr>
            <w:tcW w:w="3551" w:type="dxa"/>
            <w:tcBorders>
              <w:top w:val="nil"/>
              <w:left w:val="single" w:sz="8" w:space="0" w:color="auto"/>
              <w:bottom w:val="single" w:sz="4" w:space="0" w:color="auto"/>
              <w:right w:val="single" w:sz="4" w:space="0" w:color="auto"/>
            </w:tcBorders>
            <w:shd w:val="clear" w:color="auto" w:fill="auto"/>
            <w:noWrap/>
            <w:vAlign w:val="bottom"/>
            <w:hideMark/>
          </w:tcPr>
          <w:p w:rsidR="000D6658" w:rsidRPr="00D601EB" w:rsidRDefault="000D6658" w:rsidP="00D601EB">
            <w:pPr>
              <w:pStyle w:val="Tabletext"/>
              <w:spacing w:before="0" w:after="0"/>
              <w:rPr>
                <w:sz w:val="20"/>
                <w:lang w:eastAsia="zh-CN"/>
              </w:rPr>
            </w:pPr>
            <w:r w:rsidRPr="00D601EB">
              <w:rPr>
                <w:sz w:val="20"/>
                <w:lang w:eastAsia="zh-CN"/>
              </w:rPr>
              <w:t>En preparación</w:t>
            </w:r>
          </w:p>
        </w:tc>
        <w:tc>
          <w:tcPr>
            <w:tcW w:w="875" w:type="dxa"/>
            <w:tcBorders>
              <w:top w:val="nil"/>
              <w:left w:val="nil"/>
              <w:bottom w:val="single" w:sz="4" w:space="0" w:color="auto"/>
              <w:right w:val="single" w:sz="4" w:space="0" w:color="auto"/>
            </w:tcBorders>
            <w:shd w:val="clear" w:color="auto" w:fill="auto"/>
            <w:noWrap/>
            <w:vAlign w:val="bottom"/>
            <w:hideMark/>
          </w:tcPr>
          <w:p w:rsidR="000D6658" w:rsidRPr="00D601EB" w:rsidRDefault="000D6658" w:rsidP="00D601EB">
            <w:pPr>
              <w:pStyle w:val="Tabletext"/>
              <w:spacing w:before="0" w:after="0"/>
              <w:jc w:val="center"/>
              <w:rPr>
                <w:sz w:val="20"/>
                <w:lang w:eastAsia="zh-CN"/>
              </w:rPr>
            </w:pPr>
            <w:r w:rsidRPr="00D601EB">
              <w:rPr>
                <w:sz w:val="20"/>
                <w:lang w:eastAsia="zh-CN"/>
              </w:rPr>
              <w:t>1</w:t>
            </w:r>
          </w:p>
        </w:tc>
        <w:tc>
          <w:tcPr>
            <w:tcW w:w="749" w:type="dxa"/>
            <w:tcBorders>
              <w:top w:val="nil"/>
              <w:left w:val="nil"/>
              <w:bottom w:val="single" w:sz="4" w:space="0" w:color="auto"/>
              <w:right w:val="single" w:sz="4" w:space="0" w:color="auto"/>
            </w:tcBorders>
            <w:shd w:val="clear" w:color="000000" w:fill="FFFFFF"/>
            <w:noWrap/>
            <w:vAlign w:val="bottom"/>
            <w:hideMark/>
          </w:tcPr>
          <w:p w:rsidR="000D6658" w:rsidRPr="00D601EB" w:rsidRDefault="000D6658" w:rsidP="00D601EB">
            <w:pPr>
              <w:pStyle w:val="Tabletext"/>
              <w:spacing w:before="0" w:after="0"/>
              <w:jc w:val="center"/>
              <w:rPr>
                <w:sz w:val="20"/>
                <w:lang w:eastAsia="zh-CN"/>
              </w:rPr>
            </w:pPr>
            <w:r w:rsidRPr="00D601EB">
              <w:rPr>
                <w:sz w:val="20"/>
                <w:lang w:eastAsia="zh-CN"/>
              </w:rPr>
              <w:t>0</w:t>
            </w:r>
          </w:p>
        </w:tc>
        <w:tc>
          <w:tcPr>
            <w:tcW w:w="764" w:type="dxa"/>
            <w:tcBorders>
              <w:top w:val="nil"/>
              <w:left w:val="nil"/>
              <w:bottom w:val="single" w:sz="4" w:space="0" w:color="auto"/>
              <w:right w:val="single" w:sz="4" w:space="0" w:color="auto"/>
            </w:tcBorders>
            <w:shd w:val="clear" w:color="000000" w:fill="FFFFFF"/>
            <w:noWrap/>
            <w:vAlign w:val="bottom"/>
            <w:hideMark/>
          </w:tcPr>
          <w:p w:rsidR="000D6658" w:rsidRPr="00D601EB" w:rsidRDefault="000D6658" w:rsidP="00D601EB">
            <w:pPr>
              <w:pStyle w:val="Tabletext"/>
              <w:spacing w:before="0" w:after="0"/>
              <w:jc w:val="center"/>
              <w:rPr>
                <w:sz w:val="20"/>
                <w:lang w:eastAsia="zh-CN"/>
              </w:rPr>
            </w:pPr>
            <w:r w:rsidRPr="00D601EB">
              <w:rPr>
                <w:sz w:val="20"/>
                <w:lang w:eastAsia="zh-CN"/>
              </w:rPr>
              <w:t>1</w:t>
            </w:r>
          </w:p>
        </w:tc>
        <w:tc>
          <w:tcPr>
            <w:tcW w:w="781" w:type="dxa"/>
            <w:tcBorders>
              <w:top w:val="nil"/>
              <w:left w:val="nil"/>
              <w:bottom w:val="single" w:sz="4" w:space="0" w:color="auto"/>
              <w:right w:val="single" w:sz="4" w:space="0" w:color="auto"/>
            </w:tcBorders>
            <w:shd w:val="clear" w:color="000000" w:fill="FFFFFF"/>
            <w:noWrap/>
            <w:vAlign w:val="bottom"/>
            <w:hideMark/>
          </w:tcPr>
          <w:p w:rsidR="000D6658" w:rsidRPr="00D601EB" w:rsidRDefault="000D6658" w:rsidP="00D601EB">
            <w:pPr>
              <w:pStyle w:val="Tabletext"/>
              <w:spacing w:before="0" w:after="0"/>
              <w:jc w:val="center"/>
              <w:rPr>
                <w:sz w:val="20"/>
                <w:lang w:eastAsia="zh-CN"/>
              </w:rPr>
            </w:pPr>
            <w:r w:rsidRPr="00D601EB">
              <w:rPr>
                <w:sz w:val="20"/>
                <w:lang w:eastAsia="zh-CN"/>
              </w:rPr>
              <w:t>–</w:t>
            </w:r>
          </w:p>
        </w:tc>
        <w:tc>
          <w:tcPr>
            <w:tcW w:w="797" w:type="dxa"/>
            <w:tcBorders>
              <w:top w:val="nil"/>
              <w:left w:val="nil"/>
              <w:bottom w:val="single" w:sz="4" w:space="0" w:color="auto"/>
              <w:right w:val="single" w:sz="4" w:space="0" w:color="auto"/>
            </w:tcBorders>
            <w:shd w:val="clear" w:color="auto" w:fill="auto"/>
            <w:noWrap/>
            <w:vAlign w:val="bottom"/>
            <w:hideMark/>
          </w:tcPr>
          <w:p w:rsidR="000D6658" w:rsidRPr="00D601EB" w:rsidRDefault="000D6658" w:rsidP="00D601EB">
            <w:pPr>
              <w:pStyle w:val="Tabletext"/>
              <w:spacing w:before="0" w:after="0"/>
              <w:jc w:val="center"/>
              <w:rPr>
                <w:sz w:val="20"/>
                <w:lang w:eastAsia="zh-CN"/>
              </w:rPr>
            </w:pPr>
            <w:r w:rsidRPr="00D601EB">
              <w:rPr>
                <w:sz w:val="20"/>
                <w:lang w:eastAsia="zh-CN"/>
              </w:rPr>
              <w:t>13</w:t>
            </w:r>
          </w:p>
        </w:tc>
        <w:tc>
          <w:tcPr>
            <w:tcW w:w="671" w:type="dxa"/>
            <w:tcBorders>
              <w:top w:val="nil"/>
              <w:left w:val="nil"/>
              <w:bottom w:val="single" w:sz="4" w:space="0" w:color="auto"/>
              <w:right w:val="single" w:sz="4" w:space="0" w:color="auto"/>
            </w:tcBorders>
            <w:shd w:val="clear" w:color="000000" w:fill="FFFFFF"/>
            <w:noWrap/>
            <w:vAlign w:val="bottom"/>
            <w:hideMark/>
          </w:tcPr>
          <w:p w:rsidR="000D6658" w:rsidRPr="00D601EB" w:rsidRDefault="000D6658" w:rsidP="00D601EB">
            <w:pPr>
              <w:pStyle w:val="Tabletext"/>
              <w:spacing w:before="0" w:after="0"/>
              <w:jc w:val="center"/>
              <w:rPr>
                <w:sz w:val="20"/>
                <w:lang w:eastAsia="zh-CN"/>
              </w:rPr>
            </w:pPr>
            <w:r w:rsidRPr="00D601EB">
              <w:rPr>
                <w:sz w:val="20"/>
                <w:lang w:eastAsia="zh-CN"/>
              </w:rPr>
              <w:t>20</w:t>
            </w:r>
          </w:p>
        </w:tc>
        <w:tc>
          <w:tcPr>
            <w:tcW w:w="687" w:type="dxa"/>
            <w:tcBorders>
              <w:top w:val="nil"/>
              <w:left w:val="nil"/>
              <w:bottom w:val="single" w:sz="4" w:space="0" w:color="auto"/>
              <w:right w:val="nil"/>
            </w:tcBorders>
            <w:shd w:val="clear" w:color="000000" w:fill="FFFFFF"/>
            <w:noWrap/>
            <w:vAlign w:val="bottom"/>
            <w:hideMark/>
          </w:tcPr>
          <w:p w:rsidR="000D6658" w:rsidRPr="00D601EB" w:rsidRDefault="000D6658" w:rsidP="00D601EB">
            <w:pPr>
              <w:pStyle w:val="Tabletext"/>
              <w:spacing w:before="0" w:after="0"/>
              <w:jc w:val="center"/>
              <w:rPr>
                <w:sz w:val="20"/>
                <w:lang w:eastAsia="zh-CN"/>
              </w:rPr>
            </w:pPr>
            <w:r w:rsidRPr="00D601EB">
              <w:rPr>
                <w:sz w:val="20"/>
                <w:lang w:eastAsia="zh-CN"/>
              </w:rPr>
              <w:t>30</w:t>
            </w:r>
          </w:p>
        </w:tc>
        <w:tc>
          <w:tcPr>
            <w:tcW w:w="689" w:type="dxa"/>
            <w:tcBorders>
              <w:top w:val="nil"/>
              <w:left w:val="single" w:sz="4" w:space="0" w:color="auto"/>
              <w:bottom w:val="single" w:sz="4" w:space="0" w:color="auto"/>
              <w:right w:val="single" w:sz="8" w:space="0" w:color="auto"/>
            </w:tcBorders>
            <w:shd w:val="clear" w:color="000000" w:fill="C4BD97"/>
            <w:noWrap/>
            <w:vAlign w:val="bottom"/>
            <w:hideMark/>
          </w:tcPr>
          <w:p w:rsidR="000D6658" w:rsidRPr="00D601EB" w:rsidRDefault="000D6658" w:rsidP="00D601EB">
            <w:pPr>
              <w:pStyle w:val="Tabletext"/>
              <w:spacing w:before="0" w:after="0"/>
              <w:jc w:val="center"/>
              <w:rPr>
                <w:b/>
                <w:bCs/>
                <w:sz w:val="20"/>
                <w:lang w:eastAsia="zh-CN"/>
              </w:rPr>
            </w:pPr>
            <w:r w:rsidRPr="00D601EB">
              <w:rPr>
                <w:b/>
                <w:bCs/>
                <w:sz w:val="20"/>
                <w:lang w:eastAsia="zh-CN"/>
              </w:rPr>
              <w:t>65</w:t>
            </w:r>
          </w:p>
        </w:tc>
      </w:tr>
      <w:tr w:rsidR="006F382F" w:rsidRPr="00E57C96" w:rsidTr="006F382F">
        <w:trPr>
          <w:jc w:val="center"/>
        </w:trPr>
        <w:tc>
          <w:tcPr>
            <w:tcW w:w="3551" w:type="dxa"/>
            <w:tcBorders>
              <w:top w:val="nil"/>
              <w:left w:val="single" w:sz="8" w:space="0" w:color="auto"/>
              <w:bottom w:val="single" w:sz="4" w:space="0" w:color="auto"/>
              <w:right w:val="single" w:sz="4" w:space="0" w:color="auto"/>
            </w:tcBorders>
            <w:shd w:val="clear" w:color="auto" w:fill="auto"/>
            <w:noWrap/>
            <w:vAlign w:val="bottom"/>
            <w:hideMark/>
          </w:tcPr>
          <w:p w:rsidR="000D6658" w:rsidRPr="00D601EB" w:rsidRDefault="000D6658" w:rsidP="00D601EB">
            <w:pPr>
              <w:pStyle w:val="Tabletext"/>
              <w:spacing w:before="0" w:after="0"/>
              <w:rPr>
                <w:sz w:val="20"/>
                <w:lang w:eastAsia="zh-CN"/>
              </w:rPr>
            </w:pPr>
            <w:r w:rsidRPr="00D601EB">
              <w:rPr>
                <w:sz w:val="20"/>
                <w:lang w:eastAsia="zh-CN"/>
              </w:rPr>
              <w:t>Retrasadas</w:t>
            </w:r>
          </w:p>
        </w:tc>
        <w:tc>
          <w:tcPr>
            <w:tcW w:w="875" w:type="dxa"/>
            <w:tcBorders>
              <w:top w:val="nil"/>
              <w:left w:val="nil"/>
              <w:bottom w:val="single" w:sz="4" w:space="0" w:color="auto"/>
              <w:right w:val="single" w:sz="4" w:space="0" w:color="auto"/>
            </w:tcBorders>
            <w:shd w:val="clear" w:color="auto" w:fill="auto"/>
            <w:noWrap/>
            <w:vAlign w:val="bottom"/>
            <w:hideMark/>
          </w:tcPr>
          <w:p w:rsidR="000D6658" w:rsidRPr="00D601EB" w:rsidRDefault="000D6658" w:rsidP="00D601EB">
            <w:pPr>
              <w:pStyle w:val="Tabletext"/>
              <w:spacing w:before="0" w:after="0"/>
              <w:jc w:val="center"/>
              <w:rPr>
                <w:sz w:val="20"/>
                <w:lang w:eastAsia="zh-CN"/>
              </w:rPr>
            </w:pPr>
            <w:r w:rsidRPr="00D601EB">
              <w:rPr>
                <w:sz w:val="20"/>
                <w:lang w:eastAsia="zh-CN"/>
              </w:rPr>
              <w:t>0</w:t>
            </w:r>
          </w:p>
        </w:tc>
        <w:tc>
          <w:tcPr>
            <w:tcW w:w="749" w:type="dxa"/>
            <w:tcBorders>
              <w:top w:val="nil"/>
              <w:left w:val="nil"/>
              <w:bottom w:val="single" w:sz="4" w:space="0" w:color="auto"/>
              <w:right w:val="single" w:sz="4" w:space="0" w:color="auto"/>
            </w:tcBorders>
            <w:shd w:val="clear" w:color="000000" w:fill="FFFFFF"/>
            <w:noWrap/>
            <w:vAlign w:val="bottom"/>
            <w:hideMark/>
          </w:tcPr>
          <w:p w:rsidR="000D6658" w:rsidRPr="00D601EB" w:rsidRDefault="000D6658" w:rsidP="00D601EB">
            <w:pPr>
              <w:pStyle w:val="Tabletext"/>
              <w:spacing w:before="0" w:after="0"/>
              <w:jc w:val="center"/>
              <w:rPr>
                <w:sz w:val="20"/>
                <w:lang w:eastAsia="zh-CN"/>
              </w:rPr>
            </w:pPr>
            <w:r w:rsidRPr="00D601EB">
              <w:rPr>
                <w:sz w:val="20"/>
                <w:lang w:eastAsia="zh-CN"/>
              </w:rPr>
              <w:t>0</w:t>
            </w:r>
          </w:p>
        </w:tc>
        <w:tc>
          <w:tcPr>
            <w:tcW w:w="764" w:type="dxa"/>
            <w:tcBorders>
              <w:top w:val="nil"/>
              <w:left w:val="nil"/>
              <w:bottom w:val="single" w:sz="4" w:space="0" w:color="auto"/>
              <w:right w:val="single" w:sz="4" w:space="0" w:color="auto"/>
            </w:tcBorders>
            <w:shd w:val="clear" w:color="000000" w:fill="FFFFFF"/>
            <w:noWrap/>
            <w:vAlign w:val="bottom"/>
            <w:hideMark/>
          </w:tcPr>
          <w:p w:rsidR="000D6658" w:rsidRPr="00D601EB" w:rsidRDefault="000D6658" w:rsidP="00D601EB">
            <w:pPr>
              <w:pStyle w:val="Tabletext"/>
              <w:spacing w:before="0" w:after="0"/>
              <w:jc w:val="center"/>
              <w:rPr>
                <w:sz w:val="20"/>
                <w:lang w:eastAsia="zh-CN"/>
              </w:rPr>
            </w:pPr>
            <w:r w:rsidRPr="00D601EB">
              <w:rPr>
                <w:sz w:val="20"/>
                <w:lang w:eastAsia="zh-CN"/>
              </w:rPr>
              <w:t>2</w:t>
            </w:r>
          </w:p>
        </w:tc>
        <w:tc>
          <w:tcPr>
            <w:tcW w:w="781" w:type="dxa"/>
            <w:tcBorders>
              <w:top w:val="nil"/>
              <w:left w:val="nil"/>
              <w:bottom w:val="single" w:sz="4" w:space="0" w:color="auto"/>
              <w:right w:val="single" w:sz="4" w:space="0" w:color="auto"/>
            </w:tcBorders>
            <w:shd w:val="clear" w:color="000000" w:fill="FFFFFF"/>
            <w:noWrap/>
            <w:vAlign w:val="bottom"/>
            <w:hideMark/>
          </w:tcPr>
          <w:p w:rsidR="000D6658" w:rsidRPr="00D601EB" w:rsidRDefault="000D6658" w:rsidP="00D601EB">
            <w:pPr>
              <w:pStyle w:val="Tabletext"/>
              <w:spacing w:before="0" w:after="0"/>
              <w:jc w:val="center"/>
              <w:rPr>
                <w:sz w:val="20"/>
                <w:lang w:eastAsia="zh-CN"/>
              </w:rPr>
            </w:pPr>
            <w:r w:rsidRPr="00D601EB">
              <w:rPr>
                <w:sz w:val="20"/>
                <w:lang w:eastAsia="zh-CN"/>
              </w:rPr>
              <w:t>–</w:t>
            </w:r>
          </w:p>
        </w:tc>
        <w:tc>
          <w:tcPr>
            <w:tcW w:w="797" w:type="dxa"/>
            <w:tcBorders>
              <w:top w:val="nil"/>
              <w:left w:val="nil"/>
              <w:bottom w:val="single" w:sz="4" w:space="0" w:color="auto"/>
              <w:right w:val="single" w:sz="4" w:space="0" w:color="auto"/>
            </w:tcBorders>
            <w:shd w:val="clear" w:color="auto" w:fill="auto"/>
            <w:noWrap/>
            <w:vAlign w:val="bottom"/>
            <w:hideMark/>
          </w:tcPr>
          <w:p w:rsidR="000D6658" w:rsidRPr="00D601EB" w:rsidRDefault="000D6658" w:rsidP="00D601EB">
            <w:pPr>
              <w:pStyle w:val="Tabletext"/>
              <w:spacing w:before="0" w:after="0"/>
              <w:jc w:val="center"/>
              <w:rPr>
                <w:sz w:val="20"/>
                <w:lang w:eastAsia="zh-CN"/>
              </w:rPr>
            </w:pPr>
            <w:r w:rsidRPr="00D601EB">
              <w:rPr>
                <w:sz w:val="20"/>
                <w:lang w:eastAsia="zh-CN"/>
              </w:rPr>
              <w:t>1</w:t>
            </w:r>
          </w:p>
        </w:tc>
        <w:tc>
          <w:tcPr>
            <w:tcW w:w="671" w:type="dxa"/>
            <w:tcBorders>
              <w:top w:val="nil"/>
              <w:left w:val="nil"/>
              <w:bottom w:val="single" w:sz="4" w:space="0" w:color="auto"/>
              <w:right w:val="single" w:sz="4" w:space="0" w:color="auto"/>
            </w:tcBorders>
            <w:shd w:val="clear" w:color="000000" w:fill="FFFFFF"/>
            <w:noWrap/>
            <w:vAlign w:val="bottom"/>
            <w:hideMark/>
          </w:tcPr>
          <w:p w:rsidR="000D6658" w:rsidRPr="00D601EB" w:rsidRDefault="000D6658" w:rsidP="00D601EB">
            <w:pPr>
              <w:pStyle w:val="Tabletext"/>
              <w:spacing w:before="0" w:after="0"/>
              <w:jc w:val="center"/>
              <w:rPr>
                <w:sz w:val="20"/>
                <w:lang w:eastAsia="zh-CN"/>
              </w:rPr>
            </w:pPr>
            <w:r w:rsidRPr="00D601EB">
              <w:rPr>
                <w:sz w:val="20"/>
                <w:lang w:eastAsia="zh-CN"/>
              </w:rPr>
              <w:t>5</w:t>
            </w:r>
          </w:p>
        </w:tc>
        <w:tc>
          <w:tcPr>
            <w:tcW w:w="687" w:type="dxa"/>
            <w:tcBorders>
              <w:top w:val="nil"/>
              <w:left w:val="nil"/>
              <w:bottom w:val="single" w:sz="4" w:space="0" w:color="auto"/>
              <w:right w:val="nil"/>
            </w:tcBorders>
            <w:shd w:val="clear" w:color="000000" w:fill="FFFFFF"/>
            <w:noWrap/>
            <w:vAlign w:val="bottom"/>
            <w:hideMark/>
          </w:tcPr>
          <w:p w:rsidR="000D6658" w:rsidRPr="00D601EB" w:rsidRDefault="000D6658" w:rsidP="00D601EB">
            <w:pPr>
              <w:pStyle w:val="Tabletext"/>
              <w:spacing w:before="0" w:after="0"/>
              <w:jc w:val="center"/>
              <w:rPr>
                <w:sz w:val="20"/>
                <w:lang w:eastAsia="zh-CN"/>
              </w:rPr>
            </w:pPr>
            <w:r w:rsidRPr="00D601EB">
              <w:rPr>
                <w:sz w:val="20"/>
                <w:lang w:eastAsia="zh-CN"/>
              </w:rPr>
              <w:t>0</w:t>
            </w:r>
          </w:p>
        </w:tc>
        <w:tc>
          <w:tcPr>
            <w:tcW w:w="689" w:type="dxa"/>
            <w:tcBorders>
              <w:top w:val="nil"/>
              <w:left w:val="single" w:sz="4" w:space="0" w:color="auto"/>
              <w:bottom w:val="single" w:sz="4" w:space="0" w:color="auto"/>
              <w:right w:val="single" w:sz="8" w:space="0" w:color="auto"/>
            </w:tcBorders>
            <w:shd w:val="clear" w:color="000000" w:fill="C4BD97"/>
            <w:noWrap/>
            <w:vAlign w:val="bottom"/>
            <w:hideMark/>
          </w:tcPr>
          <w:p w:rsidR="000D6658" w:rsidRPr="00D601EB" w:rsidRDefault="000D6658" w:rsidP="00D601EB">
            <w:pPr>
              <w:pStyle w:val="Tabletext"/>
              <w:spacing w:before="0" w:after="0"/>
              <w:jc w:val="center"/>
              <w:rPr>
                <w:b/>
                <w:bCs/>
                <w:sz w:val="20"/>
                <w:lang w:eastAsia="zh-CN"/>
              </w:rPr>
            </w:pPr>
            <w:r w:rsidRPr="00D601EB">
              <w:rPr>
                <w:b/>
                <w:bCs/>
                <w:sz w:val="20"/>
                <w:lang w:eastAsia="zh-CN"/>
              </w:rPr>
              <w:t>8</w:t>
            </w:r>
          </w:p>
        </w:tc>
      </w:tr>
      <w:tr w:rsidR="006F382F" w:rsidRPr="00E57C96" w:rsidTr="006F382F">
        <w:trPr>
          <w:jc w:val="center"/>
        </w:trPr>
        <w:tc>
          <w:tcPr>
            <w:tcW w:w="3551" w:type="dxa"/>
            <w:tcBorders>
              <w:top w:val="nil"/>
              <w:left w:val="single" w:sz="8" w:space="0" w:color="auto"/>
              <w:bottom w:val="single" w:sz="8" w:space="0" w:color="auto"/>
              <w:right w:val="single" w:sz="4" w:space="0" w:color="auto"/>
            </w:tcBorders>
            <w:shd w:val="clear" w:color="auto" w:fill="auto"/>
            <w:noWrap/>
            <w:vAlign w:val="bottom"/>
            <w:hideMark/>
          </w:tcPr>
          <w:p w:rsidR="000D6658" w:rsidRPr="00D601EB" w:rsidRDefault="000D6658" w:rsidP="00D601EB">
            <w:pPr>
              <w:pStyle w:val="Tabletext"/>
              <w:spacing w:before="0" w:after="0"/>
              <w:rPr>
                <w:sz w:val="20"/>
                <w:lang w:eastAsia="zh-CN"/>
              </w:rPr>
            </w:pPr>
            <w:r w:rsidRPr="00D601EB">
              <w:rPr>
                <w:sz w:val="20"/>
                <w:lang w:eastAsia="zh-CN"/>
              </w:rPr>
              <w:t>Cerradas</w:t>
            </w:r>
          </w:p>
        </w:tc>
        <w:tc>
          <w:tcPr>
            <w:tcW w:w="875" w:type="dxa"/>
            <w:tcBorders>
              <w:top w:val="nil"/>
              <w:left w:val="nil"/>
              <w:bottom w:val="single" w:sz="8" w:space="0" w:color="auto"/>
              <w:right w:val="single" w:sz="4" w:space="0" w:color="auto"/>
            </w:tcBorders>
            <w:shd w:val="clear" w:color="auto" w:fill="auto"/>
            <w:noWrap/>
            <w:vAlign w:val="bottom"/>
            <w:hideMark/>
          </w:tcPr>
          <w:p w:rsidR="000D6658" w:rsidRPr="00D601EB" w:rsidRDefault="000D6658" w:rsidP="00D601EB">
            <w:pPr>
              <w:pStyle w:val="Tabletext"/>
              <w:spacing w:before="0" w:after="0"/>
              <w:jc w:val="center"/>
              <w:rPr>
                <w:sz w:val="20"/>
                <w:lang w:eastAsia="zh-CN"/>
              </w:rPr>
            </w:pPr>
            <w:r w:rsidRPr="00D601EB">
              <w:rPr>
                <w:sz w:val="20"/>
                <w:lang w:eastAsia="zh-CN"/>
              </w:rPr>
              <w:t>12</w:t>
            </w:r>
          </w:p>
        </w:tc>
        <w:tc>
          <w:tcPr>
            <w:tcW w:w="749" w:type="dxa"/>
            <w:tcBorders>
              <w:top w:val="nil"/>
              <w:left w:val="nil"/>
              <w:bottom w:val="single" w:sz="8" w:space="0" w:color="auto"/>
              <w:right w:val="single" w:sz="4" w:space="0" w:color="auto"/>
            </w:tcBorders>
            <w:shd w:val="clear" w:color="000000" w:fill="FFFFFF"/>
            <w:noWrap/>
            <w:vAlign w:val="bottom"/>
            <w:hideMark/>
          </w:tcPr>
          <w:p w:rsidR="000D6658" w:rsidRPr="00D601EB" w:rsidRDefault="000D6658" w:rsidP="00D601EB">
            <w:pPr>
              <w:pStyle w:val="Tabletext"/>
              <w:spacing w:before="0" w:after="0"/>
              <w:jc w:val="center"/>
              <w:rPr>
                <w:sz w:val="20"/>
                <w:lang w:eastAsia="zh-CN"/>
              </w:rPr>
            </w:pPr>
            <w:r w:rsidRPr="00D601EB">
              <w:rPr>
                <w:sz w:val="20"/>
                <w:lang w:eastAsia="zh-CN"/>
              </w:rPr>
              <w:t>21</w:t>
            </w:r>
          </w:p>
        </w:tc>
        <w:tc>
          <w:tcPr>
            <w:tcW w:w="764" w:type="dxa"/>
            <w:tcBorders>
              <w:top w:val="nil"/>
              <w:left w:val="nil"/>
              <w:bottom w:val="single" w:sz="8" w:space="0" w:color="auto"/>
              <w:right w:val="single" w:sz="4" w:space="0" w:color="auto"/>
            </w:tcBorders>
            <w:shd w:val="clear" w:color="000000" w:fill="FFFFFF"/>
            <w:noWrap/>
            <w:vAlign w:val="bottom"/>
            <w:hideMark/>
          </w:tcPr>
          <w:p w:rsidR="000D6658" w:rsidRPr="00D601EB" w:rsidRDefault="000D6658" w:rsidP="00D601EB">
            <w:pPr>
              <w:pStyle w:val="Tabletext"/>
              <w:spacing w:before="0" w:after="0"/>
              <w:jc w:val="center"/>
              <w:rPr>
                <w:sz w:val="20"/>
                <w:lang w:eastAsia="zh-CN"/>
              </w:rPr>
            </w:pPr>
            <w:r w:rsidRPr="00D601EB">
              <w:rPr>
                <w:sz w:val="20"/>
                <w:lang w:eastAsia="zh-CN"/>
              </w:rPr>
              <w:t>14</w:t>
            </w:r>
          </w:p>
        </w:tc>
        <w:tc>
          <w:tcPr>
            <w:tcW w:w="781" w:type="dxa"/>
            <w:tcBorders>
              <w:top w:val="nil"/>
              <w:left w:val="nil"/>
              <w:bottom w:val="single" w:sz="8" w:space="0" w:color="auto"/>
              <w:right w:val="single" w:sz="4" w:space="0" w:color="auto"/>
            </w:tcBorders>
            <w:shd w:val="clear" w:color="000000" w:fill="FFFFFF"/>
            <w:noWrap/>
            <w:vAlign w:val="bottom"/>
            <w:hideMark/>
          </w:tcPr>
          <w:p w:rsidR="000D6658" w:rsidRPr="00D601EB" w:rsidRDefault="000D6658" w:rsidP="00D601EB">
            <w:pPr>
              <w:pStyle w:val="Tabletext"/>
              <w:spacing w:before="0" w:after="0"/>
              <w:jc w:val="center"/>
              <w:rPr>
                <w:sz w:val="20"/>
                <w:lang w:eastAsia="zh-CN"/>
              </w:rPr>
            </w:pPr>
            <w:r w:rsidRPr="00D601EB">
              <w:rPr>
                <w:sz w:val="20"/>
                <w:lang w:eastAsia="zh-CN"/>
              </w:rPr>
              <w:t>–</w:t>
            </w:r>
          </w:p>
        </w:tc>
        <w:tc>
          <w:tcPr>
            <w:tcW w:w="797" w:type="dxa"/>
            <w:tcBorders>
              <w:top w:val="nil"/>
              <w:left w:val="nil"/>
              <w:bottom w:val="single" w:sz="8" w:space="0" w:color="auto"/>
              <w:right w:val="single" w:sz="4" w:space="0" w:color="auto"/>
            </w:tcBorders>
            <w:shd w:val="clear" w:color="auto" w:fill="auto"/>
            <w:noWrap/>
            <w:vAlign w:val="bottom"/>
            <w:hideMark/>
          </w:tcPr>
          <w:p w:rsidR="000D6658" w:rsidRPr="00D601EB" w:rsidRDefault="000D6658" w:rsidP="00D601EB">
            <w:pPr>
              <w:pStyle w:val="Tabletext"/>
              <w:spacing w:before="0" w:after="0"/>
              <w:jc w:val="center"/>
              <w:rPr>
                <w:sz w:val="20"/>
                <w:lang w:eastAsia="zh-CN"/>
              </w:rPr>
            </w:pPr>
            <w:r w:rsidRPr="00D601EB">
              <w:rPr>
                <w:sz w:val="20"/>
                <w:lang w:eastAsia="zh-CN"/>
              </w:rPr>
              <w:t>99</w:t>
            </w:r>
          </w:p>
        </w:tc>
        <w:tc>
          <w:tcPr>
            <w:tcW w:w="671" w:type="dxa"/>
            <w:tcBorders>
              <w:top w:val="nil"/>
              <w:left w:val="nil"/>
              <w:bottom w:val="single" w:sz="8" w:space="0" w:color="auto"/>
              <w:right w:val="single" w:sz="4" w:space="0" w:color="auto"/>
            </w:tcBorders>
            <w:shd w:val="clear" w:color="000000" w:fill="FFFFFF"/>
            <w:noWrap/>
            <w:vAlign w:val="bottom"/>
            <w:hideMark/>
          </w:tcPr>
          <w:p w:rsidR="000D6658" w:rsidRPr="00D601EB" w:rsidRDefault="000D6658" w:rsidP="00D601EB">
            <w:pPr>
              <w:pStyle w:val="Tabletext"/>
              <w:spacing w:before="0" w:after="0"/>
              <w:jc w:val="center"/>
              <w:rPr>
                <w:sz w:val="20"/>
                <w:lang w:eastAsia="zh-CN"/>
              </w:rPr>
            </w:pPr>
            <w:r w:rsidRPr="00D601EB">
              <w:rPr>
                <w:sz w:val="20"/>
                <w:lang w:eastAsia="zh-CN"/>
              </w:rPr>
              <w:t>30</w:t>
            </w:r>
          </w:p>
        </w:tc>
        <w:tc>
          <w:tcPr>
            <w:tcW w:w="687" w:type="dxa"/>
            <w:tcBorders>
              <w:top w:val="nil"/>
              <w:left w:val="nil"/>
              <w:bottom w:val="single" w:sz="8" w:space="0" w:color="auto"/>
              <w:right w:val="nil"/>
            </w:tcBorders>
            <w:shd w:val="clear" w:color="000000" w:fill="FFFFFF"/>
            <w:noWrap/>
            <w:vAlign w:val="bottom"/>
            <w:hideMark/>
          </w:tcPr>
          <w:p w:rsidR="000D6658" w:rsidRPr="00D601EB" w:rsidRDefault="000D6658" w:rsidP="00D601EB">
            <w:pPr>
              <w:pStyle w:val="Tabletext"/>
              <w:spacing w:before="0" w:after="0"/>
              <w:jc w:val="center"/>
              <w:rPr>
                <w:sz w:val="20"/>
                <w:lang w:eastAsia="zh-CN"/>
              </w:rPr>
            </w:pPr>
            <w:r w:rsidRPr="00D601EB">
              <w:rPr>
                <w:sz w:val="20"/>
                <w:lang w:eastAsia="zh-CN"/>
              </w:rPr>
              <w:t>4</w:t>
            </w:r>
          </w:p>
        </w:tc>
        <w:tc>
          <w:tcPr>
            <w:tcW w:w="689" w:type="dxa"/>
            <w:tcBorders>
              <w:top w:val="nil"/>
              <w:left w:val="single" w:sz="4" w:space="0" w:color="auto"/>
              <w:bottom w:val="single" w:sz="8" w:space="0" w:color="auto"/>
              <w:right w:val="single" w:sz="8" w:space="0" w:color="auto"/>
            </w:tcBorders>
            <w:shd w:val="clear" w:color="000000" w:fill="C4BD97"/>
            <w:noWrap/>
            <w:vAlign w:val="bottom"/>
            <w:hideMark/>
          </w:tcPr>
          <w:p w:rsidR="000D6658" w:rsidRPr="00D601EB" w:rsidRDefault="000D6658" w:rsidP="00D601EB">
            <w:pPr>
              <w:pStyle w:val="Tabletext"/>
              <w:spacing w:before="0" w:after="0"/>
              <w:jc w:val="center"/>
              <w:rPr>
                <w:b/>
                <w:bCs/>
                <w:sz w:val="20"/>
                <w:lang w:eastAsia="zh-CN"/>
              </w:rPr>
            </w:pPr>
            <w:r w:rsidRPr="00D601EB">
              <w:rPr>
                <w:b/>
                <w:bCs/>
                <w:sz w:val="20"/>
                <w:lang w:eastAsia="zh-CN"/>
              </w:rPr>
              <w:t>180</w:t>
            </w:r>
          </w:p>
        </w:tc>
      </w:tr>
      <w:tr w:rsidR="006F382F" w:rsidRPr="00E57C96" w:rsidTr="006F382F">
        <w:trPr>
          <w:jc w:val="center"/>
        </w:trPr>
        <w:tc>
          <w:tcPr>
            <w:tcW w:w="3551" w:type="dxa"/>
            <w:tcBorders>
              <w:top w:val="nil"/>
              <w:left w:val="nil"/>
              <w:bottom w:val="nil"/>
              <w:right w:val="nil"/>
            </w:tcBorders>
            <w:shd w:val="clear" w:color="auto" w:fill="auto"/>
            <w:noWrap/>
            <w:vAlign w:val="bottom"/>
            <w:hideMark/>
          </w:tcPr>
          <w:p w:rsidR="000D6658" w:rsidRPr="00D601EB" w:rsidRDefault="000D6658" w:rsidP="00D601EB">
            <w:pPr>
              <w:pStyle w:val="Tabletext"/>
              <w:spacing w:before="0" w:after="0"/>
              <w:rPr>
                <w:sz w:val="20"/>
                <w:lang w:eastAsia="zh-CN"/>
              </w:rPr>
            </w:pPr>
          </w:p>
        </w:tc>
        <w:tc>
          <w:tcPr>
            <w:tcW w:w="875" w:type="dxa"/>
            <w:tcBorders>
              <w:top w:val="nil"/>
              <w:left w:val="nil"/>
              <w:bottom w:val="nil"/>
              <w:right w:val="nil"/>
            </w:tcBorders>
            <w:shd w:val="clear" w:color="auto" w:fill="auto"/>
            <w:noWrap/>
            <w:vAlign w:val="bottom"/>
            <w:hideMark/>
          </w:tcPr>
          <w:p w:rsidR="000D6658" w:rsidRPr="00D601EB" w:rsidRDefault="000D6658" w:rsidP="00D601EB">
            <w:pPr>
              <w:pStyle w:val="Tabletext"/>
              <w:spacing w:before="0" w:after="0"/>
              <w:jc w:val="center"/>
              <w:rPr>
                <w:sz w:val="20"/>
                <w:lang w:eastAsia="zh-CN"/>
              </w:rPr>
            </w:pPr>
          </w:p>
        </w:tc>
        <w:tc>
          <w:tcPr>
            <w:tcW w:w="749" w:type="dxa"/>
            <w:tcBorders>
              <w:top w:val="nil"/>
              <w:left w:val="nil"/>
              <w:bottom w:val="nil"/>
              <w:right w:val="nil"/>
            </w:tcBorders>
            <w:shd w:val="clear" w:color="000000" w:fill="FFFFFF"/>
            <w:noWrap/>
            <w:vAlign w:val="bottom"/>
            <w:hideMark/>
          </w:tcPr>
          <w:p w:rsidR="000D6658" w:rsidRPr="00D601EB" w:rsidRDefault="000D6658" w:rsidP="00D601EB">
            <w:pPr>
              <w:pStyle w:val="Tabletext"/>
              <w:spacing w:before="0" w:after="0"/>
              <w:jc w:val="center"/>
              <w:rPr>
                <w:sz w:val="20"/>
                <w:lang w:eastAsia="zh-CN"/>
              </w:rPr>
            </w:pPr>
          </w:p>
        </w:tc>
        <w:tc>
          <w:tcPr>
            <w:tcW w:w="764" w:type="dxa"/>
            <w:tcBorders>
              <w:top w:val="nil"/>
              <w:left w:val="nil"/>
              <w:bottom w:val="nil"/>
              <w:right w:val="nil"/>
            </w:tcBorders>
            <w:shd w:val="clear" w:color="000000" w:fill="FFFFFF"/>
            <w:noWrap/>
            <w:vAlign w:val="bottom"/>
            <w:hideMark/>
          </w:tcPr>
          <w:p w:rsidR="000D6658" w:rsidRPr="00D601EB" w:rsidRDefault="000D6658" w:rsidP="00D601EB">
            <w:pPr>
              <w:pStyle w:val="Tabletext"/>
              <w:spacing w:before="0" w:after="0"/>
              <w:jc w:val="center"/>
              <w:rPr>
                <w:sz w:val="20"/>
                <w:lang w:eastAsia="zh-CN"/>
              </w:rPr>
            </w:pPr>
          </w:p>
        </w:tc>
        <w:tc>
          <w:tcPr>
            <w:tcW w:w="781" w:type="dxa"/>
            <w:tcBorders>
              <w:top w:val="nil"/>
              <w:left w:val="nil"/>
              <w:bottom w:val="nil"/>
              <w:right w:val="nil"/>
            </w:tcBorders>
            <w:shd w:val="clear" w:color="000000" w:fill="FFFFFF"/>
            <w:noWrap/>
            <w:vAlign w:val="bottom"/>
            <w:hideMark/>
          </w:tcPr>
          <w:p w:rsidR="000D6658" w:rsidRPr="00D601EB" w:rsidRDefault="000D6658" w:rsidP="00D601EB">
            <w:pPr>
              <w:pStyle w:val="Tabletext"/>
              <w:spacing w:before="0" w:after="0"/>
              <w:jc w:val="center"/>
              <w:rPr>
                <w:sz w:val="20"/>
                <w:lang w:eastAsia="zh-CN"/>
              </w:rPr>
            </w:pPr>
          </w:p>
        </w:tc>
        <w:tc>
          <w:tcPr>
            <w:tcW w:w="797" w:type="dxa"/>
            <w:tcBorders>
              <w:top w:val="nil"/>
              <w:left w:val="nil"/>
              <w:bottom w:val="nil"/>
              <w:right w:val="nil"/>
            </w:tcBorders>
            <w:shd w:val="clear" w:color="auto" w:fill="auto"/>
            <w:noWrap/>
            <w:vAlign w:val="bottom"/>
            <w:hideMark/>
          </w:tcPr>
          <w:p w:rsidR="000D6658" w:rsidRPr="00D601EB" w:rsidRDefault="000D6658" w:rsidP="00D601EB">
            <w:pPr>
              <w:pStyle w:val="Tabletext"/>
              <w:spacing w:before="0" w:after="0"/>
              <w:jc w:val="center"/>
              <w:rPr>
                <w:sz w:val="20"/>
                <w:lang w:eastAsia="zh-CN"/>
              </w:rPr>
            </w:pPr>
          </w:p>
        </w:tc>
        <w:tc>
          <w:tcPr>
            <w:tcW w:w="671" w:type="dxa"/>
            <w:tcBorders>
              <w:top w:val="nil"/>
              <w:left w:val="nil"/>
              <w:bottom w:val="nil"/>
              <w:right w:val="nil"/>
            </w:tcBorders>
            <w:shd w:val="clear" w:color="000000" w:fill="FFFFFF"/>
            <w:noWrap/>
            <w:vAlign w:val="bottom"/>
            <w:hideMark/>
          </w:tcPr>
          <w:p w:rsidR="000D6658" w:rsidRPr="00D601EB" w:rsidRDefault="000D6658" w:rsidP="00D601EB">
            <w:pPr>
              <w:pStyle w:val="Tabletext"/>
              <w:spacing w:before="0" w:after="0"/>
              <w:jc w:val="center"/>
              <w:rPr>
                <w:sz w:val="20"/>
                <w:lang w:eastAsia="zh-CN"/>
              </w:rPr>
            </w:pPr>
          </w:p>
        </w:tc>
        <w:tc>
          <w:tcPr>
            <w:tcW w:w="687" w:type="dxa"/>
            <w:tcBorders>
              <w:top w:val="nil"/>
              <w:left w:val="nil"/>
              <w:bottom w:val="nil"/>
              <w:right w:val="nil"/>
            </w:tcBorders>
            <w:shd w:val="clear" w:color="000000" w:fill="FFFFFF"/>
            <w:noWrap/>
            <w:vAlign w:val="bottom"/>
            <w:hideMark/>
          </w:tcPr>
          <w:p w:rsidR="000D6658" w:rsidRPr="00D601EB" w:rsidRDefault="000D6658" w:rsidP="00D601EB">
            <w:pPr>
              <w:pStyle w:val="Tabletext"/>
              <w:spacing w:before="0" w:after="0"/>
              <w:jc w:val="center"/>
              <w:rPr>
                <w:sz w:val="20"/>
                <w:lang w:eastAsia="zh-CN"/>
              </w:rPr>
            </w:pPr>
          </w:p>
        </w:tc>
        <w:tc>
          <w:tcPr>
            <w:tcW w:w="689" w:type="dxa"/>
            <w:tcBorders>
              <w:top w:val="nil"/>
              <w:left w:val="nil"/>
              <w:bottom w:val="nil"/>
              <w:right w:val="nil"/>
            </w:tcBorders>
            <w:shd w:val="clear" w:color="000000" w:fill="FFFFFF"/>
            <w:noWrap/>
            <w:vAlign w:val="bottom"/>
            <w:hideMark/>
          </w:tcPr>
          <w:p w:rsidR="000D6658" w:rsidRPr="00D601EB" w:rsidRDefault="000D6658" w:rsidP="00D601EB">
            <w:pPr>
              <w:pStyle w:val="Tabletext"/>
              <w:spacing w:before="0" w:after="0"/>
              <w:jc w:val="center"/>
              <w:rPr>
                <w:b/>
                <w:bCs/>
                <w:sz w:val="20"/>
                <w:lang w:eastAsia="zh-CN"/>
              </w:rPr>
            </w:pPr>
          </w:p>
        </w:tc>
      </w:tr>
      <w:tr w:rsidR="006F382F" w:rsidRPr="00E57C96" w:rsidTr="006F382F">
        <w:trPr>
          <w:jc w:val="center"/>
        </w:trPr>
        <w:tc>
          <w:tcPr>
            <w:tcW w:w="3551" w:type="dxa"/>
            <w:tcBorders>
              <w:top w:val="single" w:sz="8" w:space="0" w:color="auto"/>
              <w:left w:val="single" w:sz="8" w:space="0" w:color="auto"/>
              <w:bottom w:val="single" w:sz="8" w:space="0" w:color="auto"/>
              <w:right w:val="single" w:sz="4" w:space="0" w:color="auto"/>
            </w:tcBorders>
            <w:shd w:val="clear" w:color="auto" w:fill="auto"/>
            <w:noWrap/>
            <w:vAlign w:val="bottom"/>
          </w:tcPr>
          <w:p w:rsidR="000D6658" w:rsidRPr="00D601EB" w:rsidRDefault="000D6658" w:rsidP="00D601EB">
            <w:pPr>
              <w:pStyle w:val="Tabletext"/>
              <w:spacing w:before="0" w:after="0"/>
              <w:rPr>
                <w:sz w:val="20"/>
                <w:lang w:eastAsia="zh-CN"/>
              </w:rPr>
            </w:pPr>
            <w:r w:rsidRPr="00D601EB">
              <w:rPr>
                <w:sz w:val="20"/>
                <w:lang w:eastAsia="zh-CN"/>
              </w:rPr>
              <w:t>% de recomendaciones en preparación</w:t>
            </w:r>
          </w:p>
        </w:tc>
        <w:tc>
          <w:tcPr>
            <w:tcW w:w="875" w:type="dxa"/>
            <w:tcBorders>
              <w:top w:val="single" w:sz="8" w:space="0" w:color="auto"/>
              <w:left w:val="nil"/>
              <w:bottom w:val="single" w:sz="8" w:space="0" w:color="auto"/>
              <w:right w:val="single" w:sz="4" w:space="0" w:color="auto"/>
            </w:tcBorders>
            <w:shd w:val="clear" w:color="auto" w:fill="auto"/>
            <w:noWrap/>
            <w:vAlign w:val="bottom"/>
          </w:tcPr>
          <w:p w:rsidR="000D6658" w:rsidRPr="00D601EB" w:rsidRDefault="000D6658" w:rsidP="00D601EB">
            <w:pPr>
              <w:pStyle w:val="Tabletext"/>
              <w:spacing w:before="0" w:after="0"/>
              <w:jc w:val="center"/>
              <w:rPr>
                <w:sz w:val="20"/>
                <w:lang w:eastAsia="zh-CN"/>
              </w:rPr>
            </w:pPr>
            <w:r w:rsidRPr="00D601EB">
              <w:rPr>
                <w:sz w:val="20"/>
                <w:lang w:eastAsia="zh-CN"/>
              </w:rPr>
              <w:t>8%</w:t>
            </w:r>
          </w:p>
        </w:tc>
        <w:tc>
          <w:tcPr>
            <w:tcW w:w="749" w:type="dxa"/>
            <w:tcBorders>
              <w:top w:val="single" w:sz="8" w:space="0" w:color="auto"/>
              <w:left w:val="nil"/>
              <w:bottom w:val="single" w:sz="8" w:space="0" w:color="auto"/>
              <w:right w:val="single" w:sz="4" w:space="0" w:color="auto"/>
            </w:tcBorders>
            <w:shd w:val="clear" w:color="auto" w:fill="auto"/>
            <w:noWrap/>
            <w:vAlign w:val="bottom"/>
          </w:tcPr>
          <w:p w:rsidR="000D6658" w:rsidRPr="00D601EB" w:rsidRDefault="000D6658" w:rsidP="00D601EB">
            <w:pPr>
              <w:pStyle w:val="Tabletext"/>
              <w:spacing w:before="0" w:after="0"/>
              <w:jc w:val="center"/>
              <w:rPr>
                <w:sz w:val="20"/>
                <w:lang w:eastAsia="zh-CN"/>
              </w:rPr>
            </w:pPr>
            <w:r w:rsidRPr="00D601EB">
              <w:rPr>
                <w:sz w:val="20"/>
                <w:lang w:eastAsia="zh-CN"/>
              </w:rPr>
              <w:t>8%</w:t>
            </w:r>
          </w:p>
        </w:tc>
        <w:tc>
          <w:tcPr>
            <w:tcW w:w="764" w:type="dxa"/>
            <w:tcBorders>
              <w:top w:val="single" w:sz="8" w:space="0" w:color="auto"/>
              <w:left w:val="nil"/>
              <w:bottom w:val="single" w:sz="8" w:space="0" w:color="auto"/>
              <w:right w:val="single" w:sz="4" w:space="0" w:color="auto"/>
            </w:tcBorders>
            <w:shd w:val="clear" w:color="auto" w:fill="auto"/>
            <w:noWrap/>
            <w:vAlign w:val="bottom"/>
          </w:tcPr>
          <w:p w:rsidR="000D6658" w:rsidRPr="00D601EB" w:rsidRDefault="000D6658" w:rsidP="00D601EB">
            <w:pPr>
              <w:pStyle w:val="Tabletext"/>
              <w:spacing w:before="0" w:after="0"/>
              <w:jc w:val="center"/>
              <w:rPr>
                <w:sz w:val="20"/>
                <w:lang w:eastAsia="zh-CN"/>
              </w:rPr>
            </w:pPr>
            <w:r w:rsidRPr="00D601EB">
              <w:rPr>
                <w:sz w:val="20"/>
                <w:lang w:eastAsia="zh-CN"/>
              </w:rPr>
              <w:t>6%</w:t>
            </w:r>
          </w:p>
        </w:tc>
        <w:tc>
          <w:tcPr>
            <w:tcW w:w="781" w:type="dxa"/>
            <w:tcBorders>
              <w:top w:val="single" w:sz="8" w:space="0" w:color="auto"/>
              <w:left w:val="nil"/>
              <w:bottom w:val="single" w:sz="8" w:space="0" w:color="auto"/>
              <w:right w:val="single" w:sz="4" w:space="0" w:color="auto"/>
            </w:tcBorders>
            <w:shd w:val="clear" w:color="auto" w:fill="auto"/>
            <w:noWrap/>
            <w:vAlign w:val="bottom"/>
          </w:tcPr>
          <w:p w:rsidR="000D6658" w:rsidRPr="00D601EB" w:rsidRDefault="000D6658" w:rsidP="00D601EB">
            <w:pPr>
              <w:pStyle w:val="Tabletext"/>
              <w:spacing w:before="0" w:after="0"/>
              <w:jc w:val="center"/>
              <w:rPr>
                <w:sz w:val="20"/>
                <w:lang w:eastAsia="zh-CN"/>
              </w:rPr>
            </w:pPr>
            <w:r w:rsidRPr="00D601EB">
              <w:rPr>
                <w:sz w:val="20"/>
                <w:lang w:eastAsia="zh-CN"/>
              </w:rPr>
              <w:t>–</w:t>
            </w:r>
          </w:p>
        </w:tc>
        <w:tc>
          <w:tcPr>
            <w:tcW w:w="797" w:type="dxa"/>
            <w:tcBorders>
              <w:top w:val="single" w:sz="8" w:space="0" w:color="auto"/>
              <w:left w:val="nil"/>
              <w:bottom w:val="single" w:sz="8" w:space="0" w:color="auto"/>
              <w:right w:val="single" w:sz="4" w:space="0" w:color="auto"/>
            </w:tcBorders>
            <w:shd w:val="clear" w:color="auto" w:fill="auto"/>
            <w:noWrap/>
            <w:vAlign w:val="bottom"/>
          </w:tcPr>
          <w:p w:rsidR="000D6658" w:rsidRPr="00D601EB" w:rsidRDefault="000D6658" w:rsidP="00D601EB">
            <w:pPr>
              <w:pStyle w:val="Tabletext"/>
              <w:spacing w:before="0" w:after="0"/>
              <w:jc w:val="center"/>
              <w:rPr>
                <w:sz w:val="20"/>
                <w:lang w:eastAsia="zh-CN"/>
              </w:rPr>
            </w:pPr>
            <w:r w:rsidRPr="00D601EB">
              <w:rPr>
                <w:sz w:val="20"/>
                <w:lang w:eastAsia="zh-CN"/>
              </w:rPr>
              <w:t>12%</w:t>
            </w:r>
          </w:p>
        </w:tc>
        <w:tc>
          <w:tcPr>
            <w:tcW w:w="671" w:type="dxa"/>
            <w:tcBorders>
              <w:top w:val="single" w:sz="8" w:space="0" w:color="auto"/>
              <w:left w:val="nil"/>
              <w:bottom w:val="single" w:sz="8" w:space="0" w:color="auto"/>
              <w:right w:val="single" w:sz="4" w:space="0" w:color="auto"/>
            </w:tcBorders>
            <w:shd w:val="clear" w:color="000000" w:fill="FFFFFF"/>
            <w:noWrap/>
            <w:vAlign w:val="bottom"/>
          </w:tcPr>
          <w:p w:rsidR="000D6658" w:rsidRPr="00D601EB" w:rsidRDefault="000D6658" w:rsidP="00D601EB">
            <w:pPr>
              <w:pStyle w:val="Tabletext"/>
              <w:spacing w:before="0" w:after="0"/>
              <w:jc w:val="center"/>
              <w:rPr>
                <w:sz w:val="20"/>
                <w:lang w:eastAsia="zh-CN"/>
              </w:rPr>
            </w:pPr>
            <w:r w:rsidRPr="00D601EB">
              <w:rPr>
                <w:sz w:val="20"/>
                <w:lang w:eastAsia="zh-CN"/>
              </w:rPr>
              <w:t>36%</w:t>
            </w:r>
          </w:p>
        </w:tc>
        <w:tc>
          <w:tcPr>
            <w:tcW w:w="687" w:type="dxa"/>
            <w:tcBorders>
              <w:top w:val="single" w:sz="8" w:space="0" w:color="auto"/>
              <w:left w:val="nil"/>
              <w:bottom w:val="single" w:sz="8" w:space="0" w:color="auto"/>
              <w:right w:val="single" w:sz="4" w:space="0" w:color="auto"/>
            </w:tcBorders>
            <w:shd w:val="clear" w:color="000000" w:fill="FFFFFF"/>
            <w:noWrap/>
            <w:vAlign w:val="bottom"/>
          </w:tcPr>
          <w:p w:rsidR="000D6658" w:rsidRPr="00D601EB" w:rsidRDefault="000D6658" w:rsidP="00D601EB">
            <w:pPr>
              <w:pStyle w:val="Tabletext"/>
              <w:spacing w:before="0" w:after="0"/>
              <w:jc w:val="center"/>
              <w:rPr>
                <w:sz w:val="20"/>
                <w:lang w:eastAsia="zh-CN"/>
              </w:rPr>
            </w:pPr>
            <w:r w:rsidRPr="00D601EB">
              <w:rPr>
                <w:sz w:val="20"/>
                <w:lang w:eastAsia="zh-CN"/>
              </w:rPr>
              <w:t>88%</w:t>
            </w:r>
          </w:p>
        </w:tc>
        <w:tc>
          <w:tcPr>
            <w:tcW w:w="689" w:type="dxa"/>
            <w:tcBorders>
              <w:top w:val="single" w:sz="8" w:space="0" w:color="auto"/>
              <w:left w:val="nil"/>
              <w:bottom w:val="single" w:sz="8" w:space="0" w:color="auto"/>
              <w:right w:val="single" w:sz="8" w:space="0" w:color="auto"/>
            </w:tcBorders>
            <w:shd w:val="clear" w:color="000000" w:fill="C4BD97"/>
            <w:noWrap/>
            <w:vAlign w:val="bottom"/>
          </w:tcPr>
          <w:p w:rsidR="000D6658" w:rsidRPr="00D601EB" w:rsidRDefault="000D6658" w:rsidP="00D601EB">
            <w:pPr>
              <w:pStyle w:val="Tabletext"/>
              <w:spacing w:before="0" w:after="0"/>
              <w:jc w:val="center"/>
              <w:rPr>
                <w:b/>
                <w:bCs/>
                <w:sz w:val="20"/>
                <w:lang w:eastAsia="zh-CN"/>
              </w:rPr>
            </w:pPr>
            <w:r w:rsidRPr="00D601EB">
              <w:rPr>
                <w:b/>
                <w:bCs/>
                <w:sz w:val="20"/>
                <w:lang w:eastAsia="zh-CN"/>
              </w:rPr>
              <w:t>26%</w:t>
            </w:r>
          </w:p>
        </w:tc>
      </w:tr>
      <w:tr w:rsidR="006F382F" w:rsidRPr="00E57C96" w:rsidTr="006F382F">
        <w:trPr>
          <w:jc w:val="center"/>
        </w:trPr>
        <w:tc>
          <w:tcPr>
            <w:tcW w:w="355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D6658" w:rsidRPr="00D601EB" w:rsidRDefault="000D6658" w:rsidP="00D601EB">
            <w:pPr>
              <w:pStyle w:val="Tabletext"/>
              <w:spacing w:before="0" w:after="0"/>
              <w:rPr>
                <w:sz w:val="20"/>
                <w:lang w:eastAsia="zh-CN"/>
              </w:rPr>
            </w:pPr>
            <w:r w:rsidRPr="00D601EB">
              <w:rPr>
                <w:sz w:val="20"/>
                <w:lang w:eastAsia="zh-CN"/>
              </w:rPr>
              <w:t>% de recomendaciones retrasadas</w:t>
            </w:r>
          </w:p>
        </w:tc>
        <w:tc>
          <w:tcPr>
            <w:tcW w:w="875" w:type="dxa"/>
            <w:tcBorders>
              <w:top w:val="single" w:sz="8" w:space="0" w:color="auto"/>
              <w:left w:val="nil"/>
              <w:bottom w:val="single" w:sz="8" w:space="0" w:color="auto"/>
              <w:right w:val="single" w:sz="4" w:space="0" w:color="auto"/>
            </w:tcBorders>
            <w:shd w:val="clear" w:color="auto" w:fill="auto"/>
            <w:noWrap/>
            <w:vAlign w:val="bottom"/>
            <w:hideMark/>
          </w:tcPr>
          <w:p w:rsidR="000D6658" w:rsidRPr="00D601EB" w:rsidRDefault="000D6658" w:rsidP="00D601EB">
            <w:pPr>
              <w:pStyle w:val="Tabletext"/>
              <w:spacing w:before="0" w:after="0"/>
              <w:jc w:val="center"/>
              <w:rPr>
                <w:sz w:val="20"/>
                <w:lang w:eastAsia="zh-CN"/>
              </w:rPr>
            </w:pPr>
            <w:r w:rsidRPr="00D601EB">
              <w:rPr>
                <w:sz w:val="20"/>
                <w:lang w:eastAsia="zh-CN"/>
              </w:rPr>
              <w:t>0%</w:t>
            </w:r>
          </w:p>
        </w:tc>
        <w:tc>
          <w:tcPr>
            <w:tcW w:w="749" w:type="dxa"/>
            <w:tcBorders>
              <w:top w:val="single" w:sz="8" w:space="0" w:color="auto"/>
              <w:left w:val="nil"/>
              <w:bottom w:val="single" w:sz="8" w:space="0" w:color="auto"/>
              <w:right w:val="single" w:sz="4" w:space="0" w:color="auto"/>
            </w:tcBorders>
            <w:shd w:val="clear" w:color="auto" w:fill="auto"/>
            <w:noWrap/>
            <w:vAlign w:val="bottom"/>
            <w:hideMark/>
          </w:tcPr>
          <w:p w:rsidR="000D6658" w:rsidRPr="00D601EB" w:rsidRDefault="000D6658" w:rsidP="00D601EB">
            <w:pPr>
              <w:pStyle w:val="Tabletext"/>
              <w:spacing w:before="0" w:after="0"/>
              <w:jc w:val="center"/>
              <w:rPr>
                <w:sz w:val="20"/>
                <w:lang w:eastAsia="zh-CN"/>
              </w:rPr>
            </w:pPr>
            <w:r w:rsidRPr="00D601EB">
              <w:rPr>
                <w:sz w:val="20"/>
                <w:lang w:eastAsia="zh-CN"/>
              </w:rPr>
              <w:t>0%</w:t>
            </w:r>
          </w:p>
        </w:tc>
        <w:tc>
          <w:tcPr>
            <w:tcW w:w="764" w:type="dxa"/>
            <w:tcBorders>
              <w:top w:val="single" w:sz="8" w:space="0" w:color="auto"/>
              <w:left w:val="nil"/>
              <w:bottom w:val="single" w:sz="8" w:space="0" w:color="auto"/>
              <w:right w:val="single" w:sz="4" w:space="0" w:color="auto"/>
            </w:tcBorders>
            <w:shd w:val="clear" w:color="auto" w:fill="auto"/>
            <w:noWrap/>
            <w:vAlign w:val="bottom"/>
            <w:hideMark/>
          </w:tcPr>
          <w:p w:rsidR="000D6658" w:rsidRPr="00D601EB" w:rsidRDefault="000D6658" w:rsidP="00D601EB">
            <w:pPr>
              <w:pStyle w:val="Tabletext"/>
              <w:spacing w:before="0" w:after="0"/>
              <w:jc w:val="center"/>
              <w:rPr>
                <w:sz w:val="20"/>
                <w:lang w:eastAsia="zh-CN"/>
              </w:rPr>
            </w:pPr>
            <w:r w:rsidRPr="00D601EB">
              <w:rPr>
                <w:sz w:val="20"/>
                <w:lang w:eastAsia="zh-CN"/>
              </w:rPr>
              <w:t>12%</w:t>
            </w:r>
          </w:p>
        </w:tc>
        <w:tc>
          <w:tcPr>
            <w:tcW w:w="781" w:type="dxa"/>
            <w:tcBorders>
              <w:top w:val="single" w:sz="8" w:space="0" w:color="auto"/>
              <w:left w:val="nil"/>
              <w:bottom w:val="single" w:sz="8" w:space="0" w:color="auto"/>
              <w:right w:val="single" w:sz="4" w:space="0" w:color="auto"/>
            </w:tcBorders>
            <w:shd w:val="clear" w:color="auto" w:fill="auto"/>
            <w:noWrap/>
            <w:vAlign w:val="bottom"/>
            <w:hideMark/>
          </w:tcPr>
          <w:p w:rsidR="000D6658" w:rsidRPr="00D601EB" w:rsidRDefault="000D6658" w:rsidP="00D601EB">
            <w:pPr>
              <w:pStyle w:val="Tabletext"/>
              <w:spacing w:before="0" w:after="0"/>
              <w:jc w:val="center"/>
              <w:rPr>
                <w:sz w:val="20"/>
                <w:lang w:eastAsia="zh-CN"/>
              </w:rPr>
            </w:pPr>
            <w:r w:rsidRPr="00D601EB">
              <w:rPr>
                <w:sz w:val="20"/>
                <w:lang w:eastAsia="zh-CN"/>
              </w:rPr>
              <w:t>–</w:t>
            </w:r>
          </w:p>
        </w:tc>
        <w:tc>
          <w:tcPr>
            <w:tcW w:w="797" w:type="dxa"/>
            <w:tcBorders>
              <w:top w:val="single" w:sz="8" w:space="0" w:color="auto"/>
              <w:left w:val="nil"/>
              <w:bottom w:val="single" w:sz="8" w:space="0" w:color="auto"/>
              <w:right w:val="single" w:sz="4" w:space="0" w:color="auto"/>
            </w:tcBorders>
            <w:shd w:val="clear" w:color="auto" w:fill="auto"/>
            <w:noWrap/>
            <w:vAlign w:val="bottom"/>
            <w:hideMark/>
          </w:tcPr>
          <w:p w:rsidR="000D6658" w:rsidRPr="00D601EB" w:rsidRDefault="000D6658" w:rsidP="00D601EB">
            <w:pPr>
              <w:pStyle w:val="Tabletext"/>
              <w:spacing w:before="0" w:after="0"/>
              <w:jc w:val="center"/>
              <w:rPr>
                <w:sz w:val="20"/>
                <w:lang w:eastAsia="zh-CN"/>
              </w:rPr>
            </w:pPr>
            <w:r w:rsidRPr="00D601EB">
              <w:rPr>
                <w:sz w:val="20"/>
                <w:lang w:eastAsia="zh-CN"/>
              </w:rPr>
              <w:t>1%</w:t>
            </w:r>
          </w:p>
        </w:tc>
        <w:tc>
          <w:tcPr>
            <w:tcW w:w="671" w:type="dxa"/>
            <w:tcBorders>
              <w:top w:val="single" w:sz="8" w:space="0" w:color="auto"/>
              <w:left w:val="nil"/>
              <w:bottom w:val="single" w:sz="8" w:space="0" w:color="auto"/>
              <w:right w:val="single" w:sz="4" w:space="0" w:color="auto"/>
            </w:tcBorders>
            <w:shd w:val="clear" w:color="000000" w:fill="FFFFFF"/>
            <w:noWrap/>
            <w:vAlign w:val="bottom"/>
            <w:hideMark/>
          </w:tcPr>
          <w:p w:rsidR="000D6658" w:rsidRPr="00D601EB" w:rsidRDefault="000D6658" w:rsidP="00D601EB">
            <w:pPr>
              <w:pStyle w:val="Tabletext"/>
              <w:spacing w:before="0" w:after="0"/>
              <w:jc w:val="center"/>
              <w:rPr>
                <w:sz w:val="20"/>
                <w:lang w:eastAsia="zh-CN"/>
              </w:rPr>
            </w:pPr>
            <w:r w:rsidRPr="00D601EB">
              <w:rPr>
                <w:sz w:val="20"/>
                <w:lang w:eastAsia="zh-CN"/>
              </w:rPr>
              <w:t>9%</w:t>
            </w:r>
          </w:p>
        </w:tc>
        <w:tc>
          <w:tcPr>
            <w:tcW w:w="687" w:type="dxa"/>
            <w:tcBorders>
              <w:top w:val="single" w:sz="8" w:space="0" w:color="auto"/>
              <w:left w:val="nil"/>
              <w:bottom w:val="single" w:sz="8" w:space="0" w:color="auto"/>
              <w:right w:val="single" w:sz="4" w:space="0" w:color="auto"/>
            </w:tcBorders>
            <w:shd w:val="clear" w:color="000000" w:fill="FFFFFF"/>
            <w:noWrap/>
            <w:vAlign w:val="bottom"/>
            <w:hideMark/>
          </w:tcPr>
          <w:p w:rsidR="000D6658" w:rsidRPr="00D601EB" w:rsidRDefault="000D6658" w:rsidP="00D601EB">
            <w:pPr>
              <w:pStyle w:val="Tabletext"/>
              <w:spacing w:before="0" w:after="0"/>
              <w:jc w:val="center"/>
              <w:rPr>
                <w:sz w:val="20"/>
                <w:lang w:eastAsia="zh-CN"/>
              </w:rPr>
            </w:pPr>
            <w:r w:rsidRPr="00D601EB">
              <w:rPr>
                <w:sz w:val="20"/>
                <w:lang w:eastAsia="zh-CN"/>
              </w:rPr>
              <w:t>0%</w:t>
            </w:r>
          </w:p>
        </w:tc>
        <w:tc>
          <w:tcPr>
            <w:tcW w:w="689" w:type="dxa"/>
            <w:tcBorders>
              <w:top w:val="single" w:sz="8" w:space="0" w:color="auto"/>
              <w:left w:val="nil"/>
              <w:bottom w:val="single" w:sz="8" w:space="0" w:color="auto"/>
              <w:right w:val="single" w:sz="8" w:space="0" w:color="auto"/>
            </w:tcBorders>
            <w:shd w:val="clear" w:color="000000" w:fill="C4BD97"/>
            <w:noWrap/>
            <w:vAlign w:val="bottom"/>
            <w:hideMark/>
          </w:tcPr>
          <w:p w:rsidR="000D6658" w:rsidRPr="00D601EB" w:rsidRDefault="000D6658" w:rsidP="00D601EB">
            <w:pPr>
              <w:pStyle w:val="Tabletext"/>
              <w:spacing w:before="0" w:after="0"/>
              <w:jc w:val="center"/>
              <w:rPr>
                <w:b/>
                <w:bCs/>
                <w:sz w:val="20"/>
                <w:lang w:eastAsia="zh-CN"/>
              </w:rPr>
            </w:pPr>
            <w:r w:rsidRPr="00D601EB">
              <w:rPr>
                <w:b/>
                <w:bCs/>
                <w:sz w:val="20"/>
                <w:lang w:eastAsia="zh-CN"/>
              </w:rPr>
              <w:t>3%</w:t>
            </w:r>
          </w:p>
        </w:tc>
      </w:tr>
      <w:tr w:rsidR="006F382F" w:rsidRPr="00E57C96" w:rsidTr="006F382F">
        <w:trPr>
          <w:jc w:val="center"/>
        </w:trPr>
        <w:tc>
          <w:tcPr>
            <w:tcW w:w="3551" w:type="dxa"/>
            <w:tcBorders>
              <w:top w:val="nil"/>
              <w:left w:val="single" w:sz="8" w:space="0" w:color="auto"/>
              <w:bottom w:val="single" w:sz="8" w:space="0" w:color="auto"/>
              <w:right w:val="single" w:sz="4" w:space="0" w:color="auto"/>
            </w:tcBorders>
            <w:shd w:val="clear" w:color="auto" w:fill="auto"/>
            <w:noWrap/>
            <w:vAlign w:val="bottom"/>
            <w:hideMark/>
          </w:tcPr>
          <w:p w:rsidR="000D6658" w:rsidRPr="00D601EB" w:rsidRDefault="000D6658" w:rsidP="00D601EB">
            <w:pPr>
              <w:pStyle w:val="Tabletext"/>
              <w:spacing w:before="0" w:after="0"/>
              <w:rPr>
                <w:sz w:val="20"/>
                <w:lang w:eastAsia="zh-CN"/>
              </w:rPr>
            </w:pPr>
            <w:r w:rsidRPr="00D601EB">
              <w:rPr>
                <w:sz w:val="20"/>
                <w:lang w:eastAsia="zh-CN"/>
              </w:rPr>
              <w:t>% de recomendaciones cerradas</w:t>
            </w:r>
          </w:p>
        </w:tc>
        <w:tc>
          <w:tcPr>
            <w:tcW w:w="875" w:type="dxa"/>
            <w:tcBorders>
              <w:top w:val="nil"/>
              <w:left w:val="nil"/>
              <w:bottom w:val="single" w:sz="8" w:space="0" w:color="auto"/>
              <w:right w:val="single" w:sz="4" w:space="0" w:color="auto"/>
            </w:tcBorders>
            <w:shd w:val="clear" w:color="auto" w:fill="auto"/>
            <w:noWrap/>
            <w:vAlign w:val="bottom"/>
            <w:hideMark/>
          </w:tcPr>
          <w:p w:rsidR="000D6658" w:rsidRPr="00D601EB" w:rsidRDefault="000D6658" w:rsidP="00D601EB">
            <w:pPr>
              <w:pStyle w:val="Tabletext"/>
              <w:spacing w:before="0" w:after="0"/>
              <w:jc w:val="center"/>
              <w:rPr>
                <w:sz w:val="20"/>
                <w:lang w:eastAsia="zh-CN"/>
              </w:rPr>
            </w:pPr>
            <w:r w:rsidRPr="00D601EB">
              <w:rPr>
                <w:sz w:val="20"/>
                <w:lang w:eastAsia="zh-CN"/>
              </w:rPr>
              <w:t>92%</w:t>
            </w:r>
          </w:p>
        </w:tc>
        <w:tc>
          <w:tcPr>
            <w:tcW w:w="749" w:type="dxa"/>
            <w:tcBorders>
              <w:top w:val="nil"/>
              <w:left w:val="nil"/>
              <w:bottom w:val="single" w:sz="8" w:space="0" w:color="auto"/>
              <w:right w:val="single" w:sz="4" w:space="0" w:color="auto"/>
            </w:tcBorders>
            <w:shd w:val="clear" w:color="auto" w:fill="auto"/>
            <w:noWrap/>
            <w:vAlign w:val="bottom"/>
            <w:hideMark/>
          </w:tcPr>
          <w:p w:rsidR="000D6658" w:rsidRPr="00D601EB" w:rsidRDefault="000D6658" w:rsidP="00D601EB">
            <w:pPr>
              <w:pStyle w:val="Tabletext"/>
              <w:spacing w:before="0" w:after="0"/>
              <w:jc w:val="center"/>
              <w:rPr>
                <w:sz w:val="20"/>
                <w:lang w:eastAsia="zh-CN"/>
              </w:rPr>
            </w:pPr>
            <w:r w:rsidRPr="00D601EB">
              <w:rPr>
                <w:sz w:val="20"/>
                <w:lang w:eastAsia="zh-CN"/>
              </w:rPr>
              <w:t>100%</w:t>
            </w:r>
          </w:p>
        </w:tc>
        <w:tc>
          <w:tcPr>
            <w:tcW w:w="764" w:type="dxa"/>
            <w:tcBorders>
              <w:top w:val="nil"/>
              <w:left w:val="nil"/>
              <w:bottom w:val="single" w:sz="8" w:space="0" w:color="auto"/>
              <w:right w:val="single" w:sz="4" w:space="0" w:color="auto"/>
            </w:tcBorders>
            <w:shd w:val="clear" w:color="auto" w:fill="auto"/>
            <w:noWrap/>
            <w:vAlign w:val="bottom"/>
            <w:hideMark/>
          </w:tcPr>
          <w:p w:rsidR="000D6658" w:rsidRPr="00D601EB" w:rsidRDefault="000D6658" w:rsidP="00D601EB">
            <w:pPr>
              <w:pStyle w:val="Tabletext"/>
              <w:spacing w:before="0" w:after="0"/>
              <w:jc w:val="center"/>
              <w:rPr>
                <w:sz w:val="20"/>
                <w:lang w:eastAsia="zh-CN"/>
              </w:rPr>
            </w:pPr>
            <w:r w:rsidRPr="00D601EB">
              <w:rPr>
                <w:sz w:val="20"/>
                <w:lang w:eastAsia="zh-CN"/>
              </w:rPr>
              <w:t>82%</w:t>
            </w:r>
          </w:p>
        </w:tc>
        <w:tc>
          <w:tcPr>
            <w:tcW w:w="781" w:type="dxa"/>
            <w:tcBorders>
              <w:top w:val="nil"/>
              <w:left w:val="nil"/>
              <w:bottom w:val="single" w:sz="8" w:space="0" w:color="auto"/>
              <w:right w:val="single" w:sz="4" w:space="0" w:color="auto"/>
            </w:tcBorders>
            <w:shd w:val="clear" w:color="auto" w:fill="auto"/>
            <w:noWrap/>
            <w:vAlign w:val="bottom"/>
            <w:hideMark/>
          </w:tcPr>
          <w:p w:rsidR="000D6658" w:rsidRPr="00D601EB" w:rsidRDefault="000D6658" w:rsidP="00D601EB">
            <w:pPr>
              <w:pStyle w:val="Tabletext"/>
              <w:spacing w:before="0" w:after="0"/>
              <w:jc w:val="center"/>
              <w:rPr>
                <w:sz w:val="20"/>
                <w:lang w:eastAsia="zh-CN"/>
              </w:rPr>
            </w:pPr>
            <w:r w:rsidRPr="00D601EB">
              <w:rPr>
                <w:sz w:val="20"/>
                <w:lang w:eastAsia="zh-CN"/>
              </w:rPr>
              <w:t>–</w:t>
            </w:r>
          </w:p>
        </w:tc>
        <w:tc>
          <w:tcPr>
            <w:tcW w:w="797" w:type="dxa"/>
            <w:tcBorders>
              <w:top w:val="nil"/>
              <w:left w:val="nil"/>
              <w:bottom w:val="single" w:sz="8" w:space="0" w:color="auto"/>
              <w:right w:val="single" w:sz="4" w:space="0" w:color="auto"/>
            </w:tcBorders>
            <w:shd w:val="clear" w:color="auto" w:fill="auto"/>
            <w:noWrap/>
            <w:vAlign w:val="bottom"/>
            <w:hideMark/>
          </w:tcPr>
          <w:p w:rsidR="000D6658" w:rsidRPr="00D601EB" w:rsidRDefault="000D6658" w:rsidP="00D601EB">
            <w:pPr>
              <w:pStyle w:val="Tabletext"/>
              <w:spacing w:before="0" w:after="0"/>
              <w:jc w:val="center"/>
              <w:rPr>
                <w:sz w:val="20"/>
                <w:lang w:eastAsia="zh-CN"/>
              </w:rPr>
            </w:pPr>
            <w:r w:rsidRPr="00D601EB">
              <w:rPr>
                <w:sz w:val="20"/>
                <w:lang w:eastAsia="zh-CN"/>
              </w:rPr>
              <w:t>88%</w:t>
            </w:r>
          </w:p>
        </w:tc>
        <w:tc>
          <w:tcPr>
            <w:tcW w:w="671" w:type="dxa"/>
            <w:tcBorders>
              <w:top w:val="nil"/>
              <w:left w:val="nil"/>
              <w:bottom w:val="single" w:sz="8" w:space="0" w:color="auto"/>
              <w:right w:val="single" w:sz="4" w:space="0" w:color="auto"/>
            </w:tcBorders>
            <w:shd w:val="clear" w:color="auto" w:fill="auto"/>
            <w:noWrap/>
            <w:vAlign w:val="bottom"/>
            <w:hideMark/>
          </w:tcPr>
          <w:p w:rsidR="000D6658" w:rsidRPr="00D601EB" w:rsidRDefault="000D6658" w:rsidP="00D601EB">
            <w:pPr>
              <w:pStyle w:val="Tabletext"/>
              <w:spacing w:before="0" w:after="0"/>
              <w:jc w:val="center"/>
              <w:rPr>
                <w:sz w:val="20"/>
                <w:lang w:eastAsia="zh-CN"/>
              </w:rPr>
            </w:pPr>
            <w:r w:rsidRPr="00D601EB">
              <w:rPr>
                <w:sz w:val="20"/>
                <w:lang w:eastAsia="zh-CN"/>
              </w:rPr>
              <w:t>55%</w:t>
            </w:r>
          </w:p>
        </w:tc>
        <w:tc>
          <w:tcPr>
            <w:tcW w:w="687" w:type="dxa"/>
            <w:tcBorders>
              <w:top w:val="nil"/>
              <w:left w:val="nil"/>
              <w:bottom w:val="single" w:sz="8" w:space="0" w:color="auto"/>
              <w:right w:val="single" w:sz="4" w:space="0" w:color="auto"/>
            </w:tcBorders>
            <w:shd w:val="clear" w:color="000000" w:fill="FFFFFF"/>
            <w:noWrap/>
            <w:vAlign w:val="bottom"/>
            <w:hideMark/>
          </w:tcPr>
          <w:p w:rsidR="000D6658" w:rsidRPr="00D601EB" w:rsidRDefault="000D6658" w:rsidP="00D601EB">
            <w:pPr>
              <w:pStyle w:val="Tabletext"/>
              <w:spacing w:before="0" w:after="0"/>
              <w:jc w:val="center"/>
              <w:rPr>
                <w:sz w:val="20"/>
                <w:lang w:eastAsia="zh-CN"/>
              </w:rPr>
            </w:pPr>
            <w:r w:rsidRPr="00D601EB">
              <w:rPr>
                <w:sz w:val="20"/>
                <w:lang w:eastAsia="zh-CN"/>
              </w:rPr>
              <w:t>12%</w:t>
            </w:r>
          </w:p>
        </w:tc>
        <w:tc>
          <w:tcPr>
            <w:tcW w:w="689" w:type="dxa"/>
            <w:tcBorders>
              <w:top w:val="nil"/>
              <w:left w:val="nil"/>
              <w:bottom w:val="single" w:sz="8" w:space="0" w:color="auto"/>
              <w:right w:val="single" w:sz="8" w:space="0" w:color="auto"/>
            </w:tcBorders>
            <w:shd w:val="clear" w:color="000000" w:fill="C4BD97"/>
            <w:noWrap/>
            <w:vAlign w:val="bottom"/>
            <w:hideMark/>
          </w:tcPr>
          <w:p w:rsidR="000D6658" w:rsidRPr="00D601EB" w:rsidRDefault="000D6658" w:rsidP="00D601EB">
            <w:pPr>
              <w:pStyle w:val="Tabletext"/>
              <w:spacing w:before="0" w:after="0"/>
              <w:jc w:val="center"/>
              <w:rPr>
                <w:b/>
                <w:bCs/>
                <w:sz w:val="20"/>
                <w:lang w:eastAsia="zh-CN"/>
              </w:rPr>
            </w:pPr>
            <w:r w:rsidRPr="00D601EB">
              <w:rPr>
                <w:b/>
                <w:bCs/>
                <w:sz w:val="20"/>
                <w:lang w:eastAsia="zh-CN"/>
              </w:rPr>
              <w:t>71%</w:t>
            </w:r>
          </w:p>
        </w:tc>
      </w:tr>
    </w:tbl>
    <w:p w:rsidR="00BE763B" w:rsidRPr="00E57C96" w:rsidRDefault="00E831F1" w:rsidP="000E5B3B">
      <w:r w:rsidRPr="00E57C96">
        <w:lastRenderedPageBreak/>
        <w:t>28</w:t>
      </w:r>
      <w:r w:rsidRPr="00E57C96">
        <w:tab/>
        <w:t>No ha quedado sin implementar ninguna recomendación esencial o muy importante anterior a 2012. Una de esas recomendaciones se refiere al cambio de un flujo de trabajo de aprobación interna, que quedó atrasado porque pasó a formar parte de un examen más global de procedimientos internos, que ahora está en curso de aplicación y que se espera terminar en 201</w:t>
      </w:r>
      <w:r w:rsidR="00620426" w:rsidRPr="00E57C96">
        <w:t>6</w:t>
      </w:r>
      <w:r w:rsidRPr="00E57C96">
        <w:t xml:space="preserve">. Las recomendaciones de 2011 que siguen en curso de aplicación corresponden a una </w:t>
      </w:r>
      <w:r w:rsidR="006F382F" w:rsidRPr="00E57C96">
        <w:t xml:space="preserve">Auditoría Interna </w:t>
      </w:r>
      <w:r w:rsidRPr="00E57C96">
        <w:t>de los costes de las publicaciones.</w:t>
      </w:r>
      <w:r w:rsidR="00BE763B" w:rsidRPr="00E57C96">
        <w:t xml:space="preserve"> </w:t>
      </w:r>
      <w:r w:rsidR="007A7785" w:rsidRPr="00E57C96">
        <w:t xml:space="preserve">La Dirección informó periódicamente a la Auditoría Interna (y al CAIG) sobre los avances </w:t>
      </w:r>
      <w:r w:rsidR="00620426" w:rsidRPr="00E57C96">
        <w:t>y el Auditor Externo ya había determinado que algunas de las recomendaciones de 2011 estaban cumplidas.</w:t>
      </w:r>
      <w:r w:rsidR="00BE763B" w:rsidRPr="00E57C96">
        <w:t xml:space="preserve"> </w:t>
      </w:r>
      <w:r w:rsidR="007A7785" w:rsidRPr="00E57C96">
        <w:t xml:space="preserve">En 2016, la Auditoría Interna </w:t>
      </w:r>
      <w:r w:rsidR="00620426" w:rsidRPr="00E57C96">
        <w:t>sigue</w:t>
      </w:r>
      <w:r w:rsidR="007A7785" w:rsidRPr="00E57C96">
        <w:t xml:space="preserve"> supervisando la </w:t>
      </w:r>
      <w:r w:rsidR="00620426" w:rsidRPr="00E57C96">
        <w:t xml:space="preserve">aplicación </w:t>
      </w:r>
      <w:r w:rsidR="007A7785" w:rsidRPr="00E57C96">
        <w:t>de las diversas recomendaciones contenidas en informes de auditoría previos e informará, en su caso, de ese seguimiento al CAIG y al Secretario General. Globalmente se señala un progreso continuo</w:t>
      </w:r>
      <w:r w:rsidR="00BE763B" w:rsidRPr="00E57C96">
        <w:t xml:space="preserve">, </w:t>
      </w:r>
      <w:r w:rsidR="000E5B3B" w:rsidRPr="00E57C96">
        <w:t>pero las prioridades cambian a menudo y pueden cambiar el grado de importancia de recomendaciones formuladas inicialmente</w:t>
      </w:r>
      <w:r w:rsidR="00BE763B" w:rsidRPr="00E57C96">
        <w:t>.</w:t>
      </w:r>
    </w:p>
    <w:p w:rsidR="00AE786F" w:rsidRPr="00E57C96" w:rsidRDefault="00AE786F" w:rsidP="002D4E28">
      <w:pPr>
        <w:pStyle w:val="Headingb"/>
      </w:pPr>
      <w:r w:rsidRPr="00E57C96">
        <w:t>Aspectos relacionados con la metodología de la auditoría</w:t>
      </w:r>
    </w:p>
    <w:p w:rsidR="00BE763B" w:rsidRDefault="000E5B3B" w:rsidP="006F382F">
      <w:r w:rsidRPr="00E57C96">
        <w:t>29</w:t>
      </w:r>
      <w:r w:rsidRPr="00E57C96">
        <w:tab/>
        <w:t>Desde</w:t>
      </w:r>
      <w:r w:rsidR="00AE786F" w:rsidRPr="00E57C96">
        <w:t xml:space="preserve"> 2013, la Auditoría Interna ya se inició utilizando los </w:t>
      </w:r>
      <w:r w:rsidR="00AE786F" w:rsidRPr="00E57C96">
        <w:rPr>
          <w:i/>
          <w:iCs/>
        </w:rPr>
        <w:t>Cuestionarios de Eficacia de la Auditoría</w:t>
      </w:r>
      <w:r w:rsidR="00AE786F" w:rsidRPr="00E57C96">
        <w:t xml:space="preserve"> que se remitieron a los administradores de los procesos y entidades auditados a fin de evaluar la efectividad del trabajo de auditoría e identificar posib</w:t>
      </w:r>
      <w:r w:rsidRPr="00E57C96">
        <w:t>ilidades</w:t>
      </w:r>
      <w:r w:rsidR="00AE786F" w:rsidRPr="00E57C96">
        <w:t xml:space="preserve"> de mejora</w:t>
      </w:r>
      <w:r w:rsidR="00BE763B" w:rsidRPr="00E57C96">
        <w:t xml:space="preserve">. </w:t>
      </w:r>
      <w:r w:rsidRPr="00E57C96">
        <w:t>Este sistema se mantuvo durante el periodo abarcado por el presente Informe. Según se desprende de los 8</w:t>
      </w:r>
      <w:r w:rsidR="006F382F">
        <w:t> </w:t>
      </w:r>
      <w:r w:rsidRPr="00E57C96">
        <w:rPr>
          <w:i/>
          <w:iCs/>
        </w:rPr>
        <w:t>cuestionarios</w:t>
      </w:r>
      <w:r w:rsidRPr="00E57C96">
        <w:t xml:space="preserve"> remitidos a la Auditoría Interna en 2015,</w:t>
      </w:r>
      <w:r w:rsidR="00AE786F" w:rsidRPr="00E57C96">
        <w:t xml:space="preserve"> la información obtenida ha sido muy positiva hasta ahora (una puntuación media de 4 en una escala de 1 a 5)</w:t>
      </w:r>
      <w:r w:rsidR="00BE763B" w:rsidRPr="00E57C96">
        <w:t>.</w:t>
      </w:r>
    </w:p>
    <w:p w:rsidR="006F382F" w:rsidRDefault="006F382F" w:rsidP="006F382F"/>
    <w:p w:rsidR="006F382F" w:rsidRPr="00E57C96" w:rsidRDefault="006F382F" w:rsidP="006F382F"/>
    <w:p w:rsidR="00CB5A53" w:rsidRDefault="00CB5A53">
      <w:pPr>
        <w:tabs>
          <w:tab w:val="clear" w:pos="567"/>
          <w:tab w:val="clear" w:pos="1134"/>
          <w:tab w:val="clear" w:pos="1701"/>
          <w:tab w:val="clear" w:pos="2268"/>
          <w:tab w:val="clear" w:pos="2835"/>
        </w:tabs>
        <w:overflowPunct/>
        <w:autoSpaceDE/>
        <w:autoSpaceDN/>
        <w:adjustRightInd/>
        <w:spacing w:before="0"/>
        <w:textAlignment w:val="auto"/>
        <w:sectPr w:rsidR="00CB5A53" w:rsidSect="006710F6">
          <w:headerReference w:type="default" r:id="rId9"/>
          <w:footerReference w:type="default" r:id="rId10"/>
          <w:footerReference w:type="first" r:id="rId11"/>
          <w:pgSz w:w="11907" w:h="16834"/>
          <w:pgMar w:top="1418" w:right="1134" w:bottom="1418" w:left="1134" w:header="720" w:footer="720" w:gutter="0"/>
          <w:paperSrc w:first="15" w:other="15"/>
          <w:cols w:space="720"/>
          <w:titlePg/>
        </w:sectPr>
      </w:pPr>
    </w:p>
    <w:p w:rsidR="006F382F" w:rsidRDefault="00EB2123" w:rsidP="006F382F">
      <w:pPr>
        <w:pStyle w:val="AnnexNo"/>
      </w:pPr>
      <w:r w:rsidRPr="00E57C96">
        <w:lastRenderedPageBreak/>
        <w:t>A</w:t>
      </w:r>
      <w:r w:rsidR="00BE763B" w:rsidRPr="00E57C96">
        <w:t>nex</w:t>
      </w:r>
      <w:r w:rsidRPr="00E57C96">
        <w:t>os</w:t>
      </w:r>
      <w:r w:rsidR="00BE763B" w:rsidRPr="00E57C96">
        <w:t xml:space="preserve"> 1 </w:t>
      </w:r>
      <w:r w:rsidRPr="00E57C96">
        <w:t>a</w:t>
      </w:r>
      <w:r w:rsidR="00BE763B" w:rsidRPr="00E57C96">
        <w:t xml:space="preserve"> C16/44</w:t>
      </w:r>
    </w:p>
    <w:p w:rsidR="00BE763B" w:rsidRPr="00E57C96" w:rsidRDefault="006F382F" w:rsidP="006F382F">
      <w:pPr>
        <w:pStyle w:val="Annextitle"/>
        <w:rPr>
          <w:bCs/>
          <w:color w:val="800000"/>
          <w:szCs w:val="28"/>
        </w:rPr>
      </w:pPr>
      <w:r w:rsidRPr="00E57C96">
        <w:t xml:space="preserve">Cuarto Informe </w:t>
      </w:r>
      <w:r>
        <w:t>a</w:t>
      </w:r>
      <w:r w:rsidRPr="00E57C96">
        <w:t xml:space="preserve">nual </w:t>
      </w:r>
      <w:r>
        <w:t>d</w:t>
      </w:r>
      <w:r w:rsidRPr="00E57C96">
        <w:t xml:space="preserve">el </w:t>
      </w:r>
      <w:r w:rsidRPr="00E57C96">
        <w:br/>
        <w:t xml:space="preserve">Comité Asesor Independiente </w:t>
      </w:r>
      <w:r>
        <w:t>s</w:t>
      </w:r>
      <w:r w:rsidRPr="00E57C96">
        <w:t xml:space="preserve">obre </w:t>
      </w:r>
      <w:r>
        <w:t>l</w:t>
      </w:r>
      <w:r w:rsidRPr="00E57C96">
        <w:t xml:space="preserve">a </w:t>
      </w:r>
      <w:r>
        <w:t>g</w:t>
      </w:r>
      <w:r w:rsidRPr="00E57C96">
        <w:t>estión (Caig)</w:t>
      </w:r>
    </w:p>
    <w:p w:rsidR="00BE763B" w:rsidRPr="00E57C96" w:rsidRDefault="00BE763B" w:rsidP="002D4E28">
      <w:pPr>
        <w:spacing w:after="120"/>
        <w:jc w:val="center"/>
      </w:pPr>
      <w:r w:rsidRPr="00E57C96">
        <w:t>(</w:t>
      </w:r>
      <w:r w:rsidR="00A72C9A" w:rsidRPr="00E57C96">
        <w:t>Fuente</w:t>
      </w:r>
      <w:r w:rsidRPr="00E57C96">
        <w:t xml:space="preserve">: </w:t>
      </w:r>
      <w:r w:rsidR="00362FF6" w:rsidRPr="00E57C96">
        <w:t>Addéndum</w:t>
      </w:r>
      <w:r w:rsidRPr="00E57C96">
        <w:t xml:space="preserve"> 2 </w:t>
      </w:r>
      <w:r w:rsidR="00A72C9A" w:rsidRPr="00E57C96">
        <w:t>al</w:t>
      </w:r>
      <w:r w:rsidR="009A45D1" w:rsidRPr="00E57C96">
        <w:t xml:space="preserve"> Doc</w:t>
      </w:r>
      <w:r w:rsidR="000E395C" w:rsidRPr="00E57C96">
        <w:t>umento</w:t>
      </w:r>
      <w:r w:rsidR="009A45D1" w:rsidRPr="00E57C96">
        <w:t xml:space="preserve"> C15/22-</w:t>
      </w:r>
      <w:r w:rsidR="00A87327" w:rsidRPr="00E57C96">
        <w:t>S</w:t>
      </w:r>
      <w:r w:rsidR="009A45D1" w:rsidRPr="00E57C96">
        <w:t xml:space="preserve"> de</w:t>
      </w:r>
      <w:r w:rsidR="001C17D8" w:rsidRPr="00E57C96">
        <w:t xml:space="preserve"> 13 </w:t>
      </w:r>
      <w:r w:rsidR="009A45D1" w:rsidRPr="00E57C96">
        <w:t xml:space="preserve">de </w:t>
      </w:r>
      <w:r w:rsidR="001C17D8" w:rsidRPr="00E57C96">
        <w:t>m</w:t>
      </w:r>
      <w:r w:rsidRPr="00E57C96">
        <w:t>ay</w:t>
      </w:r>
      <w:r w:rsidR="001C17D8" w:rsidRPr="00E57C96">
        <w:t>o de</w:t>
      </w:r>
      <w:r w:rsidRPr="00E57C96">
        <w:t xml:space="preserve"> 2015)</w:t>
      </w:r>
    </w:p>
    <w:p w:rsidR="00BE763B" w:rsidRPr="00E57C96" w:rsidRDefault="00BE763B" w:rsidP="002D4E28">
      <w:pPr>
        <w:spacing w:after="120"/>
        <w:jc w:val="center"/>
      </w:pPr>
    </w:p>
    <w:p w:rsidR="00BE763B" w:rsidRDefault="00EB2123" w:rsidP="006F382F">
      <w:pPr>
        <w:rPr>
          <w:rFonts w:eastAsia="SimSun"/>
          <w:lang w:eastAsia="en-GB" w:bidi="en-US"/>
        </w:rPr>
      </w:pPr>
      <w:r w:rsidRPr="00E57C96">
        <w:rPr>
          <w:rFonts w:eastAsia="SimSun"/>
          <w:b/>
          <w:lang w:eastAsia="en-GB" w:bidi="en-US"/>
        </w:rPr>
        <w:t>Recomendación 6 (2015</w:t>
      </w:r>
      <w:r w:rsidRPr="00E57C96">
        <w:rPr>
          <w:rFonts w:eastAsia="SimSun"/>
          <w:lang w:eastAsia="en-GB" w:bidi="en-US"/>
        </w:rPr>
        <w:t xml:space="preserve">): Por consiguiente, el CAIG refrenda las conclusiones del Informe de validación externa y las pone en conocimiento del Consejo. El CAIG recomienda que el Consejo encargue al Secretario General y al Auditor Interno que, a través del Informe anual del Auditor Interno sobre las actividades de </w:t>
      </w:r>
      <w:r w:rsidR="006F382F" w:rsidRPr="00E57C96">
        <w:rPr>
          <w:rFonts w:eastAsia="SimSun"/>
          <w:lang w:eastAsia="en-GB" w:bidi="en-US"/>
        </w:rPr>
        <w:t>Auditoria Interna</w:t>
      </w:r>
      <w:r w:rsidRPr="00E57C96">
        <w:rPr>
          <w:rFonts w:eastAsia="SimSun"/>
          <w:lang w:eastAsia="en-GB" w:bidi="en-US"/>
        </w:rPr>
        <w:t xml:space="preserve">, informe al Consejo en 2016, y en años sucesivos, de las medidas adoptadas y de los avances realizados en la aplicación de cada una de las nueve recomendaciones formuladas en el Informe de validación externa independiente de las actividades de </w:t>
      </w:r>
      <w:r w:rsidR="006F382F" w:rsidRPr="00E57C96">
        <w:rPr>
          <w:rFonts w:eastAsia="SimSun"/>
          <w:lang w:eastAsia="en-GB" w:bidi="en-US"/>
        </w:rPr>
        <w:t xml:space="preserve">Auditoría Interna </w:t>
      </w:r>
      <w:r w:rsidRPr="00E57C96">
        <w:rPr>
          <w:rFonts w:eastAsia="SimSun"/>
          <w:lang w:eastAsia="en-GB" w:bidi="en-US"/>
        </w:rPr>
        <w:t>de la UIT.</w:t>
      </w:r>
    </w:p>
    <w:p w:rsidR="00AC105C" w:rsidRDefault="00AC105C" w:rsidP="002D4E28">
      <w:pPr>
        <w:spacing w:after="120"/>
        <w:jc w:val="center"/>
        <w:rPr>
          <w:rFonts w:eastAsia="SimSun" w:cs="SimSun"/>
          <w:b/>
          <w:bCs/>
          <w:szCs w:val="24"/>
          <w:lang w:eastAsia="en-GB" w:bidi="en-US"/>
        </w:rPr>
      </w:pPr>
      <w:r w:rsidRPr="00E57C96">
        <w:rPr>
          <w:rFonts w:eastAsia="SimSun" w:cs="SimSun"/>
          <w:b/>
          <w:bCs/>
          <w:szCs w:val="24"/>
          <w:lang w:eastAsia="en-GB" w:bidi="en-US"/>
        </w:rPr>
        <w:t>VALIDACIÓN EXTERNA</w:t>
      </w:r>
    </w:p>
    <w:tbl>
      <w:tblPr>
        <w:tblStyle w:val="TableGrid"/>
        <w:tblW w:w="0" w:type="auto"/>
        <w:tblLook w:val="04A0" w:firstRow="1" w:lastRow="0" w:firstColumn="1" w:lastColumn="0" w:noHBand="0" w:noVBand="1"/>
      </w:tblPr>
      <w:tblGrid>
        <w:gridCol w:w="927"/>
        <w:gridCol w:w="4987"/>
        <w:gridCol w:w="3099"/>
        <w:gridCol w:w="1060"/>
        <w:gridCol w:w="3915"/>
      </w:tblGrid>
      <w:tr w:rsidR="00CB5A53" w:rsidRPr="008B38EF" w:rsidTr="008F4DD6">
        <w:trPr>
          <w:trHeight w:val="1110"/>
        </w:trPr>
        <w:tc>
          <w:tcPr>
            <w:tcW w:w="927" w:type="dxa"/>
            <w:noWrap/>
            <w:hideMark/>
          </w:tcPr>
          <w:p w:rsidR="00CB5A53" w:rsidRPr="005C6876" w:rsidRDefault="00CB5A53" w:rsidP="00CB5A53">
            <w:pPr>
              <w:pStyle w:val="Tablehead"/>
              <w:rPr>
                <w:rFonts w:eastAsia="SimSun"/>
                <w:szCs w:val="22"/>
                <w:lang w:val="en-GB" w:eastAsia="en-GB" w:bidi="en-US"/>
              </w:rPr>
            </w:pPr>
            <w:bookmarkStart w:id="9" w:name="RANGE!A1:G16"/>
            <w:r w:rsidRPr="005C6876">
              <w:rPr>
                <w:rFonts w:eastAsia="SimSun"/>
                <w:szCs w:val="22"/>
                <w:lang w:val="en-GB" w:eastAsia="en-GB" w:bidi="en-US"/>
              </w:rPr>
              <w:t>Asunto</w:t>
            </w:r>
            <w:bookmarkEnd w:id="9"/>
          </w:p>
        </w:tc>
        <w:tc>
          <w:tcPr>
            <w:tcW w:w="5022" w:type="dxa"/>
            <w:hideMark/>
          </w:tcPr>
          <w:p w:rsidR="00CB5A53" w:rsidRPr="008F4DD6" w:rsidRDefault="00CB5A53" w:rsidP="00CB5A53">
            <w:pPr>
              <w:pStyle w:val="Tablehead"/>
              <w:rPr>
                <w:rFonts w:eastAsia="SimSun"/>
                <w:szCs w:val="22"/>
                <w:lang w:val="en-GB" w:eastAsia="en-GB" w:bidi="en-US"/>
              </w:rPr>
            </w:pPr>
            <w:r w:rsidRPr="008F4DD6">
              <w:rPr>
                <w:rFonts w:eastAsia="SimSun"/>
                <w:szCs w:val="22"/>
                <w:lang w:val="en-GB" w:eastAsia="en-GB" w:bidi="en-US"/>
              </w:rPr>
              <w:t>Recommendación</w:t>
            </w:r>
          </w:p>
        </w:tc>
        <w:tc>
          <w:tcPr>
            <w:tcW w:w="3116" w:type="dxa"/>
            <w:hideMark/>
          </w:tcPr>
          <w:p w:rsidR="00CB5A53" w:rsidRPr="008F4DD6" w:rsidRDefault="00CB5A53" w:rsidP="008F4DD6">
            <w:pPr>
              <w:pStyle w:val="Tablehead"/>
              <w:rPr>
                <w:rFonts w:eastAsia="SimSun"/>
                <w:szCs w:val="22"/>
                <w:lang w:eastAsia="en-GB" w:bidi="en-US"/>
              </w:rPr>
            </w:pPr>
            <w:r w:rsidRPr="008F4DD6">
              <w:rPr>
                <w:rFonts w:eastAsia="SimSun"/>
                <w:szCs w:val="22"/>
                <w:lang w:eastAsia="en-GB" w:bidi="en-US"/>
              </w:rPr>
              <w:t>Comentario de la Dirección</w:t>
            </w:r>
            <w:r w:rsidRPr="008F4DD6">
              <w:rPr>
                <w:rFonts w:eastAsia="SimSun"/>
                <w:szCs w:val="22"/>
                <w:lang w:eastAsia="en-GB" w:bidi="en-US"/>
              </w:rPr>
              <w:br/>
              <w:t>(</w:t>
            </w:r>
            <w:r w:rsidR="008F4DD6" w:rsidRPr="008F4DD6">
              <w:rPr>
                <w:rFonts w:eastAsia="SimSun"/>
                <w:szCs w:val="22"/>
                <w:lang w:eastAsia="en-GB" w:bidi="en-US"/>
              </w:rPr>
              <w:t>Mayo</w:t>
            </w:r>
            <w:r w:rsidRPr="008F4DD6">
              <w:rPr>
                <w:rFonts w:eastAsia="SimSun"/>
                <w:szCs w:val="22"/>
                <w:lang w:eastAsia="en-GB" w:bidi="en-US"/>
              </w:rPr>
              <w:t xml:space="preserve"> 2015)</w:t>
            </w:r>
          </w:p>
        </w:tc>
        <w:tc>
          <w:tcPr>
            <w:tcW w:w="983" w:type="dxa"/>
            <w:hideMark/>
          </w:tcPr>
          <w:p w:rsidR="00CB5A53" w:rsidRPr="008F4DD6" w:rsidRDefault="00CB5A53" w:rsidP="00CB5A53">
            <w:pPr>
              <w:pStyle w:val="Tablehead"/>
              <w:rPr>
                <w:rFonts w:eastAsia="SimSun"/>
                <w:szCs w:val="22"/>
                <w:lang w:val="en-GB" w:eastAsia="en-GB" w:bidi="en-US"/>
              </w:rPr>
            </w:pPr>
            <w:r w:rsidRPr="008F4DD6">
              <w:rPr>
                <w:rFonts w:eastAsia="SimSun"/>
                <w:szCs w:val="22"/>
                <w:lang w:val="en-GB" w:eastAsia="en-GB" w:bidi="en-US"/>
              </w:rPr>
              <w:t>Situación (Febrero de 2016)</w:t>
            </w:r>
          </w:p>
        </w:tc>
        <w:tc>
          <w:tcPr>
            <w:tcW w:w="3940" w:type="dxa"/>
            <w:hideMark/>
          </w:tcPr>
          <w:p w:rsidR="00CB5A53" w:rsidRPr="008F4DD6" w:rsidRDefault="00CB5A53" w:rsidP="00CB5A53">
            <w:pPr>
              <w:pStyle w:val="Tablehead"/>
              <w:rPr>
                <w:rFonts w:eastAsia="SimSun"/>
                <w:szCs w:val="22"/>
                <w:lang w:eastAsia="en-GB" w:bidi="en-US"/>
              </w:rPr>
            </w:pPr>
            <w:r w:rsidRPr="008F4DD6">
              <w:rPr>
                <w:rFonts w:eastAsia="SimSun"/>
                <w:szCs w:val="22"/>
                <w:lang w:eastAsia="en-GB" w:bidi="en-US"/>
              </w:rPr>
              <w:t>Observaciones de la Auditoría Interna de la UIT después de la evaluación</w:t>
            </w:r>
            <w:r w:rsidRPr="008F4DD6">
              <w:rPr>
                <w:rFonts w:eastAsia="SimSun"/>
                <w:szCs w:val="22"/>
                <w:lang w:eastAsia="en-GB" w:bidi="en-US"/>
              </w:rPr>
              <w:br/>
              <w:t>(Febrero de 2016)</w:t>
            </w:r>
          </w:p>
        </w:tc>
      </w:tr>
      <w:tr w:rsidR="00CB5A53" w:rsidRPr="008B38EF" w:rsidTr="008F4DD6">
        <w:trPr>
          <w:trHeight w:val="1860"/>
        </w:trPr>
        <w:tc>
          <w:tcPr>
            <w:tcW w:w="927" w:type="dxa"/>
            <w:noWrap/>
            <w:hideMark/>
          </w:tcPr>
          <w:p w:rsidR="00CB5A53" w:rsidRPr="008F4DD6" w:rsidRDefault="00CB5A53" w:rsidP="008F4DD6">
            <w:pPr>
              <w:pStyle w:val="Tabletext"/>
              <w:spacing w:before="0" w:after="0"/>
              <w:rPr>
                <w:rFonts w:eastAsia="SimSun" w:cs="SimSun"/>
                <w:sz w:val="20"/>
                <w:lang w:val="en-GB" w:eastAsia="en-GB" w:bidi="en-US"/>
              </w:rPr>
            </w:pPr>
            <w:r w:rsidRPr="008F4DD6">
              <w:rPr>
                <w:rFonts w:eastAsia="SimSun" w:cs="SimSun"/>
                <w:sz w:val="20"/>
                <w:lang w:val="en-GB" w:eastAsia="en-GB" w:bidi="en-US"/>
              </w:rPr>
              <w:t>1.1</w:t>
            </w:r>
          </w:p>
        </w:tc>
        <w:tc>
          <w:tcPr>
            <w:tcW w:w="5022" w:type="dxa"/>
            <w:hideMark/>
          </w:tcPr>
          <w:p w:rsidR="00CB5A53" w:rsidRPr="008F4DD6" w:rsidRDefault="00CB5A53" w:rsidP="008F4DD6">
            <w:pPr>
              <w:pStyle w:val="Tabletext"/>
              <w:spacing w:before="0" w:after="0"/>
              <w:rPr>
                <w:rFonts w:eastAsia="SimSun" w:cs="SimSun"/>
                <w:sz w:val="20"/>
                <w:lang w:eastAsia="en-GB" w:bidi="en-US"/>
              </w:rPr>
            </w:pPr>
            <w:r w:rsidRPr="008F4DD6">
              <w:rPr>
                <w:rFonts w:eastAsia="SimSun" w:cs="SimSun"/>
                <w:sz w:val="20"/>
                <w:lang w:eastAsia="en-GB" w:bidi="en-US"/>
              </w:rPr>
              <w:t>La actividad de Auditoría Interna debería llevar a cabo un análisis de riesgo que debería comprender el establecimiento del universo de auditoría y un registro de riesgos, y determinar criterios para garantizar que todos los ámbitos críticos y de riesgo más importantes identificados en el universo de auditoría se enmarcan en un plazo razonable (como por ejemplo 2-3 años).</w:t>
            </w:r>
          </w:p>
        </w:tc>
        <w:tc>
          <w:tcPr>
            <w:tcW w:w="3116" w:type="dxa"/>
            <w:hideMark/>
          </w:tcPr>
          <w:p w:rsidR="00CB5A53" w:rsidRPr="008F4DD6" w:rsidRDefault="00CB5A53" w:rsidP="008F4DD6">
            <w:pPr>
              <w:pStyle w:val="Tabletext"/>
              <w:spacing w:before="0" w:after="0"/>
              <w:rPr>
                <w:rFonts w:eastAsia="SimSun" w:cs="SimSun"/>
                <w:sz w:val="20"/>
                <w:lang w:eastAsia="en-GB" w:bidi="en-US"/>
              </w:rPr>
            </w:pPr>
            <w:r w:rsidRPr="008F4DD6">
              <w:rPr>
                <w:rFonts w:eastAsia="SimSun" w:cs="SimSun"/>
                <w:sz w:val="20"/>
                <w:lang w:eastAsia="en-GB" w:bidi="en-US"/>
              </w:rPr>
              <w:t xml:space="preserve">Comentario de la Auditoría Interna: El trabajo al respecto ya ha comenzado y se emprenderán trabajos adicionales para el plan de auditoría 2016. </w:t>
            </w:r>
          </w:p>
        </w:tc>
        <w:tc>
          <w:tcPr>
            <w:tcW w:w="983" w:type="dxa"/>
            <w:noWrap/>
            <w:hideMark/>
          </w:tcPr>
          <w:p w:rsidR="00CB5A53" w:rsidRPr="008F4DD6" w:rsidRDefault="00CB5A53" w:rsidP="008F4DD6">
            <w:pPr>
              <w:pStyle w:val="Tabletext"/>
              <w:spacing w:before="0" w:after="0"/>
              <w:rPr>
                <w:rFonts w:eastAsia="SimSun" w:cs="SimSun"/>
                <w:sz w:val="20"/>
                <w:lang w:val="en-GB" w:eastAsia="en-GB" w:bidi="en-US"/>
              </w:rPr>
            </w:pPr>
            <w:r w:rsidRPr="008F4DD6">
              <w:rPr>
                <w:rFonts w:eastAsia="SimSun" w:cs="SimSun"/>
                <w:sz w:val="20"/>
                <w:lang w:val="en-GB" w:eastAsia="en-GB" w:bidi="en-US"/>
              </w:rPr>
              <w:t>aplicada</w:t>
            </w:r>
          </w:p>
        </w:tc>
        <w:tc>
          <w:tcPr>
            <w:tcW w:w="3940" w:type="dxa"/>
            <w:hideMark/>
          </w:tcPr>
          <w:p w:rsidR="00CB5A53" w:rsidRPr="008F4DD6" w:rsidRDefault="00CB5A53" w:rsidP="008F4DD6">
            <w:pPr>
              <w:pStyle w:val="Tabletext"/>
              <w:spacing w:before="0" w:after="0"/>
              <w:rPr>
                <w:rFonts w:eastAsia="SimSun" w:cs="SimSun"/>
                <w:sz w:val="20"/>
                <w:lang w:eastAsia="en-GB" w:bidi="en-US"/>
              </w:rPr>
            </w:pPr>
            <w:r w:rsidRPr="008F4DD6">
              <w:rPr>
                <w:rFonts w:eastAsia="SimSun" w:cs="SimSun"/>
                <w:sz w:val="20"/>
                <w:lang w:eastAsia="en-GB" w:bidi="en-US"/>
              </w:rPr>
              <w:t>Para la planificación de la Auditoría Interna 2016 se efectuó un análisis de riesgos sobre la base de un universo de auditoría establecido, los procesos comerciales de la UIT y el registro oficial de riesgos de la UIT; se utilizaron 9 criterios para determinar la importancia de los componentes del universo de auditoría.</w:t>
            </w:r>
          </w:p>
        </w:tc>
      </w:tr>
      <w:tr w:rsidR="008B38EF" w:rsidRPr="008B38EF" w:rsidTr="008F4DD6">
        <w:trPr>
          <w:trHeight w:val="1800"/>
        </w:trPr>
        <w:tc>
          <w:tcPr>
            <w:tcW w:w="927" w:type="dxa"/>
            <w:noWrap/>
            <w:hideMark/>
          </w:tcPr>
          <w:p w:rsidR="008B38EF" w:rsidRPr="008F4DD6" w:rsidRDefault="008B38EF" w:rsidP="008F4DD6">
            <w:pPr>
              <w:pStyle w:val="Tabletext"/>
              <w:spacing w:before="0" w:after="0"/>
              <w:rPr>
                <w:rFonts w:eastAsia="SimSun" w:cs="SimSun"/>
                <w:sz w:val="20"/>
                <w:lang w:val="en-GB" w:eastAsia="en-GB" w:bidi="en-US"/>
              </w:rPr>
            </w:pPr>
            <w:r w:rsidRPr="008F4DD6">
              <w:rPr>
                <w:rFonts w:eastAsia="SimSun" w:cs="SimSun"/>
                <w:sz w:val="20"/>
                <w:lang w:val="en-GB" w:eastAsia="en-GB" w:bidi="en-US"/>
              </w:rPr>
              <w:t>1.2.a</w:t>
            </w:r>
          </w:p>
        </w:tc>
        <w:tc>
          <w:tcPr>
            <w:tcW w:w="5022" w:type="dxa"/>
            <w:hideMark/>
          </w:tcPr>
          <w:p w:rsidR="008B38EF" w:rsidRPr="008F4DD6" w:rsidRDefault="008B38EF" w:rsidP="008F4DD6">
            <w:pPr>
              <w:pStyle w:val="Tabletext"/>
              <w:spacing w:before="0" w:after="0"/>
              <w:rPr>
                <w:rFonts w:eastAsia="SimSun" w:cs="SimSun"/>
                <w:sz w:val="20"/>
                <w:lang w:eastAsia="en-GB" w:bidi="en-US"/>
              </w:rPr>
            </w:pPr>
            <w:r w:rsidRPr="008F4DD6">
              <w:rPr>
                <w:rFonts w:eastAsia="SimSun" w:cs="SimSun"/>
                <w:sz w:val="20"/>
                <w:lang w:eastAsia="en-GB" w:bidi="en-US"/>
              </w:rPr>
              <w:t>La actividad de Auditoría Interna debería fortalecer el proceso de planificación del trabajo incluyendo en el programa anual de trabajo: a) una estrategia y un planteamiento de auditoría que permitan una cobertura completa de todos los riesgos críticos e importantes y ofrezcan una garantía razonable sobre la efectividad de los controles, la gestión de riesgos y los procesos de gobernanza al Secretario General y al Consejo;</w:t>
            </w:r>
          </w:p>
        </w:tc>
        <w:tc>
          <w:tcPr>
            <w:tcW w:w="3116" w:type="dxa"/>
            <w:vMerge w:val="restart"/>
            <w:vAlign w:val="center"/>
            <w:hideMark/>
          </w:tcPr>
          <w:p w:rsidR="008B38EF" w:rsidRPr="008F4DD6" w:rsidRDefault="008B38EF" w:rsidP="008F4DD6">
            <w:pPr>
              <w:pStyle w:val="Tabletext"/>
              <w:spacing w:before="0" w:after="0"/>
              <w:rPr>
                <w:rFonts w:eastAsia="SimSun" w:cs="SimSun"/>
                <w:sz w:val="20"/>
                <w:lang w:eastAsia="en-GB" w:bidi="en-US"/>
              </w:rPr>
            </w:pPr>
            <w:r w:rsidRPr="008F4DD6">
              <w:rPr>
                <w:rFonts w:eastAsia="SimSun" w:cs="SimSun"/>
                <w:sz w:val="20"/>
                <w:lang w:eastAsia="en-GB" w:bidi="en-US"/>
              </w:rPr>
              <w:t xml:space="preserve">Comentario de la Auditoría Interna: El trabajo al respecto ya ha comenzado y se emprenderán trabajos adicionales para el plan de auditoría 2016. </w:t>
            </w:r>
          </w:p>
        </w:tc>
        <w:tc>
          <w:tcPr>
            <w:tcW w:w="983" w:type="dxa"/>
            <w:noWrap/>
            <w:hideMark/>
          </w:tcPr>
          <w:p w:rsidR="008B38EF" w:rsidRPr="008F4DD6" w:rsidRDefault="008B38EF" w:rsidP="008F4DD6">
            <w:pPr>
              <w:pStyle w:val="Tabletext"/>
              <w:spacing w:before="0" w:after="0"/>
              <w:rPr>
                <w:rFonts w:eastAsia="SimSun" w:cs="SimSun"/>
                <w:sz w:val="20"/>
                <w:lang w:val="en-GB" w:eastAsia="en-GB" w:bidi="en-US"/>
              </w:rPr>
            </w:pPr>
            <w:r w:rsidRPr="008F4DD6">
              <w:rPr>
                <w:rFonts w:eastAsia="SimSun" w:cs="SimSun"/>
                <w:sz w:val="20"/>
                <w:lang w:val="en-GB" w:eastAsia="en-GB" w:bidi="en-US"/>
              </w:rPr>
              <w:t>aplicada</w:t>
            </w:r>
          </w:p>
        </w:tc>
        <w:tc>
          <w:tcPr>
            <w:tcW w:w="3940" w:type="dxa"/>
            <w:hideMark/>
          </w:tcPr>
          <w:p w:rsidR="008B38EF" w:rsidRPr="008F4DD6" w:rsidRDefault="008B38EF" w:rsidP="008F4DD6">
            <w:pPr>
              <w:pStyle w:val="Tabletext"/>
              <w:spacing w:before="0" w:after="0"/>
              <w:rPr>
                <w:rFonts w:eastAsia="SimSun" w:cs="SimSun"/>
                <w:sz w:val="20"/>
                <w:lang w:eastAsia="en-GB" w:bidi="en-US"/>
              </w:rPr>
            </w:pPr>
            <w:r w:rsidRPr="008F4DD6">
              <w:rPr>
                <w:rFonts w:eastAsia="SimSun" w:cs="SimSun"/>
                <w:sz w:val="20"/>
                <w:lang w:eastAsia="en-GB" w:bidi="en-US"/>
              </w:rPr>
              <w:t xml:space="preserve">En la estrategia y el planteamiento de auditoría se identifican los riesgos críticos y principales del </w:t>
            </w:r>
            <w:r w:rsidRPr="008F4DD6">
              <w:rPr>
                <w:rFonts w:ascii="MS Mincho" w:eastAsia="MS Mincho" w:hAnsi="MS Mincho" w:cs="MS Mincho" w:hint="eastAsia"/>
                <w:sz w:val="20"/>
                <w:cs/>
                <w:lang w:eastAsia="en-GB"/>
              </w:rPr>
              <w:t>‎</w:t>
            </w:r>
            <w:r w:rsidRPr="008F4DD6">
              <w:rPr>
                <w:rFonts w:eastAsia="SimSun" w:cs="SimSun"/>
                <w:sz w:val="20"/>
                <w:lang w:eastAsia="en-GB" w:bidi="en-US"/>
              </w:rPr>
              <w:t>universo de auditoría</w:t>
            </w:r>
            <w:r w:rsidR="008F4DD6" w:rsidRPr="008F4DD6">
              <w:rPr>
                <w:rFonts w:eastAsia="SimSun" w:cs="SimSun"/>
                <w:sz w:val="20"/>
                <w:lang w:eastAsia="en-GB" w:bidi="en-US"/>
              </w:rPr>
              <w:t>.</w:t>
            </w:r>
            <w:r w:rsidRPr="008F4DD6">
              <w:rPr>
                <w:rFonts w:eastAsia="SimSun" w:cs="SimSun"/>
                <w:sz w:val="20"/>
                <w:lang w:eastAsia="en-GB" w:bidi="en-US"/>
              </w:rPr>
              <w:t xml:space="preserve"> </w:t>
            </w:r>
          </w:p>
        </w:tc>
      </w:tr>
      <w:tr w:rsidR="008B38EF" w:rsidRPr="008B38EF" w:rsidTr="008F4DD6">
        <w:trPr>
          <w:trHeight w:val="1320"/>
        </w:trPr>
        <w:tc>
          <w:tcPr>
            <w:tcW w:w="927" w:type="dxa"/>
            <w:noWrap/>
            <w:hideMark/>
          </w:tcPr>
          <w:p w:rsidR="008B38EF" w:rsidRPr="008F4DD6" w:rsidRDefault="008B38EF" w:rsidP="008F4DD6">
            <w:pPr>
              <w:pStyle w:val="Tabletext"/>
              <w:spacing w:before="0" w:after="0"/>
              <w:rPr>
                <w:rFonts w:eastAsia="SimSun" w:cs="SimSun"/>
                <w:sz w:val="20"/>
                <w:lang w:val="en-GB" w:eastAsia="en-GB" w:bidi="en-US"/>
              </w:rPr>
            </w:pPr>
            <w:r w:rsidRPr="008F4DD6">
              <w:rPr>
                <w:rFonts w:eastAsia="SimSun" w:cs="SimSun"/>
                <w:sz w:val="20"/>
                <w:lang w:val="en-GB" w:eastAsia="en-GB" w:bidi="en-US"/>
              </w:rPr>
              <w:t>1.2.b</w:t>
            </w:r>
          </w:p>
        </w:tc>
        <w:tc>
          <w:tcPr>
            <w:tcW w:w="5022" w:type="dxa"/>
            <w:hideMark/>
          </w:tcPr>
          <w:p w:rsidR="008B38EF" w:rsidRPr="008F4DD6" w:rsidRDefault="008B38EF" w:rsidP="008F4DD6">
            <w:pPr>
              <w:pStyle w:val="Tabletext"/>
              <w:spacing w:before="0" w:after="0"/>
              <w:rPr>
                <w:rFonts w:eastAsia="SimSun" w:cs="SimSun"/>
                <w:sz w:val="20"/>
                <w:lang w:eastAsia="en-GB" w:bidi="en-US"/>
              </w:rPr>
            </w:pPr>
            <w:r w:rsidRPr="008F4DD6">
              <w:rPr>
                <w:rFonts w:eastAsia="SimSun" w:cs="SimSun"/>
                <w:sz w:val="20"/>
                <w:lang w:eastAsia="en-GB" w:bidi="en-US"/>
              </w:rPr>
              <w:t xml:space="preserve">La actividad de Auditoría Interna debería fortalecer el proceso de planificación del trabajo incluyendo en el programa anual de trabajo: b) una descripción del universo de auditoría y de los criterios o los factores de riesgo utilizados para </w:t>
            </w:r>
            <w:r w:rsidRPr="008F4DD6">
              <w:rPr>
                <w:rFonts w:ascii="MS Mincho" w:eastAsia="MS Mincho" w:hAnsi="MS Mincho" w:cs="MS Mincho" w:hint="eastAsia"/>
                <w:sz w:val="20"/>
                <w:cs/>
                <w:lang w:eastAsia="en-GB"/>
              </w:rPr>
              <w:t>‎</w:t>
            </w:r>
            <w:r w:rsidRPr="008F4DD6">
              <w:rPr>
                <w:rFonts w:eastAsia="SimSun" w:cs="SimSun"/>
                <w:sz w:val="20"/>
                <w:lang w:eastAsia="en-GB" w:bidi="en-US"/>
              </w:rPr>
              <w:t>seleccionar proyectos de auditoría o temas de auditoría;</w:t>
            </w:r>
          </w:p>
        </w:tc>
        <w:tc>
          <w:tcPr>
            <w:tcW w:w="3116" w:type="dxa"/>
            <w:vMerge/>
            <w:hideMark/>
          </w:tcPr>
          <w:p w:rsidR="008B38EF" w:rsidRPr="008F4DD6" w:rsidRDefault="008B38EF" w:rsidP="008F4DD6">
            <w:pPr>
              <w:pStyle w:val="Tabletext"/>
              <w:spacing w:before="0" w:after="0"/>
              <w:rPr>
                <w:rFonts w:eastAsia="SimSun" w:cs="SimSun"/>
                <w:sz w:val="20"/>
                <w:lang w:eastAsia="en-GB" w:bidi="en-US"/>
              </w:rPr>
            </w:pPr>
          </w:p>
        </w:tc>
        <w:tc>
          <w:tcPr>
            <w:tcW w:w="983" w:type="dxa"/>
            <w:noWrap/>
            <w:hideMark/>
          </w:tcPr>
          <w:p w:rsidR="008B38EF" w:rsidRPr="008F4DD6" w:rsidRDefault="008B38EF" w:rsidP="008F4DD6">
            <w:pPr>
              <w:pStyle w:val="Tabletext"/>
              <w:spacing w:before="0" w:after="0"/>
              <w:rPr>
                <w:rFonts w:eastAsia="SimSun" w:cs="SimSun"/>
                <w:sz w:val="20"/>
                <w:lang w:val="en-GB" w:eastAsia="en-GB" w:bidi="en-US"/>
              </w:rPr>
            </w:pPr>
            <w:r w:rsidRPr="008F4DD6">
              <w:rPr>
                <w:rFonts w:eastAsia="SimSun" w:cs="SimSun"/>
                <w:sz w:val="20"/>
                <w:lang w:val="en-GB" w:eastAsia="en-GB" w:bidi="en-US"/>
              </w:rPr>
              <w:t>aplicada</w:t>
            </w:r>
          </w:p>
        </w:tc>
        <w:tc>
          <w:tcPr>
            <w:tcW w:w="3940" w:type="dxa"/>
            <w:hideMark/>
          </w:tcPr>
          <w:p w:rsidR="008B38EF" w:rsidRPr="008F4DD6" w:rsidRDefault="008B38EF" w:rsidP="008F4DD6">
            <w:pPr>
              <w:pStyle w:val="Tabletext"/>
              <w:spacing w:before="0" w:after="0"/>
              <w:rPr>
                <w:rFonts w:eastAsia="SimSun" w:cs="SimSun"/>
                <w:sz w:val="20"/>
                <w:lang w:eastAsia="en-GB" w:bidi="en-US"/>
              </w:rPr>
            </w:pPr>
            <w:r w:rsidRPr="008F4DD6">
              <w:rPr>
                <w:rFonts w:eastAsia="SimSun" w:cs="SimSun"/>
                <w:sz w:val="20"/>
                <w:lang w:eastAsia="en-GB" w:bidi="en-US"/>
              </w:rPr>
              <w:t xml:space="preserve">El plan de auditoría de 2016 contiene una descripción del universo de auditoría y los criterios utilizados </w:t>
            </w:r>
            <w:r w:rsidRPr="008F4DD6">
              <w:rPr>
                <w:rFonts w:ascii="MS Mincho" w:eastAsia="MS Mincho" w:hAnsi="MS Mincho" w:cs="MS Mincho" w:hint="eastAsia"/>
                <w:sz w:val="20"/>
                <w:cs/>
                <w:lang w:eastAsia="en-GB"/>
              </w:rPr>
              <w:t>‎</w:t>
            </w:r>
            <w:r w:rsidRPr="008F4DD6">
              <w:rPr>
                <w:rFonts w:eastAsia="SimSun" w:cs="SimSun"/>
                <w:sz w:val="20"/>
                <w:lang w:eastAsia="en-GB" w:bidi="en-US"/>
              </w:rPr>
              <w:t>para seleccionar temas de auditoría</w:t>
            </w:r>
            <w:r w:rsidR="008F4DD6" w:rsidRPr="008F4DD6">
              <w:rPr>
                <w:rFonts w:eastAsia="SimSun" w:cs="SimSun"/>
                <w:sz w:val="20"/>
                <w:lang w:eastAsia="en-GB" w:bidi="en-US"/>
              </w:rPr>
              <w:t>.</w:t>
            </w:r>
          </w:p>
        </w:tc>
      </w:tr>
      <w:tr w:rsidR="008B38EF" w:rsidRPr="008B38EF" w:rsidTr="008F4DD6">
        <w:trPr>
          <w:trHeight w:val="2115"/>
        </w:trPr>
        <w:tc>
          <w:tcPr>
            <w:tcW w:w="927" w:type="dxa"/>
            <w:noWrap/>
            <w:hideMark/>
          </w:tcPr>
          <w:p w:rsidR="008B38EF" w:rsidRPr="008F4DD6" w:rsidRDefault="008B38EF" w:rsidP="008F4DD6">
            <w:pPr>
              <w:pStyle w:val="Tabletext"/>
              <w:spacing w:before="0" w:after="0"/>
              <w:rPr>
                <w:rFonts w:eastAsia="SimSun" w:cs="SimSun"/>
                <w:sz w:val="20"/>
                <w:lang w:val="en-GB" w:eastAsia="en-GB" w:bidi="en-US"/>
              </w:rPr>
            </w:pPr>
            <w:r w:rsidRPr="008F4DD6">
              <w:rPr>
                <w:rFonts w:eastAsia="SimSun" w:cs="SimSun"/>
                <w:sz w:val="20"/>
                <w:lang w:val="en-GB" w:eastAsia="en-GB" w:bidi="en-US"/>
              </w:rPr>
              <w:lastRenderedPageBreak/>
              <w:t>1.2.c</w:t>
            </w:r>
          </w:p>
        </w:tc>
        <w:tc>
          <w:tcPr>
            <w:tcW w:w="5022" w:type="dxa"/>
            <w:hideMark/>
          </w:tcPr>
          <w:p w:rsidR="008B38EF" w:rsidRPr="008F4DD6" w:rsidRDefault="008B38EF" w:rsidP="008F4DD6">
            <w:pPr>
              <w:pStyle w:val="Tabletext"/>
              <w:spacing w:before="0" w:after="0"/>
              <w:rPr>
                <w:rFonts w:eastAsia="SimSun" w:cs="SimSun"/>
                <w:sz w:val="20"/>
                <w:lang w:eastAsia="en-GB" w:bidi="en-US"/>
              </w:rPr>
            </w:pPr>
            <w:r w:rsidRPr="008F4DD6">
              <w:rPr>
                <w:rFonts w:eastAsia="SimSun" w:cs="SimSun"/>
                <w:sz w:val="20"/>
                <w:lang w:eastAsia="en-GB" w:bidi="en-US"/>
              </w:rPr>
              <w:t xml:space="preserve">La actividad de Auditoría Interna debería fortalecer el proceso de planificación del trabajo incluyendo en el programa anual de trabajo: c) la naturaleza y extensión de la coordinación con los Auditores Externos (incluido la lista de auditorías </w:t>
            </w:r>
            <w:r w:rsidRPr="008F4DD6">
              <w:rPr>
                <w:rFonts w:ascii="MS Mincho" w:eastAsia="MS Mincho" w:hAnsi="MS Mincho" w:cs="MS Mincho" w:hint="eastAsia"/>
                <w:sz w:val="20"/>
                <w:cs/>
                <w:lang w:eastAsia="en-GB"/>
              </w:rPr>
              <w:t>‎</w:t>
            </w:r>
            <w:r w:rsidRPr="008F4DD6">
              <w:rPr>
                <w:rFonts w:eastAsia="SimSun" w:cs="SimSun"/>
                <w:sz w:val="20"/>
                <w:lang w:eastAsia="en-GB" w:bidi="en-US"/>
              </w:rPr>
              <w:t xml:space="preserve">propuestas contemplada por los Auditores Externos) y las eventuales actividades de evaluación a fin </w:t>
            </w:r>
            <w:r w:rsidRPr="008F4DD6">
              <w:rPr>
                <w:rFonts w:ascii="MS Mincho" w:eastAsia="MS Mincho" w:hAnsi="MS Mincho" w:cs="MS Mincho" w:hint="eastAsia"/>
                <w:sz w:val="20"/>
                <w:cs/>
                <w:lang w:eastAsia="en-GB"/>
              </w:rPr>
              <w:t>‎</w:t>
            </w:r>
            <w:r w:rsidRPr="008F4DD6">
              <w:rPr>
                <w:rFonts w:eastAsia="SimSun" w:cs="SimSun"/>
                <w:sz w:val="20"/>
                <w:lang w:eastAsia="en-GB" w:bidi="en-US"/>
              </w:rPr>
              <w:t xml:space="preserve">de minimizar la duplicación de actividades y garantizar una cooperación y un intercambio de </w:t>
            </w:r>
            <w:r w:rsidRPr="008F4DD6">
              <w:rPr>
                <w:rFonts w:ascii="MS Mincho" w:eastAsia="MS Mincho" w:hAnsi="MS Mincho" w:cs="MS Mincho" w:hint="eastAsia"/>
                <w:sz w:val="20"/>
                <w:cs/>
                <w:lang w:eastAsia="en-GB"/>
              </w:rPr>
              <w:t>‎</w:t>
            </w:r>
            <w:r w:rsidRPr="008F4DD6">
              <w:rPr>
                <w:rFonts w:eastAsia="SimSun" w:cs="SimSun"/>
                <w:sz w:val="20"/>
                <w:lang w:eastAsia="en-GB" w:bidi="en-US"/>
              </w:rPr>
              <w:t>información adecuados;</w:t>
            </w:r>
          </w:p>
        </w:tc>
        <w:tc>
          <w:tcPr>
            <w:tcW w:w="3116" w:type="dxa"/>
            <w:vMerge/>
            <w:hideMark/>
          </w:tcPr>
          <w:p w:rsidR="008B38EF" w:rsidRPr="008F4DD6" w:rsidRDefault="008B38EF" w:rsidP="008F4DD6">
            <w:pPr>
              <w:pStyle w:val="Tabletext"/>
              <w:spacing w:before="0" w:after="0"/>
              <w:rPr>
                <w:rFonts w:eastAsia="SimSun" w:cs="SimSun"/>
                <w:sz w:val="20"/>
                <w:lang w:eastAsia="en-GB" w:bidi="en-US"/>
              </w:rPr>
            </w:pPr>
          </w:p>
        </w:tc>
        <w:tc>
          <w:tcPr>
            <w:tcW w:w="983" w:type="dxa"/>
            <w:noWrap/>
            <w:hideMark/>
          </w:tcPr>
          <w:p w:rsidR="008B38EF" w:rsidRPr="008F4DD6" w:rsidRDefault="008B38EF" w:rsidP="008F4DD6">
            <w:pPr>
              <w:pStyle w:val="Tabletext"/>
              <w:spacing w:before="0" w:after="0"/>
              <w:rPr>
                <w:rFonts w:eastAsia="SimSun" w:cs="SimSun"/>
                <w:sz w:val="20"/>
                <w:lang w:val="en-GB" w:eastAsia="en-GB" w:bidi="en-US"/>
              </w:rPr>
            </w:pPr>
            <w:r w:rsidRPr="008F4DD6">
              <w:rPr>
                <w:rFonts w:eastAsia="SimSun" w:cs="SimSun"/>
                <w:sz w:val="20"/>
                <w:lang w:val="en-GB" w:eastAsia="en-GB" w:bidi="en-US"/>
              </w:rPr>
              <w:t>aplicada</w:t>
            </w:r>
          </w:p>
        </w:tc>
        <w:tc>
          <w:tcPr>
            <w:tcW w:w="3940" w:type="dxa"/>
            <w:hideMark/>
          </w:tcPr>
          <w:p w:rsidR="008B38EF" w:rsidRPr="008F4DD6" w:rsidRDefault="008B38EF" w:rsidP="008F4DD6">
            <w:pPr>
              <w:pStyle w:val="Tabletext"/>
              <w:spacing w:before="0" w:after="0"/>
              <w:rPr>
                <w:rFonts w:eastAsia="SimSun" w:cs="SimSun"/>
                <w:sz w:val="20"/>
                <w:lang w:eastAsia="en-GB" w:bidi="en-US"/>
              </w:rPr>
            </w:pPr>
            <w:r w:rsidRPr="008F4DD6">
              <w:rPr>
                <w:rFonts w:eastAsia="SimSun" w:cs="SimSun"/>
                <w:sz w:val="20"/>
                <w:lang w:eastAsia="en-GB" w:bidi="en-US"/>
              </w:rPr>
              <w:t xml:space="preserve">El plan de trabajo de auditoría de 2016 se elaboró teniendo en cuenta los temas que serían abarcados </w:t>
            </w:r>
            <w:r w:rsidRPr="008F4DD6">
              <w:rPr>
                <w:rFonts w:ascii="MS Mincho" w:eastAsia="MS Mincho" w:hAnsi="MS Mincho" w:cs="MS Mincho" w:hint="eastAsia"/>
                <w:sz w:val="20"/>
                <w:cs/>
                <w:lang w:eastAsia="en-GB"/>
              </w:rPr>
              <w:t>‎</w:t>
            </w:r>
            <w:r w:rsidRPr="008F4DD6">
              <w:rPr>
                <w:rFonts w:eastAsia="SimSun" w:cs="SimSun"/>
                <w:sz w:val="20"/>
                <w:lang w:eastAsia="en-GB" w:bidi="en-US"/>
              </w:rPr>
              <w:t xml:space="preserve">por el Auditor Externo (conforme a su proyecto de plan de auditoría recibido el 18 de diciembre de </w:t>
            </w:r>
            <w:r w:rsidRPr="008F4DD6">
              <w:rPr>
                <w:rFonts w:ascii="MS Mincho" w:eastAsia="MS Mincho" w:hAnsi="MS Mincho" w:cs="MS Mincho" w:hint="eastAsia"/>
                <w:sz w:val="20"/>
                <w:cs/>
                <w:lang w:eastAsia="en-GB"/>
              </w:rPr>
              <w:t>‎‎</w:t>
            </w:r>
            <w:r w:rsidRPr="008F4DD6">
              <w:rPr>
                <w:rFonts w:eastAsia="SimSun" w:cs="SimSun"/>
                <w:sz w:val="20"/>
                <w:lang w:eastAsia="en-GB" w:bidi="en-US"/>
              </w:rPr>
              <w:t>2015)</w:t>
            </w:r>
            <w:r w:rsidRPr="008F4DD6">
              <w:rPr>
                <w:rFonts w:eastAsia="MS Mincho" w:hint="eastAsia"/>
                <w:sz w:val="20"/>
                <w:cs/>
              </w:rPr>
              <w:t>‎</w:t>
            </w:r>
            <w:r w:rsidR="008F4DD6" w:rsidRPr="008F4DD6">
              <w:rPr>
                <w:rFonts w:eastAsia="MS Mincho" w:hint="cs"/>
                <w:sz w:val="20"/>
                <w:rtl/>
                <w:cs/>
              </w:rPr>
              <w:t>.</w:t>
            </w:r>
          </w:p>
        </w:tc>
      </w:tr>
      <w:tr w:rsidR="008B38EF" w:rsidRPr="008B38EF" w:rsidTr="008F4DD6">
        <w:trPr>
          <w:trHeight w:val="1350"/>
        </w:trPr>
        <w:tc>
          <w:tcPr>
            <w:tcW w:w="927" w:type="dxa"/>
            <w:noWrap/>
            <w:hideMark/>
          </w:tcPr>
          <w:p w:rsidR="008B38EF" w:rsidRPr="008F4DD6" w:rsidRDefault="008B38EF" w:rsidP="008F4DD6">
            <w:pPr>
              <w:pStyle w:val="Tabletext"/>
              <w:spacing w:before="0" w:after="0"/>
              <w:rPr>
                <w:rFonts w:eastAsia="SimSun" w:cs="SimSun"/>
                <w:sz w:val="20"/>
                <w:lang w:val="en-GB" w:eastAsia="en-GB" w:bidi="en-US"/>
              </w:rPr>
            </w:pPr>
            <w:r w:rsidRPr="008F4DD6">
              <w:rPr>
                <w:rFonts w:eastAsia="SimSun" w:cs="SimSun"/>
                <w:sz w:val="20"/>
                <w:lang w:val="en-GB" w:eastAsia="en-GB" w:bidi="en-US"/>
              </w:rPr>
              <w:t>1.2.d</w:t>
            </w:r>
          </w:p>
        </w:tc>
        <w:tc>
          <w:tcPr>
            <w:tcW w:w="5022" w:type="dxa"/>
            <w:hideMark/>
          </w:tcPr>
          <w:p w:rsidR="008B38EF" w:rsidRPr="008F4DD6" w:rsidRDefault="008B38EF" w:rsidP="008F4DD6">
            <w:pPr>
              <w:pStyle w:val="Tabletext"/>
              <w:spacing w:before="0" w:after="0"/>
              <w:rPr>
                <w:rFonts w:eastAsia="SimSun" w:cs="SimSun"/>
                <w:sz w:val="20"/>
                <w:lang w:eastAsia="en-GB" w:bidi="en-US"/>
              </w:rPr>
            </w:pPr>
            <w:r w:rsidRPr="008F4DD6">
              <w:rPr>
                <w:rFonts w:eastAsia="SimSun" w:cs="SimSun"/>
                <w:sz w:val="20"/>
                <w:lang w:eastAsia="en-GB" w:bidi="en-US"/>
              </w:rPr>
              <w:t xml:space="preserve">La actividad de Auditoría Interna debería fortalecer el proceso de planificación del trabajo incluyendo en el programa anual de trabajo: d) un análisis de la adecuación de los recursos necesarios para cubrir todos los riesgos principales en un </w:t>
            </w:r>
            <w:r w:rsidRPr="008F4DD6">
              <w:rPr>
                <w:rFonts w:ascii="MS Mincho" w:eastAsia="MS Mincho" w:hAnsi="MS Mincho" w:cs="MS Mincho" w:hint="eastAsia"/>
                <w:sz w:val="20"/>
                <w:cs/>
                <w:lang w:eastAsia="en-GB"/>
              </w:rPr>
              <w:t>‎</w:t>
            </w:r>
            <w:r w:rsidRPr="008F4DD6">
              <w:rPr>
                <w:rFonts w:eastAsia="SimSun" w:cs="SimSun"/>
                <w:sz w:val="20"/>
                <w:lang w:eastAsia="en-GB" w:bidi="en-US"/>
              </w:rPr>
              <w:t>periodo o ciclo de auditoría determinados.</w:t>
            </w:r>
          </w:p>
        </w:tc>
        <w:tc>
          <w:tcPr>
            <w:tcW w:w="3116" w:type="dxa"/>
            <w:vMerge/>
            <w:hideMark/>
          </w:tcPr>
          <w:p w:rsidR="008B38EF" w:rsidRPr="008F4DD6" w:rsidRDefault="008B38EF" w:rsidP="008F4DD6">
            <w:pPr>
              <w:pStyle w:val="Tabletext"/>
              <w:spacing w:before="0" w:after="0"/>
              <w:rPr>
                <w:rFonts w:eastAsia="SimSun" w:cs="SimSun"/>
                <w:sz w:val="20"/>
                <w:lang w:eastAsia="en-GB" w:bidi="en-US"/>
              </w:rPr>
            </w:pPr>
          </w:p>
        </w:tc>
        <w:tc>
          <w:tcPr>
            <w:tcW w:w="983" w:type="dxa"/>
            <w:noWrap/>
            <w:hideMark/>
          </w:tcPr>
          <w:p w:rsidR="008B38EF" w:rsidRPr="008F4DD6" w:rsidRDefault="008B38EF" w:rsidP="008F4DD6">
            <w:pPr>
              <w:pStyle w:val="Tabletext"/>
              <w:spacing w:before="0" w:after="0"/>
              <w:rPr>
                <w:rFonts w:eastAsia="SimSun" w:cs="SimSun"/>
                <w:sz w:val="20"/>
                <w:lang w:val="en-GB" w:eastAsia="en-GB" w:bidi="en-US"/>
              </w:rPr>
            </w:pPr>
            <w:r w:rsidRPr="008F4DD6">
              <w:rPr>
                <w:rFonts w:eastAsia="SimSun" w:cs="SimSun"/>
                <w:sz w:val="20"/>
                <w:lang w:val="en-GB" w:eastAsia="en-GB" w:bidi="en-US"/>
              </w:rPr>
              <w:t>aplicada</w:t>
            </w:r>
          </w:p>
        </w:tc>
        <w:tc>
          <w:tcPr>
            <w:tcW w:w="3940" w:type="dxa"/>
            <w:hideMark/>
          </w:tcPr>
          <w:p w:rsidR="008B38EF" w:rsidRPr="008F4DD6" w:rsidRDefault="008B38EF" w:rsidP="008F4DD6">
            <w:pPr>
              <w:pStyle w:val="Tabletext"/>
              <w:spacing w:before="0" w:after="0"/>
              <w:rPr>
                <w:rFonts w:eastAsia="SimSun" w:cs="SimSun"/>
                <w:sz w:val="20"/>
                <w:lang w:eastAsia="en-GB" w:bidi="en-US"/>
              </w:rPr>
            </w:pPr>
            <w:r w:rsidRPr="008F4DD6">
              <w:rPr>
                <w:rFonts w:eastAsia="SimSun" w:cs="SimSun"/>
                <w:sz w:val="20"/>
                <w:lang w:eastAsia="en-GB" w:bidi="en-US"/>
              </w:rPr>
              <w:t xml:space="preserve">El análisis de los recursos disponibles (y necesarios) requeridos para cubrir todos los riesgos principales </w:t>
            </w:r>
            <w:r w:rsidRPr="008F4DD6">
              <w:rPr>
                <w:rFonts w:ascii="MS Mincho" w:eastAsia="MS Mincho" w:hAnsi="MS Mincho" w:cs="MS Mincho" w:hint="eastAsia"/>
                <w:sz w:val="20"/>
                <w:cs/>
                <w:lang w:eastAsia="en-GB"/>
              </w:rPr>
              <w:t>‎</w:t>
            </w:r>
            <w:r w:rsidRPr="008F4DD6">
              <w:rPr>
                <w:rFonts w:eastAsia="SimSun" w:cs="SimSun"/>
                <w:sz w:val="20"/>
                <w:lang w:eastAsia="en-GB" w:bidi="en-US"/>
              </w:rPr>
              <w:t>en un plazo o ciclo de auditoría determinado figuraba en el plan de auditoría de 2016</w:t>
            </w:r>
            <w:r w:rsidR="008F4DD6" w:rsidRPr="008F4DD6">
              <w:rPr>
                <w:rFonts w:eastAsia="SimSun" w:cs="SimSun"/>
                <w:sz w:val="20"/>
                <w:lang w:eastAsia="en-GB" w:bidi="en-US"/>
              </w:rPr>
              <w:t>.</w:t>
            </w:r>
          </w:p>
        </w:tc>
      </w:tr>
      <w:tr w:rsidR="00CB5A53" w:rsidRPr="008B38EF" w:rsidTr="008F4DD6">
        <w:trPr>
          <w:trHeight w:val="1830"/>
        </w:trPr>
        <w:tc>
          <w:tcPr>
            <w:tcW w:w="927" w:type="dxa"/>
            <w:noWrap/>
            <w:hideMark/>
          </w:tcPr>
          <w:p w:rsidR="00CB5A53" w:rsidRPr="008F4DD6" w:rsidRDefault="00CB5A53" w:rsidP="008F4DD6">
            <w:pPr>
              <w:pStyle w:val="Tabletext"/>
              <w:spacing w:before="0" w:after="0"/>
              <w:rPr>
                <w:rFonts w:eastAsia="SimSun" w:cs="SimSun"/>
                <w:sz w:val="20"/>
                <w:lang w:val="en-GB" w:eastAsia="en-GB" w:bidi="en-US"/>
              </w:rPr>
            </w:pPr>
            <w:r w:rsidRPr="008F4DD6">
              <w:rPr>
                <w:rFonts w:eastAsia="SimSun" w:cs="SimSun"/>
                <w:sz w:val="20"/>
                <w:lang w:val="en-GB" w:eastAsia="en-GB" w:bidi="en-US"/>
              </w:rPr>
              <w:t>1.3</w:t>
            </w:r>
          </w:p>
        </w:tc>
        <w:tc>
          <w:tcPr>
            <w:tcW w:w="5022" w:type="dxa"/>
            <w:hideMark/>
          </w:tcPr>
          <w:p w:rsidR="00CB5A53" w:rsidRPr="008F4DD6" w:rsidRDefault="00CB5A53" w:rsidP="008F4DD6">
            <w:pPr>
              <w:pStyle w:val="Tabletext"/>
              <w:spacing w:before="0" w:after="0"/>
              <w:rPr>
                <w:rFonts w:eastAsia="SimSun" w:cs="SimSun"/>
                <w:sz w:val="20"/>
                <w:lang w:eastAsia="en-GB" w:bidi="en-US"/>
              </w:rPr>
            </w:pPr>
            <w:r w:rsidRPr="008F4DD6">
              <w:rPr>
                <w:rFonts w:eastAsia="SimSun" w:cs="SimSun"/>
                <w:sz w:val="20"/>
                <w:lang w:eastAsia="en-GB" w:bidi="en-US"/>
              </w:rPr>
              <w:t xml:space="preserve">La actividad de Auditoría Interna debería realizar un análisis de diferencias de competencias para </w:t>
            </w:r>
            <w:r w:rsidRPr="008F4DD6">
              <w:rPr>
                <w:rFonts w:ascii="MS Mincho" w:eastAsia="MS Mincho" w:hAnsi="MS Mincho" w:cs="MS Mincho" w:hint="eastAsia"/>
                <w:sz w:val="20"/>
                <w:cs/>
                <w:lang w:eastAsia="en-GB"/>
              </w:rPr>
              <w:t>‎</w:t>
            </w:r>
            <w:r w:rsidRPr="008F4DD6">
              <w:rPr>
                <w:rFonts w:eastAsia="SimSun" w:cs="SimSun"/>
                <w:sz w:val="20"/>
                <w:lang w:eastAsia="en-GB" w:bidi="en-US"/>
              </w:rPr>
              <w:t xml:space="preserve">comparar los conocimientos, capacidades y experiencia colectivos reales y previstos del personal de </w:t>
            </w:r>
            <w:r w:rsidRPr="008F4DD6">
              <w:rPr>
                <w:rFonts w:ascii="MS Mincho" w:eastAsia="MS Mincho" w:hAnsi="MS Mincho" w:cs="MS Mincho" w:hint="eastAsia"/>
                <w:sz w:val="20"/>
                <w:cs/>
                <w:lang w:eastAsia="en-GB"/>
              </w:rPr>
              <w:t>‎</w:t>
            </w:r>
            <w:r w:rsidR="008B38EF" w:rsidRPr="008F4DD6">
              <w:rPr>
                <w:rFonts w:eastAsia="SimSun" w:cs="SimSun"/>
                <w:sz w:val="20"/>
                <w:lang w:eastAsia="en-GB" w:bidi="en-US"/>
              </w:rPr>
              <w:t xml:space="preserve">Auditoría Interna </w:t>
            </w:r>
            <w:r w:rsidRPr="008F4DD6">
              <w:rPr>
                <w:rFonts w:eastAsia="SimSun" w:cs="SimSun"/>
                <w:sz w:val="20"/>
                <w:lang w:eastAsia="en-GB" w:bidi="en-US"/>
              </w:rPr>
              <w:t>en la auditoría del rendimiento necesaria para cumplir su mandato.</w:t>
            </w:r>
          </w:p>
        </w:tc>
        <w:tc>
          <w:tcPr>
            <w:tcW w:w="3116" w:type="dxa"/>
            <w:hideMark/>
          </w:tcPr>
          <w:p w:rsidR="00CB5A53" w:rsidRPr="008F4DD6" w:rsidRDefault="00CB5A53" w:rsidP="008F4DD6">
            <w:pPr>
              <w:pStyle w:val="Tabletext"/>
              <w:spacing w:before="0" w:after="0"/>
              <w:rPr>
                <w:rFonts w:eastAsia="SimSun" w:cs="SimSun"/>
                <w:sz w:val="20"/>
                <w:lang w:eastAsia="en-GB" w:bidi="en-US"/>
              </w:rPr>
            </w:pPr>
            <w:r w:rsidRPr="008F4DD6">
              <w:rPr>
                <w:rFonts w:eastAsia="SimSun" w:cs="SimSun"/>
                <w:sz w:val="20"/>
                <w:lang w:eastAsia="en-GB" w:bidi="en-US"/>
              </w:rPr>
              <w:t xml:space="preserve">Comentario de la Auditoría Interna: El trabajo al respecto ya ha comenzado y se emprenderán trabajos adicionales para el plan de auditoría 2016. </w:t>
            </w:r>
          </w:p>
        </w:tc>
        <w:tc>
          <w:tcPr>
            <w:tcW w:w="983" w:type="dxa"/>
            <w:noWrap/>
            <w:hideMark/>
          </w:tcPr>
          <w:p w:rsidR="00CB5A53" w:rsidRPr="008F4DD6" w:rsidRDefault="00CB5A53" w:rsidP="008F4DD6">
            <w:pPr>
              <w:pStyle w:val="Tabletext"/>
              <w:spacing w:before="0" w:after="0"/>
              <w:rPr>
                <w:rFonts w:eastAsia="SimSun" w:cs="SimSun"/>
                <w:sz w:val="20"/>
                <w:lang w:val="en-GB" w:eastAsia="en-GB" w:bidi="en-US"/>
              </w:rPr>
            </w:pPr>
            <w:r w:rsidRPr="008F4DD6">
              <w:rPr>
                <w:rFonts w:eastAsia="SimSun" w:cs="SimSun"/>
                <w:sz w:val="20"/>
                <w:lang w:val="en-GB" w:eastAsia="en-GB" w:bidi="en-US"/>
              </w:rPr>
              <w:t>aplicada</w:t>
            </w:r>
          </w:p>
        </w:tc>
        <w:tc>
          <w:tcPr>
            <w:tcW w:w="3940" w:type="dxa"/>
            <w:hideMark/>
          </w:tcPr>
          <w:p w:rsidR="00CB5A53" w:rsidRPr="008F4DD6" w:rsidRDefault="00CB5A53" w:rsidP="008F4DD6">
            <w:pPr>
              <w:pStyle w:val="Tabletext"/>
              <w:spacing w:before="0" w:after="0"/>
              <w:rPr>
                <w:rFonts w:eastAsia="SimSun" w:cs="SimSun"/>
                <w:sz w:val="20"/>
                <w:lang w:eastAsia="en-GB" w:bidi="en-US"/>
              </w:rPr>
            </w:pPr>
            <w:r w:rsidRPr="008F4DD6">
              <w:rPr>
                <w:rFonts w:eastAsia="SimSun" w:cs="SimSun"/>
                <w:sz w:val="20"/>
                <w:lang w:eastAsia="en-GB" w:bidi="en-US"/>
              </w:rPr>
              <w:t xml:space="preserve">No se ha identificado ninguna falta de conocimientos ni experiencia del personal de </w:t>
            </w:r>
            <w:r w:rsidR="005C6876" w:rsidRPr="008F4DD6">
              <w:rPr>
                <w:rFonts w:eastAsia="SimSun" w:cs="SimSun"/>
                <w:sz w:val="20"/>
                <w:lang w:eastAsia="en-GB" w:bidi="en-US"/>
              </w:rPr>
              <w:t xml:space="preserve">Auditoría Interna </w:t>
            </w:r>
            <w:r w:rsidRPr="008F4DD6">
              <w:rPr>
                <w:rFonts w:ascii="MS Mincho" w:eastAsia="MS Mincho" w:hAnsi="MS Mincho" w:cs="MS Mincho" w:hint="eastAsia"/>
                <w:sz w:val="20"/>
                <w:cs/>
                <w:lang w:eastAsia="en-GB"/>
              </w:rPr>
              <w:t>‎</w:t>
            </w:r>
            <w:r w:rsidRPr="008F4DD6">
              <w:rPr>
                <w:rFonts w:eastAsia="SimSun" w:cs="SimSun"/>
                <w:sz w:val="20"/>
                <w:lang w:eastAsia="en-GB" w:bidi="en-US"/>
              </w:rPr>
              <w:t xml:space="preserve">en la auditoría del rendimiento, pero en lo que respecta a la función de evaluación se destacó que </w:t>
            </w:r>
            <w:r w:rsidRPr="008F4DD6">
              <w:rPr>
                <w:rFonts w:ascii="MS Mincho" w:eastAsia="MS Mincho" w:hAnsi="MS Mincho" w:cs="MS Mincho" w:hint="eastAsia"/>
                <w:sz w:val="20"/>
                <w:cs/>
                <w:lang w:eastAsia="en-GB"/>
              </w:rPr>
              <w:t>‎</w:t>
            </w:r>
            <w:r w:rsidRPr="008F4DD6">
              <w:rPr>
                <w:rFonts w:eastAsia="SimSun" w:cs="SimSun"/>
                <w:sz w:val="20"/>
                <w:lang w:eastAsia="en-GB" w:bidi="en-US"/>
              </w:rPr>
              <w:t>quizá hubiera que recurrir a recursos externos especializados</w:t>
            </w:r>
            <w:r w:rsidR="008B38EF" w:rsidRPr="008F4DD6">
              <w:rPr>
                <w:rFonts w:eastAsia="SimSun" w:cs="SimSun"/>
                <w:sz w:val="20"/>
                <w:lang w:eastAsia="en-GB" w:bidi="en-US"/>
              </w:rPr>
              <w:t>.</w:t>
            </w:r>
          </w:p>
        </w:tc>
      </w:tr>
      <w:tr w:rsidR="008B38EF" w:rsidRPr="008B38EF" w:rsidTr="008F4DD6">
        <w:trPr>
          <w:cantSplit/>
        </w:trPr>
        <w:tc>
          <w:tcPr>
            <w:tcW w:w="927" w:type="dxa"/>
            <w:noWrap/>
            <w:hideMark/>
          </w:tcPr>
          <w:p w:rsidR="008B38EF" w:rsidRPr="008F4DD6" w:rsidRDefault="008B38EF" w:rsidP="008F4DD6">
            <w:pPr>
              <w:pStyle w:val="Tabletext"/>
              <w:spacing w:before="0" w:after="0"/>
              <w:rPr>
                <w:rFonts w:eastAsia="SimSun" w:cs="SimSun"/>
                <w:sz w:val="20"/>
                <w:lang w:val="en-GB" w:eastAsia="en-GB" w:bidi="en-US"/>
              </w:rPr>
            </w:pPr>
            <w:r w:rsidRPr="008F4DD6">
              <w:rPr>
                <w:rFonts w:eastAsia="SimSun" w:cs="SimSun"/>
                <w:sz w:val="20"/>
                <w:lang w:val="en-GB" w:eastAsia="en-GB" w:bidi="en-US"/>
              </w:rPr>
              <w:t>2.1 a</w:t>
            </w:r>
          </w:p>
        </w:tc>
        <w:tc>
          <w:tcPr>
            <w:tcW w:w="5022" w:type="dxa"/>
            <w:hideMark/>
          </w:tcPr>
          <w:p w:rsidR="008B38EF" w:rsidRPr="008F4DD6" w:rsidRDefault="008B38EF" w:rsidP="008F4DD6">
            <w:pPr>
              <w:pStyle w:val="Tabletext"/>
              <w:spacing w:before="0" w:after="0"/>
              <w:rPr>
                <w:rFonts w:eastAsia="SimSun" w:cs="SimSun"/>
                <w:sz w:val="20"/>
                <w:lang w:eastAsia="en-GB" w:bidi="en-US"/>
              </w:rPr>
            </w:pPr>
            <w:r w:rsidRPr="008F4DD6">
              <w:rPr>
                <w:rFonts w:eastAsia="SimSun" w:cs="SimSun"/>
                <w:sz w:val="20"/>
                <w:lang w:eastAsia="en-GB" w:bidi="en-US"/>
              </w:rPr>
              <w:t xml:space="preserve">La actividad de Auditoría Interna debería seguir desarrollando herramientas de orientación de </w:t>
            </w:r>
            <w:r w:rsidRPr="008F4DD6">
              <w:rPr>
                <w:rFonts w:ascii="MS Mincho" w:eastAsia="MS Mincho" w:hAnsi="MS Mincho" w:cs="MS Mincho" w:hint="eastAsia"/>
                <w:sz w:val="20"/>
                <w:cs/>
                <w:lang w:eastAsia="en-GB"/>
              </w:rPr>
              <w:t>‎</w:t>
            </w:r>
            <w:r w:rsidRPr="008F4DD6">
              <w:rPr>
                <w:rFonts w:eastAsia="SimSun" w:cs="SimSun"/>
                <w:sz w:val="20"/>
                <w:lang w:eastAsia="en-GB" w:bidi="en-US"/>
              </w:rPr>
              <w:t xml:space="preserve">auditoría sobre planificación y ejecución de auditoría (y considerar su consolidación en una </w:t>
            </w:r>
            <w:r w:rsidRPr="008F4DD6">
              <w:rPr>
                <w:rFonts w:ascii="MS Mincho" w:eastAsia="MS Mincho" w:hAnsi="MS Mincho" w:cs="MS Mincho" w:hint="eastAsia"/>
                <w:sz w:val="20"/>
                <w:cs/>
                <w:lang w:eastAsia="en-GB"/>
              </w:rPr>
              <w:t>‎</w:t>
            </w:r>
            <w:r w:rsidRPr="008F4DD6">
              <w:rPr>
                <w:rFonts w:eastAsia="SimSun" w:cs="SimSun"/>
                <w:sz w:val="20"/>
                <w:lang w:eastAsia="en-GB" w:bidi="en-US"/>
              </w:rPr>
              <w:t xml:space="preserve">herramienta de gestión de conocimientos, como un manual de auditoría) a fin de reforzar la capacidad </w:t>
            </w:r>
            <w:r w:rsidRPr="008F4DD6">
              <w:rPr>
                <w:rFonts w:ascii="MS Mincho" w:eastAsia="MS Mincho" w:hAnsi="MS Mincho" w:cs="MS Mincho" w:hint="eastAsia"/>
                <w:sz w:val="20"/>
                <w:cs/>
                <w:lang w:eastAsia="en-GB"/>
              </w:rPr>
              <w:t>‎</w:t>
            </w:r>
            <w:r w:rsidRPr="008F4DD6">
              <w:rPr>
                <w:rFonts w:eastAsia="SimSun" w:cs="SimSun"/>
                <w:sz w:val="20"/>
                <w:lang w:eastAsia="en-GB" w:bidi="en-US"/>
              </w:rPr>
              <w:t xml:space="preserve">de la actividad de Auditoría Interna para: a) establecer objetivos de auditoría y el alcance de cada </w:t>
            </w:r>
            <w:r w:rsidRPr="008F4DD6">
              <w:rPr>
                <w:rFonts w:ascii="MS Mincho" w:eastAsia="MS Mincho" w:hAnsi="MS Mincho" w:cs="MS Mincho" w:hint="eastAsia"/>
                <w:sz w:val="20"/>
                <w:cs/>
                <w:lang w:eastAsia="en-GB"/>
              </w:rPr>
              <w:t>‎</w:t>
            </w:r>
            <w:r w:rsidRPr="008F4DD6">
              <w:rPr>
                <w:rFonts w:eastAsia="SimSun" w:cs="SimSun"/>
                <w:sz w:val="20"/>
                <w:lang w:eastAsia="en-GB" w:bidi="en-US"/>
              </w:rPr>
              <w:t xml:space="preserve">actividad de auditoría tras una evaluación preliminar de los riesgos de la actividad, el proceso o el </w:t>
            </w:r>
            <w:r w:rsidRPr="008F4DD6">
              <w:rPr>
                <w:rFonts w:ascii="MS Mincho" w:eastAsia="MS Mincho" w:hAnsi="MS Mincho" w:cs="MS Mincho" w:hint="eastAsia"/>
                <w:sz w:val="20"/>
                <w:cs/>
                <w:lang w:eastAsia="en-GB"/>
              </w:rPr>
              <w:t>‎</w:t>
            </w:r>
            <w:r w:rsidRPr="008F4DD6">
              <w:rPr>
                <w:rFonts w:eastAsia="SimSun" w:cs="SimSun"/>
                <w:sz w:val="20"/>
                <w:lang w:eastAsia="en-GB" w:bidi="en-US"/>
              </w:rPr>
              <w:t xml:space="preserve">sistema examinado (auditar </w:t>
            </w:r>
            <w:r w:rsidR="008F4DD6" w:rsidRPr="008F4DD6">
              <w:rPr>
                <w:rFonts w:eastAsia="SimSun" w:cs="SimSun"/>
                <w:sz w:val="20"/>
                <w:lang w:eastAsia="en-GB" w:bidi="en-US"/>
              </w:rPr>
              <w:t>"</w:t>
            </w:r>
            <w:r w:rsidRPr="008F4DD6">
              <w:rPr>
                <w:rFonts w:eastAsia="SimSun" w:cs="SimSun"/>
                <w:sz w:val="20"/>
                <w:lang w:eastAsia="en-GB" w:bidi="en-US"/>
              </w:rPr>
              <w:t>las cosas adecuadas</w:t>
            </w:r>
            <w:r w:rsidR="008F4DD6" w:rsidRPr="008F4DD6">
              <w:rPr>
                <w:rFonts w:eastAsia="SimSun" w:cs="SimSun"/>
                <w:sz w:val="20"/>
                <w:lang w:eastAsia="en-GB" w:bidi="en-US"/>
              </w:rPr>
              <w:t>"</w:t>
            </w:r>
            <w:r w:rsidRPr="008F4DD6">
              <w:rPr>
                <w:rFonts w:eastAsia="SimSun" w:cs="SimSun"/>
                <w:sz w:val="20"/>
                <w:lang w:eastAsia="en-GB" w:bidi="en-US"/>
              </w:rPr>
              <w:t>)</w:t>
            </w:r>
            <w:r w:rsidRPr="008F4DD6">
              <w:rPr>
                <w:rFonts w:ascii="MS Mincho" w:eastAsia="MS Mincho" w:hAnsi="MS Mincho" w:cs="MS Mincho" w:hint="eastAsia"/>
                <w:sz w:val="20"/>
                <w:cs/>
                <w:lang w:eastAsia="en-GB"/>
              </w:rPr>
              <w:t>‎</w:t>
            </w:r>
            <w:r w:rsidRPr="008F4DD6">
              <w:rPr>
                <w:rFonts w:eastAsia="SimSun" w:cs="SimSun"/>
                <w:sz w:val="20"/>
                <w:lang w:eastAsia="en-GB" w:bidi="en-US"/>
              </w:rPr>
              <w:t>;</w:t>
            </w:r>
          </w:p>
        </w:tc>
        <w:tc>
          <w:tcPr>
            <w:tcW w:w="3116" w:type="dxa"/>
            <w:vMerge w:val="restart"/>
            <w:vAlign w:val="center"/>
            <w:hideMark/>
          </w:tcPr>
          <w:p w:rsidR="008B38EF" w:rsidRPr="008F4DD6" w:rsidRDefault="008B38EF" w:rsidP="008F4DD6">
            <w:pPr>
              <w:pStyle w:val="Tabletext"/>
              <w:spacing w:before="0" w:after="0"/>
              <w:rPr>
                <w:rFonts w:eastAsia="SimSun" w:cs="SimSun"/>
                <w:sz w:val="20"/>
                <w:lang w:eastAsia="en-GB" w:bidi="en-US"/>
              </w:rPr>
            </w:pPr>
            <w:r w:rsidRPr="008F4DD6">
              <w:rPr>
                <w:rFonts w:eastAsia="SimSun" w:cs="SimSun"/>
                <w:sz w:val="20"/>
                <w:lang w:eastAsia="en-GB" w:bidi="en-US"/>
              </w:rPr>
              <w:t xml:space="preserve">Comentario de la Auditoría Interna: La recomendación se está aplicando en las nuevas auditorías y en la medida en que los recursos lo </w:t>
            </w:r>
            <w:r w:rsidRPr="008F4DD6">
              <w:rPr>
                <w:rFonts w:ascii="MS Mincho" w:eastAsia="MS Mincho" w:hAnsi="MS Mincho" w:cs="MS Mincho" w:hint="eastAsia"/>
                <w:sz w:val="20"/>
                <w:cs/>
                <w:lang w:eastAsia="en-GB"/>
              </w:rPr>
              <w:t>‎</w:t>
            </w:r>
            <w:r w:rsidRPr="008F4DD6">
              <w:rPr>
                <w:rFonts w:eastAsia="SimSun" w:cs="SimSun"/>
                <w:sz w:val="20"/>
                <w:lang w:eastAsia="en-GB" w:bidi="en-US"/>
              </w:rPr>
              <w:t>permiten.</w:t>
            </w:r>
          </w:p>
        </w:tc>
        <w:tc>
          <w:tcPr>
            <w:tcW w:w="983" w:type="dxa"/>
            <w:noWrap/>
            <w:hideMark/>
          </w:tcPr>
          <w:p w:rsidR="008B38EF" w:rsidRPr="008F4DD6" w:rsidRDefault="008B38EF" w:rsidP="008F4DD6">
            <w:pPr>
              <w:pStyle w:val="Tabletext"/>
              <w:spacing w:before="0" w:after="0"/>
              <w:rPr>
                <w:rFonts w:eastAsia="SimSun" w:cs="SimSun"/>
                <w:sz w:val="20"/>
                <w:lang w:val="en-GB" w:eastAsia="en-GB" w:bidi="en-US"/>
              </w:rPr>
            </w:pPr>
            <w:r w:rsidRPr="008F4DD6">
              <w:rPr>
                <w:rFonts w:eastAsia="SimSun" w:cs="SimSun"/>
                <w:sz w:val="20"/>
                <w:lang w:val="en-GB" w:eastAsia="en-GB" w:bidi="en-US"/>
              </w:rPr>
              <w:t>aplicada</w:t>
            </w:r>
          </w:p>
        </w:tc>
        <w:tc>
          <w:tcPr>
            <w:tcW w:w="3940" w:type="dxa"/>
            <w:hideMark/>
          </w:tcPr>
          <w:p w:rsidR="008B38EF" w:rsidRPr="008F4DD6" w:rsidRDefault="008B38EF" w:rsidP="008F4DD6">
            <w:pPr>
              <w:pStyle w:val="Tabletext"/>
              <w:spacing w:before="0" w:after="0"/>
              <w:rPr>
                <w:rFonts w:eastAsia="SimSun" w:cs="SimSun"/>
                <w:sz w:val="20"/>
                <w:lang w:eastAsia="en-GB" w:bidi="en-US"/>
              </w:rPr>
            </w:pPr>
            <w:r w:rsidRPr="008F4DD6">
              <w:rPr>
                <w:rFonts w:eastAsia="SimSun" w:cs="SimSun"/>
                <w:sz w:val="20"/>
                <w:lang w:eastAsia="en-GB" w:bidi="en-US"/>
              </w:rPr>
              <w:t xml:space="preserve">Para cada auditoría los objetivos se determinan ahora por adelantado sobre la base de la evaluación de </w:t>
            </w:r>
            <w:r w:rsidRPr="008F4DD6">
              <w:rPr>
                <w:rFonts w:ascii="MS Mincho" w:eastAsia="MS Mincho" w:hAnsi="MS Mincho" w:cs="MS Mincho" w:hint="eastAsia"/>
                <w:sz w:val="20"/>
                <w:cs/>
                <w:lang w:eastAsia="en-GB"/>
              </w:rPr>
              <w:t>‎</w:t>
            </w:r>
            <w:r w:rsidRPr="008F4DD6">
              <w:rPr>
                <w:rFonts w:eastAsia="SimSun" w:cs="SimSun"/>
                <w:sz w:val="20"/>
                <w:lang w:eastAsia="en-GB" w:bidi="en-US"/>
              </w:rPr>
              <w:t>riesgos del proceso o elemento auditado.</w:t>
            </w:r>
          </w:p>
        </w:tc>
      </w:tr>
      <w:tr w:rsidR="008B38EF" w:rsidRPr="008B38EF" w:rsidTr="008F4DD6">
        <w:trPr>
          <w:cantSplit/>
        </w:trPr>
        <w:tc>
          <w:tcPr>
            <w:tcW w:w="927" w:type="dxa"/>
            <w:noWrap/>
            <w:hideMark/>
          </w:tcPr>
          <w:p w:rsidR="008B38EF" w:rsidRPr="008F4DD6" w:rsidRDefault="008B38EF" w:rsidP="008F4DD6">
            <w:pPr>
              <w:pStyle w:val="Tabletext"/>
              <w:spacing w:before="0" w:after="0"/>
              <w:rPr>
                <w:rFonts w:eastAsia="SimSun" w:cs="SimSun"/>
                <w:sz w:val="20"/>
                <w:lang w:val="en-GB" w:eastAsia="en-GB" w:bidi="en-US"/>
              </w:rPr>
            </w:pPr>
            <w:r w:rsidRPr="008F4DD6">
              <w:rPr>
                <w:rFonts w:eastAsia="SimSun" w:cs="SimSun"/>
                <w:sz w:val="20"/>
                <w:lang w:val="en-GB" w:eastAsia="en-GB" w:bidi="en-US"/>
              </w:rPr>
              <w:t>2.1 b</w:t>
            </w:r>
          </w:p>
        </w:tc>
        <w:tc>
          <w:tcPr>
            <w:tcW w:w="5022" w:type="dxa"/>
            <w:hideMark/>
          </w:tcPr>
          <w:p w:rsidR="008B38EF" w:rsidRPr="008F4DD6" w:rsidRDefault="008B38EF" w:rsidP="008F4DD6">
            <w:pPr>
              <w:pStyle w:val="Tabletext"/>
              <w:spacing w:before="0" w:after="0"/>
              <w:rPr>
                <w:rFonts w:eastAsia="SimSun" w:cs="SimSun"/>
                <w:sz w:val="20"/>
                <w:lang w:eastAsia="en-GB" w:bidi="en-US"/>
              </w:rPr>
            </w:pPr>
            <w:r w:rsidRPr="008F4DD6">
              <w:rPr>
                <w:rFonts w:eastAsia="SimSun" w:cs="SimSun"/>
                <w:sz w:val="20"/>
                <w:lang w:eastAsia="en-GB" w:bidi="en-US"/>
              </w:rPr>
              <w:t xml:space="preserve">La actividad de Auditoría Interna debería seguir desarrollando herramientas de orientación de </w:t>
            </w:r>
            <w:r w:rsidRPr="008F4DD6">
              <w:rPr>
                <w:rFonts w:ascii="MS Mincho" w:eastAsia="MS Mincho" w:hAnsi="MS Mincho" w:cs="MS Mincho" w:hint="eastAsia"/>
                <w:sz w:val="20"/>
                <w:cs/>
                <w:lang w:eastAsia="en-GB"/>
              </w:rPr>
              <w:t>‎</w:t>
            </w:r>
            <w:r w:rsidRPr="008F4DD6">
              <w:rPr>
                <w:rFonts w:eastAsia="SimSun" w:cs="SimSun"/>
                <w:sz w:val="20"/>
                <w:lang w:eastAsia="en-GB" w:bidi="en-US"/>
              </w:rPr>
              <w:t xml:space="preserve">auditoría sobre planificación y ejecución de auditoría (y considerar su consolidación en una </w:t>
            </w:r>
            <w:r w:rsidRPr="008F4DD6">
              <w:rPr>
                <w:rFonts w:ascii="MS Mincho" w:eastAsia="MS Mincho" w:hAnsi="MS Mincho" w:cs="MS Mincho" w:hint="eastAsia"/>
                <w:sz w:val="20"/>
                <w:cs/>
                <w:lang w:eastAsia="en-GB"/>
              </w:rPr>
              <w:t>‎</w:t>
            </w:r>
            <w:r w:rsidRPr="008F4DD6">
              <w:rPr>
                <w:rFonts w:eastAsia="SimSun" w:cs="SimSun"/>
                <w:sz w:val="20"/>
                <w:lang w:eastAsia="en-GB" w:bidi="en-US"/>
              </w:rPr>
              <w:t xml:space="preserve">herramienta de gestión de conocimientos, como un manual de auditoría) a fin de reforzar la capacidad </w:t>
            </w:r>
            <w:r w:rsidRPr="008F4DD6">
              <w:rPr>
                <w:rFonts w:ascii="MS Mincho" w:eastAsia="MS Mincho" w:hAnsi="MS Mincho" w:cs="MS Mincho" w:hint="eastAsia"/>
                <w:sz w:val="20"/>
                <w:cs/>
                <w:lang w:eastAsia="en-GB"/>
              </w:rPr>
              <w:t>‎</w:t>
            </w:r>
            <w:r w:rsidRPr="008F4DD6">
              <w:rPr>
                <w:rFonts w:eastAsia="SimSun" w:cs="SimSun"/>
                <w:sz w:val="20"/>
                <w:lang w:eastAsia="en-GB" w:bidi="en-US"/>
              </w:rPr>
              <w:t xml:space="preserve">de la actividad de Auditoría Interna para: b) establecer un memorándum de planificación en el que se explique cómo se llevará a cabo la auditoría y </w:t>
            </w:r>
            <w:r w:rsidRPr="008F4DD6">
              <w:rPr>
                <w:rFonts w:ascii="MS Mincho" w:eastAsia="MS Mincho" w:hAnsi="MS Mincho" w:cs="MS Mincho" w:hint="eastAsia"/>
                <w:sz w:val="20"/>
                <w:cs/>
                <w:lang w:eastAsia="en-GB"/>
              </w:rPr>
              <w:t>‎</w:t>
            </w:r>
            <w:r w:rsidRPr="008F4DD6">
              <w:rPr>
                <w:rFonts w:eastAsia="SimSun" w:cs="SimSun"/>
                <w:sz w:val="20"/>
                <w:lang w:eastAsia="en-GB" w:bidi="en-US"/>
              </w:rPr>
              <w:t>los resultados se comunicarán a los auditados, y la cronología de las diversas fases de la auditoría;</w:t>
            </w:r>
          </w:p>
        </w:tc>
        <w:tc>
          <w:tcPr>
            <w:tcW w:w="3116" w:type="dxa"/>
            <w:vMerge/>
            <w:hideMark/>
          </w:tcPr>
          <w:p w:rsidR="008B38EF" w:rsidRPr="008F4DD6" w:rsidRDefault="008B38EF" w:rsidP="008F4DD6">
            <w:pPr>
              <w:pStyle w:val="Tabletext"/>
              <w:spacing w:before="0" w:after="0"/>
              <w:rPr>
                <w:rFonts w:eastAsia="SimSun" w:cs="SimSun"/>
                <w:sz w:val="20"/>
                <w:lang w:eastAsia="en-GB" w:bidi="en-US"/>
              </w:rPr>
            </w:pPr>
          </w:p>
        </w:tc>
        <w:tc>
          <w:tcPr>
            <w:tcW w:w="983" w:type="dxa"/>
            <w:noWrap/>
            <w:hideMark/>
          </w:tcPr>
          <w:p w:rsidR="008B38EF" w:rsidRPr="008F4DD6" w:rsidRDefault="008B38EF" w:rsidP="008F4DD6">
            <w:pPr>
              <w:pStyle w:val="Tabletext"/>
              <w:spacing w:before="0" w:after="0"/>
              <w:rPr>
                <w:rFonts w:eastAsia="SimSun" w:cs="SimSun"/>
                <w:sz w:val="20"/>
                <w:lang w:val="en-GB" w:eastAsia="en-GB" w:bidi="en-US"/>
              </w:rPr>
            </w:pPr>
            <w:r w:rsidRPr="008F4DD6">
              <w:rPr>
                <w:rFonts w:eastAsia="SimSun" w:cs="SimSun"/>
                <w:sz w:val="20"/>
                <w:lang w:val="en-GB" w:eastAsia="en-GB" w:bidi="en-US"/>
              </w:rPr>
              <w:t>aplicada</w:t>
            </w:r>
          </w:p>
        </w:tc>
        <w:tc>
          <w:tcPr>
            <w:tcW w:w="3940" w:type="dxa"/>
            <w:hideMark/>
          </w:tcPr>
          <w:p w:rsidR="008B38EF" w:rsidRPr="008F4DD6" w:rsidRDefault="008B38EF" w:rsidP="008F4DD6">
            <w:pPr>
              <w:pStyle w:val="Tabletext"/>
              <w:spacing w:before="0" w:after="0"/>
              <w:rPr>
                <w:rFonts w:eastAsia="SimSun" w:cs="SimSun"/>
                <w:sz w:val="20"/>
                <w:lang w:eastAsia="en-GB" w:bidi="en-US"/>
              </w:rPr>
            </w:pPr>
            <w:r w:rsidRPr="008F4DD6">
              <w:rPr>
                <w:rFonts w:eastAsia="SimSun" w:cs="SimSun"/>
                <w:sz w:val="20"/>
                <w:lang w:eastAsia="en-GB" w:bidi="en-US"/>
              </w:rPr>
              <w:t xml:space="preserve">La notificación de auditoría que se envía antes del principio de la auditoría contiene elementos tales </w:t>
            </w:r>
            <w:r w:rsidRPr="008F4DD6">
              <w:rPr>
                <w:rFonts w:ascii="MS Mincho" w:eastAsia="MS Mincho" w:hAnsi="MS Mincho" w:cs="MS Mincho" w:hint="eastAsia"/>
                <w:sz w:val="20"/>
                <w:cs/>
                <w:lang w:eastAsia="en-GB"/>
              </w:rPr>
              <w:t>‎</w:t>
            </w:r>
            <w:r w:rsidRPr="008F4DD6">
              <w:rPr>
                <w:rFonts w:eastAsia="SimSun" w:cs="SimSun"/>
                <w:sz w:val="20"/>
                <w:lang w:eastAsia="en-GB" w:bidi="en-US"/>
              </w:rPr>
              <w:t xml:space="preserve">como objetivos, alcance, objeto y cronología. Siempre ha sido así. Comunicaciones administrativas más </w:t>
            </w:r>
            <w:r w:rsidRPr="008F4DD6">
              <w:rPr>
                <w:rFonts w:ascii="MS Mincho" w:eastAsia="MS Mincho" w:hAnsi="MS Mincho" w:cs="MS Mincho" w:hint="eastAsia"/>
                <w:sz w:val="20"/>
                <w:cs/>
                <w:lang w:eastAsia="en-GB"/>
              </w:rPr>
              <w:t>‎</w:t>
            </w:r>
            <w:r w:rsidRPr="008F4DD6">
              <w:rPr>
                <w:rFonts w:eastAsia="SimSun" w:cs="SimSun"/>
                <w:sz w:val="20"/>
                <w:lang w:eastAsia="en-GB" w:bidi="en-US"/>
              </w:rPr>
              <w:t>detalladas con los auditados se organizan según el caso</w:t>
            </w:r>
            <w:r w:rsidR="008F4DD6" w:rsidRPr="008F4DD6">
              <w:rPr>
                <w:rFonts w:eastAsia="SimSun" w:cs="SimSun"/>
                <w:sz w:val="20"/>
                <w:lang w:eastAsia="en-GB" w:bidi="en-US"/>
              </w:rPr>
              <w:t>.</w:t>
            </w:r>
          </w:p>
        </w:tc>
      </w:tr>
      <w:tr w:rsidR="008B38EF" w:rsidRPr="008B38EF" w:rsidTr="008F4DD6">
        <w:trPr>
          <w:trHeight w:val="2715"/>
        </w:trPr>
        <w:tc>
          <w:tcPr>
            <w:tcW w:w="927" w:type="dxa"/>
            <w:noWrap/>
            <w:hideMark/>
          </w:tcPr>
          <w:p w:rsidR="008B38EF" w:rsidRPr="008F4DD6" w:rsidRDefault="008B38EF" w:rsidP="008F4DD6">
            <w:pPr>
              <w:pStyle w:val="Tabletext"/>
              <w:spacing w:before="0" w:after="0"/>
              <w:rPr>
                <w:rFonts w:eastAsia="SimSun" w:cs="SimSun"/>
                <w:sz w:val="20"/>
                <w:lang w:val="en-GB" w:eastAsia="en-GB" w:bidi="en-US"/>
              </w:rPr>
            </w:pPr>
            <w:r w:rsidRPr="008F4DD6">
              <w:rPr>
                <w:rFonts w:eastAsia="SimSun" w:cs="SimSun"/>
                <w:sz w:val="20"/>
                <w:lang w:val="en-GB" w:eastAsia="en-GB" w:bidi="en-US"/>
              </w:rPr>
              <w:t>2.1 c</w:t>
            </w:r>
          </w:p>
        </w:tc>
        <w:tc>
          <w:tcPr>
            <w:tcW w:w="5022" w:type="dxa"/>
            <w:hideMark/>
          </w:tcPr>
          <w:p w:rsidR="008B38EF" w:rsidRPr="008F4DD6" w:rsidRDefault="008B38EF" w:rsidP="008F4DD6">
            <w:pPr>
              <w:pStyle w:val="Tabletext"/>
              <w:spacing w:before="0" w:after="0"/>
              <w:rPr>
                <w:rFonts w:eastAsia="SimSun" w:cs="SimSun"/>
                <w:sz w:val="20"/>
                <w:lang w:eastAsia="en-GB" w:bidi="en-US"/>
              </w:rPr>
            </w:pPr>
            <w:r w:rsidRPr="008F4DD6">
              <w:rPr>
                <w:rFonts w:eastAsia="SimSun" w:cs="SimSun"/>
                <w:sz w:val="20"/>
                <w:lang w:eastAsia="en-GB" w:bidi="en-US"/>
              </w:rPr>
              <w:t xml:space="preserve">La actividad de Auditoría Interna debería seguir desarrollando herramientas de orientación de </w:t>
            </w:r>
            <w:r w:rsidRPr="008F4DD6">
              <w:rPr>
                <w:rFonts w:ascii="MS Mincho" w:eastAsia="MS Mincho" w:hAnsi="MS Mincho" w:cs="MS Mincho" w:hint="eastAsia"/>
                <w:sz w:val="20"/>
                <w:cs/>
                <w:lang w:eastAsia="en-GB"/>
              </w:rPr>
              <w:t>‎</w:t>
            </w:r>
            <w:r w:rsidRPr="008F4DD6">
              <w:rPr>
                <w:rFonts w:eastAsia="SimSun" w:cs="SimSun"/>
                <w:sz w:val="20"/>
                <w:lang w:eastAsia="en-GB" w:bidi="en-US"/>
              </w:rPr>
              <w:t xml:space="preserve">auditoría sobre planificación y ejecución de auditoría (y considerar su consolidación en una </w:t>
            </w:r>
            <w:r w:rsidRPr="008F4DD6">
              <w:rPr>
                <w:rFonts w:ascii="MS Mincho" w:eastAsia="MS Mincho" w:hAnsi="MS Mincho" w:cs="MS Mincho" w:hint="eastAsia"/>
                <w:sz w:val="20"/>
                <w:cs/>
                <w:lang w:eastAsia="en-GB"/>
              </w:rPr>
              <w:t>‎</w:t>
            </w:r>
            <w:r w:rsidRPr="008F4DD6">
              <w:rPr>
                <w:rFonts w:eastAsia="SimSun" w:cs="SimSun"/>
                <w:sz w:val="20"/>
                <w:lang w:eastAsia="en-GB" w:bidi="en-US"/>
              </w:rPr>
              <w:t xml:space="preserve">herramienta de gestión de conocimientos, como un manual de auditoría) a fin de reforzar la capacidad </w:t>
            </w:r>
            <w:r w:rsidRPr="008F4DD6">
              <w:rPr>
                <w:rFonts w:ascii="MS Mincho" w:eastAsia="MS Mincho" w:hAnsi="MS Mincho" w:cs="MS Mincho" w:hint="eastAsia"/>
                <w:sz w:val="20"/>
                <w:cs/>
                <w:lang w:eastAsia="en-GB"/>
              </w:rPr>
              <w:t>‎</w:t>
            </w:r>
            <w:r w:rsidRPr="008F4DD6">
              <w:rPr>
                <w:rFonts w:eastAsia="SimSun" w:cs="SimSun"/>
                <w:sz w:val="20"/>
                <w:lang w:eastAsia="en-GB" w:bidi="en-US"/>
              </w:rPr>
              <w:t xml:space="preserve">de la actividad de Auditoría Interna para: c) elaborar un programa de auditoría en el que se establezca para cada objetivo de auditoría la lista de </w:t>
            </w:r>
            <w:r w:rsidRPr="008F4DD6">
              <w:rPr>
                <w:rFonts w:ascii="MS Mincho" w:eastAsia="MS Mincho" w:hAnsi="MS Mincho" w:cs="MS Mincho" w:hint="eastAsia"/>
                <w:sz w:val="20"/>
                <w:cs/>
                <w:lang w:eastAsia="en-GB"/>
              </w:rPr>
              <w:t>‎</w:t>
            </w:r>
            <w:r w:rsidRPr="008F4DD6">
              <w:rPr>
                <w:rFonts w:eastAsia="SimSun" w:cs="SimSun"/>
                <w:sz w:val="20"/>
                <w:lang w:eastAsia="en-GB" w:bidi="en-US"/>
              </w:rPr>
              <w:t xml:space="preserve">riesgos de que no se alcancen los objetivos de la actividad examinada, criterios de auditoría (para </w:t>
            </w:r>
            <w:r w:rsidRPr="008F4DD6">
              <w:rPr>
                <w:rFonts w:ascii="MS Mincho" w:eastAsia="MS Mincho" w:hAnsi="MS Mincho" w:cs="MS Mincho" w:hint="eastAsia"/>
                <w:sz w:val="20"/>
                <w:cs/>
                <w:lang w:eastAsia="en-GB"/>
              </w:rPr>
              <w:t>‎</w:t>
            </w:r>
            <w:r w:rsidRPr="008F4DD6">
              <w:rPr>
                <w:rFonts w:eastAsia="SimSun" w:cs="SimSun"/>
                <w:sz w:val="20"/>
                <w:lang w:eastAsia="en-GB" w:bidi="en-US"/>
              </w:rPr>
              <w:t>controlar cada riesgo identificado) y procedimientos de auditoría conexos (auditar "bien las cosas")</w:t>
            </w:r>
            <w:r w:rsidRPr="008F4DD6">
              <w:rPr>
                <w:rFonts w:ascii="MS Mincho" w:eastAsia="MS Mincho" w:hAnsi="MS Mincho" w:cs="MS Mincho" w:hint="eastAsia"/>
                <w:sz w:val="20"/>
                <w:cs/>
                <w:lang w:eastAsia="en-GB"/>
              </w:rPr>
              <w:t>‎</w:t>
            </w:r>
            <w:r w:rsidRPr="008F4DD6">
              <w:rPr>
                <w:rFonts w:eastAsia="SimSun" w:cs="SimSun"/>
                <w:sz w:val="20"/>
                <w:lang w:eastAsia="en-GB" w:bidi="en-US"/>
              </w:rPr>
              <w:t>;</w:t>
            </w:r>
          </w:p>
        </w:tc>
        <w:tc>
          <w:tcPr>
            <w:tcW w:w="3116" w:type="dxa"/>
            <w:vMerge/>
            <w:hideMark/>
          </w:tcPr>
          <w:p w:rsidR="008B38EF" w:rsidRPr="008F4DD6" w:rsidRDefault="008B38EF" w:rsidP="008F4DD6">
            <w:pPr>
              <w:pStyle w:val="Tabletext"/>
              <w:spacing w:before="0" w:after="0"/>
              <w:rPr>
                <w:rFonts w:eastAsia="SimSun" w:cs="SimSun"/>
                <w:sz w:val="20"/>
                <w:lang w:eastAsia="en-GB" w:bidi="en-US"/>
              </w:rPr>
            </w:pPr>
          </w:p>
        </w:tc>
        <w:tc>
          <w:tcPr>
            <w:tcW w:w="983" w:type="dxa"/>
            <w:noWrap/>
            <w:hideMark/>
          </w:tcPr>
          <w:p w:rsidR="008B38EF" w:rsidRPr="008F4DD6" w:rsidRDefault="008B38EF" w:rsidP="008F4DD6">
            <w:pPr>
              <w:pStyle w:val="Tabletext"/>
              <w:spacing w:before="0" w:after="0"/>
              <w:rPr>
                <w:rFonts w:eastAsia="SimSun" w:cs="SimSun"/>
                <w:sz w:val="20"/>
                <w:lang w:val="en-GB" w:eastAsia="en-GB" w:bidi="en-US"/>
              </w:rPr>
            </w:pPr>
            <w:r w:rsidRPr="008F4DD6">
              <w:rPr>
                <w:rFonts w:eastAsia="SimSun" w:cs="SimSun"/>
                <w:sz w:val="20"/>
                <w:lang w:val="en-GB" w:eastAsia="en-GB" w:bidi="en-US"/>
              </w:rPr>
              <w:t>aplicada</w:t>
            </w:r>
          </w:p>
        </w:tc>
        <w:tc>
          <w:tcPr>
            <w:tcW w:w="3940" w:type="dxa"/>
            <w:hideMark/>
          </w:tcPr>
          <w:p w:rsidR="008B38EF" w:rsidRPr="008F4DD6" w:rsidRDefault="008B38EF" w:rsidP="008F4DD6">
            <w:pPr>
              <w:pStyle w:val="Tabletext"/>
              <w:spacing w:before="0" w:after="0"/>
              <w:rPr>
                <w:rFonts w:eastAsia="SimSun" w:cs="SimSun"/>
                <w:sz w:val="20"/>
                <w:lang w:eastAsia="en-GB" w:bidi="en-US"/>
              </w:rPr>
            </w:pPr>
            <w:r w:rsidRPr="008F4DD6">
              <w:rPr>
                <w:rFonts w:eastAsia="SimSun" w:cs="SimSun"/>
                <w:sz w:val="20"/>
                <w:lang w:eastAsia="en-GB" w:bidi="en-US"/>
              </w:rPr>
              <w:t xml:space="preserve">Para cada objetivo de auditoría se determina la lista de riesgos que entraña la consecución de los </w:t>
            </w:r>
            <w:r w:rsidRPr="008F4DD6">
              <w:rPr>
                <w:rFonts w:ascii="MS Mincho" w:eastAsia="MS Mincho" w:hAnsi="MS Mincho" w:cs="MS Mincho" w:hint="eastAsia"/>
                <w:sz w:val="20"/>
                <w:cs/>
                <w:lang w:eastAsia="en-GB"/>
              </w:rPr>
              <w:t>‎</w:t>
            </w:r>
            <w:r w:rsidRPr="008F4DD6">
              <w:rPr>
                <w:rFonts w:eastAsia="SimSun" w:cs="SimSun"/>
                <w:sz w:val="20"/>
                <w:lang w:eastAsia="en-GB" w:bidi="en-US"/>
              </w:rPr>
              <w:t xml:space="preserve">objetivos de la actividad examinada, criterios de auditoría (para controlar cada riesgo identificado) y </w:t>
            </w:r>
            <w:r w:rsidRPr="008F4DD6">
              <w:rPr>
                <w:rFonts w:ascii="MS Mincho" w:eastAsia="MS Mincho" w:hAnsi="MS Mincho" w:cs="MS Mincho" w:hint="eastAsia"/>
                <w:sz w:val="20"/>
                <w:cs/>
                <w:lang w:eastAsia="en-GB"/>
              </w:rPr>
              <w:t>‎</w:t>
            </w:r>
            <w:r w:rsidRPr="008F4DD6">
              <w:rPr>
                <w:rFonts w:eastAsia="SimSun" w:cs="SimSun"/>
                <w:sz w:val="20"/>
                <w:lang w:eastAsia="en-GB" w:bidi="en-US"/>
              </w:rPr>
              <w:t xml:space="preserve">procedimientos de auditoría conexos, en la medida en que se puede hacer desde el principio; en </w:t>
            </w:r>
            <w:r w:rsidRPr="008F4DD6">
              <w:rPr>
                <w:rFonts w:ascii="MS Mincho" w:eastAsia="MS Mincho" w:hAnsi="MS Mincho" w:cs="MS Mincho" w:hint="eastAsia"/>
                <w:sz w:val="20"/>
                <w:cs/>
                <w:lang w:eastAsia="en-GB"/>
              </w:rPr>
              <w:t>‎</w:t>
            </w:r>
            <w:r w:rsidRPr="008F4DD6">
              <w:rPr>
                <w:rFonts w:eastAsia="SimSun" w:cs="SimSun"/>
                <w:sz w:val="20"/>
                <w:lang w:eastAsia="en-GB" w:bidi="en-US"/>
              </w:rPr>
              <w:t xml:space="preserve">varias ocasiones la experiencia ha demostrado que esos elementos deben modificarse a medida que </w:t>
            </w:r>
            <w:r w:rsidRPr="008F4DD6">
              <w:rPr>
                <w:rFonts w:ascii="MS Mincho" w:eastAsia="MS Mincho" w:hAnsi="MS Mincho" w:cs="MS Mincho" w:hint="eastAsia"/>
                <w:sz w:val="20"/>
                <w:cs/>
                <w:lang w:eastAsia="en-GB"/>
              </w:rPr>
              <w:t>‎</w:t>
            </w:r>
            <w:r w:rsidRPr="008F4DD6">
              <w:rPr>
                <w:rFonts w:eastAsia="SimSun" w:cs="SimSun"/>
                <w:sz w:val="20"/>
                <w:lang w:eastAsia="en-GB" w:bidi="en-US"/>
              </w:rPr>
              <w:t>avanza la auditoría</w:t>
            </w:r>
            <w:r w:rsidR="008F4DD6" w:rsidRPr="008F4DD6">
              <w:rPr>
                <w:rFonts w:eastAsia="SimSun" w:cs="SimSun"/>
                <w:sz w:val="20"/>
                <w:lang w:eastAsia="en-GB" w:bidi="en-US"/>
              </w:rPr>
              <w:t>.</w:t>
            </w:r>
          </w:p>
        </w:tc>
      </w:tr>
      <w:tr w:rsidR="008B38EF" w:rsidRPr="008B38EF" w:rsidTr="008F4DD6">
        <w:trPr>
          <w:trHeight w:val="2445"/>
        </w:trPr>
        <w:tc>
          <w:tcPr>
            <w:tcW w:w="927" w:type="dxa"/>
            <w:noWrap/>
            <w:hideMark/>
          </w:tcPr>
          <w:p w:rsidR="008B38EF" w:rsidRPr="008F4DD6" w:rsidRDefault="008B38EF" w:rsidP="008F4DD6">
            <w:pPr>
              <w:pStyle w:val="Tabletext"/>
              <w:spacing w:before="0" w:after="0"/>
              <w:rPr>
                <w:rFonts w:eastAsia="SimSun" w:cs="SimSun"/>
                <w:sz w:val="20"/>
                <w:lang w:val="en-GB" w:eastAsia="en-GB" w:bidi="en-US"/>
              </w:rPr>
            </w:pPr>
            <w:r w:rsidRPr="008F4DD6">
              <w:rPr>
                <w:rFonts w:eastAsia="SimSun" w:cs="SimSun"/>
                <w:sz w:val="20"/>
                <w:lang w:val="en-GB" w:eastAsia="en-GB" w:bidi="en-US"/>
              </w:rPr>
              <w:lastRenderedPageBreak/>
              <w:t>2.1 d</w:t>
            </w:r>
          </w:p>
        </w:tc>
        <w:tc>
          <w:tcPr>
            <w:tcW w:w="5022" w:type="dxa"/>
            <w:hideMark/>
          </w:tcPr>
          <w:p w:rsidR="008B38EF" w:rsidRPr="008F4DD6" w:rsidRDefault="008B38EF" w:rsidP="008F4DD6">
            <w:pPr>
              <w:pStyle w:val="Tabletext"/>
              <w:spacing w:before="0" w:after="0"/>
              <w:rPr>
                <w:rFonts w:eastAsia="SimSun" w:cs="SimSun"/>
                <w:sz w:val="20"/>
                <w:lang w:eastAsia="en-GB" w:bidi="en-US"/>
              </w:rPr>
            </w:pPr>
            <w:r w:rsidRPr="008F4DD6">
              <w:rPr>
                <w:rFonts w:eastAsia="SimSun" w:cs="SimSun"/>
                <w:sz w:val="20"/>
                <w:lang w:eastAsia="en-GB" w:bidi="en-US"/>
              </w:rPr>
              <w:t xml:space="preserve">La actividad de Auditoría Interna debería seguir desarrollando herramientas de orientación de </w:t>
            </w:r>
            <w:r w:rsidRPr="008F4DD6">
              <w:rPr>
                <w:rFonts w:ascii="MS Mincho" w:eastAsia="MS Mincho" w:hAnsi="MS Mincho" w:cs="MS Mincho" w:hint="eastAsia"/>
                <w:sz w:val="20"/>
                <w:cs/>
                <w:lang w:eastAsia="en-GB"/>
              </w:rPr>
              <w:t>‎</w:t>
            </w:r>
            <w:r w:rsidRPr="008F4DD6">
              <w:rPr>
                <w:rFonts w:eastAsia="SimSun" w:cs="SimSun"/>
                <w:sz w:val="20"/>
                <w:lang w:eastAsia="en-GB" w:bidi="en-US"/>
              </w:rPr>
              <w:t xml:space="preserve">auditoría sobre planificación y ejecución de auditoría (y considerar su consolidación en una </w:t>
            </w:r>
            <w:r w:rsidRPr="008F4DD6">
              <w:rPr>
                <w:rFonts w:ascii="MS Mincho" w:eastAsia="MS Mincho" w:hAnsi="MS Mincho" w:cs="MS Mincho" w:hint="eastAsia"/>
                <w:sz w:val="20"/>
                <w:cs/>
                <w:lang w:eastAsia="en-GB"/>
              </w:rPr>
              <w:t>‎</w:t>
            </w:r>
            <w:r w:rsidRPr="008F4DD6">
              <w:rPr>
                <w:rFonts w:eastAsia="SimSun" w:cs="SimSun"/>
                <w:sz w:val="20"/>
                <w:lang w:eastAsia="en-GB" w:bidi="en-US"/>
              </w:rPr>
              <w:t xml:space="preserve">herramienta de gestión de conocimientos, como un manual de auditoría) a fin de reforzar la capacidad </w:t>
            </w:r>
            <w:r w:rsidRPr="008F4DD6">
              <w:rPr>
                <w:rFonts w:ascii="MS Mincho" w:eastAsia="MS Mincho" w:hAnsi="MS Mincho" w:cs="MS Mincho" w:hint="eastAsia"/>
                <w:sz w:val="20"/>
                <w:cs/>
                <w:lang w:eastAsia="en-GB"/>
              </w:rPr>
              <w:t>‎</w:t>
            </w:r>
            <w:r w:rsidRPr="008F4DD6">
              <w:rPr>
                <w:rFonts w:eastAsia="SimSun" w:cs="SimSun"/>
                <w:sz w:val="20"/>
                <w:lang w:eastAsia="en-GB" w:bidi="en-US"/>
              </w:rPr>
              <w:t xml:space="preserve">de la actividad de Auditoría Interna para: d) garantizar documentos de trabajo en los que se vinculen claramente para cada observación los </w:t>
            </w:r>
            <w:r w:rsidRPr="008F4DD6">
              <w:rPr>
                <w:rFonts w:ascii="MS Mincho" w:eastAsia="MS Mincho" w:hAnsi="MS Mincho" w:cs="MS Mincho" w:hint="eastAsia"/>
                <w:sz w:val="20"/>
                <w:cs/>
                <w:lang w:eastAsia="en-GB"/>
              </w:rPr>
              <w:t>‎</w:t>
            </w:r>
            <w:r w:rsidRPr="008F4DD6">
              <w:rPr>
                <w:rFonts w:eastAsia="SimSun" w:cs="SimSun"/>
                <w:sz w:val="20"/>
                <w:lang w:eastAsia="en-GB" w:bidi="en-US"/>
              </w:rPr>
              <w:t xml:space="preserve">criterios, las causas y las consecuencias, y las conclusiones correspondientes a cada objetivo de </w:t>
            </w:r>
            <w:r w:rsidRPr="008F4DD6">
              <w:rPr>
                <w:rFonts w:ascii="MS Mincho" w:eastAsia="MS Mincho" w:hAnsi="MS Mincho" w:cs="MS Mincho" w:hint="eastAsia"/>
                <w:sz w:val="20"/>
                <w:cs/>
                <w:lang w:eastAsia="en-GB"/>
              </w:rPr>
              <w:t>‎</w:t>
            </w:r>
            <w:r w:rsidRPr="008F4DD6">
              <w:rPr>
                <w:rFonts w:eastAsia="SimSun" w:cs="SimSun"/>
                <w:sz w:val="20"/>
                <w:lang w:eastAsia="en-GB" w:bidi="en-US"/>
              </w:rPr>
              <w:t>auditoría.</w:t>
            </w:r>
          </w:p>
        </w:tc>
        <w:tc>
          <w:tcPr>
            <w:tcW w:w="3116" w:type="dxa"/>
            <w:vMerge/>
            <w:hideMark/>
          </w:tcPr>
          <w:p w:rsidR="008B38EF" w:rsidRPr="008F4DD6" w:rsidRDefault="008B38EF" w:rsidP="008F4DD6">
            <w:pPr>
              <w:pStyle w:val="Tabletext"/>
              <w:spacing w:before="0" w:after="0"/>
              <w:rPr>
                <w:rFonts w:eastAsia="SimSun" w:cs="SimSun"/>
                <w:sz w:val="20"/>
                <w:lang w:eastAsia="en-GB" w:bidi="en-US"/>
              </w:rPr>
            </w:pPr>
          </w:p>
        </w:tc>
        <w:tc>
          <w:tcPr>
            <w:tcW w:w="983" w:type="dxa"/>
            <w:noWrap/>
            <w:hideMark/>
          </w:tcPr>
          <w:p w:rsidR="008B38EF" w:rsidRPr="008F4DD6" w:rsidRDefault="008B38EF" w:rsidP="008F4DD6">
            <w:pPr>
              <w:pStyle w:val="Tabletext"/>
              <w:spacing w:before="0" w:after="0"/>
              <w:rPr>
                <w:rFonts w:eastAsia="SimSun" w:cs="SimSun"/>
                <w:sz w:val="20"/>
                <w:lang w:val="en-GB" w:eastAsia="en-GB" w:bidi="en-US"/>
              </w:rPr>
            </w:pPr>
            <w:r w:rsidRPr="008F4DD6">
              <w:rPr>
                <w:rFonts w:eastAsia="SimSun" w:cs="SimSun"/>
                <w:sz w:val="20"/>
                <w:lang w:val="en-GB" w:eastAsia="en-GB" w:bidi="en-US"/>
              </w:rPr>
              <w:t>aplicada</w:t>
            </w:r>
          </w:p>
        </w:tc>
        <w:tc>
          <w:tcPr>
            <w:tcW w:w="3940" w:type="dxa"/>
            <w:hideMark/>
          </w:tcPr>
          <w:p w:rsidR="008B38EF" w:rsidRPr="008F4DD6" w:rsidRDefault="008B38EF" w:rsidP="008F4DD6">
            <w:pPr>
              <w:pStyle w:val="Tabletext"/>
              <w:spacing w:before="0" w:after="0"/>
              <w:rPr>
                <w:rFonts w:eastAsia="SimSun" w:cs="SimSun"/>
                <w:sz w:val="20"/>
                <w:lang w:eastAsia="en-GB" w:bidi="en-US"/>
              </w:rPr>
            </w:pPr>
            <w:r w:rsidRPr="008F4DD6">
              <w:rPr>
                <w:rFonts w:eastAsia="SimSun" w:cs="SimSun"/>
                <w:sz w:val="20"/>
                <w:lang w:eastAsia="en-GB" w:bidi="en-US"/>
              </w:rPr>
              <w:t xml:space="preserve">Esto se desarrolla a medida que avanzan las auditorías. El proceso contradictorio de confirmación de la </w:t>
            </w:r>
            <w:r w:rsidRPr="008F4DD6">
              <w:rPr>
                <w:rFonts w:ascii="MS Mincho" w:eastAsia="MS Mincho" w:hAnsi="MS Mincho" w:cs="MS Mincho" w:hint="eastAsia"/>
                <w:sz w:val="20"/>
                <w:cs/>
                <w:lang w:eastAsia="en-GB"/>
              </w:rPr>
              <w:t>‎</w:t>
            </w:r>
            <w:r w:rsidRPr="008F4DD6">
              <w:rPr>
                <w:rFonts w:eastAsia="SimSun" w:cs="SimSun"/>
                <w:sz w:val="20"/>
                <w:lang w:eastAsia="en-GB" w:bidi="en-US"/>
              </w:rPr>
              <w:t xml:space="preserve">corrección factual por los auditados y la obtención de comentarios de la Dirección son dos etapas </w:t>
            </w:r>
            <w:r w:rsidRPr="008F4DD6">
              <w:rPr>
                <w:rFonts w:ascii="MS Mincho" w:eastAsia="MS Mincho" w:hAnsi="MS Mincho" w:cs="MS Mincho" w:hint="eastAsia"/>
                <w:sz w:val="20"/>
                <w:cs/>
                <w:lang w:eastAsia="en-GB"/>
              </w:rPr>
              <w:t>‎</w:t>
            </w:r>
            <w:r w:rsidRPr="008F4DD6">
              <w:rPr>
                <w:rFonts w:eastAsia="SimSun" w:cs="SimSun"/>
                <w:sz w:val="20"/>
                <w:lang w:eastAsia="en-GB" w:bidi="en-US"/>
              </w:rPr>
              <w:t>esenciales del proceso de auditoría que se aplican sistemáticamente</w:t>
            </w:r>
            <w:r w:rsidR="008F4DD6" w:rsidRPr="008F4DD6">
              <w:rPr>
                <w:rFonts w:eastAsia="SimSun" w:cs="SimSun"/>
                <w:sz w:val="20"/>
                <w:lang w:eastAsia="en-GB" w:bidi="en-US"/>
              </w:rPr>
              <w:t>.</w:t>
            </w:r>
          </w:p>
        </w:tc>
      </w:tr>
      <w:tr w:rsidR="008B38EF" w:rsidRPr="008B38EF" w:rsidTr="008F4DD6">
        <w:trPr>
          <w:trHeight w:val="2115"/>
        </w:trPr>
        <w:tc>
          <w:tcPr>
            <w:tcW w:w="927" w:type="dxa"/>
            <w:noWrap/>
            <w:hideMark/>
          </w:tcPr>
          <w:p w:rsidR="008B38EF" w:rsidRPr="008F4DD6" w:rsidRDefault="008B38EF" w:rsidP="008F4DD6">
            <w:pPr>
              <w:pStyle w:val="Tabletext"/>
              <w:spacing w:before="0" w:after="0"/>
              <w:rPr>
                <w:rFonts w:eastAsia="SimSun" w:cs="SimSun"/>
                <w:sz w:val="20"/>
                <w:lang w:val="en-GB" w:eastAsia="en-GB" w:bidi="en-US"/>
              </w:rPr>
            </w:pPr>
            <w:r w:rsidRPr="008F4DD6">
              <w:rPr>
                <w:rFonts w:eastAsia="SimSun" w:cs="SimSun"/>
                <w:sz w:val="20"/>
                <w:lang w:val="en-GB" w:eastAsia="en-GB" w:bidi="en-US"/>
              </w:rPr>
              <w:t>3.1</w:t>
            </w:r>
          </w:p>
        </w:tc>
        <w:tc>
          <w:tcPr>
            <w:tcW w:w="5022" w:type="dxa"/>
            <w:hideMark/>
          </w:tcPr>
          <w:p w:rsidR="008B38EF" w:rsidRPr="008F4DD6" w:rsidRDefault="008B38EF" w:rsidP="008F4DD6">
            <w:pPr>
              <w:pStyle w:val="Tabletext"/>
              <w:spacing w:before="0" w:after="0"/>
              <w:rPr>
                <w:rFonts w:eastAsia="SimSun" w:cs="SimSun"/>
                <w:sz w:val="20"/>
                <w:lang w:eastAsia="en-GB" w:bidi="en-US"/>
              </w:rPr>
            </w:pPr>
            <w:r w:rsidRPr="008F4DD6">
              <w:rPr>
                <w:rFonts w:eastAsia="SimSun" w:cs="SimSun"/>
                <w:sz w:val="20"/>
                <w:lang w:eastAsia="en-GB" w:bidi="en-US"/>
              </w:rPr>
              <w:t xml:space="preserve">La actividad de Auditoría Interna debería enmendar las definiciones de la opinión de auditoría </w:t>
            </w:r>
            <w:r w:rsidRPr="008F4DD6">
              <w:rPr>
                <w:rFonts w:ascii="MS Mincho" w:eastAsia="MS Mincho" w:hAnsi="MS Mincho" w:cs="MS Mincho" w:hint="eastAsia"/>
                <w:sz w:val="20"/>
                <w:cs/>
                <w:lang w:eastAsia="en-GB"/>
              </w:rPr>
              <w:t>‎</w:t>
            </w:r>
            <w:r w:rsidRPr="008F4DD6">
              <w:rPr>
                <w:rFonts w:eastAsia="SimSun" w:cs="SimSun"/>
                <w:sz w:val="20"/>
                <w:lang w:eastAsia="en-GB" w:bidi="en-US"/>
              </w:rPr>
              <w:t xml:space="preserve">normalizada para incorporar una conclusión no sólo sobre la eficiencia de los controles sino también </w:t>
            </w:r>
            <w:r w:rsidRPr="008F4DD6">
              <w:rPr>
                <w:rFonts w:ascii="MS Mincho" w:eastAsia="MS Mincho" w:hAnsi="MS Mincho" w:cs="MS Mincho" w:hint="eastAsia"/>
                <w:sz w:val="20"/>
                <w:cs/>
                <w:lang w:eastAsia="en-GB"/>
              </w:rPr>
              <w:t>‎</w:t>
            </w:r>
            <w:r w:rsidRPr="008F4DD6">
              <w:rPr>
                <w:rFonts w:eastAsia="SimSun" w:cs="SimSun"/>
                <w:sz w:val="20"/>
                <w:lang w:eastAsia="en-GB" w:bidi="en-US"/>
              </w:rPr>
              <w:t xml:space="preserve">sobre la gobernanza y las prácticas de gestión de riesgos a fin de ofrecer garantía sobre todos los </w:t>
            </w:r>
            <w:r w:rsidRPr="008F4DD6">
              <w:rPr>
                <w:rFonts w:ascii="MS Mincho" w:eastAsia="MS Mincho" w:hAnsi="MS Mincho" w:cs="MS Mincho" w:hint="eastAsia"/>
                <w:sz w:val="20"/>
                <w:cs/>
                <w:lang w:eastAsia="en-GB"/>
              </w:rPr>
              <w:t>‎</w:t>
            </w:r>
            <w:r w:rsidRPr="008F4DD6">
              <w:rPr>
                <w:rFonts w:eastAsia="SimSun" w:cs="SimSun"/>
                <w:sz w:val="20"/>
                <w:lang w:eastAsia="en-GB" w:bidi="en-US"/>
              </w:rPr>
              <w:t>aspectos del mandato de Auditoría Interna a la alta dirección de la UIT.</w:t>
            </w:r>
          </w:p>
        </w:tc>
        <w:tc>
          <w:tcPr>
            <w:tcW w:w="3116" w:type="dxa"/>
            <w:vMerge w:val="restart"/>
            <w:vAlign w:val="center"/>
            <w:hideMark/>
          </w:tcPr>
          <w:p w:rsidR="008B38EF" w:rsidRPr="008F4DD6" w:rsidRDefault="008B38EF" w:rsidP="008F4DD6">
            <w:pPr>
              <w:pStyle w:val="Tabletext"/>
              <w:spacing w:before="0" w:after="0"/>
              <w:rPr>
                <w:rFonts w:eastAsia="SimSun" w:cs="SimSun"/>
                <w:sz w:val="20"/>
                <w:lang w:eastAsia="en-GB" w:bidi="en-US"/>
              </w:rPr>
            </w:pPr>
            <w:r w:rsidRPr="008F4DD6">
              <w:rPr>
                <w:rFonts w:eastAsia="SimSun" w:cs="SimSun"/>
                <w:sz w:val="20"/>
                <w:lang w:eastAsia="en-GB" w:bidi="en-US"/>
              </w:rPr>
              <w:t xml:space="preserve">Comentario del SG: Dependiendo del objetivo del mandato de auditoría, se aplicará el primer punto. En cuanto a los </w:t>
            </w:r>
            <w:r w:rsidRPr="008F4DD6">
              <w:rPr>
                <w:rFonts w:ascii="MS Mincho" w:eastAsia="MS Mincho" w:hAnsi="MS Mincho" w:cs="MS Mincho" w:hint="eastAsia"/>
                <w:sz w:val="20"/>
                <w:cs/>
                <w:lang w:eastAsia="en-GB"/>
              </w:rPr>
              <w:t>‎</w:t>
            </w:r>
            <w:r w:rsidRPr="008F4DD6">
              <w:rPr>
                <w:rFonts w:eastAsia="SimSun" w:cs="SimSun"/>
                <w:sz w:val="20"/>
                <w:lang w:eastAsia="en-GB" w:bidi="en-US"/>
              </w:rPr>
              <w:t>demás puntos de la recomendación, se considerarán durante 2015 y para el informe anual en 2016</w:t>
            </w:r>
            <w:r w:rsidRPr="008F4DD6">
              <w:rPr>
                <w:rFonts w:ascii="MS Mincho" w:eastAsia="MS Mincho" w:hAnsi="MS Mincho" w:cs="MS Mincho" w:hint="eastAsia"/>
                <w:sz w:val="20"/>
                <w:cs/>
                <w:lang w:eastAsia="en-GB"/>
              </w:rPr>
              <w:t>‎</w:t>
            </w:r>
            <w:r w:rsidRPr="008F4DD6">
              <w:rPr>
                <w:rFonts w:eastAsia="SimSun" w:cs="SimSun"/>
                <w:sz w:val="20"/>
                <w:lang w:eastAsia="en-GB" w:bidi="en-US"/>
              </w:rPr>
              <w:t>. </w:t>
            </w:r>
          </w:p>
        </w:tc>
        <w:tc>
          <w:tcPr>
            <w:tcW w:w="983" w:type="dxa"/>
            <w:noWrap/>
            <w:hideMark/>
          </w:tcPr>
          <w:p w:rsidR="008B38EF" w:rsidRPr="008F4DD6" w:rsidRDefault="008B38EF" w:rsidP="008F4DD6">
            <w:pPr>
              <w:pStyle w:val="Tabletext"/>
              <w:spacing w:before="0" w:after="0"/>
              <w:rPr>
                <w:rFonts w:eastAsia="SimSun" w:cs="SimSun"/>
                <w:sz w:val="20"/>
                <w:lang w:val="en-GB" w:eastAsia="en-GB" w:bidi="en-US"/>
              </w:rPr>
            </w:pPr>
            <w:r w:rsidRPr="008F4DD6">
              <w:rPr>
                <w:rFonts w:eastAsia="SimSun" w:cs="SimSun"/>
                <w:sz w:val="20"/>
                <w:lang w:val="en-GB" w:eastAsia="en-GB" w:bidi="en-US"/>
              </w:rPr>
              <w:t>aplicada</w:t>
            </w:r>
          </w:p>
        </w:tc>
        <w:tc>
          <w:tcPr>
            <w:tcW w:w="3940" w:type="dxa"/>
            <w:hideMark/>
          </w:tcPr>
          <w:p w:rsidR="008B38EF" w:rsidRPr="008F4DD6" w:rsidRDefault="008B38EF" w:rsidP="008F4DD6">
            <w:pPr>
              <w:pStyle w:val="Tabletext"/>
              <w:spacing w:before="0" w:after="0"/>
              <w:rPr>
                <w:rFonts w:eastAsia="SimSun" w:cs="SimSun"/>
                <w:sz w:val="20"/>
                <w:lang w:eastAsia="en-GB" w:bidi="en-US"/>
              </w:rPr>
            </w:pPr>
            <w:r w:rsidRPr="008F4DD6">
              <w:rPr>
                <w:rFonts w:eastAsia="SimSun" w:cs="SimSun"/>
                <w:sz w:val="20"/>
                <w:lang w:eastAsia="en-GB" w:bidi="en-US"/>
              </w:rPr>
              <w:t xml:space="preserve">La mayoría de los informes de </w:t>
            </w:r>
            <w:r w:rsidR="00507B23" w:rsidRPr="008F4DD6">
              <w:rPr>
                <w:rFonts w:eastAsia="SimSun" w:cs="SimSun"/>
                <w:sz w:val="20"/>
                <w:lang w:eastAsia="en-GB" w:bidi="en-US"/>
              </w:rPr>
              <w:t>Auditoría Interna</w:t>
            </w:r>
            <w:r w:rsidRPr="008F4DD6">
              <w:rPr>
                <w:rFonts w:eastAsia="SimSun" w:cs="SimSun"/>
                <w:sz w:val="20"/>
                <w:lang w:eastAsia="en-GB" w:bidi="en-US"/>
              </w:rPr>
              <w:t xml:space="preserve"> expedidos en 2015 se refieren ahora, en la opinión de </w:t>
            </w:r>
            <w:r w:rsidRPr="008F4DD6">
              <w:rPr>
                <w:rFonts w:ascii="MS Mincho" w:eastAsia="MS Mincho" w:hAnsi="MS Mincho" w:cs="MS Mincho" w:hint="eastAsia"/>
                <w:sz w:val="20"/>
                <w:cs/>
                <w:lang w:eastAsia="en-GB"/>
              </w:rPr>
              <w:t>‎</w:t>
            </w:r>
            <w:r w:rsidRPr="008F4DD6">
              <w:rPr>
                <w:rFonts w:eastAsia="SimSun" w:cs="SimSun"/>
                <w:sz w:val="20"/>
                <w:lang w:eastAsia="en-GB" w:bidi="en-US"/>
              </w:rPr>
              <w:t xml:space="preserve">auditoría global, a la garantía con respecto a la gobernanza, la gestión de riesgos y la efectividad de los </w:t>
            </w:r>
            <w:r w:rsidRPr="008F4DD6">
              <w:rPr>
                <w:rFonts w:ascii="MS Mincho" w:eastAsia="MS Mincho" w:hAnsi="MS Mincho" w:cs="MS Mincho" w:hint="eastAsia"/>
                <w:sz w:val="20"/>
                <w:cs/>
                <w:lang w:eastAsia="en-GB"/>
              </w:rPr>
              <w:t>‎</w:t>
            </w:r>
            <w:r w:rsidRPr="008F4DD6">
              <w:rPr>
                <w:rFonts w:eastAsia="SimSun" w:cs="SimSun"/>
                <w:sz w:val="20"/>
                <w:lang w:eastAsia="en-GB" w:bidi="en-US"/>
              </w:rPr>
              <w:t xml:space="preserve">controles internos. En contados casos en los que la auditoría tenía un objetivo muy específico, eso no </w:t>
            </w:r>
            <w:r w:rsidRPr="008F4DD6">
              <w:rPr>
                <w:rFonts w:ascii="MS Mincho" w:eastAsia="MS Mincho" w:hAnsi="MS Mincho" w:cs="MS Mincho" w:hint="eastAsia"/>
                <w:sz w:val="20"/>
                <w:cs/>
                <w:lang w:eastAsia="en-GB"/>
              </w:rPr>
              <w:t>‎</w:t>
            </w:r>
            <w:r w:rsidRPr="008F4DD6">
              <w:rPr>
                <w:rFonts w:eastAsia="SimSun" w:cs="SimSun"/>
                <w:sz w:val="20"/>
                <w:lang w:eastAsia="en-GB" w:bidi="en-US"/>
              </w:rPr>
              <w:t>sería aplicable ni posible</w:t>
            </w:r>
            <w:r w:rsidR="008F4DD6" w:rsidRPr="008F4DD6">
              <w:rPr>
                <w:rFonts w:eastAsia="SimSun" w:cs="SimSun"/>
                <w:sz w:val="20"/>
                <w:lang w:eastAsia="en-GB" w:bidi="en-US"/>
              </w:rPr>
              <w:t>.</w:t>
            </w:r>
          </w:p>
        </w:tc>
      </w:tr>
      <w:tr w:rsidR="008B38EF" w:rsidRPr="008B38EF" w:rsidTr="008F4DD6">
        <w:trPr>
          <w:trHeight w:val="1335"/>
        </w:trPr>
        <w:tc>
          <w:tcPr>
            <w:tcW w:w="927" w:type="dxa"/>
            <w:noWrap/>
            <w:hideMark/>
          </w:tcPr>
          <w:p w:rsidR="008B38EF" w:rsidRPr="008F4DD6" w:rsidRDefault="008B38EF" w:rsidP="008F4DD6">
            <w:pPr>
              <w:pStyle w:val="Tabletext"/>
              <w:spacing w:before="0" w:after="0"/>
              <w:rPr>
                <w:rFonts w:eastAsia="SimSun" w:cs="SimSun"/>
                <w:sz w:val="20"/>
                <w:lang w:val="en-GB" w:eastAsia="en-GB" w:bidi="en-US"/>
              </w:rPr>
            </w:pPr>
            <w:r w:rsidRPr="008F4DD6">
              <w:rPr>
                <w:rFonts w:eastAsia="SimSun" w:cs="SimSun"/>
                <w:sz w:val="20"/>
                <w:lang w:val="en-GB" w:eastAsia="en-GB" w:bidi="en-US"/>
              </w:rPr>
              <w:t>3.2</w:t>
            </w:r>
          </w:p>
        </w:tc>
        <w:tc>
          <w:tcPr>
            <w:tcW w:w="5022" w:type="dxa"/>
            <w:hideMark/>
          </w:tcPr>
          <w:p w:rsidR="008B38EF" w:rsidRPr="008F4DD6" w:rsidRDefault="008B38EF" w:rsidP="008F4DD6">
            <w:pPr>
              <w:pStyle w:val="Tabletext"/>
              <w:spacing w:before="0" w:after="0"/>
              <w:rPr>
                <w:rFonts w:eastAsia="SimSun" w:cs="SimSun"/>
                <w:sz w:val="20"/>
                <w:lang w:eastAsia="en-GB" w:bidi="en-US"/>
              </w:rPr>
            </w:pPr>
            <w:r w:rsidRPr="008F4DD6">
              <w:rPr>
                <w:rFonts w:eastAsia="SimSun" w:cs="SimSun"/>
                <w:sz w:val="20"/>
                <w:lang w:eastAsia="en-GB" w:bidi="en-US"/>
              </w:rPr>
              <w:t xml:space="preserve">La actividad de Auditoría Interna debería consolidar el contenido del informe incorporando referencias </w:t>
            </w:r>
            <w:r w:rsidRPr="008F4DD6">
              <w:rPr>
                <w:rFonts w:ascii="MS Mincho" w:eastAsia="MS Mincho" w:hAnsi="MS Mincho" w:cs="MS Mincho" w:hint="eastAsia"/>
                <w:sz w:val="20"/>
                <w:cs/>
                <w:lang w:eastAsia="en-GB"/>
              </w:rPr>
              <w:t>‎</w:t>
            </w:r>
            <w:r w:rsidRPr="008F4DD6">
              <w:rPr>
                <w:rFonts w:eastAsia="SimSun" w:cs="SimSun"/>
                <w:sz w:val="20"/>
                <w:lang w:eastAsia="en-GB" w:bidi="en-US"/>
              </w:rPr>
              <w:t xml:space="preserve">explícitas a las causas y las consecuencias de las observaciones de auditoría y garantizando que las </w:t>
            </w:r>
            <w:r w:rsidRPr="008F4DD6">
              <w:rPr>
                <w:rFonts w:ascii="MS Mincho" w:eastAsia="MS Mincho" w:hAnsi="MS Mincho" w:cs="MS Mincho" w:hint="eastAsia"/>
                <w:sz w:val="20"/>
                <w:cs/>
                <w:lang w:eastAsia="en-GB"/>
              </w:rPr>
              <w:t>‎</w:t>
            </w:r>
            <w:r w:rsidRPr="008F4DD6">
              <w:rPr>
                <w:rFonts w:eastAsia="SimSun" w:cs="SimSun"/>
                <w:sz w:val="20"/>
                <w:lang w:eastAsia="en-GB" w:bidi="en-US"/>
              </w:rPr>
              <w:t>recomendaciones tratan de las causas fundamentales de los problemas.</w:t>
            </w:r>
          </w:p>
        </w:tc>
        <w:tc>
          <w:tcPr>
            <w:tcW w:w="3116" w:type="dxa"/>
            <w:vMerge/>
            <w:hideMark/>
          </w:tcPr>
          <w:p w:rsidR="008B38EF" w:rsidRPr="008F4DD6" w:rsidRDefault="008B38EF" w:rsidP="008F4DD6">
            <w:pPr>
              <w:pStyle w:val="Tabletext"/>
              <w:spacing w:before="0" w:after="0"/>
              <w:rPr>
                <w:rFonts w:eastAsia="SimSun" w:cs="SimSun"/>
                <w:sz w:val="20"/>
                <w:lang w:eastAsia="en-GB" w:bidi="en-US"/>
              </w:rPr>
            </w:pPr>
          </w:p>
        </w:tc>
        <w:tc>
          <w:tcPr>
            <w:tcW w:w="983" w:type="dxa"/>
            <w:noWrap/>
            <w:hideMark/>
          </w:tcPr>
          <w:p w:rsidR="008B38EF" w:rsidRPr="008F4DD6" w:rsidRDefault="008B38EF" w:rsidP="008F4DD6">
            <w:pPr>
              <w:pStyle w:val="Tabletext"/>
              <w:spacing w:before="0" w:after="0"/>
              <w:rPr>
                <w:rFonts w:eastAsia="SimSun" w:cs="SimSun"/>
                <w:sz w:val="20"/>
                <w:lang w:val="en-GB" w:eastAsia="en-GB" w:bidi="en-US"/>
              </w:rPr>
            </w:pPr>
            <w:r w:rsidRPr="008F4DD6">
              <w:rPr>
                <w:rFonts w:eastAsia="SimSun" w:cs="SimSun"/>
                <w:sz w:val="20"/>
                <w:lang w:val="en-GB" w:eastAsia="en-GB" w:bidi="en-US"/>
              </w:rPr>
              <w:t>aplicada</w:t>
            </w:r>
          </w:p>
        </w:tc>
        <w:tc>
          <w:tcPr>
            <w:tcW w:w="3940" w:type="dxa"/>
            <w:hideMark/>
          </w:tcPr>
          <w:p w:rsidR="008B38EF" w:rsidRPr="008F4DD6" w:rsidRDefault="008B38EF" w:rsidP="008F4DD6">
            <w:pPr>
              <w:pStyle w:val="Tabletext"/>
              <w:spacing w:before="0" w:after="0"/>
              <w:rPr>
                <w:rFonts w:eastAsia="SimSun" w:cs="SimSun"/>
                <w:sz w:val="20"/>
                <w:lang w:eastAsia="en-GB" w:bidi="en-US"/>
              </w:rPr>
            </w:pPr>
            <w:r w:rsidRPr="008F4DD6">
              <w:rPr>
                <w:rFonts w:eastAsia="SimSun" w:cs="SimSun"/>
                <w:sz w:val="20"/>
                <w:lang w:eastAsia="en-GB" w:bidi="en-US"/>
              </w:rPr>
              <w:t xml:space="preserve">Cada informe de auditoría contiene en el centro del informe una referencia explícita al objetivo de </w:t>
            </w:r>
            <w:r w:rsidRPr="008F4DD6">
              <w:rPr>
                <w:rFonts w:ascii="MS Mincho" w:eastAsia="MS Mincho" w:hAnsi="MS Mincho" w:cs="MS Mincho" w:hint="eastAsia"/>
                <w:sz w:val="20"/>
                <w:cs/>
                <w:lang w:eastAsia="en-GB"/>
              </w:rPr>
              <w:t>‎</w:t>
            </w:r>
            <w:r w:rsidRPr="008F4DD6">
              <w:rPr>
                <w:rFonts w:eastAsia="SimSun" w:cs="SimSun"/>
                <w:sz w:val="20"/>
                <w:lang w:eastAsia="en-GB" w:bidi="en-US"/>
              </w:rPr>
              <w:t>auditoría (con referencia a COSO2013) y recomendaciones adaptadas para tratar la causa fundamental</w:t>
            </w:r>
            <w:r w:rsidR="008F4DD6" w:rsidRPr="008F4DD6">
              <w:rPr>
                <w:rFonts w:eastAsia="SimSun" w:cs="SimSun"/>
                <w:sz w:val="20"/>
                <w:lang w:eastAsia="en-GB" w:bidi="en-US"/>
              </w:rPr>
              <w:t>.</w:t>
            </w:r>
          </w:p>
        </w:tc>
      </w:tr>
      <w:tr w:rsidR="008B38EF" w:rsidRPr="008B38EF" w:rsidTr="008F4DD6">
        <w:trPr>
          <w:trHeight w:val="1635"/>
        </w:trPr>
        <w:tc>
          <w:tcPr>
            <w:tcW w:w="927" w:type="dxa"/>
            <w:noWrap/>
            <w:hideMark/>
          </w:tcPr>
          <w:p w:rsidR="008B38EF" w:rsidRPr="008F4DD6" w:rsidRDefault="008B38EF" w:rsidP="008F4DD6">
            <w:pPr>
              <w:pStyle w:val="Tabletext"/>
              <w:spacing w:before="0" w:after="0"/>
              <w:rPr>
                <w:rFonts w:eastAsia="SimSun" w:cs="SimSun"/>
                <w:sz w:val="20"/>
                <w:lang w:val="en-GB" w:eastAsia="en-GB" w:bidi="en-US"/>
              </w:rPr>
            </w:pPr>
            <w:r w:rsidRPr="008F4DD6">
              <w:rPr>
                <w:rFonts w:eastAsia="SimSun" w:cs="SimSun"/>
                <w:sz w:val="20"/>
                <w:lang w:val="en-GB" w:eastAsia="en-GB" w:bidi="en-US"/>
              </w:rPr>
              <w:t>3.3</w:t>
            </w:r>
          </w:p>
        </w:tc>
        <w:tc>
          <w:tcPr>
            <w:tcW w:w="5022" w:type="dxa"/>
            <w:hideMark/>
          </w:tcPr>
          <w:p w:rsidR="008B38EF" w:rsidRPr="008F4DD6" w:rsidRDefault="008B38EF" w:rsidP="008F4DD6">
            <w:pPr>
              <w:pStyle w:val="Tabletext"/>
              <w:spacing w:before="0" w:after="0"/>
              <w:rPr>
                <w:rFonts w:eastAsia="SimSun" w:cs="SimSun"/>
                <w:sz w:val="20"/>
                <w:lang w:eastAsia="en-GB" w:bidi="en-US"/>
              </w:rPr>
            </w:pPr>
            <w:r w:rsidRPr="008F4DD6">
              <w:rPr>
                <w:rFonts w:eastAsia="SimSun" w:cs="SimSun"/>
                <w:sz w:val="20"/>
                <w:lang w:eastAsia="en-GB" w:bidi="en-US"/>
              </w:rPr>
              <w:t xml:space="preserve">La actividad de Auditoría Interna debería incorporar en su informe anual al Consejo las causas </w:t>
            </w:r>
            <w:r w:rsidRPr="008F4DD6">
              <w:rPr>
                <w:rFonts w:ascii="MS Mincho" w:eastAsia="MS Mincho" w:hAnsi="MS Mincho" w:cs="MS Mincho" w:hint="eastAsia"/>
                <w:sz w:val="20"/>
                <w:cs/>
                <w:lang w:eastAsia="en-GB"/>
              </w:rPr>
              <w:t>‎</w:t>
            </w:r>
            <w:r w:rsidRPr="008F4DD6">
              <w:rPr>
                <w:rFonts w:eastAsia="SimSun" w:cs="SimSun"/>
                <w:sz w:val="20"/>
                <w:lang w:eastAsia="en-GB" w:bidi="en-US"/>
              </w:rPr>
              <w:t xml:space="preserve">recurrentes de las conclusiones identificadas en auditorías realizadas durante ese año y las medidas </w:t>
            </w:r>
            <w:r w:rsidRPr="008F4DD6">
              <w:rPr>
                <w:rFonts w:ascii="MS Mincho" w:eastAsia="MS Mincho" w:hAnsi="MS Mincho" w:cs="MS Mincho" w:hint="eastAsia"/>
                <w:sz w:val="20"/>
                <w:cs/>
                <w:lang w:eastAsia="en-GB"/>
              </w:rPr>
              <w:t>‎</w:t>
            </w:r>
            <w:r w:rsidRPr="008F4DD6">
              <w:rPr>
                <w:rFonts w:eastAsia="SimSun" w:cs="SimSun"/>
                <w:sz w:val="20"/>
                <w:lang w:eastAsia="en-GB" w:bidi="en-US"/>
              </w:rPr>
              <w:t>adoptadas por la UIT para resolverlas (práctica satisfactoria)</w:t>
            </w:r>
            <w:r w:rsidRPr="008F4DD6">
              <w:rPr>
                <w:rFonts w:ascii="MS Mincho" w:eastAsia="MS Mincho" w:hAnsi="MS Mincho" w:cs="MS Mincho" w:hint="eastAsia"/>
                <w:sz w:val="20"/>
                <w:cs/>
                <w:lang w:eastAsia="en-GB"/>
              </w:rPr>
              <w:t>‎</w:t>
            </w:r>
            <w:r w:rsidRPr="008F4DD6">
              <w:rPr>
                <w:rFonts w:eastAsia="SimSun" w:cs="SimSun"/>
                <w:sz w:val="20"/>
                <w:lang w:eastAsia="en-GB" w:bidi="en-US"/>
              </w:rPr>
              <w:t>.</w:t>
            </w:r>
          </w:p>
        </w:tc>
        <w:tc>
          <w:tcPr>
            <w:tcW w:w="3116" w:type="dxa"/>
            <w:vMerge/>
            <w:hideMark/>
          </w:tcPr>
          <w:p w:rsidR="008B38EF" w:rsidRPr="008F4DD6" w:rsidRDefault="008B38EF" w:rsidP="008F4DD6">
            <w:pPr>
              <w:pStyle w:val="Tabletext"/>
              <w:spacing w:before="0" w:after="0"/>
              <w:rPr>
                <w:rFonts w:eastAsia="SimSun" w:cs="SimSun"/>
                <w:sz w:val="20"/>
                <w:lang w:eastAsia="en-GB" w:bidi="en-US"/>
              </w:rPr>
            </w:pPr>
          </w:p>
        </w:tc>
        <w:tc>
          <w:tcPr>
            <w:tcW w:w="983" w:type="dxa"/>
            <w:hideMark/>
          </w:tcPr>
          <w:p w:rsidR="008B38EF" w:rsidRPr="008F4DD6" w:rsidRDefault="008B38EF" w:rsidP="008F4DD6">
            <w:pPr>
              <w:pStyle w:val="Tabletext"/>
              <w:spacing w:before="0" w:after="0"/>
              <w:rPr>
                <w:rFonts w:eastAsia="SimSun" w:cs="SimSun"/>
                <w:sz w:val="20"/>
                <w:lang w:val="en-GB" w:eastAsia="en-GB" w:bidi="en-US"/>
              </w:rPr>
            </w:pPr>
            <w:r w:rsidRPr="008F4DD6">
              <w:rPr>
                <w:rFonts w:eastAsia="SimSun" w:cs="SimSun"/>
                <w:sz w:val="20"/>
                <w:lang w:val="en-GB" w:eastAsia="en-GB" w:bidi="en-US"/>
              </w:rPr>
              <w:t>en curso</w:t>
            </w:r>
          </w:p>
        </w:tc>
        <w:tc>
          <w:tcPr>
            <w:tcW w:w="3940" w:type="dxa"/>
            <w:hideMark/>
          </w:tcPr>
          <w:p w:rsidR="008B38EF" w:rsidRPr="008F4DD6" w:rsidRDefault="008B38EF" w:rsidP="008F4DD6">
            <w:pPr>
              <w:pStyle w:val="Tabletext"/>
              <w:spacing w:before="0" w:after="0"/>
              <w:rPr>
                <w:rFonts w:eastAsia="SimSun" w:cs="SimSun"/>
                <w:sz w:val="20"/>
                <w:lang w:eastAsia="en-GB" w:bidi="en-US"/>
              </w:rPr>
            </w:pPr>
            <w:r w:rsidRPr="008F4DD6">
              <w:rPr>
                <w:rFonts w:eastAsia="SimSun" w:cs="SimSun"/>
                <w:sz w:val="20"/>
                <w:lang w:eastAsia="en-GB" w:bidi="en-US"/>
              </w:rPr>
              <w:t xml:space="preserve">Esto se hará para el informe a la reunión de 2016 del Consejo en la medida en que ya sea posible sobre </w:t>
            </w:r>
            <w:r w:rsidRPr="008F4DD6">
              <w:rPr>
                <w:rFonts w:ascii="MS Mincho" w:eastAsia="MS Mincho" w:hAnsi="MS Mincho" w:cs="MS Mincho" w:hint="eastAsia"/>
                <w:sz w:val="20"/>
                <w:cs/>
                <w:lang w:eastAsia="en-GB"/>
              </w:rPr>
              <w:t>‎</w:t>
            </w:r>
            <w:r w:rsidRPr="008F4DD6">
              <w:rPr>
                <w:rFonts w:eastAsia="SimSun" w:cs="SimSun"/>
                <w:sz w:val="20"/>
                <w:lang w:eastAsia="en-GB" w:bidi="en-US"/>
              </w:rPr>
              <w:t xml:space="preserve">la base de los informes de auditoría de años anteriores. Es posible que algunas conclusiones no sean </w:t>
            </w:r>
            <w:r w:rsidRPr="008F4DD6">
              <w:rPr>
                <w:rFonts w:ascii="MS Mincho" w:eastAsia="MS Mincho" w:hAnsi="MS Mincho" w:cs="MS Mincho" w:hint="eastAsia"/>
                <w:sz w:val="20"/>
                <w:cs/>
                <w:lang w:eastAsia="en-GB"/>
              </w:rPr>
              <w:t>‎</w:t>
            </w:r>
            <w:r w:rsidRPr="008F4DD6">
              <w:rPr>
                <w:rFonts w:eastAsia="SimSun" w:cs="SimSun"/>
                <w:sz w:val="20"/>
                <w:lang w:eastAsia="en-GB" w:bidi="en-US"/>
              </w:rPr>
              <w:t>suficientemente recurrentes para ser representativas</w:t>
            </w:r>
            <w:r w:rsidR="008F4DD6" w:rsidRPr="008F4DD6">
              <w:rPr>
                <w:rFonts w:eastAsia="SimSun" w:cs="SimSun"/>
                <w:sz w:val="20"/>
                <w:lang w:eastAsia="en-GB" w:bidi="en-US"/>
              </w:rPr>
              <w:t>.</w:t>
            </w:r>
          </w:p>
        </w:tc>
      </w:tr>
      <w:tr w:rsidR="00CB5A53" w:rsidRPr="008B38EF" w:rsidTr="008F4DD6">
        <w:trPr>
          <w:trHeight w:val="3180"/>
        </w:trPr>
        <w:tc>
          <w:tcPr>
            <w:tcW w:w="927" w:type="dxa"/>
            <w:noWrap/>
            <w:hideMark/>
          </w:tcPr>
          <w:p w:rsidR="00CB5A53" w:rsidRPr="008F4DD6" w:rsidRDefault="00CB5A53" w:rsidP="008F4DD6">
            <w:pPr>
              <w:pStyle w:val="Tabletext"/>
              <w:spacing w:before="0" w:after="0"/>
              <w:rPr>
                <w:rFonts w:eastAsia="SimSun" w:cs="SimSun"/>
                <w:sz w:val="20"/>
                <w:lang w:val="en-GB" w:eastAsia="en-GB" w:bidi="en-US"/>
              </w:rPr>
            </w:pPr>
            <w:r w:rsidRPr="008F4DD6">
              <w:rPr>
                <w:rFonts w:eastAsia="SimSun" w:cs="SimSun"/>
                <w:sz w:val="20"/>
                <w:lang w:val="en-GB" w:eastAsia="en-GB" w:bidi="en-US"/>
              </w:rPr>
              <w:t>4.1</w:t>
            </w:r>
          </w:p>
        </w:tc>
        <w:tc>
          <w:tcPr>
            <w:tcW w:w="5022" w:type="dxa"/>
            <w:hideMark/>
          </w:tcPr>
          <w:p w:rsidR="00CB5A53" w:rsidRPr="008F4DD6" w:rsidRDefault="00CB5A53" w:rsidP="008F4DD6">
            <w:pPr>
              <w:pStyle w:val="Tabletext"/>
              <w:spacing w:before="0" w:after="0"/>
              <w:rPr>
                <w:rFonts w:eastAsia="SimSun" w:cs="SimSun"/>
                <w:sz w:val="20"/>
                <w:lang w:eastAsia="en-GB" w:bidi="en-US"/>
              </w:rPr>
            </w:pPr>
            <w:r w:rsidRPr="008F4DD6">
              <w:rPr>
                <w:rFonts w:eastAsia="SimSun" w:cs="SimSun"/>
                <w:sz w:val="20"/>
                <w:lang w:eastAsia="en-GB" w:bidi="en-US"/>
              </w:rPr>
              <w:t xml:space="preserve">La Dirección de la UIT debería considerar la aceleración del desarrollo de un sistema ERM y un marco de </w:t>
            </w:r>
            <w:r w:rsidRPr="008F4DD6">
              <w:rPr>
                <w:rFonts w:ascii="MS Mincho" w:eastAsia="MS Mincho" w:hAnsi="MS Mincho" w:cs="MS Mincho" w:hint="eastAsia"/>
                <w:sz w:val="20"/>
                <w:cs/>
                <w:lang w:eastAsia="en-GB"/>
              </w:rPr>
              <w:t>‎</w:t>
            </w:r>
            <w:r w:rsidRPr="008F4DD6">
              <w:rPr>
                <w:rFonts w:eastAsia="SimSun" w:cs="SimSun"/>
                <w:sz w:val="20"/>
                <w:lang w:eastAsia="en-GB" w:bidi="en-US"/>
              </w:rPr>
              <w:t xml:space="preserve">control consolidado. </w:t>
            </w:r>
          </w:p>
        </w:tc>
        <w:tc>
          <w:tcPr>
            <w:tcW w:w="3116" w:type="dxa"/>
            <w:hideMark/>
          </w:tcPr>
          <w:p w:rsidR="00CB5A53" w:rsidRPr="008F4DD6" w:rsidRDefault="00CB5A53" w:rsidP="008F4DD6">
            <w:pPr>
              <w:pStyle w:val="Tabletext"/>
              <w:spacing w:before="0" w:after="0"/>
              <w:rPr>
                <w:rFonts w:eastAsia="SimSun" w:cs="SimSun"/>
                <w:sz w:val="20"/>
                <w:lang w:eastAsia="en-GB" w:bidi="en-US"/>
              </w:rPr>
            </w:pPr>
            <w:r w:rsidRPr="008F4DD6">
              <w:rPr>
                <w:rFonts w:eastAsia="SimSun" w:cs="SimSun"/>
                <w:sz w:val="20"/>
                <w:lang w:eastAsia="en-GB" w:bidi="en-US"/>
              </w:rPr>
              <w:t xml:space="preserve">Comentario del SG: El marco completo de gestión de riesgos de la UIT se está aplicando como elemento plenamente </w:t>
            </w:r>
            <w:r w:rsidRPr="008F4DD6">
              <w:rPr>
                <w:rFonts w:ascii="MS Mincho" w:eastAsia="MS Mincho" w:hAnsi="MS Mincho" w:cs="MS Mincho" w:hint="eastAsia"/>
                <w:sz w:val="20"/>
                <w:cs/>
                <w:lang w:eastAsia="en-GB"/>
              </w:rPr>
              <w:t>‎</w:t>
            </w:r>
            <w:r w:rsidRPr="008F4DD6">
              <w:rPr>
                <w:rFonts w:eastAsia="SimSun" w:cs="SimSun"/>
                <w:sz w:val="20"/>
                <w:lang w:eastAsia="en-GB" w:bidi="en-US"/>
              </w:rPr>
              <w:t xml:space="preserve">integral del proceso global de planificación estratégica y operacional. Sigue un planteamiento de </w:t>
            </w:r>
            <w:r w:rsidRPr="008F4DD6">
              <w:rPr>
                <w:rFonts w:ascii="MS Mincho" w:eastAsia="MS Mincho" w:hAnsi="MS Mincho" w:cs="MS Mincho" w:hint="eastAsia"/>
                <w:sz w:val="20"/>
                <w:cs/>
                <w:lang w:eastAsia="en-GB"/>
              </w:rPr>
              <w:t>‎</w:t>
            </w:r>
            <w:r w:rsidRPr="008F4DD6">
              <w:rPr>
                <w:rFonts w:eastAsia="SimSun" w:cs="SimSun"/>
                <w:sz w:val="20"/>
                <w:lang w:eastAsia="en-GB" w:bidi="en-US"/>
              </w:rPr>
              <w:t xml:space="preserve">gestión de riesgos multinivel que tiene en cuenta el entorno de riesgo global que afronta la UIT así </w:t>
            </w:r>
            <w:r w:rsidRPr="008F4DD6">
              <w:rPr>
                <w:rFonts w:ascii="MS Mincho" w:eastAsia="MS Mincho" w:hAnsi="MS Mincho" w:cs="MS Mincho" w:hint="eastAsia"/>
                <w:sz w:val="20"/>
                <w:cs/>
                <w:lang w:eastAsia="en-GB"/>
              </w:rPr>
              <w:t>‎</w:t>
            </w:r>
            <w:r w:rsidRPr="008F4DD6">
              <w:rPr>
                <w:rFonts w:eastAsia="SimSun" w:cs="SimSun"/>
                <w:sz w:val="20"/>
                <w:lang w:eastAsia="en-GB" w:bidi="en-US"/>
              </w:rPr>
              <w:t xml:space="preserve">como riesgos específicos afrontados por los Sectores, las Oficinas y la Secretaría General, y garantiza </w:t>
            </w:r>
            <w:r w:rsidRPr="008F4DD6">
              <w:rPr>
                <w:rFonts w:ascii="MS Mincho" w:eastAsia="MS Mincho" w:hAnsi="MS Mincho" w:cs="MS Mincho" w:hint="eastAsia"/>
                <w:sz w:val="20"/>
                <w:cs/>
                <w:lang w:eastAsia="en-GB"/>
              </w:rPr>
              <w:t>‎</w:t>
            </w:r>
            <w:r w:rsidRPr="008F4DD6">
              <w:rPr>
                <w:rFonts w:eastAsia="SimSun" w:cs="SimSun"/>
                <w:sz w:val="20"/>
                <w:lang w:eastAsia="en-GB" w:bidi="en-US"/>
              </w:rPr>
              <w:t xml:space="preserve">que los riesgos específicos se gestionan al nivel más apropiado con los recursos apropiados disponibles </w:t>
            </w:r>
            <w:r w:rsidRPr="008F4DD6">
              <w:rPr>
                <w:rFonts w:ascii="MS Mincho" w:eastAsia="MS Mincho" w:hAnsi="MS Mincho" w:cs="MS Mincho" w:hint="eastAsia"/>
                <w:sz w:val="20"/>
                <w:cs/>
                <w:lang w:eastAsia="en-GB"/>
              </w:rPr>
              <w:t>‎</w:t>
            </w:r>
            <w:r w:rsidRPr="008F4DD6">
              <w:rPr>
                <w:rFonts w:eastAsia="SimSun" w:cs="SimSun"/>
                <w:sz w:val="20"/>
                <w:lang w:eastAsia="en-GB" w:bidi="en-US"/>
              </w:rPr>
              <w:t>para aplicar medidas de mitigación.</w:t>
            </w:r>
          </w:p>
        </w:tc>
        <w:tc>
          <w:tcPr>
            <w:tcW w:w="983" w:type="dxa"/>
            <w:hideMark/>
          </w:tcPr>
          <w:p w:rsidR="00CB5A53" w:rsidRPr="008F4DD6" w:rsidRDefault="00CB5A53" w:rsidP="008F4DD6">
            <w:pPr>
              <w:pStyle w:val="Tabletext"/>
              <w:spacing w:before="0" w:after="0"/>
              <w:rPr>
                <w:rFonts w:eastAsia="SimSun" w:cs="SimSun"/>
                <w:sz w:val="20"/>
                <w:lang w:val="en-GB" w:eastAsia="en-GB" w:bidi="en-US"/>
              </w:rPr>
            </w:pPr>
            <w:r w:rsidRPr="008F4DD6">
              <w:rPr>
                <w:rFonts w:eastAsia="SimSun" w:cs="SimSun"/>
                <w:sz w:val="20"/>
                <w:lang w:val="en-GB" w:eastAsia="en-GB" w:bidi="en-US"/>
              </w:rPr>
              <w:t>en curso</w:t>
            </w:r>
          </w:p>
        </w:tc>
        <w:tc>
          <w:tcPr>
            <w:tcW w:w="3940" w:type="dxa"/>
            <w:hideMark/>
          </w:tcPr>
          <w:p w:rsidR="00CB5A53" w:rsidRPr="008F4DD6" w:rsidRDefault="00CB5A53" w:rsidP="008F4DD6">
            <w:pPr>
              <w:pStyle w:val="Tabletext"/>
              <w:spacing w:before="0" w:after="0"/>
              <w:rPr>
                <w:rFonts w:eastAsia="SimSun" w:cs="SimSun"/>
                <w:sz w:val="20"/>
                <w:lang w:eastAsia="en-GB" w:bidi="en-US"/>
              </w:rPr>
            </w:pPr>
            <w:r w:rsidRPr="008F4DD6">
              <w:rPr>
                <w:rFonts w:eastAsia="SimSun" w:cs="SimSun"/>
                <w:sz w:val="20"/>
                <w:lang w:eastAsia="en-GB" w:bidi="en-US"/>
              </w:rPr>
              <w:t>Véase información actualizada en el Documento CWG-FHR 6/11</w:t>
            </w:r>
            <w:r w:rsidR="008F4DD6" w:rsidRPr="008F4DD6">
              <w:rPr>
                <w:rFonts w:eastAsia="SimSun" w:cs="SimSun"/>
                <w:sz w:val="20"/>
                <w:lang w:eastAsia="en-GB" w:bidi="en-US"/>
              </w:rPr>
              <w:t>.</w:t>
            </w:r>
          </w:p>
        </w:tc>
      </w:tr>
      <w:tr w:rsidR="00CB5A53" w:rsidRPr="008B38EF" w:rsidTr="008F4DD6">
        <w:trPr>
          <w:trHeight w:val="1695"/>
        </w:trPr>
        <w:tc>
          <w:tcPr>
            <w:tcW w:w="927" w:type="dxa"/>
            <w:noWrap/>
            <w:hideMark/>
          </w:tcPr>
          <w:p w:rsidR="00CB5A53" w:rsidRPr="008F4DD6" w:rsidRDefault="00CB5A53" w:rsidP="008F4DD6">
            <w:pPr>
              <w:pStyle w:val="Tabletext"/>
              <w:spacing w:before="0" w:after="0"/>
              <w:rPr>
                <w:rFonts w:eastAsia="SimSun" w:cs="SimSun"/>
                <w:sz w:val="20"/>
                <w:lang w:val="en-GB" w:eastAsia="en-GB" w:bidi="en-US"/>
              </w:rPr>
            </w:pPr>
            <w:r w:rsidRPr="008F4DD6">
              <w:rPr>
                <w:rFonts w:eastAsia="SimSun" w:cs="SimSun"/>
                <w:sz w:val="20"/>
                <w:lang w:val="en-GB" w:eastAsia="en-GB" w:bidi="en-US"/>
              </w:rPr>
              <w:t>5.1</w:t>
            </w:r>
          </w:p>
        </w:tc>
        <w:tc>
          <w:tcPr>
            <w:tcW w:w="5022" w:type="dxa"/>
            <w:hideMark/>
          </w:tcPr>
          <w:p w:rsidR="00CB5A53" w:rsidRPr="008F4DD6" w:rsidRDefault="00CB5A53" w:rsidP="008F4DD6">
            <w:pPr>
              <w:pStyle w:val="Tabletext"/>
              <w:spacing w:before="0" w:after="0"/>
              <w:rPr>
                <w:rFonts w:eastAsia="SimSun" w:cs="SimSun"/>
                <w:sz w:val="20"/>
                <w:lang w:eastAsia="en-GB" w:bidi="en-US"/>
              </w:rPr>
            </w:pPr>
            <w:r w:rsidRPr="008F4DD6">
              <w:rPr>
                <w:rFonts w:eastAsia="SimSun" w:cs="SimSun"/>
                <w:sz w:val="20"/>
                <w:lang w:eastAsia="en-GB" w:bidi="en-US"/>
              </w:rPr>
              <w:t xml:space="preserve">La Dirección de la UIT debería considerar la evaluación de las necesidades de recursos de la actividad </w:t>
            </w:r>
            <w:r w:rsidRPr="008F4DD6">
              <w:rPr>
                <w:rFonts w:ascii="MS Mincho" w:eastAsia="MS Mincho" w:hAnsi="MS Mincho" w:cs="MS Mincho" w:hint="eastAsia"/>
                <w:sz w:val="20"/>
                <w:cs/>
                <w:lang w:eastAsia="en-GB"/>
              </w:rPr>
              <w:t>‎</w:t>
            </w:r>
            <w:r w:rsidRPr="008F4DD6">
              <w:rPr>
                <w:rFonts w:eastAsia="SimSun" w:cs="SimSun"/>
                <w:sz w:val="20"/>
                <w:lang w:eastAsia="en-GB" w:bidi="en-US"/>
              </w:rPr>
              <w:t xml:space="preserve">de Auditoría Interna a la luz de su mandato a fin de dar al Secretario General una garantía razonable </w:t>
            </w:r>
            <w:r w:rsidRPr="008F4DD6">
              <w:rPr>
                <w:rFonts w:ascii="MS Mincho" w:eastAsia="MS Mincho" w:hAnsi="MS Mincho" w:cs="MS Mincho" w:hint="eastAsia"/>
                <w:sz w:val="20"/>
                <w:cs/>
                <w:lang w:eastAsia="en-GB"/>
              </w:rPr>
              <w:t>‎</w:t>
            </w:r>
            <w:r w:rsidRPr="008F4DD6">
              <w:rPr>
                <w:rFonts w:eastAsia="SimSun" w:cs="SimSun"/>
                <w:sz w:val="20"/>
                <w:lang w:eastAsia="en-GB" w:bidi="en-US"/>
              </w:rPr>
              <w:t xml:space="preserve">sobre la efectividad de la gestión de riesgos de la organización, los procesos de control y gobernanza, y </w:t>
            </w:r>
            <w:r w:rsidRPr="008F4DD6">
              <w:rPr>
                <w:rFonts w:ascii="MS Mincho" w:eastAsia="MS Mincho" w:hAnsi="MS Mincho" w:cs="MS Mincho" w:hint="eastAsia"/>
                <w:sz w:val="20"/>
                <w:cs/>
                <w:lang w:eastAsia="en-GB"/>
              </w:rPr>
              <w:t>‎</w:t>
            </w:r>
            <w:r w:rsidRPr="008F4DD6">
              <w:rPr>
                <w:rFonts w:eastAsia="SimSun" w:cs="SimSun"/>
                <w:sz w:val="20"/>
                <w:lang w:eastAsia="en-GB" w:bidi="en-US"/>
              </w:rPr>
              <w:t>proporcionar servicios de asesoramiento.</w:t>
            </w:r>
          </w:p>
        </w:tc>
        <w:tc>
          <w:tcPr>
            <w:tcW w:w="3116" w:type="dxa"/>
            <w:hideMark/>
          </w:tcPr>
          <w:p w:rsidR="00CB5A53" w:rsidRPr="008F4DD6" w:rsidRDefault="00CB5A53" w:rsidP="008F4DD6">
            <w:pPr>
              <w:pStyle w:val="Tabletext"/>
              <w:spacing w:before="0" w:after="0"/>
              <w:rPr>
                <w:rFonts w:eastAsia="SimSun" w:cs="SimSun"/>
                <w:sz w:val="20"/>
                <w:lang w:eastAsia="en-GB" w:bidi="en-US"/>
              </w:rPr>
            </w:pPr>
            <w:r w:rsidRPr="008F4DD6">
              <w:rPr>
                <w:rFonts w:eastAsia="SimSun" w:cs="SimSun"/>
                <w:sz w:val="20"/>
                <w:lang w:eastAsia="en-GB" w:bidi="en-US"/>
              </w:rPr>
              <w:t>Comentario del SG: Esta evaluación se efectuará periódicamente.</w:t>
            </w:r>
          </w:p>
        </w:tc>
        <w:tc>
          <w:tcPr>
            <w:tcW w:w="983" w:type="dxa"/>
            <w:noWrap/>
            <w:hideMark/>
          </w:tcPr>
          <w:p w:rsidR="00CB5A53" w:rsidRPr="008F4DD6" w:rsidRDefault="00CB5A53" w:rsidP="008F4DD6">
            <w:pPr>
              <w:pStyle w:val="Tabletext"/>
              <w:spacing w:before="0" w:after="0"/>
              <w:rPr>
                <w:rFonts w:eastAsia="SimSun" w:cs="SimSun"/>
                <w:sz w:val="20"/>
                <w:lang w:val="en-GB" w:eastAsia="en-GB" w:bidi="en-US"/>
              </w:rPr>
            </w:pPr>
            <w:r w:rsidRPr="008F4DD6">
              <w:rPr>
                <w:rFonts w:eastAsia="SimSun" w:cs="SimSun"/>
                <w:sz w:val="20"/>
                <w:lang w:val="en-GB" w:eastAsia="en-GB" w:bidi="en-US"/>
              </w:rPr>
              <w:t>aplicada</w:t>
            </w:r>
          </w:p>
        </w:tc>
        <w:tc>
          <w:tcPr>
            <w:tcW w:w="3940" w:type="dxa"/>
            <w:hideMark/>
          </w:tcPr>
          <w:p w:rsidR="00CB5A53" w:rsidRPr="008F4DD6" w:rsidRDefault="00CB5A53" w:rsidP="008F4DD6">
            <w:pPr>
              <w:pStyle w:val="Tabletext"/>
              <w:spacing w:before="0" w:after="0"/>
              <w:rPr>
                <w:rFonts w:eastAsia="SimSun" w:cs="SimSun"/>
                <w:sz w:val="20"/>
                <w:lang w:eastAsia="en-GB" w:bidi="en-US"/>
              </w:rPr>
            </w:pPr>
            <w:r w:rsidRPr="008F4DD6">
              <w:rPr>
                <w:rFonts w:eastAsia="SimSun" w:cs="SimSun"/>
                <w:sz w:val="20"/>
                <w:lang w:eastAsia="en-GB" w:bidi="en-US"/>
              </w:rPr>
              <w:t>Esto se hace siempre que se prepara el presupuesto</w:t>
            </w:r>
            <w:r w:rsidR="008F4DD6" w:rsidRPr="008F4DD6">
              <w:rPr>
                <w:rFonts w:eastAsia="SimSun" w:cs="SimSun"/>
                <w:sz w:val="20"/>
                <w:lang w:eastAsia="en-GB" w:bidi="en-US"/>
              </w:rPr>
              <w:t>.</w:t>
            </w:r>
          </w:p>
        </w:tc>
      </w:tr>
    </w:tbl>
    <w:p w:rsidR="008B38EF" w:rsidRDefault="008B38EF" w:rsidP="0032202E">
      <w:pPr>
        <w:pStyle w:val="Reasons"/>
      </w:pPr>
    </w:p>
    <w:p w:rsidR="008B38EF" w:rsidRPr="008B38EF" w:rsidRDefault="008B38EF">
      <w:pPr>
        <w:jc w:val="center"/>
      </w:pPr>
      <w:r w:rsidRPr="008B38EF">
        <w:t>______________</w:t>
      </w:r>
      <w:bookmarkStart w:id="10" w:name="_GoBack"/>
      <w:bookmarkEnd w:id="10"/>
    </w:p>
    <w:sectPr w:rsidR="008B38EF" w:rsidRPr="008B38EF" w:rsidSect="00CB5A53">
      <w:headerReference w:type="default" r:id="rId12"/>
      <w:footerReference w:type="default" r:id="rId13"/>
      <w:headerReference w:type="first" r:id="rId14"/>
      <w:footerReference w:type="first" r:id="rId15"/>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A53" w:rsidRDefault="00CB5A53">
      <w:r>
        <w:separator/>
      </w:r>
    </w:p>
  </w:endnote>
  <w:endnote w:type="continuationSeparator" w:id="0">
    <w:p w:rsidR="00CB5A53" w:rsidRDefault="00CB5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A53" w:rsidRPr="00307B6B" w:rsidRDefault="00CB5A53" w:rsidP="003C5589">
    <w:pPr>
      <w:pStyle w:val="Footer"/>
      <w:rPr>
        <w:lang w:val="fr-CH"/>
      </w:rPr>
    </w:pPr>
    <w:r>
      <w:fldChar w:fldCharType="begin"/>
    </w:r>
    <w:r w:rsidRPr="00307B6B">
      <w:rPr>
        <w:lang w:val="fr-CH"/>
      </w:rPr>
      <w:instrText xml:space="preserve"> FILENAME \p \* MERGEFORMAT </w:instrText>
    </w:r>
    <w:r>
      <w:fldChar w:fldCharType="separate"/>
    </w:r>
    <w:r w:rsidR="009F00A6">
      <w:rPr>
        <w:lang w:val="fr-CH"/>
      </w:rPr>
      <w:t>P:\ESP\SG\CONSEIL\C16\000\044S.docx</w:t>
    </w:r>
    <w:r>
      <w:rPr>
        <w:lang w:val="en-US"/>
      </w:rPr>
      <w:fldChar w:fldCharType="end"/>
    </w:r>
    <w:r w:rsidRPr="00307B6B">
      <w:rPr>
        <w:lang w:val="fr-CH"/>
      </w:rPr>
      <w:t xml:space="preserve"> (386666)</w:t>
    </w:r>
    <w:r w:rsidRPr="00307B6B">
      <w:rPr>
        <w:lang w:val="fr-CH"/>
      </w:rPr>
      <w:tab/>
    </w:r>
    <w:r>
      <w:fldChar w:fldCharType="begin"/>
    </w:r>
    <w:r>
      <w:instrText xml:space="preserve"> savedate \@ dd.MM.yy </w:instrText>
    </w:r>
    <w:r>
      <w:fldChar w:fldCharType="separate"/>
    </w:r>
    <w:r w:rsidR="00EA27AD">
      <w:t>10.05.16</w:t>
    </w:r>
    <w:r>
      <w:fldChar w:fldCharType="end"/>
    </w:r>
    <w:r w:rsidRPr="00307B6B">
      <w:rPr>
        <w:lang w:val="fr-CH"/>
      </w:rPr>
      <w:tab/>
    </w:r>
    <w:r>
      <w:fldChar w:fldCharType="begin"/>
    </w:r>
    <w:r>
      <w:instrText xml:space="preserve"> printdate \@ dd.MM.yy </w:instrText>
    </w:r>
    <w:r>
      <w:fldChar w:fldCharType="separate"/>
    </w:r>
    <w:r w:rsidR="009F00A6">
      <w:t>10.05.16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0A6" w:rsidRDefault="009F00A6" w:rsidP="009F00A6">
    <w:pPr>
      <w:spacing w:after="120"/>
      <w:jc w:val="center"/>
    </w:pPr>
    <w:r>
      <w:t xml:space="preserve">• </w:t>
    </w:r>
    <w:hyperlink r:id="rId1" w:history="1">
      <w:r>
        <w:rPr>
          <w:rStyle w:val="Hyperlink"/>
        </w:rPr>
        <w:t>http://www.itu.int/council</w:t>
      </w:r>
    </w:hyperlink>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A1C" w:rsidRPr="00307B6B" w:rsidRDefault="00DF3A1C" w:rsidP="003C5589">
    <w:pPr>
      <w:pStyle w:val="Footer"/>
      <w:rPr>
        <w:lang w:val="fr-CH"/>
      </w:rPr>
    </w:pPr>
    <w:r>
      <w:fldChar w:fldCharType="begin"/>
    </w:r>
    <w:r w:rsidRPr="00307B6B">
      <w:rPr>
        <w:lang w:val="fr-CH"/>
      </w:rPr>
      <w:instrText xml:space="preserve"> FILENAME \p \* MERGEFORMAT </w:instrText>
    </w:r>
    <w:r>
      <w:fldChar w:fldCharType="separate"/>
    </w:r>
    <w:r w:rsidR="009F00A6">
      <w:rPr>
        <w:lang w:val="fr-CH"/>
      </w:rPr>
      <w:t>P:\ESP\SG\CONSEIL\C16\000\044S.docx</w:t>
    </w:r>
    <w:r>
      <w:rPr>
        <w:lang w:val="en-US"/>
      </w:rPr>
      <w:fldChar w:fldCharType="end"/>
    </w:r>
    <w:r w:rsidRPr="00307B6B">
      <w:rPr>
        <w:lang w:val="fr-CH"/>
      </w:rPr>
      <w:t xml:space="preserve"> (386666)</w:t>
    </w:r>
    <w:r w:rsidRPr="00307B6B">
      <w:rPr>
        <w:lang w:val="fr-CH"/>
      </w:rPr>
      <w:tab/>
    </w:r>
    <w:r>
      <w:fldChar w:fldCharType="begin"/>
    </w:r>
    <w:r>
      <w:instrText xml:space="preserve"> savedate \@ dd.MM.yy </w:instrText>
    </w:r>
    <w:r>
      <w:fldChar w:fldCharType="separate"/>
    </w:r>
    <w:r w:rsidR="00EA27AD">
      <w:t>10.05.16</w:t>
    </w:r>
    <w:r>
      <w:fldChar w:fldCharType="end"/>
    </w:r>
    <w:r w:rsidRPr="00307B6B">
      <w:rPr>
        <w:lang w:val="fr-CH"/>
      </w:rPr>
      <w:tab/>
    </w:r>
    <w:r>
      <w:fldChar w:fldCharType="begin"/>
    </w:r>
    <w:r>
      <w:instrText xml:space="preserve"> printdate \@ dd.MM.yy </w:instrText>
    </w:r>
    <w:r>
      <w:fldChar w:fldCharType="separate"/>
    </w:r>
    <w:r w:rsidR="009F00A6">
      <w:t>10.05.16</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A1C" w:rsidRPr="00307B6B" w:rsidRDefault="00DF3A1C" w:rsidP="00DF3A1C">
    <w:pPr>
      <w:pStyle w:val="Footer"/>
      <w:rPr>
        <w:lang w:val="fr-CH"/>
      </w:rPr>
    </w:pPr>
    <w:r>
      <w:fldChar w:fldCharType="begin"/>
    </w:r>
    <w:r w:rsidRPr="00307B6B">
      <w:rPr>
        <w:lang w:val="fr-CH"/>
      </w:rPr>
      <w:instrText xml:space="preserve"> FILENAME \p \* MERGEFORMAT </w:instrText>
    </w:r>
    <w:r>
      <w:fldChar w:fldCharType="separate"/>
    </w:r>
    <w:r w:rsidR="009F00A6">
      <w:rPr>
        <w:lang w:val="fr-CH"/>
      </w:rPr>
      <w:t>P:\ESP\SG\CONSEIL\C16\000\044S.docx</w:t>
    </w:r>
    <w:r>
      <w:rPr>
        <w:lang w:val="en-US"/>
      </w:rPr>
      <w:fldChar w:fldCharType="end"/>
    </w:r>
    <w:r w:rsidRPr="00307B6B">
      <w:rPr>
        <w:lang w:val="fr-CH"/>
      </w:rPr>
      <w:t xml:space="preserve"> (386666)</w:t>
    </w:r>
    <w:r w:rsidRPr="00307B6B">
      <w:rPr>
        <w:lang w:val="fr-CH"/>
      </w:rPr>
      <w:tab/>
    </w:r>
    <w:r>
      <w:fldChar w:fldCharType="begin"/>
    </w:r>
    <w:r>
      <w:instrText xml:space="preserve"> savedate \@ dd.MM.yy </w:instrText>
    </w:r>
    <w:r>
      <w:fldChar w:fldCharType="separate"/>
    </w:r>
    <w:r w:rsidR="00EA27AD">
      <w:t>10.05.16</w:t>
    </w:r>
    <w:r>
      <w:fldChar w:fldCharType="end"/>
    </w:r>
    <w:r w:rsidRPr="00307B6B">
      <w:rPr>
        <w:lang w:val="fr-CH"/>
      </w:rPr>
      <w:tab/>
    </w:r>
    <w:r>
      <w:fldChar w:fldCharType="begin"/>
    </w:r>
    <w:r>
      <w:instrText xml:space="preserve"> printdate \@ dd.MM.yy </w:instrText>
    </w:r>
    <w:r>
      <w:fldChar w:fldCharType="separate"/>
    </w:r>
    <w:r w:rsidR="009F00A6">
      <w:t>10.05.16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A53" w:rsidRDefault="00CB5A53">
      <w:r>
        <w:t>____________________</w:t>
      </w:r>
    </w:p>
  </w:footnote>
  <w:footnote w:type="continuationSeparator" w:id="0">
    <w:p w:rsidR="00CB5A53" w:rsidRDefault="00CB5A53">
      <w:r>
        <w:continuationSeparator/>
      </w:r>
    </w:p>
  </w:footnote>
  <w:footnote w:id="1">
    <w:p w:rsidR="00CB5A53" w:rsidRPr="001E6C6F" w:rsidRDefault="00CB5A53" w:rsidP="004922E8">
      <w:pPr>
        <w:pStyle w:val="FootnoteText"/>
        <w:rPr>
          <w:szCs w:val="24"/>
        </w:rPr>
      </w:pPr>
      <w:r w:rsidRPr="001E6C6F">
        <w:rPr>
          <w:rStyle w:val="FootnoteReference"/>
          <w:szCs w:val="16"/>
        </w:rPr>
        <w:footnoteRef/>
      </w:r>
      <w:r w:rsidRPr="005A36AF">
        <w:tab/>
      </w:r>
      <w:r w:rsidRPr="001E6C6F">
        <w:rPr>
          <w:szCs w:val="24"/>
        </w:rPr>
        <w:t>Nota de servicio 13/09 promulgada por el Secretario General el 27 de junio de 2013.</w:t>
      </w:r>
    </w:p>
  </w:footnote>
  <w:footnote w:id="2">
    <w:p w:rsidR="00CB5A53" w:rsidRPr="001E6C6F" w:rsidRDefault="00CB5A53" w:rsidP="005A36AF">
      <w:pPr>
        <w:pStyle w:val="FootnoteText"/>
        <w:rPr>
          <w:szCs w:val="24"/>
        </w:rPr>
      </w:pPr>
      <w:r w:rsidRPr="005A36AF">
        <w:rPr>
          <w:rStyle w:val="FootnoteReference"/>
        </w:rPr>
        <w:footnoteRef/>
      </w:r>
      <w:r w:rsidRPr="005A36AF">
        <w:tab/>
      </w:r>
      <w:r w:rsidRPr="001E6C6F">
        <w:rPr>
          <w:szCs w:val="24"/>
        </w:rPr>
        <w:t xml:space="preserve">Instituto de Auditores Internos, </w:t>
      </w:r>
      <w:hyperlink r:id="rId1" w:history="1">
        <w:r w:rsidRPr="001E6C6F">
          <w:rPr>
            <w:rStyle w:val="Hyperlink"/>
            <w:szCs w:val="24"/>
          </w:rPr>
          <w:t>www.theiia.org</w:t>
        </w:r>
      </w:hyperlink>
      <w:r w:rsidRPr="001E6C6F">
        <w:rPr>
          <w:szCs w:val="24"/>
        </w:rPr>
        <w:t>.</w:t>
      </w:r>
    </w:p>
  </w:footnote>
  <w:footnote w:id="3">
    <w:p w:rsidR="00CB5A53" w:rsidRPr="005A36AF" w:rsidRDefault="00CB5A53" w:rsidP="005A36AF">
      <w:pPr>
        <w:pStyle w:val="FootnoteText"/>
      </w:pPr>
      <w:r w:rsidRPr="005A36AF">
        <w:rPr>
          <w:rStyle w:val="FootnoteReference"/>
        </w:rPr>
        <w:footnoteRef/>
      </w:r>
      <w:r w:rsidRPr="005A36AF">
        <w:tab/>
        <w:t>Nota de servicio 13/09, promulgada por el Secretario General el 27 de junio de 2013.</w:t>
      </w:r>
    </w:p>
  </w:footnote>
  <w:footnote w:id="4">
    <w:p w:rsidR="00CB5A53" w:rsidRPr="001E6C6F" w:rsidRDefault="00CB5A53" w:rsidP="00FF2A86">
      <w:pPr>
        <w:pStyle w:val="FootnoteText"/>
        <w:rPr>
          <w:szCs w:val="24"/>
        </w:rPr>
      </w:pPr>
      <w:r w:rsidRPr="001E6C6F">
        <w:rPr>
          <w:rStyle w:val="FootnoteReference"/>
          <w:szCs w:val="16"/>
        </w:rPr>
        <w:footnoteRef/>
      </w:r>
      <w:r w:rsidRPr="00FF2A86">
        <w:rPr>
          <w:sz w:val="20"/>
        </w:rPr>
        <w:tab/>
      </w:r>
      <w:r w:rsidRPr="001E6C6F">
        <w:rPr>
          <w:szCs w:val="24"/>
        </w:rPr>
        <w:t>Se han observado algunas debilidades de diseño y/o utilización de controles, que podrían obstaculizar la consecución de los objetivos del sistema, función o proceso. No obstante, su impacto no sería importante o sería muy improbable que se produjeran.</w:t>
      </w:r>
    </w:p>
  </w:footnote>
  <w:footnote w:id="5">
    <w:p w:rsidR="00CB5A53" w:rsidRPr="001E6C6F" w:rsidRDefault="00CB5A53" w:rsidP="001E6C6F">
      <w:pPr>
        <w:pStyle w:val="FootnoteText"/>
      </w:pPr>
      <w:r w:rsidRPr="001E6C6F">
        <w:rPr>
          <w:rStyle w:val="FootnoteReference"/>
          <w:szCs w:val="16"/>
        </w:rPr>
        <w:footnoteRef/>
      </w:r>
      <w:r w:rsidRPr="00FF2A86">
        <w:rPr>
          <w:sz w:val="20"/>
        </w:rPr>
        <w:tab/>
      </w:r>
      <w:r w:rsidRPr="001E6C6F">
        <w:rPr>
          <w:rStyle w:val="FootnoteTextChar"/>
          <w:szCs w:val="24"/>
        </w:rPr>
        <w:t>Las Órdenes de Servicio son medidas administrativas preceptivas que forman parte integrante del ordenamiento jurídico de la organización y crean derechos u obligaciones para parte o la totalidad del personal. Por consiguiente, una orden de servicio puede servir, en particular, para enmendar o complementar los Estatutos del Personal, complementar el Reglamento del Personal o el Reglamento Financiero, instituir procedimientos administrativos u operacionales o autorizar o prohibir acciones o conductas.</w:t>
      </w:r>
    </w:p>
  </w:footnote>
  <w:footnote w:id="6">
    <w:p w:rsidR="00CB5A53" w:rsidRPr="00C735BE" w:rsidRDefault="00CB5A53" w:rsidP="005A36AF">
      <w:pPr>
        <w:pStyle w:val="FootnoteText"/>
        <w:rPr>
          <w:szCs w:val="24"/>
        </w:rPr>
      </w:pPr>
      <w:r w:rsidRPr="006F382F">
        <w:rPr>
          <w:rStyle w:val="FootnoteReference"/>
          <w:szCs w:val="16"/>
        </w:rPr>
        <w:footnoteRef/>
      </w:r>
      <w:r w:rsidRPr="006F382F">
        <w:rPr>
          <w:sz w:val="20"/>
        </w:rPr>
        <w:tab/>
      </w:r>
      <w:r w:rsidRPr="00C735BE">
        <w:rPr>
          <w:szCs w:val="24"/>
        </w:rPr>
        <w:t xml:space="preserve">Instituto de Auditores Internos, </w:t>
      </w:r>
      <w:hyperlink r:id="rId2" w:history="1">
        <w:r w:rsidRPr="00C735BE">
          <w:rPr>
            <w:rStyle w:val="Hyperlink"/>
            <w:szCs w:val="24"/>
          </w:rPr>
          <w:t>www.theiia.org</w:t>
        </w:r>
      </w:hyperlink>
      <w:r w:rsidRPr="00C735BE">
        <w:rPr>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A53" w:rsidRDefault="00CB5A53" w:rsidP="007657F0">
    <w:pPr>
      <w:pStyle w:val="Header"/>
    </w:pPr>
    <w:r>
      <w:fldChar w:fldCharType="begin"/>
    </w:r>
    <w:r>
      <w:instrText>PAGE</w:instrText>
    </w:r>
    <w:r>
      <w:fldChar w:fldCharType="separate"/>
    </w:r>
    <w:r w:rsidR="002E7188">
      <w:rPr>
        <w:noProof/>
      </w:rPr>
      <w:t>2</w:t>
    </w:r>
    <w:r>
      <w:rPr>
        <w:noProof/>
      </w:rPr>
      <w:fldChar w:fldCharType="end"/>
    </w:r>
  </w:p>
  <w:p w:rsidR="00CB5A53" w:rsidRDefault="00CB5A53" w:rsidP="003C5589">
    <w:pPr>
      <w:pStyle w:val="Header"/>
    </w:pPr>
    <w:r>
      <w:t>C16/44-S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0A6" w:rsidRDefault="009F00A6" w:rsidP="007657F0">
    <w:pPr>
      <w:pStyle w:val="Header"/>
    </w:pPr>
    <w:r>
      <w:fldChar w:fldCharType="begin"/>
    </w:r>
    <w:r>
      <w:instrText>PAGE</w:instrText>
    </w:r>
    <w:r>
      <w:fldChar w:fldCharType="separate"/>
    </w:r>
    <w:r w:rsidR="002E7188">
      <w:rPr>
        <w:noProof/>
      </w:rPr>
      <w:t>13</w:t>
    </w:r>
    <w:r>
      <w:rPr>
        <w:noProof/>
      </w:rPr>
      <w:fldChar w:fldCharType="end"/>
    </w:r>
  </w:p>
  <w:p w:rsidR="009F00A6" w:rsidRDefault="009F00A6" w:rsidP="003C5589">
    <w:pPr>
      <w:pStyle w:val="Header"/>
    </w:pPr>
    <w:r>
      <w:t>C16/44-S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A1C" w:rsidRDefault="00DF3A1C" w:rsidP="00DF3A1C">
    <w:pPr>
      <w:pStyle w:val="Header"/>
    </w:pPr>
    <w:r>
      <w:fldChar w:fldCharType="begin"/>
    </w:r>
    <w:r>
      <w:instrText>PAGE</w:instrText>
    </w:r>
    <w:r>
      <w:fldChar w:fldCharType="separate"/>
    </w:r>
    <w:r w:rsidR="002E7188">
      <w:rPr>
        <w:noProof/>
      </w:rPr>
      <w:t>9</w:t>
    </w:r>
    <w:r>
      <w:rPr>
        <w:noProof/>
      </w:rPr>
      <w:fldChar w:fldCharType="end"/>
    </w:r>
  </w:p>
  <w:p w:rsidR="00DF3A1C" w:rsidRDefault="00DF3A1C" w:rsidP="00DF3A1C">
    <w:pPr>
      <w:pStyle w:val="Header"/>
    </w:pPr>
    <w:r>
      <w:t>C16/44-S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11A93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2420F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A4C9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DAD8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704C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C6ED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281C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2891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4E5C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09A24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DB3923"/>
    <w:multiLevelType w:val="hybridMultilevel"/>
    <w:tmpl w:val="0CDA87B6"/>
    <w:lvl w:ilvl="0" w:tplc="763A1FF4">
      <w:start w:val="1"/>
      <w:numFmt w:val="lowerRoman"/>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27E8256D"/>
    <w:multiLevelType w:val="hybridMultilevel"/>
    <w:tmpl w:val="41E2DCFA"/>
    <w:lvl w:ilvl="0" w:tplc="763A1FF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2F7885"/>
    <w:multiLevelType w:val="hybridMultilevel"/>
    <w:tmpl w:val="9D6A5ECE"/>
    <w:lvl w:ilvl="0" w:tplc="763A1FF4">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4D548A"/>
    <w:multiLevelType w:val="hybridMultilevel"/>
    <w:tmpl w:val="A46AF6FC"/>
    <w:lvl w:ilvl="0" w:tplc="C902F800">
      <w:start w:val="1"/>
      <w:numFmt w:val="upperLetter"/>
      <w:lvlText w:val="%1."/>
      <w:lvlJc w:val="left"/>
      <w:pPr>
        <w:ind w:left="720" w:hanging="360"/>
      </w:pPr>
      <w:rPr>
        <w:rFonts w:hint="default"/>
        <w:b/>
        <w:bCs/>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8C314B"/>
    <w:multiLevelType w:val="hybridMultilevel"/>
    <w:tmpl w:val="A27E4584"/>
    <w:lvl w:ilvl="0" w:tplc="6A92C332">
      <w:start w:val="1"/>
      <w:numFmt w:val="decimal"/>
      <w:lvlText w:val="%1."/>
      <w:lvlJc w:val="left"/>
      <w:pPr>
        <w:ind w:left="502" w:hanging="360"/>
      </w:pPr>
      <w:rPr>
        <w:rFonts w:asciiTheme="minorHAnsi" w:hAnsiTheme="minorHAnsi"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C82A30"/>
    <w:multiLevelType w:val="hybridMultilevel"/>
    <w:tmpl w:val="327A0412"/>
    <w:lvl w:ilvl="0" w:tplc="93E42AFE">
      <w:start w:val="1"/>
      <w:numFmt w:val="lowerRoman"/>
      <w:lvlText w:val="(%1)"/>
      <w:lvlJc w:val="left"/>
      <w:pPr>
        <w:ind w:left="502"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1"/>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778"/>
    <w:rsid w:val="0001522D"/>
    <w:rsid w:val="000203C7"/>
    <w:rsid w:val="0005494E"/>
    <w:rsid w:val="0006190C"/>
    <w:rsid w:val="000B0D00"/>
    <w:rsid w:val="000B10FC"/>
    <w:rsid w:val="000B7C15"/>
    <w:rsid w:val="000D1D0F"/>
    <w:rsid w:val="000D6658"/>
    <w:rsid w:val="000E1614"/>
    <w:rsid w:val="000E395C"/>
    <w:rsid w:val="000E5B3B"/>
    <w:rsid w:val="000F5290"/>
    <w:rsid w:val="0010165C"/>
    <w:rsid w:val="0011509D"/>
    <w:rsid w:val="00135C48"/>
    <w:rsid w:val="00146BFB"/>
    <w:rsid w:val="001608C2"/>
    <w:rsid w:val="001A54D8"/>
    <w:rsid w:val="001A7EA4"/>
    <w:rsid w:val="001C17D8"/>
    <w:rsid w:val="001E6C6F"/>
    <w:rsid w:val="001F14A2"/>
    <w:rsid w:val="00204D4A"/>
    <w:rsid w:val="00214860"/>
    <w:rsid w:val="00234C50"/>
    <w:rsid w:val="0023696F"/>
    <w:rsid w:val="00256BC9"/>
    <w:rsid w:val="00264454"/>
    <w:rsid w:val="002801AA"/>
    <w:rsid w:val="002820AA"/>
    <w:rsid w:val="0029331A"/>
    <w:rsid w:val="002B01B7"/>
    <w:rsid w:val="002B0BA2"/>
    <w:rsid w:val="002C4676"/>
    <w:rsid w:val="002C70B0"/>
    <w:rsid w:val="002D253F"/>
    <w:rsid w:val="002D4E28"/>
    <w:rsid w:val="002E7188"/>
    <w:rsid w:val="002F3CC4"/>
    <w:rsid w:val="00301C8B"/>
    <w:rsid w:val="00304F10"/>
    <w:rsid w:val="0030633F"/>
    <w:rsid w:val="00307B6B"/>
    <w:rsid w:val="00362FF6"/>
    <w:rsid w:val="00377AA0"/>
    <w:rsid w:val="003A3CC1"/>
    <w:rsid w:val="003A567A"/>
    <w:rsid w:val="003B03E0"/>
    <w:rsid w:val="003C5589"/>
    <w:rsid w:val="003F2472"/>
    <w:rsid w:val="00410C74"/>
    <w:rsid w:val="00433D1E"/>
    <w:rsid w:val="00455146"/>
    <w:rsid w:val="004630FA"/>
    <w:rsid w:val="00481B80"/>
    <w:rsid w:val="004922E8"/>
    <w:rsid w:val="004946B5"/>
    <w:rsid w:val="004C487B"/>
    <w:rsid w:val="004E4D1A"/>
    <w:rsid w:val="00505830"/>
    <w:rsid w:val="00507B23"/>
    <w:rsid w:val="00513630"/>
    <w:rsid w:val="00553FC6"/>
    <w:rsid w:val="00560125"/>
    <w:rsid w:val="00567A64"/>
    <w:rsid w:val="00585553"/>
    <w:rsid w:val="00586540"/>
    <w:rsid w:val="00597409"/>
    <w:rsid w:val="005A36AF"/>
    <w:rsid w:val="005A66CC"/>
    <w:rsid w:val="005B34D9"/>
    <w:rsid w:val="005B3A7E"/>
    <w:rsid w:val="005B5E47"/>
    <w:rsid w:val="005C11FC"/>
    <w:rsid w:val="005C6876"/>
    <w:rsid w:val="005D0CCF"/>
    <w:rsid w:val="005D7AB5"/>
    <w:rsid w:val="005E7FBD"/>
    <w:rsid w:val="005F410F"/>
    <w:rsid w:val="0060031F"/>
    <w:rsid w:val="00601924"/>
    <w:rsid w:val="00611DCC"/>
    <w:rsid w:val="00620426"/>
    <w:rsid w:val="00621345"/>
    <w:rsid w:val="0064731F"/>
    <w:rsid w:val="006710F6"/>
    <w:rsid w:val="0068362F"/>
    <w:rsid w:val="00697C91"/>
    <w:rsid w:val="006B2078"/>
    <w:rsid w:val="006B3AAD"/>
    <w:rsid w:val="006C1B56"/>
    <w:rsid w:val="006D4761"/>
    <w:rsid w:val="006F382F"/>
    <w:rsid w:val="006F6D48"/>
    <w:rsid w:val="00726872"/>
    <w:rsid w:val="007476C1"/>
    <w:rsid w:val="00751778"/>
    <w:rsid w:val="00760F1C"/>
    <w:rsid w:val="007657F0"/>
    <w:rsid w:val="00773F58"/>
    <w:rsid w:val="007A6C80"/>
    <w:rsid w:val="007A7785"/>
    <w:rsid w:val="007C4A29"/>
    <w:rsid w:val="007E5DD3"/>
    <w:rsid w:val="007E7581"/>
    <w:rsid w:val="007F350B"/>
    <w:rsid w:val="00804299"/>
    <w:rsid w:val="00820BE4"/>
    <w:rsid w:val="008451E8"/>
    <w:rsid w:val="008B1746"/>
    <w:rsid w:val="008B38EF"/>
    <w:rsid w:val="008D2164"/>
    <w:rsid w:val="008F4DD6"/>
    <w:rsid w:val="009046AF"/>
    <w:rsid w:val="00913B9C"/>
    <w:rsid w:val="00922487"/>
    <w:rsid w:val="00950B84"/>
    <w:rsid w:val="00955A66"/>
    <w:rsid w:val="00956E77"/>
    <w:rsid w:val="009A0360"/>
    <w:rsid w:val="009A45D1"/>
    <w:rsid w:val="009B104F"/>
    <w:rsid w:val="009E7CBF"/>
    <w:rsid w:val="009F00A6"/>
    <w:rsid w:val="00A11A47"/>
    <w:rsid w:val="00A72C9A"/>
    <w:rsid w:val="00A760C1"/>
    <w:rsid w:val="00A812B9"/>
    <w:rsid w:val="00A87327"/>
    <w:rsid w:val="00AA390C"/>
    <w:rsid w:val="00AC105C"/>
    <w:rsid w:val="00AC2C0E"/>
    <w:rsid w:val="00AD12DF"/>
    <w:rsid w:val="00AD6B65"/>
    <w:rsid w:val="00AE16BB"/>
    <w:rsid w:val="00AE786F"/>
    <w:rsid w:val="00AF07A7"/>
    <w:rsid w:val="00B21E27"/>
    <w:rsid w:val="00B5747C"/>
    <w:rsid w:val="00B574DB"/>
    <w:rsid w:val="00B606FB"/>
    <w:rsid w:val="00B826C2"/>
    <w:rsid w:val="00B902EF"/>
    <w:rsid w:val="00B91E83"/>
    <w:rsid w:val="00BD0723"/>
    <w:rsid w:val="00BE2D09"/>
    <w:rsid w:val="00BE763B"/>
    <w:rsid w:val="00C20C59"/>
    <w:rsid w:val="00C25925"/>
    <w:rsid w:val="00C45268"/>
    <w:rsid w:val="00C549F5"/>
    <w:rsid w:val="00C55B1F"/>
    <w:rsid w:val="00C735BE"/>
    <w:rsid w:val="00C821CA"/>
    <w:rsid w:val="00CB5A53"/>
    <w:rsid w:val="00CC57F6"/>
    <w:rsid w:val="00CD54DF"/>
    <w:rsid w:val="00CF10B1"/>
    <w:rsid w:val="00CF1A67"/>
    <w:rsid w:val="00D161FB"/>
    <w:rsid w:val="00D2750E"/>
    <w:rsid w:val="00D57AC0"/>
    <w:rsid w:val="00D601EB"/>
    <w:rsid w:val="00D62446"/>
    <w:rsid w:val="00D62C8C"/>
    <w:rsid w:val="00D656E8"/>
    <w:rsid w:val="00D93B2F"/>
    <w:rsid w:val="00DA4EA2"/>
    <w:rsid w:val="00DC7506"/>
    <w:rsid w:val="00DD3126"/>
    <w:rsid w:val="00DE2C90"/>
    <w:rsid w:val="00DE3B24"/>
    <w:rsid w:val="00DF37C0"/>
    <w:rsid w:val="00DF3A1C"/>
    <w:rsid w:val="00E221FF"/>
    <w:rsid w:val="00E3592D"/>
    <w:rsid w:val="00E51C57"/>
    <w:rsid w:val="00E57C96"/>
    <w:rsid w:val="00E6126E"/>
    <w:rsid w:val="00E7629F"/>
    <w:rsid w:val="00E831F1"/>
    <w:rsid w:val="00E90261"/>
    <w:rsid w:val="00E92DE8"/>
    <w:rsid w:val="00EA024E"/>
    <w:rsid w:val="00EA27AD"/>
    <w:rsid w:val="00EB1212"/>
    <w:rsid w:val="00EB2123"/>
    <w:rsid w:val="00EC32AE"/>
    <w:rsid w:val="00EC687B"/>
    <w:rsid w:val="00ED65AB"/>
    <w:rsid w:val="00F12850"/>
    <w:rsid w:val="00F304D4"/>
    <w:rsid w:val="00F33BF4"/>
    <w:rsid w:val="00F346F2"/>
    <w:rsid w:val="00F7105E"/>
    <w:rsid w:val="00F75F57"/>
    <w:rsid w:val="00F82FEE"/>
    <w:rsid w:val="00FE6C80"/>
    <w:rsid w:val="00FF11BD"/>
    <w:rsid w:val="00FF2A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C516D0DF-59EE-4095-89D8-CB741E103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
    <w:basedOn w:val="DefaultParagraphFont"/>
    <w:uiPriority w:val="99"/>
    <w:rsid w:val="000B0D00"/>
    <w:rPr>
      <w:position w:val="6"/>
      <w:sz w:val="16"/>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character" w:styleId="EndnoteReference">
    <w:name w:val="endnote reference"/>
    <w:basedOn w:val="DefaultParagraphFont"/>
    <w:rsid w:val="006710F6"/>
    <w:rPr>
      <w:vertAlign w:val="superscript"/>
    </w:rPr>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Object">
    <w:name w:val="Object"/>
    <w:basedOn w:val="Subject"/>
    <w:next w:val="Subject"/>
    <w:rsid w:val="006710F6"/>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docnoted">
    <w:name w:val="docnoted"/>
    <w:basedOn w:val="Normal"/>
    <w:rsid w:val="006710F6"/>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Table">
    <w:name w:val="Table_#"/>
    <w:basedOn w:val="Normal"/>
    <w:next w:val="Normal"/>
    <w:rsid w:val="006710F6"/>
    <w:pPr>
      <w:keepNext/>
      <w:overflowPunct/>
      <w:autoSpaceDE/>
      <w:autoSpaceDN/>
      <w:adjustRightInd/>
      <w:spacing w:before="560" w:after="120"/>
      <w:jc w:val="center"/>
      <w:textAlignment w:val="auto"/>
    </w:pPr>
    <w:rPr>
      <w:caps/>
      <w:lang w:val="en-GB"/>
    </w:rPr>
  </w:style>
  <w:style w:type="paragraph" w:customStyle="1" w:styleId="FigureNo">
    <w:name w:val="Figure_No"/>
    <w:basedOn w:val="Normal"/>
    <w:next w:val="Figuretitle"/>
    <w:rsid w:val="006710F6"/>
    <w:pPr>
      <w:keepNext/>
      <w:keepLines/>
      <w:spacing w:before="240" w:after="120"/>
      <w:jc w:val="center"/>
    </w:pPr>
    <w:rPr>
      <w:caps/>
    </w:rPr>
  </w:style>
  <w:style w:type="character" w:customStyle="1" w:styleId="FootnoteTextChar">
    <w:name w:val="Footnote Text Char"/>
    <w:aliases w:val="footnote text Char1,ALTS FOOTNOTE Char,Footnote Text Char Char1 Char,Footnote Text Char4 Char Char Char,Footnote Text Char1 Char1 Char1 Char Char,Footnote Text Char Char1 Char1 Char Char Char,DNV-FT Char"/>
    <w:link w:val="FootnoteText"/>
    <w:uiPriority w:val="99"/>
    <w:rsid w:val="006F6D48"/>
    <w:rPr>
      <w:rFonts w:ascii="Calibri" w:hAnsi="Calibri"/>
      <w:sz w:val="24"/>
      <w:lang w:val="es-ES_tradnl" w:eastAsia="en-US"/>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
    <w:locked/>
    <w:rsid w:val="001A7EA4"/>
    <w:rPr>
      <w:rFonts w:ascii="Times New Roman" w:eastAsia="Times New Roman" w:hAnsi="Times New Roman" w:cs="Times New Roman"/>
      <w:sz w:val="24"/>
      <w:szCs w:val="20"/>
      <w:lang w:eastAsia="en-US"/>
    </w:rPr>
  </w:style>
  <w:style w:type="paragraph" w:styleId="ListParagraph">
    <w:name w:val="List Paragraph"/>
    <w:basedOn w:val="Normal"/>
    <w:uiPriority w:val="34"/>
    <w:qFormat/>
    <w:rsid w:val="007C4A29"/>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hAnsi="Times New Roman"/>
      <w:szCs w:val="24"/>
      <w:lang w:val="en-US"/>
    </w:rPr>
  </w:style>
  <w:style w:type="paragraph" w:styleId="BalloonText">
    <w:name w:val="Balloon Text"/>
    <w:basedOn w:val="Normal"/>
    <w:link w:val="BalloonTextChar"/>
    <w:semiHidden/>
    <w:unhideWhenUsed/>
    <w:rsid w:val="00B21E2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21E27"/>
    <w:rPr>
      <w:rFonts w:ascii="Segoe UI" w:hAnsi="Segoe UI" w:cs="Segoe UI"/>
      <w:sz w:val="18"/>
      <w:szCs w:val="18"/>
      <w:lang w:val="es-ES_tradnl" w:eastAsia="en-US"/>
    </w:rPr>
  </w:style>
  <w:style w:type="table" w:styleId="TableGrid">
    <w:name w:val="Table Grid"/>
    <w:basedOn w:val="TableNormal"/>
    <w:rsid w:val="00CB5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453342">
      <w:bodyDiv w:val="1"/>
      <w:marLeft w:val="0"/>
      <w:marRight w:val="0"/>
      <w:marTop w:val="0"/>
      <w:marBottom w:val="0"/>
      <w:divBdr>
        <w:top w:val="none" w:sz="0" w:space="0" w:color="auto"/>
        <w:left w:val="none" w:sz="0" w:space="0" w:color="auto"/>
        <w:bottom w:val="none" w:sz="0" w:space="0" w:color="auto"/>
        <w:right w:val="none" w:sz="0" w:space="0" w:color="auto"/>
      </w:divBdr>
    </w:div>
    <w:div w:id="568855657">
      <w:bodyDiv w:val="1"/>
      <w:marLeft w:val="0"/>
      <w:marRight w:val="0"/>
      <w:marTop w:val="0"/>
      <w:marBottom w:val="0"/>
      <w:divBdr>
        <w:top w:val="none" w:sz="0" w:space="0" w:color="auto"/>
        <w:left w:val="none" w:sz="0" w:space="0" w:color="auto"/>
        <w:bottom w:val="none" w:sz="0" w:space="0" w:color="auto"/>
        <w:right w:val="none" w:sz="0" w:space="0" w:color="auto"/>
      </w:divBdr>
    </w:div>
    <w:div w:id="199317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S15-CL-INF-0011/en"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theiia.org" TargetMode="External"/><Relationship Id="rId1" Type="http://schemas.openxmlformats.org/officeDocument/2006/relationships/hyperlink" Target="http://www.theii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C1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PS_C16.dotm</Template>
  <TotalTime>1</TotalTime>
  <Pages>13</Pages>
  <Words>5464</Words>
  <Characters>29188</Characters>
  <Application>Microsoft Office Word</Application>
  <DocSecurity>0</DocSecurity>
  <Lines>681</Lines>
  <Paragraphs>224</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INFORME DEL AUDITOR INTERNO SOBRE ACTIVIDADES DE AUDITORÍA INTERNA</vt:lpstr>
    </vt:vector>
  </TitlesOfParts>
  <Manager>Secretaría General - Pool</Manager>
  <Company>Unión Internacional de Telecomunicaciones (UIT)</Company>
  <LinksUpToDate>false</LinksUpToDate>
  <CharactersWithSpaces>34434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DEL AUDITOR INTERNO SOBRE ACTIVIDADES DE AUDITORÍA INTERNA</dc:title>
  <dc:subject>Consejo 2010</dc:subject>
  <dc:creator>Informe del Secretario General</dc:creator>
  <cp:keywords>C2010, C10</cp:keywords>
  <dc:description>Documento C16/44-S  Para: Punto del orden del día: ADM 10_x000d_Fecha del documento: 12 de abril de 2016_x000d_Registrado por ITU51010497 a 15:27:02 el 10/05/2016</dc:description>
  <cp:lastModifiedBy>Janin</cp:lastModifiedBy>
  <cp:revision>3</cp:revision>
  <cp:lastPrinted>2016-05-10T11:54:00Z</cp:lastPrinted>
  <dcterms:created xsi:type="dcterms:W3CDTF">2016-05-10T13:26:00Z</dcterms:created>
  <dcterms:modified xsi:type="dcterms:W3CDTF">2016-05-10T13:27:00Z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C16/44-S</vt:lpwstr>
  </property>
  <property fmtid="{D5CDD505-2E9C-101B-9397-08002B2CF9AE}" pid="3" name="Docdate">
    <vt:lpwstr>12 de abril de 2016</vt:lpwstr>
  </property>
  <property fmtid="{D5CDD505-2E9C-101B-9397-08002B2CF9AE}" pid="4" name="Docorlang">
    <vt:lpwstr>Original: inglés</vt:lpwstr>
  </property>
  <property fmtid="{D5CDD505-2E9C-101B-9397-08002B2CF9AE}" pid="5" name="Docbluepink">
    <vt:lpwstr>Consejo 2016 Ginebra, 25 de mayo – 2 de junio de 2016</vt:lpwstr>
  </property>
  <property fmtid="{D5CDD505-2E9C-101B-9397-08002B2CF9AE}" pid="6" name="Docdest">
    <vt:lpwstr>Punto del orden del día: ADM 10</vt:lpwstr>
  </property>
  <property fmtid="{D5CDD505-2E9C-101B-9397-08002B2CF9AE}" pid="7" name="Docauthor">
    <vt:lpwstr>Informe del Secretario General</vt:lpwstr>
  </property>
</Properties>
</file>